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5D" w:rsidRPr="00160290" w:rsidRDefault="003448FA" w:rsidP="00F7154D">
      <w:r>
        <w:rPr>
          <w:noProof/>
        </w:rPr>
        <mc:AlternateContent>
          <mc:Choice Requires="wps">
            <w:drawing>
              <wp:anchor distT="0" distB="0" distL="114300" distR="114300" simplePos="0" relativeHeight="251658240" behindDoc="0" locked="1" layoutInCell="1" allowOverlap="1">
                <wp:simplePos x="0" y="0"/>
                <wp:positionH relativeFrom="page">
                  <wp:posOffset>363855</wp:posOffset>
                </wp:positionH>
                <wp:positionV relativeFrom="page">
                  <wp:posOffset>2354580</wp:posOffset>
                </wp:positionV>
                <wp:extent cx="3182620" cy="4755515"/>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620" cy="4755515"/>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" path="m1747,l,,,8858r5941,l1747,xe" fillcolor="#201547" stroked="f">
                <v:fill opacity="39321f"/>
                <v:path arrowok="t" o:connecttype="custom" o:connectlocs="935876,0;0,0;0,4755515;3182620,4755515;935876,0" o:connectangles="0,0,0,0,0"/>
                <w10:wrap anchorx="page" anchory="page"/>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page">
                  <wp:posOffset>3543300</wp:posOffset>
                </wp:positionH>
                <wp:positionV relativeFrom="page">
                  <wp:posOffset>7107555</wp:posOffset>
                </wp:positionV>
                <wp:extent cx="1889760" cy="1994535"/>
                <wp:effectExtent l="0" t="0" r="0" b="5715"/>
                <wp:wrapNone/>
                <wp:docPr id="15"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9760" cy="1994535"/>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rgbClr val="79739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" path="m1745,3697l,,3496,,1745,3697xe" fillcolor="#797391" stroked="f">
                <v:path arrowok="t" o:connecttype="custom" o:connectlocs="943258,1994535;0,0;1889760,0;943258,1994535" o:connectangles="0,0,0,0"/>
                <w10:wrap anchorx="page" anchory="page"/>
                <w10:anchorlock/>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page">
                  <wp:posOffset>360045</wp:posOffset>
                </wp:positionH>
                <wp:positionV relativeFrom="page">
                  <wp:posOffset>360045</wp:posOffset>
                </wp:positionV>
                <wp:extent cx="1889760" cy="1994535"/>
                <wp:effectExtent l="7620" t="7620" r="7620" b="7620"/>
                <wp:wrapNone/>
                <wp:docPr id="13"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9760" cy="1994535"/>
                        </a:xfrm>
                        <a:custGeom>
                          <a:avLst/>
                          <a:gdLst>
                            <a:gd name="T0" fmla="*/ 943378 w 3496"/>
                            <a:gd name="T1" fmla="*/ 1994400 h 3697"/>
                            <a:gd name="T2" fmla="*/ 0 w 3496"/>
                            <a:gd name="T3" fmla="*/ 0 h 3697"/>
                            <a:gd name="T4" fmla="*/ 1890000 w 3496"/>
                            <a:gd name="T5" fmla="*/ 0 h 3697"/>
                            <a:gd name="T6" fmla="*/ 943378 w 3496"/>
                            <a:gd name="T7" fmla="*/ 1994400 h 369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96" h="3697">
                              <a:moveTo>
                                <a:pt x="1745" y="3697"/>
                              </a:moveTo>
                              <a:lnTo>
                                <a:pt x="0" y="0"/>
                              </a:lnTo>
                              <a:lnTo>
                                <a:pt x="3496" y="0"/>
                              </a:lnTo>
                              <a:lnTo>
                                <a:pt x="1745" y="3697"/>
                              </a:lnTo>
                              <a:close/>
                            </a:path>
                          </a:pathLst>
                        </a:custGeom>
                        <a:solidFill>
                          <a:srgbClr val="6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" path="m1745,3697l,,3496,,1745,3697xe" fillcolor="#642667" stroked="f">
                <v:path arrowok="t" o:connecttype="custom" o:connectlocs="509942222,1075980688;0,0;1021637986,0;509942222,1075980688" o:connectangles="0,0,0,0"/>
                <w10:wrap anchorx="page" anchory="page"/>
                <w10:anchorlock/>
              </v:shape>
            </w:pict>
          </mc:Fallback>
        </mc:AlternateContent>
      </w:r>
      <w:r>
        <w:rPr>
          <w:noProof/>
        </w:rPr>
        <mc:AlternateContent>
          <mc:Choice Requires="wps">
            <w:drawing>
              <wp:anchor distT="0" distB="0" distL="114300" distR="114300" simplePos="0" relativeHeight="251648000" behindDoc="0" locked="1" layoutInCell="1" allowOverlap="1">
                <wp:simplePos x="0" y="0"/>
                <wp:positionH relativeFrom="page">
                  <wp:posOffset>0</wp:posOffset>
                </wp:positionH>
                <wp:positionV relativeFrom="page">
                  <wp:align>bottom</wp:align>
                </wp:positionV>
                <wp:extent cx="3848100" cy="636905"/>
                <wp:effectExtent l="0" t="0" r="0" b="0"/>
                <wp:wrapNone/>
                <wp:docPr id="12" name="WebAddress"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0" cy="636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DF3" w:rsidRPr="009F69FA" w:rsidRDefault="00011DF3"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" filled="f" stroked="f" strokeweight=".5pt">
                <v:path arrowok="t"/>
                <v:textbox inset="20mm">
                  <w:txbxContent>
                    <w:p w:rsidR="00011DF3" w:rsidRPr="009F69FA" w:rsidRDefault="00011DF3" w:rsidP="00330302">
                      <w:pPr>
                        <w:pStyle w:val="xWeb"/>
                      </w:pPr>
                      <w:r w:rsidRPr="009F69FA">
                        <w:t>www.de</w:t>
                      </w:r>
                      <w:r>
                        <w:t>lw</w:t>
                      </w:r>
                      <w:r w:rsidRPr="009F69FA">
                        <w:t>p.vic.gov.au</w:t>
                      </w:r>
                    </w:p>
                  </w:txbxContent>
                </v:textbox>
                <w10:wrap anchorx="page" anchory="page"/>
                <w10:anchorlock/>
              </v:shape>
            </w:pict>
          </mc:Fallback>
        </mc:AlternateContent>
      </w:r>
      <w:r>
        <w:rPr>
          <w:noProof/>
        </w:rPr>
        <mc:AlternateContent>
          <mc:Choice Requires="wps">
            <w:drawing>
              <wp:anchor distT="0" distB="0" distL="114300" distR="114300" simplePos="0" relativeHeight="251643904" behindDoc="0" locked="1" layoutInCell="1" allowOverlap="1">
                <wp:simplePos x="0" y="0"/>
                <wp:positionH relativeFrom="page">
                  <wp:align>left</wp:align>
                </wp:positionH>
                <wp:positionV relativeFrom="page">
                  <wp:posOffset>8567420</wp:posOffset>
                </wp:positionV>
                <wp:extent cx="5554980" cy="370840"/>
                <wp:effectExtent l="0" t="0" r="0" b="0"/>
                <wp:wrapNone/>
                <wp:docPr id="11" name="CoverStatus" hidden="1" title="Watermark Document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4980"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DF3" w:rsidRPr="00271B90" w:rsidRDefault="00011DF3"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" filled="f" stroked="f" strokeweight=".5pt">
                <v:path arrowok="t"/>
                <v:textbox inset="20mm,0,1mm,0">
                  <w:txbxContent>
                    <w:p w:rsidR="00011DF3" w:rsidRPr="00271B90" w:rsidRDefault="00011DF3"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45952" behindDoc="1" locked="1" layoutInCell="1" allowOverlap="1">
                <wp:simplePos x="0" y="0"/>
                <wp:positionH relativeFrom="page">
                  <wp:posOffset>360045</wp:posOffset>
                </wp:positionH>
                <wp:positionV relativeFrom="page">
                  <wp:posOffset>9102090</wp:posOffset>
                </wp:positionV>
                <wp:extent cx="6840220" cy="431800"/>
                <wp:effectExtent l="0" t="0" r="635" b="635"/>
                <wp:wrapNone/>
                <wp:docPr id="9" name="CoverProjectBar" descr="Title: Decorative Cover 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431800"/>
                        </a:xfrm>
                        <a:prstGeom prst="rect">
                          <a:avLst/>
                        </a:prstGeom>
                        <a:solidFill>
                          <a:srgbClr val="64266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11DF3" w:rsidRPr="00E81E6A" w:rsidRDefault="00011DF3" w:rsidP="002940DF">
                            <w:pPr>
                              <w:pStyle w:val="TitleBarText"/>
                              <w:spacing w:line="320" w:lineRule="exact"/>
                            </w:pPr>
                            <w:r w:rsidRPr="00011DF3">
                              <w:rPr>
                                <w:color w:val="FFFFFF" w:themeColor="background1"/>
                              </w:rPr>
                              <w:t>May</w:t>
                            </w:r>
                            <w:r>
                              <w:t xml:space="preserve"> 2017</w:t>
                            </w:r>
                          </w:p>
                        </w:txbxContent>
                      </wps:txbx>
                      <wps:bodyPr rot="0" vert="horz" wrap="square" lIns="360000" tIns="0" rIns="360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" fillcolor="#642667" stroked="f" strokeweight=".5pt">
                <v:textbox inset="10mm,0,10mm,0">
                  <w:txbxContent>
                    <w:p w:rsidR="00011DF3" w:rsidRPr="00E81E6A" w:rsidRDefault="00011DF3" w:rsidP="002940DF">
                      <w:pPr>
                        <w:pStyle w:val="TitleBarText"/>
                        <w:spacing w:line="320" w:lineRule="exact"/>
                      </w:pPr>
                      <w:r w:rsidRPr="00011DF3">
                        <w:rPr>
                          <w:color w:val="FFFFFF" w:themeColor="background1"/>
                        </w:rPr>
                        <w:t>May</w:t>
                      </w:r>
                      <w:r>
                        <w:t xml:space="preserve"> 2017</w:t>
                      </w:r>
                    </w:p>
                  </w:txbxContent>
                </v:textbox>
                <w10:wrap anchorx="page" anchory="page"/>
                <w10:anchorlock/>
              </v:shape>
            </w:pict>
          </mc:Fallback>
        </mc:AlternateContent>
      </w:r>
      <w:r>
        <w:rPr>
          <w:noProof/>
        </w:rPr>
        <mc:AlternateContent>
          <mc:Choice Requires="wps">
            <w:drawing>
              <wp:anchor distT="0" distB="0" distL="114300" distR="114300" simplePos="0" relativeHeight="251639808" behindDoc="1" locked="1" layoutInCell="1" allowOverlap="1">
                <wp:simplePos x="0" y="0"/>
                <wp:positionH relativeFrom="page">
                  <wp:posOffset>360045</wp:posOffset>
                </wp:positionH>
                <wp:positionV relativeFrom="page">
                  <wp:posOffset>360045</wp:posOffset>
                </wp:positionV>
                <wp:extent cx="6840220" cy="8744585"/>
                <wp:effectExtent l="0" t="0" r="0" b="0"/>
                <wp:wrapNone/>
                <wp:docPr id="8" name="Cover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87445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" fillcolor="#00b2a9 [3204]" stroked="f" strokeweight="2pt">
                <v:path arrowok="t"/>
                <w10:wrap anchorx="page" anchory="page"/>
                <w10:anchorlock/>
              </v:rect>
            </w:pict>
          </mc:Fallback>
        </mc:AlternateContent>
      </w:r>
    </w:p>
    <w:p w:rsidR="00D73B6C" w:rsidRPr="00160290"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0419B2" w:rsidRPr="00160290" w:rsidTr="00B649A3">
        <w:trPr>
          <w:trHeight w:hRule="exact" w:val="2948"/>
        </w:trPr>
        <w:tc>
          <w:tcPr>
            <w:tcW w:w="7369" w:type="dxa"/>
            <w:vAlign w:val="center"/>
          </w:tcPr>
          <w:p w:rsidR="000419B2" w:rsidRPr="00160290" w:rsidRDefault="00C91615" w:rsidP="0032260B">
            <w:pPr>
              <w:jc w:val="right"/>
              <w:rPr>
                <w:b/>
                <w:color w:val="FFFFFF" w:themeColor="background1"/>
                <w:sz w:val="54"/>
                <w:szCs w:val="54"/>
              </w:rPr>
            </w:pPr>
            <w:r w:rsidRPr="00160290">
              <w:rPr>
                <w:color w:val="FFFFFF" w:themeColor="background1"/>
                <w:sz w:val="54"/>
                <w:szCs w:val="54"/>
              </w:rPr>
              <w:t>Regulatory impact s</w:t>
            </w:r>
            <w:r w:rsidR="000419B2" w:rsidRPr="00160290">
              <w:rPr>
                <w:color w:val="FFFFFF" w:themeColor="background1"/>
                <w:sz w:val="54"/>
                <w:szCs w:val="54"/>
              </w:rPr>
              <w:t xml:space="preserve">tatement </w:t>
            </w:r>
            <w:r w:rsidR="000419B2" w:rsidRPr="00160290">
              <w:rPr>
                <w:color w:val="FFFFFF" w:themeColor="background1"/>
                <w:sz w:val="54"/>
                <w:szCs w:val="54"/>
              </w:rPr>
              <w:br/>
            </w:r>
            <w:r w:rsidR="000419B2" w:rsidRPr="00160290">
              <w:rPr>
                <w:b/>
                <w:color w:val="FFFFFF" w:themeColor="background1"/>
                <w:sz w:val="54"/>
                <w:szCs w:val="54"/>
              </w:rPr>
              <w:t>Building Regulations 2017</w:t>
            </w:r>
          </w:p>
          <w:p w:rsidR="000419B2" w:rsidRPr="00160290" w:rsidRDefault="00C91615" w:rsidP="00C91615">
            <w:pPr>
              <w:jc w:val="right"/>
              <w:rPr>
                <w:color w:val="FFFFFF" w:themeColor="background1"/>
                <w:sz w:val="32"/>
                <w:szCs w:val="32"/>
              </w:rPr>
            </w:pPr>
            <w:r w:rsidRPr="00160290">
              <w:rPr>
                <w:color w:val="FFFFFF" w:themeColor="background1"/>
                <w:sz w:val="32"/>
                <w:szCs w:val="32"/>
              </w:rPr>
              <w:t>Part C: Building p</w:t>
            </w:r>
            <w:r w:rsidR="000419B2" w:rsidRPr="00160290">
              <w:rPr>
                <w:color w:val="FFFFFF" w:themeColor="background1"/>
                <w:sz w:val="32"/>
                <w:szCs w:val="32"/>
              </w:rPr>
              <w:t xml:space="preserve">ractitioner </w:t>
            </w:r>
            <w:r w:rsidRPr="00160290">
              <w:rPr>
                <w:color w:val="FFFFFF" w:themeColor="background1"/>
                <w:sz w:val="32"/>
                <w:szCs w:val="32"/>
              </w:rPr>
              <w:t>r</w:t>
            </w:r>
            <w:r w:rsidR="000419B2" w:rsidRPr="00160290">
              <w:rPr>
                <w:color w:val="FFFFFF" w:themeColor="background1"/>
                <w:sz w:val="32"/>
                <w:szCs w:val="32"/>
              </w:rPr>
              <w:t>egistration</w:t>
            </w:r>
          </w:p>
        </w:tc>
      </w:tr>
      <w:tr w:rsidR="00D73B6C" w:rsidRPr="00160290" w:rsidTr="004D09B3">
        <w:trPr>
          <w:trHeight w:hRule="exact" w:val="2948"/>
        </w:trPr>
        <w:tc>
          <w:tcPr>
            <w:tcW w:w="7369" w:type="dxa"/>
            <w:vAlign w:val="center"/>
          </w:tcPr>
          <w:p w:rsidR="00512DFB" w:rsidRPr="00160290" w:rsidRDefault="003448FA" w:rsidP="0032260B">
            <w:r>
              <w:rPr>
                <w:noProof/>
              </w:rPr>
              <mc:AlternateContent>
                <mc:Choice Requires="wps">
                  <w:drawing>
                    <wp:anchor distT="0" distB="0" distL="114300" distR="114300" simplePos="0" relativeHeight="251666432" behindDoc="0" locked="1" layoutInCell="1" allowOverlap="1">
                      <wp:simplePos x="0" y="0"/>
                      <wp:positionH relativeFrom="page">
                        <wp:posOffset>1383030</wp:posOffset>
                      </wp:positionH>
                      <wp:positionV relativeFrom="page">
                        <wp:posOffset>40640</wp:posOffset>
                      </wp:positionV>
                      <wp:extent cx="3657600" cy="4755515"/>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515"/>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rgbClr val="7030A0">
                                  <a:alpha val="29804"/>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OverlayRight" o:spid="_x0000_s1026" style="position:absolute;margin-left:108.9pt;margin-top:3.2pt;width:4in;height:374.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" path="m3536,l,7483r5762,l5762,,3536,xe" fillcolor="#7030a0" stroked="f">
                      <v:fill opacity="19532f"/>
                      <v:path arrowok="t" o:connecttype="custom" o:connectlocs="2244581,0;0,4755515;3657600,4755515;3657600,0;2244581,0" o:connectangles="0,0,0,0,0"/>
                      <w10:wrap anchorx="page" anchory="page"/>
                      <w10:anchorlock/>
                    </v:shape>
                  </w:pict>
                </mc:Fallback>
              </mc:AlternateContent>
            </w:r>
            <w:r>
              <w:rPr>
                <w:rFonts w:ascii="Arial" w:hAnsi="Arial"/>
                <w:noProof/>
                <w:color w:val="363534"/>
              </w:rPr>
              <mc:AlternateContent>
                <mc:Choice Requires="wps">
                  <w:drawing>
                    <wp:anchor distT="0" distB="0" distL="114300" distR="114300" simplePos="0" relativeHeight="251664384" behindDoc="1" locked="1" layoutInCell="1" allowOverlap="1">
                      <wp:simplePos x="0" y="0"/>
                      <wp:positionH relativeFrom="page">
                        <wp:posOffset>-1812925</wp:posOffset>
                      </wp:positionH>
                      <wp:positionV relativeFrom="page">
                        <wp:posOffset>56515</wp:posOffset>
                      </wp:positionV>
                      <wp:extent cx="6839585" cy="4751705"/>
                      <wp:effectExtent l="0" t="0" r="0" b="0"/>
                      <wp:wrapNone/>
                      <wp:docPr id="6" name="PicSingle" descr="Cover Image" title="Cover Im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9585" cy="475170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icSingle" o:spid="_x0000_s1026" alt="Title: Cover Image - Description: Cover Image" style="position:absolute;margin-left:-142.75pt;margin-top:4.45pt;width:538.55pt;height:37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" fillcolor="window" stroked="f" strokeweight="2pt">
                      <v:path arrowok="t"/>
                      <w10:wrap anchorx="page" anchory="page"/>
                      <w10:anchorlock/>
                    </v:rect>
                  </w:pict>
                </mc:Fallback>
              </mc:AlternateContent>
            </w:r>
          </w:p>
        </w:tc>
      </w:tr>
    </w:tbl>
    <w:p w:rsidR="00D73B6C" w:rsidRPr="00160290" w:rsidRDefault="00D73B6C"/>
    <w:p w:rsidR="00D73B6C" w:rsidRPr="00160290" w:rsidRDefault="003448FA">
      <w:r>
        <w:rPr>
          <w:noProof/>
        </w:rPr>
        <mc:AlternateContent>
          <mc:Choice Requires="wps">
            <w:drawing>
              <wp:anchor distT="0" distB="0" distL="114300" distR="114300" simplePos="0" relativeHeight="251652096" behindDoc="0" locked="0" layoutInCell="1" allowOverlap="1">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11DF3" w:rsidRPr="00AB780B" w:rsidTr="00AA4BE4">
                              <w:trPr>
                                <w:trHeight w:hRule="exact" w:val="964"/>
                                <w:tblCellSpacing w:w="71" w:type="dxa"/>
                              </w:trPr>
                              <w:tc>
                                <w:tcPr>
                                  <w:tcW w:w="1204" w:type="dxa"/>
                                  <w:vAlign w:val="bottom"/>
                                </w:tcPr>
                                <w:p w:rsidR="00011DF3" w:rsidRPr="00D55628" w:rsidRDefault="00011DF3" w:rsidP="00D55628">
                                  <w:r w:rsidRPr="00D55628">
                                    <w:rPr>
                                      <w:noProof/>
                                    </w:rPr>
                                    <w:drawing>
                                      <wp:inline distT="0" distB="0" distL="0" distR="0" wp14:anchorId="0545D63F" wp14:editId="6338DC71">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011DF3" w:rsidRPr="00D55628" w:rsidRDefault="00011DF3" w:rsidP="00D55628">
                                  <w:r w:rsidRPr="00D55628">
                                    <w:rPr>
                                      <w:noProof/>
                                    </w:rPr>
                                    <w:drawing>
                                      <wp:inline distT="0" distB="0" distL="0" distR="0" wp14:anchorId="176DC5AD" wp14:editId="69454387">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0">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011DF3" w:rsidRDefault="00011DF3"/>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" fillcolor="white [3212]" stroked="f" strokeweight=".5pt">
                <v:path arrowok="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11DF3" w:rsidRPr="00AB780B" w:rsidTr="00AA4BE4">
                        <w:trPr>
                          <w:trHeight w:hRule="exact" w:val="964"/>
                          <w:tblCellSpacing w:w="71" w:type="dxa"/>
                        </w:trPr>
                        <w:tc>
                          <w:tcPr>
                            <w:tcW w:w="1204" w:type="dxa"/>
                            <w:vAlign w:val="bottom"/>
                          </w:tcPr>
                          <w:p w:rsidR="00011DF3" w:rsidRPr="00D55628" w:rsidRDefault="00011DF3" w:rsidP="00D55628">
                            <w:r w:rsidRPr="00D55628">
                              <w:rPr>
                                <w:noProof/>
                              </w:rPr>
                              <w:drawing>
                                <wp:inline distT="0" distB="0" distL="0" distR="0" wp14:anchorId="0545D63F" wp14:editId="6338DC71">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011DF3" w:rsidRPr="00D55628" w:rsidRDefault="00011DF3" w:rsidP="00D55628">
                            <w:r w:rsidRPr="00D55628">
                              <w:rPr>
                                <w:noProof/>
                              </w:rPr>
                              <w:drawing>
                                <wp:inline distT="0" distB="0" distL="0" distR="0" wp14:anchorId="176DC5AD" wp14:editId="69454387">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011DF3" w:rsidRDefault="00011DF3"/>
                  </w:txbxContent>
                </v:textbox>
                <w10:wrap anchorx="page" anchory="page"/>
              </v:shape>
            </w:pict>
          </mc:Fallback>
        </mc:AlternateContent>
      </w:r>
    </w:p>
    <w:p w:rsidR="00D73B6C" w:rsidRPr="00160290" w:rsidRDefault="00D73B6C">
      <w:pPr>
        <w:sectPr w:rsidR="00D73B6C" w:rsidRPr="00160290" w:rsidSect="00C04D98">
          <w:headerReference w:type="default" r:id="rId13"/>
          <w:footerReference w:type="even" r:id="rId14"/>
          <w:footerReference w:type="default" r:id="rId15"/>
          <w:footerReference w:type="first" r:id="rId16"/>
          <w:pgSz w:w="11907" w:h="16840" w:code="9"/>
          <w:pgMar w:top="992" w:right="1559" w:bottom="992" w:left="1797" w:header="284" w:footer="284" w:gutter="0"/>
          <w:cols w:space="708"/>
          <w:titlePg/>
          <w:docGrid w:linePitch="360"/>
        </w:sectPr>
      </w:pPr>
    </w:p>
    <w:p w:rsidR="004561E6" w:rsidRPr="00D81477" w:rsidRDefault="003448FA" w:rsidP="00F7154D">
      <w:pPr>
        <w:rPr>
          <w:b/>
        </w:rPr>
      </w:pPr>
      <w:r>
        <w:rPr>
          <w:b/>
          <w:noProof/>
        </w:rPr>
        <w:lastRenderedPageBreak/>
        <mc:AlternateContent>
          <mc:Choice Requires="wps">
            <w:drawing>
              <wp:anchor distT="0" distB="0" distL="114300" distR="114300" simplePos="0" relativeHeight="251650048" behindDoc="0" locked="0" layoutInCell="1" allowOverlap="1">
                <wp:simplePos x="0" y="0"/>
                <wp:positionH relativeFrom="page">
                  <wp:align>left</wp:align>
                </wp:positionH>
                <wp:positionV relativeFrom="page">
                  <wp:align>top</wp:align>
                </wp:positionV>
                <wp:extent cx="7562850" cy="1609725"/>
                <wp:effectExtent l="0" t="0" r="0" b="0"/>
                <wp:wrapTopAndBottom/>
                <wp:docPr id="36" name="InsideCoverCoBrand" hidden="1" title="Co-Branding Logo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0"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011DF3" w:rsidRPr="00AB780B" w:rsidTr="00DC7231">
                              <w:trPr>
                                <w:trHeight w:hRule="exact" w:val="1247"/>
                                <w:tblCellSpacing w:w="71" w:type="dxa"/>
                              </w:trPr>
                              <w:tc>
                                <w:tcPr>
                                  <w:tcW w:w="1601" w:type="dxa"/>
                                  <w:vAlign w:val="center"/>
                                </w:tcPr>
                                <w:p w:rsidR="00011DF3" w:rsidRPr="00D55628" w:rsidRDefault="00011DF3" w:rsidP="00D55628">
                                  <w:r w:rsidRPr="00D55628">
                                    <w:rPr>
                                      <w:noProof/>
                                    </w:rPr>
                                    <w:drawing>
                                      <wp:inline distT="0" distB="0" distL="0" distR="0" wp14:anchorId="5735F27F" wp14:editId="4BA4C9BA">
                                        <wp:extent cx="1016635" cy="520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011DF3" w:rsidRPr="00D55628" w:rsidRDefault="00011DF3" w:rsidP="00D55628">
                                  <w:r w:rsidRPr="00D55628">
                                    <w:rPr>
                                      <w:noProof/>
                                    </w:rPr>
                                    <w:drawing>
                                      <wp:inline distT="0" distB="0" distL="0" distR="0" wp14:anchorId="0BDBCB60" wp14:editId="0A15DD72">
                                        <wp:extent cx="1016635" cy="5200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011DF3" w:rsidRPr="00D55628" w:rsidRDefault="00011DF3" w:rsidP="00D55628">
                                  <w:r w:rsidRPr="00D55628">
                                    <w:rPr>
                                      <w:noProof/>
                                    </w:rPr>
                                    <w:drawing>
                                      <wp:inline distT="0" distB="0" distL="0" distR="0" wp14:anchorId="03DD2167" wp14:editId="55572EBB">
                                        <wp:extent cx="1016635" cy="520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011DF3" w:rsidRPr="00D55628" w:rsidRDefault="00011DF3" w:rsidP="00D55628">
                                  <w:r w:rsidRPr="00D55628">
                                    <w:rPr>
                                      <w:noProof/>
                                    </w:rPr>
                                    <w:drawing>
                                      <wp:inline distT="0" distB="0" distL="0" distR="0" wp14:anchorId="0CA88C43" wp14:editId="39198F07">
                                        <wp:extent cx="1016635" cy="520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rsidR="00011DF3" w:rsidRPr="00D55628" w:rsidRDefault="00011DF3" w:rsidP="00D55628">
                            <w:pPr>
                              <w:pStyle w:val="xDisclaimerText"/>
                            </w:pPr>
                          </w:p>
                        </w:txbxContent>
                      </wps:txbx>
                      <wps:bodyPr rot="0" spcFirstLastPara="0" vertOverflow="overflow" horzOverflow="overflow" vert="horz" wrap="square" lIns="720000" tIns="61200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InsideCoverCoBrand" o:spid="_x0000_s1030" type="#_x0000_t202" alt="Title: Co-Branding Logos" style="position:absolute;margin-left:0;margin-top:0;width:595.5pt;height:126.75pt;z-index:251650048;visibility:hidden;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" filled="f" stroked="f" strokeweight=".5pt">
                <v:path arrowok="t"/>
                <v:textbox style="mso-fit-shape-to-text:t" inset="20mm,17mm,,0">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011DF3" w:rsidRPr="00AB780B" w:rsidTr="00DC7231">
                        <w:trPr>
                          <w:trHeight w:hRule="exact" w:val="1247"/>
                          <w:tblCellSpacing w:w="71" w:type="dxa"/>
                        </w:trPr>
                        <w:tc>
                          <w:tcPr>
                            <w:tcW w:w="1601" w:type="dxa"/>
                            <w:vAlign w:val="center"/>
                          </w:tcPr>
                          <w:p w:rsidR="00011DF3" w:rsidRPr="00D55628" w:rsidRDefault="00011DF3" w:rsidP="00D55628">
                            <w:r w:rsidRPr="00D55628">
                              <w:rPr>
                                <w:noProof/>
                              </w:rPr>
                              <w:drawing>
                                <wp:inline distT="0" distB="0" distL="0" distR="0" wp14:anchorId="5735F27F" wp14:editId="4BA4C9BA">
                                  <wp:extent cx="1016635" cy="520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011DF3" w:rsidRPr="00D55628" w:rsidRDefault="00011DF3" w:rsidP="00D55628">
                            <w:r w:rsidRPr="00D55628">
                              <w:rPr>
                                <w:noProof/>
                              </w:rPr>
                              <w:drawing>
                                <wp:inline distT="0" distB="0" distL="0" distR="0" wp14:anchorId="0BDBCB60" wp14:editId="0A15DD72">
                                  <wp:extent cx="1016635" cy="5200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011DF3" w:rsidRPr="00D55628" w:rsidRDefault="00011DF3" w:rsidP="00D55628">
                            <w:r w:rsidRPr="00D55628">
                              <w:rPr>
                                <w:noProof/>
                              </w:rPr>
                              <w:drawing>
                                <wp:inline distT="0" distB="0" distL="0" distR="0" wp14:anchorId="03DD2167" wp14:editId="55572EBB">
                                  <wp:extent cx="1016635" cy="520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011DF3" w:rsidRPr="00D55628" w:rsidRDefault="00011DF3" w:rsidP="00D55628">
                            <w:r w:rsidRPr="00D55628">
                              <w:rPr>
                                <w:noProof/>
                              </w:rPr>
                              <w:drawing>
                                <wp:inline distT="0" distB="0" distL="0" distR="0" wp14:anchorId="0CA88C43" wp14:editId="39198F07">
                                  <wp:extent cx="1016635" cy="520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rsidR="00011DF3" w:rsidRPr="00D55628" w:rsidRDefault="00011DF3" w:rsidP="00D55628">
                      <w:pPr>
                        <w:pStyle w:val="xDisclaimerText"/>
                      </w:pPr>
                    </w:p>
                  </w:txbxContent>
                </v:textbox>
                <w10:wrap type="topAndBottom" anchorx="page" anchory="page"/>
              </v:shape>
            </w:pict>
          </mc:Fallback>
        </mc:AlternateContent>
      </w:r>
      <w:r w:rsidR="00AB780B" w:rsidRPr="00D81477">
        <w:rPr>
          <w:b/>
        </w:rPr>
        <w:t>Acknowledgements</w:t>
      </w:r>
    </w:p>
    <w:p w:rsidR="002129C8" w:rsidRPr="00D81477" w:rsidRDefault="00A56793" w:rsidP="00F7154D">
      <w:r w:rsidRPr="00D81477">
        <w:t xml:space="preserve">The Department of Environment, Land, Water and Planning acknowledges its responsibility for this </w:t>
      </w:r>
      <w:r w:rsidR="008A39F6">
        <w:t>r</w:t>
      </w:r>
      <w:r w:rsidRPr="00D81477">
        <w:t xml:space="preserve">egulatory </w:t>
      </w:r>
      <w:r w:rsidR="008A39F6">
        <w:t>i</w:t>
      </w:r>
      <w:r w:rsidRPr="00D81477">
        <w:t xml:space="preserve">mpact </w:t>
      </w:r>
      <w:r w:rsidR="008A39F6">
        <w:t>s</w:t>
      </w:r>
      <w:r w:rsidRPr="00D81477">
        <w:t>tatement (RIS) that sets out the proposed Building Regulations 2017 and the supporting argument for those Regulations.</w:t>
      </w:r>
    </w:p>
    <w:p w:rsidR="00A56793" w:rsidRPr="00D81477" w:rsidRDefault="00A56793" w:rsidP="00F7154D">
      <w:r w:rsidRPr="00D81477">
        <w:t xml:space="preserve">This RIS has been prepared for the express purpose of supporting the proposed Building Regulations 2017 and other potential uses of the information contained in the RIS </w:t>
      </w:r>
      <w:r w:rsidR="008A39F6">
        <w:t xml:space="preserve">have </w:t>
      </w:r>
      <w:r w:rsidRPr="00D81477">
        <w:t xml:space="preserve">not been a consideration in its development. The information contained in </w:t>
      </w:r>
      <w:r w:rsidR="008A39F6">
        <w:t xml:space="preserve">the </w:t>
      </w:r>
      <w:r w:rsidRPr="00D81477">
        <w:t>RIS has not been subjected to an audit or any form of independent verification.</w:t>
      </w:r>
    </w:p>
    <w:p w:rsidR="00A56793" w:rsidRPr="00D81477" w:rsidRDefault="00A56793" w:rsidP="00F7154D">
      <w:pPr>
        <w:rPr>
          <w:b/>
        </w:rPr>
      </w:pPr>
      <w:r w:rsidRPr="00D81477">
        <w:rPr>
          <w:b/>
        </w:rPr>
        <w:t>Author</w:t>
      </w:r>
    </w:p>
    <w:p w:rsidR="00A56793" w:rsidRPr="00D81477" w:rsidRDefault="00A56793" w:rsidP="00F7154D">
      <w:r w:rsidRPr="00D81477">
        <w:t xml:space="preserve">The information, statements, statistics and commentary contained in </w:t>
      </w:r>
      <w:r w:rsidR="009E37A3">
        <w:t xml:space="preserve">RIS </w:t>
      </w:r>
      <w:r w:rsidRPr="00D81477">
        <w:t>Part C have been substantially prepared by Regulatory Impact Solutions from material provided by or through the department.</w:t>
      </w:r>
    </w:p>
    <w:p w:rsidR="00CF4173" w:rsidRPr="00CE7DBB" w:rsidRDefault="00CF4173" w:rsidP="00CF4173"/>
    <w:p w:rsidR="00CF4173" w:rsidRPr="00CE7DBB" w:rsidRDefault="00CF4173" w:rsidP="00CF4173"/>
    <w:p w:rsidR="00CF4173" w:rsidRPr="00CE7DBB" w:rsidRDefault="00CF4173" w:rsidP="00CF4173"/>
    <w:p w:rsidR="00F7154D" w:rsidRPr="00D81477" w:rsidRDefault="00F7154D" w:rsidP="00F7154D">
      <w:r w:rsidRPr="00D81477">
        <w:t>© The State of Victoria Department of Environment, Land, Water and Planning</w:t>
      </w:r>
      <w:r w:rsidR="002129C8" w:rsidRPr="00D81477">
        <w:t xml:space="preserve"> </w:t>
      </w:r>
      <w:r w:rsidRPr="00D81477">
        <w:t>201</w:t>
      </w:r>
      <w:r w:rsidR="008A39F6">
        <w:t>7</w:t>
      </w:r>
    </w:p>
    <w:p w:rsidR="00F7154D" w:rsidRPr="00D81477" w:rsidRDefault="00FC2654" w:rsidP="00F7154D">
      <w:r w:rsidRPr="00D81477">
        <w:rPr>
          <w:noProof/>
        </w:rPr>
        <w:drawing>
          <wp:inline distT="0" distB="0" distL="0" distR="0" wp14:anchorId="72E82B25" wp14:editId="4FCC21A7">
            <wp:extent cx="658800" cy="237600"/>
            <wp:effectExtent l="0" t="0" r="8255" b="0"/>
            <wp:docPr id="4" name="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p>
    <w:p w:rsidR="002129C8" w:rsidRDefault="00F7154D" w:rsidP="00F7154D">
      <w:r w:rsidRPr="00D81477">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8" w:history="1">
        <w:r w:rsidRPr="00D81477">
          <w:t>http://creativecommons.org/licenses/by/4.0/</w:t>
        </w:r>
      </w:hyperlink>
    </w:p>
    <w:p w:rsidR="00765E11" w:rsidRDefault="00765E11" w:rsidP="00765E11">
      <w:r>
        <w:t xml:space="preserve">ISBN </w:t>
      </w:r>
      <w:r w:rsidR="00716E0C" w:rsidRPr="00716E0C">
        <w:t>978-1-76047-592-5 (online)</w:t>
      </w:r>
      <w:bookmarkStart w:id="0" w:name="_GoBack"/>
      <w:bookmarkEnd w:id="0"/>
    </w:p>
    <w:p w:rsidR="00F7154D" w:rsidRPr="00D81477" w:rsidRDefault="00F7154D" w:rsidP="00F7154D">
      <w:pPr>
        <w:rPr>
          <w:b/>
        </w:rPr>
      </w:pPr>
      <w:r w:rsidRPr="00D81477">
        <w:rPr>
          <w:b/>
        </w:rPr>
        <w:t>Disclaimer</w:t>
      </w:r>
    </w:p>
    <w:p w:rsidR="00F7154D" w:rsidRPr="00D81477" w:rsidRDefault="00F7154D" w:rsidP="00F7154D">
      <w:r w:rsidRPr="00D81477">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F7154D" w:rsidRPr="00D81477" w:rsidRDefault="00F7154D" w:rsidP="00F7154D">
      <w:pPr>
        <w:rPr>
          <w:b/>
          <w:sz w:val="24"/>
          <w:szCs w:val="24"/>
        </w:rPr>
      </w:pPr>
      <w:r w:rsidRPr="00D81477">
        <w:rPr>
          <w:b/>
          <w:sz w:val="24"/>
          <w:szCs w:val="24"/>
        </w:rPr>
        <w:t>Accessibility</w:t>
      </w:r>
    </w:p>
    <w:p w:rsidR="00F7154D" w:rsidRPr="00D81477" w:rsidRDefault="00F7154D" w:rsidP="00F7154D">
      <w:pPr>
        <w:rPr>
          <w:sz w:val="24"/>
          <w:szCs w:val="24"/>
        </w:rPr>
      </w:pPr>
      <w:r w:rsidRPr="00D81477">
        <w:rPr>
          <w:sz w:val="24"/>
          <w:szCs w:val="24"/>
        </w:rPr>
        <w:t>If you would like to receive this publication in an alternative format, please telephone the DELWP Customer Service Centre on 136186, email </w:t>
      </w:r>
      <w:hyperlink r:id="rId19" w:history="1">
        <w:r w:rsidRPr="00D81477">
          <w:rPr>
            <w:sz w:val="24"/>
            <w:szCs w:val="24"/>
          </w:rPr>
          <w:t>customer.service@delwp.vic.gov.au</w:t>
        </w:r>
      </w:hyperlink>
      <w:r w:rsidRPr="00D81477">
        <w:rPr>
          <w:sz w:val="24"/>
          <w:szCs w:val="24"/>
        </w:rPr>
        <w:t xml:space="preserve">, or via the National Relay Service on 133 677 </w:t>
      </w:r>
      <w:hyperlink r:id="rId20" w:history="1">
        <w:r w:rsidRPr="00D81477">
          <w:rPr>
            <w:sz w:val="24"/>
            <w:szCs w:val="24"/>
          </w:rPr>
          <w:t>www.relayservice.com.au</w:t>
        </w:r>
      </w:hyperlink>
      <w:r w:rsidRPr="00D81477">
        <w:rPr>
          <w:sz w:val="24"/>
          <w:szCs w:val="24"/>
        </w:rPr>
        <w:t xml:space="preserve">. This document is also available on the internet at </w:t>
      </w:r>
      <w:hyperlink r:id="rId21" w:history="1">
        <w:r w:rsidRPr="00D81477">
          <w:rPr>
            <w:sz w:val="24"/>
            <w:szCs w:val="24"/>
          </w:rPr>
          <w:t>www.delwp.vic.gov.au</w:t>
        </w:r>
      </w:hyperlink>
      <w:r w:rsidRPr="00D81477">
        <w:rPr>
          <w:sz w:val="24"/>
          <w:szCs w:val="24"/>
        </w:rPr>
        <w:t>.</w:t>
      </w:r>
    </w:p>
    <w:tbl>
      <w:tblPr>
        <w:tblStyle w:val="TableAsPlaceholder"/>
        <w:tblpPr w:leftFromText="181" w:rightFromText="181" w:horzAnchor="margin" w:tblpYSpec="bottom"/>
        <w:tblOverlap w:val="never"/>
        <w:tblW w:w="4269" w:type="pct"/>
        <w:tblCellMar>
          <w:right w:w="57" w:type="dxa"/>
        </w:tblCellMar>
        <w:tblLook w:val="0600" w:firstRow="0" w:lastRow="0" w:firstColumn="0" w:lastColumn="0" w:noHBand="1" w:noVBand="1"/>
      </w:tblPr>
      <w:tblGrid>
        <w:gridCol w:w="7350"/>
      </w:tblGrid>
      <w:tr w:rsidR="00F7154D" w:rsidRPr="00160290" w:rsidTr="00A56793">
        <w:tc>
          <w:tcPr>
            <w:tcW w:w="5000" w:type="pct"/>
            <w:vAlign w:val="bottom"/>
          </w:tcPr>
          <w:p w:rsidR="00F7154D" w:rsidRPr="00160290" w:rsidRDefault="00F7154D" w:rsidP="00A56793">
            <w:pPr>
              <w:pStyle w:val="xAccessibilityText"/>
            </w:pPr>
          </w:p>
        </w:tc>
      </w:tr>
    </w:tbl>
    <w:p w:rsidR="004561E6" w:rsidRDefault="004561E6"/>
    <w:p w:rsidR="00BC0ED7" w:rsidRDefault="00BC0ED7"/>
    <w:p w:rsidR="00BC0ED7" w:rsidRDefault="00BC0ED7"/>
    <w:p w:rsidR="00BC0ED7" w:rsidRDefault="00BC0ED7"/>
    <w:p w:rsidR="00BC0ED7" w:rsidRPr="00160290" w:rsidRDefault="00BC0ED7">
      <w:pPr>
        <w:sectPr w:rsidR="00BC0ED7" w:rsidRPr="00160290" w:rsidSect="00C04D98">
          <w:headerReference w:type="even" r:id="rId22"/>
          <w:footerReference w:type="even" r:id="rId23"/>
          <w:headerReference w:type="first" r:id="rId24"/>
          <w:footerReference w:type="first" r:id="rId25"/>
          <w:pgSz w:w="11907" w:h="16840" w:code="9"/>
          <w:pgMar w:top="992" w:right="1559" w:bottom="992" w:left="1797" w:header="284" w:footer="284" w:gutter="0"/>
          <w:cols w:space="708"/>
          <w:titlePg/>
          <w:docGrid w:linePitch="360"/>
        </w:sectPr>
      </w:pPr>
    </w:p>
    <w:p w:rsidR="00567948" w:rsidRPr="008A39F6" w:rsidRDefault="00FC6221" w:rsidP="008A39F6">
      <w:pPr>
        <w:pStyle w:val="Heading1"/>
      </w:pPr>
      <w:bookmarkStart w:id="1" w:name="_Toc481502161"/>
      <w:r>
        <w:lastRenderedPageBreak/>
        <w:t>Contents</w:t>
      </w:r>
      <w:bookmarkStart w:id="2" w:name="_TOCMarker"/>
      <w:bookmarkEnd w:id="1"/>
      <w:bookmarkEnd w:id="2"/>
    </w:p>
    <w:p w:rsidR="003E6C92" w:rsidRDefault="00FC6221">
      <w:pPr>
        <w:pStyle w:val="TOC1"/>
        <w:rPr>
          <w:rFonts w:eastAsiaTheme="minorEastAsia" w:cstheme="minorBidi"/>
          <w:b w:val="0"/>
          <w:color w:val="auto"/>
        </w:rPr>
      </w:pPr>
      <w:r>
        <w:fldChar w:fldCharType="begin"/>
      </w:r>
      <w:r w:rsidR="0062727D">
        <w:instrText xml:space="preserve"> TOC \o "4-4" \h \z \t "Heading 1,1,Heading 2,2,Heading 3,3,Heading 5,5,Heading 1 Top of Page,1,Please Note,2,Preface Title,2,Heading 2 No spacing,2" </w:instrText>
      </w:r>
      <w:r>
        <w:fldChar w:fldCharType="separate"/>
      </w:r>
      <w:hyperlink w:anchor="_Toc481502161" w:history="1">
        <w:r w:rsidR="003E6C92" w:rsidRPr="005F0CC4">
          <w:rPr>
            <w:rStyle w:val="Hyperlink"/>
          </w:rPr>
          <w:t>Contents</w:t>
        </w:r>
        <w:r w:rsidR="003E6C92">
          <w:rPr>
            <w:webHidden/>
          </w:rPr>
          <w:tab/>
        </w:r>
        <w:r w:rsidR="003E6C92">
          <w:rPr>
            <w:webHidden/>
          </w:rPr>
          <w:fldChar w:fldCharType="begin"/>
        </w:r>
        <w:r w:rsidR="003E6C92">
          <w:rPr>
            <w:webHidden/>
          </w:rPr>
          <w:instrText xml:space="preserve"> PAGEREF _Toc481502161 \h </w:instrText>
        </w:r>
        <w:r w:rsidR="003E6C92">
          <w:rPr>
            <w:webHidden/>
          </w:rPr>
        </w:r>
        <w:r w:rsidR="003E6C92">
          <w:rPr>
            <w:webHidden/>
          </w:rPr>
          <w:fldChar w:fldCharType="separate"/>
        </w:r>
        <w:r w:rsidR="00716E0C">
          <w:rPr>
            <w:webHidden/>
          </w:rPr>
          <w:t>1</w:t>
        </w:r>
        <w:r w:rsidR="003E6C92">
          <w:rPr>
            <w:webHidden/>
          </w:rPr>
          <w:fldChar w:fldCharType="end"/>
        </w:r>
      </w:hyperlink>
    </w:p>
    <w:p w:rsidR="003E6C92" w:rsidRDefault="00716E0C">
      <w:pPr>
        <w:pStyle w:val="TOC1"/>
        <w:rPr>
          <w:rFonts w:eastAsiaTheme="minorEastAsia" w:cstheme="minorBidi"/>
          <w:b w:val="0"/>
          <w:color w:val="auto"/>
        </w:rPr>
      </w:pPr>
      <w:hyperlink w:anchor="_Toc481502162" w:history="1">
        <w:r w:rsidR="003E6C92" w:rsidRPr="005F0CC4">
          <w:rPr>
            <w:rStyle w:val="Hyperlink"/>
          </w:rPr>
          <w:t>Acronyms and abbreviations</w:t>
        </w:r>
        <w:r w:rsidR="003E6C92">
          <w:rPr>
            <w:webHidden/>
          </w:rPr>
          <w:tab/>
        </w:r>
        <w:r w:rsidR="003E6C92">
          <w:rPr>
            <w:webHidden/>
          </w:rPr>
          <w:fldChar w:fldCharType="begin"/>
        </w:r>
        <w:r w:rsidR="003E6C92">
          <w:rPr>
            <w:webHidden/>
          </w:rPr>
          <w:instrText xml:space="preserve"> PAGEREF _Toc481502162 \h </w:instrText>
        </w:r>
        <w:r w:rsidR="003E6C92">
          <w:rPr>
            <w:webHidden/>
          </w:rPr>
        </w:r>
        <w:r w:rsidR="003E6C92">
          <w:rPr>
            <w:webHidden/>
          </w:rPr>
          <w:fldChar w:fldCharType="separate"/>
        </w:r>
        <w:r>
          <w:rPr>
            <w:webHidden/>
          </w:rPr>
          <w:t>3</w:t>
        </w:r>
        <w:r w:rsidR="003E6C92">
          <w:rPr>
            <w:webHidden/>
          </w:rPr>
          <w:fldChar w:fldCharType="end"/>
        </w:r>
      </w:hyperlink>
    </w:p>
    <w:p w:rsidR="003E6C92" w:rsidRDefault="00716E0C">
      <w:pPr>
        <w:pStyle w:val="TOC1"/>
        <w:rPr>
          <w:rFonts w:eastAsiaTheme="minorEastAsia" w:cstheme="minorBidi"/>
          <w:b w:val="0"/>
          <w:color w:val="auto"/>
        </w:rPr>
      </w:pPr>
      <w:hyperlink w:anchor="_Toc481502163" w:history="1">
        <w:r w:rsidR="003E6C92" w:rsidRPr="005F0CC4">
          <w:rPr>
            <w:rStyle w:val="Hyperlink"/>
          </w:rPr>
          <w:t>Summary</w:t>
        </w:r>
        <w:r w:rsidR="003E6C92">
          <w:rPr>
            <w:webHidden/>
          </w:rPr>
          <w:tab/>
        </w:r>
        <w:r w:rsidR="003E6C92">
          <w:rPr>
            <w:webHidden/>
          </w:rPr>
          <w:fldChar w:fldCharType="begin"/>
        </w:r>
        <w:r w:rsidR="003E6C92">
          <w:rPr>
            <w:webHidden/>
          </w:rPr>
          <w:instrText xml:space="preserve"> PAGEREF _Toc481502163 \h </w:instrText>
        </w:r>
        <w:r w:rsidR="003E6C92">
          <w:rPr>
            <w:webHidden/>
          </w:rPr>
        </w:r>
        <w:r w:rsidR="003E6C92">
          <w:rPr>
            <w:webHidden/>
          </w:rPr>
          <w:fldChar w:fldCharType="separate"/>
        </w:r>
        <w:r>
          <w:rPr>
            <w:webHidden/>
          </w:rPr>
          <w:t>4</w:t>
        </w:r>
        <w:r w:rsidR="003E6C92">
          <w:rPr>
            <w:webHidden/>
          </w:rPr>
          <w:fldChar w:fldCharType="end"/>
        </w:r>
      </w:hyperlink>
    </w:p>
    <w:p w:rsidR="003E6C92" w:rsidRDefault="00716E0C">
      <w:pPr>
        <w:pStyle w:val="TOC1"/>
        <w:rPr>
          <w:rFonts w:eastAsiaTheme="minorEastAsia" w:cstheme="minorBidi"/>
          <w:b w:val="0"/>
          <w:color w:val="auto"/>
        </w:rPr>
      </w:pPr>
      <w:hyperlink w:anchor="_Toc481502164" w:history="1">
        <w:r w:rsidR="003E6C92" w:rsidRPr="005F0CC4">
          <w:rPr>
            <w:rStyle w:val="Hyperlink"/>
          </w:rPr>
          <w:t>C1</w:t>
        </w:r>
        <w:r w:rsidR="003E6C92">
          <w:rPr>
            <w:rFonts w:eastAsiaTheme="minorEastAsia" w:cstheme="minorBidi"/>
            <w:b w:val="0"/>
            <w:color w:val="auto"/>
          </w:rPr>
          <w:tab/>
        </w:r>
        <w:r w:rsidR="003E6C92" w:rsidRPr="005F0CC4">
          <w:rPr>
            <w:rStyle w:val="Hyperlink"/>
          </w:rPr>
          <w:t>Introduction</w:t>
        </w:r>
        <w:r w:rsidR="003E6C92">
          <w:rPr>
            <w:webHidden/>
          </w:rPr>
          <w:tab/>
        </w:r>
        <w:r w:rsidR="003E6C92">
          <w:rPr>
            <w:webHidden/>
          </w:rPr>
          <w:fldChar w:fldCharType="begin"/>
        </w:r>
        <w:r w:rsidR="003E6C92">
          <w:rPr>
            <w:webHidden/>
          </w:rPr>
          <w:instrText xml:space="preserve"> PAGEREF _Toc481502164 \h </w:instrText>
        </w:r>
        <w:r w:rsidR="003E6C92">
          <w:rPr>
            <w:webHidden/>
          </w:rPr>
        </w:r>
        <w:r w:rsidR="003E6C92">
          <w:rPr>
            <w:webHidden/>
          </w:rPr>
          <w:fldChar w:fldCharType="separate"/>
        </w:r>
        <w:r>
          <w:rPr>
            <w:webHidden/>
          </w:rPr>
          <w:t>7</w:t>
        </w:r>
        <w:r w:rsidR="003E6C92">
          <w:rPr>
            <w:webHidden/>
          </w:rPr>
          <w:fldChar w:fldCharType="end"/>
        </w:r>
      </w:hyperlink>
    </w:p>
    <w:p w:rsidR="003E6C92" w:rsidRDefault="00716E0C">
      <w:pPr>
        <w:pStyle w:val="TOC2"/>
        <w:rPr>
          <w:rFonts w:eastAsiaTheme="minorEastAsia" w:cstheme="minorBidi"/>
          <w:b w:val="0"/>
          <w:sz w:val="22"/>
          <w:szCs w:val="22"/>
        </w:rPr>
      </w:pPr>
      <w:hyperlink w:anchor="_Toc481502165" w:history="1">
        <w:r w:rsidR="003E6C92" w:rsidRPr="005F0CC4">
          <w:rPr>
            <w:rStyle w:val="Hyperlink"/>
          </w:rPr>
          <w:t>C1.1</w:t>
        </w:r>
        <w:r w:rsidR="003E6C92">
          <w:rPr>
            <w:rFonts w:eastAsiaTheme="minorEastAsia" w:cstheme="minorBidi"/>
            <w:b w:val="0"/>
            <w:sz w:val="22"/>
            <w:szCs w:val="22"/>
          </w:rPr>
          <w:tab/>
        </w:r>
        <w:r w:rsidR="003E6C92" w:rsidRPr="005F0CC4">
          <w:rPr>
            <w:rStyle w:val="Hyperlink"/>
          </w:rPr>
          <w:t>The need for regulation</w:t>
        </w:r>
        <w:r w:rsidR="003E6C92">
          <w:rPr>
            <w:webHidden/>
          </w:rPr>
          <w:tab/>
        </w:r>
        <w:r w:rsidR="003E6C92">
          <w:rPr>
            <w:webHidden/>
          </w:rPr>
          <w:fldChar w:fldCharType="begin"/>
        </w:r>
        <w:r w:rsidR="003E6C92">
          <w:rPr>
            <w:webHidden/>
          </w:rPr>
          <w:instrText xml:space="preserve"> PAGEREF _Toc481502165 \h </w:instrText>
        </w:r>
        <w:r w:rsidR="003E6C92">
          <w:rPr>
            <w:webHidden/>
          </w:rPr>
        </w:r>
        <w:r w:rsidR="003E6C92">
          <w:rPr>
            <w:webHidden/>
          </w:rPr>
          <w:fldChar w:fldCharType="separate"/>
        </w:r>
        <w:r>
          <w:rPr>
            <w:webHidden/>
          </w:rPr>
          <w:t>8</w:t>
        </w:r>
        <w:r w:rsidR="003E6C92">
          <w:rPr>
            <w:webHidden/>
          </w:rPr>
          <w:fldChar w:fldCharType="end"/>
        </w:r>
      </w:hyperlink>
    </w:p>
    <w:p w:rsidR="003E6C92" w:rsidRDefault="00716E0C">
      <w:pPr>
        <w:pStyle w:val="TOC2"/>
        <w:rPr>
          <w:rFonts w:eastAsiaTheme="minorEastAsia" w:cstheme="minorBidi"/>
          <w:b w:val="0"/>
          <w:sz w:val="22"/>
          <w:szCs w:val="22"/>
        </w:rPr>
      </w:pPr>
      <w:hyperlink w:anchor="_Toc481502166" w:history="1">
        <w:r w:rsidR="003E6C92" w:rsidRPr="005F0CC4">
          <w:rPr>
            <w:rStyle w:val="Hyperlink"/>
          </w:rPr>
          <w:t>C1.2</w:t>
        </w:r>
        <w:r w:rsidR="003E6C92">
          <w:rPr>
            <w:rFonts w:eastAsiaTheme="minorEastAsia" w:cstheme="minorBidi"/>
            <w:b w:val="0"/>
            <w:sz w:val="22"/>
            <w:szCs w:val="22"/>
          </w:rPr>
          <w:tab/>
        </w:r>
        <w:r w:rsidR="003E6C92" w:rsidRPr="005F0CC4">
          <w:rPr>
            <w:rStyle w:val="Hyperlink"/>
          </w:rPr>
          <w:t>Options</w:t>
        </w:r>
        <w:r w:rsidR="003E6C92">
          <w:rPr>
            <w:webHidden/>
          </w:rPr>
          <w:tab/>
        </w:r>
        <w:r w:rsidR="003E6C92">
          <w:rPr>
            <w:webHidden/>
          </w:rPr>
          <w:fldChar w:fldCharType="begin"/>
        </w:r>
        <w:r w:rsidR="003E6C92">
          <w:rPr>
            <w:webHidden/>
          </w:rPr>
          <w:instrText xml:space="preserve"> PAGEREF _Toc481502166 \h </w:instrText>
        </w:r>
        <w:r w:rsidR="003E6C92">
          <w:rPr>
            <w:webHidden/>
          </w:rPr>
        </w:r>
        <w:r w:rsidR="003E6C92">
          <w:rPr>
            <w:webHidden/>
          </w:rPr>
          <w:fldChar w:fldCharType="separate"/>
        </w:r>
        <w:r>
          <w:rPr>
            <w:webHidden/>
          </w:rPr>
          <w:t>8</w:t>
        </w:r>
        <w:r w:rsidR="003E6C92">
          <w:rPr>
            <w:webHidden/>
          </w:rPr>
          <w:fldChar w:fldCharType="end"/>
        </w:r>
      </w:hyperlink>
    </w:p>
    <w:p w:rsidR="003E6C92" w:rsidRDefault="00716E0C">
      <w:pPr>
        <w:pStyle w:val="TOC1"/>
        <w:rPr>
          <w:rFonts w:eastAsiaTheme="minorEastAsia" w:cstheme="minorBidi"/>
          <w:b w:val="0"/>
          <w:color w:val="auto"/>
        </w:rPr>
      </w:pPr>
      <w:hyperlink w:anchor="_Toc481502167" w:history="1">
        <w:r w:rsidR="003E6C92" w:rsidRPr="005F0CC4">
          <w:rPr>
            <w:rStyle w:val="Hyperlink"/>
          </w:rPr>
          <w:t>C2</w:t>
        </w:r>
        <w:r w:rsidR="003E6C92">
          <w:rPr>
            <w:rFonts w:eastAsiaTheme="minorEastAsia" w:cstheme="minorBidi"/>
            <w:b w:val="0"/>
            <w:color w:val="auto"/>
          </w:rPr>
          <w:tab/>
        </w:r>
        <w:r w:rsidR="003E6C92" w:rsidRPr="005F0CC4">
          <w:rPr>
            <w:rStyle w:val="Hyperlink"/>
          </w:rPr>
          <w:t xml:space="preserve"> Issues with building practitioners</w:t>
        </w:r>
        <w:r w:rsidR="003E6C92">
          <w:rPr>
            <w:webHidden/>
          </w:rPr>
          <w:tab/>
        </w:r>
        <w:r w:rsidR="003E6C92">
          <w:rPr>
            <w:webHidden/>
          </w:rPr>
          <w:fldChar w:fldCharType="begin"/>
        </w:r>
        <w:r w:rsidR="003E6C92">
          <w:rPr>
            <w:webHidden/>
          </w:rPr>
          <w:instrText xml:space="preserve"> PAGEREF _Toc481502167 \h </w:instrText>
        </w:r>
        <w:r w:rsidR="003E6C92">
          <w:rPr>
            <w:webHidden/>
          </w:rPr>
        </w:r>
        <w:r w:rsidR="003E6C92">
          <w:rPr>
            <w:webHidden/>
          </w:rPr>
          <w:fldChar w:fldCharType="separate"/>
        </w:r>
        <w:r>
          <w:rPr>
            <w:webHidden/>
          </w:rPr>
          <w:t>10</w:t>
        </w:r>
        <w:r w:rsidR="003E6C92">
          <w:rPr>
            <w:webHidden/>
          </w:rPr>
          <w:fldChar w:fldCharType="end"/>
        </w:r>
      </w:hyperlink>
    </w:p>
    <w:p w:rsidR="003E6C92" w:rsidRDefault="00716E0C">
      <w:pPr>
        <w:pStyle w:val="TOC2"/>
        <w:rPr>
          <w:rFonts w:eastAsiaTheme="minorEastAsia" w:cstheme="minorBidi"/>
          <w:b w:val="0"/>
          <w:sz w:val="22"/>
          <w:szCs w:val="22"/>
        </w:rPr>
      </w:pPr>
      <w:hyperlink w:anchor="_Toc481502168" w:history="1">
        <w:r w:rsidR="003E6C92" w:rsidRPr="005F0CC4">
          <w:rPr>
            <w:rStyle w:val="Hyperlink"/>
          </w:rPr>
          <w:t>C2.1</w:t>
        </w:r>
        <w:r w:rsidR="003E6C92">
          <w:rPr>
            <w:rFonts w:eastAsiaTheme="minorEastAsia" w:cstheme="minorBidi"/>
            <w:b w:val="0"/>
            <w:sz w:val="22"/>
            <w:szCs w:val="22"/>
          </w:rPr>
          <w:tab/>
        </w:r>
        <w:r w:rsidR="003E6C92" w:rsidRPr="005F0CC4">
          <w:rPr>
            <w:rStyle w:val="Hyperlink"/>
          </w:rPr>
          <w:t>Size of the problem</w:t>
        </w:r>
        <w:r w:rsidR="003E6C92">
          <w:rPr>
            <w:webHidden/>
          </w:rPr>
          <w:tab/>
        </w:r>
        <w:r w:rsidR="003E6C92">
          <w:rPr>
            <w:webHidden/>
          </w:rPr>
          <w:fldChar w:fldCharType="begin"/>
        </w:r>
        <w:r w:rsidR="003E6C92">
          <w:rPr>
            <w:webHidden/>
          </w:rPr>
          <w:instrText xml:space="preserve"> PAGEREF _Toc481502168 \h </w:instrText>
        </w:r>
        <w:r w:rsidR="003E6C92">
          <w:rPr>
            <w:webHidden/>
          </w:rPr>
        </w:r>
        <w:r w:rsidR="003E6C92">
          <w:rPr>
            <w:webHidden/>
          </w:rPr>
          <w:fldChar w:fldCharType="separate"/>
        </w:r>
        <w:r>
          <w:rPr>
            <w:webHidden/>
          </w:rPr>
          <w:t>10</w:t>
        </w:r>
        <w:r w:rsidR="003E6C92">
          <w:rPr>
            <w:webHidden/>
          </w:rPr>
          <w:fldChar w:fldCharType="end"/>
        </w:r>
      </w:hyperlink>
    </w:p>
    <w:p w:rsidR="003E6C92" w:rsidRDefault="00716E0C">
      <w:pPr>
        <w:pStyle w:val="TOC2"/>
        <w:rPr>
          <w:rFonts w:eastAsiaTheme="minorEastAsia" w:cstheme="minorBidi"/>
          <w:b w:val="0"/>
          <w:sz w:val="22"/>
          <w:szCs w:val="22"/>
        </w:rPr>
      </w:pPr>
      <w:hyperlink w:anchor="_Toc481502169" w:history="1">
        <w:r w:rsidR="003E6C92" w:rsidRPr="005F0CC4">
          <w:rPr>
            <w:rStyle w:val="Hyperlink"/>
          </w:rPr>
          <w:t xml:space="preserve">C2.2 </w:t>
        </w:r>
        <w:r w:rsidR="003E6C92">
          <w:rPr>
            <w:rFonts w:eastAsiaTheme="minorEastAsia" w:cstheme="minorBidi"/>
            <w:b w:val="0"/>
            <w:sz w:val="22"/>
            <w:szCs w:val="22"/>
          </w:rPr>
          <w:tab/>
        </w:r>
        <w:r w:rsidR="003E6C92" w:rsidRPr="005F0CC4">
          <w:rPr>
            <w:rStyle w:val="Hyperlink"/>
          </w:rPr>
          <w:t>Domestic builder</w:t>
        </w:r>
        <w:r w:rsidR="003E6C92">
          <w:rPr>
            <w:webHidden/>
          </w:rPr>
          <w:tab/>
        </w:r>
        <w:r w:rsidR="003E6C92">
          <w:rPr>
            <w:webHidden/>
          </w:rPr>
          <w:fldChar w:fldCharType="begin"/>
        </w:r>
        <w:r w:rsidR="003E6C92">
          <w:rPr>
            <w:webHidden/>
          </w:rPr>
          <w:instrText xml:space="preserve"> PAGEREF _Toc481502169 \h </w:instrText>
        </w:r>
        <w:r w:rsidR="003E6C92">
          <w:rPr>
            <w:webHidden/>
          </w:rPr>
        </w:r>
        <w:r w:rsidR="003E6C92">
          <w:rPr>
            <w:webHidden/>
          </w:rPr>
          <w:fldChar w:fldCharType="separate"/>
        </w:r>
        <w:r>
          <w:rPr>
            <w:webHidden/>
          </w:rPr>
          <w:t>10</w:t>
        </w:r>
        <w:r w:rsidR="003E6C92">
          <w:rPr>
            <w:webHidden/>
          </w:rPr>
          <w:fldChar w:fldCharType="end"/>
        </w:r>
      </w:hyperlink>
    </w:p>
    <w:p w:rsidR="003E6C92" w:rsidRDefault="00716E0C">
      <w:pPr>
        <w:pStyle w:val="TOC3"/>
        <w:rPr>
          <w:sz w:val="22"/>
          <w:szCs w:val="22"/>
        </w:rPr>
      </w:pPr>
      <w:hyperlink w:anchor="_Toc481502170" w:history="1">
        <w:r w:rsidR="003E6C92" w:rsidRPr="005F0CC4">
          <w:rPr>
            <w:rStyle w:val="Hyperlink"/>
          </w:rPr>
          <w:t>C2.2.1</w:t>
        </w:r>
        <w:r w:rsidR="003E6C92">
          <w:rPr>
            <w:sz w:val="22"/>
            <w:szCs w:val="22"/>
          </w:rPr>
          <w:tab/>
        </w:r>
        <w:r w:rsidR="003E6C92" w:rsidRPr="005F0CC4">
          <w:rPr>
            <w:rStyle w:val="Hyperlink"/>
          </w:rPr>
          <w:t>Number of domestic builders registered in Victoria</w:t>
        </w:r>
        <w:r w:rsidR="003E6C92">
          <w:rPr>
            <w:webHidden/>
          </w:rPr>
          <w:tab/>
        </w:r>
        <w:r w:rsidR="003E6C92">
          <w:rPr>
            <w:webHidden/>
          </w:rPr>
          <w:fldChar w:fldCharType="begin"/>
        </w:r>
        <w:r w:rsidR="003E6C92">
          <w:rPr>
            <w:webHidden/>
          </w:rPr>
          <w:instrText xml:space="preserve"> PAGEREF _Toc481502170 \h </w:instrText>
        </w:r>
        <w:r w:rsidR="003E6C92">
          <w:rPr>
            <w:webHidden/>
          </w:rPr>
        </w:r>
        <w:r w:rsidR="003E6C92">
          <w:rPr>
            <w:webHidden/>
          </w:rPr>
          <w:fldChar w:fldCharType="separate"/>
        </w:r>
        <w:r>
          <w:rPr>
            <w:webHidden/>
          </w:rPr>
          <w:t>10</w:t>
        </w:r>
        <w:r w:rsidR="003E6C92">
          <w:rPr>
            <w:webHidden/>
          </w:rPr>
          <w:fldChar w:fldCharType="end"/>
        </w:r>
      </w:hyperlink>
    </w:p>
    <w:p w:rsidR="003E6C92" w:rsidRDefault="00716E0C">
      <w:pPr>
        <w:pStyle w:val="TOC3"/>
        <w:rPr>
          <w:sz w:val="22"/>
          <w:szCs w:val="22"/>
        </w:rPr>
      </w:pPr>
      <w:hyperlink w:anchor="_Toc481502171" w:history="1">
        <w:r w:rsidR="003E6C92" w:rsidRPr="005F0CC4">
          <w:rPr>
            <w:rStyle w:val="Hyperlink"/>
          </w:rPr>
          <w:t>C2.2.2</w:t>
        </w:r>
        <w:r w:rsidR="003E6C92">
          <w:rPr>
            <w:sz w:val="22"/>
            <w:szCs w:val="22"/>
          </w:rPr>
          <w:tab/>
        </w:r>
        <w:r w:rsidR="003E6C92" w:rsidRPr="005F0CC4">
          <w:rPr>
            <w:rStyle w:val="Hyperlink"/>
          </w:rPr>
          <w:t>Scope of regulated work</w:t>
        </w:r>
        <w:r w:rsidR="003E6C92">
          <w:rPr>
            <w:webHidden/>
          </w:rPr>
          <w:tab/>
        </w:r>
        <w:r w:rsidR="003E6C92">
          <w:rPr>
            <w:webHidden/>
          </w:rPr>
          <w:fldChar w:fldCharType="begin"/>
        </w:r>
        <w:r w:rsidR="003E6C92">
          <w:rPr>
            <w:webHidden/>
          </w:rPr>
          <w:instrText xml:space="preserve"> PAGEREF _Toc481502171 \h </w:instrText>
        </w:r>
        <w:r w:rsidR="003E6C92">
          <w:rPr>
            <w:webHidden/>
          </w:rPr>
        </w:r>
        <w:r w:rsidR="003E6C92">
          <w:rPr>
            <w:webHidden/>
          </w:rPr>
          <w:fldChar w:fldCharType="separate"/>
        </w:r>
        <w:r>
          <w:rPr>
            <w:webHidden/>
          </w:rPr>
          <w:t>11</w:t>
        </w:r>
        <w:r w:rsidR="003E6C92">
          <w:rPr>
            <w:webHidden/>
          </w:rPr>
          <w:fldChar w:fldCharType="end"/>
        </w:r>
      </w:hyperlink>
    </w:p>
    <w:p w:rsidR="003E6C92" w:rsidRDefault="00716E0C">
      <w:pPr>
        <w:pStyle w:val="TOC3"/>
        <w:rPr>
          <w:sz w:val="22"/>
          <w:szCs w:val="22"/>
        </w:rPr>
      </w:pPr>
      <w:hyperlink w:anchor="_Toc481502172" w:history="1">
        <w:r w:rsidR="003E6C92" w:rsidRPr="005F0CC4">
          <w:rPr>
            <w:rStyle w:val="Hyperlink"/>
          </w:rPr>
          <w:t>C2.2.3</w:t>
        </w:r>
        <w:r w:rsidR="003E6C92">
          <w:rPr>
            <w:sz w:val="22"/>
            <w:szCs w:val="22"/>
          </w:rPr>
          <w:tab/>
        </w:r>
        <w:r w:rsidR="003E6C92" w:rsidRPr="005F0CC4">
          <w:rPr>
            <w:rStyle w:val="Hyperlink"/>
          </w:rPr>
          <w:t>When registration of domestic builders is required</w:t>
        </w:r>
        <w:r w:rsidR="003E6C92">
          <w:rPr>
            <w:webHidden/>
          </w:rPr>
          <w:tab/>
        </w:r>
        <w:r w:rsidR="003E6C92">
          <w:rPr>
            <w:webHidden/>
          </w:rPr>
          <w:fldChar w:fldCharType="begin"/>
        </w:r>
        <w:r w:rsidR="003E6C92">
          <w:rPr>
            <w:webHidden/>
          </w:rPr>
          <w:instrText xml:space="preserve"> PAGEREF _Toc481502172 \h </w:instrText>
        </w:r>
        <w:r w:rsidR="003E6C92">
          <w:rPr>
            <w:webHidden/>
          </w:rPr>
        </w:r>
        <w:r w:rsidR="003E6C92">
          <w:rPr>
            <w:webHidden/>
          </w:rPr>
          <w:fldChar w:fldCharType="separate"/>
        </w:r>
        <w:r>
          <w:rPr>
            <w:webHidden/>
          </w:rPr>
          <w:t>11</w:t>
        </w:r>
        <w:r w:rsidR="003E6C92">
          <w:rPr>
            <w:webHidden/>
          </w:rPr>
          <w:fldChar w:fldCharType="end"/>
        </w:r>
      </w:hyperlink>
    </w:p>
    <w:p w:rsidR="003E6C92" w:rsidRDefault="00716E0C">
      <w:pPr>
        <w:pStyle w:val="TOC3"/>
        <w:rPr>
          <w:sz w:val="22"/>
          <w:szCs w:val="22"/>
        </w:rPr>
      </w:pPr>
      <w:hyperlink w:anchor="_Toc481502173" w:history="1">
        <w:r w:rsidR="003E6C92" w:rsidRPr="005F0CC4">
          <w:rPr>
            <w:rStyle w:val="Hyperlink"/>
          </w:rPr>
          <w:t>C2.2.4</w:t>
        </w:r>
        <w:r w:rsidR="003E6C92">
          <w:rPr>
            <w:sz w:val="22"/>
            <w:szCs w:val="22"/>
          </w:rPr>
          <w:tab/>
        </w:r>
        <w:r w:rsidR="003E6C92" w:rsidRPr="005F0CC4">
          <w:rPr>
            <w:rStyle w:val="Hyperlink"/>
          </w:rPr>
          <w:t>Volume of work undertaken by domestic builders in Victoria</w:t>
        </w:r>
        <w:r w:rsidR="003E6C92">
          <w:rPr>
            <w:webHidden/>
          </w:rPr>
          <w:tab/>
        </w:r>
        <w:r w:rsidR="003E6C92">
          <w:rPr>
            <w:webHidden/>
          </w:rPr>
          <w:fldChar w:fldCharType="begin"/>
        </w:r>
        <w:r w:rsidR="003E6C92">
          <w:rPr>
            <w:webHidden/>
          </w:rPr>
          <w:instrText xml:space="preserve"> PAGEREF _Toc481502173 \h </w:instrText>
        </w:r>
        <w:r w:rsidR="003E6C92">
          <w:rPr>
            <w:webHidden/>
          </w:rPr>
        </w:r>
        <w:r w:rsidR="003E6C92">
          <w:rPr>
            <w:webHidden/>
          </w:rPr>
          <w:fldChar w:fldCharType="separate"/>
        </w:r>
        <w:r>
          <w:rPr>
            <w:webHidden/>
          </w:rPr>
          <w:t>11</w:t>
        </w:r>
        <w:r w:rsidR="003E6C92">
          <w:rPr>
            <w:webHidden/>
          </w:rPr>
          <w:fldChar w:fldCharType="end"/>
        </w:r>
      </w:hyperlink>
    </w:p>
    <w:p w:rsidR="003E6C92" w:rsidRDefault="00716E0C">
      <w:pPr>
        <w:pStyle w:val="TOC3"/>
        <w:rPr>
          <w:sz w:val="22"/>
          <w:szCs w:val="22"/>
        </w:rPr>
      </w:pPr>
      <w:hyperlink w:anchor="_Toc481502174" w:history="1">
        <w:r w:rsidR="003E6C92" w:rsidRPr="005F0CC4">
          <w:rPr>
            <w:rStyle w:val="Hyperlink"/>
          </w:rPr>
          <w:t>C2.2.5</w:t>
        </w:r>
        <w:r w:rsidR="003E6C92">
          <w:rPr>
            <w:sz w:val="22"/>
            <w:szCs w:val="22"/>
          </w:rPr>
          <w:tab/>
        </w:r>
        <w:r w:rsidR="003E6C92" w:rsidRPr="005F0CC4">
          <w:rPr>
            <w:rStyle w:val="Hyperlink"/>
          </w:rPr>
          <w:t>Performance of domestic builders</w:t>
        </w:r>
        <w:r w:rsidR="003E6C92">
          <w:rPr>
            <w:webHidden/>
          </w:rPr>
          <w:tab/>
        </w:r>
        <w:r w:rsidR="003E6C92">
          <w:rPr>
            <w:webHidden/>
          </w:rPr>
          <w:fldChar w:fldCharType="begin"/>
        </w:r>
        <w:r w:rsidR="003E6C92">
          <w:rPr>
            <w:webHidden/>
          </w:rPr>
          <w:instrText xml:space="preserve"> PAGEREF _Toc481502174 \h </w:instrText>
        </w:r>
        <w:r w:rsidR="003E6C92">
          <w:rPr>
            <w:webHidden/>
          </w:rPr>
        </w:r>
        <w:r w:rsidR="003E6C92">
          <w:rPr>
            <w:webHidden/>
          </w:rPr>
          <w:fldChar w:fldCharType="separate"/>
        </w:r>
        <w:r>
          <w:rPr>
            <w:webHidden/>
          </w:rPr>
          <w:t>11</w:t>
        </w:r>
        <w:r w:rsidR="003E6C92">
          <w:rPr>
            <w:webHidden/>
          </w:rPr>
          <w:fldChar w:fldCharType="end"/>
        </w:r>
      </w:hyperlink>
    </w:p>
    <w:p w:rsidR="003E6C92" w:rsidRDefault="00716E0C">
      <w:pPr>
        <w:pStyle w:val="TOC3"/>
        <w:rPr>
          <w:sz w:val="22"/>
          <w:szCs w:val="22"/>
        </w:rPr>
      </w:pPr>
      <w:hyperlink w:anchor="_Toc481502175" w:history="1">
        <w:r w:rsidR="003E6C92" w:rsidRPr="005F0CC4">
          <w:rPr>
            <w:rStyle w:val="Hyperlink"/>
          </w:rPr>
          <w:t>C2.2.6</w:t>
        </w:r>
        <w:r w:rsidR="003E6C92">
          <w:rPr>
            <w:sz w:val="22"/>
            <w:szCs w:val="22"/>
          </w:rPr>
          <w:tab/>
        </w:r>
        <w:r w:rsidR="003E6C92" w:rsidRPr="005F0CC4">
          <w:rPr>
            <w:rStyle w:val="Hyperlink"/>
          </w:rPr>
          <w:t>Discipline of domestic builders</w:t>
        </w:r>
        <w:r w:rsidR="003E6C92">
          <w:rPr>
            <w:webHidden/>
          </w:rPr>
          <w:tab/>
        </w:r>
        <w:r w:rsidR="003E6C92">
          <w:rPr>
            <w:webHidden/>
          </w:rPr>
          <w:fldChar w:fldCharType="begin"/>
        </w:r>
        <w:r w:rsidR="003E6C92">
          <w:rPr>
            <w:webHidden/>
          </w:rPr>
          <w:instrText xml:space="preserve"> PAGEREF _Toc481502175 \h </w:instrText>
        </w:r>
        <w:r w:rsidR="003E6C92">
          <w:rPr>
            <w:webHidden/>
          </w:rPr>
        </w:r>
        <w:r w:rsidR="003E6C92">
          <w:rPr>
            <w:webHidden/>
          </w:rPr>
          <w:fldChar w:fldCharType="separate"/>
        </w:r>
        <w:r>
          <w:rPr>
            <w:webHidden/>
          </w:rPr>
          <w:t>12</w:t>
        </w:r>
        <w:r w:rsidR="003E6C92">
          <w:rPr>
            <w:webHidden/>
          </w:rPr>
          <w:fldChar w:fldCharType="end"/>
        </w:r>
      </w:hyperlink>
    </w:p>
    <w:p w:rsidR="003E6C92" w:rsidRDefault="00716E0C">
      <w:pPr>
        <w:pStyle w:val="TOC3"/>
        <w:rPr>
          <w:sz w:val="22"/>
          <w:szCs w:val="22"/>
        </w:rPr>
      </w:pPr>
      <w:hyperlink w:anchor="_Toc481502176" w:history="1">
        <w:r w:rsidR="003E6C92" w:rsidRPr="005F0CC4">
          <w:rPr>
            <w:rStyle w:val="Hyperlink"/>
          </w:rPr>
          <w:t>C2.2.7</w:t>
        </w:r>
        <w:r w:rsidR="003E6C92">
          <w:rPr>
            <w:sz w:val="22"/>
            <w:szCs w:val="22"/>
          </w:rPr>
          <w:tab/>
        </w:r>
        <w:r w:rsidR="003E6C92" w:rsidRPr="005F0CC4">
          <w:rPr>
            <w:rStyle w:val="Hyperlink"/>
          </w:rPr>
          <w:t>Summary of performance measures</w:t>
        </w:r>
        <w:r w:rsidR="003E6C92">
          <w:rPr>
            <w:webHidden/>
          </w:rPr>
          <w:tab/>
        </w:r>
        <w:r w:rsidR="003E6C92">
          <w:rPr>
            <w:webHidden/>
          </w:rPr>
          <w:fldChar w:fldCharType="begin"/>
        </w:r>
        <w:r w:rsidR="003E6C92">
          <w:rPr>
            <w:webHidden/>
          </w:rPr>
          <w:instrText xml:space="preserve"> PAGEREF _Toc481502176 \h </w:instrText>
        </w:r>
        <w:r w:rsidR="003E6C92">
          <w:rPr>
            <w:webHidden/>
          </w:rPr>
        </w:r>
        <w:r w:rsidR="003E6C92">
          <w:rPr>
            <w:webHidden/>
          </w:rPr>
          <w:fldChar w:fldCharType="separate"/>
        </w:r>
        <w:r>
          <w:rPr>
            <w:webHidden/>
          </w:rPr>
          <w:t>13</w:t>
        </w:r>
        <w:r w:rsidR="003E6C92">
          <w:rPr>
            <w:webHidden/>
          </w:rPr>
          <w:fldChar w:fldCharType="end"/>
        </w:r>
      </w:hyperlink>
    </w:p>
    <w:p w:rsidR="003E6C92" w:rsidRDefault="00716E0C">
      <w:pPr>
        <w:pStyle w:val="TOC2"/>
        <w:rPr>
          <w:rFonts w:eastAsiaTheme="minorEastAsia" w:cstheme="minorBidi"/>
          <w:b w:val="0"/>
          <w:sz w:val="22"/>
          <w:szCs w:val="22"/>
        </w:rPr>
      </w:pPr>
      <w:hyperlink w:anchor="_Toc481502177" w:history="1">
        <w:r w:rsidR="003E6C92" w:rsidRPr="005F0CC4">
          <w:rPr>
            <w:rStyle w:val="Hyperlink"/>
          </w:rPr>
          <w:t>C2.3</w:t>
        </w:r>
        <w:r w:rsidR="003E6C92">
          <w:rPr>
            <w:rFonts w:eastAsiaTheme="minorEastAsia" w:cstheme="minorBidi"/>
            <w:b w:val="0"/>
            <w:sz w:val="22"/>
            <w:szCs w:val="22"/>
          </w:rPr>
          <w:tab/>
        </w:r>
        <w:r w:rsidR="003E6C92" w:rsidRPr="005F0CC4">
          <w:rPr>
            <w:rStyle w:val="Hyperlink"/>
          </w:rPr>
          <w:t>Building surveyor</w:t>
        </w:r>
        <w:r w:rsidR="003E6C92">
          <w:rPr>
            <w:webHidden/>
          </w:rPr>
          <w:tab/>
        </w:r>
        <w:r w:rsidR="003E6C92">
          <w:rPr>
            <w:webHidden/>
          </w:rPr>
          <w:fldChar w:fldCharType="begin"/>
        </w:r>
        <w:r w:rsidR="003E6C92">
          <w:rPr>
            <w:webHidden/>
          </w:rPr>
          <w:instrText xml:space="preserve"> PAGEREF _Toc481502177 \h </w:instrText>
        </w:r>
        <w:r w:rsidR="003E6C92">
          <w:rPr>
            <w:webHidden/>
          </w:rPr>
        </w:r>
        <w:r w:rsidR="003E6C92">
          <w:rPr>
            <w:webHidden/>
          </w:rPr>
          <w:fldChar w:fldCharType="separate"/>
        </w:r>
        <w:r>
          <w:rPr>
            <w:webHidden/>
          </w:rPr>
          <w:t>13</w:t>
        </w:r>
        <w:r w:rsidR="003E6C92">
          <w:rPr>
            <w:webHidden/>
          </w:rPr>
          <w:fldChar w:fldCharType="end"/>
        </w:r>
      </w:hyperlink>
    </w:p>
    <w:p w:rsidR="003E6C92" w:rsidRDefault="00716E0C">
      <w:pPr>
        <w:pStyle w:val="TOC3"/>
        <w:rPr>
          <w:sz w:val="22"/>
          <w:szCs w:val="22"/>
        </w:rPr>
      </w:pPr>
      <w:hyperlink w:anchor="_Toc481502178" w:history="1">
        <w:r w:rsidR="003E6C92" w:rsidRPr="005F0CC4">
          <w:rPr>
            <w:rStyle w:val="Hyperlink"/>
          </w:rPr>
          <w:t>C2.3.1</w:t>
        </w:r>
        <w:r w:rsidR="003E6C92">
          <w:rPr>
            <w:sz w:val="22"/>
            <w:szCs w:val="22"/>
          </w:rPr>
          <w:tab/>
        </w:r>
        <w:r w:rsidR="003E6C92" w:rsidRPr="005F0CC4">
          <w:rPr>
            <w:rStyle w:val="Hyperlink"/>
          </w:rPr>
          <w:t>Scope of regulated work</w:t>
        </w:r>
        <w:r w:rsidR="003E6C92">
          <w:rPr>
            <w:webHidden/>
          </w:rPr>
          <w:tab/>
        </w:r>
        <w:r w:rsidR="003E6C92">
          <w:rPr>
            <w:webHidden/>
          </w:rPr>
          <w:fldChar w:fldCharType="begin"/>
        </w:r>
        <w:r w:rsidR="003E6C92">
          <w:rPr>
            <w:webHidden/>
          </w:rPr>
          <w:instrText xml:space="preserve"> PAGEREF _Toc481502178 \h </w:instrText>
        </w:r>
        <w:r w:rsidR="003E6C92">
          <w:rPr>
            <w:webHidden/>
          </w:rPr>
        </w:r>
        <w:r w:rsidR="003E6C92">
          <w:rPr>
            <w:webHidden/>
          </w:rPr>
          <w:fldChar w:fldCharType="separate"/>
        </w:r>
        <w:r>
          <w:rPr>
            <w:webHidden/>
          </w:rPr>
          <w:t>13</w:t>
        </w:r>
        <w:r w:rsidR="003E6C92">
          <w:rPr>
            <w:webHidden/>
          </w:rPr>
          <w:fldChar w:fldCharType="end"/>
        </w:r>
      </w:hyperlink>
    </w:p>
    <w:p w:rsidR="003E6C92" w:rsidRDefault="00716E0C">
      <w:pPr>
        <w:pStyle w:val="TOC3"/>
        <w:rPr>
          <w:sz w:val="22"/>
          <w:szCs w:val="22"/>
        </w:rPr>
      </w:pPr>
      <w:hyperlink w:anchor="_Toc481502179" w:history="1">
        <w:r w:rsidR="003E6C92" w:rsidRPr="005F0CC4">
          <w:rPr>
            <w:rStyle w:val="Hyperlink"/>
          </w:rPr>
          <w:t>C2.3.2</w:t>
        </w:r>
        <w:r w:rsidR="003E6C92">
          <w:rPr>
            <w:sz w:val="22"/>
            <w:szCs w:val="22"/>
          </w:rPr>
          <w:tab/>
        </w:r>
        <w:r w:rsidR="003E6C92" w:rsidRPr="005F0CC4">
          <w:rPr>
            <w:rStyle w:val="Hyperlink"/>
          </w:rPr>
          <w:t>Volume of work undertaken by registered building surveyors in Victoria</w:t>
        </w:r>
        <w:r w:rsidR="003E6C92">
          <w:rPr>
            <w:webHidden/>
          </w:rPr>
          <w:tab/>
        </w:r>
        <w:r w:rsidR="003E6C92">
          <w:rPr>
            <w:webHidden/>
          </w:rPr>
          <w:fldChar w:fldCharType="begin"/>
        </w:r>
        <w:r w:rsidR="003E6C92">
          <w:rPr>
            <w:webHidden/>
          </w:rPr>
          <w:instrText xml:space="preserve"> PAGEREF _Toc481502179 \h </w:instrText>
        </w:r>
        <w:r w:rsidR="003E6C92">
          <w:rPr>
            <w:webHidden/>
          </w:rPr>
        </w:r>
        <w:r w:rsidR="003E6C92">
          <w:rPr>
            <w:webHidden/>
          </w:rPr>
          <w:fldChar w:fldCharType="separate"/>
        </w:r>
        <w:r>
          <w:rPr>
            <w:webHidden/>
          </w:rPr>
          <w:t>14</w:t>
        </w:r>
        <w:r w:rsidR="003E6C92">
          <w:rPr>
            <w:webHidden/>
          </w:rPr>
          <w:fldChar w:fldCharType="end"/>
        </w:r>
      </w:hyperlink>
    </w:p>
    <w:p w:rsidR="003E6C92" w:rsidRDefault="00716E0C">
      <w:pPr>
        <w:pStyle w:val="TOC3"/>
        <w:rPr>
          <w:sz w:val="22"/>
          <w:szCs w:val="22"/>
        </w:rPr>
      </w:pPr>
      <w:hyperlink w:anchor="_Toc481502180" w:history="1">
        <w:r w:rsidR="003E6C92" w:rsidRPr="005F0CC4">
          <w:rPr>
            <w:rStyle w:val="Hyperlink"/>
          </w:rPr>
          <w:t>C2.3.3</w:t>
        </w:r>
        <w:r w:rsidR="003E6C92">
          <w:rPr>
            <w:sz w:val="22"/>
            <w:szCs w:val="22"/>
          </w:rPr>
          <w:tab/>
        </w:r>
        <w:r w:rsidR="003E6C92" w:rsidRPr="005F0CC4">
          <w:rPr>
            <w:rStyle w:val="Hyperlink"/>
          </w:rPr>
          <w:t>Performance of building surveyors</w:t>
        </w:r>
        <w:r w:rsidR="003E6C92">
          <w:rPr>
            <w:webHidden/>
          </w:rPr>
          <w:tab/>
        </w:r>
        <w:r w:rsidR="003E6C92">
          <w:rPr>
            <w:webHidden/>
          </w:rPr>
          <w:fldChar w:fldCharType="begin"/>
        </w:r>
        <w:r w:rsidR="003E6C92">
          <w:rPr>
            <w:webHidden/>
          </w:rPr>
          <w:instrText xml:space="preserve"> PAGEREF _Toc481502180 \h </w:instrText>
        </w:r>
        <w:r w:rsidR="003E6C92">
          <w:rPr>
            <w:webHidden/>
          </w:rPr>
        </w:r>
        <w:r w:rsidR="003E6C92">
          <w:rPr>
            <w:webHidden/>
          </w:rPr>
          <w:fldChar w:fldCharType="separate"/>
        </w:r>
        <w:r>
          <w:rPr>
            <w:webHidden/>
          </w:rPr>
          <w:t>15</w:t>
        </w:r>
        <w:r w:rsidR="003E6C92">
          <w:rPr>
            <w:webHidden/>
          </w:rPr>
          <w:fldChar w:fldCharType="end"/>
        </w:r>
      </w:hyperlink>
    </w:p>
    <w:p w:rsidR="003E6C92" w:rsidRDefault="00716E0C">
      <w:pPr>
        <w:pStyle w:val="TOC3"/>
        <w:rPr>
          <w:sz w:val="22"/>
          <w:szCs w:val="22"/>
        </w:rPr>
      </w:pPr>
      <w:hyperlink w:anchor="_Toc481502181" w:history="1">
        <w:r w:rsidR="003E6C92" w:rsidRPr="005F0CC4">
          <w:rPr>
            <w:rStyle w:val="Hyperlink"/>
          </w:rPr>
          <w:t>C2.3.4</w:t>
        </w:r>
        <w:r w:rsidR="003E6C92">
          <w:rPr>
            <w:sz w:val="22"/>
            <w:szCs w:val="22"/>
          </w:rPr>
          <w:tab/>
        </w:r>
        <w:r w:rsidR="003E6C92" w:rsidRPr="005F0CC4">
          <w:rPr>
            <w:rStyle w:val="Hyperlink"/>
          </w:rPr>
          <w:t>2011 Compliance with Building Permits report</w:t>
        </w:r>
        <w:r w:rsidR="003E6C92">
          <w:rPr>
            <w:webHidden/>
          </w:rPr>
          <w:tab/>
        </w:r>
        <w:r w:rsidR="003E6C92">
          <w:rPr>
            <w:webHidden/>
          </w:rPr>
          <w:fldChar w:fldCharType="begin"/>
        </w:r>
        <w:r w:rsidR="003E6C92">
          <w:rPr>
            <w:webHidden/>
          </w:rPr>
          <w:instrText xml:space="preserve"> PAGEREF _Toc481502181 \h </w:instrText>
        </w:r>
        <w:r w:rsidR="003E6C92">
          <w:rPr>
            <w:webHidden/>
          </w:rPr>
        </w:r>
        <w:r w:rsidR="003E6C92">
          <w:rPr>
            <w:webHidden/>
          </w:rPr>
          <w:fldChar w:fldCharType="separate"/>
        </w:r>
        <w:r>
          <w:rPr>
            <w:webHidden/>
          </w:rPr>
          <w:t>15</w:t>
        </w:r>
        <w:r w:rsidR="003E6C92">
          <w:rPr>
            <w:webHidden/>
          </w:rPr>
          <w:fldChar w:fldCharType="end"/>
        </w:r>
      </w:hyperlink>
    </w:p>
    <w:p w:rsidR="003E6C92" w:rsidRDefault="00716E0C">
      <w:pPr>
        <w:pStyle w:val="TOC3"/>
        <w:rPr>
          <w:sz w:val="22"/>
          <w:szCs w:val="22"/>
        </w:rPr>
      </w:pPr>
      <w:hyperlink w:anchor="_Toc481502182" w:history="1">
        <w:r w:rsidR="003E6C92" w:rsidRPr="005F0CC4">
          <w:rPr>
            <w:rStyle w:val="Hyperlink"/>
          </w:rPr>
          <w:t>C2.3.5</w:t>
        </w:r>
        <w:r w:rsidR="003E6C92">
          <w:rPr>
            <w:sz w:val="22"/>
            <w:szCs w:val="22"/>
          </w:rPr>
          <w:tab/>
        </w:r>
        <w:r w:rsidR="003E6C92" w:rsidRPr="005F0CC4">
          <w:rPr>
            <w:rStyle w:val="Hyperlink"/>
          </w:rPr>
          <w:t>Discipline of building surveyors</w:t>
        </w:r>
        <w:r w:rsidR="003E6C92">
          <w:rPr>
            <w:webHidden/>
          </w:rPr>
          <w:tab/>
        </w:r>
        <w:r w:rsidR="003E6C92">
          <w:rPr>
            <w:webHidden/>
          </w:rPr>
          <w:fldChar w:fldCharType="begin"/>
        </w:r>
        <w:r w:rsidR="003E6C92">
          <w:rPr>
            <w:webHidden/>
          </w:rPr>
          <w:instrText xml:space="preserve"> PAGEREF _Toc481502182 \h </w:instrText>
        </w:r>
        <w:r w:rsidR="003E6C92">
          <w:rPr>
            <w:webHidden/>
          </w:rPr>
        </w:r>
        <w:r w:rsidR="003E6C92">
          <w:rPr>
            <w:webHidden/>
          </w:rPr>
          <w:fldChar w:fldCharType="separate"/>
        </w:r>
        <w:r>
          <w:rPr>
            <w:webHidden/>
          </w:rPr>
          <w:t>15</w:t>
        </w:r>
        <w:r w:rsidR="003E6C92">
          <w:rPr>
            <w:webHidden/>
          </w:rPr>
          <w:fldChar w:fldCharType="end"/>
        </w:r>
      </w:hyperlink>
    </w:p>
    <w:p w:rsidR="003E6C92" w:rsidRDefault="00716E0C">
      <w:pPr>
        <w:pStyle w:val="TOC2"/>
        <w:rPr>
          <w:rFonts w:eastAsiaTheme="minorEastAsia" w:cstheme="minorBidi"/>
          <w:b w:val="0"/>
          <w:sz w:val="22"/>
          <w:szCs w:val="22"/>
        </w:rPr>
      </w:pPr>
      <w:hyperlink w:anchor="_Toc481502183" w:history="1">
        <w:r w:rsidR="003E6C92" w:rsidRPr="005F0CC4">
          <w:rPr>
            <w:rStyle w:val="Hyperlink"/>
          </w:rPr>
          <w:t>C2.4</w:t>
        </w:r>
        <w:r w:rsidR="003E6C92">
          <w:rPr>
            <w:rFonts w:eastAsiaTheme="minorEastAsia" w:cstheme="minorBidi"/>
            <w:b w:val="0"/>
            <w:sz w:val="22"/>
            <w:szCs w:val="22"/>
          </w:rPr>
          <w:tab/>
        </w:r>
        <w:r w:rsidR="003E6C92" w:rsidRPr="005F0CC4">
          <w:rPr>
            <w:rStyle w:val="Hyperlink"/>
          </w:rPr>
          <w:t>Practitioner issues – qualifications and experience</w:t>
        </w:r>
        <w:r w:rsidR="003E6C92">
          <w:rPr>
            <w:webHidden/>
          </w:rPr>
          <w:tab/>
        </w:r>
        <w:r w:rsidR="003E6C92">
          <w:rPr>
            <w:webHidden/>
          </w:rPr>
          <w:fldChar w:fldCharType="begin"/>
        </w:r>
        <w:r w:rsidR="003E6C92">
          <w:rPr>
            <w:webHidden/>
          </w:rPr>
          <w:instrText xml:space="preserve"> PAGEREF _Toc481502183 \h </w:instrText>
        </w:r>
        <w:r w:rsidR="003E6C92">
          <w:rPr>
            <w:webHidden/>
          </w:rPr>
        </w:r>
        <w:r w:rsidR="003E6C92">
          <w:rPr>
            <w:webHidden/>
          </w:rPr>
          <w:fldChar w:fldCharType="separate"/>
        </w:r>
        <w:r>
          <w:rPr>
            <w:webHidden/>
          </w:rPr>
          <w:t>16</w:t>
        </w:r>
        <w:r w:rsidR="003E6C92">
          <w:rPr>
            <w:webHidden/>
          </w:rPr>
          <w:fldChar w:fldCharType="end"/>
        </w:r>
      </w:hyperlink>
    </w:p>
    <w:p w:rsidR="003E6C92" w:rsidRDefault="00716E0C">
      <w:pPr>
        <w:pStyle w:val="TOC3"/>
        <w:rPr>
          <w:sz w:val="22"/>
          <w:szCs w:val="22"/>
        </w:rPr>
      </w:pPr>
      <w:hyperlink w:anchor="_Toc481502184" w:history="1">
        <w:r w:rsidR="003E6C92" w:rsidRPr="005F0CC4">
          <w:rPr>
            <w:rStyle w:val="Hyperlink"/>
          </w:rPr>
          <w:t>C2.4.1</w:t>
        </w:r>
        <w:r w:rsidR="003E6C92">
          <w:rPr>
            <w:sz w:val="22"/>
            <w:szCs w:val="22"/>
          </w:rPr>
          <w:tab/>
        </w:r>
        <w:r w:rsidR="003E6C92" w:rsidRPr="005F0CC4">
          <w:rPr>
            <w:rStyle w:val="Hyperlink"/>
          </w:rPr>
          <w:t>Assessment of experience</w:t>
        </w:r>
        <w:r w:rsidR="003E6C92">
          <w:rPr>
            <w:webHidden/>
          </w:rPr>
          <w:tab/>
        </w:r>
        <w:r w:rsidR="003E6C92">
          <w:rPr>
            <w:webHidden/>
          </w:rPr>
          <w:fldChar w:fldCharType="begin"/>
        </w:r>
        <w:r w:rsidR="003E6C92">
          <w:rPr>
            <w:webHidden/>
          </w:rPr>
          <w:instrText xml:space="preserve"> PAGEREF _Toc481502184 \h </w:instrText>
        </w:r>
        <w:r w:rsidR="003E6C92">
          <w:rPr>
            <w:webHidden/>
          </w:rPr>
        </w:r>
        <w:r w:rsidR="003E6C92">
          <w:rPr>
            <w:webHidden/>
          </w:rPr>
          <w:fldChar w:fldCharType="separate"/>
        </w:r>
        <w:r>
          <w:rPr>
            <w:webHidden/>
          </w:rPr>
          <w:t>17</w:t>
        </w:r>
        <w:r w:rsidR="003E6C92">
          <w:rPr>
            <w:webHidden/>
          </w:rPr>
          <w:fldChar w:fldCharType="end"/>
        </w:r>
      </w:hyperlink>
    </w:p>
    <w:p w:rsidR="003E6C92" w:rsidRDefault="00716E0C">
      <w:pPr>
        <w:pStyle w:val="TOC1"/>
        <w:rPr>
          <w:rFonts w:eastAsiaTheme="minorEastAsia" w:cstheme="minorBidi"/>
          <w:b w:val="0"/>
          <w:color w:val="auto"/>
        </w:rPr>
      </w:pPr>
      <w:hyperlink w:anchor="_Toc481502185" w:history="1">
        <w:r w:rsidR="003E6C92" w:rsidRPr="005F0CC4">
          <w:rPr>
            <w:rStyle w:val="Hyperlink"/>
          </w:rPr>
          <w:t>C3</w:t>
        </w:r>
        <w:r w:rsidR="003E6C92">
          <w:rPr>
            <w:rFonts w:eastAsiaTheme="minorEastAsia" w:cstheme="minorBidi"/>
            <w:b w:val="0"/>
            <w:color w:val="auto"/>
          </w:rPr>
          <w:tab/>
        </w:r>
        <w:r w:rsidR="003E6C92" w:rsidRPr="005F0CC4">
          <w:rPr>
            <w:rStyle w:val="Hyperlink"/>
          </w:rPr>
          <w:t>Cost-benefit analysis</w:t>
        </w:r>
        <w:r w:rsidR="003E6C92">
          <w:rPr>
            <w:webHidden/>
          </w:rPr>
          <w:tab/>
        </w:r>
        <w:r w:rsidR="003E6C92">
          <w:rPr>
            <w:webHidden/>
          </w:rPr>
          <w:fldChar w:fldCharType="begin"/>
        </w:r>
        <w:r w:rsidR="003E6C92">
          <w:rPr>
            <w:webHidden/>
          </w:rPr>
          <w:instrText xml:space="preserve"> PAGEREF _Toc481502185 \h </w:instrText>
        </w:r>
        <w:r w:rsidR="003E6C92">
          <w:rPr>
            <w:webHidden/>
          </w:rPr>
        </w:r>
        <w:r w:rsidR="003E6C92">
          <w:rPr>
            <w:webHidden/>
          </w:rPr>
          <w:fldChar w:fldCharType="separate"/>
        </w:r>
        <w:r>
          <w:rPr>
            <w:webHidden/>
          </w:rPr>
          <w:t>18</w:t>
        </w:r>
        <w:r w:rsidR="003E6C92">
          <w:rPr>
            <w:webHidden/>
          </w:rPr>
          <w:fldChar w:fldCharType="end"/>
        </w:r>
      </w:hyperlink>
    </w:p>
    <w:p w:rsidR="003E6C92" w:rsidRDefault="00716E0C">
      <w:pPr>
        <w:pStyle w:val="TOC2"/>
        <w:rPr>
          <w:rFonts w:eastAsiaTheme="minorEastAsia" w:cstheme="minorBidi"/>
          <w:b w:val="0"/>
          <w:sz w:val="22"/>
          <w:szCs w:val="22"/>
        </w:rPr>
      </w:pPr>
      <w:hyperlink w:anchor="_Toc481502186" w:history="1">
        <w:r w:rsidR="003E6C92" w:rsidRPr="005F0CC4">
          <w:rPr>
            <w:rStyle w:val="Hyperlink"/>
          </w:rPr>
          <w:t>C3.1</w:t>
        </w:r>
        <w:r w:rsidR="003E6C92">
          <w:rPr>
            <w:rFonts w:eastAsiaTheme="minorEastAsia" w:cstheme="minorBidi"/>
            <w:b w:val="0"/>
            <w:sz w:val="22"/>
            <w:szCs w:val="22"/>
          </w:rPr>
          <w:tab/>
        </w:r>
        <w:r w:rsidR="003E6C92" w:rsidRPr="005F0CC4">
          <w:rPr>
            <w:rStyle w:val="Hyperlink"/>
          </w:rPr>
          <w:t>Approach</w:t>
        </w:r>
        <w:r w:rsidR="003E6C92">
          <w:rPr>
            <w:webHidden/>
          </w:rPr>
          <w:tab/>
        </w:r>
        <w:r w:rsidR="003E6C92">
          <w:rPr>
            <w:webHidden/>
          </w:rPr>
          <w:fldChar w:fldCharType="begin"/>
        </w:r>
        <w:r w:rsidR="003E6C92">
          <w:rPr>
            <w:webHidden/>
          </w:rPr>
          <w:instrText xml:space="preserve"> PAGEREF _Toc481502186 \h </w:instrText>
        </w:r>
        <w:r w:rsidR="003E6C92">
          <w:rPr>
            <w:webHidden/>
          </w:rPr>
        </w:r>
        <w:r w:rsidR="003E6C92">
          <w:rPr>
            <w:webHidden/>
          </w:rPr>
          <w:fldChar w:fldCharType="separate"/>
        </w:r>
        <w:r>
          <w:rPr>
            <w:webHidden/>
          </w:rPr>
          <w:t>18</w:t>
        </w:r>
        <w:r w:rsidR="003E6C92">
          <w:rPr>
            <w:webHidden/>
          </w:rPr>
          <w:fldChar w:fldCharType="end"/>
        </w:r>
      </w:hyperlink>
    </w:p>
    <w:p w:rsidR="003E6C92" w:rsidRDefault="00716E0C">
      <w:pPr>
        <w:pStyle w:val="TOC3"/>
        <w:rPr>
          <w:sz w:val="22"/>
          <w:szCs w:val="22"/>
        </w:rPr>
      </w:pPr>
      <w:hyperlink w:anchor="_Toc481502187" w:history="1">
        <w:r w:rsidR="003E6C92" w:rsidRPr="005F0CC4">
          <w:rPr>
            <w:rStyle w:val="Hyperlink"/>
          </w:rPr>
          <w:t>3.1.1</w:t>
        </w:r>
        <w:r w:rsidR="003E6C92">
          <w:rPr>
            <w:sz w:val="22"/>
            <w:szCs w:val="22"/>
          </w:rPr>
          <w:tab/>
        </w:r>
        <w:r w:rsidR="003E6C92" w:rsidRPr="005F0CC4">
          <w:rPr>
            <w:rStyle w:val="Hyperlink"/>
          </w:rPr>
          <w:t>Sources of data</w:t>
        </w:r>
        <w:r w:rsidR="003E6C92">
          <w:rPr>
            <w:webHidden/>
          </w:rPr>
          <w:tab/>
        </w:r>
        <w:r w:rsidR="003E6C92">
          <w:rPr>
            <w:webHidden/>
          </w:rPr>
          <w:fldChar w:fldCharType="begin"/>
        </w:r>
        <w:r w:rsidR="003E6C92">
          <w:rPr>
            <w:webHidden/>
          </w:rPr>
          <w:instrText xml:space="preserve"> PAGEREF _Toc481502187 \h </w:instrText>
        </w:r>
        <w:r w:rsidR="003E6C92">
          <w:rPr>
            <w:webHidden/>
          </w:rPr>
        </w:r>
        <w:r w:rsidR="003E6C92">
          <w:rPr>
            <w:webHidden/>
          </w:rPr>
          <w:fldChar w:fldCharType="separate"/>
        </w:r>
        <w:r>
          <w:rPr>
            <w:webHidden/>
          </w:rPr>
          <w:t>19</w:t>
        </w:r>
        <w:r w:rsidR="003E6C92">
          <w:rPr>
            <w:webHidden/>
          </w:rPr>
          <w:fldChar w:fldCharType="end"/>
        </w:r>
      </w:hyperlink>
    </w:p>
    <w:p w:rsidR="003E6C92" w:rsidRDefault="00716E0C">
      <w:pPr>
        <w:pStyle w:val="TOC2"/>
        <w:rPr>
          <w:rFonts w:eastAsiaTheme="minorEastAsia" w:cstheme="minorBidi"/>
          <w:b w:val="0"/>
          <w:sz w:val="22"/>
          <w:szCs w:val="22"/>
        </w:rPr>
      </w:pPr>
      <w:hyperlink w:anchor="_Toc481502188" w:history="1">
        <w:r w:rsidR="003E6C92" w:rsidRPr="005F0CC4">
          <w:rPr>
            <w:rStyle w:val="Hyperlink"/>
          </w:rPr>
          <w:t>C3.2</w:t>
        </w:r>
        <w:r w:rsidR="003E6C92">
          <w:rPr>
            <w:rFonts w:eastAsiaTheme="minorEastAsia" w:cstheme="minorBidi"/>
            <w:b w:val="0"/>
            <w:sz w:val="22"/>
            <w:szCs w:val="22"/>
          </w:rPr>
          <w:tab/>
        </w:r>
        <w:r w:rsidR="003E6C92" w:rsidRPr="005F0CC4">
          <w:rPr>
            <w:rStyle w:val="Hyperlink"/>
          </w:rPr>
          <w:t>Prescribed qualifications and classes</w:t>
        </w:r>
        <w:r w:rsidR="003E6C92">
          <w:rPr>
            <w:webHidden/>
          </w:rPr>
          <w:tab/>
        </w:r>
        <w:r w:rsidR="003E6C92">
          <w:rPr>
            <w:webHidden/>
          </w:rPr>
          <w:fldChar w:fldCharType="begin"/>
        </w:r>
        <w:r w:rsidR="003E6C92">
          <w:rPr>
            <w:webHidden/>
          </w:rPr>
          <w:instrText xml:space="preserve"> PAGEREF _Toc481502188 \h </w:instrText>
        </w:r>
        <w:r w:rsidR="003E6C92">
          <w:rPr>
            <w:webHidden/>
          </w:rPr>
        </w:r>
        <w:r w:rsidR="003E6C92">
          <w:rPr>
            <w:webHidden/>
          </w:rPr>
          <w:fldChar w:fldCharType="separate"/>
        </w:r>
        <w:r>
          <w:rPr>
            <w:webHidden/>
          </w:rPr>
          <w:t>19</w:t>
        </w:r>
        <w:r w:rsidR="003E6C92">
          <w:rPr>
            <w:webHidden/>
          </w:rPr>
          <w:fldChar w:fldCharType="end"/>
        </w:r>
      </w:hyperlink>
    </w:p>
    <w:p w:rsidR="003E6C92" w:rsidRDefault="00716E0C">
      <w:pPr>
        <w:pStyle w:val="TOC3"/>
        <w:rPr>
          <w:sz w:val="22"/>
          <w:szCs w:val="22"/>
        </w:rPr>
      </w:pPr>
      <w:hyperlink w:anchor="_Toc481502189" w:history="1">
        <w:r w:rsidR="003E6C92" w:rsidRPr="005F0CC4">
          <w:rPr>
            <w:rStyle w:val="Hyperlink"/>
          </w:rPr>
          <w:t>Option 1 – Remake reg1503</w:t>
        </w:r>
        <w:r w:rsidR="003E6C92">
          <w:rPr>
            <w:webHidden/>
          </w:rPr>
          <w:tab/>
        </w:r>
        <w:r w:rsidR="003E6C92">
          <w:rPr>
            <w:webHidden/>
          </w:rPr>
          <w:fldChar w:fldCharType="begin"/>
        </w:r>
        <w:r w:rsidR="003E6C92">
          <w:rPr>
            <w:webHidden/>
          </w:rPr>
          <w:instrText xml:space="preserve"> PAGEREF _Toc481502189 \h </w:instrText>
        </w:r>
        <w:r w:rsidR="003E6C92">
          <w:rPr>
            <w:webHidden/>
          </w:rPr>
        </w:r>
        <w:r w:rsidR="003E6C92">
          <w:rPr>
            <w:webHidden/>
          </w:rPr>
          <w:fldChar w:fldCharType="separate"/>
        </w:r>
        <w:r>
          <w:rPr>
            <w:webHidden/>
          </w:rPr>
          <w:t>19</w:t>
        </w:r>
        <w:r w:rsidR="003E6C92">
          <w:rPr>
            <w:webHidden/>
          </w:rPr>
          <w:fldChar w:fldCharType="end"/>
        </w:r>
      </w:hyperlink>
    </w:p>
    <w:p w:rsidR="003E6C92" w:rsidRDefault="00716E0C">
      <w:pPr>
        <w:pStyle w:val="TOC4"/>
        <w:rPr>
          <w:rFonts w:eastAsiaTheme="minorEastAsia" w:cstheme="minorBidi"/>
          <w:sz w:val="22"/>
          <w:szCs w:val="22"/>
        </w:rPr>
      </w:pPr>
      <w:hyperlink w:anchor="_Toc481502190" w:history="1">
        <w:r w:rsidR="003E6C92" w:rsidRPr="005F0CC4">
          <w:rPr>
            <w:rStyle w:val="Hyperlink"/>
          </w:rPr>
          <w:t>Base case</w:t>
        </w:r>
        <w:r w:rsidR="003E6C92">
          <w:rPr>
            <w:webHidden/>
          </w:rPr>
          <w:tab/>
        </w:r>
        <w:r w:rsidR="003E6C92">
          <w:rPr>
            <w:webHidden/>
          </w:rPr>
          <w:fldChar w:fldCharType="begin"/>
        </w:r>
        <w:r w:rsidR="003E6C92">
          <w:rPr>
            <w:webHidden/>
          </w:rPr>
          <w:instrText xml:space="preserve"> PAGEREF _Toc481502190 \h </w:instrText>
        </w:r>
        <w:r w:rsidR="003E6C92">
          <w:rPr>
            <w:webHidden/>
          </w:rPr>
        </w:r>
        <w:r w:rsidR="003E6C92">
          <w:rPr>
            <w:webHidden/>
          </w:rPr>
          <w:fldChar w:fldCharType="separate"/>
        </w:r>
        <w:r>
          <w:rPr>
            <w:webHidden/>
          </w:rPr>
          <w:t>19</w:t>
        </w:r>
        <w:r w:rsidR="003E6C92">
          <w:rPr>
            <w:webHidden/>
          </w:rPr>
          <w:fldChar w:fldCharType="end"/>
        </w:r>
      </w:hyperlink>
    </w:p>
    <w:p w:rsidR="003E6C92" w:rsidRDefault="00716E0C">
      <w:pPr>
        <w:pStyle w:val="TOC3"/>
        <w:rPr>
          <w:sz w:val="22"/>
          <w:szCs w:val="22"/>
        </w:rPr>
      </w:pPr>
      <w:hyperlink w:anchor="_Toc481502191" w:history="1">
        <w:r w:rsidR="003E6C92" w:rsidRPr="005F0CC4">
          <w:rPr>
            <w:rStyle w:val="Hyperlink"/>
          </w:rPr>
          <w:t>Option 1.1 – Remove requirement for VBA to be satisfied of experience</w:t>
        </w:r>
        <w:r w:rsidR="003E6C92">
          <w:rPr>
            <w:webHidden/>
          </w:rPr>
          <w:tab/>
        </w:r>
        <w:r w:rsidR="003E6C92">
          <w:rPr>
            <w:webHidden/>
          </w:rPr>
          <w:fldChar w:fldCharType="begin"/>
        </w:r>
        <w:r w:rsidR="003E6C92">
          <w:rPr>
            <w:webHidden/>
          </w:rPr>
          <w:instrText xml:space="preserve"> PAGEREF _Toc481502191 \h </w:instrText>
        </w:r>
        <w:r w:rsidR="003E6C92">
          <w:rPr>
            <w:webHidden/>
          </w:rPr>
        </w:r>
        <w:r w:rsidR="003E6C92">
          <w:rPr>
            <w:webHidden/>
          </w:rPr>
          <w:fldChar w:fldCharType="separate"/>
        </w:r>
        <w:r>
          <w:rPr>
            <w:webHidden/>
          </w:rPr>
          <w:t>24</w:t>
        </w:r>
        <w:r w:rsidR="003E6C92">
          <w:rPr>
            <w:webHidden/>
          </w:rPr>
          <w:fldChar w:fldCharType="end"/>
        </w:r>
      </w:hyperlink>
    </w:p>
    <w:p w:rsidR="003E6C92" w:rsidRDefault="00716E0C">
      <w:pPr>
        <w:pStyle w:val="TOC2"/>
        <w:rPr>
          <w:rFonts w:eastAsiaTheme="minorEastAsia" w:cstheme="minorBidi"/>
          <w:b w:val="0"/>
          <w:sz w:val="22"/>
          <w:szCs w:val="22"/>
        </w:rPr>
      </w:pPr>
      <w:hyperlink w:anchor="_Toc481502192" w:history="1">
        <w:r w:rsidR="003E6C92" w:rsidRPr="005F0CC4">
          <w:rPr>
            <w:rStyle w:val="Hyperlink"/>
          </w:rPr>
          <w:t>C3.3</w:t>
        </w:r>
        <w:r w:rsidR="003E6C92">
          <w:rPr>
            <w:rFonts w:eastAsiaTheme="minorEastAsia" w:cstheme="minorBidi"/>
            <w:b w:val="0"/>
            <w:sz w:val="22"/>
            <w:szCs w:val="22"/>
          </w:rPr>
          <w:tab/>
        </w:r>
        <w:r w:rsidR="003E6C92" w:rsidRPr="005F0CC4">
          <w:rPr>
            <w:rStyle w:val="Hyperlink"/>
          </w:rPr>
          <w:t>Prescribed information related to character</w:t>
        </w:r>
        <w:r w:rsidR="003E6C92">
          <w:rPr>
            <w:webHidden/>
          </w:rPr>
          <w:tab/>
        </w:r>
        <w:r w:rsidR="003E6C92">
          <w:rPr>
            <w:webHidden/>
          </w:rPr>
          <w:fldChar w:fldCharType="begin"/>
        </w:r>
        <w:r w:rsidR="003E6C92">
          <w:rPr>
            <w:webHidden/>
          </w:rPr>
          <w:instrText xml:space="preserve"> PAGEREF _Toc481502192 \h </w:instrText>
        </w:r>
        <w:r w:rsidR="003E6C92">
          <w:rPr>
            <w:webHidden/>
          </w:rPr>
        </w:r>
        <w:r w:rsidR="003E6C92">
          <w:rPr>
            <w:webHidden/>
          </w:rPr>
          <w:fldChar w:fldCharType="separate"/>
        </w:r>
        <w:r>
          <w:rPr>
            <w:webHidden/>
          </w:rPr>
          <w:t>24</w:t>
        </w:r>
        <w:r w:rsidR="003E6C92">
          <w:rPr>
            <w:webHidden/>
          </w:rPr>
          <w:fldChar w:fldCharType="end"/>
        </w:r>
      </w:hyperlink>
    </w:p>
    <w:p w:rsidR="003E6C92" w:rsidRDefault="00716E0C">
      <w:pPr>
        <w:pStyle w:val="TOC3"/>
        <w:rPr>
          <w:sz w:val="22"/>
          <w:szCs w:val="22"/>
        </w:rPr>
      </w:pPr>
      <w:hyperlink w:anchor="_Toc481502193" w:history="1">
        <w:r w:rsidR="003E6C92" w:rsidRPr="005F0CC4">
          <w:rPr>
            <w:rStyle w:val="Hyperlink"/>
          </w:rPr>
          <w:t>Option 2 – Remake reg1509</w:t>
        </w:r>
        <w:r w:rsidR="003E6C92">
          <w:rPr>
            <w:webHidden/>
          </w:rPr>
          <w:tab/>
        </w:r>
        <w:r w:rsidR="003E6C92">
          <w:rPr>
            <w:webHidden/>
          </w:rPr>
          <w:fldChar w:fldCharType="begin"/>
        </w:r>
        <w:r w:rsidR="003E6C92">
          <w:rPr>
            <w:webHidden/>
          </w:rPr>
          <w:instrText xml:space="preserve"> PAGEREF _Toc481502193 \h </w:instrText>
        </w:r>
        <w:r w:rsidR="003E6C92">
          <w:rPr>
            <w:webHidden/>
          </w:rPr>
        </w:r>
        <w:r w:rsidR="003E6C92">
          <w:rPr>
            <w:webHidden/>
          </w:rPr>
          <w:fldChar w:fldCharType="separate"/>
        </w:r>
        <w:r>
          <w:rPr>
            <w:webHidden/>
          </w:rPr>
          <w:t>25</w:t>
        </w:r>
        <w:r w:rsidR="003E6C92">
          <w:rPr>
            <w:webHidden/>
          </w:rPr>
          <w:fldChar w:fldCharType="end"/>
        </w:r>
      </w:hyperlink>
    </w:p>
    <w:p w:rsidR="003E6C92" w:rsidRDefault="00716E0C">
      <w:pPr>
        <w:pStyle w:val="TOC4"/>
        <w:rPr>
          <w:rFonts w:eastAsiaTheme="minorEastAsia" w:cstheme="minorBidi"/>
          <w:sz w:val="22"/>
          <w:szCs w:val="22"/>
        </w:rPr>
      </w:pPr>
      <w:hyperlink w:anchor="_Toc481502194" w:history="1">
        <w:r w:rsidR="003E6C92" w:rsidRPr="005F0CC4">
          <w:rPr>
            <w:rStyle w:val="Hyperlink"/>
          </w:rPr>
          <w:t>Base case</w:t>
        </w:r>
        <w:r w:rsidR="003E6C92">
          <w:rPr>
            <w:webHidden/>
          </w:rPr>
          <w:tab/>
        </w:r>
        <w:r w:rsidR="003E6C92">
          <w:rPr>
            <w:webHidden/>
          </w:rPr>
          <w:fldChar w:fldCharType="begin"/>
        </w:r>
        <w:r w:rsidR="003E6C92">
          <w:rPr>
            <w:webHidden/>
          </w:rPr>
          <w:instrText xml:space="preserve"> PAGEREF _Toc481502194 \h </w:instrText>
        </w:r>
        <w:r w:rsidR="003E6C92">
          <w:rPr>
            <w:webHidden/>
          </w:rPr>
        </w:r>
        <w:r w:rsidR="003E6C92">
          <w:rPr>
            <w:webHidden/>
          </w:rPr>
          <w:fldChar w:fldCharType="separate"/>
        </w:r>
        <w:r>
          <w:rPr>
            <w:webHidden/>
          </w:rPr>
          <w:t>25</w:t>
        </w:r>
        <w:r w:rsidR="003E6C92">
          <w:rPr>
            <w:webHidden/>
          </w:rPr>
          <w:fldChar w:fldCharType="end"/>
        </w:r>
      </w:hyperlink>
    </w:p>
    <w:p w:rsidR="003E6C92" w:rsidRDefault="00716E0C">
      <w:pPr>
        <w:pStyle w:val="TOC3"/>
        <w:rPr>
          <w:sz w:val="22"/>
          <w:szCs w:val="22"/>
        </w:rPr>
      </w:pPr>
      <w:hyperlink w:anchor="_Toc481502195" w:history="1">
        <w:r w:rsidR="003E6C92" w:rsidRPr="005F0CC4">
          <w:rPr>
            <w:rStyle w:val="Hyperlink"/>
          </w:rPr>
          <w:t>Option 2.1 – Reduce the prescribed information to be provided</w:t>
        </w:r>
        <w:r w:rsidR="003E6C92">
          <w:rPr>
            <w:webHidden/>
          </w:rPr>
          <w:tab/>
        </w:r>
        <w:r w:rsidR="003E6C92">
          <w:rPr>
            <w:webHidden/>
          </w:rPr>
          <w:fldChar w:fldCharType="begin"/>
        </w:r>
        <w:r w:rsidR="003E6C92">
          <w:rPr>
            <w:webHidden/>
          </w:rPr>
          <w:instrText xml:space="preserve"> PAGEREF _Toc481502195 \h </w:instrText>
        </w:r>
        <w:r w:rsidR="003E6C92">
          <w:rPr>
            <w:webHidden/>
          </w:rPr>
        </w:r>
        <w:r w:rsidR="003E6C92">
          <w:rPr>
            <w:webHidden/>
          </w:rPr>
          <w:fldChar w:fldCharType="separate"/>
        </w:r>
        <w:r>
          <w:rPr>
            <w:webHidden/>
          </w:rPr>
          <w:t>27</w:t>
        </w:r>
        <w:r w:rsidR="003E6C92">
          <w:rPr>
            <w:webHidden/>
          </w:rPr>
          <w:fldChar w:fldCharType="end"/>
        </w:r>
      </w:hyperlink>
    </w:p>
    <w:p w:rsidR="003E6C92" w:rsidRDefault="00716E0C">
      <w:pPr>
        <w:pStyle w:val="TOC3"/>
        <w:rPr>
          <w:sz w:val="22"/>
          <w:szCs w:val="22"/>
        </w:rPr>
      </w:pPr>
      <w:hyperlink w:anchor="_Toc481502196" w:history="1">
        <w:r w:rsidR="003E6C92" w:rsidRPr="005F0CC4">
          <w:rPr>
            <w:rStyle w:val="Hyperlink"/>
          </w:rPr>
          <w:t>Option 2.2 – Expand the prescribed information to be provided</w:t>
        </w:r>
        <w:r w:rsidR="003E6C92">
          <w:rPr>
            <w:webHidden/>
          </w:rPr>
          <w:tab/>
        </w:r>
        <w:r w:rsidR="003E6C92">
          <w:rPr>
            <w:webHidden/>
          </w:rPr>
          <w:fldChar w:fldCharType="begin"/>
        </w:r>
        <w:r w:rsidR="003E6C92">
          <w:rPr>
            <w:webHidden/>
          </w:rPr>
          <w:instrText xml:space="preserve"> PAGEREF _Toc481502196 \h </w:instrText>
        </w:r>
        <w:r w:rsidR="003E6C92">
          <w:rPr>
            <w:webHidden/>
          </w:rPr>
        </w:r>
        <w:r w:rsidR="003E6C92">
          <w:rPr>
            <w:webHidden/>
          </w:rPr>
          <w:fldChar w:fldCharType="separate"/>
        </w:r>
        <w:r>
          <w:rPr>
            <w:webHidden/>
          </w:rPr>
          <w:t>27</w:t>
        </w:r>
        <w:r w:rsidR="003E6C92">
          <w:rPr>
            <w:webHidden/>
          </w:rPr>
          <w:fldChar w:fldCharType="end"/>
        </w:r>
      </w:hyperlink>
    </w:p>
    <w:p w:rsidR="003E6C92" w:rsidRDefault="00716E0C">
      <w:pPr>
        <w:pStyle w:val="TOC2"/>
        <w:rPr>
          <w:rFonts w:eastAsiaTheme="minorEastAsia" w:cstheme="minorBidi"/>
          <w:b w:val="0"/>
          <w:sz w:val="22"/>
          <w:szCs w:val="22"/>
        </w:rPr>
      </w:pPr>
      <w:hyperlink w:anchor="_Toc481502197" w:history="1">
        <w:r w:rsidR="003E6C92" w:rsidRPr="005F0CC4">
          <w:rPr>
            <w:rStyle w:val="Hyperlink"/>
          </w:rPr>
          <w:t>C3.4</w:t>
        </w:r>
        <w:r w:rsidR="003E6C92">
          <w:rPr>
            <w:rFonts w:eastAsiaTheme="minorEastAsia" w:cstheme="minorBidi"/>
            <w:b w:val="0"/>
            <w:sz w:val="22"/>
            <w:szCs w:val="22"/>
          </w:rPr>
          <w:tab/>
        </w:r>
        <w:r w:rsidR="003E6C92" w:rsidRPr="005F0CC4">
          <w:rPr>
            <w:rStyle w:val="Hyperlink"/>
          </w:rPr>
          <w:t>Professional standards</w:t>
        </w:r>
        <w:r w:rsidR="003E6C92">
          <w:rPr>
            <w:webHidden/>
          </w:rPr>
          <w:tab/>
        </w:r>
        <w:r w:rsidR="003E6C92">
          <w:rPr>
            <w:webHidden/>
          </w:rPr>
          <w:fldChar w:fldCharType="begin"/>
        </w:r>
        <w:r w:rsidR="003E6C92">
          <w:rPr>
            <w:webHidden/>
          </w:rPr>
          <w:instrText xml:space="preserve"> PAGEREF _Toc481502197 \h </w:instrText>
        </w:r>
        <w:r w:rsidR="003E6C92">
          <w:rPr>
            <w:webHidden/>
          </w:rPr>
        </w:r>
        <w:r w:rsidR="003E6C92">
          <w:rPr>
            <w:webHidden/>
          </w:rPr>
          <w:fldChar w:fldCharType="separate"/>
        </w:r>
        <w:r>
          <w:rPr>
            <w:webHidden/>
          </w:rPr>
          <w:t>28</w:t>
        </w:r>
        <w:r w:rsidR="003E6C92">
          <w:rPr>
            <w:webHidden/>
          </w:rPr>
          <w:fldChar w:fldCharType="end"/>
        </w:r>
      </w:hyperlink>
    </w:p>
    <w:p w:rsidR="003E6C92" w:rsidRDefault="00716E0C">
      <w:pPr>
        <w:pStyle w:val="TOC3"/>
        <w:rPr>
          <w:sz w:val="22"/>
          <w:szCs w:val="22"/>
        </w:rPr>
      </w:pPr>
      <w:hyperlink w:anchor="_Toc481502198" w:history="1">
        <w:r w:rsidR="003E6C92" w:rsidRPr="005F0CC4">
          <w:rPr>
            <w:rStyle w:val="Hyperlink"/>
          </w:rPr>
          <w:t>Option 3 – Remake reg1502</w:t>
        </w:r>
        <w:r w:rsidR="003E6C92">
          <w:rPr>
            <w:webHidden/>
          </w:rPr>
          <w:tab/>
        </w:r>
        <w:r w:rsidR="003E6C92">
          <w:rPr>
            <w:webHidden/>
          </w:rPr>
          <w:fldChar w:fldCharType="begin"/>
        </w:r>
        <w:r w:rsidR="003E6C92">
          <w:rPr>
            <w:webHidden/>
          </w:rPr>
          <w:instrText xml:space="preserve"> PAGEREF _Toc481502198 \h </w:instrText>
        </w:r>
        <w:r w:rsidR="003E6C92">
          <w:rPr>
            <w:webHidden/>
          </w:rPr>
        </w:r>
        <w:r w:rsidR="003E6C92">
          <w:rPr>
            <w:webHidden/>
          </w:rPr>
          <w:fldChar w:fldCharType="separate"/>
        </w:r>
        <w:r>
          <w:rPr>
            <w:webHidden/>
          </w:rPr>
          <w:t>28</w:t>
        </w:r>
        <w:r w:rsidR="003E6C92">
          <w:rPr>
            <w:webHidden/>
          </w:rPr>
          <w:fldChar w:fldCharType="end"/>
        </w:r>
      </w:hyperlink>
    </w:p>
    <w:p w:rsidR="003E6C92" w:rsidRDefault="00716E0C">
      <w:pPr>
        <w:pStyle w:val="TOC3"/>
        <w:rPr>
          <w:sz w:val="22"/>
          <w:szCs w:val="22"/>
        </w:rPr>
      </w:pPr>
      <w:hyperlink w:anchor="_Toc481502199" w:history="1">
        <w:r w:rsidR="003E6C92" w:rsidRPr="005F0CC4">
          <w:rPr>
            <w:rStyle w:val="Hyperlink"/>
          </w:rPr>
          <w:t>Option 3.1 – Remake only pt (a) of reg1502</w:t>
        </w:r>
        <w:r w:rsidR="003E6C92">
          <w:rPr>
            <w:webHidden/>
          </w:rPr>
          <w:tab/>
        </w:r>
        <w:r w:rsidR="003E6C92">
          <w:rPr>
            <w:webHidden/>
          </w:rPr>
          <w:fldChar w:fldCharType="begin"/>
        </w:r>
        <w:r w:rsidR="003E6C92">
          <w:rPr>
            <w:webHidden/>
          </w:rPr>
          <w:instrText xml:space="preserve"> PAGEREF _Toc481502199 \h </w:instrText>
        </w:r>
        <w:r w:rsidR="003E6C92">
          <w:rPr>
            <w:webHidden/>
          </w:rPr>
        </w:r>
        <w:r w:rsidR="003E6C92">
          <w:rPr>
            <w:webHidden/>
          </w:rPr>
          <w:fldChar w:fldCharType="separate"/>
        </w:r>
        <w:r>
          <w:rPr>
            <w:webHidden/>
          </w:rPr>
          <w:t>28</w:t>
        </w:r>
        <w:r w:rsidR="003E6C92">
          <w:rPr>
            <w:webHidden/>
          </w:rPr>
          <w:fldChar w:fldCharType="end"/>
        </w:r>
      </w:hyperlink>
    </w:p>
    <w:p w:rsidR="003E6C92" w:rsidRDefault="00716E0C">
      <w:pPr>
        <w:pStyle w:val="TOC2"/>
        <w:rPr>
          <w:rFonts w:eastAsiaTheme="minorEastAsia" w:cstheme="minorBidi"/>
          <w:b w:val="0"/>
          <w:sz w:val="22"/>
          <w:szCs w:val="22"/>
        </w:rPr>
      </w:pPr>
      <w:hyperlink w:anchor="_Toc481502200" w:history="1">
        <w:r w:rsidR="003E6C92" w:rsidRPr="005F0CC4">
          <w:rPr>
            <w:rStyle w:val="Hyperlink"/>
          </w:rPr>
          <w:t>C3.5</w:t>
        </w:r>
        <w:r w:rsidR="003E6C92">
          <w:rPr>
            <w:rFonts w:eastAsiaTheme="minorEastAsia" w:cstheme="minorBidi"/>
            <w:b w:val="0"/>
            <w:sz w:val="22"/>
            <w:szCs w:val="22"/>
          </w:rPr>
          <w:tab/>
        </w:r>
        <w:r w:rsidR="003E6C92" w:rsidRPr="005F0CC4">
          <w:rPr>
            <w:rStyle w:val="Hyperlink"/>
          </w:rPr>
          <w:t>Period during which a private building surveyor cannot act</w:t>
        </w:r>
        <w:r w:rsidR="003E6C92">
          <w:rPr>
            <w:webHidden/>
          </w:rPr>
          <w:tab/>
        </w:r>
        <w:r w:rsidR="003E6C92">
          <w:rPr>
            <w:webHidden/>
          </w:rPr>
          <w:fldChar w:fldCharType="begin"/>
        </w:r>
        <w:r w:rsidR="003E6C92">
          <w:rPr>
            <w:webHidden/>
          </w:rPr>
          <w:instrText xml:space="preserve"> PAGEREF _Toc481502200 \h </w:instrText>
        </w:r>
        <w:r w:rsidR="003E6C92">
          <w:rPr>
            <w:webHidden/>
          </w:rPr>
        </w:r>
        <w:r w:rsidR="003E6C92">
          <w:rPr>
            <w:webHidden/>
          </w:rPr>
          <w:fldChar w:fldCharType="separate"/>
        </w:r>
        <w:r>
          <w:rPr>
            <w:webHidden/>
          </w:rPr>
          <w:t>30</w:t>
        </w:r>
        <w:r w:rsidR="003E6C92">
          <w:rPr>
            <w:webHidden/>
          </w:rPr>
          <w:fldChar w:fldCharType="end"/>
        </w:r>
      </w:hyperlink>
    </w:p>
    <w:p w:rsidR="003E6C92" w:rsidRDefault="00716E0C">
      <w:pPr>
        <w:pStyle w:val="TOC4"/>
        <w:rPr>
          <w:rFonts w:eastAsiaTheme="minorEastAsia" w:cstheme="minorBidi"/>
          <w:sz w:val="22"/>
          <w:szCs w:val="22"/>
        </w:rPr>
      </w:pPr>
      <w:hyperlink w:anchor="_Toc481502201" w:history="1">
        <w:r w:rsidR="003E6C92" w:rsidRPr="005F0CC4">
          <w:rPr>
            <w:rStyle w:val="Hyperlink"/>
          </w:rPr>
          <w:t>Base case</w:t>
        </w:r>
        <w:r w:rsidR="003E6C92">
          <w:rPr>
            <w:webHidden/>
          </w:rPr>
          <w:tab/>
        </w:r>
        <w:r w:rsidR="003E6C92">
          <w:rPr>
            <w:webHidden/>
          </w:rPr>
          <w:fldChar w:fldCharType="begin"/>
        </w:r>
        <w:r w:rsidR="003E6C92">
          <w:rPr>
            <w:webHidden/>
          </w:rPr>
          <w:instrText xml:space="preserve"> PAGEREF _Toc481502201 \h </w:instrText>
        </w:r>
        <w:r w:rsidR="003E6C92">
          <w:rPr>
            <w:webHidden/>
          </w:rPr>
        </w:r>
        <w:r w:rsidR="003E6C92">
          <w:rPr>
            <w:webHidden/>
          </w:rPr>
          <w:fldChar w:fldCharType="separate"/>
        </w:r>
        <w:r>
          <w:rPr>
            <w:webHidden/>
          </w:rPr>
          <w:t>30</w:t>
        </w:r>
        <w:r w:rsidR="003E6C92">
          <w:rPr>
            <w:webHidden/>
          </w:rPr>
          <w:fldChar w:fldCharType="end"/>
        </w:r>
      </w:hyperlink>
    </w:p>
    <w:p w:rsidR="003E6C92" w:rsidRDefault="00716E0C">
      <w:pPr>
        <w:pStyle w:val="TOC3"/>
        <w:rPr>
          <w:sz w:val="22"/>
          <w:szCs w:val="22"/>
        </w:rPr>
      </w:pPr>
      <w:hyperlink w:anchor="_Toc481502202" w:history="1">
        <w:r w:rsidR="003E6C92" w:rsidRPr="005F0CC4">
          <w:rPr>
            <w:rStyle w:val="Hyperlink"/>
            <w:rFonts w:eastAsiaTheme="majorEastAsia"/>
          </w:rPr>
          <w:t>Option 4 – Remake reg 1504</w:t>
        </w:r>
        <w:r w:rsidR="003E6C92">
          <w:rPr>
            <w:webHidden/>
          </w:rPr>
          <w:tab/>
        </w:r>
        <w:r w:rsidR="003E6C92">
          <w:rPr>
            <w:webHidden/>
          </w:rPr>
          <w:fldChar w:fldCharType="begin"/>
        </w:r>
        <w:r w:rsidR="003E6C92">
          <w:rPr>
            <w:webHidden/>
          </w:rPr>
          <w:instrText xml:space="preserve"> PAGEREF _Toc481502202 \h </w:instrText>
        </w:r>
        <w:r w:rsidR="003E6C92">
          <w:rPr>
            <w:webHidden/>
          </w:rPr>
        </w:r>
        <w:r w:rsidR="003E6C92">
          <w:rPr>
            <w:webHidden/>
          </w:rPr>
          <w:fldChar w:fldCharType="separate"/>
        </w:r>
        <w:r>
          <w:rPr>
            <w:webHidden/>
          </w:rPr>
          <w:t>31</w:t>
        </w:r>
        <w:r w:rsidR="003E6C92">
          <w:rPr>
            <w:webHidden/>
          </w:rPr>
          <w:fldChar w:fldCharType="end"/>
        </w:r>
      </w:hyperlink>
    </w:p>
    <w:p w:rsidR="003E6C92" w:rsidRDefault="00716E0C">
      <w:pPr>
        <w:pStyle w:val="TOC3"/>
        <w:rPr>
          <w:sz w:val="22"/>
          <w:szCs w:val="22"/>
        </w:rPr>
      </w:pPr>
      <w:hyperlink w:anchor="_Toc481502203" w:history="1">
        <w:r w:rsidR="003E6C92" w:rsidRPr="005F0CC4">
          <w:rPr>
            <w:rStyle w:val="Hyperlink"/>
          </w:rPr>
          <w:t>Option 4.1 – Reduce the prescribed period to six months</w:t>
        </w:r>
        <w:r w:rsidR="003E6C92">
          <w:rPr>
            <w:webHidden/>
          </w:rPr>
          <w:tab/>
        </w:r>
        <w:r w:rsidR="003E6C92">
          <w:rPr>
            <w:webHidden/>
          </w:rPr>
          <w:fldChar w:fldCharType="begin"/>
        </w:r>
        <w:r w:rsidR="003E6C92">
          <w:rPr>
            <w:webHidden/>
          </w:rPr>
          <w:instrText xml:space="preserve"> PAGEREF _Toc481502203 \h </w:instrText>
        </w:r>
        <w:r w:rsidR="003E6C92">
          <w:rPr>
            <w:webHidden/>
          </w:rPr>
        </w:r>
        <w:r w:rsidR="003E6C92">
          <w:rPr>
            <w:webHidden/>
          </w:rPr>
          <w:fldChar w:fldCharType="separate"/>
        </w:r>
        <w:r>
          <w:rPr>
            <w:webHidden/>
          </w:rPr>
          <w:t>32</w:t>
        </w:r>
        <w:r w:rsidR="003E6C92">
          <w:rPr>
            <w:webHidden/>
          </w:rPr>
          <w:fldChar w:fldCharType="end"/>
        </w:r>
      </w:hyperlink>
    </w:p>
    <w:p w:rsidR="003E6C92" w:rsidRDefault="00716E0C">
      <w:pPr>
        <w:pStyle w:val="TOC3"/>
        <w:rPr>
          <w:sz w:val="22"/>
          <w:szCs w:val="22"/>
        </w:rPr>
      </w:pPr>
      <w:hyperlink w:anchor="_Toc481502204" w:history="1">
        <w:r w:rsidR="003E6C92" w:rsidRPr="005F0CC4">
          <w:rPr>
            <w:rStyle w:val="Hyperlink"/>
          </w:rPr>
          <w:t>Option 4.2 – Increase the prescribed period to two years</w:t>
        </w:r>
        <w:r w:rsidR="003E6C92">
          <w:rPr>
            <w:webHidden/>
          </w:rPr>
          <w:tab/>
        </w:r>
        <w:r w:rsidR="003E6C92">
          <w:rPr>
            <w:webHidden/>
          </w:rPr>
          <w:fldChar w:fldCharType="begin"/>
        </w:r>
        <w:r w:rsidR="003E6C92">
          <w:rPr>
            <w:webHidden/>
          </w:rPr>
          <w:instrText xml:space="preserve"> PAGEREF _Toc481502204 \h </w:instrText>
        </w:r>
        <w:r w:rsidR="003E6C92">
          <w:rPr>
            <w:webHidden/>
          </w:rPr>
        </w:r>
        <w:r w:rsidR="003E6C92">
          <w:rPr>
            <w:webHidden/>
          </w:rPr>
          <w:fldChar w:fldCharType="separate"/>
        </w:r>
        <w:r>
          <w:rPr>
            <w:webHidden/>
          </w:rPr>
          <w:t>32</w:t>
        </w:r>
        <w:r w:rsidR="003E6C92">
          <w:rPr>
            <w:webHidden/>
          </w:rPr>
          <w:fldChar w:fldCharType="end"/>
        </w:r>
      </w:hyperlink>
    </w:p>
    <w:p w:rsidR="003E6C92" w:rsidRDefault="00716E0C">
      <w:pPr>
        <w:pStyle w:val="TOC2"/>
        <w:rPr>
          <w:rFonts w:eastAsiaTheme="minorEastAsia" w:cstheme="minorBidi"/>
          <w:b w:val="0"/>
          <w:sz w:val="22"/>
          <w:szCs w:val="22"/>
        </w:rPr>
      </w:pPr>
      <w:hyperlink w:anchor="_Toc481502205" w:history="1">
        <w:r w:rsidR="003E6C92" w:rsidRPr="005F0CC4">
          <w:rPr>
            <w:rStyle w:val="Hyperlink"/>
          </w:rPr>
          <w:t>C3.6</w:t>
        </w:r>
        <w:r w:rsidR="003E6C92">
          <w:rPr>
            <w:rFonts w:eastAsiaTheme="minorEastAsia" w:cstheme="minorBidi"/>
            <w:b w:val="0"/>
            <w:sz w:val="22"/>
            <w:szCs w:val="22"/>
          </w:rPr>
          <w:tab/>
        </w:r>
        <w:r w:rsidR="003E6C92" w:rsidRPr="005F0CC4">
          <w:rPr>
            <w:rStyle w:val="Hyperlink"/>
          </w:rPr>
          <w:t>Other topics</w:t>
        </w:r>
        <w:r w:rsidR="003E6C92">
          <w:rPr>
            <w:webHidden/>
          </w:rPr>
          <w:tab/>
        </w:r>
        <w:r w:rsidR="003E6C92">
          <w:rPr>
            <w:webHidden/>
          </w:rPr>
          <w:fldChar w:fldCharType="begin"/>
        </w:r>
        <w:r w:rsidR="003E6C92">
          <w:rPr>
            <w:webHidden/>
          </w:rPr>
          <w:instrText xml:space="preserve"> PAGEREF _Toc481502205 \h </w:instrText>
        </w:r>
        <w:r w:rsidR="003E6C92">
          <w:rPr>
            <w:webHidden/>
          </w:rPr>
        </w:r>
        <w:r w:rsidR="003E6C92">
          <w:rPr>
            <w:webHidden/>
          </w:rPr>
          <w:fldChar w:fldCharType="separate"/>
        </w:r>
        <w:r>
          <w:rPr>
            <w:webHidden/>
          </w:rPr>
          <w:t>32</w:t>
        </w:r>
        <w:r w:rsidR="003E6C92">
          <w:rPr>
            <w:webHidden/>
          </w:rPr>
          <w:fldChar w:fldCharType="end"/>
        </w:r>
      </w:hyperlink>
    </w:p>
    <w:p w:rsidR="003E6C92" w:rsidRDefault="00716E0C">
      <w:pPr>
        <w:pStyle w:val="TOC3"/>
        <w:rPr>
          <w:sz w:val="22"/>
          <w:szCs w:val="22"/>
        </w:rPr>
      </w:pPr>
      <w:hyperlink w:anchor="_Toc481502206" w:history="1">
        <w:r w:rsidR="003E6C92" w:rsidRPr="005F0CC4">
          <w:rPr>
            <w:rStyle w:val="Hyperlink"/>
          </w:rPr>
          <w:t>Option 5 – Prescribe application forms and other documents to be provided with an application</w:t>
        </w:r>
        <w:r w:rsidR="003E6C92">
          <w:rPr>
            <w:webHidden/>
          </w:rPr>
          <w:tab/>
        </w:r>
        <w:r w:rsidR="003E6C92">
          <w:rPr>
            <w:webHidden/>
          </w:rPr>
          <w:fldChar w:fldCharType="begin"/>
        </w:r>
        <w:r w:rsidR="003E6C92">
          <w:rPr>
            <w:webHidden/>
          </w:rPr>
          <w:instrText xml:space="preserve"> PAGEREF _Toc481502206 \h </w:instrText>
        </w:r>
        <w:r w:rsidR="003E6C92">
          <w:rPr>
            <w:webHidden/>
          </w:rPr>
        </w:r>
        <w:r w:rsidR="003E6C92">
          <w:rPr>
            <w:webHidden/>
          </w:rPr>
          <w:fldChar w:fldCharType="separate"/>
        </w:r>
        <w:r>
          <w:rPr>
            <w:webHidden/>
          </w:rPr>
          <w:t>32</w:t>
        </w:r>
        <w:r w:rsidR="003E6C92">
          <w:rPr>
            <w:webHidden/>
          </w:rPr>
          <w:fldChar w:fldCharType="end"/>
        </w:r>
      </w:hyperlink>
    </w:p>
    <w:p w:rsidR="003E6C92" w:rsidRDefault="00716E0C">
      <w:pPr>
        <w:pStyle w:val="TOC3"/>
        <w:rPr>
          <w:sz w:val="22"/>
          <w:szCs w:val="22"/>
        </w:rPr>
      </w:pPr>
      <w:hyperlink w:anchor="_Toc481502207" w:history="1">
        <w:r w:rsidR="003E6C92" w:rsidRPr="005F0CC4">
          <w:rPr>
            <w:rStyle w:val="Hyperlink"/>
          </w:rPr>
          <w:t>Option 6 – Require a statutory declaration that the applicant, not a third party, prepared the application</w:t>
        </w:r>
        <w:r w:rsidR="003E6C92">
          <w:rPr>
            <w:webHidden/>
          </w:rPr>
          <w:tab/>
        </w:r>
        <w:r w:rsidR="003E6C92">
          <w:rPr>
            <w:webHidden/>
          </w:rPr>
          <w:fldChar w:fldCharType="begin"/>
        </w:r>
        <w:r w:rsidR="003E6C92">
          <w:rPr>
            <w:webHidden/>
          </w:rPr>
          <w:instrText xml:space="preserve"> PAGEREF _Toc481502207 \h </w:instrText>
        </w:r>
        <w:r w:rsidR="003E6C92">
          <w:rPr>
            <w:webHidden/>
          </w:rPr>
        </w:r>
        <w:r w:rsidR="003E6C92">
          <w:rPr>
            <w:webHidden/>
          </w:rPr>
          <w:fldChar w:fldCharType="separate"/>
        </w:r>
        <w:r>
          <w:rPr>
            <w:webHidden/>
          </w:rPr>
          <w:t>32</w:t>
        </w:r>
        <w:r w:rsidR="003E6C92">
          <w:rPr>
            <w:webHidden/>
          </w:rPr>
          <w:fldChar w:fldCharType="end"/>
        </w:r>
      </w:hyperlink>
    </w:p>
    <w:p w:rsidR="00011DF3" w:rsidRDefault="00011DF3">
      <w:pPr>
        <w:spacing w:after="0"/>
        <w:rPr>
          <w:rStyle w:val="Hyperlink"/>
          <w:b/>
          <w:noProof/>
          <w:sz w:val="22"/>
          <w:szCs w:val="22"/>
        </w:rPr>
      </w:pPr>
      <w:r>
        <w:rPr>
          <w:rStyle w:val="Hyperlink"/>
        </w:rPr>
        <w:br w:type="page"/>
      </w:r>
    </w:p>
    <w:p w:rsidR="003E6C92" w:rsidRDefault="00716E0C">
      <w:pPr>
        <w:pStyle w:val="TOC1"/>
        <w:rPr>
          <w:rFonts w:eastAsiaTheme="minorEastAsia" w:cstheme="minorBidi"/>
          <w:b w:val="0"/>
          <w:color w:val="auto"/>
        </w:rPr>
      </w:pPr>
      <w:hyperlink w:anchor="_Toc481502208" w:history="1">
        <w:r w:rsidR="003E6C92" w:rsidRPr="005F0CC4">
          <w:rPr>
            <w:rStyle w:val="Hyperlink"/>
          </w:rPr>
          <w:t>C4</w:t>
        </w:r>
        <w:r w:rsidR="003E6C92">
          <w:rPr>
            <w:rFonts w:eastAsiaTheme="minorEastAsia" w:cstheme="minorBidi"/>
            <w:b w:val="0"/>
            <w:color w:val="auto"/>
          </w:rPr>
          <w:tab/>
        </w:r>
        <w:r w:rsidR="003E6C92" w:rsidRPr="005F0CC4">
          <w:rPr>
            <w:rStyle w:val="Hyperlink"/>
          </w:rPr>
          <w:t>Competition and small business impacts</w:t>
        </w:r>
        <w:r w:rsidR="003E6C92">
          <w:rPr>
            <w:webHidden/>
          </w:rPr>
          <w:tab/>
        </w:r>
        <w:r w:rsidR="003E6C92">
          <w:rPr>
            <w:webHidden/>
          </w:rPr>
          <w:fldChar w:fldCharType="begin"/>
        </w:r>
        <w:r w:rsidR="003E6C92">
          <w:rPr>
            <w:webHidden/>
          </w:rPr>
          <w:instrText xml:space="preserve"> PAGEREF _Toc481502208 \h </w:instrText>
        </w:r>
        <w:r w:rsidR="003E6C92">
          <w:rPr>
            <w:webHidden/>
          </w:rPr>
        </w:r>
        <w:r w:rsidR="003E6C92">
          <w:rPr>
            <w:webHidden/>
          </w:rPr>
          <w:fldChar w:fldCharType="separate"/>
        </w:r>
        <w:r>
          <w:rPr>
            <w:webHidden/>
          </w:rPr>
          <w:t>35</w:t>
        </w:r>
        <w:r w:rsidR="003E6C92">
          <w:rPr>
            <w:webHidden/>
          </w:rPr>
          <w:fldChar w:fldCharType="end"/>
        </w:r>
      </w:hyperlink>
    </w:p>
    <w:p w:rsidR="003E6C92" w:rsidRDefault="00716E0C">
      <w:pPr>
        <w:pStyle w:val="TOC2"/>
        <w:rPr>
          <w:rFonts w:eastAsiaTheme="minorEastAsia" w:cstheme="minorBidi"/>
          <w:b w:val="0"/>
          <w:sz w:val="22"/>
          <w:szCs w:val="22"/>
        </w:rPr>
      </w:pPr>
      <w:hyperlink w:anchor="_Toc481502209" w:history="1">
        <w:r w:rsidR="003E6C92" w:rsidRPr="005F0CC4">
          <w:rPr>
            <w:rStyle w:val="Hyperlink"/>
          </w:rPr>
          <w:t>C4.1</w:t>
        </w:r>
        <w:r w:rsidR="003E6C92">
          <w:rPr>
            <w:rFonts w:eastAsiaTheme="minorEastAsia" w:cstheme="minorBidi"/>
            <w:b w:val="0"/>
            <w:sz w:val="22"/>
            <w:szCs w:val="22"/>
          </w:rPr>
          <w:tab/>
        </w:r>
        <w:r w:rsidR="003E6C92" w:rsidRPr="005F0CC4">
          <w:rPr>
            <w:rStyle w:val="Hyperlink"/>
          </w:rPr>
          <w:t>Competition impacts</w:t>
        </w:r>
        <w:r w:rsidR="003E6C92">
          <w:rPr>
            <w:webHidden/>
          </w:rPr>
          <w:tab/>
        </w:r>
        <w:r w:rsidR="003E6C92">
          <w:rPr>
            <w:webHidden/>
          </w:rPr>
          <w:fldChar w:fldCharType="begin"/>
        </w:r>
        <w:r w:rsidR="003E6C92">
          <w:rPr>
            <w:webHidden/>
          </w:rPr>
          <w:instrText xml:space="preserve"> PAGEREF _Toc481502209 \h </w:instrText>
        </w:r>
        <w:r w:rsidR="003E6C92">
          <w:rPr>
            <w:webHidden/>
          </w:rPr>
        </w:r>
        <w:r w:rsidR="003E6C92">
          <w:rPr>
            <w:webHidden/>
          </w:rPr>
          <w:fldChar w:fldCharType="separate"/>
        </w:r>
        <w:r>
          <w:rPr>
            <w:webHidden/>
          </w:rPr>
          <w:t>35</w:t>
        </w:r>
        <w:r w:rsidR="003E6C92">
          <w:rPr>
            <w:webHidden/>
          </w:rPr>
          <w:fldChar w:fldCharType="end"/>
        </w:r>
      </w:hyperlink>
    </w:p>
    <w:p w:rsidR="003E6C92" w:rsidRDefault="00716E0C">
      <w:pPr>
        <w:pStyle w:val="TOC2"/>
        <w:rPr>
          <w:rFonts w:eastAsiaTheme="minorEastAsia" w:cstheme="minorBidi"/>
          <w:b w:val="0"/>
          <w:sz w:val="22"/>
          <w:szCs w:val="22"/>
        </w:rPr>
      </w:pPr>
      <w:hyperlink w:anchor="_Toc481502210" w:history="1">
        <w:r w:rsidR="003E6C92" w:rsidRPr="005F0CC4">
          <w:rPr>
            <w:rStyle w:val="Hyperlink"/>
          </w:rPr>
          <w:t>C4.2</w:t>
        </w:r>
        <w:r w:rsidR="003E6C92">
          <w:rPr>
            <w:rFonts w:eastAsiaTheme="minorEastAsia" w:cstheme="minorBidi"/>
            <w:b w:val="0"/>
            <w:sz w:val="22"/>
            <w:szCs w:val="22"/>
          </w:rPr>
          <w:tab/>
        </w:r>
        <w:r w:rsidR="003E6C92" w:rsidRPr="005F0CC4">
          <w:rPr>
            <w:rStyle w:val="Hyperlink"/>
          </w:rPr>
          <w:t>Small business impacts</w:t>
        </w:r>
        <w:r w:rsidR="003E6C92">
          <w:rPr>
            <w:webHidden/>
          </w:rPr>
          <w:tab/>
        </w:r>
        <w:r w:rsidR="003E6C92">
          <w:rPr>
            <w:webHidden/>
          </w:rPr>
          <w:fldChar w:fldCharType="begin"/>
        </w:r>
        <w:r w:rsidR="003E6C92">
          <w:rPr>
            <w:webHidden/>
          </w:rPr>
          <w:instrText xml:space="preserve"> PAGEREF _Toc481502210 \h </w:instrText>
        </w:r>
        <w:r w:rsidR="003E6C92">
          <w:rPr>
            <w:webHidden/>
          </w:rPr>
        </w:r>
        <w:r w:rsidR="003E6C92">
          <w:rPr>
            <w:webHidden/>
          </w:rPr>
          <w:fldChar w:fldCharType="separate"/>
        </w:r>
        <w:r>
          <w:rPr>
            <w:webHidden/>
          </w:rPr>
          <w:t>35</w:t>
        </w:r>
        <w:r w:rsidR="003E6C92">
          <w:rPr>
            <w:webHidden/>
          </w:rPr>
          <w:fldChar w:fldCharType="end"/>
        </w:r>
      </w:hyperlink>
    </w:p>
    <w:p w:rsidR="003E6C92" w:rsidRDefault="00716E0C">
      <w:pPr>
        <w:pStyle w:val="TOC1"/>
        <w:rPr>
          <w:rFonts w:eastAsiaTheme="minorEastAsia" w:cstheme="minorBidi"/>
          <w:b w:val="0"/>
          <w:color w:val="auto"/>
        </w:rPr>
      </w:pPr>
      <w:hyperlink w:anchor="_Toc481502211" w:history="1">
        <w:r w:rsidR="003E6C92" w:rsidRPr="005F0CC4">
          <w:rPr>
            <w:rStyle w:val="Hyperlink"/>
          </w:rPr>
          <w:t>Appendix 1: Modelling assumptions</w:t>
        </w:r>
        <w:r w:rsidR="003E6C92">
          <w:rPr>
            <w:webHidden/>
          </w:rPr>
          <w:tab/>
        </w:r>
        <w:r w:rsidR="003E6C92">
          <w:rPr>
            <w:webHidden/>
          </w:rPr>
          <w:fldChar w:fldCharType="begin"/>
        </w:r>
        <w:r w:rsidR="003E6C92">
          <w:rPr>
            <w:webHidden/>
          </w:rPr>
          <w:instrText xml:space="preserve"> PAGEREF _Toc481502211 \h </w:instrText>
        </w:r>
        <w:r w:rsidR="003E6C92">
          <w:rPr>
            <w:webHidden/>
          </w:rPr>
        </w:r>
        <w:r w:rsidR="003E6C92">
          <w:rPr>
            <w:webHidden/>
          </w:rPr>
          <w:fldChar w:fldCharType="separate"/>
        </w:r>
        <w:r>
          <w:rPr>
            <w:webHidden/>
          </w:rPr>
          <w:t>36</w:t>
        </w:r>
        <w:r w:rsidR="003E6C92">
          <w:rPr>
            <w:webHidden/>
          </w:rPr>
          <w:fldChar w:fldCharType="end"/>
        </w:r>
      </w:hyperlink>
    </w:p>
    <w:p w:rsidR="003E6C92" w:rsidRDefault="00716E0C">
      <w:pPr>
        <w:pStyle w:val="TOC4"/>
        <w:rPr>
          <w:rFonts w:eastAsiaTheme="minorEastAsia" w:cstheme="minorBidi"/>
          <w:sz w:val="22"/>
          <w:szCs w:val="22"/>
        </w:rPr>
      </w:pPr>
      <w:hyperlink w:anchor="_Toc481502212" w:history="1">
        <w:r w:rsidR="003E6C92" w:rsidRPr="005F0CC4">
          <w:rPr>
            <w:rStyle w:val="Hyperlink"/>
          </w:rPr>
          <w:t>Net present value</w:t>
        </w:r>
        <w:r w:rsidR="003E6C92">
          <w:rPr>
            <w:webHidden/>
          </w:rPr>
          <w:tab/>
        </w:r>
        <w:r w:rsidR="003E6C92">
          <w:rPr>
            <w:webHidden/>
          </w:rPr>
          <w:fldChar w:fldCharType="begin"/>
        </w:r>
        <w:r w:rsidR="003E6C92">
          <w:rPr>
            <w:webHidden/>
          </w:rPr>
          <w:instrText xml:space="preserve"> PAGEREF _Toc481502212 \h </w:instrText>
        </w:r>
        <w:r w:rsidR="003E6C92">
          <w:rPr>
            <w:webHidden/>
          </w:rPr>
        </w:r>
        <w:r w:rsidR="003E6C92">
          <w:rPr>
            <w:webHidden/>
          </w:rPr>
          <w:fldChar w:fldCharType="separate"/>
        </w:r>
        <w:r>
          <w:rPr>
            <w:webHidden/>
          </w:rPr>
          <w:t>36</w:t>
        </w:r>
        <w:r w:rsidR="003E6C92">
          <w:rPr>
            <w:webHidden/>
          </w:rPr>
          <w:fldChar w:fldCharType="end"/>
        </w:r>
      </w:hyperlink>
    </w:p>
    <w:p w:rsidR="003E6C92" w:rsidRDefault="00716E0C">
      <w:pPr>
        <w:pStyle w:val="TOC4"/>
        <w:rPr>
          <w:rFonts w:eastAsiaTheme="minorEastAsia" w:cstheme="minorBidi"/>
          <w:sz w:val="22"/>
          <w:szCs w:val="22"/>
        </w:rPr>
      </w:pPr>
      <w:hyperlink w:anchor="_Toc481502213" w:history="1">
        <w:r w:rsidR="003E6C92" w:rsidRPr="005F0CC4">
          <w:rPr>
            <w:rStyle w:val="Hyperlink"/>
          </w:rPr>
          <w:t>Value of time</w:t>
        </w:r>
        <w:r w:rsidR="003E6C92">
          <w:rPr>
            <w:webHidden/>
          </w:rPr>
          <w:tab/>
        </w:r>
        <w:r w:rsidR="003E6C92">
          <w:rPr>
            <w:webHidden/>
          </w:rPr>
          <w:fldChar w:fldCharType="begin"/>
        </w:r>
        <w:r w:rsidR="003E6C92">
          <w:rPr>
            <w:webHidden/>
          </w:rPr>
          <w:instrText xml:space="preserve"> PAGEREF _Toc481502213 \h </w:instrText>
        </w:r>
        <w:r w:rsidR="003E6C92">
          <w:rPr>
            <w:webHidden/>
          </w:rPr>
        </w:r>
        <w:r w:rsidR="003E6C92">
          <w:rPr>
            <w:webHidden/>
          </w:rPr>
          <w:fldChar w:fldCharType="separate"/>
        </w:r>
        <w:r>
          <w:rPr>
            <w:webHidden/>
          </w:rPr>
          <w:t>36</w:t>
        </w:r>
        <w:r w:rsidR="003E6C92">
          <w:rPr>
            <w:webHidden/>
          </w:rPr>
          <w:fldChar w:fldCharType="end"/>
        </w:r>
      </w:hyperlink>
    </w:p>
    <w:p w:rsidR="003E6C92" w:rsidRDefault="00716E0C">
      <w:pPr>
        <w:pStyle w:val="TOC4"/>
        <w:rPr>
          <w:rFonts w:eastAsiaTheme="minorEastAsia" w:cstheme="minorBidi"/>
          <w:sz w:val="22"/>
          <w:szCs w:val="22"/>
        </w:rPr>
      </w:pPr>
      <w:hyperlink w:anchor="_Toc481502214" w:history="1">
        <w:r w:rsidR="003E6C92" w:rsidRPr="005F0CC4">
          <w:rPr>
            <w:rStyle w:val="Hyperlink"/>
          </w:rPr>
          <w:t>Travel costs</w:t>
        </w:r>
        <w:r w:rsidR="003E6C92">
          <w:rPr>
            <w:webHidden/>
          </w:rPr>
          <w:tab/>
        </w:r>
        <w:r w:rsidR="003E6C92">
          <w:rPr>
            <w:webHidden/>
          </w:rPr>
          <w:fldChar w:fldCharType="begin"/>
        </w:r>
        <w:r w:rsidR="003E6C92">
          <w:rPr>
            <w:webHidden/>
          </w:rPr>
          <w:instrText xml:space="preserve"> PAGEREF _Toc481502214 \h </w:instrText>
        </w:r>
        <w:r w:rsidR="003E6C92">
          <w:rPr>
            <w:webHidden/>
          </w:rPr>
        </w:r>
        <w:r w:rsidR="003E6C92">
          <w:rPr>
            <w:webHidden/>
          </w:rPr>
          <w:fldChar w:fldCharType="separate"/>
        </w:r>
        <w:r>
          <w:rPr>
            <w:webHidden/>
          </w:rPr>
          <w:t>36</w:t>
        </w:r>
        <w:r w:rsidR="003E6C92">
          <w:rPr>
            <w:webHidden/>
          </w:rPr>
          <w:fldChar w:fldCharType="end"/>
        </w:r>
      </w:hyperlink>
    </w:p>
    <w:p w:rsidR="003E6C92" w:rsidRDefault="00716E0C">
      <w:pPr>
        <w:pStyle w:val="TOC4"/>
        <w:rPr>
          <w:rFonts w:eastAsiaTheme="minorEastAsia" w:cstheme="minorBidi"/>
          <w:sz w:val="22"/>
          <w:szCs w:val="22"/>
        </w:rPr>
      </w:pPr>
      <w:hyperlink w:anchor="_Toc481502215" w:history="1">
        <w:r w:rsidR="003E6C92" w:rsidRPr="005F0CC4">
          <w:rPr>
            <w:rStyle w:val="Hyperlink"/>
          </w:rPr>
          <w:t>Prescribed qualifications and experience</w:t>
        </w:r>
        <w:r w:rsidR="003E6C92">
          <w:rPr>
            <w:webHidden/>
          </w:rPr>
          <w:tab/>
        </w:r>
        <w:r w:rsidR="003E6C92">
          <w:rPr>
            <w:webHidden/>
          </w:rPr>
          <w:fldChar w:fldCharType="begin"/>
        </w:r>
        <w:r w:rsidR="003E6C92">
          <w:rPr>
            <w:webHidden/>
          </w:rPr>
          <w:instrText xml:space="preserve"> PAGEREF _Toc481502215 \h </w:instrText>
        </w:r>
        <w:r w:rsidR="003E6C92">
          <w:rPr>
            <w:webHidden/>
          </w:rPr>
        </w:r>
        <w:r w:rsidR="003E6C92">
          <w:rPr>
            <w:webHidden/>
          </w:rPr>
          <w:fldChar w:fldCharType="separate"/>
        </w:r>
        <w:r>
          <w:rPr>
            <w:webHidden/>
          </w:rPr>
          <w:t>36</w:t>
        </w:r>
        <w:r w:rsidR="003E6C92">
          <w:rPr>
            <w:webHidden/>
          </w:rPr>
          <w:fldChar w:fldCharType="end"/>
        </w:r>
      </w:hyperlink>
    </w:p>
    <w:p w:rsidR="003E6C92" w:rsidRDefault="00716E0C">
      <w:pPr>
        <w:pStyle w:val="TOC4"/>
        <w:rPr>
          <w:rFonts w:eastAsiaTheme="minorEastAsia" w:cstheme="minorBidi"/>
          <w:sz w:val="22"/>
          <w:szCs w:val="22"/>
        </w:rPr>
      </w:pPr>
      <w:hyperlink w:anchor="_Toc481502216" w:history="1">
        <w:r w:rsidR="003E6C92" w:rsidRPr="005F0CC4">
          <w:rPr>
            <w:rStyle w:val="Hyperlink"/>
          </w:rPr>
          <w:t>Avoided consumer detriment</w:t>
        </w:r>
        <w:r w:rsidR="003E6C92">
          <w:rPr>
            <w:webHidden/>
          </w:rPr>
          <w:tab/>
        </w:r>
        <w:r w:rsidR="003E6C92">
          <w:rPr>
            <w:webHidden/>
          </w:rPr>
          <w:fldChar w:fldCharType="begin"/>
        </w:r>
        <w:r w:rsidR="003E6C92">
          <w:rPr>
            <w:webHidden/>
          </w:rPr>
          <w:instrText xml:space="preserve"> PAGEREF _Toc481502216 \h </w:instrText>
        </w:r>
        <w:r w:rsidR="003E6C92">
          <w:rPr>
            <w:webHidden/>
          </w:rPr>
        </w:r>
        <w:r w:rsidR="003E6C92">
          <w:rPr>
            <w:webHidden/>
          </w:rPr>
          <w:fldChar w:fldCharType="separate"/>
        </w:r>
        <w:r>
          <w:rPr>
            <w:webHidden/>
          </w:rPr>
          <w:t>38</w:t>
        </w:r>
        <w:r w:rsidR="003E6C92">
          <w:rPr>
            <w:webHidden/>
          </w:rPr>
          <w:fldChar w:fldCharType="end"/>
        </w:r>
      </w:hyperlink>
    </w:p>
    <w:p w:rsidR="008F4D3D" w:rsidRPr="00160290" w:rsidRDefault="00FC6221" w:rsidP="00162B86">
      <w:r>
        <w:fldChar w:fldCharType="end"/>
      </w:r>
    </w:p>
    <w:p w:rsidR="00436277" w:rsidRPr="00160290" w:rsidRDefault="00436277" w:rsidP="00162B86">
      <w:pPr>
        <w:sectPr w:rsidR="00436277" w:rsidRPr="00160290" w:rsidSect="00C04D98">
          <w:headerReference w:type="even" r:id="rId26"/>
          <w:headerReference w:type="default" r:id="rId27"/>
          <w:footerReference w:type="even" r:id="rId28"/>
          <w:footerReference w:type="default" r:id="rId29"/>
          <w:pgSz w:w="11907" w:h="16840" w:code="9"/>
          <w:pgMar w:top="992" w:right="1559" w:bottom="992" w:left="1797" w:header="284" w:footer="284" w:gutter="0"/>
          <w:pgNumType w:start="1"/>
          <w:cols w:space="708"/>
          <w:docGrid w:linePitch="360"/>
        </w:sectPr>
      </w:pPr>
    </w:p>
    <w:p w:rsidR="0033590D" w:rsidRDefault="00010CE1" w:rsidP="00011DF3">
      <w:pPr>
        <w:pStyle w:val="Heading1"/>
      </w:pPr>
      <w:bookmarkStart w:id="3" w:name="_Toc481471423"/>
      <w:bookmarkStart w:id="4" w:name="_Toc481502162"/>
      <w:bookmarkStart w:id="5" w:name="_Toc475087228"/>
      <w:r w:rsidRPr="00C1534D">
        <w:lastRenderedPageBreak/>
        <w:t>A</w:t>
      </w:r>
      <w:r>
        <w:t>cronyms and abbreviations</w:t>
      </w:r>
      <w:bookmarkEnd w:id="3"/>
      <w:bookmarkEnd w:id="4"/>
    </w:p>
    <w:tbl>
      <w:tblPr>
        <w:tblW w:w="5021" w:type="pct"/>
        <w:tblBorders>
          <w:top w:val="dotted" w:sz="8" w:space="0" w:color="00B2A9" w:themeColor="text2"/>
          <w:bottom w:val="dotted" w:sz="8" w:space="0" w:color="00B2A9" w:themeColor="text2"/>
          <w:insideH w:val="dotted" w:sz="8" w:space="0" w:color="00B2A9" w:themeColor="text2"/>
        </w:tblBorders>
        <w:tblLayout w:type="fixed"/>
        <w:tblLook w:val="0000" w:firstRow="0" w:lastRow="0" w:firstColumn="0" w:lastColumn="0" w:noHBand="0" w:noVBand="0"/>
      </w:tblPr>
      <w:tblGrid>
        <w:gridCol w:w="2233"/>
        <w:gridCol w:w="6564"/>
      </w:tblGrid>
      <w:tr w:rsidR="00010CE1" w:rsidRPr="00906B05" w:rsidTr="007C1EF0">
        <w:trPr>
          <w:tblHeader/>
        </w:trPr>
        <w:tc>
          <w:tcPr>
            <w:tcW w:w="2233" w:type="dxa"/>
            <w:shd w:val="clear" w:color="auto" w:fill="00B2A9" w:themeFill="accent1"/>
          </w:tcPr>
          <w:p w:rsidR="00010CE1" w:rsidRDefault="00010CE1" w:rsidP="007C1EF0">
            <w:pPr>
              <w:pStyle w:val="Tabletext"/>
              <w:rPr>
                <w:b/>
                <w:color w:val="FFFFFF" w:themeColor="background1"/>
              </w:rPr>
            </w:pPr>
            <w:r>
              <w:rPr>
                <w:b/>
                <w:color w:val="FFFFFF" w:themeColor="background1"/>
              </w:rPr>
              <w:t>Acronym</w:t>
            </w:r>
          </w:p>
        </w:tc>
        <w:tc>
          <w:tcPr>
            <w:tcW w:w="6564" w:type="dxa"/>
            <w:shd w:val="clear" w:color="auto" w:fill="00B2A9" w:themeFill="accent1"/>
          </w:tcPr>
          <w:p w:rsidR="00010CE1" w:rsidRDefault="00010CE1" w:rsidP="007C1EF0">
            <w:pPr>
              <w:pStyle w:val="Tabletext"/>
              <w:rPr>
                <w:b/>
                <w:color w:val="FFFFFF" w:themeColor="background1"/>
              </w:rPr>
            </w:pPr>
            <w:r>
              <w:rPr>
                <w:b/>
                <w:color w:val="FFFFFF" w:themeColor="background1"/>
              </w:rPr>
              <w:t>Name</w:t>
            </w:r>
          </w:p>
        </w:tc>
      </w:tr>
      <w:tr w:rsidR="00010CE1" w:rsidRPr="00906B05" w:rsidTr="007C1EF0">
        <w:tc>
          <w:tcPr>
            <w:tcW w:w="2233" w:type="dxa"/>
          </w:tcPr>
          <w:p w:rsidR="00010CE1" w:rsidRDefault="00010CE1" w:rsidP="007C1EF0">
            <w:pPr>
              <w:pStyle w:val="Tabletext"/>
            </w:pPr>
            <w:r>
              <w:t>ABS</w:t>
            </w:r>
          </w:p>
        </w:tc>
        <w:tc>
          <w:tcPr>
            <w:tcW w:w="6564" w:type="dxa"/>
          </w:tcPr>
          <w:p w:rsidR="00010CE1" w:rsidRDefault="00010CE1" w:rsidP="007C1EF0">
            <w:pPr>
              <w:pStyle w:val="Tabletext"/>
            </w:pPr>
            <w:r>
              <w:t>Australian Bureau of Statistics</w:t>
            </w:r>
          </w:p>
        </w:tc>
      </w:tr>
      <w:tr w:rsidR="00010CE1" w:rsidRPr="00906B05" w:rsidTr="007C1EF0">
        <w:tc>
          <w:tcPr>
            <w:tcW w:w="2233" w:type="dxa"/>
          </w:tcPr>
          <w:p w:rsidR="00010CE1" w:rsidRDefault="00010CE1" w:rsidP="007C1EF0">
            <w:pPr>
              <w:pStyle w:val="Tabletext"/>
            </w:pPr>
            <w:r>
              <w:rPr>
                <w:lang w:val="en-AU"/>
              </w:rPr>
              <w:t>Act, the</w:t>
            </w:r>
          </w:p>
        </w:tc>
        <w:tc>
          <w:tcPr>
            <w:tcW w:w="6564" w:type="dxa"/>
          </w:tcPr>
          <w:p w:rsidR="00010CE1" w:rsidRDefault="00010CE1" w:rsidP="007C1EF0">
            <w:pPr>
              <w:pStyle w:val="Tabletext"/>
            </w:pPr>
            <w:r>
              <w:rPr>
                <w:i/>
                <w:lang w:val="en-AU"/>
              </w:rPr>
              <w:t>Building Act 1993</w:t>
            </w:r>
          </w:p>
        </w:tc>
      </w:tr>
      <w:tr w:rsidR="00010CE1" w:rsidRPr="00906B05" w:rsidTr="007C1EF0">
        <w:tc>
          <w:tcPr>
            <w:tcW w:w="2233" w:type="dxa"/>
          </w:tcPr>
          <w:p w:rsidR="00010CE1" w:rsidRDefault="00010CE1" w:rsidP="007C1EF0">
            <w:pPr>
              <w:pStyle w:val="Tabletext"/>
            </w:pPr>
            <w:r>
              <w:t>BPB</w:t>
            </w:r>
          </w:p>
        </w:tc>
        <w:tc>
          <w:tcPr>
            <w:tcW w:w="6564" w:type="dxa"/>
          </w:tcPr>
          <w:p w:rsidR="00010CE1" w:rsidRPr="00160290" w:rsidRDefault="00010CE1" w:rsidP="007C1EF0">
            <w:pPr>
              <w:pStyle w:val="Tabletext"/>
            </w:pPr>
            <w:r w:rsidRPr="00C6416C">
              <w:t>Building Practitioners Board</w:t>
            </w:r>
          </w:p>
        </w:tc>
      </w:tr>
      <w:tr w:rsidR="00010CE1" w:rsidRPr="00906B05" w:rsidTr="007C1EF0">
        <w:tc>
          <w:tcPr>
            <w:tcW w:w="2233" w:type="dxa"/>
          </w:tcPr>
          <w:p w:rsidR="00010CE1" w:rsidRDefault="00010CE1" w:rsidP="007C1EF0">
            <w:pPr>
              <w:pStyle w:val="Tabletext"/>
            </w:pPr>
            <w:r>
              <w:t>CAV</w:t>
            </w:r>
          </w:p>
        </w:tc>
        <w:tc>
          <w:tcPr>
            <w:tcW w:w="6564" w:type="dxa"/>
          </w:tcPr>
          <w:p w:rsidR="00010CE1" w:rsidRDefault="00010CE1" w:rsidP="007C1EF0">
            <w:pPr>
              <w:pStyle w:val="Tabletext"/>
            </w:pPr>
            <w:r w:rsidRPr="00160290">
              <w:t>Consumer Affairs Victoria</w:t>
            </w:r>
          </w:p>
        </w:tc>
      </w:tr>
      <w:tr w:rsidR="00010CE1" w:rsidRPr="00906B05" w:rsidTr="007C1EF0">
        <w:tc>
          <w:tcPr>
            <w:tcW w:w="2233" w:type="dxa"/>
            <w:vAlign w:val="center"/>
          </w:tcPr>
          <w:p w:rsidR="00010CE1" w:rsidRDefault="00010CE1" w:rsidP="007C1EF0">
            <w:pPr>
              <w:pStyle w:val="Tabletext"/>
            </w:pPr>
            <w:r>
              <w:rPr>
                <w:lang w:val="en-AU"/>
              </w:rPr>
              <w:t>current Regulations</w:t>
            </w:r>
          </w:p>
        </w:tc>
        <w:tc>
          <w:tcPr>
            <w:tcW w:w="6564" w:type="dxa"/>
            <w:vAlign w:val="center"/>
          </w:tcPr>
          <w:p w:rsidR="00010CE1" w:rsidRDefault="00010CE1" w:rsidP="007C1EF0">
            <w:pPr>
              <w:pStyle w:val="Tabletext"/>
            </w:pPr>
            <w:r>
              <w:rPr>
                <w:lang w:val="en-AU"/>
              </w:rPr>
              <w:t>Building Regulations 2006</w:t>
            </w:r>
          </w:p>
        </w:tc>
      </w:tr>
      <w:tr w:rsidR="00010CE1" w:rsidRPr="00906B05" w:rsidTr="007C1EF0">
        <w:tc>
          <w:tcPr>
            <w:tcW w:w="2233" w:type="dxa"/>
          </w:tcPr>
          <w:p w:rsidR="00010CE1" w:rsidRDefault="00010CE1" w:rsidP="007C1EF0">
            <w:pPr>
              <w:pStyle w:val="Tabletext"/>
            </w:pPr>
            <w:r>
              <w:t>NPV</w:t>
            </w:r>
          </w:p>
        </w:tc>
        <w:tc>
          <w:tcPr>
            <w:tcW w:w="6564" w:type="dxa"/>
          </w:tcPr>
          <w:p w:rsidR="00010CE1" w:rsidRDefault="00010CE1" w:rsidP="007C1EF0">
            <w:pPr>
              <w:pStyle w:val="Tabletext"/>
            </w:pPr>
            <w:r>
              <w:t>Net present value</w:t>
            </w:r>
          </w:p>
        </w:tc>
      </w:tr>
      <w:tr w:rsidR="00010CE1" w:rsidRPr="00906B05" w:rsidTr="007C1EF0">
        <w:tc>
          <w:tcPr>
            <w:tcW w:w="2233" w:type="dxa"/>
          </w:tcPr>
          <w:p w:rsidR="00010CE1" w:rsidRDefault="00010CE1" w:rsidP="007C1EF0">
            <w:pPr>
              <w:pStyle w:val="Tabletext"/>
            </w:pPr>
            <w:r>
              <w:t>PBS</w:t>
            </w:r>
          </w:p>
        </w:tc>
        <w:tc>
          <w:tcPr>
            <w:tcW w:w="6564" w:type="dxa"/>
          </w:tcPr>
          <w:p w:rsidR="00010CE1" w:rsidRDefault="00010CE1" w:rsidP="007C1EF0">
            <w:pPr>
              <w:pStyle w:val="Tabletext"/>
            </w:pPr>
            <w:r>
              <w:t>Private building surveyor</w:t>
            </w:r>
          </w:p>
        </w:tc>
      </w:tr>
      <w:tr w:rsidR="00010CE1" w:rsidRPr="00906B05" w:rsidTr="007C1EF0">
        <w:tc>
          <w:tcPr>
            <w:tcW w:w="2233" w:type="dxa"/>
            <w:vAlign w:val="center"/>
          </w:tcPr>
          <w:p w:rsidR="00010CE1" w:rsidRDefault="00010CE1" w:rsidP="007C1EF0">
            <w:pPr>
              <w:pStyle w:val="Tabletext"/>
              <w:rPr>
                <w:lang w:val="en-AU"/>
              </w:rPr>
            </w:pPr>
            <w:r>
              <w:rPr>
                <w:lang w:val="en-AU"/>
              </w:rPr>
              <w:t>proposed Regulations</w:t>
            </w:r>
          </w:p>
        </w:tc>
        <w:tc>
          <w:tcPr>
            <w:tcW w:w="6564" w:type="dxa"/>
            <w:vAlign w:val="center"/>
          </w:tcPr>
          <w:p w:rsidR="00010CE1" w:rsidRDefault="00010CE1" w:rsidP="007C1EF0">
            <w:pPr>
              <w:pStyle w:val="Tabletext"/>
              <w:rPr>
                <w:lang w:val="en-AU"/>
              </w:rPr>
            </w:pPr>
            <w:r>
              <w:rPr>
                <w:lang w:val="en-AU"/>
              </w:rPr>
              <w:t>Building Regulations 2017</w:t>
            </w:r>
          </w:p>
        </w:tc>
      </w:tr>
      <w:tr w:rsidR="00010CE1" w:rsidRPr="00906B05" w:rsidTr="007C1EF0">
        <w:tc>
          <w:tcPr>
            <w:tcW w:w="2233" w:type="dxa"/>
          </w:tcPr>
          <w:p w:rsidR="00010CE1" w:rsidRDefault="00010CE1" w:rsidP="007C1EF0">
            <w:pPr>
              <w:pStyle w:val="Tabletext"/>
            </w:pPr>
            <w:r>
              <w:t>RIS</w:t>
            </w:r>
          </w:p>
        </w:tc>
        <w:tc>
          <w:tcPr>
            <w:tcW w:w="6564" w:type="dxa"/>
          </w:tcPr>
          <w:p w:rsidR="00010CE1" w:rsidRDefault="00010CE1" w:rsidP="007C1EF0">
            <w:pPr>
              <w:pStyle w:val="Tabletext"/>
            </w:pPr>
            <w:r>
              <w:t>Regulatory impact statement</w:t>
            </w:r>
          </w:p>
        </w:tc>
      </w:tr>
      <w:tr w:rsidR="00010CE1" w:rsidRPr="00906B05" w:rsidTr="007C1EF0">
        <w:tc>
          <w:tcPr>
            <w:tcW w:w="2233" w:type="dxa"/>
          </w:tcPr>
          <w:p w:rsidR="00010CE1" w:rsidRDefault="00010CE1" w:rsidP="007C1EF0">
            <w:pPr>
              <w:pStyle w:val="Tabletext"/>
            </w:pPr>
            <w:r>
              <w:rPr>
                <w:lang w:val="en-AU"/>
              </w:rPr>
              <w:t>the department</w:t>
            </w:r>
          </w:p>
        </w:tc>
        <w:tc>
          <w:tcPr>
            <w:tcW w:w="6564" w:type="dxa"/>
          </w:tcPr>
          <w:p w:rsidR="00010CE1" w:rsidRDefault="00010CE1" w:rsidP="007C1EF0">
            <w:pPr>
              <w:pStyle w:val="Tabletext"/>
              <w:rPr>
                <w:lang w:val="en-AU"/>
              </w:rPr>
            </w:pPr>
            <w:r>
              <w:rPr>
                <w:lang w:val="en-AU"/>
              </w:rPr>
              <w:t>Department of Environment, Land, Water and Planning</w:t>
            </w:r>
          </w:p>
        </w:tc>
      </w:tr>
      <w:tr w:rsidR="00010CE1" w:rsidRPr="00906B05" w:rsidTr="007C1EF0">
        <w:tc>
          <w:tcPr>
            <w:tcW w:w="2233" w:type="dxa"/>
          </w:tcPr>
          <w:p w:rsidR="00010CE1" w:rsidRDefault="00010CE1" w:rsidP="007C1EF0">
            <w:pPr>
              <w:pStyle w:val="Tabletext"/>
            </w:pPr>
            <w:r>
              <w:t>VAGO</w:t>
            </w:r>
          </w:p>
        </w:tc>
        <w:tc>
          <w:tcPr>
            <w:tcW w:w="6564" w:type="dxa"/>
          </w:tcPr>
          <w:p w:rsidR="00010CE1" w:rsidRDefault="00010CE1" w:rsidP="007C1EF0">
            <w:pPr>
              <w:pStyle w:val="Tabletext"/>
            </w:pPr>
            <w:r>
              <w:t>Victorian Auditor-General's Office</w:t>
            </w:r>
          </w:p>
        </w:tc>
      </w:tr>
      <w:tr w:rsidR="00010CE1" w:rsidRPr="00906B05" w:rsidTr="007C1EF0">
        <w:tc>
          <w:tcPr>
            <w:tcW w:w="2233" w:type="dxa"/>
          </w:tcPr>
          <w:p w:rsidR="00010CE1" w:rsidRDefault="00010CE1" w:rsidP="007C1EF0">
            <w:pPr>
              <w:pStyle w:val="Tabletext"/>
            </w:pPr>
            <w:r>
              <w:t>VBA</w:t>
            </w:r>
          </w:p>
        </w:tc>
        <w:tc>
          <w:tcPr>
            <w:tcW w:w="6564" w:type="dxa"/>
          </w:tcPr>
          <w:p w:rsidR="00010CE1" w:rsidRDefault="00010CE1" w:rsidP="007C1EF0">
            <w:pPr>
              <w:pStyle w:val="Tabletext"/>
            </w:pPr>
            <w:r>
              <w:t>Victorian Building Authority</w:t>
            </w:r>
          </w:p>
        </w:tc>
      </w:tr>
      <w:tr w:rsidR="00010CE1" w:rsidRPr="00906B05" w:rsidTr="007C1EF0">
        <w:tc>
          <w:tcPr>
            <w:tcW w:w="2233" w:type="dxa"/>
          </w:tcPr>
          <w:p w:rsidR="00010CE1" w:rsidRDefault="00010CE1" w:rsidP="007C1EF0">
            <w:pPr>
              <w:pStyle w:val="Tabletext"/>
            </w:pPr>
            <w:r>
              <w:t>VCAT</w:t>
            </w:r>
          </w:p>
        </w:tc>
        <w:tc>
          <w:tcPr>
            <w:tcW w:w="6564" w:type="dxa"/>
          </w:tcPr>
          <w:p w:rsidR="00010CE1" w:rsidRDefault="00010CE1" w:rsidP="007C1EF0">
            <w:pPr>
              <w:pStyle w:val="Tabletext"/>
            </w:pPr>
            <w:r>
              <w:t>Victorian Civil &amp; Administrative Tribunal</w:t>
            </w:r>
          </w:p>
        </w:tc>
      </w:tr>
    </w:tbl>
    <w:p w:rsidR="00010CE1" w:rsidRDefault="00010CE1" w:rsidP="00010CE1">
      <w:pPr>
        <w:spacing w:after="120" w:line="120" w:lineRule="atLeast"/>
        <w:rPr>
          <w:rFonts w:cs="Times New Roman"/>
        </w:rPr>
      </w:pPr>
    </w:p>
    <w:p w:rsidR="00010CE1" w:rsidRPr="00011DF3" w:rsidRDefault="00010CE1" w:rsidP="00010CE1">
      <w:pPr>
        <w:pStyle w:val="Heading6"/>
        <w:rPr>
          <w:sz w:val="22"/>
          <w:szCs w:val="22"/>
        </w:rPr>
      </w:pPr>
      <w:bookmarkStart w:id="6" w:name="_Toc481471424"/>
      <w:r w:rsidRPr="00011DF3">
        <w:rPr>
          <w:sz w:val="22"/>
          <w:szCs w:val="22"/>
        </w:rPr>
        <w:t>Abbreviations for Acts and Regulations</w:t>
      </w:r>
      <w:bookmarkEnd w:id="6"/>
    </w:p>
    <w:tbl>
      <w:tblPr>
        <w:tblW w:w="5021" w:type="pct"/>
        <w:tblBorders>
          <w:top w:val="dotted" w:sz="8" w:space="0" w:color="00B2A9" w:themeColor="text2"/>
          <w:bottom w:val="dotted" w:sz="8" w:space="0" w:color="00B2A9" w:themeColor="text2"/>
          <w:insideH w:val="dotted" w:sz="8" w:space="0" w:color="00B2A9" w:themeColor="text2"/>
        </w:tblBorders>
        <w:tblLayout w:type="fixed"/>
        <w:tblLook w:val="0000" w:firstRow="0" w:lastRow="0" w:firstColumn="0" w:lastColumn="0" w:noHBand="0" w:noVBand="0"/>
      </w:tblPr>
      <w:tblGrid>
        <w:gridCol w:w="1950"/>
        <w:gridCol w:w="6847"/>
      </w:tblGrid>
      <w:tr w:rsidR="00010CE1" w:rsidRPr="00E65C38" w:rsidTr="007C1EF0">
        <w:trPr>
          <w:tblHeader/>
        </w:trPr>
        <w:tc>
          <w:tcPr>
            <w:tcW w:w="1951" w:type="dxa"/>
            <w:shd w:val="clear" w:color="auto" w:fill="00B2A9" w:themeFill="accent1"/>
          </w:tcPr>
          <w:p w:rsidR="00010CE1" w:rsidRDefault="00010CE1" w:rsidP="007C1EF0">
            <w:pPr>
              <w:pStyle w:val="Tabletext"/>
              <w:rPr>
                <w:b/>
                <w:color w:val="FFFFFF" w:themeColor="background1"/>
              </w:rPr>
            </w:pPr>
            <w:r>
              <w:rPr>
                <w:b/>
                <w:color w:val="FFFFFF" w:themeColor="background1"/>
              </w:rPr>
              <w:t>Abbreviation</w:t>
            </w:r>
          </w:p>
        </w:tc>
        <w:tc>
          <w:tcPr>
            <w:tcW w:w="6853" w:type="dxa"/>
            <w:shd w:val="clear" w:color="auto" w:fill="00B2A9" w:themeFill="accent1"/>
          </w:tcPr>
          <w:p w:rsidR="00010CE1" w:rsidRDefault="00010CE1" w:rsidP="007C1EF0">
            <w:pPr>
              <w:pStyle w:val="Tabletext"/>
              <w:rPr>
                <w:b/>
                <w:color w:val="FFFFFF" w:themeColor="background1"/>
              </w:rPr>
            </w:pPr>
            <w:r w:rsidRPr="004C7418">
              <w:rPr>
                <w:b/>
                <w:color w:val="FFFFFF" w:themeColor="background1"/>
              </w:rPr>
              <w:t>Name</w:t>
            </w:r>
          </w:p>
        </w:tc>
      </w:tr>
      <w:tr w:rsidR="00010CE1" w:rsidTr="007C1EF0">
        <w:tc>
          <w:tcPr>
            <w:tcW w:w="1951" w:type="dxa"/>
          </w:tcPr>
          <w:p w:rsidR="00010CE1" w:rsidRDefault="00010CE1" w:rsidP="007C1EF0">
            <w:pPr>
              <w:pStyle w:val="Tabletext"/>
            </w:pPr>
            <w:r>
              <w:t>Clause(s)</w:t>
            </w:r>
          </w:p>
        </w:tc>
        <w:tc>
          <w:tcPr>
            <w:tcW w:w="6853" w:type="dxa"/>
          </w:tcPr>
          <w:p w:rsidR="00010CE1" w:rsidRDefault="00010CE1" w:rsidP="007C1EF0">
            <w:pPr>
              <w:pStyle w:val="Tabletext"/>
            </w:pPr>
            <w:r>
              <w:t>Cl(s)</w:t>
            </w:r>
          </w:p>
        </w:tc>
      </w:tr>
      <w:tr w:rsidR="00010CE1" w:rsidTr="007C1EF0">
        <w:tc>
          <w:tcPr>
            <w:tcW w:w="1951" w:type="dxa"/>
          </w:tcPr>
          <w:p w:rsidR="00010CE1" w:rsidRDefault="00010CE1" w:rsidP="007C1EF0">
            <w:pPr>
              <w:pStyle w:val="Tabletext"/>
            </w:pPr>
            <w:r>
              <w:t>Division(s)</w:t>
            </w:r>
          </w:p>
        </w:tc>
        <w:tc>
          <w:tcPr>
            <w:tcW w:w="6853" w:type="dxa"/>
          </w:tcPr>
          <w:p w:rsidR="00010CE1" w:rsidRDefault="00010CE1" w:rsidP="007C1EF0">
            <w:pPr>
              <w:pStyle w:val="Tabletext"/>
            </w:pPr>
            <w:proofErr w:type="spellStart"/>
            <w:r>
              <w:t>Div</w:t>
            </w:r>
            <w:proofErr w:type="spellEnd"/>
            <w:r>
              <w:t>(s)</w:t>
            </w:r>
          </w:p>
        </w:tc>
      </w:tr>
      <w:tr w:rsidR="00010CE1" w:rsidTr="007C1EF0">
        <w:tc>
          <w:tcPr>
            <w:tcW w:w="1951" w:type="dxa"/>
          </w:tcPr>
          <w:p w:rsidR="00010CE1" w:rsidRDefault="00010CE1" w:rsidP="007C1EF0">
            <w:pPr>
              <w:pStyle w:val="Tabletext"/>
            </w:pPr>
            <w:r>
              <w:t>Part(s)</w:t>
            </w:r>
          </w:p>
        </w:tc>
        <w:tc>
          <w:tcPr>
            <w:tcW w:w="6853" w:type="dxa"/>
          </w:tcPr>
          <w:p w:rsidR="00010CE1" w:rsidRDefault="00010CE1" w:rsidP="007C1EF0">
            <w:pPr>
              <w:pStyle w:val="Tabletext"/>
            </w:pPr>
            <w:r>
              <w:t>Pt(s)</w:t>
            </w:r>
          </w:p>
        </w:tc>
      </w:tr>
      <w:tr w:rsidR="00010CE1" w:rsidTr="007C1EF0">
        <w:tc>
          <w:tcPr>
            <w:tcW w:w="1951" w:type="dxa"/>
          </w:tcPr>
          <w:p w:rsidR="00010CE1" w:rsidRDefault="00010CE1" w:rsidP="007C1EF0">
            <w:pPr>
              <w:pStyle w:val="Tabletext"/>
            </w:pPr>
            <w:r>
              <w:t>Regulation(s)</w:t>
            </w:r>
          </w:p>
        </w:tc>
        <w:tc>
          <w:tcPr>
            <w:tcW w:w="6853" w:type="dxa"/>
          </w:tcPr>
          <w:p w:rsidR="00010CE1" w:rsidRDefault="00010CE1" w:rsidP="007C1EF0">
            <w:pPr>
              <w:pStyle w:val="Tabletext"/>
            </w:pPr>
            <w:proofErr w:type="spellStart"/>
            <w:r>
              <w:t>Reg</w:t>
            </w:r>
            <w:proofErr w:type="spellEnd"/>
            <w:r>
              <w:t>(s)</w:t>
            </w:r>
          </w:p>
        </w:tc>
      </w:tr>
      <w:tr w:rsidR="00010CE1" w:rsidTr="007C1EF0">
        <w:tc>
          <w:tcPr>
            <w:tcW w:w="1951" w:type="dxa"/>
          </w:tcPr>
          <w:p w:rsidR="00010CE1" w:rsidRDefault="00010CE1" w:rsidP="007C1EF0">
            <w:pPr>
              <w:pStyle w:val="Tabletext"/>
            </w:pPr>
            <w:r>
              <w:t>Schedule(s)</w:t>
            </w:r>
          </w:p>
        </w:tc>
        <w:tc>
          <w:tcPr>
            <w:tcW w:w="6853" w:type="dxa"/>
          </w:tcPr>
          <w:p w:rsidR="00010CE1" w:rsidRDefault="00010CE1" w:rsidP="007C1EF0">
            <w:pPr>
              <w:pStyle w:val="Tabletext"/>
            </w:pPr>
            <w:proofErr w:type="spellStart"/>
            <w:r>
              <w:t>Sch</w:t>
            </w:r>
            <w:proofErr w:type="spellEnd"/>
            <w:r>
              <w:t>(s)</w:t>
            </w:r>
          </w:p>
        </w:tc>
      </w:tr>
      <w:tr w:rsidR="00010CE1" w:rsidTr="007C1EF0">
        <w:tc>
          <w:tcPr>
            <w:tcW w:w="1951" w:type="dxa"/>
          </w:tcPr>
          <w:p w:rsidR="00010CE1" w:rsidRDefault="00010CE1" w:rsidP="007C1EF0">
            <w:pPr>
              <w:pStyle w:val="Tabletext"/>
            </w:pPr>
            <w:r>
              <w:t>Section(s)</w:t>
            </w:r>
          </w:p>
        </w:tc>
        <w:tc>
          <w:tcPr>
            <w:tcW w:w="6853" w:type="dxa"/>
          </w:tcPr>
          <w:p w:rsidR="00010CE1" w:rsidRDefault="00010CE1" w:rsidP="007C1EF0">
            <w:pPr>
              <w:pStyle w:val="Tabletext"/>
            </w:pPr>
            <w:r>
              <w:t>S(s)</w:t>
            </w:r>
          </w:p>
        </w:tc>
      </w:tr>
      <w:tr w:rsidR="00010CE1" w:rsidTr="007C1EF0">
        <w:tc>
          <w:tcPr>
            <w:tcW w:w="1951" w:type="dxa"/>
          </w:tcPr>
          <w:p w:rsidR="00010CE1" w:rsidRDefault="00010CE1" w:rsidP="007C1EF0">
            <w:pPr>
              <w:pStyle w:val="Tabletext"/>
            </w:pPr>
            <w:r>
              <w:t>Subdivision(s)</w:t>
            </w:r>
          </w:p>
        </w:tc>
        <w:tc>
          <w:tcPr>
            <w:tcW w:w="6853" w:type="dxa"/>
          </w:tcPr>
          <w:p w:rsidR="00010CE1" w:rsidRDefault="00010CE1" w:rsidP="007C1EF0">
            <w:pPr>
              <w:pStyle w:val="Tabletext"/>
            </w:pPr>
            <w:r>
              <w:t>Sub-div(s)</w:t>
            </w:r>
          </w:p>
        </w:tc>
      </w:tr>
    </w:tbl>
    <w:p w:rsidR="00010CE1" w:rsidRPr="00906B05" w:rsidRDefault="00010CE1" w:rsidP="00010CE1"/>
    <w:p w:rsidR="0033590D" w:rsidRDefault="004028EE" w:rsidP="00011DF3">
      <w:pPr>
        <w:rPr>
          <w:color w:val="201547" w:themeColor="accent2"/>
          <w:kern w:val="32"/>
          <w:sz w:val="40"/>
          <w:szCs w:val="32"/>
        </w:rPr>
      </w:pPr>
      <w:r>
        <w:br w:type="page"/>
      </w:r>
    </w:p>
    <w:p w:rsidR="0033590D" w:rsidRDefault="00CD23F9" w:rsidP="00011DF3">
      <w:pPr>
        <w:pStyle w:val="Heading1"/>
      </w:pPr>
      <w:bookmarkStart w:id="7" w:name="_Toc481502163"/>
      <w:r w:rsidRPr="00CD23F9">
        <w:lastRenderedPageBreak/>
        <w:t>Summary</w:t>
      </w:r>
      <w:bookmarkEnd w:id="5"/>
      <w:bookmarkEnd w:id="7"/>
    </w:p>
    <w:p w:rsidR="00F71F1A" w:rsidRDefault="00A552CD">
      <w:r>
        <w:t xml:space="preserve">Part C of the </w:t>
      </w:r>
      <w:r w:rsidR="006C108D">
        <w:t>regulatory impact statement (</w:t>
      </w:r>
      <w:r>
        <w:t>RIS</w:t>
      </w:r>
      <w:r w:rsidR="006C108D">
        <w:t>)</w:t>
      </w:r>
      <w:r>
        <w:t xml:space="preserve"> considers building practitioner registration. </w:t>
      </w:r>
      <w:r w:rsidR="00CD23F9">
        <w:t xml:space="preserve">The range of options considered in this </w:t>
      </w:r>
      <w:r>
        <w:t xml:space="preserve">part of the </w:t>
      </w:r>
      <w:r w:rsidR="00CD23F9">
        <w:t>RIS is limited to the remaking of the current Regulations, with some minor variations also considered. In preparing the proposed Regulations, further options were identified that would involve a more substantial shift from the current arrangements</w:t>
      </w:r>
      <w:r w:rsidR="00670BAB">
        <w:t>. T</w:t>
      </w:r>
      <w:r w:rsidR="00CD23F9">
        <w:t>hese were:</w:t>
      </w:r>
    </w:p>
    <w:p w:rsidR="0049524F" w:rsidRDefault="00CD23F9">
      <w:pPr>
        <w:pStyle w:val="Dotpoint"/>
      </w:pPr>
      <w:r>
        <w:t>to introduce into the Regulations specific subcategories within the ‘limited’ builder classes</w:t>
      </w:r>
      <w:r w:rsidR="00670BAB">
        <w:t>; t</w:t>
      </w:r>
      <w:r>
        <w:t xml:space="preserve">his would formalise administrative arrangements already used by </w:t>
      </w:r>
      <w:r w:rsidR="006C108D">
        <w:t>the Victorian Building Authority (</w:t>
      </w:r>
      <w:r w:rsidR="000E2924">
        <w:t>VBA</w:t>
      </w:r>
      <w:r w:rsidR="006C108D">
        <w:t>)</w:t>
      </w:r>
      <w:r>
        <w:t xml:space="preserve"> and be the basis for defining the exact scope of works that are allowed under each subcategory</w:t>
      </w:r>
      <w:r w:rsidR="00670BAB">
        <w:t xml:space="preserve">, and it </w:t>
      </w:r>
      <w:r>
        <w:t>also aim</w:t>
      </w:r>
      <w:r w:rsidR="00670BAB">
        <w:t>s</w:t>
      </w:r>
      <w:r>
        <w:t xml:space="preserve"> to improve consistency across registered practitioners and allow consumers to easily confirm what work a practitioner is allowed to do</w:t>
      </w:r>
    </w:p>
    <w:p w:rsidR="003A7FBC" w:rsidRPr="00670BAB" w:rsidRDefault="00CD23F9" w:rsidP="00743668">
      <w:pPr>
        <w:pStyle w:val="Dotpointlast"/>
      </w:pPr>
      <w:r>
        <w:t>based on this, prescribing allowed scopes of work, in order to provide a more-objective basis for defining what experience is required to be eligible for registration in each category</w:t>
      </w:r>
      <w:r w:rsidR="00670BAB">
        <w:t>; t</w:t>
      </w:r>
      <w:r>
        <w:t>his aim</w:t>
      </w:r>
      <w:r w:rsidR="00670BAB">
        <w:t>s</w:t>
      </w:r>
      <w:r>
        <w:t xml:space="preserve"> to improve certainty for practitioners and improve </w:t>
      </w:r>
      <w:r w:rsidR="00670BAB">
        <w:t xml:space="preserve">the </w:t>
      </w:r>
      <w:r>
        <w:t>transparency of the assessment process.</w:t>
      </w:r>
    </w:p>
    <w:p w:rsidR="0049524F" w:rsidRDefault="00CD23F9">
      <w:r>
        <w:t xml:space="preserve">The </w:t>
      </w:r>
      <w:r w:rsidR="00010CE1">
        <w:t xml:space="preserve">Department of Environment, Land Water and Planning ('the </w:t>
      </w:r>
      <w:r>
        <w:t>department</w:t>
      </w:r>
      <w:r w:rsidR="00010CE1">
        <w:t>')</w:t>
      </w:r>
      <w:r w:rsidR="00670BAB">
        <w:t xml:space="preserve"> considers </w:t>
      </w:r>
      <w:r>
        <w:t xml:space="preserve">these options </w:t>
      </w:r>
      <w:r w:rsidR="00670BAB">
        <w:t xml:space="preserve">to </w:t>
      </w:r>
      <w:r>
        <w:t>have merit</w:t>
      </w:r>
      <w:r w:rsidR="00670BAB">
        <w:t xml:space="preserve"> but </w:t>
      </w:r>
      <w:r>
        <w:t xml:space="preserve">will not implement </w:t>
      </w:r>
      <w:r w:rsidR="00670BAB">
        <w:t xml:space="preserve">them </w:t>
      </w:r>
      <w:r>
        <w:t xml:space="preserve">at this time. This is because amendments to offences in the </w:t>
      </w:r>
      <w:r w:rsidR="00D3125B" w:rsidRPr="00D3125B">
        <w:t>Act</w:t>
      </w:r>
      <w:r>
        <w:t xml:space="preserve">, progressed as part of the </w:t>
      </w:r>
      <w:r>
        <w:rPr>
          <w:i/>
        </w:rPr>
        <w:t>Building Legislation Amendment (Consumer Protection) Act 2016</w:t>
      </w:r>
      <w:r>
        <w:t xml:space="preserve"> (</w:t>
      </w:r>
      <w:r w:rsidR="00670BAB">
        <w:t>the a</w:t>
      </w:r>
      <w:r>
        <w:t xml:space="preserve">mending Act), will commence on 1 July 2017 and affect building practitioners by detailing the scope of work that can be conducted under registration for </w:t>
      </w:r>
      <w:r w:rsidR="00670BAB">
        <w:t>d</w:t>
      </w:r>
      <w:r>
        <w:t xml:space="preserve">omestic </w:t>
      </w:r>
      <w:r w:rsidR="00670BAB">
        <w:t>b</w:t>
      </w:r>
      <w:r>
        <w:t xml:space="preserve">uilders, </w:t>
      </w:r>
      <w:r w:rsidR="00670BAB">
        <w:t>b</w:t>
      </w:r>
      <w:r>
        <w:t xml:space="preserve">uilding </w:t>
      </w:r>
      <w:r w:rsidR="00670BAB">
        <w:t>i</w:t>
      </w:r>
      <w:r>
        <w:t>nspectors and building surveyors.</w:t>
      </w:r>
    </w:p>
    <w:p w:rsidR="0049524F" w:rsidRDefault="00CD23F9">
      <w:r>
        <w:t xml:space="preserve">Therefore, by 1 July 2017, the department will be preparing an amending set of Regulations which implements these consequential amendments </w:t>
      </w:r>
      <w:r w:rsidR="00670BAB">
        <w:t>to</w:t>
      </w:r>
      <w:r>
        <w:t xml:space="preserve"> the Act.</w:t>
      </w:r>
    </w:p>
    <w:p w:rsidR="0049524F" w:rsidRDefault="00CD23F9">
      <w:r>
        <w:t xml:space="preserve">The timing of the consequential amendments on account of the </w:t>
      </w:r>
      <w:r w:rsidR="00670BAB">
        <w:t>a</w:t>
      </w:r>
      <w:r>
        <w:t xml:space="preserve">mending Act will also allow the formal prescription and updating of building practitioner categories and classes, including an update to the qualifications required for registration (as per the options </w:t>
      </w:r>
      <w:r w:rsidR="00670BAB">
        <w:t xml:space="preserve">explained </w:t>
      </w:r>
      <w:r>
        <w:t xml:space="preserve">in this </w:t>
      </w:r>
      <w:r w:rsidR="000E2924">
        <w:t>p</w:t>
      </w:r>
      <w:r>
        <w:t>art of this RIS). This will allow regulatory amendments about building practitioners to be implemented seamlessly.</w:t>
      </w:r>
    </w:p>
    <w:p w:rsidR="0049524F" w:rsidRDefault="00CD23F9">
      <w:r>
        <w:t xml:space="preserve">This process will also involve supplementing the general description of an academic qualification (for example, </w:t>
      </w:r>
      <w:r w:rsidR="00670BAB">
        <w:t>'</w:t>
      </w:r>
      <w:r>
        <w:t>in building</w:t>
      </w:r>
      <w:r w:rsidR="00670BAB">
        <w:t>'</w:t>
      </w:r>
      <w:r>
        <w:t xml:space="preserve">) with a list of examples of formal academic qualifications offered by training providers that will be accepted as meeting this eligibility requirement for registration. Given this list of examples may need updating frequently, it is intended to be managed externally to the Regulations. It is intended that as part of these reforms, </w:t>
      </w:r>
      <w:r w:rsidR="000E2924">
        <w:t>VBA</w:t>
      </w:r>
      <w:r>
        <w:t xml:space="preserve"> will compile a list of acceptable academic qualifications. The list will be </w:t>
      </w:r>
      <w:proofErr w:type="spellStart"/>
      <w:r>
        <w:t>nonexhaustive</w:t>
      </w:r>
      <w:proofErr w:type="spellEnd"/>
      <w:r>
        <w:t xml:space="preserve">, as </w:t>
      </w:r>
      <w:r w:rsidR="000E2924">
        <w:t>VBA</w:t>
      </w:r>
      <w:r>
        <w:t xml:space="preserve"> can accept an equivalent qualification.</w:t>
      </w:r>
    </w:p>
    <w:p w:rsidR="0049524F" w:rsidRDefault="00670BAB">
      <w:r>
        <w:t>T</w:t>
      </w:r>
      <w:r w:rsidR="00CD23F9">
        <w:t xml:space="preserve">hese amendments will also correspond with the first tranche of building practitioner renewals as the registration process transitions to five-yearly registration, rather than an undefined period of time (a reform that was also implemented as part of the </w:t>
      </w:r>
      <w:r>
        <w:t>a</w:t>
      </w:r>
      <w:r w:rsidR="00CD23F9">
        <w:t>mending Act).</w:t>
      </w:r>
    </w:p>
    <w:p w:rsidR="0049524F" w:rsidRDefault="00CD23F9">
      <w:r>
        <w:t xml:space="preserve">Therefore, the department intends to assess the merits of adopting these options and determine a preferred approach separately from this RIS process and before the start of the </w:t>
      </w:r>
      <w:r w:rsidR="00670BAB">
        <w:t xml:space="preserve">proposed </w:t>
      </w:r>
      <w:r>
        <w:t xml:space="preserve">Regulations. This process will not involve another formal RIS but will include engagement with industry in the form of stakeholder meetings, so </w:t>
      </w:r>
      <w:r w:rsidR="00670BAB">
        <w:t xml:space="preserve">the </w:t>
      </w:r>
      <w:r>
        <w:t>industry ha</w:t>
      </w:r>
      <w:r w:rsidR="00670BAB">
        <w:t>s</w:t>
      </w:r>
      <w:r>
        <w:t xml:space="preserve"> an opportunity to comment on the proposed approach to registration. This consultation will include consideration of registration issues</w:t>
      </w:r>
      <w:r w:rsidR="00670BAB">
        <w:t xml:space="preserve"> (</w:t>
      </w:r>
      <w:r>
        <w:t>such as new classes of registration, prescribed qualifications and any required transitional measures to a new structure</w:t>
      </w:r>
      <w:r w:rsidR="00670BAB">
        <w:t>)</w:t>
      </w:r>
      <w:r>
        <w:t>.</w:t>
      </w:r>
    </w:p>
    <w:p w:rsidR="0049524F" w:rsidRDefault="00CD23F9">
      <w:r>
        <w:t>The department anticipates any changes that the analysis suggests are warranted will commence on 1 July 2017, to correspond with consequential legislative amendments to the Act.</w:t>
      </w:r>
    </w:p>
    <w:p w:rsidR="00011DF3" w:rsidRDefault="00011DF3">
      <w:pPr>
        <w:spacing w:after="0"/>
      </w:pPr>
      <w:r>
        <w:br w:type="page"/>
      </w:r>
    </w:p>
    <w:p w:rsidR="0049524F" w:rsidRDefault="00670BAB">
      <w:r>
        <w:lastRenderedPageBreak/>
        <w:t>T</w:t>
      </w:r>
      <w:r w:rsidR="00CD23F9">
        <w:t xml:space="preserve">able </w:t>
      </w:r>
      <w:r w:rsidR="008A39F6">
        <w:t>1</w:t>
      </w:r>
      <w:r>
        <w:t xml:space="preserve"> </w:t>
      </w:r>
      <w:r w:rsidR="00CD23F9">
        <w:t>summarises the assessment of the options in this RIS and indicates which options are preferred.</w:t>
      </w:r>
    </w:p>
    <w:p w:rsidR="00F71F1A" w:rsidRDefault="00CD23F9">
      <w:pPr>
        <w:pStyle w:val="Caption"/>
      </w:pPr>
      <w:bookmarkStart w:id="8" w:name="_Toc481473109"/>
      <w:r w:rsidRPr="00CD23F9">
        <w:t xml:space="preserve">Table </w:t>
      </w:r>
      <w:r w:rsidR="008A39F6">
        <w:t>1</w:t>
      </w:r>
      <w:r w:rsidRPr="00CD23F9">
        <w:t xml:space="preserve">: </w:t>
      </w:r>
      <w:r w:rsidR="00670BAB">
        <w:t>Options and outcomes</w:t>
      </w:r>
      <w:bookmarkEnd w:id="8"/>
    </w:p>
    <w:tbl>
      <w:tblPr>
        <w:tblStyle w:val="TableGrid"/>
        <w:tblW w:w="0" w:type="auto"/>
        <w:tblLook w:val="04A0" w:firstRow="1" w:lastRow="0" w:firstColumn="1" w:lastColumn="0" w:noHBand="0" w:noVBand="1"/>
      </w:tblPr>
      <w:tblGrid>
        <w:gridCol w:w="2041"/>
        <w:gridCol w:w="2344"/>
        <w:gridCol w:w="3836"/>
      </w:tblGrid>
      <w:tr w:rsidR="003A7FBC" w:rsidRPr="000700D8" w:rsidTr="003A7FBC">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2041" w:type="dxa"/>
            <w:shd w:val="clear" w:color="auto" w:fill="00B2A9" w:themeFill="accent1"/>
          </w:tcPr>
          <w:p w:rsidR="00F71F1A" w:rsidRDefault="00CD23F9">
            <w:pPr>
              <w:pStyle w:val="Tablecolumnhead"/>
              <w:rPr>
                <w:b w:val="0"/>
                <w:sz w:val="18"/>
              </w:rPr>
            </w:pPr>
            <w:r w:rsidRPr="00CD23F9">
              <w:t>Area of regulation</w:t>
            </w:r>
          </w:p>
        </w:tc>
        <w:tc>
          <w:tcPr>
            <w:tcW w:w="2344" w:type="dxa"/>
            <w:shd w:val="clear" w:color="auto" w:fill="00B2A9" w:themeFill="accent1"/>
          </w:tcPr>
          <w:p w:rsidR="00F71F1A" w:rsidRDefault="00CD23F9">
            <w:pPr>
              <w:pStyle w:val="Tablecolumnhead"/>
              <w:cnfStyle w:val="100000000000" w:firstRow="1" w:lastRow="0" w:firstColumn="0" w:lastColumn="0" w:oddVBand="0" w:evenVBand="0" w:oddHBand="0" w:evenHBand="0" w:firstRowFirstColumn="0" w:firstRowLastColumn="0" w:lastRowFirstColumn="0" w:lastRowLastColumn="0"/>
              <w:rPr>
                <w:b w:val="0"/>
                <w:sz w:val="18"/>
              </w:rPr>
            </w:pPr>
            <w:r w:rsidRPr="00CD23F9">
              <w:t>Options assessed</w:t>
            </w:r>
          </w:p>
        </w:tc>
        <w:tc>
          <w:tcPr>
            <w:tcW w:w="3836" w:type="dxa"/>
            <w:shd w:val="clear" w:color="auto" w:fill="00B2A9" w:themeFill="accent1"/>
          </w:tcPr>
          <w:p w:rsidR="00F71F1A" w:rsidRDefault="00CD23F9">
            <w:pPr>
              <w:pStyle w:val="Tablecolumnhead"/>
              <w:cnfStyle w:val="100000000000" w:firstRow="1" w:lastRow="0" w:firstColumn="0" w:lastColumn="0" w:oddVBand="0" w:evenVBand="0" w:oddHBand="0" w:evenHBand="0" w:firstRowFirstColumn="0" w:firstRowLastColumn="0" w:lastRowFirstColumn="0" w:lastRowLastColumn="0"/>
              <w:rPr>
                <w:b w:val="0"/>
                <w:sz w:val="18"/>
              </w:rPr>
            </w:pPr>
            <w:r w:rsidRPr="00CD23F9">
              <w:t>Outcome</w:t>
            </w:r>
          </w:p>
        </w:tc>
      </w:tr>
      <w:tr w:rsidR="003A7FBC" w:rsidRPr="000700D8" w:rsidTr="003A7FBC">
        <w:trPr>
          <w:trHeight w:val="1800"/>
        </w:trPr>
        <w:tc>
          <w:tcPr>
            <w:tcW w:w="2041" w:type="dxa"/>
            <w:vMerge w:val="restart"/>
          </w:tcPr>
          <w:p w:rsidR="00F71F1A" w:rsidRDefault="00CD23F9">
            <w:pPr>
              <w:pStyle w:val="Tabletext"/>
              <w:rPr>
                <w:rFonts w:cs="Times New Roman"/>
              </w:rPr>
            </w:pPr>
            <w:r w:rsidRPr="00CD23F9">
              <w:t>Practitioner qualifications and experience requirements</w:t>
            </w:r>
          </w:p>
        </w:tc>
        <w:tc>
          <w:tcPr>
            <w:tcW w:w="2344" w:type="dxa"/>
          </w:tcPr>
          <w:p w:rsidR="00F71F1A" w:rsidRDefault="00CD23F9">
            <w:pPr>
              <w:pStyle w:val="Tabletext"/>
              <w:rPr>
                <w:rFonts w:cs="Times New Roman"/>
              </w:rPr>
            </w:pPr>
            <w:r w:rsidRPr="00CD23F9">
              <w:rPr>
                <w:b/>
              </w:rPr>
              <w:t>Option 1 (preferred</w:t>
            </w:r>
            <w:r w:rsidRPr="00CD23F9">
              <w:t>)</w:t>
            </w:r>
            <w:r w:rsidR="00670BAB">
              <w:t xml:space="preserve"> –</w:t>
            </w:r>
            <w:r w:rsidRPr="00CD23F9">
              <w:t xml:space="preserve"> Remake </w:t>
            </w:r>
            <w:r w:rsidR="000E2924">
              <w:t>reg</w:t>
            </w:r>
            <w:r w:rsidR="00670BAB">
              <w:t xml:space="preserve">1503 </w:t>
            </w:r>
            <w:r w:rsidRPr="00CD23F9">
              <w:t xml:space="preserve">(with some updates for qualifications no longer offered) </w:t>
            </w:r>
            <w:r w:rsidR="00D3125B" w:rsidRPr="00D3125B">
              <w:rPr>
                <w:i/>
              </w:rPr>
              <w:t>(status quo option)</w:t>
            </w:r>
          </w:p>
          <w:p w:rsidR="00F71F1A" w:rsidRDefault="00F71F1A">
            <w:pPr>
              <w:pStyle w:val="Tabletext"/>
              <w:rPr>
                <w:rFonts w:cs="Times New Roman"/>
              </w:rPr>
            </w:pPr>
          </w:p>
        </w:tc>
        <w:tc>
          <w:tcPr>
            <w:tcW w:w="3836" w:type="dxa"/>
          </w:tcPr>
          <w:p w:rsidR="00F71F1A" w:rsidRDefault="00CD23F9">
            <w:pPr>
              <w:pStyle w:val="Tabletext"/>
              <w:rPr>
                <w:rFonts w:cs="Times New Roman"/>
              </w:rPr>
            </w:pPr>
            <w:r w:rsidRPr="00CD23F9">
              <w:t xml:space="preserve">Incremental costs of $27.0 million </w:t>
            </w:r>
            <w:r w:rsidR="00746629">
              <w:t>a year</w:t>
            </w:r>
            <w:r w:rsidRPr="00CD23F9">
              <w:t>. After allowing a cost saving to consumers (reduce</w:t>
            </w:r>
            <w:r w:rsidR="00670BAB">
              <w:t>d</w:t>
            </w:r>
            <w:r w:rsidRPr="00CD23F9">
              <w:t xml:space="preserve"> search costs) of $2.1 million </w:t>
            </w:r>
            <w:r w:rsidR="00746629">
              <w:t>a year</w:t>
            </w:r>
            <w:r w:rsidRPr="00CD23F9">
              <w:t>, this option breaks even if 33,155 detrimental incidents</w:t>
            </w:r>
            <w:r w:rsidRPr="00CD23F9">
              <w:rPr>
                <w:rStyle w:val="FootnoteReference"/>
                <w:color w:val="auto"/>
              </w:rPr>
              <w:footnoteReference w:id="2"/>
            </w:r>
            <w:r w:rsidR="00D3125B" w:rsidRPr="00D3125B">
              <w:t xml:space="preserve"> are avoided </w:t>
            </w:r>
            <w:r w:rsidR="00670BAB">
              <w:t xml:space="preserve">a </w:t>
            </w:r>
            <w:r w:rsidR="00D3125B" w:rsidRPr="00D3125B">
              <w:t xml:space="preserve">year. The department </w:t>
            </w:r>
            <w:r w:rsidR="001A6162">
              <w:t>considers</w:t>
            </w:r>
            <w:r w:rsidR="00D3125B" w:rsidRPr="00D3125B">
              <w:t xml:space="preserve"> this break-even point is likely to be achieved, given the risks to consumers of building practitioners </w:t>
            </w:r>
            <w:r w:rsidR="001A6162">
              <w:t xml:space="preserve">who </w:t>
            </w:r>
            <w:r w:rsidR="00D3125B" w:rsidRPr="00D3125B">
              <w:t>are not competent and the scale of building work undertaken each year.</w:t>
            </w:r>
          </w:p>
        </w:tc>
      </w:tr>
      <w:tr w:rsidR="003A7FBC" w:rsidRPr="000700D8" w:rsidTr="001A6162">
        <w:trPr>
          <w:trHeight w:val="549"/>
        </w:trPr>
        <w:tc>
          <w:tcPr>
            <w:tcW w:w="2041" w:type="dxa"/>
            <w:vMerge/>
          </w:tcPr>
          <w:p w:rsidR="003A7FBC" w:rsidRPr="000700D8" w:rsidRDefault="003A7FBC" w:rsidP="003A7FBC">
            <w:pPr>
              <w:keepNext/>
              <w:keepLines/>
              <w:numPr>
                <w:ilvl w:val="0"/>
                <w:numId w:val="7"/>
              </w:numPr>
              <w:spacing w:before="300" w:line="440" w:lineRule="exact"/>
              <w:ind w:right="0"/>
              <w:jc w:val="right"/>
              <w:outlineLvl w:val="0"/>
              <w:rPr>
                <w:color w:val="FF0000"/>
              </w:rPr>
            </w:pPr>
          </w:p>
        </w:tc>
        <w:tc>
          <w:tcPr>
            <w:tcW w:w="2344" w:type="dxa"/>
          </w:tcPr>
          <w:p w:rsidR="00F71F1A" w:rsidRDefault="00D3125B">
            <w:pPr>
              <w:pStyle w:val="Tabletext"/>
              <w:rPr>
                <w:rFonts w:cs="Times New Roman"/>
              </w:rPr>
            </w:pPr>
            <w:r w:rsidRPr="00D3125B">
              <w:t>Option 1.1</w:t>
            </w:r>
            <w:r w:rsidR="001A6162">
              <w:t xml:space="preserve"> – R</w:t>
            </w:r>
            <w:r w:rsidR="001A6162" w:rsidRPr="00160290">
              <w:t xml:space="preserve">emove requirement for </w:t>
            </w:r>
            <w:r w:rsidR="000E2924">
              <w:t>VBA</w:t>
            </w:r>
            <w:r w:rsidR="001A6162" w:rsidRPr="00160290">
              <w:t xml:space="preserve"> to </w:t>
            </w:r>
            <w:r w:rsidR="00D3152F">
              <w:t>assess practical</w:t>
            </w:r>
            <w:r w:rsidR="001A6162" w:rsidRPr="00160290">
              <w:t xml:space="preserve"> experience</w:t>
            </w:r>
            <w:r w:rsidRPr="00D3125B">
              <w:t xml:space="preserve"> </w:t>
            </w:r>
            <w:r w:rsidRPr="00D3125B">
              <w:rPr>
                <w:i/>
              </w:rPr>
              <w:t>(a reduced-regulation option when compared with the status quo)</w:t>
            </w:r>
          </w:p>
        </w:tc>
        <w:tc>
          <w:tcPr>
            <w:tcW w:w="3836" w:type="dxa"/>
          </w:tcPr>
          <w:p w:rsidR="00F71F1A" w:rsidRDefault="00D3125B">
            <w:pPr>
              <w:pStyle w:val="Tabletext"/>
              <w:rPr>
                <w:rFonts w:cs="Times New Roman"/>
              </w:rPr>
            </w:pPr>
            <w:r w:rsidRPr="00D3125B">
              <w:t xml:space="preserve">Incremental costs of $22.3 million </w:t>
            </w:r>
            <w:r w:rsidR="00746629">
              <w:t>a year</w:t>
            </w:r>
            <w:r w:rsidRPr="00D3125B">
              <w:t xml:space="preserve">. This option breaks even if at least 27,008 detrimental incidents are avoided each year. </w:t>
            </w:r>
          </w:p>
        </w:tc>
      </w:tr>
      <w:tr w:rsidR="003A7FBC" w:rsidRPr="000700D8" w:rsidTr="003A7FBC">
        <w:tc>
          <w:tcPr>
            <w:tcW w:w="2041" w:type="dxa"/>
            <w:vMerge w:val="restart"/>
          </w:tcPr>
          <w:p w:rsidR="00F71F1A" w:rsidRDefault="00D3125B">
            <w:pPr>
              <w:pStyle w:val="Tabletext"/>
              <w:rPr>
                <w:rFonts w:cs="Times New Roman"/>
              </w:rPr>
            </w:pPr>
            <w:r w:rsidRPr="00D3125B">
              <w:t>Prescribed information related to character</w:t>
            </w:r>
          </w:p>
        </w:tc>
        <w:tc>
          <w:tcPr>
            <w:tcW w:w="2344" w:type="dxa"/>
          </w:tcPr>
          <w:p w:rsidR="00F71F1A" w:rsidRDefault="00D3125B">
            <w:pPr>
              <w:pStyle w:val="Tabletext"/>
              <w:rPr>
                <w:rFonts w:cs="Times New Roman"/>
                <w:b/>
              </w:rPr>
            </w:pPr>
            <w:r w:rsidRPr="00D3125B">
              <w:rPr>
                <w:b/>
              </w:rPr>
              <w:t>Option 2 (preferred)</w:t>
            </w:r>
            <w:r w:rsidR="00EA5881">
              <w:rPr>
                <w:b/>
              </w:rPr>
              <w:t xml:space="preserve"> –</w:t>
            </w:r>
            <w:r w:rsidR="00482560">
              <w:rPr>
                <w:b/>
              </w:rPr>
              <w:t xml:space="preserve"> </w:t>
            </w:r>
            <w:r w:rsidRPr="00D3125B">
              <w:t xml:space="preserve">Remake </w:t>
            </w:r>
            <w:r w:rsidR="000E2924">
              <w:t>reg</w:t>
            </w:r>
            <w:r w:rsidR="00EA5881" w:rsidRPr="00FA2F8A">
              <w:t>1509</w:t>
            </w:r>
            <w:r w:rsidR="00D3152F">
              <w:t xml:space="preserve"> without change</w:t>
            </w:r>
          </w:p>
        </w:tc>
        <w:tc>
          <w:tcPr>
            <w:tcW w:w="3836" w:type="dxa"/>
          </w:tcPr>
          <w:p w:rsidR="00F71F1A" w:rsidRDefault="00D3125B">
            <w:pPr>
              <w:pStyle w:val="Tabletext"/>
              <w:rPr>
                <w:rFonts w:cs="Times New Roman"/>
              </w:rPr>
            </w:pPr>
            <w:r w:rsidRPr="00D3125B">
              <w:t xml:space="preserve">Incremental cost of $24,171 </w:t>
            </w:r>
            <w:r w:rsidR="00746629">
              <w:t>a year</w:t>
            </w:r>
            <w:r w:rsidRPr="00D3125B">
              <w:t xml:space="preserve">. This option breaks even if the requirement will prevent three unsuitable practitioners being registered each year. The department </w:t>
            </w:r>
            <w:r w:rsidR="001A6162">
              <w:t>considers</w:t>
            </w:r>
            <w:r w:rsidRPr="00D3125B">
              <w:t xml:space="preserve"> this break-even point is likely to be achieved, given the risks to consumers of those building practitioners considered of poor character and the scale of building work undertaken each year.</w:t>
            </w:r>
          </w:p>
        </w:tc>
      </w:tr>
      <w:tr w:rsidR="003A7FBC" w:rsidRPr="000700D8" w:rsidTr="003A7FBC">
        <w:tc>
          <w:tcPr>
            <w:tcW w:w="2041" w:type="dxa"/>
            <w:vMerge/>
          </w:tcPr>
          <w:p w:rsidR="003A7FBC" w:rsidRPr="000700D8" w:rsidRDefault="003A7FBC" w:rsidP="003A7FBC">
            <w:pPr>
              <w:spacing w:before="0" w:line="240" w:lineRule="atLeast"/>
              <w:ind w:left="0" w:right="0"/>
              <w:jc w:val="right"/>
              <w:rPr>
                <w:color w:val="FF0000"/>
              </w:rPr>
            </w:pPr>
          </w:p>
        </w:tc>
        <w:tc>
          <w:tcPr>
            <w:tcW w:w="2344" w:type="dxa"/>
          </w:tcPr>
          <w:p w:rsidR="00F71F1A" w:rsidRDefault="00D3125B">
            <w:pPr>
              <w:pStyle w:val="Tabletext"/>
              <w:rPr>
                <w:rFonts w:cs="Times New Roman"/>
              </w:rPr>
            </w:pPr>
            <w:r w:rsidRPr="00D3125B">
              <w:t>Option 2.1</w:t>
            </w:r>
            <w:r w:rsidR="00EA5881">
              <w:t xml:space="preserve"> –</w:t>
            </w:r>
            <w:r w:rsidRPr="00D3125B">
              <w:t xml:space="preserve"> </w:t>
            </w:r>
            <w:r w:rsidR="00D3152F">
              <w:t>Reduce</w:t>
            </w:r>
            <w:r w:rsidRPr="00D3125B">
              <w:t xml:space="preserve"> </w:t>
            </w:r>
            <w:r w:rsidR="00D3152F">
              <w:t>prescribed</w:t>
            </w:r>
            <w:r w:rsidR="00EA5881">
              <w:t xml:space="preserve"> </w:t>
            </w:r>
            <w:r w:rsidRPr="00D3125B">
              <w:t>information to be provided</w:t>
            </w:r>
            <w:r w:rsidR="00D3152F">
              <w:t xml:space="preserve"> by removing </w:t>
            </w:r>
            <w:r w:rsidR="000E2924">
              <w:t>reg</w:t>
            </w:r>
            <w:r w:rsidR="00D3152F">
              <w:t>1509(e)</w:t>
            </w:r>
          </w:p>
        </w:tc>
        <w:tc>
          <w:tcPr>
            <w:tcW w:w="3836" w:type="dxa"/>
          </w:tcPr>
          <w:p w:rsidR="00F71F1A" w:rsidRDefault="00D3125B">
            <w:pPr>
              <w:pStyle w:val="Tabletext"/>
              <w:rPr>
                <w:rFonts w:cs="Times New Roman"/>
              </w:rPr>
            </w:pPr>
            <w:r w:rsidRPr="00D3125B">
              <w:t xml:space="preserve">Incremental cost of $19,337 </w:t>
            </w:r>
            <w:r w:rsidR="00746629">
              <w:t>a year</w:t>
            </w:r>
            <w:r w:rsidRPr="00D3125B">
              <w:t xml:space="preserve">. This option breaks even if the requirement will prevent </w:t>
            </w:r>
            <w:r w:rsidR="00EA5881">
              <w:t xml:space="preserve">on average 2.5 </w:t>
            </w:r>
            <w:r w:rsidRPr="00D3125B">
              <w:t>unsuitable practitioners being registered each year.</w:t>
            </w:r>
          </w:p>
        </w:tc>
      </w:tr>
      <w:tr w:rsidR="003A7FBC" w:rsidRPr="000700D8" w:rsidTr="00093B56">
        <w:trPr>
          <w:trHeight w:val="839"/>
        </w:trPr>
        <w:tc>
          <w:tcPr>
            <w:tcW w:w="2041" w:type="dxa"/>
            <w:vMerge/>
          </w:tcPr>
          <w:p w:rsidR="003A7FBC" w:rsidRPr="000700D8" w:rsidRDefault="003A7FBC" w:rsidP="003A7FBC">
            <w:pPr>
              <w:spacing w:before="0" w:line="240" w:lineRule="atLeast"/>
              <w:ind w:left="0" w:right="0"/>
              <w:jc w:val="right"/>
              <w:rPr>
                <w:color w:val="FF0000"/>
              </w:rPr>
            </w:pPr>
          </w:p>
        </w:tc>
        <w:tc>
          <w:tcPr>
            <w:tcW w:w="2344" w:type="dxa"/>
          </w:tcPr>
          <w:p w:rsidR="00F71F1A" w:rsidRDefault="00EA5881">
            <w:pPr>
              <w:pStyle w:val="Tabletext"/>
              <w:rPr>
                <w:rFonts w:cs="Times New Roman"/>
              </w:rPr>
            </w:pPr>
            <w:r>
              <w:t>Option 2.2 –</w:t>
            </w:r>
            <w:r w:rsidRPr="00EA7513">
              <w:t xml:space="preserve"> </w:t>
            </w:r>
            <w:r w:rsidR="00D3152F">
              <w:t>Expand prescribed</w:t>
            </w:r>
            <w:r>
              <w:t xml:space="preserve"> </w:t>
            </w:r>
            <w:r w:rsidRPr="00EA7513">
              <w:t>information required to be provided</w:t>
            </w:r>
          </w:p>
        </w:tc>
        <w:tc>
          <w:tcPr>
            <w:tcW w:w="3836" w:type="dxa"/>
          </w:tcPr>
          <w:p w:rsidR="00F71F1A" w:rsidRDefault="00D3125B">
            <w:pPr>
              <w:pStyle w:val="Tabletext"/>
              <w:rPr>
                <w:rFonts w:cs="Times New Roman"/>
              </w:rPr>
            </w:pPr>
            <w:r w:rsidRPr="00D3125B">
              <w:t xml:space="preserve">Incremental cost of $33,839 </w:t>
            </w:r>
            <w:r w:rsidR="00746629">
              <w:t>a year</w:t>
            </w:r>
            <w:r w:rsidRPr="00D3125B">
              <w:t xml:space="preserve">. This option breaks even if the requirement will prevent </w:t>
            </w:r>
            <w:r w:rsidR="00EA5881">
              <w:t xml:space="preserve">on average 4.5 </w:t>
            </w:r>
            <w:r w:rsidRPr="00D3125B">
              <w:t>unsuitable practitioners being registered each year.</w:t>
            </w:r>
          </w:p>
        </w:tc>
      </w:tr>
      <w:tr w:rsidR="003A7FBC" w:rsidRPr="000700D8" w:rsidTr="003A7FBC">
        <w:tc>
          <w:tcPr>
            <w:tcW w:w="2041" w:type="dxa"/>
            <w:vMerge w:val="restart"/>
          </w:tcPr>
          <w:p w:rsidR="00F71F1A" w:rsidRDefault="00D3125B">
            <w:pPr>
              <w:pStyle w:val="Tabletext"/>
              <w:rPr>
                <w:rFonts w:cs="Times New Roman"/>
              </w:rPr>
            </w:pPr>
            <w:r w:rsidRPr="00D3125B">
              <w:t>Professional standards</w:t>
            </w:r>
          </w:p>
        </w:tc>
        <w:tc>
          <w:tcPr>
            <w:tcW w:w="2344" w:type="dxa"/>
          </w:tcPr>
          <w:p w:rsidR="00F71F1A" w:rsidRDefault="00D3125B">
            <w:pPr>
              <w:pStyle w:val="Tabletext"/>
              <w:rPr>
                <w:rFonts w:cs="Times New Roman"/>
                <w:b/>
              </w:rPr>
            </w:pPr>
            <w:r w:rsidRPr="00D3125B">
              <w:rPr>
                <w:b/>
              </w:rPr>
              <w:t>Option 3 (</w:t>
            </w:r>
            <w:r w:rsidR="00EA5881">
              <w:rPr>
                <w:b/>
              </w:rPr>
              <w:t>p</w:t>
            </w:r>
            <w:r w:rsidRPr="00D3125B">
              <w:rPr>
                <w:b/>
              </w:rPr>
              <w:t xml:space="preserve">referred) </w:t>
            </w:r>
            <w:r w:rsidRPr="00D3125B">
              <w:t>–</w:t>
            </w:r>
            <w:r w:rsidR="004028EE">
              <w:t xml:space="preserve"> </w:t>
            </w:r>
            <w:r w:rsidRPr="00D3125B">
              <w:t xml:space="preserve">Remake </w:t>
            </w:r>
            <w:r w:rsidR="000E2924">
              <w:t>reg</w:t>
            </w:r>
            <w:r w:rsidR="00EA5881" w:rsidRPr="00FA2F8A">
              <w:t>1502</w:t>
            </w:r>
            <w:r w:rsidR="00D3152F">
              <w:t xml:space="preserve"> without change</w:t>
            </w:r>
          </w:p>
        </w:tc>
        <w:tc>
          <w:tcPr>
            <w:tcW w:w="3836" w:type="dxa"/>
          </w:tcPr>
          <w:p w:rsidR="00F71F1A" w:rsidRDefault="00D3125B">
            <w:pPr>
              <w:pStyle w:val="Tabletext"/>
              <w:rPr>
                <w:rFonts w:cs="Times New Roman"/>
              </w:rPr>
            </w:pPr>
            <w:r w:rsidRPr="00D3125B">
              <w:t xml:space="preserve">No material cost or benefit measured as the Regulation is considered to assist in the management of disciplinary action but of itself does not change behaviour. This will provide increased certainty as to why disciplinary actions are being taken. </w:t>
            </w:r>
          </w:p>
        </w:tc>
      </w:tr>
      <w:tr w:rsidR="003A7FBC" w:rsidRPr="000700D8" w:rsidTr="00A13352">
        <w:tc>
          <w:tcPr>
            <w:tcW w:w="2041" w:type="dxa"/>
            <w:vMerge/>
          </w:tcPr>
          <w:p w:rsidR="003A7FBC" w:rsidRPr="000700D8" w:rsidRDefault="003A7FBC" w:rsidP="003A7FBC">
            <w:pPr>
              <w:spacing w:before="0" w:line="240" w:lineRule="atLeast"/>
              <w:ind w:left="0" w:right="0"/>
              <w:jc w:val="right"/>
              <w:rPr>
                <w:color w:val="FF0000"/>
              </w:rPr>
            </w:pPr>
          </w:p>
        </w:tc>
        <w:tc>
          <w:tcPr>
            <w:tcW w:w="2344" w:type="dxa"/>
            <w:tcBorders>
              <w:bottom w:val="single" w:sz="8" w:space="0" w:color="00B2A9" w:themeColor="text2"/>
            </w:tcBorders>
          </w:tcPr>
          <w:p w:rsidR="00F71F1A" w:rsidRDefault="00D3125B">
            <w:pPr>
              <w:pStyle w:val="Tabletext"/>
              <w:rPr>
                <w:rFonts w:cs="Times New Roman"/>
                <w:b/>
              </w:rPr>
            </w:pPr>
            <w:r w:rsidRPr="00D3125B">
              <w:t xml:space="preserve">Option 3.1: Remake only </w:t>
            </w:r>
            <w:proofErr w:type="spellStart"/>
            <w:r w:rsidR="000E2924">
              <w:t>pt</w:t>
            </w:r>
            <w:proofErr w:type="spellEnd"/>
            <w:r w:rsidRPr="00D3125B">
              <w:t xml:space="preserve">(a) of </w:t>
            </w:r>
            <w:r w:rsidR="000E2924">
              <w:t>reg</w:t>
            </w:r>
            <w:r w:rsidRPr="00D3125B">
              <w:t xml:space="preserve">1502 </w:t>
            </w:r>
          </w:p>
        </w:tc>
        <w:tc>
          <w:tcPr>
            <w:tcW w:w="3836" w:type="dxa"/>
            <w:tcBorders>
              <w:bottom w:val="single" w:sz="8" w:space="0" w:color="00B2A9" w:themeColor="text2"/>
            </w:tcBorders>
          </w:tcPr>
          <w:p w:rsidR="00F71F1A" w:rsidRDefault="00D3125B">
            <w:pPr>
              <w:pStyle w:val="Tabletext"/>
            </w:pPr>
            <w:r w:rsidRPr="00D3125B">
              <w:t xml:space="preserve">No material difference from remaking the current Regulation as </w:t>
            </w:r>
            <w:r w:rsidR="000E2924">
              <w:t>VBA</w:t>
            </w:r>
            <w:r w:rsidRPr="00D3125B">
              <w:t xml:space="preserve"> reports very little use of the Regulations other than </w:t>
            </w:r>
            <w:proofErr w:type="spellStart"/>
            <w:r w:rsidR="000E2924">
              <w:t>pt</w:t>
            </w:r>
            <w:proofErr w:type="spellEnd"/>
            <w:r w:rsidRPr="00D3125B">
              <w:t>(a).</w:t>
            </w:r>
          </w:p>
          <w:p w:rsidR="00011DF3" w:rsidRDefault="00011DF3">
            <w:pPr>
              <w:pStyle w:val="Tabletext"/>
            </w:pPr>
          </w:p>
          <w:p w:rsidR="00011DF3" w:rsidRDefault="00011DF3">
            <w:pPr>
              <w:pStyle w:val="Tabletext"/>
            </w:pPr>
          </w:p>
          <w:p w:rsidR="00011DF3" w:rsidRDefault="00011DF3">
            <w:pPr>
              <w:pStyle w:val="Tabletext"/>
              <w:rPr>
                <w:rFonts w:cs="Times New Roman"/>
              </w:rPr>
            </w:pPr>
          </w:p>
        </w:tc>
      </w:tr>
      <w:tr w:rsidR="003A7FBC" w:rsidRPr="00A13352" w:rsidTr="00A13352">
        <w:trPr>
          <w:trHeight w:val="782"/>
        </w:trPr>
        <w:tc>
          <w:tcPr>
            <w:tcW w:w="2041" w:type="dxa"/>
            <w:vMerge w:val="restart"/>
          </w:tcPr>
          <w:p w:rsidR="00F71F1A" w:rsidRDefault="00D3125B">
            <w:pPr>
              <w:pStyle w:val="Tabletext"/>
            </w:pPr>
            <w:r w:rsidRPr="00D3125B">
              <w:lastRenderedPageBreak/>
              <w:t>Period during which a private building surveyor cannot act</w:t>
            </w:r>
          </w:p>
          <w:p w:rsidR="00F71F1A" w:rsidRDefault="00F71F1A">
            <w:pPr>
              <w:pStyle w:val="Tabletext"/>
            </w:pPr>
          </w:p>
        </w:tc>
        <w:tc>
          <w:tcPr>
            <w:tcW w:w="2344" w:type="dxa"/>
            <w:tcBorders>
              <w:bottom w:val="single" w:sz="4" w:space="0" w:color="auto"/>
              <w:right w:val="nil"/>
            </w:tcBorders>
          </w:tcPr>
          <w:p w:rsidR="00F71F1A" w:rsidRDefault="00D3125B">
            <w:pPr>
              <w:pStyle w:val="Tabletext"/>
              <w:rPr>
                <w:i/>
              </w:rPr>
            </w:pPr>
            <w:r w:rsidRPr="00D3125B">
              <w:rPr>
                <w:b/>
              </w:rPr>
              <w:t>Option 4 (preferred)</w:t>
            </w:r>
            <w:r w:rsidRPr="00D3125B">
              <w:t xml:space="preserve"> – Remake </w:t>
            </w:r>
            <w:r w:rsidR="000E2924">
              <w:t>reg</w:t>
            </w:r>
            <w:r w:rsidRPr="00D3125B">
              <w:t xml:space="preserve">1504 </w:t>
            </w:r>
            <w:r w:rsidRPr="00D3125B">
              <w:rPr>
                <w:i/>
              </w:rPr>
              <w:t xml:space="preserve">(retain period during which a private building surveyor cannot act of </w:t>
            </w:r>
            <w:r w:rsidR="00A13352">
              <w:rPr>
                <w:i/>
              </w:rPr>
              <w:t xml:space="preserve">one </w:t>
            </w:r>
            <w:r w:rsidRPr="00D3125B">
              <w:rPr>
                <w:i/>
              </w:rPr>
              <w:t>year</w:t>
            </w:r>
            <w:r w:rsidR="00A13352">
              <w:rPr>
                <w:i/>
              </w:rPr>
              <w:t>)</w:t>
            </w:r>
          </w:p>
          <w:p w:rsidR="00F71F1A" w:rsidRDefault="00F71F1A">
            <w:pPr>
              <w:pStyle w:val="Tabletext"/>
            </w:pPr>
          </w:p>
        </w:tc>
        <w:tc>
          <w:tcPr>
            <w:tcW w:w="3836" w:type="dxa"/>
            <w:vMerge w:val="restart"/>
            <w:tcBorders>
              <w:left w:val="nil"/>
            </w:tcBorders>
          </w:tcPr>
          <w:p w:rsidR="00F71F1A" w:rsidRDefault="00D3125B">
            <w:pPr>
              <w:pStyle w:val="Tabletext"/>
            </w:pPr>
            <w:r w:rsidRPr="00D3125B">
              <w:t xml:space="preserve">The optimal prescribed period needs to balance the need to avoid conflicts of interest while minimising restricting work where no conflict exists or forcing use of exemption processes. The department considers the current period of </w:t>
            </w:r>
            <w:r w:rsidR="00A13352">
              <w:t>one</w:t>
            </w:r>
            <w:r w:rsidRPr="00D3125B">
              <w:t xml:space="preserve"> year balances these needs, and has no significant impact on the ability of building surveyors to operate. </w:t>
            </w:r>
          </w:p>
        </w:tc>
      </w:tr>
      <w:tr w:rsidR="00A13352" w:rsidRPr="000700D8" w:rsidTr="00A13352">
        <w:trPr>
          <w:trHeight w:val="1754"/>
        </w:trPr>
        <w:tc>
          <w:tcPr>
            <w:tcW w:w="2041" w:type="dxa"/>
            <w:vMerge/>
          </w:tcPr>
          <w:p w:rsidR="00F71F1A" w:rsidRDefault="00F71F1A">
            <w:pPr>
              <w:pStyle w:val="Tabletext"/>
            </w:pPr>
          </w:p>
        </w:tc>
        <w:tc>
          <w:tcPr>
            <w:tcW w:w="2344" w:type="dxa"/>
            <w:tcBorders>
              <w:top w:val="single" w:sz="4" w:space="0" w:color="auto"/>
              <w:right w:val="nil"/>
            </w:tcBorders>
          </w:tcPr>
          <w:p w:rsidR="00F71F1A" w:rsidRDefault="00D3125B">
            <w:pPr>
              <w:pStyle w:val="Tabletext"/>
            </w:pPr>
            <w:r w:rsidRPr="00D3125B">
              <w:t>Option 4.1</w:t>
            </w:r>
            <w:r w:rsidR="00A13352">
              <w:t xml:space="preserve"> – </w:t>
            </w:r>
            <w:r w:rsidRPr="00D3125B">
              <w:t xml:space="preserve">Reduce the prescribed period to </w:t>
            </w:r>
            <w:r w:rsidR="00A13352">
              <w:t xml:space="preserve">six </w:t>
            </w:r>
            <w:r w:rsidRPr="00D3125B">
              <w:t>months</w:t>
            </w:r>
          </w:p>
          <w:p w:rsidR="00F71F1A" w:rsidRDefault="00D3125B">
            <w:pPr>
              <w:pStyle w:val="Tabletext"/>
              <w:rPr>
                <w:b/>
                <w:u w:val="single"/>
              </w:rPr>
            </w:pPr>
            <w:r w:rsidRPr="00D3125B">
              <w:t>Option 4.2</w:t>
            </w:r>
            <w:r w:rsidR="00A13352">
              <w:t xml:space="preserve"> – </w:t>
            </w:r>
            <w:r w:rsidRPr="00D3125B">
              <w:t xml:space="preserve">Increase the prescribed period to </w:t>
            </w:r>
            <w:r w:rsidR="00A13352">
              <w:t>two</w:t>
            </w:r>
            <w:r w:rsidRPr="00D3125B">
              <w:t xml:space="preserve"> years </w:t>
            </w:r>
          </w:p>
        </w:tc>
        <w:tc>
          <w:tcPr>
            <w:tcW w:w="3836" w:type="dxa"/>
            <w:vMerge/>
            <w:tcBorders>
              <w:left w:val="nil"/>
            </w:tcBorders>
          </w:tcPr>
          <w:p w:rsidR="00F71F1A" w:rsidRDefault="00F71F1A">
            <w:pPr>
              <w:pStyle w:val="Tabletext"/>
            </w:pPr>
          </w:p>
        </w:tc>
      </w:tr>
      <w:tr w:rsidR="003A7FBC" w:rsidRPr="000700D8" w:rsidTr="003A7FBC">
        <w:tc>
          <w:tcPr>
            <w:tcW w:w="2041" w:type="dxa"/>
          </w:tcPr>
          <w:p w:rsidR="00F71F1A" w:rsidRDefault="00D3125B">
            <w:pPr>
              <w:pStyle w:val="Tabletext"/>
            </w:pPr>
            <w:r w:rsidRPr="00D3125B">
              <w:t>Prescribed information for applications</w:t>
            </w:r>
          </w:p>
        </w:tc>
        <w:tc>
          <w:tcPr>
            <w:tcW w:w="2344" w:type="dxa"/>
          </w:tcPr>
          <w:p w:rsidR="00F71F1A" w:rsidRDefault="00D3125B">
            <w:pPr>
              <w:pStyle w:val="Tabletext"/>
            </w:pPr>
            <w:r w:rsidRPr="00D3125B">
              <w:rPr>
                <w:b/>
              </w:rPr>
              <w:t xml:space="preserve">Option 5 (preferred) </w:t>
            </w:r>
            <w:r w:rsidRPr="00D3125B">
              <w:t>–</w:t>
            </w:r>
            <w:r w:rsidR="00A13352" w:rsidRPr="00366BFC">
              <w:t>Prescrib</w:t>
            </w:r>
            <w:r w:rsidR="00A13352">
              <w:t>e</w:t>
            </w:r>
            <w:r w:rsidR="00A13352" w:rsidRPr="00366BFC">
              <w:t xml:space="preserve"> application forms and other documents to be provided with an application</w:t>
            </w:r>
          </w:p>
        </w:tc>
        <w:tc>
          <w:tcPr>
            <w:tcW w:w="3836" w:type="dxa"/>
          </w:tcPr>
          <w:p w:rsidR="00F71F1A" w:rsidRDefault="00D3125B">
            <w:pPr>
              <w:pStyle w:val="Tabletext"/>
            </w:pPr>
            <w:r w:rsidRPr="00D3125B">
              <w:t xml:space="preserve">No material cost or benefit as this codifies the practice already used by </w:t>
            </w:r>
            <w:r w:rsidR="000E2924">
              <w:t>VBA</w:t>
            </w:r>
            <w:r w:rsidRPr="00D3125B">
              <w:t xml:space="preserve">, for which it has legislative powers. This will </w:t>
            </w:r>
            <w:r w:rsidR="00A13352">
              <w:rPr>
                <w:bCs/>
              </w:rPr>
              <w:t xml:space="preserve">help </w:t>
            </w:r>
            <w:r w:rsidRPr="00D3125B">
              <w:rPr>
                <w:bCs/>
              </w:rPr>
              <w:t>provid</w:t>
            </w:r>
            <w:r w:rsidR="00A13352">
              <w:rPr>
                <w:bCs/>
              </w:rPr>
              <w:t>e</w:t>
            </w:r>
            <w:r w:rsidRPr="00D3125B">
              <w:rPr>
                <w:bCs/>
              </w:rPr>
              <w:t xml:space="preserve"> transparency of process for applicants seeking registration as a building practitioner. </w:t>
            </w:r>
          </w:p>
        </w:tc>
      </w:tr>
      <w:tr w:rsidR="003A7FBC" w:rsidRPr="000700D8" w:rsidTr="003A7FBC">
        <w:tc>
          <w:tcPr>
            <w:tcW w:w="2041" w:type="dxa"/>
          </w:tcPr>
          <w:p w:rsidR="00F71F1A" w:rsidRDefault="00D3125B">
            <w:pPr>
              <w:pStyle w:val="Tabletext"/>
              <w:rPr>
                <w:rFonts w:cs="Times New Roman"/>
              </w:rPr>
            </w:pPr>
            <w:r w:rsidRPr="00D3125B">
              <w:t>Completing applications personally</w:t>
            </w:r>
          </w:p>
        </w:tc>
        <w:tc>
          <w:tcPr>
            <w:tcW w:w="2344" w:type="dxa"/>
          </w:tcPr>
          <w:p w:rsidR="00F71F1A" w:rsidRDefault="00A13352">
            <w:pPr>
              <w:pStyle w:val="Tabletext"/>
              <w:rPr>
                <w:rFonts w:cs="Times New Roman"/>
              </w:rPr>
            </w:pPr>
            <w:r w:rsidRPr="00EA7513">
              <w:t>Option 6</w:t>
            </w:r>
            <w:r>
              <w:t xml:space="preserve"> –</w:t>
            </w:r>
            <w:r w:rsidRPr="00EA7513">
              <w:t xml:space="preserve"> Require a statutory declaration that an applicant</w:t>
            </w:r>
            <w:r>
              <w:t xml:space="preserve">, not a third party, has prepared the </w:t>
            </w:r>
            <w:r w:rsidR="00B257D3">
              <w:t>application</w:t>
            </w:r>
          </w:p>
        </w:tc>
        <w:tc>
          <w:tcPr>
            <w:tcW w:w="3836" w:type="dxa"/>
          </w:tcPr>
          <w:p w:rsidR="00F71F1A" w:rsidRDefault="00D3125B">
            <w:pPr>
              <w:pStyle w:val="Tabletext"/>
              <w:rPr>
                <w:rFonts w:cs="Times New Roman"/>
              </w:rPr>
            </w:pPr>
            <w:r w:rsidRPr="00D3125B">
              <w:t xml:space="preserve">Incremental cost to applicants of $10,038 </w:t>
            </w:r>
            <w:r w:rsidR="00746629">
              <w:t>a year</w:t>
            </w:r>
            <w:r w:rsidRPr="00D3125B">
              <w:t xml:space="preserve">. However, requiring an applicant to prepare the application themselves will not adequately </w:t>
            </w:r>
            <w:r w:rsidR="00A13352">
              <w:t xml:space="preserve">address </w:t>
            </w:r>
            <w:r w:rsidRPr="00D3125B">
              <w:t xml:space="preserve">the problem identified and will most likely result in a higher burden on other applicants. </w:t>
            </w:r>
            <w:r w:rsidR="000E2924">
              <w:t>VBA</w:t>
            </w:r>
            <w:r w:rsidRPr="00D3125B">
              <w:t xml:space="preserve"> </w:t>
            </w:r>
            <w:r w:rsidR="00B13302">
              <w:t>advises there</w:t>
            </w:r>
            <w:r w:rsidRPr="00D3125B">
              <w:t xml:space="preserve"> other </w:t>
            </w:r>
            <w:proofErr w:type="spellStart"/>
            <w:r w:rsidRPr="00D3125B">
              <w:t>nonregulatory</w:t>
            </w:r>
            <w:proofErr w:type="spellEnd"/>
            <w:r w:rsidRPr="00D3125B">
              <w:t xml:space="preserve"> steps </w:t>
            </w:r>
            <w:r w:rsidR="00A13352">
              <w:t xml:space="preserve">it </w:t>
            </w:r>
            <w:r w:rsidRPr="00D3125B">
              <w:t>could take to address the problem.</w:t>
            </w:r>
          </w:p>
        </w:tc>
      </w:tr>
    </w:tbl>
    <w:p w:rsidR="003A7FBC" w:rsidRPr="000700D8" w:rsidRDefault="003A7FBC" w:rsidP="001623C3"/>
    <w:p w:rsidR="003A7FBC" w:rsidRPr="00A13352" w:rsidRDefault="00D3125B" w:rsidP="00743668">
      <w:pPr>
        <w:pStyle w:val="Normalpre-dotpoint"/>
      </w:pPr>
      <w:r w:rsidRPr="00D3125B">
        <w:t>In summary, the preferred approach is to:</w:t>
      </w:r>
    </w:p>
    <w:p w:rsidR="002129C8" w:rsidRPr="00A13352" w:rsidRDefault="00D3125B" w:rsidP="00743668">
      <w:pPr>
        <w:pStyle w:val="Dotpoint"/>
      </w:pPr>
      <w:r w:rsidRPr="00D3125B">
        <w:t>remake the Regulations related to qualifications and experience</w:t>
      </w:r>
      <w:r w:rsidR="00EB5F25">
        <w:t xml:space="preserve"> with some updates</w:t>
      </w:r>
    </w:p>
    <w:p w:rsidR="003A7FBC" w:rsidRPr="00A13352" w:rsidRDefault="00D3125B" w:rsidP="00743668">
      <w:pPr>
        <w:pStyle w:val="Dotpoint"/>
      </w:pPr>
      <w:r w:rsidRPr="00D3125B">
        <w:t xml:space="preserve">remake the </w:t>
      </w:r>
      <w:r w:rsidR="00EB5F25">
        <w:t>Regulation</w:t>
      </w:r>
      <w:r w:rsidR="00B440F1">
        <w:t xml:space="preserve"> prescribing information to be provided with an application </w:t>
      </w:r>
      <w:r w:rsidRPr="00D3125B">
        <w:t>to demonstrate good character</w:t>
      </w:r>
    </w:p>
    <w:p w:rsidR="003A7FBC" w:rsidRPr="00A13352" w:rsidRDefault="00D3125B" w:rsidP="00743668">
      <w:pPr>
        <w:pStyle w:val="Dotpoint"/>
      </w:pPr>
      <w:r w:rsidRPr="00D3125B">
        <w:t xml:space="preserve">remake the Regulation related to </w:t>
      </w:r>
      <w:r w:rsidR="00B440F1">
        <w:t xml:space="preserve">professional </w:t>
      </w:r>
      <w:r w:rsidRPr="00D3125B">
        <w:t>standards, without change</w:t>
      </w:r>
    </w:p>
    <w:p w:rsidR="003A7FBC" w:rsidRPr="00A13352" w:rsidRDefault="00D3125B" w:rsidP="00743668">
      <w:pPr>
        <w:pStyle w:val="Dotpoint"/>
      </w:pPr>
      <w:r w:rsidRPr="00D3125B">
        <w:t xml:space="preserve">remake the Regulation related to the period for which a private building surveyor </w:t>
      </w:r>
      <w:r w:rsidR="00010CE1">
        <w:t xml:space="preserve">(PBS) </w:t>
      </w:r>
      <w:r w:rsidRPr="00D3125B">
        <w:t>cannot act, without change</w:t>
      </w:r>
    </w:p>
    <w:p w:rsidR="003A7FBC" w:rsidRPr="00A13352" w:rsidRDefault="00D3125B" w:rsidP="00743668">
      <w:pPr>
        <w:pStyle w:val="Dotpointlast"/>
      </w:pPr>
      <w:r w:rsidRPr="00D3125B">
        <w:t>introduce a Regulation prescribing application forms and other documents to be provided with an application.</w:t>
      </w:r>
    </w:p>
    <w:p w:rsidR="003A7FBC" w:rsidRPr="00A13352" w:rsidRDefault="00D3125B" w:rsidP="00743668">
      <w:r w:rsidRPr="00D3125B">
        <w:t>Two of the current Regulations impose restrictions on competition. These are the prescribing of qualifications and experience in order to be registered and the prescribing of the period in which a building surveyor may not undertake certain work. These impacts are discussed in the relevant chapters in this report.</w:t>
      </w:r>
    </w:p>
    <w:p w:rsidR="003A7FBC" w:rsidRPr="00160290" w:rsidRDefault="003A7FBC" w:rsidP="00F7154D"/>
    <w:p w:rsidR="003A7FBC" w:rsidRPr="00160290" w:rsidRDefault="003A7FBC" w:rsidP="00F7154D"/>
    <w:p w:rsidR="003A7FBC" w:rsidRPr="00160290" w:rsidRDefault="003A7FBC" w:rsidP="00F7154D"/>
    <w:p w:rsidR="00C91615" w:rsidRPr="00160290" w:rsidRDefault="00C91615">
      <w:pPr>
        <w:spacing w:after="0"/>
        <w:rPr>
          <w:b/>
          <w:bCs/>
          <w:color w:val="201547" w:themeColor="accent2"/>
          <w:kern w:val="32"/>
          <w:sz w:val="40"/>
          <w:szCs w:val="32"/>
        </w:rPr>
      </w:pPr>
      <w:bookmarkStart w:id="9" w:name="_Toc475087229"/>
      <w:r w:rsidRPr="00160290">
        <w:br w:type="page"/>
      </w:r>
    </w:p>
    <w:p w:rsidR="0033590D" w:rsidRDefault="00F71F1A" w:rsidP="00011DF3">
      <w:pPr>
        <w:pStyle w:val="Heading1"/>
      </w:pPr>
      <w:bookmarkStart w:id="10" w:name="_Toc475087230"/>
      <w:bookmarkStart w:id="11" w:name="_Toc481502164"/>
      <w:bookmarkEnd w:id="9"/>
      <w:r>
        <w:lastRenderedPageBreak/>
        <w:t>C</w:t>
      </w:r>
      <w:r w:rsidR="00C7353B" w:rsidRPr="00160290">
        <w:t>1</w:t>
      </w:r>
      <w:r w:rsidR="00C7353B" w:rsidRPr="00160290">
        <w:tab/>
      </w:r>
      <w:r w:rsidR="003A7FBC" w:rsidRPr="00160290">
        <w:t>Introduction</w:t>
      </w:r>
      <w:bookmarkEnd w:id="10"/>
      <w:bookmarkEnd w:id="11"/>
    </w:p>
    <w:p w:rsidR="003A7FBC" w:rsidRPr="00160290" w:rsidRDefault="003A7FBC" w:rsidP="00743668">
      <w:r w:rsidRPr="00160290">
        <w:t xml:space="preserve">As </w:t>
      </w:r>
      <w:r w:rsidR="00C91615" w:rsidRPr="00160290">
        <w:t xml:space="preserve">explained </w:t>
      </w:r>
      <w:r w:rsidRPr="00160290">
        <w:t xml:space="preserve">in </w:t>
      </w:r>
      <w:r w:rsidR="00C91615" w:rsidRPr="00160290">
        <w:t>p</w:t>
      </w:r>
      <w:r w:rsidRPr="00160290">
        <w:t>arts A and B of this RIS, under the Act</w:t>
      </w:r>
      <w:r w:rsidR="00C91615" w:rsidRPr="00160290">
        <w:t xml:space="preserve"> </w:t>
      </w:r>
      <w:r w:rsidRPr="00160290">
        <w:t xml:space="preserve">a person must not carry out building work unless the work is carried out in accordance with the Act, the </w:t>
      </w:r>
      <w:r w:rsidR="00C91615" w:rsidRPr="00160290">
        <w:t xml:space="preserve">current </w:t>
      </w:r>
      <w:r w:rsidRPr="00160290">
        <w:t xml:space="preserve">Regulations and </w:t>
      </w:r>
      <w:r w:rsidR="00C91615" w:rsidRPr="00160290">
        <w:t xml:space="preserve">a </w:t>
      </w:r>
      <w:r w:rsidRPr="00160290">
        <w:t xml:space="preserve">building permit issued </w:t>
      </w:r>
      <w:r w:rsidR="00703FD9" w:rsidRPr="00160290">
        <w:t>in relation to</w:t>
      </w:r>
      <w:r w:rsidRPr="00160290">
        <w:t xml:space="preserve"> that work (if required).</w:t>
      </w:r>
      <w:r w:rsidR="002129C8" w:rsidRPr="00160290">
        <w:t xml:space="preserve"> </w:t>
      </w:r>
      <w:r w:rsidRPr="00160290">
        <w:t xml:space="preserve">Some aspects of building work and practitioners are covered by the </w:t>
      </w:r>
      <w:r w:rsidRPr="00160290">
        <w:rPr>
          <w:i/>
        </w:rPr>
        <w:t>Domestic Building Contracts Act 1995</w:t>
      </w:r>
      <w:r w:rsidRPr="00160290">
        <w:t xml:space="preserve"> which is outside the current scope of this </w:t>
      </w:r>
      <w:r w:rsidR="00C91615" w:rsidRPr="00160290">
        <w:t>RIS</w:t>
      </w:r>
      <w:r w:rsidRPr="00160290">
        <w:t>.</w:t>
      </w:r>
    </w:p>
    <w:p w:rsidR="003A7FBC" w:rsidRPr="00160290" w:rsidRDefault="003A7FBC" w:rsidP="00743668">
      <w:pPr>
        <w:pStyle w:val="Normalpre-dotpoint"/>
      </w:pPr>
      <w:r w:rsidRPr="00160290">
        <w:t>Various parts of the Act set out requirements in relation to:</w:t>
      </w:r>
    </w:p>
    <w:p w:rsidR="003A7FBC" w:rsidRPr="00160290" w:rsidRDefault="00C91615" w:rsidP="00743668">
      <w:pPr>
        <w:pStyle w:val="Dotpoint"/>
      </w:pPr>
      <w:r w:rsidRPr="00160290">
        <w:t>b</w:t>
      </w:r>
      <w:r w:rsidR="003A7FBC" w:rsidRPr="00160290">
        <w:t xml:space="preserve">uilding </w:t>
      </w:r>
      <w:r w:rsidRPr="00160290">
        <w:t>s</w:t>
      </w:r>
      <w:r w:rsidR="003A7FBC" w:rsidRPr="00160290">
        <w:t>tandards (</w:t>
      </w:r>
      <w:proofErr w:type="spellStart"/>
      <w:r w:rsidR="0062727D">
        <w:t>pt</w:t>
      </w:r>
      <w:proofErr w:type="spellEnd"/>
      <w:r w:rsidR="003A7FBC" w:rsidRPr="00160290">
        <w:t xml:space="preserve"> 2)</w:t>
      </w:r>
    </w:p>
    <w:p w:rsidR="003A7FBC" w:rsidRPr="00160290" w:rsidRDefault="00C91615" w:rsidP="00743668">
      <w:pPr>
        <w:pStyle w:val="Dotpoint"/>
      </w:pPr>
      <w:r w:rsidRPr="00160290">
        <w:t>b</w:t>
      </w:r>
      <w:r w:rsidR="003A7FBC" w:rsidRPr="00160290">
        <w:t>uilding permits (</w:t>
      </w:r>
      <w:proofErr w:type="spellStart"/>
      <w:r w:rsidR="0062727D">
        <w:t>pt</w:t>
      </w:r>
      <w:proofErr w:type="spellEnd"/>
      <w:r w:rsidR="003A7FBC" w:rsidRPr="00160290">
        <w:t xml:space="preserve"> 3)</w:t>
      </w:r>
    </w:p>
    <w:p w:rsidR="003A7FBC" w:rsidRPr="00160290" w:rsidRDefault="00C91615" w:rsidP="00743668">
      <w:pPr>
        <w:pStyle w:val="Dotpoint"/>
      </w:pPr>
      <w:r w:rsidRPr="00160290">
        <w:t>i</w:t>
      </w:r>
      <w:r w:rsidR="003A7FBC" w:rsidRPr="00160290">
        <w:t xml:space="preserve">nspection of </w:t>
      </w:r>
      <w:r w:rsidRPr="00160290">
        <w:t>b</w:t>
      </w:r>
      <w:r w:rsidR="003A7FBC" w:rsidRPr="00160290">
        <w:t>uilding works (</w:t>
      </w:r>
      <w:proofErr w:type="spellStart"/>
      <w:r w:rsidR="0062727D">
        <w:t>pt</w:t>
      </w:r>
      <w:proofErr w:type="spellEnd"/>
      <w:r w:rsidR="003A7FBC" w:rsidRPr="00160290">
        <w:t xml:space="preserve"> 4)</w:t>
      </w:r>
    </w:p>
    <w:p w:rsidR="003A7FBC" w:rsidRPr="00160290" w:rsidRDefault="00C91615" w:rsidP="00743668">
      <w:pPr>
        <w:pStyle w:val="Dotpoint"/>
      </w:pPr>
      <w:r w:rsidRPr="00160290">
        <w:t>o</w:t>
      </w:r>
      <w:r w:rsidR="003A7FBC" w:rsidRPr="00160290">
        <w:t>ccupancy permits (</w:t>
      </w:r>
      <w:proofErr w:type="spellStart"/>
      <w:r w:rsidR="0062727D">
        <w:t>pt</w:t>
      </w:r>
      <w:proofErr w:type="spellEnd"/>
      <w:r w:rsidR="003A7FBC" w:rsidRPr="00160290">
        <w:t xml:space="preserve"> 5)</w:t>
      </w:r>
    </w:p>
    <w:p w:rsidR="003A7FBC" w:rsidRPr="00160290" w:rsidRDefault="00C91615" w:rsidP="00743668">
      <w:pPr>
        <w:pStyle w:val="Dotpoint"/>
      </w:pPr>
      <w:r w:rsidRPr="00160290">
        <w:t>r</w:t>
      </w:r>
      <w:r w:rsidR="003A7FBC" w:rsidRPr="00160290">
        <w:t>egistration of building practitioners (</w:t>
      </w:r>
      <w:proofErr w:type="spellStart"/>
      <w:r w:rsidR="0062727D">
        <w:t>pt</w:t>
      </w:r>
      <w:proofErr w:type="spellEnd"/>
      <w:r w:rsidR="003A7FBC" w:rsidRPr="00160290">
        <w:t xml:space="preserve"> 11)</w:t>
      </w:r>
    </w:p>
    <w:p w:rsidR="003A7FBC" w:rsidRPr="00160290" w:rsidRDefault="00C91615" w:rsidP="00743668">
      <w:pPr>
        <w:pStyle w:val="Dotpoint"/>
      </w:pPr>
      <w:r w:rsidRPr="00160290">
        <w:t>e</w:t>
      </w:r>
      <w:r w:rsidR="003A7FBC" w:rsidRPr="00160290">
        <w:t>nforcement, appeals</w:t>
      </w:r>
      <w:r w:rsidRPr="00160290">
        <w:t xml:space="preserve"> and </w:t>
      </w:r>
      <w:r w:rsidR="003A7FBC" w:rsidRPr="00160290">
        <w:t>administration (</w:t>
      </w:r>
      <w:r w:rsidR="0062727D">
        <w:t>pt</w:t>
      </w:r>
      <w:r w:rsidR="003A7FBC" w:rsidRPr="00160290">
        <w:t>s 8</w:t>
      </w:r>
      <w:r w:rsidRPr="00160290">
        <w:t>,</w:t>
      </w:r>
      <w:r w:rsidR="003A7FBC" w:rsidRPr="00160290">
        <w:t xml:space="preserve"> 13, 10 and 12)</w:t>
      </w:r>
    </w:p>
    <w:p w:rsidR="003A7FBC" w:rsidRPr="00160290" w:rsidRDefault="00C91615" w:rsidP="00743668">
      <w:pPr>
        <w:pStyle w:val="Dotpointlast"/>
      </w:pPr>
      <w:r w:rsidRPr="00160290">
        <w:t>p</w:t>
      </w:r>
      <w:r w:rsidR="003A7FBC" w:rsidRPr="00160290">
        <w:t>lumbing licensing (</w:t>
      </w:r>
      <w:proofErr w:type="spellStart"/>
      <w:r w:rsidR="0062727D">
        <w:t>pt</w:t>
      </w:r>
      <w:proofErr w:type="spellEnd"/>
      <w:r w:rsidR="003A7FBC" w:rsidRPr="00160290">
        <w:t xml:space="preserve"> 12</w:t>
      </w:r>
      <w:r w:rsidR="0022498F">
        <w:t> A</w:t>
      </w:r>
      <w:r w:rsidR="003A7FBC" w:rsidRPr="00160290">
        <w:t>)</w:t>
      </w:r>
      <w:r w:rsidRPr="00160290">
        <w:t>.</w:t>
      </w:r>
    </w:p>
    <w:p w:rsidR="003A7FBC" w:rsidRPr="00160290" w:rsidRDefault="003A7FBC" w:rsidP="00743668">
      <w:pPr>
        <w:pStyle w:val="Normalpre-dotpoint"/>
      </w:pPr>
      <w:r w:rsidRPr="00160290">
        <w:t xml:space="preserve">The operation of the Act is supported by the building </w:t>
      </w:r>
      <w:r w:rsidR="00511A91">
        <w:t>R</w:t>
      </w:r>
      <w:r w:rsidRPr="00160290">
        <w:t>egulations, which regulate matters including:</w:t>
      </w:r>
    </w:p>
    <w:p w:rsidR="003A7FBC" w:rsidRPr="00160290" w:rsidRDefault="00C91615" w:rsidP="00743668">
      <w:pPr>
        <w:pStyle w:val="Dotpoint"/>
      </w:pPr>
      <w:r w:rsidRPr="00160290">
        <w:t>o</w:t>
      </w:r>
      <w:r w:rsidR="003A7FBC" w:rsidRPr="00160290">
        <w:t>wner</w:t>
      </w:r>
      <w:r w:rsidRPr="00160290">
        <w:t>-</w:t>
      </w:r>
      <w:r w:rsidR="003A7FBC" w:rsidRPr="00160290">
        <w:t>builders (</w:t>
      </w:r>
      <w:proofErr w:type="spellStart"/>
      <w:r w:rsidR="0062727D">
        <w:t>pt</w:t>
      </w:r>
      <w:proofErr w:type="spellEnd"/>
      <w:r w:rsidR="003A7FBC" w:rsidRPr="00160290">
        <w:t xml:space="preserve"> 2)</w:t>
      </w:r>
    </w:p>
    <w:p w:rsidR="003A7FBC" w:rsidRPr="00160290" w:rsidRDefault="00C91615" w:rsidP="00743668">
      <w:pPr>
        <w:pStyle w:val="Dotpoint"/>
      </w:pPr>
      <w:r w:rsidRPr="00160290">
        <w:t>b</w:t>
      </w:r>
      <w:r w:rsidR="003A7FBC" w:rsidRPr="00160290">
        <w:t>uilding permits (</w:t>
      </w:r>
      <w:r w:rsidRPr="00160290">
        <w:t xml:space="preserve">the </w:t>
      </w:r>
      <w:r w:rsidR="003A7FBC" w:rsidRPr="00160290">
        <w:t>process for applications and issuing) (</w:t>
      </w:r>
      <w:proofErr w:type="spellStart"/>
      <w:r w:rsidR="0062727D">
        <w:t>pt</w:t>
      </w:r>
      <w:proofErr w:type="spellEnd"/>
      <w:r w:rsidR="003A7FBC" w:rsidRPr="00160290">
        <w:t xml:space="preserve"> 3)</w:t>
      </w:r>
    </w:p>
    <w:p w:rsidR="003A7FBC" w:rsidRPr="00160290" w:rsidRDefault="00C91615" w:rsidP="00743668">
      <w:pPr>
        <w:pStyle w:val="Dotpoint"/>
      </w:pPr>
      <w:r w:rsidRPr="00160290">
        <w:t>s</w:t>
      </w:r>
      <w:r w:rsidR="003A7FBC" w:rsidRPr="00160290">
        <w:t>iting (</w:t>
      </w:r>
      <w:proofErr w:type="spellStart"/>
      <w:r w:rsidR="0062727D">
        <w:t>pt</w:t>
      </w:r>
      <w:proofErr w:type="spellEnd"/>
      <w:r w:rsidR="003A7FBC" w:rsidRPr="00160290">
        <w:t xml:space="preserve"> 4), building work (</w:t>
      </w:r>
      <w:proofErr w:type="spellStart"/>
      <w:r w:rsidR="0062727D">
        <w:t>pt</w:t>
      </w:r>
      <w:proofErr w:type="spellEnd"/>
      <w:r w:rsidR="003A7FBC" w:rsidRPr="00160290">
        <w:t xml:space="preserve"> 6)</w:t>
      </w:r>
      <w:r w:rsidRPr="00160290">
        <w:t xml:space="preserve"> and </w:t>
      </w:r>
      <w:r w:rsidR="003A7FBC" w:rsidRPr="00160290">
        <w:t>safety (</w:t>
      </w:r>
      <w:proofErr w:type="spellStart"/>
      <w:r w:rsidR="0062727D">
        <w:t>pt</w:t>
      </w:r>
      <w:proofErr w:type="spellEnd"/>
      <w:r w:rsidR="003A7FBC" w:rsidRPr="00160290">
        <w:t xml:space="preserve"> 7)</w:t>
      </w:r>
    </w:p>
    <w:p w:rsidR="003A7FBC" w:rsidRPr="00160290" w:rsidRDefault="00C91615" w:rsidP="00743668">
      <w:pPr>
        <w:pStyle w:val="Dotpoint"/>
      </w:pPr>
      <w:r w:rsidRPr="00160290">
        <w:t>i</w:t>
      </w:r>
      <w:r w:rsidR="003A7FBC" w:rsidRPr="00160290">
        <w:t>nspections, notices, directions and orders (</w:t>
      </w:r>
      <w:proofErr w:type="spellStart"/>
      <w:r w:rsidR="0062727D">
        <w:t>pt</w:t>
      </w:r>
      <w:proofErr w:type="spellEnd"/>
      <w:r w:rsidR="003A7FBC" w:rsidRPr="00160290">
        <w:t xml:space="preserve"> 9)</w:t>
      </w:r>
    </w:p>
    <w:p w:rsidR="003A7FBC" w:rsidRPr="00160290" w:rsidRDefault="00C91615" w:rsidP="00743668">
      <w:pPr>
        <w:pStyle w:val="Dotpoint"/>
      </w:pPr>
      <w:r w:rsidRPr="00160290">
        <w:t>o</w:t>
      </w:r>
      <w:r w:rsidR="003A7FBC" w:rsidRPr="00160290">
        <w:t>ccupancy permits (processes) (</w:t>
      </w:r>
      <w:proofErr w:type="spellStart"/>
      <w:r w:rsidR="0062727D">
        <w:t>pt</w:t>
      </w:r>
      <w:proofErr w:type="spellEnd"/>
      <w:r w:rsidR="003A7FBC" w:rsidRPr="00160290">
        <w:t xml:space="preserve"> 10)</w:t>
      </w:r>
    </w:p>
    <w:p w:rsidR="003A7FBC" w:rsidRPr="00160290" w:rsidRDefault="00C91615" w:rsidP="00743668">
      <w:pPr>
        <w:pStyle w:val="Dotpoint"/>
      </w:pPr>
      <w:r w:rsidRPr="00160290">
        <w:t>b</w:t>
      </w:r>
      <w:r w:rsidR="003A7FBC" w:rsidRPr="00160290">
        <w:t>uilding product accreditation (</w:t>
      </w:r>
      <w:proofErr w:type="spellStart"/>
      <w:r w:rsidR="0062727D">
        <w:t>pt</w:t>
      </w:r>
      <w:proofErr w:type="spellEnd"/>
      <w:r w:rsidR="003A7FBC" w:rsidRPr="00160290">
        <w:t xml:space="preserve"> 14)</w:t>
      </w:r>
    </w:p>
    <w:p w:rsidR="003A7FBC" w:rsidRPr="00160290" w:rsidRDefault="00C91615" w:rsidP="00743668">
      <w:pPr>
        <w:pStyle w:val="Dotpoint"/>
      </w:pPr>
      <w:r w:rsidRPr="00160290">
        <w:t>b</w:t>
      </w:r>
      <w:r w:rsidR="003A7FBC" w:rsidRPr="00160290">
        <w:t>uilding practitioners (</w:t>
      </w:r>
      <w:proofErr w:type="spellStart"/>
      <w:r w:rsidR="0062727D">
        <w:t>pt</w:t>
      </w:r>
      <w:proofErr w:type="spellEnd"/>
      <w:r w:rsidR="003A7FBC" w:rsidRPr="00160290">
        <w:t xml:space="preserve"> 15)</w:t>
      </w:r>
    </w:p>
    <w:p w:rsidR="003A7FBC" w:rsidRPr="00160290" w:rsidRDefault="00C91615" w:rsidP="00743668">
      <w:pPr>
        <w:pStyle w:val="Dotpoint"/>
      </w:pPr>
      <w:r w:rsidRPr="00160290">
        <w:t>a</w:t>
      </w:r>
      <w:r w:rsidR="003A7FBC" w:rsidRPr="00160290">
        <w:t>ppeals and reviews (</w:t>
      </w:r>
      <w:proofErr w:type="spellStart"/>
      <w:r w:rsidR="0062727D">
        <w:t>pt</w:t>
      </w:r>
      <w:proofErr w:type="spellEnd"/>
      <w:r w:rsidR="003A7FBC" w:rsidRPr="00160290">
        <w:t xml:space="preserve"> 16)</w:t>
      </w:r>
    </w:p>
    <w:p w:rsidR="003A7FBC" w:rsidRPr="00160290" w:rsidRDefault="00C91615" w:rsidP="003A7FBC">
      <w:pPr>
        <w:pStyle w:val="Dotpointlast"/>
      </w:pPr>
      <w:r w:rsidRPr="00160290">
        <w:t>e</w:t>
      </w:r>
      <w:r w:rsidR="003A7FBC" w:rsidRPr="00160290">
        <w:t>xemptions (</w:t>
      </w:r>
      <w:proofErr w:type="spellStart"/>
      <w:r w:rsidR="0062727D">
        <w:t>pt</w:t>
      </w:r>
      <w:proofErr w:type="spellEnd"/>
      <w:r w:rsidR="003A7FBC" w:rsidRPr="00160290">
        <w:t xml:space="preserve"> 18)</w:t>
      </w:r>
      <w:r w:rsidRPr="00160290">
        <w:t>.</w:t>
      </w:r>
    </w:p>
    <w:p w:rsidR="003A7FBC" w:rsidRPr="00160290" w:rsidRDefault="003A7FBC" w:rsidP="00743668">
      <w:pPr>
        <w:pStyle w:val="Normalpre-dotpoint"/>
        <w:rPr>
          <w:rFonts w:eastAsiaTheme="minorHAnsi"/>
        </w:rPr>
      </w:pPr>
      <w:r w:rsidRPr="00160290">
        <w:rPr>
          <w:rFonts w:eastAsiaTheme="minorHAnsi"/>
        </w:rPr>
        <w:t>Under the Act</w:t>
      </w:r>
      <w:r w:rsidR="00BC1922">
        <w:rPr>
          <w:rFonts w:eastAsiaTheme="minorHAnsi"/>
        </w:rPr>
        <w:t>,</w:t>
      </w:r>
      <w:r w:rsidRPr="00160290">
        <w:rPr>
          <w:rFonts w:eastAsiaTheme="minorHAnsi"/>
          <w:vertAlign w:val="superscript"/>
        </w:rPr>
        <w:footnoteReference w:id="3"/>
      </w:r>
      <w:r w:rsidRPr="00160290">
        <w:rPr>
          <w:rFonts w:eastAsiaTheme="minorHAnsi"/>
        </w:rPr>
        <w:t xml:space="preserve"> a building practitioner means:</w:t>
      </w:r>
    </w:p>
    <w:p w:rsidR="002129C8" w:rsidRPr="00160290" w:rsidRDefault="00743668" w:rsidP="00743668">
      <w:pPr>
        <w:pStyle w:val="Normalpre-dotpoint"/>
      </w:pPr>
      <w:r w:rsidRPr="00160290">
        <w:t>a)</w:t>
      </w:r>
      <w:r w:rsidRPr="00160290">
        <w:tab/>
      </w:r>
      <w:r w:rsidR="003A7FBC" w:rsidRPr="00160290">
        <w:t>a building surveyor</w:t>
      </w:r>
    </w:p>
    <w:p w:rsidR="002129C8" w:rsidRPr="00160290" w:rsidRDefault="00743668" w:rsidP="00743668">
      <w:pPr>
        <w:pStyle w:val="Normalpre-dotpoint"/>
      </w:pPr>
      <w:r w:rsidRPr="00160290">
        <w:t>b)</w:t>
      </w:r>
      <w:r w:rsidRPr="00160290">
        <w:tab/>
      </w:r>
      <w:r w:rsidR="003A7FBC" w:rsidRPr="00160290">
        <w:t>a building inspector</w:t>
      </w:r>
    </w:p>
    <w:p w:rsidR="002129C8" w:rsidRPr="00160290" w:rsidRDefault="00743668" w:rsidP="00743668">
      <w:pPr>
        <w:pStyle w:val="Normalpre-dotpoint"/>
      </w:pPr>
      <w:r w:rsidRPr="00160290">
        <w:t>c)</w:t>
      </w:r>
      <w:r w:rsidRPr="00160290">
        <w:tab/>
      </w:r>
      <w:r w:rsidR="003A7FBC" w:rsidRPr="00160290">
        <w:t>a quantity surveyor</w:t>
      </w:r>
    </w:p>
    <w:p w:rsidR="002129C8" w:rsidRPr="00160290" w:rsidRDefault="00743668" w:rsidP="00743668">
      <w:pPr>
        <w:pStyle w:val="Normalpre-dotpoint"/>
      </w:pPr>
      <w:r w:rsidRPr="00160290">
        <w:t>d)</w:t>
      </w:r>
      <w:r w:rsidRPr="00160290">
        <w:tab/>
      </w:r>
      <w:r w:rsidR="003A7FBC" w:rsidRPr="00160290">
        <w:t>an engineer engaged in the building industry</w:t>
      </w:r>
    </w:p>
    <w:p w:rsidR="002129C8" w:rsidRPr="00160290" w:rsidRDefault="00743668" w:rsidP="00743668">
      <w:pPr>
        <w:pStyle w:val="Normalpre-dotpoint"/>
      </w:pPr>
      <w:r w:rsidRPr="00160290">
        <w:t>e)</w:t>
      </w:r>
      <w:r w:rsidRPr="00160290">
        <w:tab/>
      </w:r>
      <w:r w:rsidR="003A7FBC" w:rsidRPr="00160290">
        <w:t>a draftsperson who carries on a business of preparing plans for building work or preparing documentation relating to permits or permit applications</w:t>
      </w:r>
    </w:p>
    <w:p w:rsidR="002129C8" w:rsidRPr="00160290" w:rsidRDefault="00743668" w:rsidP="00743668">
      <w:pPr>
        <w:pStyle w:val="Normalpre-dotpoint"/>
      </w:pPr>
      <w:r w:rsidRPr="00160290">
        <w:t>f)</w:t>
      </w:r>
      <w:r w:rsidRPr="00160290">
        <w:tab/>
      </w:r>
      <w:r w:rsidR="003A7FBC" w:rsidRPr="00160290">
        <w:t>a builder including a domestic builder</w:t>
      </w:r>
    </w:p>
    <w:p w:rsidR="002129C8" w:rsidRPr="00160290" w:rsidRDefault="00743668" w:rsidP="00743668">
      <w:pPr>
        <w:pStyle w:val="Normalpre-dotpoint"/>
      </w:pPr>
      <w:r w:rsidRPr="00160290">
        <w:t>g)</w:t>
      </w:r>
      <w:r w:rsidRPr="00160290">
        <w:tab/>
      </w:r>
      <w:r w:rsidR="003A7FBC" w:rsidRPr="00160290">
        <w:t>a person who erects or supervises the erection of prescribed temporary structures</w:t>
      </w:r>
    </w:p>
    <w:p w:rsidR="00F71F1A" w:rsidRDefault="00743668">
      <w:pPr>
        <w:pStyle w:val="Normalpre-dotpoint"/>
        <w:spacing w:after="200"/>
      </w:pPr>
      <w:r w:rsidRPr="00160290">
        <w:t>h)</w:t>
      </w:r>
      <w:r w:rsidRPr="00160290">
        <w:tab/>
      </w:r>
      <w:r w:rsidR="003A7FBC" w:rsidRPr="00160290">
        <w:t>a person responsible for a building project or any stage of a building project and who belongs to a class or category of people prescribed to be building practitioners</w:t>
      </w:r>
      <w:r w:rsidR="00C91615" w:rsidRPr="00160290">
        <w:t>.</w:t>
      </w:r>
    </w:p>
    <w:p w:rsidR="003A7FBC" w:rsidRPr="00160290" w:rsidRDefault="00C91615" w:rsidP="00332796">
      <w:r w:rsidRPr="00160290">
        <w:t xml:space="preserve">Under the Act, a building practitioner </w:t>
      </w:r>
      <w:r w:rsidR="003A7FBC" w:rsidRPr="00160290">
        <w:t>does not include an architect or a person (other than a domestic builder) who does not carry on the business of building.</w:t>
      </w:r>
    </w:p>
    <w:p w:rsidR="003A7FBC" w:rsidRPr="00160290" w:rsidRDefault="00F71F1A" w:rsidP="00357F56">
      <w:pPr>
        <w:pStyle w:val="Heading2"/>
      </w:pPr>
      <w:bookmarkStart w:id="12" w:name="_Toc481502165"/>
      <w:r>
        <w:lastRenderedPageBreak/>
        <w:t>C</w:t>
      </w:r>
      <w:r w:rsidR="005F6B8C" w:rsidRPr="00160290">
        <w:t>1.1</w:t>
      </w:r>
      <w:r w:rsidR="005F6B8C" w:rsidRPr="00160290">
        <w:tab/>
      </w:r>
      <w:r w:rsidR="003A7FBC" w:rsidRPr="00160290">
        <w:t xml:space="preserve">The need for </w:t>
      </w:r>
      <w:r w:rsidR="000700D8">
        <w:t>r</w:t>
      </w:r>
      <w:r w:rsidR="003A7FBC" w:rsidRPr="00160290">
        <w:t>egulation</w:t>
      </w:r>
      <w:bookmarkEnd w:id="12"/>
    </w:p>
    <w:p w:rsidR="003A7FBC" w:rsidRPr="00160290" w:rsidRDefault="003A7FBC" w:rsidP="00332796">
      <w:pPr>
        <w:pStyle w:val="Normalpre-dotpoint"/>
      </w:pPr>
      <w:r w:rsidRPr="00160290">
        <w:t xml:space="preserve">The rationale for </w:t>
      </w:r>
      <w:r w:rsidR="000700D8">
        <w:t>r</w:t>
      </w:r>
      <w:r w:rsidRPr="00160290">
        <w:t xml:space="preserve">egulation of building practitioners is influenced by </w:t>
      </w:r>
      <w:r w:rsidR="00C91615" w:rsidRPr="00160290">
        <w:t xml:space="preserve">the </w:t>
      </w:r>
      <w:r w:rsidRPr="00160290">
        <w:t xml:space="preserve">government’s ability to pre-emptively reduce a range of impacts which are commonly attributed to the nature of the building sector. As discussed in </w:t>
      </w:r>
      <w:r w:rsidR="000E2924">
        <w:t xml:space="preserve">RIS </w:t>
      </w:r>
      <w:r w:rsidRPr="00160290">
        <w:t>Part B, the complexity of building work and the associated potential for harms to practitioners, the public and consumers bolsters justification for government intervention in the interests of prevention. This includes:</w:t>
      </w:r>
    </w:p>
    <w:p w:rsidR="003A7FBC" w:rsidRPr="00160290" w:rsidRDefault="003A7FBC" w:rsidP="00332796">
      <w:pPr>
        <w:pStyle w:val="Dotpoint"/>
      </w:pPr>
      <w:r w:rsidRPr="00160290">
        <w:t xml:space="preserve">enhancing public confidence in building practitioners, by ensuring registered building practitioners have the minimum level of knowledge, skills and experience to competently and professionally carry out </w:t>
      </w:r>
      <w:r w:rsidR="00C91615" w:rsidRPr="00160290">
        <w:t xml:space="preserve">the </w:t>
      </w:r>
      <w:r w:rsidRPr="00160290">
        <w:t>specific scope of building work authorised by their desired registration</w:t>
      </w:r>
    </w:p>
    <w:p w:rsidR="003A7FBC" w:rsidRPr="00160290" w:rsidRDefault="00C91615" w:rsidP="00332796">
      <w:pPr>
        <w:pStyle w:val="Dotpoint"/>
      </w:pPr>
      <w:r w:rsidRPr="00160290">
        <w:t xml:space="preserve">protecting </w:t>
      </w:r>
      <w:r w:rsidR="003A7FBC" w:rsidRPr="00160290">
        <w:t>consumer</w:t>
      </w:r>
      <w:r w:rsidRPr="00160290">
        <w:t>s</w:t>
      </w:r>
      <w:r w:rsidR="003A7FBC" w:rsidRPr="00160290">
        <w:t>, by reducing safety risks (in addition to health, economic, environmental, social</w:t>
      </w:r>
      <w:r w:rsidRPr="00160290">
        <w:t xml:space="preserve"> and </w:t>
      </w:r>
      <w:r w:rsidR="003A7FBC" w:rsidRPr="00160290">
        <w:t>cultural risks) to the public from unqualified people carrying out regulated building work or carrying out substandard work</w:t>
      </w:r>
    </w:p>
    <w:p w:rsidR="003A7FBC" w:rsidRPr="00160290" w:rsidRDefault="00C91615" w:rsidP="00332796">
      <w:pPr>
        <w:pStyle w:val="Dotpoint"/>
      </w:pPr>
      <w:r w:rsidRPr="00160290">
        <w:t xml:space="preserve">providing </w:t>
      </w:r>
      <w:r w:rsidR="003A7FBC" w:rsidRPr="00160290">
        <w:t>better information to consumers</w:t>
      </w:r>
      <w:r w:rsidRPr="00160290">
        <w:t xml:space="preserve"> about </w:t>
      </w:r>
      <w:r w:rsidR="003A7FBC" w:rsidRPr="00160290">
        <w:t>the minimum standard of knowledge, skills and experience they can expect of a particular category or class of registered building practitioner</w:t>
      </w:r>
    </w:p>
    <w:p w:rsidR="002129C8" w:rsidRPr="00160290" w:rsidRDefault="00C91615" w:rsidP="00332796">
      <w:pPr>
        <w:pStyle w:val="Dotpointlast"/>
      </w:pPr>
      <w:r w:rsidRPr="00160290">
        <w:t xml:space="preserve">providing </w:t>
      </w:r>
      <w:r w:rsidR="003A7FBC" w:rsidRPr="00160290">
        <w:t xml:space="preserve">information to potential building practitioners, </w:t>
      </w:r>
      <w:r w:rsidRPr="00160290">
        <w:t xml:space="preserve">as </w:t>
      </w:r>
      <w:r w:rsidR="003A7FBC" w:rsidRPr="00160290">
        <w:t>a reference point from which to review their knowledge and skills to identify their training needs and career pathways in the building industry.</w:t>
      </w:r>
    </w:p>
    <w:p w:rsidR="002129C8" w:rsidRPr="00160290" w:rsidRDefault="00C91615" w:rsidP="00332796">
      <w:r w:rsidRPr="00160290">
        <w:t xml:space="preserve">RIS </w:t>
      </w:r>
      <w:r w:rsidR="000E2924">
        <w:t xml:space="preserve">Part </w:t>
      </w:r>
      <w:r w:rsidR="00B257D3">
        <w:t>A</w:t>
      </w:r>
      <w:r w:rsidR="00B257D3" w:rsidRPr="00160290">
        <w:t xml:space="preserve"> provides</w:t>
      </w:r>
      <w:r w:rsidR="003A7FBC" w:rsidRPr="00160290">
        <w:t xml:space="preserve"> further information </w:t>
      </w:r>
      <w:r w:rsidRPr="00160290">
        <w:t xml:space="preserve">about </w:t>
      </w:r>
      <w:r w:rsidR="003A7FBC" w:rsidRPr="00160290">
        <w:t xml:space="preserve">the underlying problem the </w:t>
      </w:r>
      <w:r w:rsidR="00160290">
        <w:t>R</w:t>
      </w:r>
      <w:r w:rsidR="003A7FBC" w:rsidRPr="00160290">
        <w:t>egulation of building practitioners intends to address.</w:t>
      </w:r>
    </w:p>
    <w:p w:rsidR="003A7FBC" w:rsidRPr="00160290" w:rsidRDefault="00F71F1A" w:rsidP="00357F56">
      <w:pPr>
        <w:pStyle w:val="Heading2"/>
      </w:pPr>
      <w:bookmarkStart w:id="13" w:name="_Toc481502166"/>
      <w:r>
        <w:t>C</w:t>
      </w:r>
      <w:r w:rsidR="00D81477">
        <w:t>1.2</w:t>
      </w:r>
      <w:r w:rsidR="00D81477">
        <w:tab/>
      </w:r>
      <w:r w:rsidR="003A7FBC" w:rsidRPr="00160290">
        <w:t>Options</w:t>
      </w:r>
      <w:bookmarkEnd w:id="13"/>
    </w:p>
    <w:p w:rsidR="003A7FBC" w:rsidRPr="00011DF3" w:rsidRDefault="003A7FBC" w:rsidP="00332796">
      <w:pPr>
        <w:pStyle w:val="Normalpre-dotpoint"/>
        <w:rPr>
          <w:rFonts w:eastAsiaTheme="minorHAnsi"/>
        </w:rPr>
      </w:pPr>
      <w:r w:rsidRPr="00160290">
        <w:rPr>
          <w:rFonts w:eastAsiaTheme="minorHAnsi"/>
        </w:rPr>
        <w:t xml:space="preserve">The department has considered a range of options for building practitioner registration. A description of the </w:t>
      </w:r>
      <w:r w:rsidR="00C91615" w:rsidRPr="00160290">
        <w:rPr>
          <w:rFonts w:eastAsiaTheme="minorHAnsi"/>
        </w:rPr>
        <w:t xml:space="preserve">options and </w:t>
      </w:r>
      <w:r w:rsidRPr="00160290">
        <w:rPr>
          <w:rFonts w:eastAsiaTheme="minorHAnsi"/>
        </w:rPr>
        <w:t>the</w:t>
      </w:r>
      <w:r w:rsidR="00C91615" w:rsidRPr="00160290">
        <w:rPr>
          <w:rFonts w:eastAsiaTheme="minorHAnsi"/>
        </w:rPr>
        <w:t>ir</w:t>
      </w:r>
      <w:r w:rsidRPr="00160290">
        <w:rPr>
          <w:rFonts w:eastAsiaTheme="minorHAnsi"/>
        </w:rPr>
        <w:t xml:space="preserve"> costs and benefits are set out in Chapter </w:t>
      </w:r>
      <w:r w:rsidR="008D3250">
        <w:rPr>
          <w:rFonts w:eastAsiaTheme="minorHAnsi"/>
        </w:rPr>
        <w:t>C</w:t>
      </w:r>
      <w:r w:rsidRPr="00160290">
        <w:rPr>
          <w:rFonts w:eastAsiaTheme="minorHAnsi"/>
        </w:rPr>
        <w:t>3</w:t>
      </w:r>
      <w:r w:rsidR="008D1FCB">
        <w:rPr>
          <w:rFonts w:eastAsiaTheme="minorHAnsi"/>
        </w:rPr>
        <w:t xml:space="preserve"> Cost-benefit analysis</w:t>
      </w:r>
      <w:r w:rsidRPr="00160290">
        <w:rPr>
          <w:rFonts w:eastAsiaTheme="minorHAnsi"/>
        </w:rPr>
        <w:t>.</w:t>
      </w:r>
      <w:r w:rsidR="002129C8" w:rsidRPr="00160290">
        <w:rPr>
          <w:rFonts w:eastAsiaTheme="minorHAnsi"/>
        </w:rPr>
        <w:t xml:space="preserve"> </w:t>
      </w:r>
      <w:r w:rsidRPr="00160290">
        <w:rPr>
          <w:rFonts w:eastAsiaTheme="minorHAnsi"/>
        </w:rPr>
        <w:t xml:space="preserve">The </w:t>
      </w:r>
      <w:r w:rsidR="00C91615" w:rsidRPr="00160290">
        <w:rPr>
          <w:rFonts w:eastAsiaTheme="minorHAnsi"/>
        </w:rPr>
        <w:t>o</w:t>
      </w:r>
      <w:r w:rsidRPr="00160290">
        <w:rPr>
          <w:rFonts w:eastAsiaTheme="minorHAnsi"/>
        </w:rPr>
        <w:t xml:space="preserve">ptions </w:t>
      </w:r>
      <w:r w:rsidR="00D3125B" w:rsidRPr="001623C3">
        <w:rPr>
          <w:rFonts w:eastAsiaTheme="minorHAnsi"/>
        </w:rPr>
        <w:t>considered are:</w:t>
      </w:r>
    </w:p>
    <w:p w:rsidR="003A7FBC" w:rsidRPr="00160290" w:rsidRDefault="008D3250" w:rsidP="008D3250">
      <w:pPr>
        <w:pStyle w:val="Dotpoint"/>
      </w:pPr>
      <w:r>
        <w:t>P</w:t>
      </w:r>
      <w:r w:rsidR="00D3125B" w:rsidRPr="00D3125B">
        <w:t>rescribed qualifications and experience (</w:t>
      </w:r>
      <w:r w:rsidR="000E2924">
        <w:t>reg</w:t>
      </w:r>
      <w:r w:rsidR="00D3125B" w:rsidRPr="00D3125B">
        <w:t>1503)</w:t>
      </w:r>
    </w:p>
    <w:p w:rsidR="003A7FBC" w:rsidRPr="00160290" w:rsidRDefault="008D3250" w:rsidP="008D3250">
      <w:pPr>
        <w:pStyle w:val="Dotpoint"/>
        <w:numPr>
          <w:ilvl w:val="1"/>
          <w:numId w:val="58"/>
        </w:numPr>
      </w:pPr>
      <w:r>
        <w:t xml:space="preserve">Option 1 – </w:t>
      </w:r>
      <w:r w:rsidR="00D3125B" w:rsidRPr="00D3125B">
        <w:t xml:space="preserve">Remake </w:t>
      </w:r>
      <w:r w:rsidR="000E2924">
        <w:t>reg</w:t>
      </w:r>
      <w:r w:rsidR="00D3125B" w:rsidRPr="00D3125B">
        <w:t>1503</w:t>
      </w:r>
    </w:p>
    <w:p w:rsidR="003A7FBC" w:rsidRPr="00160290" w:rsidRDefault="008D3250" w:rsidP="008D3250">
      <w:pPr>
        <w:pStyle w:val="Dotpoint"/>
        <w:numPr>
          <w:ilvl w:val="1"/>
          <w:numId w:val="58"/>
        </w:numPr>
      </w:pPr>
      <w:r>
        <w:t xml:space="preserve">Option 1.1 – </w:t>
      </w:r>
      <w:r w:rsidR="00D3125B" w:rsidRPr="00D3125B">
        <w:t xml:space="preserve">Remove the requirement for experience to be demonstrated to the satisfaction of </w:t>
      </w:r>
      <w:r w:rsidR="000E2924">
        <w:t>VBA</w:t>
      </w:r>
    </w:p>
    <w:p w:rsidR="003A7FBC" w:rsidRPr="008D3250" w:rsidRDefault="00D3125B" w:rsidP="008D3250">
      <w:pPr>
        <w:pStyle w:val="Dotpoint"/>
      </w:pPr>
      <w:r w:rsidRPr="008D3250">
        <w:t>Prescribed information related to character (</w:t>
      </w:r>
      <w:r w:rsidR="000E2924">
        <w:t>reg</w:t>
      </w:r>
      <w:r w:rsidRPr="008D3250">
        <w:t>1509)</w:t>
      </w:r>
    </w:p>
    <w:p w:rsidR="003A7FBC" w:rsidRPr="00160290" w:rsidRDefault="008D3250" w:rsidP="008D3250">
      <w:pPr>
        <w:pStyle w:val="Dotpoint"/>
        <w:numPr>
          <w:ilvl w:val="1"/>
          <w:numId w:val="58"/>
        </w:numPr>
      </w:pPr>
      <w:r>
        <w:t xml:space="preserve">Option </w:t>
      </w:r>
      <w:r w:rsidR="00D3125B" w:rsidRPr="00D3125B">
        <w:t>2</w:t>
      </w:r>
      <w:r>
        <w:t xml:space="preserve"> – </w:t>
      </w:r>
      <w:r w:rsidR="00D3125B" w:rsidRPr="00D3125B">
        <w:t xml:space="preserve">Remake </w:t>
      </w:r>
      <w:r w:rsidR="000E2924">
        <w:t>reg</w:t>
      </w:r>
      <w:r w:rsidR="00D3125B" w:rsidRPr="00D3125B">
        <w:t>1509</w:t>
      </w:r>
    </w:p>
    <w:p w:rsidR="003A7FBC" w:rsidRPr="00160290" w:rsidRDefault="008D3250" w:rsidP="008D3250">
      <w:pPr>
        <w:pStyle w:val="Dotpoint"/>
        <w:numPr>
          <w:ilvl w:val="1"/>
          <w:numId w:val="58"/>
        </w:numPr>
      </w:pPr>
      <w:r>
        <w:t xml:space="preserve">Option </w:t>
      </w:r>
      <w:r w:rsidR="00D3125B" w:rsidRPr="00D3125B">
        <w:t>2.1</w:t>
      </w:r>
      <w:r>
        <w:t xml:space="preserve"> – </w:t>
      </w:r>
      <w:r w:rsidR="00D3125B" w:rsidRPr="00D3125B">
        <w:t>Reduce the information required</w:t>
      </w:r>
    </w:p>
    <w:p w:rsidR="003A7FBC" w:rsidRPr="00160290" w:rsidRDefault="008D3250" w:rsidP="008D3250">
      <w:pPr>
        <w:pStyle w:val="Dotpoint"/>
        <w:numPr>
          <w:ilvl w:val="1"/>
          <w:numId w:val="58"/>
        </w:numPr>
      </w:pPr>
      <w:r>
        <w:t xml:space="preserve">Option </w:t>
      </w:r>
      <w:r w:rsidR="00D3125B" w:rsidRPr="00D3125B">
        <w:t>2.2</w:t>
      </w:r>
      <w:r>
        <w:t xml:space="preserve"> – </w:t>
      </w:r>
      <w:r w:rsidR="00D3125B" w:rsidRPr="00D3125B">
        <w:t>Increase the information required</w:t>
      </w:r>
    </w:p>
    <w:p w:rsidR="003A7FBC" w:rsidRPr="008D3250" w:rsidRDefault="00D3125B" w:rsidP="008D3250">
      <w:pPr>
        <w:pStyle w:val="Dotpoint"/>
      </w:pPr>
      <w:r w:rsidRPr="008D3250">
        <w:t>Prescribe professional standards (</w:t>
      </w:r>
      <w:r w:rsidR="000E2924">
        <w:t>reg</w:t>
      </w:r>
      <w:r w:rsidRPr="008D3250">
        <w:t>1502)</w:t>
      </w:r>
    </w:p>
    <w:p w:rsidR="003A7FBC" w:rsidRPr="008D3250" w:rsidRDefault="008D3250" w:rsidP="008D3250">
      <w:pPr>
        <w:pStyle w:val="Dotpoint"/>
        <w:numPr>
          <w:ilvl w:val="1"/>
          <w:numId w:val="58"/>
        </w:numPr>
      </w:pPr>
      <w:r w:rsidRPr="008D3250">
        <w:t xml:space="preserve">Option </w:t>
      </w:r>
      <w:r w:rsidR="00D3125B" w:rsidRPr="008D3250">
        <w:t>3</w:t>
      </w:r>
      <w:r>
        <w:t xml:space="preserve"> – </w:t>
      </w:r>
      <w:r w:rsidR="00D3125B" w:rsidRPr="008D3250">
        <w:t xml:space="preserve">Remake </w:t>
      </w:r>
      <w:r w:rsidR="000E2924">
        <w:t>reg</w:t>
      </w:r>
      <w:r w:rsidR="00D3125B" w:rsidRPr="008D3250">
        <w:t>1502</w:t>
      </w:r>
    </w:p>
    <w:p w:rsidR="003A7FBC" w:rsidRPr="008D3250" w:rsidRDefault="008D3250" w:rsidP="008D3250">
      <w:pPr>
        <w:pStyle w:val="Dotpoint"/>
        <w:numPr>
          <w:ilvl w:val="1"/>
          <w:numId w:val="58"/>
        </w:numPr>
      </w:pPr>
      <w:r w:rsidRPr="008D3250">
        <w:t xml:space="preserve">Option </w:t>
      </w:r>
      <w:r w:rsidR="00D3125B" w:rsidRPr="008D3250">
        <w:t>3.1</w:t>
      </w:r>
      <w:r>
        <w:t xml:space="preserve"> – </w:t>
      </w:r>
      <w:r w:rsidR="00D3125B" w:rsidRPr="008D3250">
        <w:t xml:space="preserve">Remake only </w:t>
      </w:r>
      <w:proofErr w:type="spellStart"/>
      <w:r w:rsidR="000E2924">
        <w:t>pt</w:t>
      </w:r>
      <w:proofErr w:type="spellEnd"/>
      <w:r w:rsidR="00D3125B" w:rsidRPr="008D3250">
        <w:t xml:space="preserve">(a) of </w:t>
      </w:r>
      <w:r w:rsidR="000E2924">
        <w:t>reg</w:t>
      </w:r>
      <w:r w:rsidR="00D3125B" w:rsidRPr="008D3250">
        <w:t>1502</w:t>
      </w:r>
    </w:p>
    <w:p w:rsidR="003A7FBC" w:rsidRPr="008D3250" w:rsidRDefault="00D3125B" w:rsidP="008D3250">
      <w:pPr>
        <w:pStyle w:val="Dotpoint"/>
      </w:pPr>
      <w:r w:rsidRPr="008D3250">
        <w:t xml:space="preserve">Period during which a </w:t>
      </w:r>
      <w:r w:rsidR="00010CE1">
        <w:t>PBS</w:t>
      </w:r>
      <w:r w:rsidRPr="008D3250">
        <w:t xml:space="preserve"> cannot act</w:t>
      </w:r>
    </w:p>
    <w:p w:rsidR="003A7FBC" w:rsidRPr="008D3250" w:rsidRDefault="008D3250" w:rsidP="008D3250">
      <w:pPr>
        <w:pStyle w:val="Dotpoint"/>
        <w:numPr>
          <w:ilvl w:val="1"/>
          <w:numId w:val="58"/>
        </w:numPr>
      </w:pPr>
      <w:r w:rsidRPr="008D3250">
        <w:t xml:space="preserve">Option </w:t>
      </w:r>
      <w:r w:rsidR="00D3125B" w:rsidRPr="008D3250">
        <w:t>4</w:t>
      </w:r>
      <w:r>
        <w:t xml:space="preserve"> – </w:t>
      </w:r>
      <w:r w:rsidR="00D3125B" w:rsidRPr="008D3250">
        <w:t xml:space="preserve">Remake </w:t>
      </w:r>
      <w:r w:rsidR="000E2924">
        <w:t>reg</w:t>
      </w:r>
      <w:r w:rsidR="00D3125B" w:rsidRPr="008D3250">
        <w:t>1504</w:t>
      </w:r>
    </w:p>
    <w:p w:rsidR="003A7FBC" w:rsidRPr="008D3250" w:rsidRDefault="008D3250" w:rsidP="008D3250">
      <w:pPr>
        <w:pStyle w:val="Dotpoint"/>
        <w:numPr>
          <w:ilvl w:val="1"/>
          <w:numId w:val="58"/>
        </w:numPr>
      </w:pPr>
      <w:r w:rsidRPr="008D3250">
        <w:t xml:space="preserve">Option </w:t>
      </w:r>
      <w:r>
        <w:t>4.1 –</w:t>
      </w:r>
      <w:r w:rsidR="004028EE">
        <w:t xml:space="preserve"> </w:t>
      </w:r>
      <w:r>
        <w:t>R</w:t>
      </w:r>
      <w:r w:rsidR="00D3125B" w:rsidRPr="008D3250">
        <w:t>educe the prescribed period to 6 months</w:t>
      </w:r>
    </w:p>
    <w:p w:rsidR="003A7FBC" w:rsidRPr="008D3250" w:rsidRDefault="008D3250" w:rsidP="008D3250">
      <w:pPr>
        <w:pStyle w:val="Dotpoint"/>
        <w:numPr>
          <w:ilvl w:val="1"/>
          <w:numId w:val="58"/>
        </w:numPr>
      </w:pPr>
      <w:r w:rsidRPr="008D3250">
        <w:t xml:space="preserve">Option </w:t>
      </w:r>
      <w:r w:rsidR="00D3125B" w:rsidRPr="008D3250">
        <w:t>4.2</w:t>
      </w:r>
      <w:r>
        <w:t xml:space="preserve"> – </w:t>
      </w:r>
      <w:r w:rsidR="00D3125B" w:rsidRPr="008D3250">
        <w:t>Increase the prescribed period to 2 years</w:t>
      </w:r>
    </w:p>
    <w:p w:rsidR="003A7FBC" w:rsidRPr="008D3250" w:rsidRDefault="00D3125B" w:rsidP="008D3250">
      <w:pPr>
        <w:pStyle w:val="Dotpoint"/>
      </w:pPr>
      <w:r w:rsidRPr="008D3250">
        <w:t>In relation to other matters</w:t>
      </w:r>
    </w:p>
    <w:p w:rsidR="003A7FBC" w:rsidRPr="008D3250" w:rsidRDefault="008D3250" w:rsidP="008D3250">
      <w:pPr>
        <w:pStyle w:val="Dotpoint"/>
        <w:numPr>
          <w:ilvl w:val="1"/>
          <w:numId w:val="58"/>
        </w:numPr>
      </w:pPr>
      <w:r w:rsidRPr="008D3250">
        <w:t xml:space="preserve">Option </w:t>
      </w:r>
      <w:r w:rsidR="00D3125B" w:rsidRPr="008D3250">
        <w:t>5.1</w:t>
      </w:r>
      <w:r>
        <w:t xml:space="preserve"> – </w:t>
      </w:r>
      <w:r w:rsidR="00D3125B" w:rsidRPr="008D3250">
        <w:t>Prescribe the information to be included in an application for registration</w:t>
      </w:r>
    </w:p>
    <w:p w:rsidR="003A7FBC" w:rsidRPr="008D3250" w:rsidRDefault="008D3250" w:rsidP="008D3250">
      <w:pPr>
        <w:pStyle w:val="Dotpointlast"/>
        <w:numPr>
          <w:ilvl w:val="1"/>
          <w:numId w:val="58"/>
        </w:numPr>
      </w:pPr>
      <w:r w:rsidRPr="008D3250">
        <w:t xml:space="preserve">Option </w:t>
      </w:r>
      <w:r w:rsidR="00D3125B" w:rsidRPr="008D3250">
        <w:t>5.2</w:t>
      </w:r>
      <w:r>
        <w:t xml:space="preserve"> – </w:t>
      </w:r>
      <w:r w:rsidR="00D3125B" w:rsidRPr="008D3250">
        <w:t>Require that applications for registration are completed personally by the applicant</w:t>
      </w:r>
    </w:p>
    <w:p w:rsidR="00011DF3" w:rsidRDefault="00011DF3">
      <w:pPr>
        <w:spacing w:after="0"/>
      </w:pPr>
      <w:r>
        <w:br w:type="page"/>
      </w:r>
    </w:p>
    <w:p w:rsidR="003A7FBC" w:rsidRPr="00160290" w:rsidRDefault="003A7FBC" w:rsidP="00332796">
      <w:pPr>
        <w:pStyle w:val="Normalpre-dotpoint"/>
      </w:pPr>
      <w:r w:rsidRPr="00160290">
        <w:lastRenderedPageBreak/>
        <w:t>The range of options considered in this RIS is limited to the remaking of current Regulations, with some minor variations also considered. In prepar</w:t>
      </w:r>
      <w:r w:rsidR="00C91615" w:rsidRPr="00160290">
        <w:t>ing</w:t>
      </w:r>
      <w:r w:rsidRPr="00160290">
        <w:t xml:space="preserve"> the proposed Regulations, further options were identified that would involve a more substantial shift from the current arrangements</w:t>
      </w:r>
      <w:r w:rsidR="00C91615" w:rsidRPr="00160290">
        <w:t>. T</w:t>
      </w:r>
      <w:r w:rsidRPr="00160290">
        <w:t>hese included:</w:t>
      </w:r>
    </w:p>
    <w:p w:rsidR="003A7FBC" w:rsidRPr="00160290" w:rsidRDefault="00C91615" w:rsidP="00332796">
      <w:pPr>
        <w:pStyle w:val="Dotpoint"/>
      </w:pPr>
      <w:r w:rsidRPr="00160290">
        <w:t>t</w:t>
      </w:r>
      <w:r w:rsidR="003A7FBC" w:rsidRPr="00160290">
        <w:t xml:space="preserve">o introduce into the Regulations specific </w:t>
      </w:r>
      <w:r w:rsidR="00160290" w:rsidRPr="00160290">
        <w:t>sub</w:t>
      </w:r>
      <w:r w:rsidR="003A7FBC" w:rsidRPr="00160290">
        <w:t>categories within the ‘limited’ builder classes</w:t>
      </w:r>
      <w:r w:rsidRPr="00160290">
        <w:t>; t</w:t>
      </w:r>
      <w:r w:rsidR="003A7FBC" w:rsidRPr="00160290">
        <w:t xml:space="preserve">his would formalise administrative arrangements already used by </w:t>
      </w:r>
      <w:r w:rsidR="000E2924">
        <w:t>VBA</w:t>
      </w:r>
      <w:r w:rsidRPr="00160290">
        <w:t xml:space="preserve"> </w:t>
      </w:r>
      <w:r w:rsidR="003A7FBC" w:rsidRPr="00160290">
        <w:t xml:space="preserve">and be the basis for defining the exact scope of works allowed under each </w:t>
      </w:r>
      <w:r w:rsidR="00160290" w:rsidRPr="00160290">
        <w:t>sub</w:t>
      </w:r>
      <w:r w:rsidR="003A7FBC" w:rsidRPr="00160290">
        <w:t>category</w:t>
      </w:r>
      <w:r w:rsidRPr="00160290">
        <w:t xml:space="preserve">, which </w:t>
      </w:r>
      <w:r w:rsidR="003A7FBC" w:rsidRPr="00160290">
        <w:t>would improve consistency across registered practitioners and allow consumers to easily confirm what work a practitioner is allowed to do</w:t>
      </w:r>
    </w:p>
    <w:p w:rsidR="003A7FBC" w:rsidRPr="00160290" w:rsidRDefault="00C91615" w:rsidP="00332796">
      <w:pPr>
        <w:pStyle w:val="Dotpointlast"/>
      </w:pPr>
      <w:r w:rsidRPr="00160290">
        <w:t>b</w:t>
      </w:r>
      <w:r w:rsidR="003A7FBC" w:rsidRPr="00160290">
        <w:t xml:space="preserve">ased on this prescribing </w:t>
      </w:r>
      <w:r w:rsidRPr="00160290">
        <w:t xml:space="preserve">of </w:t>
      </w:r>
      <w:r w:rsidR="003A7FBC" w:rsidRPr="00160290">
        <w:t xml:space="preserve">allowed scopes of work, </w:t>
      </w:r>
      <w:r w:rsidRPr="00160290">
        <w:t xml:space="preserve">establish </w:t>
      </w:r>
      <w:r w:rsidR="003A7FBC" w:rsidRPr="00160290">
        <w:t>a more</w:t>
      </w:r>
      <w:r w:rsidRPr="00160290">
        <w:t>-</w:t>
      </w:r>
      <w:r w:rsidR="003A7FBC" w:rsidRPr="00160290">
        <w:t>objective basis for defining what experiences are required to be eligible for registration in each category</w:t>
      </w:r>
      <w:r w:rsidRPr="00160290">
        <w:t xml:space="preserve">, which </w:t>
      </w:r>
      <w:r w:rsidR="003A7FBC" w:rsidRPr="00160290">
        <w:t>would improve certainty for practitioners and improve transparency of the assessment process.</w:t>
      </w:r>
    </w:p>
    <w:p w:rsidR="002129C8" w:rsidRPr="00160290" w:rsidRDefault="003A7FBC" w:rsidP="00F7154D">
      <w:r w:rsidRPr="00160290">
        <w:t xml:space="preserve">As described in </w:t>
      </w:r>
      <w:r w:rsidR="000700D8" w:rsidRPr="001623C3">
        <w:t>'</w:t>
      </w:r>
      <w:r w:rsidR="00FC6221" w:rsidRPr="00011DF3">
        <w:t>Summary'</w:t>
      </w:r>
      <w:r w:rsidRPr="001623C3">
        <w:t>, the</w:t>
      </w:r>
      <w:r w:rsidRPr="00160290">
        <w:t xml:space="preserve"> </w:t>
      </w:r>
      <w:r w:rsidR="00BE6DEA" w:rsidRPr="00160290">
        <w:t>department</w:t>
      </w:r>
      <w:r w:rsidRPr="00160290">
        <w:t xml:space="preserve"> intends to assess the merits of adopting these options </w:t>
      </w:r>
      <w:r w:rsidR="00BE6DEA" w:rsidRPr="00160290">
        <w:t xml:space="preserve">through </w:t>
      </w:r>
      <w:r w:rsidRPr="00160290">
        <w:t xml:space="preserve">a separate process. This will include considering new classes of registration, how best to incorporate the subcategories and scope of work in the Regulations (which would be most appropriate to include to best reflect the risks associated with the work undertaken) and any required transitional measures to a new structure. The </w:t>
      </w:r>
      <w:r w:rsidR="00BE6DEA" w:rsidRPr="00160290">
        <w:t>department</w:t>
      </w:r>
      <w:r w:rsidRPr="00160290">
        <w:t xml:space="preserve"> anticipates any changes </w:t>
      </w:r>
      <w:r w:rsidR="00AC2C94">
        <w:t>that</w:t>
      </w:r>
      <w:r w:rsidRPr="00160290">
        <w:t xml:space="preserve"> are warranted will commence on 1 July 2017</w:t>
      </w:r>
      <w:r w:rsidR="00BE6DEA" w:rsidRPr="00160290">
        <w:t>,</w:t>
      </w:r>
      <w:r w:rsidRPr="00160290">
        <w:t xml:space="preserve"> to correspond with consequential legislative amendments to the Act. Additional changes</w:t>
      </w:r>
      <w:r w:rsidR="00BE6DEA" w:rsidRPr="00160290">
        <w:t xml:space="preserve"> (</w:t>
      </w:r>
      <w:r w:rsidRPr="00160290">
        <w:t>such as any new classes of registration suggested through this process</w:t>
      </w:r>
      <w:r w:rsidR="00BE6DEA" w:rsidRPr="00160290">
        <w:t>)</w:t>
      </w:r>
      <w:r w:rsidRPr="00160290">
        <w:t xml:space="preserve"> will be considered as part of the department’s midterm evaluation.</w:t>
      </w:r>
    </w:p>
    <w:p w:rsidR="002129C8" w:rsidRPr="00160290" w:rsidRDefault="00D3125B" w:rsidP="0032260B">
      <w:pPr>
        <w:pStyle w:val="CQuestion"/>
        <w:rPr>
          <w:b/>
        </w:rPr>
      </w:pPr>
      <w:r w:rsidRPr="00D3125B">
        <w:rPr>
          <w:b/>
        </w:rPr>
        <w:t>Consultation question</w:t>
      </w:r>
      <w:r w:rsidR="0033153B">
        <w:rPr>
          <w:b/>
        </w:rPr>
        <w:t>s</w:t>
      </w:r>
    </w:p>
    <w:p w:rsidR="002129C8" w:rsidRPr="00160290" w:rsidRDefault="0032260B" w:rsidP="0032260B">
      <w:pPr>
        <w:pStyle w:val="CQuestion"/>
      </w:pPr>
      <w:r w:rsidRPr="00160290">
        <w:t xml:space="preserve">Is there an industry need for any categories or classes of registration which are not included in the current </w:t>
      </w:r>
      <w:r w:rsidR="00160290">
        <w:t>R</w:t>
      </w:r>
      <w:r w:rsidRPr="00160290">
        <w:t>egulations?</w:t>
      </w:r>
    </w:p>
    <w:p w:rsidR="0032260B" w:rsidRPr="00160290" w:rsidRDefault="0032260B" w:rsidP="0032260B">
      <w:pPr>
        <w:pStyle w:val="CQuestion"/>
      </w:pPr>
      <w:r w:rsidRPr="00160290">
        <w:t>Why</w:t>
      </w:r>
      <w:r w:rsidR="00BE6DEA" w:rsidRPr="00160290">
        <w:t xml:space="preserve"> or </w:t>
      </w:r>
      <w:r w:rsidRPr="00160290">
        <w:t>why not? What are the potential costs and benefits of changing categories and classes of registration?</w:t>
      </w:r>
      <w:r w:rsidR="002129C8" w:rsidRPr="00160290">
        <w:t xml:space="preserve"> </w:t>
      </w:r>
      <w:r w:rsidRPr="00160290">
        <w:t xml:space="preserve">For example, is there any merit to registering practitioners in the </w:t>
      </w:r>
      <w:bookmarkStart w:id="14" w:name="OLE_LINK1"/>
      <w:bookmarkStart w:id="15" w:name="OLE_LINK2"/>
      <w:r w:rsidR="00BC1922">
        <w:t>d</w:t>
      </w:r>
      <w:r w:rsidRPr="00160290">
        <w:t xml:space="preserve">omestic </w:t>
      </w:r>
      <w:r w:rsidR="00BC1922">
        <w:t>b</w:t>
      </w:r>
      <w:r w:rsidRPr="00160290">
        <w:t>uilder (</w:t>
      </w:r>
      <w:r w:rsidR="00BC1922">
        <w:t>u</w:t>
      </w:r>
      <w:r w:rsidRPr="00160290">
        <w:t xml:space="preserve">nlimited) </w:t>
      </w:r>
      <w:bookmarkEnd w:id="14"/>
      <w:bookmarkEnd w:id="15"/>
      <w:r w:rsidRPr="00160290">
        <w:t>class</w:t>
      </w:r>
      <w:r w:rsidR="00BE6DEA" w:rsidRPr="00160290">
        <w:t>,</w:t>
      </w:r>
      <w:r w:rsidRPr="00160290">
        <w:t xml:space="preserve"> according to building height?</w:t>
      </w:r>
    </w:p>
    <w:p w:rsidR="0032260B" w:rsidRPr="00160290" w:rsidRDefault="0032260B" w:rsidP="00F7154D">
      <w:pPr>
        <w:rPr>
          <w:rFonts w:eastAsiaTheme="minorHAnsi"/>
        </w:rPr>
      </w:pPr>
    </w:p>
    <w:p w:rsidR="00BE6DEA" w:rsidRPr="00160290" w:rsidRDefault="00BE6DEA">
      <w:pPr>
        <w:spacing w:after="0"/>
        <w:rPr>
          <w:b/>
          <w:bCs/>
          <w:color w:val="201547" w:themeColor="accent2"/>
          <w:kern w:val="32"/>
          <w:sz w:val="40"/>
          <w:szCs w:val="32"/>
        </w:rPr>
      </w:pPr>
      <w:bookmarkStart w:id="16" w:name="_Toc475087231"/>
      <w:r w:rsidRPr="00160290">
        <w:br w:type="page"/>
      </w:r>
    </w:p>
    <w:p w:rsidR="0033590D" w:rsidRDefault="00F71F1A">
      <w:pPr>
        <w:pStyle w:val="Heading1"/>
      </w:pPr>
      <w:bookmarkStart w:id="17" w:name="_Toc481502167"/>
      <w:r>
        <w:lastRenderedPageBreak/>
        <w:t>C</w:t>
      </w:r>
      <w:r w:rsidR="00D81477">
        <w:t>2</w:t>
      </w:r>
      <w:r w:rsidR="00D81477">
        <w:tab/>
      </w:r>
      <w:r>
        <w:tab/>
      </w:r>
      <w:r w:rsidR="003A7FBC" w:rsidRPr="00160290">
        <w:t>Issues with building practitioners</w:t>
      </w:r>
      <w:bookmarkEnd w:id="16"/>
      <w:bookmarkEnd w:id="17"/>
    </w:p>
    <w:p w:rsidR="002129C8" w:rsidRPr="00160290" w:rsidRDefault="003A7FBC" w:rsidP="00332796">
      <w:r w:rsidRPr="00160290">
        <w:t>In Victoria</w:t>
      </w:r>
      <w:r w:rsidR="00BE6DEA" w:rsidRPr="00160290">
        <w:t>,</w:t>
      </w:r>
      <w:r w:rsidRPr="00160290">
        <w:t xml:space="preserve"> there are two main avenues for consumers of domestic building work to lodge complaints against practitioners</w:t>
      </w:r>
      <w:r w:rsidR="00BE6DEA" w:rsidRPr="00160290">
        <w:t xml:space="preserve">, apart </w:t>
      </w:r>
      <w:r w:rsidRPr="00160290">
        <w:t xml:space="preserve">from engaging in a dispute or legal action as detailed in the previous </w:t>
      </w:r>
      <w:r w:rsidR="006461A8" w:rsidRPr="00160290">
        <w:t>chapter</w:t>
      </w:r>
      <w:r w:rsidRPr="00160290">
        <w:t>.</w:t>
      </w:r>
    </w:p>
    <w:p w:rsidR="003A7FBC" w:rsidRPr="00160290" w:rsidRDefault="003A7FBC" w:rsidP="00332796">
      <w:r w:rsidRPr="00160290">
        <w:t xml:space="preserve">The first is </w:t>
      </w:r>
      <w:r w:rsidR="00BE6DEA" w:rsidRPr="00160290">
        <w:t xml:space="preserve">through </w:t>
      </w:r>
      <w:r w:rsidRPr="00160290">
        <w:t>Consumer Affairs Victoria (CAV),</w:t>
      </w:r>
      <w:r w:rsidR="00BE6DEA" w:rsidRPr="00160290">
        <w:t xml:space="preserve"> which </w:t>
      </w:r>
      <w:r w:rsidRPr="00160290">
        <w:t>can hear complaints and offer free advice and conciliation services.</w:t>
      </w:r>
      <w:r w:rsidRPr="00160290">
        <w:rPr>
          <w:rStyle w:val="FootnoteReference"/>
          <w:rFonts w:asciiTheme="majorHAnsi" w:hAnsiTheme="majorHAnsi"/>
        </w:rPr>
        <w:footnoteReference w:id="4"/>
      </w:r>
      <w:r w:rsidRPr="00160290">
        <w:t xml:space="preserve"> In </w:t>
      </w:r>
      <w:r w:rsidR="002129C8" w:rsidRPr="00160290">
        <w:t>2013–14</w:t>
      </w:r>
      <w:r w:rsidR="000700D8">
        <w:t>,</w:t>
      </w:r>
      <w:r w:rsidRPr="00160290">
        <w:t xml:space="preserve"> CAV assessed 2,683 building complaints, of which 1,833 were subject to conciliation</w:t>
      </w:r>
      <w:r w:rsidR="00BC1922">
        <w:t>.</w:t>
      </w:r>
      <w:r w:rsidRPr="00160290">
        <w:rPr>
          <w:rStyle w:val="FootnoteReference"/>
          <w:rFonts w:asciiTheme="majorHAnsi" w:hAnsiTheme="majorHAnsi"/>
        </w:rPr>
        <w:footnoteReference w:id="5"/>
      </w:r>
      <w:r w:rsidRPr="00160290">
        <w:t xml:space="preserve"> </w:t>
      </w:r>
      <w:r w:rsidR="000700D8">
        <w:t xml:space="preserve">CAV </w:t>
      </w:r>
      <w:r w:rsidRPr="00160290">
        <w:t xml:space="preserve">is likely to only be able to help conciliate minor complaints and refer all other consumers to either legal action (covered in </w:t>
      </w:r>
      <w:r w:rsidR="000700D8">
        <w:t xml:space="preserve">the </w:t>
      </w:r>
      <w:r w:rsidRPr="00160290">
        <w:t xml:space="preserve">previous </w:t>
      </w:r>
      <w:r w:rsidR="006461A8" w:rsidRPr="00160290">
        <w:t>chapter</w:t>
      </w:r>
      <w:r w:rsidRPr="00160290">
        <w:t xml:space="preserve">) or to </w:t>
      </w:r>
      <w:r w:rsidR="000E2924">
        <w:t>VBA</w:t>
      </w:r>
      <w:r w:rsidRPr="00160290">
        <w:t xml:space="preserve"> as appropriate. </w:t>
      </w:r>
      <w:r w:rsidR="006C108D">
        <w:t>CAV</w:t>
      </w:r>
      <w:r w:rsidRPr="00160290">
        <w:t xml:space="preserve"> has no power to compel parties to a domestic building dispute to undertake conciliation. From 2017 a new dispute resolution service will provide for mandatory conciliation of disputes between consumers and builders.</w:t>
      </w:r>
    </w:p>
    <w:p w:rsidR="003A7FBC" w:rsidRPr="00160290" w:rsidRDefault="000E2924" w:rsidP="00332796">
      <w:r>
        <w:t>VBA</w:t>
      </w:r>
      <w:r w:rsidR="003A7FBC" w:rsidRPr="00160290">
        <w:t xml:space="preserve"> is the second main avenue for complaints and has a broader scope to investigate and otherwise deal with complaints. After a complaint has been investigated and found to be substantiated, </w:t>
      </w:r>
      <w:r>
        <w:t>VBA</w:t>
      </w:r>
      <w:r w:rsidR="003A7FBC" w:rsidRPr="00160290">
        <w:t xml:space="preserve"> can issue a notice of complaint with no further action, refer the practitioner for disciplinary action or prosecute the practitioner.</w:t>
      </w:r>
      <w:r w:rsidR="003A7FBC" w:rsidRPr="00160290">
        <w:rPr>
          <w:rStyle w:val="FootnoteReference"/>
          <w:rFonts w:asciiTheme="majorHAnsi" w:hAnsiTheme="majorHAnsi"/>
        </w:rPr>
        <w:footnoteReference w:id="6"/>
      </w:r>
      <w:r w:rsidR="003A7FBC" w:rsidRPr="00160290">
        <w:t xml:space="preserve"> In </w:t>
      </w:r>
      <w:r w:rsidR="002129C8" w:rsidRPr="00160290">
        <w:t>2015–16</w:t>
      </w:r>
      <w:r w:rsidR="003A7FBC" w:rsidRPr="00160290">
        <w:t xml:space="preserve">, </w:t>
      </w:r>
      <w:r>
        <w:t>VBA</w:t>
      </w:r>
      <w:r w:rsidR="003A7FBC" w:rsidRPr="00160290">
        <w:t xml:space="preserve"> conducted 405 investigations into building work, down from 464 in 2014-15 and 441 in </w:t>
      </w:r>
      <w:r w:rsidR="002129C8" w:rsidRPr="00160290">
        <w:t>2013–14</w:t>
      </w:r>
      <w:r w:rsidR="003A7FBC" w:rsidRPr="00160290">
        <w:t xml:space="preserve">. In </w:t>
      </w:r>
      <w:r w:rsidR="002129C8" w:rsidRPr="00160290">
        <w:t>2015–16</w:t>
      </w:r>
      <w:r w:rsidR="0062727D">
        <w:t>,</w:t>
      </w:r>
      <w:r w:rsidR="003A7FBC" w:rsidRPr="00160290">
        <w:t xml:space="preserve"> </w:t>
      </w:r>
      <w:r>
        <w:t>VBA</w:t>
      </w:r>
      <w:r w:rsidR="003A7FBC" w:rsidRPr="00160290">
        <w:t xml:space="preserve"> prosecuted 50 practitioners </w:t>
      </w:r>
      <w:r w:rsidR="0062727D">
        <w:t>(</w:t>
      </w:r>
      <w:r w:rsidR="003A7FBC" w:rsidRPr="00160290">
        <w:t>up from 35 in 2014-15</w:t>
      </w:r>
      <w:r w:rsidR="0062727D">
        <w:t>)</w:t>
      </w:r>
      <w:r w:rsidR="003A7FBC" w:rsidRPr="00160290">
        <w:t xml:space="preserve"> and the </w:t>
      </w:r>
      <w:r w:rsidR="006C108D">
        <w:t>BPB</w:t>
      </w:r>
      <w:r w:rsidR="003A7FBC" w:rsidRPr="00160290">
        <w:t xml:space="preserve"> held 91 disciplinary hearings.</w:t>
      </w:r>
      <w:r w:rsidR="003A7FBC" w:rsidRPr="00160290">
        <w:rPr>
          <w:rStyle w:val="FootnoteReference"/>
          <w:rFonts w:asciiTheme="majorHAnsi" w:hAnsiTheme="majorHAnsi"/>
        </w:rPr>
        <w:footnoteReference w:id="7"/>
      </w:r>
    </w:p>
    <w:p w:rsidR="003A7FBC" w:rsidRDefault="003A7FBC" w:rsidP="00332796">
      <w:r w:rsidRPr="00160290">
        <w:t xml:space="preserve">As of September 2016, </w:t>
      </w:r>
      <w:r w:rsidR="000E2924">
        <w:t>VBA</w:t>
      </w:r>
      <w:r w:rsidRPr="00160290">
        <w:t xml:space="preserve"> ha</w:t>
      </w:r>
      <w:r w:rsidR="0062727D">
        <w:t>d</w:t>
      </w:r>
      <w:r w:rsidRPr="00160290">
        <w:t xml:space="preserve"> direct responsibility for practitioner registration and discipline. A new show</w:t>
      </w:r>
      <w:r w:rsidR="0062727D">
        <w:t>-</w:t>
      </w:r>
      <w:r w:rsidRPr="00160290">
        <w:t xml:space="preserve">cause process is in place with provision for internal review and the ability to appeal to </w:t>
      </w:r>
      <w:r w:rsidR="006C108D">
        <w:t>the Victorian Civil &amp; Administrative Tribunal</w:t>
      </w:r>
      <w:r w:rsidRPr="00160290">
        <w:t xml:space="preserve">. The result of any disciplinary action is published on a public register maintained by </w:t>
      </w:r>
      <w:r w:rsidR="000E2924">
        <w:t>VBA</w:t>
      </w:r>
      <w:r w:rsidRPr="00160290">
        <w:t xml:space="preserve"> and accessible by consumers (online at </w:t>
      </w:r>
      <w:r w:rsidR="000E2924">
        <w:t>VBA</w:t>
      </w:r>
      <w:r w:rsidRPr="00160290">
        <w:t xml:space="preserve">’s website). The current register records decisions </w:t>
      </w:r>
      <w:r w:rsidR="006C108D">
        <w:t xml:space="preserve">of the </w:t>
      </w:r>
      <w:r w:rsidR="006C108D" w:rsidRPr="00C6416C">
        <w:t>Building Practitioners Board</w:t>
      </w:r>
      <w:r w:rsidR="006C108D" w:rsidRPr="00160290">
        <w:t xml:space="preserve"> </w:t>
      </w:r>
      <w:r w:rsidR="006C108D">
        <w:t xml:space="preserve">(BPB) </w:t>
      </w:r>
      <w:r w:rsidRPr="00160290">
        <w:t xml:space="preserve">from 1 July 2009 to 21 May 2015 and documents a total of 403 decisions, an average of 67 </w:t>
      </w:r>
      <w:r w:rsidR="0062727D">
        <w:t xml:space="preserve">a </w:t>
      </w:r>
      <w:r w:rsidRPr="00160290">
        <w:t xml:space="preserve">year or six </w:t>
      </w:r>
      <w:r w:rsidR="0062727D">
        <w:t xml:space="preserve">a </w:t>
      </w:r>
      <w:r w:rsidRPr="00160290">
        <w:t>month.</w:t>
      </w:r>
      <w:r w:rsidRPr="00160290">
        <w:rPr>
          <w:rStyle w:val="FootnoteReference"/>
          <w:rFonts w:asciiTheme="majorHAnsi" w:hAnsiTheme="majorHAnsi"/>
        </w:rPr>
        <w:footnoteReference w:id="8"/>
      </w:r>
      <w:r w:rsidRPr="00160290">
        <w:t xml:space="preserve"> In </w:t>
      </w:r>
      <w:r w:rsidR="002129C8" w:rsidRPr="00160290">
        <w:t>2013–14</w:t>
      </w:r>
      <w:r w:rsidRPr="00160290">
        <w:t>, 47 disciplinary action decisions were recorded, down 50</w:t>
      </w:r>
      <w:r w:rsidR="0062727D">
        <w:t>%</w:t>
      </w:r>
      <w:r w:rsidRPr="00160290">
        <w:t xml:space="preserve"> from 94 in </w:t>
      </w:r>
      <w:r w:rsidR="002129C8" w:rsidRPr="00160290">
        <w:t>2012–13</w:t>
      </w:r>
      <w:r w:rsidRPr="00160290">
        <w:t>.</w:t>
      </w:r>
    </w:p>
    <w:p w:rsidR="003A7FBC" w:rsidRPr="00357F56" w:rsidRDefault="00F71F1A" w:rsidP="00357F56">
      <w:pPr>
        <w:pStyle w:val="Heading2"/>
      </w:pPr>
      <w:bookmarkStart w:id="18" w:name="_Toc481502168"/>
      <w:r w:rsidRPr="00357F56">
        <w:t>C</w:t>
      </w:r>
      <w:r w:rsidR="00D81477" w:rsidRPr="00357F56">
        <w:t>2.1</w:t>
      </w:r>
      <w:r w:rsidR="00D81477" w:rsidRPr="00357F56">
        <w:tab/>
      </w:r>
      <w:r w:rsidR="003A7FBC" w:rsidRPr="00357F56">
        <w:t>Size of the problem</w:t>
      </w:r>
      <w:bookmarkEnd w:id="18"/>
    </w:p>
    <w:p w:rsidR="002129C8" w:rsidRPr="00160290" w:rsidRDefault="003A7FBC" w:rsidP="00FF7CA7">
      <w:r w:rsidRPr="00160290">
        <w:t>To inform the potential size of the problem, a sample of building surveyors and domestic builders will be discussed</w:t>
      </w:r>
      <w:r w:rsidR="0062727D">
        <w:t>,</w:t>
      </w:r>
      <w:r w:rsidRPr="00160290">
        <w:t xml:space="preserve"> based on information supplied from </w:t>
      </w:r>
      <w:r w:rsidR="000E2924">
        <w:t>VBA</w:t>
      </w:r>
      <w:r w:rsidRPr="00160290">
        <w:t xml:space="preserve"> </w:t>
      </w:r>
      <w:r w:rsidR="00160290" w:rsidRPr="00160290">
        <w:t>about</w:t>
      </w:r>
      <w:r w:rsidRPr="00160290">
        <w:t xml:space="preserve"> disciplinary proceedings for building practitioners between </w:t>
      </w:r>
      <w:r w:rsidR="0062727D">
        <w:t>200</w:t>
      </w:r>
      <w:r w:rsidRPr="00160290">
        <w:t>9</w:t>
      </w:r>
      <w:r w:rsidR="0062727D">
        <w:t>–</w:t>
      </w:r>
      <w:r w:rsidRPr="00160290">
        <w:t>13 (inclusive)</w:t>
      </w:r>
      <w:r w:rsidR="0062727D">
        <w:t>.</w:t>
      </w:r>
      <w:r w:rsidRPr="00160290">
        <w:t xml:space="preserve"> </w:t>
      </w:r>
    </w:p>
    <w:p w:rsidR="000918D7" w:rsidRDefault="00F71F1A" w:rsidP="000918D7">
      <w:pPr>
        <w:pStyle w:val="Heading2"/>
      </w:pPr>
      <w:bookmarkStart w:id="19" w:name="_Toc481502169"/>
      <w:r>
        <w:t>C</w:t>
      </w:r>
      <w:r w:rsidR="00D81477">
        <w:t xml:space="preserve">2.2 </w:t>
      </w:r>
      <w:r w:rsidR="00D81477">
        <w:tab/>
      </w:r>
      <w:r w:rsidR="003A7FBC" w:rsidRPr="00160290">
        <w:t>Domestic builder</w:t>
      </w:r>
      <w:bookmarkEnd w:id="19"/>
    </w:p>
    <w:p w:rsidR="003A7FBC" w:rsidRPr="00160290" w:rsidRDefault="00F71F1A" w:rsidP="00357F56">
      <w:pPr>
        <w:pStyle w:val="Heading3"/>
      </w:pPr>
      <w:bookmarkStart w:id="20" w:name="_Toc481502170"/>
      <w:r>
        <w:t>C</w:t>
      </w:r>
      <w:r w:rsidR="00D81477">
        <w:t>2.2.</w:t>
      </w:r>
      <w:r w:rsidR="00357F56">
        <w:t>1</w:t>
      </w:r>
      <w:r w:rsidR="00357F56">
        <w:tab/>
      </w:r>
      <w:r w:rsidR="003A7FBC" w:rsidRPr="00160290">
        <w:t>Number of domestic builders registered in Victoria</w:t>
      </w:r>
      <w:bookmarkEnd w:id="20"/>
    </w:p>
    <w:p w:rsidR="003A7FBC" w:rsidRPr="00160290" w:rsidRDefault="003A7FBC" w:rsidP="00FF7CA7">
      <w:pPr>
        <w:pStyle w:val="Normalpre-dotpoint"/>
      </w:pPr>
      <w:r w:rsidRPr="00160290">
        <w:t>As of 30 June 2016, there were 15,047</w:t>
      </w:r>
      <w:r w:rsidRPr="00160290">
        <w:rPr>
          <w:rStyle w:val="FootnoteReference"/>
        </w:rPr>
        <w:footnoteReference w:id="9"/>
      </w:r>
      <w:r w:rsidRPr="00160290">
        <w:t xml:space="preserve"> domestic builders registered in Victoria, comprising:</w:t>
      </w:r>
    </w:p>
    <w:p w:rsidR="002129C8" w:rsidRPr="00160290" w:rsidRDefault="003A7FBC" w:rsidP="00FF7CA7">
      <w:pPr>
        <w:pStyle w:val="Dotpoint"/>
      </w:pPr>
      <w:r w:rsidRPr="00160290">
        <w:t>2,660 registered in the category</w:t>
      </w:r>
      <w:r w:rsidR="004A284B">
        <w:t>/class</w:t>
      </w:r>
      <w:r w:rsidRPr="00160290">
        <w:t xml:space="preserve"> of </w:t>
      </w:r>
      <w:r w:rsidR="00BC1922">
        <w:t>d</w:t>
      </w:r>
      <w:r w:rsidRPr="00160290">
        <w:t xml:space="preserve">omestic </w:t>
      </w:r>
      <w:r w:rsidR="00BC1922">
        <w:t>b</w:t>
      </w:r>
      <w:r w:rsidRPr="00160290">
        <w:t>uilder (</w:t>
      </w:r>
      <w:r w:rsidR="00BC1922">
        <w:t>l</w:t>
      </w:r>
      <w:r w:rsidRPr="00160290">
        <w:t>imited)</w:t>
      </w:r>
    </w:p>
    <w:p w:rsidR="003A7FBC" w:rsidRPr="00160290" w:rsidRDefault="003A7FBC" w:rsidP="00FF7CA7">
      <w:pPr>
        <w:pStyle w:val="Dotpoint"/>
      </w:pPr>
      <w:r w:rsidRPr="00160290">
        <w:t>1,082 registered in the category</w:t>
      </w:r>
      <w:r w:rsidR="004A284B">
        <w:t>/class</w:t>
      </w:r>
      <w:r w:rsidRPr="00160290">
        <w:t xml:space="preserve"> of </w:t>
      </w:r>
      <w:r w:rsidR="00BC1922">
        <w:t>d</w:t>
      </w:r>
      <w:r w:rsidRPr="00160290">
        <w:t xml:space="preserve">omestic </w:t>
      </w:r>
      <w:r w:rsidR="00BC1922">
        <w:t>b</w:t>
      </w:r>
      <w:r w:rsidRPr="00160290">
        <w:t>uilder (</w:t>
      </w:r>
      <w:r w:rsidR="00BC1922">
        <w:t>m</w:t>
      </w:r>
      <w:r w:rsidRPr="00160290">
        <w:t>anager)</w:t>
      </w:r>
    </w:p>
    <w:p w:rsidR="002129C8" w:rsidRPr="00160290" w:rsidRDefault="003A7FBC" w:rsidP="00FF7CA7">
      <w:pPr>
        <w:pStyle w:val="Dotpointlast"/>
      </w:pPr>
      <w:r w:rsidRPr="00160290">
        <w:t>11,305 registered in the category</w:t>
      </w:r>
      <w:r w:rsidR="004A284B">
        <w:t>/class</w:t>
      </w:r>
      <w:r w:rsidRPr="00160290">
        <w:t xml:space="preserve"> of </w:t>
      </w:r>
      <w:r w:rsidR="00BC1922">
        <w:t>d</w:t>
      </w:r>
      <w:r w:rsidRPr="00160290">
        <w:t xml:space="preserve">omestic </w:t>
      </w:r>
      <w:r w:rsidR="00BC1922">
        <w:t>b</w:t>
      </w:r>
      <w:r w:rsidRPr="00160290">
        <w:t>uilder (</w:t>
      </w:r>
      <w:r w:rsidR="00BC1922">
        <w:t>u</w:t>
      </w:r>
      <w:r w:rsidRPr="00160290">
        <w:t>nlimited).</w:t>
      </w:r>
      <w:r w:rsidRPr="00160290">
        <w:rPr>
          <w:rStyle w:val="FootnoteReference"/>
        </w:rPr>
        <w:t xml:space="preserve"> </w:t>
      </w:r>
      <w:r w:rsidRPr="00160290">
        <w:rPr>
          <w:rStyle w:val="FootnoteReference"/>
        </w:rPr>
        <w:footnoteReference w:id="10"/>
      </w:r>
    </w:p>
    <w:p w:rsidR="002129C8" w:rsidRPr="00160290" w:rsidRDefault="003A7FBC" w:rsidP="00FF7CA7">
      <w:r w:rsidRPr="00160290">
        <w:lastRenderedPageBreak/>
        <w:t>Of the total number of building practitioners registered in Victoria at 30 June 2016</w:t>
      </w:r>
      <w:r w:rsidR="0062727D">
        <w:t xml:space="preserve"> – </w:t>
      </w:r>
      <w:r w:rsidRPr="00160290">
        <w:t>being 22,377</w:t>
      </w:r>
      <w:r w:rsidRPr="00160290">
        <w:rPr>
          <w:rStyle w:val="FootnoteReference"/>
        </w:rPr>
        <w:footnoteReference w:id="11"/>
      </w:r>
      <w:r w:rsidR="0062727D">
        <w:t xml:space="preserve"> –</w:t>
      </w:r>
      <w:r w:rsidRPr="00160290">
        <w:t xml:space="preserve"> 50%</w:t>
      </w:r>
      <w:r w:rsidR="0062727D">
        <w:t xml:space="preserve"> were </w:t>
      </w:r>
      <w:r w:rsidRPr="00160290">
        <w:t xml:space="preserve">registered in the </w:t>
      </w:r>
      <w:r w:rsidR="004A284B">
        <w:t>category/</w:t>
      </w:r>
      <w:r w:rsidRPr="00160290">
        <w:t xml:space="preserve">class of </w:t>
      </w:r>
      <w:r w:rsidR="00BC1922">
        <w:t>d</w:t>
      </w:r>
      <w:r w:rsidRPr="00160290">
        <w:t xml:space="preserve">omestic </w:t>
      </w:r>
      <w:r w:rsidR="00BC1922">
        <w:t>b</w:t>
      </w:r>
      <w:r w:rsidRPr="00160290">
        <w:t>uilder (</w:t>
      </w:r>
      <w:r w:rsidR="00BC1922">
        <w:t>u</w:t>
      </w:r>
      <w:r w:rsidRPr="00160290">
        <w:t xml:space="preserve">nlimited), 12% in the </w:t>
      </w:r>
      <w:r w:rsidR="004A284B">
        <w:t>category/</w:t>
      </w:r>
      <w:r w:rsidRPr="00160290">
        <w:t xml:space="preserve">class of </w:t>
      </w:r>
      <w:r w:rsidR="00BC1922">
        <w:t>d</w:t>
      </w:r>
      <w:r w:rsidRPr="00160290">
        <w:t xml:space="preserve">omestic </w:t>
      </w:r>
      <w:r w:rsidR="00BC1922">
        <w:t>b</w:t>
      </w:r>
      <w:r w:rsidRPr="00160290">
        <w:t>uilder (</w:t>
      </w:r>
      <w:proofErr w:type="spellStart"/>
      <w:r w:rsidRPr="00160290">
        <w:t>imited</w:t>
      </w:r>
      <w:proofErr w:type="spellEnd"/>
      <w:r w:rsidRPr="00160290">
        <w:t xml:space="preserve">) and 5% in the </w:t>
      </w:r>
      <w:r w:rsidR="004A284B">
        <w:t>category/</w:t>
      </w:r>
      <w:r w:rsidRPr="00160290">
        <w:t xml:space="preserve">class of </w:t>
      </w:r>
      <w:r w:rsidR="00BC1922">
        <w:t>d</w:t>
      </w:r>
      <w:r w:rsidRPr="00160290">
        <w:t xml:space="preserve">omestic </w:t>
      </w:r>
      <w:r w:rsidR="00BC1922">
        <w:t>b</w:t>
      </w:r>
      <w:r w:rsidRPr="00160290">
        <w:t>uilder (</w:t>
      </w:r>
      <w:r w:rsidR="00BC1922">
        <w:t>m</w:t>
      </w:r>
      <w:r w:rsidRPr="00160290">
        <w:t>anager). In total, this means 67% of registered building practitioners are registered as a domestic building practitioner.</w:t>
      </w:r>
    </w:p>
    <w:p w:rsidR="003A7FBC" w:rsidRPr="00160290" w:rsidRDefault="00357F56" w:rsidP="00357F56">
      <w:pPr>
        <w:pStyle w:val="Heading3"/>
      </w:pPr>
      <w:bookmarkStart w:id="21" w:name="_Toc481502171"/>
      <w:r>
        <w:t>C</w:t>
      </w:r>
      <w:r w:rsidR="00D81477">
        <w:t>2.2.2</w:t>
      </w:r>
      <w:r w:rsidR="00D81477">
        <w:tab/>
      </w:r>
      <w:r w:rsidR="003A7FBC" w:rsidRPr="00160290">
        <w:t>Scope of regulated work</w:t>
      </w:r>
      <w:bookmarkEnd w:id="21"/>
    </w:p>
    <w:p w:rsidR="003A7FBC" w:rsidRPr="00160290" w:rsidRDefault="003A7FBC" w:rsidP="00FF7CA7">
      <w:r w:rsidRPr="00160290">
        <w:t xml:space="preserve">Domestic building work is defined in the </w:t>
      </w:r>
      <w:r w:rsidRPr="00160290">
        <w:rPr>
          <w:i/>
        </w:rPr>
        <w:t>Domestic Building Contracts Act 1995</w:t>
      </w:r>
      <w:r w:rsidR="0062727D">
        <w:rPr>
          <w:i/>
        </w:rPr>
        <w:t xml:space="preserve"> </w:t>
      </w:r>
      <w:r w:rsidR="0062727D">
        <w:t xml:space="preserve">as </w:t>
      </w:r>
      <w:r w:rsidRPr="00160290">
        <w:t>work associated with the construction, renovation, improvement or maintenance of a home (class 1, 2 and 4 buildings</w:t>
      </w:r>
      <w:r w:rsidR="00160290">
        <w:t xml:space="preserve"> and</w:t>
      </w:r>
      <w:r w:rsidRPr="00160290">
        <w:t xml:space="preserve"> associated </w:t>
      </w:r>
      <w:r w:rsidR="0062727D">
        <w:t>C</w:t>
      </w:r>
      <w:r w:rsidRPr="00160290">
        <w:t xml:space="preserve">lass 10 buildings as classified in the </w:t>
      </w:r>
      <w:r w:rsidR="006C108D">
        <w:t>Building Code of Australia</w:t>
      </w:r>
      <w:r w:rsidRPr="00160290">
        <w:t>). A home is any residential premises, which includes any part of a commercial building or industrial premise that is used as a residential premise.</w:t>
      </w:r>
    </w:p>
    <w:p w:rsidR="003A7FBC" w:rsidRPr="00160290" w:rsidRDefault="003A7FBC" w:rsidP="00FF7CA7">
      <w:r w:rsidRPr="00160290">
        <w:t xml:space="preserve">Persons registered in the class of </w:t>
      </w:r>
      <w:r w:rsidR="00BC1922">
        <w:t>d</w:t>
      </w:r>
      <w:r w:rsidRPr="00160290">
        <w:t xml:space="preserve">omestic </w:t>
      </w:r>
      <w:r w:rsidR="00BC1922">
        <w:t>b</w:t>
      </w:r>
      <w:r w:rsidRPr="00160290">
        <w:t>uilder (</w:t>
      </w:r>
      <w:r w:rsidR="00BC1922">
        <w:t>u</w:t>
      </w:r>
      <w:r w:rsidRPr="00160290">
        <w:t>nlimited) are responsible for carrying out, or managing or arranging the carrying</w:t>
      </w:r>
      <w:r w:rsidR="00355370">
        <w:t>-</w:t>
      </w:r>
      <w:r w:rsidRPr="00160290">
        <w:t xml:space="preserve">out of, </w:t>
      </w:r>
      <w:r w:rsidR="00D3125B" w:rsidRPr="00D3125B">
        <w:t>all components</w:t>
      </w:r>
      <w:r w:rsidRPr="00160290">
        <w:t xml:space="preserve"> of domestic building work for the construction, renovation, improvement or maintenance of a home.</w:t>
      </w:r>
    </w:p>
    <w:p w:rsidR="003A7FBC" w:rsidRPr="00160290" w:rsidRDefault="000E2924" w:rsidP="00FF7CA7">
      <w:r>
        <w:t>VBA</w:t>
      </w:r>
      <w:r w:rsidR="003A7FBC" w:rsidRPr="00160290">
        <w:t xml:space="preserve"> uses 29 administrative </w:t>
      </w:r>
      <w:r w:rsidR="00160290" w:rsidRPr="00160290">
        <w:t>sub</w:t>
      </w:r>
      <w:r w:rsidR="003A7FBC" w:rsidRPr="00160290">
        <w:t xml:space="preserve">classes of </w:t>
      </w:r>
      <w:r w:rsidR="00BC1922">
        <w:t>d</w:t>
      </w:r>
      <w:r w:rsidR="003A7FBC" w:rsidRPr="00160290">
        <w:t xml:space="preserve">omestic </w:t>
      </w:r>
      <w:r w:rsidR="00BC1922">
        <w:t>b</w:t>
      </w:r>
      <w:r w:rsidR="003A7FBC" w:rsidRPr="00160290">
        <w:t>uilder (</w:t>
      </w:r>
      <w:r w:rsidR="00BC1922">
        <w:t>l</w:t>
      </w:r>
      <w:r w:rsidR="003A7FBC" w:rsidRPr="00160290">
        <w:t>imited) to register and authorise domestic builders to carry out 29 specific components of domestic building work.</w:t>
      </w:r>
      <w:r w:rsidR="002129C8" w:rsidRPr="00160290">
        <w:t xml:space="preserve"> </w:t>
      </w:r>
      <w:r w:rsidR="003A7FBC" w:rsidRPr="00160290">
        <w:t xml:space="preserve">These components include bricklaying, carpentry, framing work, construction of retaining walls, footing and slabs work and restumping and </w:t>
      </w:r>
      <w:proofErr w:type="spellStart"/>
      <w:r w:rsidR="003A7FBC" w:rsidRPr="00160290">
        <w:t>reblocking</w:t>
      </w:r>
      <w:proofErr w:type="spellEnd"/>
      <w:r w:rsidR="003A7FBC" w:rsidRPr="00160290">
        <w:t>. It also includes cabinet</w:t>
      </w:r>
      <w:r w:rsidR="0062727D">
        <w:t>-</w:t>
      </w:r>
      <w:r w:rsidR="003A7FBC" w:rsidRPr="00160290">
        <w:t>making, kitchen renovation work and sheet plastering</w:t>
      </w:r>
      <w:r w:rsidR="0062727D">
        <w:t>.</w:t>
      </w:r>
    </w:p>
    <w:p w:rsidR="002129C8" w:rsidRPr="00160290" w:rsidRDefault="000E2924" w:rsidP="00FF7CA7">
      <w:r>
        <w:t>VBA</w:t>
      </w:r>
      <w:r w:rsidR="003A7FBC" w:rsidRPr="00160290">
        <w:t xml:space="preserve"> has identif</w:t>
      </w:r>
      <w:r w:rsidR="0062727D">
        <w:t>ied</w:t>
      </w:r>
      <w:r w:rsidR="003A7FBC" w:rsidRPr="00160290">
        <w:t xml:space="preserve"> criteria for use in a new knowledge and </w:t>
      </w:r>
      <w:r w:rsidR="00160290">
        <w:t>e</w:t>
      </w:r>
      <w:r w:rsidR="003A7FBC" w:rsidRPr="00160290">
        <w:t xml:space="preserve">xperience </w:t>
      </w:r>
      <w:r w:rsidR="00160290">
        <w:t>a</w:t>
      </w:r>
      <w:r w:rsidR="003A7FBC" w:rsidRPr="00160290">
        <w:t xml:space="preserve">ssessment </w:t>
      </w:r>
      <w:r w:rsidR="00160290">
        <w:t>f</w:t>
      </w:r>
      <w:r w:rsidR="003A7FBC" w:rsidRPr="00160290">
        <w:t>ramework.</w:t>
      </w:r>
      <w:r w:rsidR="002129C8" w:rsidRPr="00160290">
        <w:t xml:space="preserve"> </w:t>
      </w:r>
      <w:r w:rsidR="0062727D">
        <w:t xml:space="preserve">It has </w:t>
      </w:r>
      <w:r w:rsidR="003A7FBC" w:rsidRPr="00160290">
        <w:t>identif</w:t>
      </w:r>
      <w:r w:rsidR="0062727D">
        <w:t>ied</w:t>
      </w:r>
      <w:r w:rsidR="003A7FBC" w:rsidRPr="00160290">
        <w:t xml:space="preserve"> scopes of work for its 29 administrative </w:t>
      </w:r>
      <w:r w:rsidR="00160290" w:rsidRPr="00160290">
        <w:t>sub</w:t>
      </w:r>
      <w:r w:rsidR="003A7FBC" w:rsidRPr="00160290">
        <w:t>classes of domestic builder (in addition to other particular categories and classes of registration of building practitioner)</w:t>
      </w:r>
      <w:r w:rsidR="0062727D">
        <w:t xml:space="preserve"> and</w:t>
      </w:r>
      <w:r w:rsidR="003A7FBC" w:rsidRPr="00160290">
        <w:t xml:space="preserve"> the competencies required to carry out the identified scopes of work</w:t>
      </w:r>
      <w:r w:rsidR="0062727D">
        <w:t xml:space="preserve">. It has also </w:t>
      </w:r>
      <w:r w:rsidR="003A7FBC" w:rsidRPr="00160290">
        <w:t>recommend</w:t>
      </w:r>
      <w:r w:rsidR="0062727D">
        <w:t>ed</w:t>
      </w:r>
      <w:r w:rsidR="003A7FBC" w:rsidRPr="00160290">
        <w:t xml:space="preserve"> renaming some categories and classes of building practitioner to better reflect the scope of work </w:t>
      </w:r>
      <w:r w:rsidR="0062727D">
        <w:t xml:space="preserve">in which </w:t>
      </w:r>
      <w:r w:rsidR="003A7FBC" w:rsidRPr="00160290">
        <w:t>they are required to be competent to carry out</w:t>
      </w:r>
      <w:r w:rsidR="0062727D">
        <w:t>,</w:t>
      </w:r>
      <w:r w:rsidR="003A7FBC" w:rsidRPr="00160290">
        <w:t xml:space="preserve"> for the purposes of registration.</w:t>
      </w:r>
    </w:p>
    <w:p w:rsidR="003A7FBC" w:rsidRPr="00160290" w:rsidRDefault="00357F56" w:rsidP="00357F56">
      <w:pPr>
        <w:pStyle w:val="Heading3"/>
      </w:pPr>
      <w:bookmarkStart w:id="22" w:name="_Toc481502172"/>
      <w:r>
        <w:t>C</w:t>
      </w:r>
      <w:r w:rsidR="00D81477">
        <w:t>2.2.3</w:t>
      </w:r>
      <w:r w:rsidR="00D81477">
        <w:tab/>
      </w:r>
      <w:r w:rsidR="003A7FBC" w:rsidRPr="00160290">
        <w:t xml:space="preserve">When registration of domestic builders </w:t>
      </w:r>
      <w:r w:rsidR="0062727D">
        <w:t xml:space="preserve">is </w:t>
      </w:r>
      <w:r w:rsidR="003A7FBC" w:rsidRPr="00160290">
        <w:t>required</w:t>
      </w:r>
      <w:bookmarkEnd w:id="22"/>
    </w:p>
    <w:p w:rsidR="002129C8" w:rsidRPr="00160290" w:rsidRDefault="003A7FBC" w:rsidP="00FF7CA7">
      <w:r w:rsidRPr="00160290">
        <w:t>If a builder intends to carry out, manage or arrange the carrying</w:t>
      </w:r>
      <w:r w:rsidR="0062727D">
        <w:t>-</w:t>
      </w:r>
      <w:r w:rsidRPr="00160290">
        <w:t>out of domestic building work for another person, and the cost of that work is more than $5,000, the parties must enter a major domestic building contract</w:t>
      </w:r>
      <w:r w:rsidR="0062727D">
        <w:t>. T</w:t>
      </w:r>
      <w:r w:rsidRPr="00160290">
        <w:t>he builder must not enter this contract unless they are registered in the appropriate class of domestic building practitioner under the Act.</w:t>
      </w:r>
    </w:p>
    <w:p w:rsidR="003A7FBC" w:rsidRPr="00160290" w:rsidRDefault="003A7FBC" w:rsidP="00FF7CA7">
      <w:r w:rsidRPr="00160290">
        <w:t>A building surveyor must not issue a building permit for domestic building work to be carried out under a major domestic building contract unless they are satisfied (among other conditions) that the work is to be carried out by a builder who is registered in the appropriate class of domestic builder.</w:t>
      </w:r>
    </w:p>
    <w:p w:rsidR="003A7FBC" w:rsidRPr="00D81477" w:rsidRDefault="00357F56" w:rsidP="00357F56">
      <w:pPr>
        <w:pStyle w:val="Heading3"/>
      </w:pPr>
      <w:bookmarkStart w:id="23" w:name="_Toc481502173"/>
      <w:r>
        <w:t>C</w:t>
      </w:r>
      <w:r w:rsidR="00D81477" w:rsidRPr="00D81477">
        <w:t>2.2.4</w:t>
      </w:r>
      <w:r w:rsidR="00D81477" w:rsidRPr="00D81477">
        <w:tab/>
      </w:r>
      <w:r w:rsidR="003A7FBC" w:rsidRPr="00D81477">
        <w:t>Volume of work undertaken by domestic builders in Victoria</w:t>
      </w:r>
      <w:bookmarkEnd w:id="23"/>
    </w:p>
    <w:p w:rsidR="002129C8" w:rsidRPr="00160290" w:rsidRDefault="003A7FBC" w:rsidP="00FF7CA7">
      <w:r w:rsidRPr="00160290">
        <w:t>In 2015</w:t>
      </w:r>
      <w:r w:rsidR="0062727D">
        <w:t>–</w:t>
      </w:r>
      <w:r w:rsidRPr="00160290">
        <w:t>16, 90,670 building permits were issued for domestic building work, on account of a reported cost of domestic building work of $16,203,987,963 in that financial year.</w:t>
      </w:r>
    </w:p>
    <w:p w:rsidR="003A7FBC" w:rsidRPr="00160290" w:rsidRDefault="00357F56" w:rsidP="00357F56">
      <w:pPr>
        <w:pStyle w:val="Heading3"/>
      </w:pPr>
      <w:bookmarkStart w:id="24" w:name="_Toc481502174"/>
      <w:r>
        <w:t>C</w:t>
      </w:r>
      <w:r w:rsidR="00D81477">
        <w:t>2.2.5</w:t>
      </w:r>
      <w:r w:rsidR="00D81477">
        <w:tab/>
      </w:r>
      <w:r w:rsidR="003A7FBC" w:rsidRPr="00160290">
        <w:t>Performance of domestic builders</w:t>
      </w:r>
      <w:bookmarkEnd w:id="24"/>
    </w:p>
    <w:p w:rsidR="002129C8" w:rsidRPr="00160290" w:rsidRDefault="003A7FBC" w:rsidP="00FF7CA7">
      <w:r w:rsidRPr="00160290">
        <w:t>The scope of regulated work of domestic builders, as set out above, necessarily charges domestic builders with a statutory responsibility to mitigate risk to owners, occupants and users of a building by ensuring domestic building work carried out by them complies with building standards, the building permit, the Act and Regulations.</w:t>
      </w:r>
    </w:p>
    <w:p w:rsidR="003A7FBC" w:rsidRPr="00160290" w:rsidRDefault="003A7FBC" w:rsidP="00FF7CA7">
      <w:r w:rsidRPr="00160290">
        <w:lastRenderedPageBreak/>
        <w:t xml:space="preserve">The 2015 </w:t>
      </w:r>
      <w:r w:rsidR="00B72C60">
        <w:t xml:space="preserve">Victorian Auditor-General's </w:t>
      </w:r>
      <w:r w:rsidR="00160290">
        <w:t>r</w:t>
      </w:r>
      <w:r w:rsidRPr="00160290">
        <w:t xml:space="preserve">eport found evidence of considerable consumer detriment in domestic building and concluded that, </w:t>
      </w:r>
      <w:r w:rsidR="00B72C60">
        <w:t>'</w:t>
      </w:r>
      <w:r w:rsidRPr="00160290">
        <w:t>…</w:t>
      </w:r>
      <w:r w:rsidR="00B72C60">
        <w:t xml:space="preserve"> </w:t>
      </w:r>
      <w:r w:rsidRPr="00160290">
        <w:t>the existing framework does not adequately protect consumers</w:t>
      </w:r>
      <w:r w:rsidR="00B72C60">
        <w:t>'</w:t>
      </w:r>
      <w:r w:rsidRPr="00160290">
        <w:t>.</w:t>
      </w:r>
    </w:p>
    <w:p w:rsidR="003A7FBC" w:rsidRDefault="003A7FBC" w:rsidP="00FF7CA7">
      <w:r w:rsidRPr="00160290">
        <w:t xml:space="preserve">The </w:t>
      </w:r>
      <w:r w:rsidR="00D3125B" w:rsidRPr="00D3125B">
        <w:rPr>
          <w:i/>
        </w:rPr>
        <w:t>Australian Consumer Survey 2016</w:t>
      </w:r>
      <w:r w:rsidRPr="00160290">
        <w:rPr>
          <w:rStyle w:val="FootnoteReference"/>
        </w:rPr>
        <w:footnoteReference w:id="12"/>
      </w:r>
      <w:r w:rsidRPr="00160290">
        <w:t xml:space="preserve"> found at least 17</w:t>
      </w:r>
      <w:r w:rsidR="00160290" w:rsidRPr="00160290">
        <w:t>%</w:t>
      </w:r>
      <w:r w:rsidRPr="00160290">
        <w:t xml:space="preserve"> of consumers who had undertaken home building, renovations, repairs or maintenance in Victoria had experienced a problem.</w:t>
      </w:r>
      <w:r w:rsidRPr="00160290">
        <w:rPr>
          <w:rStyle w:val="FootnoteReference"/>
        </w:rPr>
        <w:footnoteReference w:id="13"/>
      </w:r>
      <w:r w:rsidR="002129C8" w:rsidRPr="00160290">
        <w:t xml:space="preserve"> </w:t>
      </w:r>
      <w:r w:rsidRPr="00160290">
        <w:t xml:space="preserve">Problems were likely to be related to poor workmanship and delays in getting </w:t>
      </w:r>
      <w:r w:rsidR="00160290" w:rsidRPr="00160290">
        <w:t>sub</w:t>
      </w:r>
      <w:r w:rsidRPr="00160290">
        <w:t>standard work fixed.</w:t>
      </w:r>
      <w:r w:rsidRPr="00160290">
        <w:rPr>
          <w:rStyle w:val="FootnoteReference"/>
        </w:rPr>
        <w:footnoteReference w:id="14"/>
      </w:r>
      <w:r w:rsidR="002129C8" w:rsidRPr="00160290">
        <w:t xml:space="preserve"> </w:t>
      </w:r>
      <w:r w:rsidRPr="00160290">
        <w:t xml:space="preserve">The average estimated cost to resolve </w:t>
      </w:r>
      <w:r w:rsidR="00B72C60">
        <w:t xml:space="preserve">a </w:t>
      </w:r>
      <w:r w:rsidRPr="00160290">
        <w:t>problem was $1,321.02.</w:t>
      </w:r>
      <w:r w:rsidRPr="00160290">
        <w:rPr>
          <w:rStyle w:val="FootnoteReference"/>
        </w:rPr>
        <w:footnoteReference w:id="15"/>
      </w:r>
    </w:p>
    <w:p w:rsidR="002129C8" w:rsidRPr="00160290" w:rsidRDefault="003A7FBC" w:rsidP="00FF7CA7">
      <w:r w:rsidRPr="00160290">
        <w:t xml:space="preserve">Based on building permit data for </w:t>
      </w:r>
      <w:r w:rsidR="00B72C60">
        <w:t>2015–16</w:t>
      </w:r>
      <w:r w:rsidRPr="00160290">
        <w:t xml:space="preserve"> and assuming 100% of complaints related to domestic building work that required a building permit (which is conservative), up to 15,405</w:t>
      </w:r>
      <w:r w:rsidRPr="00160290">
        <w:rPr>
          <w:rStyle w:val="FootnoteReference"/>
        </w:rPr>
        <w:footnoteReference w:id="16"/>
      </w:r>
      <w:r w:rsidRPr="00160290">
        <w:t xml:space="preserve"> consumers experienced problems that required the work to be rectified or redone at a total additional cost to consumers of a</w:t>
      </w:r>
      <w:r w:rsidR="00703FD9" w:rsidRPr="00160290">
        <w:t>bout</w:t>
      </w:r>
      <w:r w:rsidRPr="00160290">
        <w:t xml:space="preserve"> $20.3 million.</w:t>
      </w:r>
      <w:r w:rsidRPr="00160290">
        <w:rPr>
          <w:rStyle w:val="FootnoteReference"/>
        </w:rPr>
        <w:footnoteReference w:id="17"/>
      </w:r>
    </w:p>
    <w:p w:rsidR="003A7FBC" w:rsidRPr="00160290" w:rsidRDefault="003A7FBC" w:rsidP="00FF7CA7">
      <w:r w:rsidRPr="00160290">
        <w:t>In July 2016, CAV commissioned research into demand and dispute experiences to assist with the establishment of the new dispute resolution service, Domestic Building Dispute Resolution Victoria. Waterproofing, brickwork and plastering consistently feature as some of the most commonly occurring defects.</w:t>
      </w:r>
      <w:r w:rsidR="002129C8" w:rsidRPr="00160290">
        <w:t xml:space="preserve"> </w:t>
      </w:r>
      <w:r w:rsidRPr="00160290">
        <w:t xml:space="preserve">All are defects which have the potential to </w:t>
      </w:r>
      <w:r w:rsidR="00B72C60">
        <w:t xml:space="preserve">affect </w:t>
      </w:r>
      <w:r w:rsidRPr="00160290">
        <w:t>the safety and amenity of the home and occupants.</w:t>
      </w:r>
      <w:r w:rsidR="002129C8" w:rsidRPr="00160290">
        <w:t xml:space="preserve"> </w:t>
      </w:r>
      <w:r w:rsidRPr="00160290">
        <w:t xml:space="preserve">If left unrectified, each could undermine the structural integrity of the dwelling and fail to meet the objective or performance standards in the </w:t>
      </w:r>
      <w:r w:rsidR="006C108D">
        <w:t>National Construction Code</w:t>
      </w:r>
      <w:r w:rsidRPr="00160290">
        <w:t>.</w:t>
      </w:r>
    </w:p>
    <w:p w:rsidR="002129C8" w:rsidRPr="00160290" w:rsidRDefault="003A7FBC" w:rsidP="00FF7CA7">
      <w:r w:rsidRPr="00160290">
        <w:t xml:space="preserve">The 2015 </w:t>
      </w:r>
      <w:r w:rsidR="00B72C60">
        <w:t xml:space="preserve">Victorian Auditor-General's </w:t>
      </w:r>
      <w:r w:rsidRPr="00160290">
        <w:t xml:space="preserve">report also reported that CAV in </w:t>
      </w:r>
      <w:r w:rsidR="00B72C60">
        <w:t xml:space="preserve">2013–14 </w:t>
      </w:r>
      <w:r w:rsidRPr="00160290">
        <w:t>responded to 21,342 calls in relation to building</w:t>
      </w:r>
      <w:r w:rsidR="00B72C60">
        <w:t>-</w:t>
      </w:r>
      <w:r w:rsidRPr="00160290">
        <w:t>related matters.</w:t>
      </w:r>
      <w:r w:rsidR="002129C8" w:rsidRPr="00160290">
        <w:t xml:space="preserve"> </w:t>
      </w:r>
      <w:r w:rsidRPr="00160290">
        <w:t>This compares with the NSW Office of Fair trading responding to 7,988 complaints and the Queensland Building and Construction Commission reporting receiving 12,702 calls in the same period. CAV data shows that in 2014</w:t>
      </w:r>
      <w:r w:rsidR="00B72C60">
        <w:t>–</w:t>
      </w:r>
      <w:r w:rsidRPr="00160290">
        <w:t>15 this figure had increased to 22,993.</w:t>
      </w:r>
    </w:p>
    <w:p w:rsidR="003A7FBC" w:rsidRPr="00160290" w:rsidRDefault="00357F56" w:rsidP="00357F56">
      <w:pPr>
        <w:pStyle w:val="Heading3"/>
      </w:pPr>
      <w:bookmarkStart w:id="25" w:name="_Toc481502175"/>
      <w:r>
        <w:t>C</w:t>
      </w:r>
      <w:r w:rsidR="00D81477">
        <w:t>2.2.6</w:t>
      </w:r>
      <w:r w:rsidR="00D81477">
        <w:tab/>
      </w:r>
      <w:r w:rsidR="003A7FBC" w:rsidRPr="00160290">
        <w:t>Discipline of domestic builders</w:t>
      </w:r>
      <w:bookmarkEnd w:id="25"/>
    </w:p>
    <w:p w:rsidR="002129C8" w:rsidRPr="00160290" w:rsidRDefault="000E2924" w:rsidP="00FF7CA7">
      <w:r>
        <w:t>VBA</w:t>
      </w:r>
      <w:r w:rsidR="003A7FBC" w:rsidRPr="00160290">
        <w:t xml:space="preserve"> has supplied the department with information about disciplinary proceedings for building practitioners between 2009</w:t>
      </w:r>
      <w:r w:rsidR="00B72C60">
        <w:t>–</w:t>
      </w:r>
      <w:r w:rsidR="003A7FBC" w:rsidRPr="00160290">
        <w:t>13</w:t>
      </w:r>
      <w:r w:rsidR="00B72C60">
        <w:t>.</w:t>
      </w:r>
    </w:p>
    <w:p w:rsidR="003A7FBC" w:rsidRPr="00160290" w:rsidRDefault="003A7FBC" w:rsidP="00FF7CA7">
      <w:r w:rsidRPr="00160290">
        <w:t xml:space="preserve">During this period, 561 disciplinary inquiries were conducted by the </w:t>
      </w:r>
      <w:r w:rsidR="006C108D">
        <w:t>BPB</w:t>
      </w:r>
      <w:r w:rsidRPr="00160290">
        <w:t xml:space="preserve"> into the conduct of </w:t>
      </w:r>
      <w:r w:rsidR="00435661">
        <w:t>d</w:t>
      </w:r>
      <w:r w:rsidRPr="00160290">
        <w:t xml:space="preserve">omestic </w:t>
      </w:r>
      <w:r w:rsidR="00435661">
        <w:t>b</w:t>
      </w:r>
      <w:r w:rsidRPr="00160290">
        <w:t>uilders (</w:t>
      </w:r>
      <w:r w:rsidR="00435661">
        <w:t>u</w:t>
      </w:r>
      <w:r w:rsidRPr="00160290">
        <w:t>nlimited).</w:t>
      </w:r>
      <w:r w:rsidR="002129C8" w:rsidRPr="00160290">
        <w:t xml:space="preserve"> </w:t>
      </w:r>
      <w:r w:rsidRPr="00160290">
        <w:t xml:space="preserve">As a result of these inquiries, 77% of findings </w:t>
      </w:r>
      <w:r w:rsidR="00703FD9" w:rsidRPr="00160290">
        <w:t>regarding</w:t>
      </w:r>
      <w:r w:rsidRPr="00160290">
        <w:t xml:space="preserve"> culpable practitioners were that the builder breached the Act or Regulations</w:t>
      </w:r>
      <w:r w:rsidR="00B72C60">
        <w:t xml:space="preserve">, with </w:t>
      </w:r>
      <w:r w:rsidRPr="00160290">
        <w:t xml:space="preserve">67% of these breaches in relation to carrying out building work in contravention of </w:t>
      </w:r>
      <w:r w:rsidR="00B72C60">
        <w:t xml:space="preserve">s </w:t>
      </w:r>
      <w:r w:rsidRPr="00160290">
        <w:t>16 of the Act</w:t>
      </w:r>
      <w:r w:rsidR="00B72C60">
        <w:t xml:space="preserve"> (</w:t>
      </w:r>
      <w:r w:rsidR="00703FD9" w:rsidRPr="00160290">
        <w:t>that is</w:t>
      </w:r>
      <w:r w:rsidR="00B72C60">
        <w:t>,</w:t>
      </w:r>
      <w:r w:rsidRPr="00160290">
        <w:t xml:space="preserve"> without a building permit or in contravention of a building permit</w:t>
      </w:r>
      <w:r w:rsidR="00B72C60">
        <w:t>)</w:t>
      </w:r>
      <w:r w:rsidRPr="00160290">
        <w:t xml:space="preserve">, 7% were </w:t>
      </w:r>
      <w:r w:rsidR="00703FD9" w:rsidRPr="00160290">
        <w:t>regarding</w:t>
      </w:r>
      <w:r w:rsidRPr="00160290">
        <w:t xml:space="preserve"> unprofessional conduct, 8% were for failing to carry out a recommendation contained in an inspector's report under </w:t>
      </w:r>
      <w:r w:rsidR="00B72C60">
        <w:t xml:space="preserve">s </w:t>
      </w:r>
      <w:r w:rsidRPr="00160290">
        <w:t xml:space="preserve">48 of the </w:t>
      </w:r>
      <w:r w:rsidRPr="00160290">
        <w:rPr>
          <w:i/>
        </w:rPr>
        <w:t>Domestic Building Contracts Act 1995,</w:t>
      </w:r>
      <w:r w:rsidRPr="00160290">
        <w:t xml:space="preserve"> 6% were for failing to comply with the </w:t>
      </w:r>
      <w:r w:rsidRPr="00160290">
        <w:rPr>
          <w:i/>
        </w:rPr>
        <w:t>Domestic Building Contracts Act 1995</w:t>
      </w:r>
      <w:r w:rsidRPr="00160290">
        <w:t xml:space="preserve"> and the balance of findings were in relation to being found guilty of conduct in relation to his or her practice as a building practitioner.</w:t>
      </w:r>
    </w:p>
    <w:p w:rsidR="00011DF3" w:rsidRDefault="00011DF3">
      <w:pPr>
        <w:spacing w:after="0"/>
      </w:pPr>
      <w:r>
        <w:br w:type="page"/>
      </w:r>
    </w:p>
    <w:p w:rsidR="003A7FBC" w:rsidRPr="00160290" w:rsidRDefault="003A7FBC" w:rsidP="00FF7CA7">
      <w:r w:rsidRPr="00160290">
        <w:lastRenderedPageBreak/>
        <w:t xml:space="preserve">In contrast, for the same period, only 88 inquiries were held into the conduct of building practitioners registered in the class of </w:t>
      </w:r>
      <w:r w:rsidR="00BC1922">
        <w:t>d</w:t>
      </w:r>
      <w:r w:rsidRPr="00160290">
        <w:t xml:space="preserve">omestic </w:t>
      </w:r>
      <w:r w:rsidR="00BC1922">
        <w:t>b</w:t>
      </w:r>
      <w:r w:rsidRPr="00160290">
        <w:t>uilder (</w:t>
      </w:r>
      <w:r w:rsidR="00BC1922">
        <w:t>l</w:t>
      </w:r>
      <w:r w:rsidRPr="00160290">
        <w:t xml:space="preserve">imited). As a result of these inquiries, 75% of findings were that the builder breached the Act or Regulations (53% of these being in relation to carrying out building work in contravention of </w:t>
      </w:r>
      <w:r w:rsidR="00B72C60">
        <w:t xml:space="preserve">s </w:t>
      </w:r>
      <w:r w:rsidRPr="00160290">
        <w:t xml:space="preserve">16 of the Act), 10% were on account of unprofessional conduct, 8% </w:t>
      </w:r>
      <w:r w:rsidR="00B72C60">
        <w:t xml:space="preserve">were </w:t>
      </w:r>
      <w:r w:rsidRPr="00160290">
        <w:t xml:space="preserve">for failing to comply with the </w:t>
      </w:r>
      <w:r w:rsidRPr="00160290">
        <w:rPr>
          <w:i/>
        </w:rPr>
        <w:t>Domestic Building Contracts Act 1995</w:t>
      </w:r>
      <w:r w:rsidRPr="00160290">
        <w:t xml:space="preserve"> and 3% were for failing to carry out a recommendation contained in an inspector's report under </w:t>
      </w:r>
      <w:r w:rsidR="000E2924">
        <w:t>s</w:t>
      </w:r>
      <w:r w:rsidRPr="00160290">
        <w:t xml:space="preserve"> 48 of the </w:t>
      </w:r>
      <w:r w:rsidRPr="00160290">
        <w:rPr>
          <w:i/>
        </w:rPr>
        <w:t>Domestic Building Contracts Act 1995</w:t>
      </w:r>
      <w:r w:rsidR="00B72C60">
        <w:t xml:space="preserve">. </w:t>
      </w:r>
      <w:r w:rsidR="00D3125B" w:rsidRPr="00D3125B">
        <w:t>T</w:t>
      </w:r>
      <w:r w:rsidRPr="00B72C60">
        <w:t>he</w:t>
      </w:r>
      <w:r w:rsidRPr="00160290">
        <w:t xml:space="preserve"> balance of </w:t>
      </w:r>
      <w:r w:rsidR="00B72C60">
        <w:t xml:space="preserve">the </w:t>
      </w:r>
      <w:r w:rsidRPr="00160290">
        <w:t>findings were in relation to being found guilty of conduct in relation to his or her practice as a building practitioner.</w:t>
      </w:r>
    </w:p>
    <w:p w:rsidR="003A7FBC" w:rsidRPr="00160290" w:rsidRDefault="00357F56" w:rsidP="00357F56">
      <w:pPr>
        <w:pStyle w:val="Heading3"/>
      </w:pPr>
      <w:bookmarkStart w:id="26" w:name="_Toc481502176"/>
      <w:r>
        <w:t>C</w:t>
      </w:r>
      <w:r w:rsidR="00D81477">
        <w:t>2.2.7</w:t>
      </w:r>
      <w:r w:rsidR="00D81477">
        <w:tab/>
      </w:r>
      <w:r w:rsidR="003A7FBC" w:rsidRPr="00160290">
        <w:t>Summary of performance measures</w:t>
      </w:r>
      <w:bookmarkEnd w:id="26"/>
    </w:p>
    <w:p w:rsidR="002129C8" w:rsidRPr="00160290" w:rsidRDefault="003A7FBC" w:rsidP="003A7FBC">
      <w:pPr>
        <w:spacing w:before="120" w:after="120"/>
      </w:pPr>
      <w:r w:rsidRPr="00160290">
        <w:t>As with building surveyors, it is not discernible from the information available</w:t>
      </w:r>
      <w:r w:rsidR="00B72C60">
        <w:t xml:space="preserve"> (</w:t>
      </w:r>
      <w:r w:rsidRPr="00160290">
        <w:t>especially in relation to findings which involved a breach of the Act and/or Regulations</w:t>
      </w:r>
      <w:r w:rsidR="00B72C60">
        <w:t xml:space="preserve">) </w:t>
      </w:r>
      <w:r w:rsidRPr="00160290">
        <w:t>whether the reason for the culpable conduct was unfamiliarity with the relevant parts of the relevant Acts and/or Regulations, or intentional noncompliance.</w:t>
      </w:r>
      <w:r w:rsidR="002129C8" w:rsidRPr="00160290">
        <w:t xml:space="preserve"> </w:t>
      </w:r>
      <w:r w:rsidRPr="00160290">
        <w:t xml:space="preserve">However, the </w:t>
      </w:r>
      <w:r w:rsidR="00BE6DEA" w:rsidRPr="00160290">
        <w:t>department</w:t>
      </w:r>
      <w:r w:rsidR="0078449D">
        <w:t xml:space="preserve"> considers </w:t>
      </w:r>
      <w:r w:rsidRPr="00160290">
        <w:t>prescribing appropriate qualifications for domestic builders and assessing these on application for registration will provide the best possible opportunity, at the point of registration, to ensure successful applicants have the necessary knowledge, skills and experience to carry out domestic building work in a competent and professional manner.</w:t>
      </w:r>
    </w:p>
    <w:p w:rsidR="002129C8" w:rsidRPr="00160290" w:rsidRDefault="00357F56" w:rsidP="00357F56">
      <w:pPr>
        <w:pStyle w:val="Heading2"/>
      </w:pPr>
      <w:bookmarkStart w:id="27" w:name="_Toc481502177"/>
      <w:r>
        <w:t>C</w:t>
      </w:r>
      <w:r w:rsidR="00D81477">
        <w:t>2.3</w:t>
      </w:r>
      <w:r w:rsidR="00D81477">
        <w:tab/>
      </w:r>
      <w:r w:rsidR="003A7FBC" w:rsidRPr="00160290">
        <w:t>Building surveyor</w:t>
      </w:r>
      <w:bookmarkEnd w:id="27"/>
    </w:p>
    <w:p w:rsidR="003A7FBC" w:rsidRPr="00160290" w:rsidRDefault="003A7FBC" w:rsidP="00FF7CA7">
      <w:pPr>
        <w:pStyle w:val="Normalpre-dotpoint"/>
      </w:pPr>
      <w:r w:rsidRPr="00160290">
        <w:t xml:space="preserve">As </w:t>
      </w:r>
      <w:r w:rsidR="0078449D">
        <w:t>at</w:t>
      </w:r>
      <w:r w:rsidR="0078449D" w:rsidRPr="00160290">
        <w:t xml:space="preserve"> </w:t>
      </w:r>
      <w:r w:rsidRPr="00160290">
        <w:t>30 June 2016, there were 666</w:t>
      </w:r>
      <w:r w:rsidRPr="00160290">
        <w:rPr>
          <w:rStyle w:val="FootnoteReference"/>
          <w:rFonts w:asciiTheme="majorHAnsi" w:hAnsiTheme="majorHAnsi"/>
        </w:rPr>
        <w:footnoteReference w:id="18"/>
      </w:r>
      <w:r w:rsidRPr="00160290">
        <w:t xml:space="preserve"> building surveyors registered in Victoria, comprising:</w:t>
      </w:r>
    </w:p>
    <w:p w:rsidR="003A7FBC" w:rsidRPr="00160290" w:rsidRDefault="003A7FBC" w:rsidP="00FF7CA7">
      <w:pPr>
        <w:pStyle w:val="Dotpoint"/>
      </w:pPr>
      <w:r w:rsidRPr="00160290">
        <w:t>108</w:t>
      </w:r>
      <w:r w:rsidRPr="00160290">
        <w:rPr>
          <w:rStyle w:val="FootnoteReference"/>
          <w:rFonts w:asciiTheme="majorHAnsi" w:hAnsiTheme="majorHAnsi"/>
        </w:rPr>
        <w:footnoteReference w:id="19"/>
      </w:r>
      <w:r w:rsidR="002129C8" w:rsidRPr="00160290">
        <w:t xml:space="preserve"> </w:t>
      </w:r>
      <w:r w:rsidRPr="00160290">
        <w:t>registered in the category</w:t>
      </w:r>
      <w:r w:rsidR="004A284B">
        <w:t>/</w:t>
      </w:r>
      <w:r w:rsidR="00435661">
        <w:t>class</w:t>
      </w:r>
      <w:r w:rsidRPr="00160290">
        <w:t xml:space="preserve"> of </w:t>
      </w:r>
      <w:r w:rsidR="00BC1922">
        <w:t>b</w:t>
      </w:r>
      <w:r w:rsidRPr="00160290">
        <w:t xml:space="preserve">uilding </w:t>
      </w:r>
      <w:r w:rsidR="00BC1922">
        <w:t>s</w:t>
      </w:r>
      <w:r w:rsidRPr="00160290">
        <w:t>urveyor (</w:t>
      </w:r>
      <w:r w:rsidR="00BC1922">
        <w:t>l</w:t>
      </w:r>
      <w:r w:rsidRPr="00160290">
        <w:t>imited)</w:t>
      </w:r>
    </w:p>
    <w:p w:rsidR="002129C8" w:rsidRPr="00160290" w:rsidRDefault="003A7FBC" w:rsidP="00FF7CA7">
      <w:pPr>
        <w:pStyle w:val="Dotpointlast"/>
      </w:pPr>
      <w:r w:rsidRPr="00160290">
        <w:t>558</w:t>
      </w:r>
      <w:r w:rsidRPr="00160290">
        <w:rPr>
          <w:rStyle w:val="FootnoteReference"/>
          <w:rFonts w:asciiTheme="majorHAnsi" w:hAnsiTheme="majorHAnsi"/>
        </w:rPr>
        <w:footnoteReference w:id="20"/>
      </w:r>
      <w:r w:rsidRPr="00160290">
        <w:t xml:space="preserve"> registered in the category</w:t>
      </w:r>
      <w:r w:rsidR="004A284B">
        <w:t>/</w:t>
      </w:r>
      <w:r w:rsidR="00435661">
        <w:t>class</w:t>
      </w:r>
      <w:r w:rsidRPr="00160290">
        <w:t xml:space="preserve"> of </w:t>
      </w:r>
      <w:r w:rsidR="00BC1922">
        <w:t>b</w:t>
      </w:r>
      <w:r w:rsidRPr="00160290">
        <w:t xml:space="preserve">uilding </w:t>
      </w:r>
      <w:r w:rsidR="00BC1922">
        <w:t>s</w:t>
      </w:r>
      <w:r w:rsidRPr="00160290">
        <w:t>urveyor (</w:t>
      </w:r>
      <w:r w:rsidR="00BC1922">
        <w:t>u</w:t>
      </w:r>
      <w:r w:rsidRPr="00160290">
        <w:t>nlimited).</w:t>
      </w:r>
    </w:p>
    <w:p w:rsidR="002129C8" w:rsidRPr="00160290" w:rsidRDefault="003A7FBC" w:rsidP="00FF7CA7">
      <w:r w:rsidRPr="00160290">
        <w:t>Of the total number of building practitioners registered in Victoria at 30 June 2016 (being 22,377)</w:t>
      </w:r>
      <w:r w:rsidR="00561486">
        <w:t>,</w:t>
      </w:r>
      <w:r w:rsidRPr="00160290">
        <w:rPr>
          <w:vertAlign w:val="superscript"/>
        </w:rPr>
        <w:footnoteReference w:id="21"/>
      </w:r>
      <w:r w:rsidRPr="00160290">
        <w:t xml:space="preserve"> 0.5% </w:t>
      </w:r>
      <w:r w:rsidR="0078449D">
        <w:t xml:space="preserve">were </w:t>
      </w:r>
      <w:r w:rsidR="00160290">
        <w:t>b</w:t>
      </w:r>
      <w:r w:rsidRPr="00160290">
        <w:t xml:space="preserve">uilding </w:t>
      </w:r>
      <w:r w:rsidR="00160290">
        <w:t>s</w:t>
      </w:r>
      <w:r w:rsidRPr="00160290">
        <w:t>urveyors (</w:t>
      </w:r>
      <w:r w:rsidR="00435661">
        <w:t>l</w:t>
      </w:r>
      <w:r w:rsidRPr="00160290">
        <w:t xml:space="preserve">imited) and 2.5% </w:t>
      </w:r>
      <w:r w:rsidR="0078449D">
        <w:t xml:space="preserve">were </w:t>
      </w:r>
      <w:r w:rsidR="00160290">
        <w:t>b</w:t>
      </w:r>
      <w:r w:rsidRPr="00160290">
        <w:t xml:space="preserve">uilding </w:t>
      </w:r>
      <w:r w:rsidR="00160290">
        <w:t>s</w:t>
      </w:r>
      <w:r w:rsidRPr="00160290">
        <w:t>urveyors (</w:t>
      </w:r>
      <w:r w:rsidR="00435661">
        <w:t>u</w:t>
      </w:r>
      <w:r w:rsidRPr="00160290">
        <w:t>nlimited).</w:t>
      </w:r>
    </w:p>
    <w:p w:rsidR="002129C8" w:rsidRPr="00160290" w:rsidRDefault="00357F56" w:rsidP="00357F56">
      <w:pPr>
        <w:pStyle w:val="Heading3"/>
      </w:pPr>
      <w:bookmarkStart w:id="28" w:name="_Toc481502178"/>
      <w:r>
        <w:t>C2.3.1</w:t>
      </w:r>
      <w:r>
        <w:tab/>
      </w:r>
      <w:r w:rsidR="003A7FBC" w:rsidRPr="00160290">
        <w:t>Scope of regulated work</w:t>
      </w:r>
      <w:bookmarkEnd w:id="28"/>
    </w:p>
    <w:p w:rsidR="003A7FBC" w:rsidRPr="00160290" w:rsidRDefault="003A7FBC" w:rsidP="00FF7CA7">
      <w:r w:rsidRPr="00160290">
        <w:t>People registered in the category</w:t>
      </w:r>
      <w:r w:rsidR="004A284B">
        <w:t>/</w:t>
      </w:r>
      <w:r w:rsidR="00435661">
        <w:t>class</w:t>
      </w:r>
      <w:r w:rsidRPr="00160290">
        <w:t xml:space="preserve"> of </w:t>
      </w:r>
      <w:r w:rsidR="00BC1922">
        <w:t>b</w:t>
      </w:r>
      <w:r w:rsidRPr="00160290">
        <w:t xml:space="preserve">uilding </w:t>
      </w:r>
      <w:r w:rsidR="00BC1922">
        <w:t>s</w:t>
      </w:r>
      <w:r w:rsidRPr="00160290">
        <w:t>urveyor (</w:t>
      </w:r>
      <w:r w:rsidR="00BC1922">
        <w:t>l</w:t>
      </w:r>
      <w:r w:rsidRPr="00160290">
        <w:t xml:space="preserve">imited) may perform the statutory functions and powers of a building surveyor as authorised or required by the </w:t>
      </w:r>
      <w:r w:rsidR="00D3125B" w:rsidRPr="00D3125B">
        <w:t>Act</w:t>
      </w:r>
      <w:r w:rsidRPr="00160290">
        <w:rPr>
          <w:i/>
        </w:rPr>
        <w:t xml:space="preserve"> </w:t>
      </w:r>
      <w:r w:rsidRPr="00160290">
        <w:t xml:space="preserve">and Regulations for all classes of building </w:t>
      </w:r>
      <w:r w:rsidR="00D3125B" w:rsidRPr="00D3125B">
        <w:t>up to three storeys in height with a maximum floor area of 2000</w:t>
      </w:r>
      <w:r w:rsidR="0022498F">
        <w:t> m</w:t>
      </w:r>
      <w:r w:rsidR="00FC6221" w:rsidRPr="00011DF3">
        <w:rPr>
          <w:vertAlign w:val="superscript"/>
        </w:rPr>
        <w:t>2</w:t>
      </w:r>
      <w:r w:rsidRPr="00160290">
        <w:t>.</w:t>
      </w:r>
    </w:p>
    <w:p w:rsidR="003A7FBC" w:rsidRPr="00160290" w:rsidRDefault="003A7FBC" w:rsidP="00FF7CA7">
      <w:r w:rsidRPr="00160290">
        <w:t>People registered in the category</w:t>
      </w:r>
      <w:r w:rsidR="004A284B">
        <w:t>/</w:t>
      </w:r>
      <w:r w:rsidR="00435661">
        <w:t>class</w:t>
      </w:r>
      <w:r w:rsidRPr="00160290">
        <w:t xml:space="preserve"> of </w:t>
      </w:r>
      <w:r w:rsidR="00BC1922">
        <w:t>b</w:t>
      </w:r>
      <w:r w:rsidRPr="00160290">
        <w:t xml:space="preserve">uilding </w:t>
      </w:r>
      <w:r w:rsidR="00BC1922">
        <w:t>s</w:t>
      </w:r>
      <w:r w:rsidRPr="00160290">
        <w:t>urveyor (</w:t>
      </w:r>
      <w:r w:rsidR="00BC1922">
        <w:t>u</w:t>
      </w:r>
      <w:r w:rsidRPr="00160290">
        <w:t>nlimited), in contrast, may perform all the statutory functions and powers of a building surveyor authorised or required by the Act and Regulations</w:t>
      </w:r>
      <w:r w:rsidR="0078449D">
        <w:t xml:space="preserve"> </w:t>
      </w:r>
      <w:r w:rsidRPr="00160290">
        <w:t xml:space="preserve">for </w:t>
      </w:r>
      <w:r w:rsidR="00D3125B" w:rsidRPr="00D3125B">
        <w:t>all classes</w:t>
      </w:r>
      <w:r w:rsidRPr="0078449D">
        <w:t xml:space="preserve"> of building of </w:t>
      </w:r>
      <w:r w:rsidR="00D3125B" w:rsidRPr="00D3125B">
        <w:t>unlimited height or floor area</w:t>
      </w:r>
      <w:r w:rsidRPr="0078449D">
        <w:t>.</w:t>
      </w:r>
    </w:p>
    <w:p w:rsidR="002129C8" w:rsidRPr="00160290" w:rsidRDefault="003A7FBC" w:rsidP="00FF7CA7">
      <w:r w:rsidRPr="00160290">
        <w:t>The two-tiered system of registration for building surveyors provides an environment in which building surveyors with a limited registration can elect to operate in the market for building approvals for simpler structures, increasing the supply of building surveyors and competitiveness in this sector. The complexity of the role of a building surveyor can vary enormously from issuing a building permit for a simple shed or dwelling to very complex and large projects</w:t>
      </w:r>
      <w:r w:rsidR="0078449D">
        <w:t xml:space="preserve"> (</w:t>
      </w:r>
      <w:r w:rsidRPr="00160290">
        <w:t>for example, high rise office buildings, industrial buildings</w:t>
      </w:r>
      <w:r w:rsidR="00160290">
        <w:t xml:space="preserve"> and</w:t>
      </w:r>
      <w:r w:rsidRPr="00160290">
        <w:t xml:space="preserve"> airports</w:t>
      </w:r>
      <w:r w:rsidR="0078449D">
        <w:t>)</w:t>
      </w:r>
      <w:r w:rsidRPr="00160290">
        <w:t xml:space="preserve">. These projects may involve approval of sophisticated and complex engineered solutions </w:t>
      </w:r>
      <w:r w:rsidR="0078449D">
        <w:t>(</w:t>
      </w:r>
      <w:r w:rsidRPr="00160290">
        <w:t>such as fire safety systems</w:t>
      </w:r>
      <w:r w:rsidR="0078449D">
        <w:t>)</w:t>
      </w:r>
      <w:r w:rsidRPr="00160290">
        <w:t>.</w:t>
      </w:r>
    </w:p>
    <w:p w:rsidR="00011DF3" w:rsidRDefault="00011DF3">
      <w:pPr>
        <w:spacing w:after="0"/>
      </w:pPr>
      <w:r>
        <w:br w:type="page"/>
      </w:r>
    </w:p>
    <w:p w:rsidR="003A7FBC" w:rsidRPr="00160290" w:rsidRDefault="003A7FBC" w:rsidP="00FF7CA7">
      <w:pPr>
        <w:pStyle w:val="Normalpre-dotpoint"/>
      </w:pPr>
      <w:r w:rsidRPr="00160290">
        <w:lastRenderedPageBreak/>
        <w:t>Functions and powers of a building surveyor under the Act and Regulations include:</w:t>
      </w:r>
    </w:p>
    <w:p w:rsidR="003A7FBC" w:rsidRPr="00160290" w:rsidRDefault="003A7FBC" w:rsidP="00FF7CA7">
      <w:pPr>
        <w:pStyle w:val="Dotpoint"/>
      </w:pPr>
      <w:r w:rsidRPr="00160290">
        <w:t>issuing building permits and temporary approvals</w:t>
      </w:r>
    </w:p>
    <w:p w:rsidR="003A7FBC" w:rsidRPr="00160290" w:rsidRDefault="003A7FBC" w:rsidP="00FF7CA7">
      <w:pPr>
        <w:pStyle w:val="Dotpoint"/>
      </w:pPr>
      <w:r w:rsidRPr="00160290">
        <w:t>arranging and undertaking inspections of building work to determine compliance with the Act</w:t>
      </w:r>
      <w:r w:rsidR="0078449D">
        <w:t xml:space="preserve"> and </w:t>
      </w:r>
      <w:r w:rsidRPr="00160290">
        <w:t>Regulations (including relevant building standards) and the building permit</w:t>
      </w:r>
    </w:p>
    <w:p w:rsidR="002129C8" w:rsidRPr="00160290" w:rsidRDefault="003A7FBC" w:rsidP="00FF7CA7">
      <w:pPr>
        <w:pStyle w:val="Dotpoint"/>
      </w:pPr>
      <w:r w:rsidRPr="00160290">
        <w:t>taking actions authorised under the Act and Regulations to ensure building work complies with the Act</w:t>
      </w:r>
      <w:r w:rsidR="0078449D">
        <w:t xml:space="preserve"> and </w:t>
      </w:r>
      <w:r w:rsidRPr="00160290">
        <w:t>Regulations and the building permit, including issuing</w:t>
      </w:r>
      <w:r w:rsidR="0078449D">
        <w:t>:</w:t>
      </w:r>
    </w:p>
    <w:p w:rsidR="003A7FBC" w:rsidRPr="00160290" w:rsidRDefault="003A7FBC" w:rsidP="00FF7CA7">
      <w:pPr>
        <w:pStyle w:val="Dotpoint"/>
        <w:numPr>
          <w:ilvl w:val="1"/>
          <w:numId w:val="58"/>
        </w:numPr>
      </w:pPr>
      <w:r w:rsidRPr="00160290">
        <w:t>building notices</w:t>
      </w:r>
    </w:p>
    <w:p w:rsidR="002129C8" w:rsidRPr="00160290" w:rsidRDefault="003A7FBC" w:rsidP="00FF7CA7">
      <w:pPr>
        <w:pStyle w:val="Dotpoint"/>
        <w:numPr>
          <w:ilvl w:val="1"/>
          <w:numId w:val="58"/>
        </w:numPr>
      </w:pPr>
      <w:r w:rsidRPr="00160290">
        <w:t>building orders</w:t>
      </w:r>
    </w:p>
    <w:p w:rsidR="003A7FBC" w:rsidRPr="00160290" w:rsidRDefault="003A7FBC" w:rsidP="00FF7CA7">
      <w:pPr>
        <w:pStyle w:val="Dotpoint"/>
        <w:numPr>
          <w:ilvl w:val="1"/>
          <w:numId w:val="58"/>
        </w:numPr>
      </w:pPr>
      <w:r w:rsidRPr="00160290">
        <w:t>directions to fix building work</w:t>
      </w:r>
    </w:p>
    <w:p w:rsidR="003A7FBC" w:rsidRPr="00160290" w:rsidRDefault="003A7FBC" w:rsidP="00FF7CA7">
      <w:pPr>
        <w:pStyle w:val="Dotpoint"/>
        <w:numPr>
          <w:ilvl w:val="1"/>
          <w:numId w:val="58"/>
        </w:numPr>
      </w:pPr>
      <w:r w:rsidRPr="00160290">
        <w:t>approving the use and occupation of buildings or parts of buildings in accordance with the Act and Regulations including issuing occupancy permits and certificates of final inspection</w:t>
      </w:r>
    </w:p>
    <w:p w:rsidR="003A7FBC" w:rsidRPr="00160290" w:rsidRDefault="003A7FBC" w:rsidP="00FF7CA7">
      <w:pPr>
        <w:pStyle w:val="Dotpointlast"/>
        <w:numPr>
          <w:ilvl w:val="1"/>
          <w:numId w:val="58"/>
        </w:numPr>
      </w:pPr>
      <w:r w:rsidRPr="00160290">
        <w:t>in relation to building work that has been inspected personally by that building surveyor, issuing a report of stage inspection stating that the building work complies with the Act and Regulations.</w:t>
      </w:r>
    </w:p>
    <w:p w:rsidR="003A7FBC" w:rsidRPr="00357F56" w:rsidRDefault="00357F56" w:rsidP="00357F56">
      <w:pPr>
        <w:pStyle w:val="Heading3"/>
      </w:pPr>
      <w:bookmarkStart w:id="29" w:name="_Toc481502179"/>
      <w:r w:rsidRPr="00357F56">
        <w:t>C2.3.2</w:t>
      </w:r>
      <w:r w:rsidRPr="00357F56">
        <w:tab/>
      </w:r>
      <w:r w:rsidR="003A7FBC" w:rsidRPr="00357F56">
        <w:t>Volume of work undertaken by registered building surveyors in Victoria</w:t>
      </w:r>
      <w:bookmarkEnd w:id="29"/>
    </w:p>
    <w:p w:rsidR="003A7FBC" w:rsidRPr="00160290" w:rsidRDefault="00435661" w:rsidP="00FF7CA7">
      <w:pPr>
        <w:pStyle w:val="Normalpre-dotpoint"/>
      </w:pPr>
      <w:r>
        <w:t>I</w:t>
      </w:r>
      <w:r w:rsidR="003A7FBC" w:rsidRPr="00160290">
        <w:t>n 2015</w:t>
      </w:r>
      <w:r>
        <w:t>–</w:t>
      </w:r>
      <w:r w:rsidR="003A7FBC" w:rsidRPr="00160290">
        <w:t>16:</w:t>
      </w:r>
    </w:p>
    <w:p w:rsidR="002129C8" w:rsidRPr="00160290" w:rsidRDefault="003A7FBC" w:rsidP="00FF7CA7">
      <w:pPr>
        <w:pStyle w:val="Dotpoint"/>
      </w:pPr>
      <w:r w:rsidRPr="00160290">
        <w:t xml:space="preserve">10,085 building permits were issued by people registered in the category of </w:t>
      </w:r>
      <w:r w:rsidR="00BC1922">
        <w:t>b</w:t>
      </w:r>
      <w:r w:rsidRPr="00160290">
        <w:t xml:space="preserve">uilding </w:t>
      </w:r>
      <w:r w:rsidR="00BC1922">
        <w:t>s</w:t>
      </w:r>
      <w:r w:rsidRPr="00160290">
        <w:t>urveyor (</w:t>
      </w:r>
      <w:r w:rsidR="00BC1922">
        <w:t>l</w:t>
      </w:r>
      <w:r w:rsidRPr="00160290">
        <w:t>imited)</w:t>
      </w:r>
      <w:r w:rsidR="00435661">
        <w:t>:</w:t>
      </w:r>
    </w:p>
    <w:p w:rsidR="002129C8" w:rsidRPr="00160290" w:rsidRDefault="00435661" w:rsidP="00D6050F">
      <w:pPr>
        <w:pStyle w:val="Dotpoint"/>
        <w:numPr>
          <w:ilvl w:val="1"/>
          <w:numId w:val="58"/>
        </w:numPr>
      </w:pPr>
      <w:r>
        <w:t>o</w:t>
      </w:r>
      <w:r w:rsidR="003A7FBC" w:rsidRPr="00160290">
        <w:t>n average, this amount</w:t>
      </w:r>
      <w:r>
        <w:t>ed</w:t>
      </w:r>
      <w:r w:rsidR="003A7FBC" w:rsidRPr="00160290">
        <w:t xml:space="preserve"> to 93 permits issued per practitioner in that financial year (using 365 days, this amounts to </w:t>
      </w:r>
      <w:proofErr w:type="spellStart"/>
      <w:r w:rsidR="003A7FBC" w:rsidRPr="00160290">
        <w:t>on</w:t>
      </w:r>
      <w:proofErr w:type="spellEnd"/>
      <w:r w:rsidR="003A7FBC" w:rsidRPr="00160290">
        <w:t xml:space="preserve"> average 3.8 days spent issuing and managing each permit)</w:t>
      </w:r>
    </w:p>
    <w:p w:rsidR="003A7FBC" w:rsidRPr="00160290" w:rsidRDefault="00435661" w:rsidP="00D6050F">
      <w:pPr>
        <w:pStyle w:val="Dotpoint"/>
        <w:numPr>
          <w:ilvl w:val="1"/>
          <w:numId w:val="58"/>
        </w:numPr>
      </w:pPr>
      <w:r>
        <w:t>o</w:t>
      </w:r>
      <w:r w:rsidR="003A7FBC" w:rsidRPr="00160290">
        <w:t>f these 10,085 permits:</w:t>
      </w:r>
    </w:p>
    <w:p w:rsidR="002129C8" w:rsidRPr="00160290" w:rsidRDefault="003A7FBC" w:rsidP="00D6050F">
      <w:pPr>
        <w:pStyle w:val="Dotpoint"/>
        <w:numPr>
          <w:ilvl w:val="2"/>
          <w:numId w:val="58"/>
        </w:numPr>
      </w:pPr>
      <w:r w:rsidRPr="00160290">
        <w:t>9,354 permits were issued in relation to domestic building work (92.75% of permits, at a reported cost of building work of $1,118,164,771)</w:t>
      </w:r>
    </w:p>
    <w:p w:rsidR="002129C8" w:rsidRPr="00160290" w:rsidRDefault="003A7FBC" w:rsidP="00D6050F">
      <w:pPr>
        <w:pStyle w:val="Dotpoint"/>
        <w:numPr>
          <w:ilvl w:val="2"/>
          <w:numId w:val="58"/>
        </w:numPr>
      </w:pPr>
      <w:r w:rsidRPr="00160290">
        <w:t xml:space="preserve">the balance of permits </w:t>
      </w:r>
      <w:r w:rsidR="00435661">
        <w:t xml:space="preserve">was </w:t>
      </w:r>
      <w:r w:rsidRPr="00160290">
        <w:t>issued in relation to commercial, retail, health</w:t>
      </w:r>
      <w:r w:rsidR="00703FD9" w:rsidRPr="00160290">
        <w:t>care</w:t>
      </w:r>
      <w:r w:rsidRPr="00160290">
        <w:t>, industrial and public</w:t>
      </w:r>
      <w:r w:rsidR="00435661">
        <w:t>-</w:t>
      </w:r>
      <w:r w:rsidRPr="00160290">
        <w:t>use buildings (with a reported cost of building work of $119,380,023)</w:t>
      </w:r>
    </w:p>
    <w:p w:rsidR="002129C8" w:rsidRPr="00160290" w:rsidRDefault="003A7FBC" w:rsidP="00D6050F">
      <w:pPr>
        <w:pStyle w:val="Dotpoint"/>
      </w:pPr>
      <w:r w:rsidRPr="00160290">
        <w:t xml:space="preserve">99,984 building permits were issued by 558 people registered in the category of </w:t>
      </w:r>
      <w:r w:rsidR="00BC1922">
        <w:t>b</w:t>
      </w:r>
      <w:r w:rsidRPr="00160290">
        <w:t xml:space="preserve">uilding </w:t>
      </w:r>
      <w:r w:rsidR="00BC1922">
        <w:t>s</w:t>
      </w:r>
      <w:r w:rsidRPr="00160290">
        <w:t>urveyor (</w:t>
      </w:r>
      <w:r w:rsidR="00BC1922">
        <w:t>u</w:t>
      </w:r>
      <w:r w:rsidRPr="00160290">
        <w:t>nlimited)</w:t>
      </w:r>
      <w:r w:rsidR="00435661">
        <w:t>:</w:t>
      </w:r>
    </w:p>
    <w:p w:rsidR="003A7FBC" w:rsidRPr="00160290" w:rsidRDefault="00435661" w:rsidP="00D6050F">
      <w:pPr>
        <w:pStyle w:val="Dotpoint"/>
        <w:numPr>
          <w:ilvl w:val="1"/>
          <w:numId w:val="58"/>
        </w:numPr>
      </w:pPr>
      <w:r>
        <w:t>o</w:t>
      </w:r>
      <w:r w:rsidR="003A7FBC" w:rsidRPr="00160290">
        <w:t>n average, this amount</w:t>
      </w:r>
      <w:r>
        <w:t>ed</w:t>
      </w:r>
      <w:r w:rsidR="003A7FBC" w:rsidRPr="00160290">
        <w:t xml:space="preserve"> to 179 permits issued per practitioner in that financial year (using 365 days, this amounts to </w:t>
      </w:r>
      <w:proofErr w:type="spellStart"/>
      <w:r w:rsidR="003A7FBC" w:rsidRPr="00160290">
        <w:t>on</w:t>
      </w:r>
      <w:proofErr w:type="spellEnd"/>
      <w:r w:rsidR="003A7FBC" w:rsidRPr="00160290">
        <w:t xml:space="preserve"> average 3.1 days spent on issuing and managing each permit in that year)</w:t>
      </w:r>
    </w:p>
    <w:p w:rsidR="003A7FBC" w:rsidRPr="00160290" w:rsidRDefault="009E37A3" w:rsidP="00D6050F">
      <w:pPr>
        <w:pStyle w:val="Dotpoint"/>
        <w:numPr>
          <w:ilvl w:val="1"/>
          <w:numId w:val="58"/>
        </w:numPr>
      </w:pPr>
      <w:r>
        <w:t>o</w:t>
      </w:r>
      <w:r w:rsidR="003A7FBC" w:rsidRPr="00160290">
        <w:t>f these 99,984 permits:</w:t>
      </w:r>
    </w:p>
    <w:p w:rsidR="003A7FBC" w:rsidRPr="00160290" w:rsidRDefault="003A7FBC" w:rsidP="00D6050F">
      <w:pPr>
        <w:pStyle w:val="Dotpoint"/>
        <w:numPr>
          <w:ilvl w:val="2"/>
          <w:numId w:val="58"/>
        </w:numPr>
      </w:pPr>
      <w:r w:rsidRPr="00160290">
        <w:t>81,316 permits were issued in relation to domestic building work (81.33% at a reported cost of building work of $15,085,823,192)</w:t>
      </w:r>
    </w:p>
    <w:p w:rsidR="00F71F1A" w:rsidRDefault="003A7FBC">
      <w:pPr>
        <w:pStyle w:val="Dotpoint"/>
        <w:numPr>
          <w:ilvl w:val="2"/>
          <w:numId w:val="58"/>
        </w:numPr>
        <w:spacing w:after="200"/>
        <w:ind w:left="851"/>
      </w:pPr>
      <w:r w:rsidRPr="00160290">
        <w:t xml:space="preserve">the balance </w:t>
      </w:r>
      <w:r w:rsidR="00435661">
        <w:t xml:space="preserve">of permits was issued </w:t>
      </w:r>
      <w:r w:rsidRPr="00160290">
        <w:t>in relation to commercial, retail, health</w:t>
      </w:r>
      <w:r w:rsidR="00703FD9" w:rsidRPr="00160290">
        <w:t>care</w:t>
      </w:r>
      <w:r w:rsidRPr="00160290">
        <w:t>, industrial and public</w:t>
      </w:r>
      <w:r w:rsidR="00435661">
        <w:t>-</w:t>
      </w:r>
      <w:r w:rsidRPr="00160290">
        <w:t>use buildings (at a reported cost of building work of $15,172,676,113)</w:t>
      </w:r>
    </w:p>
    <w:p w:rsidR="00F71F1A" w:rsidRDefault="003A7FBC">
      <w:r w:rsidRPr="00160290">
        <w:t xml:space="preserve">This means </w:t>
      </w:r>
      <w:r w:rsidR="00160290">
        <w:t>b</w:t>
      </w:r>
      <w:r w:rsidRPr="00160290">
        <w:t xml:space="preserve">uilding </w:t>
      </w:r>
      <w:r w:rsidR="00160290">
        <w:t>s</w:t>
      </w:r>
      <w:r w:rsidRPr="00160290">
        <w:t>urveyors (</w:t>
      </w:r>
      <w:r w:rsidR="00435661">
        <w:t>u</w:t>
      </w:r>
      <w:r w:rsidRPr="00160290">
        <w:t>nlimited) on average each issue</w:t>
      </w:r>
      <w:r w:rsidR="00435661">
        <w:t>d</w:t>
      </w:r>
      <w:r w:rsidRPr="00160290">
        <w:t xml:space="preserve"> a</w:t>
      </w:r>
      <w:r w:rsidR="00703FD9" w:rsidRPr="00160290">
        <w:t>bout</w:t>
      </w:r>
      <w:r w:rsidRPr="00160290">
        <w:t xml:space="preserve"> double the number of permits </w:t>
      </w:r>
      <w:r w:rsidR="00435661">
        <w:t xml:space="preserve">a year as did </w:t>
      </w:r>
      <w:r w:rsidR="00160290">
        <w:t>b</w:t>
      </w:r>
      <w:r w:rsidRPr="00160290">
        <w:t xml:space="preserve">uilding </w:t>
      </w:r>
      <w:r w:rsidR="00160290">
        <w:t>s</w:t>
      </w:r>
      <w:r w:rsidRPr="00160290">
        <w:t>urveyors (</w:t>
      </w:r>
      <w:r w:rsidR="00435661">
        <w:t>l</w:t>
      </w:r>
      <w:r w:rsidRPr="00160290">
        <w:t>imited).</w:t>
      </w:r>
    </w:p>
    <w:p w:rsidR="00011DF3" w:rsidRDefault="00011DF3">
      <w:pPr>
        <w:spacing w:after="0"/>
        <w:rPr>
          <w:rFonts w:asciiTheme="majorHAnsi" w:hAnsiTheme="majorHAnsi"/>
          <w:i/>
          <w:color w:val="00B2A9" w:themeColor="accent1"/>
          <w:sz w:val="28"/>
        </w:rPr>
      </w:pPr>
      <w:bookmarkStart w:id="30" w:name="_Toc481502180"/>
      <w:r>
        <w:br w:type="page"/>
      </w:r>
    </w:p>
    <w:p w:rsidR="003A7FBC" w:rsidRPr="00160290" w:rsidRDefault="00357F56" w:rsidP="00357F56">
      <w:pPr>
        <w:pStyle w:val="Heading3"/>
      </w:pPr>
      <w:r>
        <w:lastRenderedPageBreak/>
        <w:t>C2.3.3</w:t>
      </w:r>
      <w:r>
        <w:tab/>
      </w:r>
      <w:r w:rsidR="003A7FBC" w:rsidRPr="00160290">
        <w:t>Performance of building surveyors</w:t>
      </w:r>
      <w:bookmarkEnd w:id="30"/>
    </w:p>
    <w:p w:rsidR="002129C8" w:rsidRPr="00160290" w:rsidRDefault="003A7FBC" w:rsidP="00D6050F">
      <w:r w:rsidRPr="00160290">
        <w:t xml:space="preserve">The scope of regulated work of building surveyors, as set out above, necessarily charges the building surveyor with a statutory responsibility to mitigate risk to owners, occupants and users of a building by ensuring </w:t>
      </w:r>
      <w:r w:rsidR="00435661">
        <w:t xml:space="preserve">the </w:t>
      </w:r>
      <w:r w:rsidRPr="00160290">
        <w:t xml:space="preserve">building work </w:t>
      </w:r>
      <w:r w:rsidR="00435661">
        <w:t xml:space="preserve">complies </w:t>
      </w:r>
      <w:r w:rsidRPr="00160290">
        <w:t>(at both the design and construction stages) with building standards, the Act and Regulations.</w:t>
      </w:r>
    </w:p>
    <w:p w:rsidR="00435661" w:rsidRDefault="003A7FBC" w:rsidP="00D6050F">
      <w:r w:rsidRPr="00160290">
        <w:t xml:space="preserve">Building standards are the minimum necessary standards </w:t>
      </w:r>
      <w:r w:rsidR="00435661">
        <w:t xml:space="preserve">for </w:t>
      </w:r>
      <w:r w:rsidRPr="00160290">
        <w:t>safety (including structural safety and safety from fire), health, amenity and sustainability.</w:t>
      </w:r>
      <w:r w:rsidR="002129C8" w:rsidRPr="00160290">
        <w:t xml:space="preserve"> </w:t>
      </w:r>
      <w:r w:rsidRPr="00160290">
        <w:t>If these standards are not required and enforced, harm (</w:t>
      </w:r>
      <w:r w:rsidR="00435661">
        <w:t xml:space="preserve">for example, </w:t>
      </w:r>
      <w:r w:rsidRPr="00160290">
        <w:t>safety, health and financial) may result to the building owners, occupants and users.</w:t>
      </w:r>
      <w:r w:rsidR="002129C8" w:rsidRPr="00160290">
        <w:t xml:space="preserve"> </w:t>
      </w:r>
      <w:r w:rsidRPr="00160290">
        <w:t>Higher</w:t>
      </w:r>
      <w:r w:rsidR="00435661">
        <w:t xml:space="preserve"> </w:t>
      </w:r>
      <w:r w:rsidRPr="00160290">
        <w:t>/</w:t>
      </w:r>
      <w:r w:rsidR="00435661">
        <w:t xml:space="preserve"> </w:t>
      </w:r>
      <w:r w:rsidRPr="00160290">
        <w:t>larger buildings present greater risks and require more</w:t>
      </w:r>
      <w:r w:rsidR="00355370">
        <w:t>-</w:t>
      </w:r>
      <w:r w:rsidRPr="00160290">
        <w:t>complex safety features</w:t>
      </w:r>
      <w:r w:rsidR="00435661">
        <w:t xml:space="preserve"> (</w:t>
      </w:r>
      <w:r w:rsidRPr="00160290">
        <w:t>for example</w:t>
      </w:r>
      <w:r w:rsidR="00435661">
        <w:t>,</w:t>
      </w:r>
      <w:r w:rsidRPr="00160290">
        <w:t xml:space="preserve"> in relation to egress, emergency evacuation</w:t>
      </w:r>
      <w:r w:rsidR="00435661">
        <w:t xml:space="preserve"> and</w:t>
      </w:r>
      <w:r w:rsidRPr="00160290">
        <w:t xml:space="preserve"> fire safety systems</w:t>
      </w:r>
      <w:r w:rsidR="00435661">
        <w:t>)</w:t>
      </w:r>
      <w:r w:rsidRPr="00160290">
        <w:t>.</w:t>
      </w:r>
    </w:p>
    <w:p w:rsidR="002129C8" w:rsidRPr="00160290" w:rsidRDefault="003A7FBC" w:rsidP="00D6050F">
      <w:r w:rsidRPr="00160290">
        <w:t xml:space="preserve">Building </w:t>
      </w:r>
      <w:r w:rsidR="00435661">
        <w:t>s</w:t>
      </w:r>
      <w:r w:rsidRPr="00160290">
        <w:t>urveyors (</w:t>
      </w:r>
      <w:r w:rsidR="00435661">
        <w:t>u</w:t>
      </w:r>
      <w:r w:rsidRPr="00160290">
        <w:t>nlimited) are generally responsible for approving more</w:t>
      </w:r>
      <w:r w:rsidR="00435661">
        <w:t>-</w:t>
      </w:r>
      <w:r w:rsidRPr="00160290">
        <w:t xml:space="preserve">complex building projects than </w:t>
      </w:r>
      <w:r w:rsidR="00160290">
        <w:t>b</w:t>
      </w:r>
      <w:r w:rsidRPr="00160290">
        <w:t xml:space="preserve">uilding </w:t>
      </w:r>
      <w:r w:rsidR="00160290">
        <w:t>s</w:t>
      </w:r>
      <w:r w:rsidRPr="00160290">
        <w:t>urveyors (</w:t>
      </w:r>
      <w:r w:rsidR="00435661">
        <w:t>l</w:t>
      </w:r>
      <w:r w:rsidRPr="00160290">
        <w:t>imited), which necessarily involve a higher level of risk to building owners, occupiers and users should something go wrong.</w:t>
      </w:r>
    </w:p>
    <w:p w:rsidR="002129C8" w:rsidRPr="00160290" w:rsidRDefault="003A7FBC" w:rsidP="00D6050F">
      <w:r w:rsidRPr="00160290">
        <w:t>To gain an understanding of how well building surveyors in Victoria are performing their statutory functions and powers, and if this performance relates in any way to the qualification eligibility requirement for registration, the performance of building surveyors is briefly considered below.</w:t>
      </w:r>
    </w:p>
    <w:p w:rsidR="00F71F1A" w:rsidRDefault="00357F56" w:rsidP="00357F56">
      <w:pPr>
        <w:pStyle w:val="Heading3"/>
      </w:pPr>
      <w:bookmarkStart w:id="31" w:name="_Toc481502181"/>
      <w:r>
        <w:t>C2.3.4</w:t>
      </w:r>
      <w:r>
        <w:tab/>
      </w:r>
      <w:r w:rsidR="00435661">
        <w:t xml:space="preserve">2011 </w:t>
      </w:r>
      <w:r w:rsidR="00435661" w:rsidRPr="00435661">
        <w:t xml:space="preserve">Compliance with Building Permits </w:t>
      </w:r>
      <w:r w:rsidR="00435661">
        <w:t>report</w:t>
      </w:r>
      <w:bookmarkEnd w:id="31"/>
    </w:p>
    <w:p w:rsidR="003A7FBC" w:rsidRPr="00160290" w:rsidRDefault="003A7FBC" w:rsidP="00435661">
      <w:r w:rsidRPr="00435661">
        <w:t xml:space="preserve">In 2011, in relation to the performance of building surveyors, the </w:t>
      </w:r>
      <w:r w:rsidR="00435661" w:rsidRPr="00435661">
        <w:t xml:space="preserve">Victorian Auditor-General's Office </w:t>
      </w:r>
      <w:r w:rsidR="006C108D">
        <w:t xml:space="preserve">(VAGO) </w:t>
      </w:r>
      <w:r w:rsidRPr="00435661">
        <w:t xml:space="preserve">concluded </w:t>
      </w:r>
      <w:r w:rsidR="00435661" w:rsidRPr="00435661">
        <w:t xml:space="preserve">in his </w:t>
      </w:r>
      <w:r w:rsidR="00D3125B" w:rsidRPr="00D3125B">
        <w:rPr>
          <w:i/>
        </w:rPr>
        <w:t>Compliance with Building Permits</w:t>
      </w:r>
      <w:r w:rsidR="00D3125B" w:rsidRPr="00D3125B">
        <w:t xml:space="preserve"> report </w:t>
      </w:r>
      <w:r w:rsidRPr="00435661">
        <w:t xml:space="preserve">that there are significant gaps in the documentation lodged by building surveyors </w:t>
      </w:r>
      <w:r w:rsidR="00435661">
        <w:t xml:space="preserve">with </w:t>
      </w:r>
      <w:r w:rsidRPr="00435661">
        <w:t>councils.</w:t>
      </w:r>
      <w:r w:rsidRPr="00160290">
        <w:t xml:space="preserve"> This absence of documentary evidence to support assessments provides little assurance that surveyors have carried out their responsibilities effectively and that they are adequately upholding and enforcing building and safety requirements.</w:t>
      </w:r>
      <w:r w:rsidRPr="00160290">
        <w:rPr>
          <w:rStyle w:val="FootnoteReference"/>
        </w:rPr>
        <w:footnoteReference w:id="22"/>
      </w:r>
    </w:p>
    <w:p w:rsidR="003A7FBC" w:rsidRPr="00160290" w:rsidRDefault="00357F56" w:rsidP="00357F56">
      <w:pPr>
        <w:pStyle w:val="Heading3"/>
      </w:pPr>
      <w:bookmarkStart w:id="32" w:name="_Toc481502182"/>
      <w:r>
        <w:t>C2.3.5</w:t>
      </w:r>
      <w:r>
        <w:tab/>
      </w:r>
      <w:r w:rsidR="003A7FBC" w:rsidRPr="00160290">
        <w:t>Discipline of building surveyors</w:t>
      </w:r>
      <w:bookmarkEnd w:id="32"/>
    </w:p>
    <w:p w:rsidR="002129C8" w:rsidRPr="00160290" w:rsidRDefault="00435661" w:rsidP="00435661">
      <w:r>
        <w:t xml:space="preserve">Based on </w:t>
      </w:r>
      <w:r w:rsidR="000700D8">
        <w:t>authority</w:t>
      </w:r>
      <w:r w:rsidR="003A7FBC" w:rsidRPr="00160290">
        <w:t xml:space="preserve"> information</w:t>
      </w:r>
      <w:r>
        <w:t xml:space="preserve">, </w:t>
      </w:r>
      <w:r w:rsidR="003A7FBC" w:rsidRPr="00160290">
        <w:t>between 2009</w:t>
      </w:r>
      <w:r>
        <w:t>–</w:t>
      </w:r>
      <w:r w:rsidR="003A7FBC" w:rsidRPr="00160290">
        <w:t>13 (inclusive)</w:t>
      </w:r>
      <w:r>
        <w:t xml:space="preserve">, </w:t>
      </w:r>
      <w:r w:rsidR="003A7FBC" w:rsidRPr="00160290">
        <w:t xml:space="preserve">197 disciplinary inquiries were carried out by the </w:t>
      </w:r>
      <w:r w:rsidR="006C108D">
        <w:t>BPB</w:t>
      </w:r>
      <w:r w:rsidR="003A7FBC" w:rsidRPr="00160290">
        <w:t xml:space="preserve"> into the conduct of </w:t>
      </w:r>
      <w:r w:rsidR="00160290">
        <w:t>b</w:t>
      </w:r>
      <w:r w:rsidR="003A7FBC" w:rsidRPr="00160290">
        <w:t xml:space="preserve">uilding </w:t>
      </w:r>
      <w:r w:rsidR="00160290">
        <w:t>s</w:t>
      </w:r>
      <w:r w:rsidR="003A7FBC" w:rsidRPr="00160290">
        <w:t>urveyors (</w:t>
      </w:r>
      <w:r>
        <w:t>u</w:t>
      </w:r>
      <w:r w:rsidR="003A7FBC" w:rsidRPr="00160290">
        <w:t>nlimited).</w:t>
      </w:r>
      <w:r w:rsidR="003A7FBC" w:rsidRPr="00160290">
        <w:rPr>
          <w:rStyle w:val="FootnoteReference"/>
        </w:rPr>
        <w:footnoteReference w:id="23"/>
      </w:r>
      <w:r w:rsidR="003A7FBC" w:rsidRPr="00160290">
        <w:t xml:space="preserve"> As a result of these inquiries, 95% of findings in relation to culpable practitioners were that the building surveyor breached the Act or Regulations.</w:t>
      </w:r>
      <w:r w:rsidR="002129C8" w:rsidRPr="00160290">
        <w:t xml:space="preserve"> </w:t>
      </w:r>
      <w:r w:rsidR="003A7FBC" w:rsidRPr="00160290">
        <w:t xml:space="preserve">The remaining 5% of decisions were findings of unprofessional conduct, misconduct in relation to </w:t>
      </w:r>
      <w:r>
        <w:t xml:space="preserve">their </w:t>
      </w:r>
      <w:r w:rsidR="003A7FBC" w:rsidRPr="00160290">
        <w:t>practice as a building practitioner and the employment or engagement of a person to do</w:t>
      </w:r>
      <w:r>
        <w:t xml:space="preserve"> </w:t>
      </w:r>
      <w:r w:rsidR="003A7FBC" w:rsidRPr="00160290">
        <w:t xml:space="preserve">on </w:t>
      </w:r>
      <w:r>
        <w:t xml:space="preserve">their </w:t>
      </w:r>
      <w:r w:rsidR="003A7FBC" w:rsidRPr="00160290">
        <w:t xml:space="preserve">behalf work that </w:t>
      </w:r>
      <w:r>
        <w:t xml:space="preserve">could </w:t>
      </w:r>
      <w:r w:rsidR="003A7FBC" w:rsidRPr="00160290">
        <w:t xml:space="preserve">only be done by a person registered under the Act and the person </w:t>
      </w:r>
      <w:r>
        <w:t xml:space="preserve">was </w:t>
      </w:r>
      <w:r w:rsidR="003A7FBC" w:rsidRPr="00160290">
        <w:t>not so registered.</w:t>
      </w:r>
    </w:p>
    <w:p w:rsidR="003A7FBC" w:rsidRPr="00160290" w:rsidRDefault="00435661" w:rsidP="00D6050F">
      <w:pPr>
        <w:pStyle w:val="Normalpre-dotpoint"/>
      </w:pPr>
      <w:r>
        <w:t>B</w:t>
      </w:r>
      <w:r w:rsidR="003A7FBC" w:rsidRPr="00160290">
        <w:t xml:space="preserve">reaches of the Act or Regulations by </w:t>
      </w:r>
      <w:r w:rsidR="00160290">
        <w:t>b</w:t>
      </w:r>
      <w:r w:rsidR="003A7FBC" w:rsidRPr="00160290">
        <w:t xml:space="preserve">uilding </w:t>
      </w:r>
      <w:r w:rsidR="00160290">
        <w:t>s</w:t>
      </w:r>
      <w:r w:rsidR="003A7FBC" w:rsidRPr="00160290">
        <w:t>urveyors (</w:t>
      </w:r>
      <w:r>
        <w:t>u</w:t>
      </w:r>
      <w:r w:rsidR="003A7FBC" w:rsidRPr="00160290">
        <w:t>nlimited) during the period include</w:t>
      </w:r>
      <w:r>
        <w:t>d</w:t>
      </w:r>
      <w:r w:rsidR="003A7FBC" w:rsidRPr="00160290">
        <w:t>:</w:t>
      </w:r>
    </w:p>
    <w:p w:rsidR="003A7FBC" w:rsidRPr="00160290" w:rsidRDefault="00435661" w:rsidP="00D6050F">
      <w:pPr>
        <w:pStyle w:val="Dotpoint"/>
      </w:pPr>
      <w:r>
        <w:t>b</w:t>
      </w:r>
      <w:r w:rsidR="003A7FBC" w:rsidRPr="00160290">
        <w:t>reaches of s</w:t>
      </w:r>
      <w:r>
        <w:t xml:space="preserve"> </w:t>
      </w:r>
      <w:r w:rsidR="003A7FBC" w:rsidRPr="00160290">
        <w:t>24 of the Act by failing to refuse a building permit in a situation where it must be refused (58% of findings)</w:t>
      </w:r>
    </w:p>
    <w:p w:rsidR="002129C8" w:rsidRPr="00160290" w:rsidRDefault="00435661" w:rsidP="00D6050F">
      <w:pPr>
        <w:pStyle w:val="Dotpoint"/>
      </w:pPr>
      <w:r>
        <w:t>f</w:t>
      </w:r>
      <w:r w:rsidR="003A7FBC" w:rsidRPr="00160290">
        <w:t xml:space="preserve">ailing to give copies of permits and documents to </w:t>
      </w:r>
      <w:r>
        <w:t xml:space="preserve">a </w:t>
      </w:r>
      <w:r w:rsidR="003A7FBC" w:rsidRPr="00160290">
        <w:t>council (24% of findings)</w:t>
      </w:r>
    </w:p>
    <w:p w:rsidR="00F71F1A" w:rsidRDefault="00435661">
      <w:pPr>
        <w:pStyle w:val="Dotpointlast"/>
      </w:pPr>
      <w:r>
        <w:t>f</w:t>
      </w:r>
      <w:r w:rsidR="003A7FBC" w:rsidRPr="00160290">
        <w:t xml:space="preserve">ailing to notify </w:t>
      </w:r>
      <w:r>
        <w:t xml:space="preserve">a </w:t>
      </w:r>
      <w:r w:rsidR="003A7FBC" w:rsidRPr="00160290">
        <w:t>council of their appointment as the relevant building surveyor and also of the building work in respect of which the</w:t>
      </w:r>
      <w:r>
        <w:t xml:space="preserve">y were </w:t>
      </w:r>
      <w:r w:rsidR="003A7FBC" w:rsidRPr="00160290">
        <w:t>appointed (8% of findings)</w:t>
      </w:r>
      <w:r>
        <w:t>.</w:t>
      </w:r>
    </w:p>
    <w:p w:rsidR="00F71F1A" w:rsidRDefault="003A7FBC">
      <w:r w:rsidRPr="00160290">
        <w:t>The balance relat</w:t>
      </w:r>
      <w:r w:rsidR="00435661">
        <w:t>ed</w:t>
      </w:r>
      <w:r w:rsidRPr="00160290">
        <w:t xml:space="preserve"> to findings of claiming to be insured when uninsured and issuing an occupancy permit in contravention of s 44 of the Act.</w:t>
      </w:r>
    </w:p>
    <w:p w:rsidR="00011DF3" w:rsidRDefault="00011DF3">
      <w:pPr>
        <w:spacing w:after="0"/>
      </w:pPr>
      <w:r>
        <w:br w:type="page"/>
      </w:r>
    </w:p>
    <w:p w:rsidR="002129C8" w:rsidRPr="00160290" w:rsidRDefault="003A7FBC" w:rsidP="00D6050F">
      <w:r w:rsidRPr="00160290">
        <w:lastRenderedPageBreak/>
        <w:t xml:space="preserve">For the same period, only </w:t>
      </w:r>
      <w:r w:rsidR="00160290" w:rsidRPr="00160290">
        <w:t>four</w:t>
      </w:r>
      <w:r w:rsidRPr="00160290">
        <w:t xml:space="preserve"> disciplinary inquiries were carried out into the conduct of </w:t>
      </w:r>
      <w:r w:rsidR="00160290">
        <w:t>b</w:t>
      </w:r>
      <w:r w:rsidRPr="00160290">
        <w:t xml:space="preserve">uilding </w:t>
      </w:r>
      <w:r w:rsidR="00160290">
        <w:t>s</w:t>
      </w:r>
      <w:r w:rsidRPr="00160290">
        <w:t>urveyors (</w:t>
      </w:r>
      <w:r w:rsidR="00435661">
        <w:t>l</w:t>
      </w:r>
      <w:r w:rsidRPr="00160290">
        <w:t>imited). As a result of these inquiries, a</w:t>
      </w:r>
      <w:r w:rsidR="00703FD9" w:rsidRPr="00160290">
        <w:t>bout</w:t>
      </w:r>
      <w:r w:rsidRPr="00160290">
        <w:t xml:space="preserve"> 50% of findings </w:t>
      </w:r>
      <w:r w:rsidR="00703FD9" w:rsidRPr="00160290">
        <w:t>regarding</w:t>
      </w:r>
      <w:r w:rsidRPr="00160290">
        <w:t xml:space="preserve"> culpable practitioners were in relation to unprofessional conduct and 50% for breaches </w:t>
      </w:r>
      <w:r w:rsidR="00435661">
        <w:t xml:space="preserve">of </w:t>
      </w:r>
      <w:r w:rsidRPr="00160290">
        <w:t>the Act or Regulations.</w:t>
      </w:r>
    </w:p>
    <w:p w:rsidR="002129C8" w:rsidRPr="00160290" w:rsidRDefault="003A7FBC" w:rsidP="00D6050F">
      <w:r w:rsidRPr="00160290">
        <w:t>About half the breaches of the Act or Regulations related to making false or misleading statements</w:t>
      </w:r>
      <w:r w:rsidR="00435661">
        <w:t xml:space="preserve">; </w:t>
      </w:r>
      <w:r w:rsidRPr="00160290">
        <w:t>a</w:t>
      </w:r>
      <w:r w:rsidR="00703FD9" w:rsidRPr="00160290">
        <w:t>bout</w:t>
      </w:r>
      <w:r w:rsidRPr="00160290">
        <w:t xml:space="preserve"> 25% to a failure to provide </w:t>
      </w:r>
      <w:r w:rsidR="00435661">
        <w:t xml:space="preserve">a </w:t>
      </w:r>
      <w:r w:rsidRPr="00160290">
        <w:t>council with documents</w:t>
      </w:r>
      <w:r w:rsidR="00435661">
        <w:t>;</w:t>
      </w:r>
      <w:r w:rsidRPr="00160290">
        <w:t xml:space="preserve"> and a</w:t>
      </w:r>
      <w:r w:rsidR="00703FD9" w:rsidRPr="00160290">
        <w:t>bout</w:t>
      </w:r>
      <w:r w:rsidRPr="00160290">
        <w:t xml:space="preserve"> 25% </w:t>
      </w:r>
      <w:r w:rsidR="00435661">
        <w:t xml:space="preserve">to </w:t>
      </w:r>
      <w:r w:rsidRPr="00160290">
        <w:t>contravening s 24 of the Act by issuing a building permit when it should have been refused.</w:t>
      </w:r>
    </w:p>
    <w:p w:rsidR="002129C8" w:rsidRPr="00160290" w:rsidRDefault="003A7FBC" w:rsidP="00D6050F">
      <w:r w:rsidRPr="00160290">
        <w:t>At least 11 building surveyors had been subject to more than one inquiry into conduct which resulted in disciplinary action being taken.</w:t>
      </w:r>
    </w:p>
    <w:p w:rsidR="002129C8" w:rsidRPr="00160290" w:rsidRDefault="003A7FBC" w:rsidP="00D6050F">
      <w:r w:rsidRPr="00160290">
        <w:t xml:space="preserve">There </w:t>
      </w:r>
      <w:r w:rsidR="00435661">
        <w:t xml:space="preserve">were </w:t>
      </w:r>
      <w:r w:rsidRPr="00160290">
        <w:t xml:space="preserve">no reported inquiries into </w:t>
      </w:r>
      <w:r w:rsidR="00010CE1">
        <w:t xml:space="preserve">registered building surveyors’ </w:t>
      </w:r>
      <w:r w:rsidRPr="00160290">
        <w:t xml:space="preserve">ability to practise under s 180 </w:t>
      </w:r>
      <w:r w:rsidR="00435661">
        <w:t xml:space="preserve">of the </w:t>
      </w:r>
      <w:r w:rsidRPr="00160290">
        <w:t>Act</w:t>
      </w:r>
      <w:r w:rsidR="00435661">
        <w:t>. I</w:t>
      </w:r>
      <w:r w:rsidRPr="00160290">
        <w:t>t is assumed all disciplinary inquiries were conducted under the broad grounds available under s</w:t>
      </w:r>
      <w:r w:rsidR="00435661">
        <w:t xml:space="preserve"> </w:t>
      </w:r>
      <w:r w:rsidRPr="00160290">
        <w:t xml:space="preserve">179 of the Act – </w:t>
      </w:r>
      <w:r w:rsidR="00435661">
        <w:t>I</w:t>
      </w:r>
      <w:r w:rsidRPr="00160290">
        <w:t>nquiry into conduct).</w:t>
      </w:r>
    </w:p>
    <w:p w:rsidR="002129C8" w:rsidRPr="00160290" w:rsidRDefault="003A7FBC" w:rsidP="00D6050F">
      <w:r w:rsidRPr="00160290">
        <w:t>It is not discernible from the information available, especially in relation to findings which involved a breach of the Act or Regulations, whether the reason for the culpable conduct was because of an unfamiliarity with the relevant parts of the Act and/or Regulations or intentional noncompliance.</w:t>
      </w:r>
      <w:r w:rsidR="002129C8" w:rsidRPr="00160290">
        <w:t xml:space="preserve"> </w:t>
      </w:r>
      <w:r w:rsidRPr="00160290">
        <w:t xml:space="preserve">In any event, the knowledge and experience (qualification) eligibility requirements for registration as a building practitioner, together with </w:t>
      </w:r>
      <w:r w:rsidR="000E2924">
        <w:t>VBA</w:t>
      </w:r>
      <w:r w:rsidRPr="00160290">
        <w:t xml:space="preserve">’s knowledge and experience assessment framework applied to all applications for registration, are designed to ensure that at the point of registration the applicant has sufficient knowledge and experience to competently perform the scope of regulated work of a building surveyor. This necessarily requires demonstrating to </w:t>
      </w:r>
      <w:r w:rsidR="000E2924">
        <w:t>VBA</w:t>
      </w:r>
      <w:r w:rsidRPr="00160290">
        <w:t xml:space="preserve"> a sound working knowledge of the Act and Regulations.</w:t>
      </w:r>
    </w:p>
    <w:p w:rsidR="003A7FBC" w:rsidRPr="00357F56" w:rsidRDefault="00357F56" w:rsidP="00357F56">
      <w:pPr>
        <w:pStyle w:val="Heading2"/>
      </w:pPr>
      <w:bookmarkStart w:id="33" w:name="_Toc481502183"/>
      <w:r>
        <w:t>C</w:t>
      </w:r>
      <w:r w:rsidRPr="00357F56">
        <w:t>2.4</w:t>
      </w:r>
      <w:r w:rsidRPr="00357F56">
        <w:tab/>
      </w:r>
      <w:r w:rsidR="003A7FBC" w:rsidRPr="00357F56">
        <w:t xml:space="preserve">Practitioner </w:t>
      </w:r>
      <w:r w:rsidR="009A6A1B" w:rsidRPr="00357F56">
        <w:t>i</w:t>
      </w:r>
      <w:r w:rsidR="003A7FBC" w:rsidRPr="00357F56">
        <w:t>ssues – qualifications and experience</w:t>
      </w:r>
      <w:bookmarkEnd w:id="33"/>
    </w:p>
    <w:p w:rsidR="003A7FBC" w:rsidRPr="00160290" w:rsidRDefault="003A7FBC" w:rsidP="00D6050F">
      <w:r w:rsidRPr="00160290">
        <w:t>As</w:t>
      </w:r>
      <w:r w:rsidR="009A6A1B">
        <w:t xml:space="preserve"> explained </w:t>
      </w:r>
      <w:r w:rsidRPr="00160290">
        <w:t xml:space="preserve">in </w:t>
      </w:r>
      <w:r w:rsidR="000E2924">
        <w:t xml:space="preserve">RIS </w:t>
      </w:r>
      <w:r w:rsidRPr="00160290">
        <w:t>Part A, building practitioner</w:t>
      </w:r>
      <w:r w:rsidR="009A6A1B">
        <w:t>s'</w:t>
      </w:r>
      <w:r w:rsidRPr="00160290">
        <w:t xml:space="preserve"> incompetence can have a multitude of </w:t>
      </w:r>
      <w:r w:rsidR="009A6A1B">
        <w:t xml:space="preserve">harms for </w:t>
      </w:r>
      <w:r w:rsidRPr="00160290">
        <w:t xml:space="preserve">the building industry and </w:t>
      </w:r>
      <w:r w:rsidR="009A6A1B">
        <w:t xml:space="preserve">on </w:t>
      </w:r>
      <w:r w:rsidRPr="00160290">
        <w:t xml:space="preserve">society more broadly. These harms </w:t>
      </w:r>
      <w:r w:rsidR="009A6A1B">
        <w:t>can be</w:t>
      </w:r>
      <w:r w:rsidR="009A6A1B" w:rsidRPr="00160290">
        <w:t xml:space="preserve"> </w:t>
      </w:r>
      <w:r w:rsidRPr="00160290">
        <w:t>economic (</w:t>
      </w:r>
      <w:r w:rsidR="009A6A1B">
        <w:t xml:space="preserve">such as </w:t>
      </w:r>
      <w:r w:rsidRPr="00160290">
        <w:t xml:space="preserve">property damage </w:t>
      </w:r>
      <w:r w:rsidR="009A6A1B">
        <w:t xml:space="preserve">and </w:t>
      </w:r>
      <w:r w:rsidRPr="00160290">
        <w:t>financial loss)</w:t>
      </w:r>
      <w:r w:rsidR="009A6A1B">
        <w:t xml:space="preserve">, </w:t>
      </w:r>
      <w:r w:rsidRPr="00160290">
        <w:t>health and safety (</w:t>
      </w:r>
      <w:r w:rsidR="009A6A1B">
        <w:t xml:space="preserve">such as </w:t>
      </w:r>
      <w:r w:rsidRPr="00160290">
        <w:t xml:space="preserve">injury </w:t>
      </w:r>
      <w:r w:rsidR="009A6A1B">
        <w:t xml:space="preserve">and </w:t>
      </w:r>
      <w:r w:rsidRPr="00160290">
        <w:t>loss of life)</w:t>
      </w:r>
      <w:r w:rsidR="009A6A1B">
        <w:t>,</w:t>
      </w:r>
      <w:r w:rsidRPr="00160290">
        <w:t xml:space="preserve"> environmental (</w:t>
      </w:r>
      <w:r w:rsidR="009A6A1B">
        <w:t xml:space="preserve">such as </w:t>
      </w:r>
      <w:r w:rsidRPr="00160290">
        <w:t>pollution during or after construction)</w:t>
      </w:r>
      <w:r w:rsidR="009A6A1B">
        <w:t xml:space="preserve">, </w:t>
      </w:r>
      <w:r w:rsidRPr="00160290">
        <w:t>societal (</w:t>
      </w:r>
      <w:r w:rsidR="009A6A1B">
        <w:t xml:space="preserve">such as </w:t>
      </w:r>
      <w:r w:rsidRPr="00160290">
        <w:t>groups excluded from facilities or buildings)</w:t>
      </w:r>
      <w:r w:rsidR="009A6A1B">
        <w:t xml:space="preserve"> </w:t>
      </w:r>
      <w:r w:rsidRPr="00160290">
        <w:t>and cultural (</w:t>
      </w:r>
      <w:r w:rsidR="009A6A1B">
        <w:t xml:space="preserve">such as streetscape </w:t>
      </w:r>
      <w:r w:rsidRPr="00160290">
        <w:t>amenity).</w:t>
      </w:r>
    </w:p>
    <w:p w:rsidR="003A7FBC" w:rsidRPr="00160290" w:rsidRDefault="009A6A1B" w:rsidP="00D6050F">
      <w:r>
        <w:t>M</w:t>
      </w:r>
      <w:r w:rsidR="003A7FBC" w:rsidRPr="00160290">
        <w:t>andating minimum skills and qualifications provides a means by which to regulate entry to registration. An effective registration system provides consumers with confidence in the technical skills of the building practitioners they employ. Consumers should have a reasonable expectation that using a registered practitioner on building projects will result in a high level of competency and quality built outcomes, an expectation that can be assisted by regulation.</w:t>
      </w:r>
    </w:p>
    <w:p w:rsidR="002129C8" w:rsidRPr="00160290" w:rsidRDefault="003A7FBC" w:rsidP="00D6050F">
      <w:r w:rsidRPr="00160290">
        <w:t xml:space="preserve">Academic qualifications and practical experience are the two forms in which competency is commonly assessed. </w:t>
      </w:r>
      <w:r w:rsidR="00224707">
        <w:t>Trade</w:t>
      </w:r>
      <w:r w:rsidR="009A6A1B">
        <w:t>-</w:t>
      </w:r>
      <w:r w:rsidRPr="00160290">
        <w:t xml:space="preserve">specific academic courses allow practical and theoretical skills to be adopted specific to the type of </w:t>
      </w:r>
      <w:r w:rsidR="009A6A1B">
        <w:t xml:space="preserve">service </w:t>
      </w:r>
      <w:r w:rsidRPr="00160290">
        <w:t>a prospective practitioner want</w:t>
      </w:r>
      <w:r w:rsidR="009A6A1B">
        <w:t>s</w:t>
      </w:r>
      <w:r w:rsidRPr="00160290">
        <w:t xml:space="preserve"> to supply. These trade</w:t>
      </w:r>
      <w:r w:rsidR="009A6A1B">
        <w:t>-</w:t>
      </w:r>
      <w:r w:rsidRPr="00160290">
        <w:t>specific skills are crucial to the regulation of building practitioners, as consumers should be able to contract the services of a building practitioner with confidence that these skills have been obtained.</w:t>
      </w:r>
    </w:p>
    <w:p w:rsidR="002129C8" w:rsidRPr="00160290" w:rsidRDefault="003A7FBC" w:rsidP="00D6050F">
      <w:r w:rsidRPr="00160290">
        <w:t>While certain qualifications encompass the full range of competencies expected of a practitioner, there may also be deficiencies in a practitioner</w:t>
      </w:r>
      <w:r w:rsidR="009A6A1B">
        <w:t>'</w:t>
      </w:r>
      <w:r w:rsidRPr="00160290">
        <w:t xml:space="preserve">s ability to apply </w:t>
      </w:r>
      <w:r w:rsidR="009A6A1B">
        <w:t xml:space="preserve">their </w:t>
      </w:r>
      <w:r w:rsidRPr="00160290">
        <w:t>skills in the context of the legislative framework and its many requirements. Consequently, practical</w:t>
      </w:r>
      <w:r w:rsidR="009A6A1B">
        <w:t xml:space="preserve">, </w:t>
      </w:r>
      <w:r w:rsidRPr="00160290">
        <w:t>on</w:t>
      </w:r>
      <w:r w:rsidR="00703FD9" w:rsidRPr="00160290">
        <w:t>-</w:t>
      </w:r>
      <w:r w:rsidRPr="00160290">
        <w:t>the</w:t>
      </w:r>
      <w:r w:rsidR="00703FD9" w:rsidRPr="00160290">
        <w:t>-</w:t>
      </w:r>
      <w:r w:rsidRPr="00160290">
        <w:t>job experience including that which is supervised by practitioners already registered, allows an additional layer of skill development by which to assess practitioner competency and increase consumer confidence before contracting for services. This type of experience, as compared to experience gained academically, can in some circumstances provide an effective alternative to formal training.</w:t>
      </w:r>
    </w:p>
    <w:p w:rsidR="00011DF3" w:rsidRDefault="00011DF3">
      <w:pPr>
        <w:spacing w:after="0"/>
      </w:pPr>
      <w:r>
        <w:br w:type="page"/>
      </w:r>
    </w:p>
    <w:p w:rsidR="003A7FBC" w:rsidRPr="00160290" w:rsidRDefault="003A7FBC" w:rsidP="00D6050F">
      <w:r w:rsidRPr="00160290">
        <w:lastRenderedPageBreak/>
        <w:t>The qualifications required for registration process</w:t>
      </w:r>
      <w:r w:rsidR="009A6A1B">
        <w:t>es</w:t>
      </w:r>
      <w:r w:rsidRPr="00160290">
        <w:t xml:space="preserve"> are used </w:t>
      </w:r>
      <w:r w:rsidR="00A16FCE">
        <w:t>t</w:t>
      </w:r>
      <w:r w:rsidRPr="00160290">
        <w:t xml:space="preserve">o overcome information </w:t>
      </w:r>
      <w:r w:rsidR="00224707">
        <w:t xml:space="preserve">asymmetry </w:t>
      </w:r>
      <w:r w:rsidRPr="00160290">
        <w:t>in the marketplace. Consumers, who are typically infrequent purchasers of building work services, are unlikely to know who are qualified providers of services. This means that prices for supply can be pushed down, which in turn can lead to a reduction in the quality of services provided by building practitioners and an increase in the discussed harms.</w:t>
      </w:r>
    </w:p>
    <w:p w:rsidR="003A7FBC" w:rsidRPr="00160290" w:rsidRDefault="003A7FBC" w:rsidP="00D6050F">
      <w:r w:rsidRPr="00160290">
        <w:t>The prescription of minimum academic qualifications and practical experience requirements may have the effect of reducing these harms including for example defects in building work</w:t>
      </w:r>
      <w:r w:rsidR="009A6A1B">
        <w:t xml:space="preserve">, </w:t>
      </w:r>
      <w:r w:rsidRPr="00160290">
        <w:t xml:space="preserve">or in the case of building surveyors improving their ability to detect defects in building work, as the demonstration of competency before registration allows the regulation of entry based on competency. </w:t>
      </w:r>
      <w:r w:rsidR="009A6A1B">
        <w:t xml:space="preserve">A </w:t>
      </w:r>
      <w:r w:rsidRPr="00160290">
        <w:t>defect avoided by a builder or detected by a building surveyor is likely to avoid costs to consumers to rectify that defect, whereas a defect that occurs and requires rectification is likely to be a source of substantial cost to consumers.</w:t>
      </w:r>
    </w:p>
    <w:p w:rsidR="002129C8" w:rsidRPr="00160290" w:rsidRDefault="003A7FBC" w:rsidP="00D6050F">
      <w:r w:rsidRPr="00160290">
        <w:t xml:space="preserve">As </w:t>
      </w:r>
      <w:r w:rsidR="009A6A1B">
        <w:t>explained</w:t>
      </w:r>
      <w:r w:rsidR="009A6A1B" w:rsidRPr="00160290">
        <w:t xml:space="preserve"> </w:t>
      </w:r>
      <w:r w:rsidRPr="00160290">
        <w:t xml:space="preserve">in </w:t>
      </w:r>
      <w:r w:rsidR="000E2924" w:rsidDel="0055341D">
        <w:t xml:space="preserve">Option 1 – Remake </w:t>
      </w:r>
      <w:r w:rsidR="000E2924">
        <w:t>reg</w:t>
      </w:r>
      <w:r w:rsidR="000E2924" w:rsidDel="0055341D">
        <w:t>1503</w:t>
      </w:r>
      <w:r w:rsidR="000E2924">
        <w:t xml:space="preserve">, </w:t>
      </w:r>
      <w:r w:rsidRPr="00160290">
        <w:t xml:space="preserve">in the absence of the Regulations </w:t>
      </w:r>
      <w:r w:rsidR="000E2924">
        <w:t>VBA</w:t>
      </w:r>
      <w:r w:rsidRPr="00160290">
        <w:t xml:space="preserve"> could still refuse to register a practitioner if it considered </w:t>
      </w:r>
      <w:r w:rsidR="009A6A1B">
        <w:t xml:space="preserve">they </w:t>
      </w:r>
      <w:r w:rsidRPr="00160290">
        <w:t xml:space="preserve">did not </w:t>
      </w:r>
      <w:r w:rsidR="009A6A1B">
        <w:t xml:space="preserve">have </w:t>
      </w:r>
      <w:r w:rsidRPr="00160290">
        <w:t xml:space="preserve">sufficient knowledge or ability to be registered. The intent of prescribed academic qualifications and experience requirements is to provide objective grounds </w:t>
      </w:r>
      <w:r w:rsidR="009A6A1B">
        <w:t xml:space="preserve">on </w:t>
      </w:r>
      <w:r w:rsidRPr="00160290">
        <w:t xml:space="preserve">which </w:t>
      </w:r>
      <w:r w:rsidR="00116D5E">
        <w:t>prospective</w:t>
      </w:r>
      <w:r w:rsidR="00116D5E" w:rsidRPr="00160290">
        <w:t xml:space="preserve"> </w:t>
      </w:r>
      <w:r w:rsidRPr="00160290">
        <w:t xml:space="preserve">building practitioners can base their registration pathway. While these qualification grounds are objective, they are not exhaustive and </w:t>
      </w:r>
      <w:r w:rsidR="000E2924">
        <w:t>VBA</w:t>
      </w:r>
      <w:r w:rsidRPr="00160290">
        <w:t xml:space="preserve"> continues to retain the ability under the Act to assess applicants for registration that have alternative but equivalent qualifications and experience.</w:t>
      </w:r>
    </w:p>
    <w:p w:rsidR="003A7FBC" w:rsidRPr="00160290" w:rsidRDefault="00357F56" w:rsidP="00357F56">
      <w:pPr>
        <w:pStyle w:val="Heading3"/>
      </w:pPr>
      <w:bookmarkStart w:id="34" w:name="_Toc481502184"/>
      <w:r>
        <w:t>C2.4.1</w:t>
      </w:r>
      <w:r>
        <w:tab/>
      </w:r>
      <w:r w:rsidR="003A7FBC" w:rsidRPr="00160290">
        <w:t>Assessment of experience</w:t>
      </w:r>
      <w:bookmarkEnd w:id="34"/>
    </w:p>
    <w:p w:rsidR="002129C8" w:rsidRPr="00160290" w:rsidRDefault="003A7FBC" w:rsidP="00D6050F">
      <w:r w:rsidRPr="00160290">
        <w:t xml:space="preserve">Under the Act, to qualify for registration an applicant must demonstrate to </w:t>
      </w:r>
      <w:r w:rsidR="000E2924">
        <w:t>VBA</w:t>
      </w:r>
      <w:r w:rsidRPr="00160290">
        <w:t xml:space="preserve"> that they can competently perform the scope of building work applicable to the relevant category or class of building practitioner </w:t>
      </w:r>
      <w:r w:rsidR="009A6A1B">
        <w:t xml:space="preserve">for </w:t>
      </w:r>
      <w:r w:rsidRPr="00160290">
        <w:t xml:space="preserve">which </w:t>
      </w:r>
      <w:r w:rsidR="009A6A1B">
        <w:t xml:space="preserve">they seek </w:t>
      </w:r>
      <w:r w:rsidRPr="00160290">
        <w:t>registration.</w:t>
      </w:r>
      <w:r w:rsidR="002129C8" w:rsidRPr="00160290">
        <w:t xml:space="preserve"> </w:t>
      </w:r>
      <w:r w:rsidRPr="00160290">
        <w:t xml:space="preserve">To achieve this, </w:t>
      </w:r>
      <w:r w:rsidR="000E2924">
        <w:t>VBA</w:t>
      </w:r>
      <w:r w:rsidR="009A6A1B">
        <w:t>'s</w:t>
      </w:r>
      <w:r w:rsidRPr="00160290">
        <w:t xml:space="preserve"> application form requires </w:t>
      </w:r>
      <w:r w:rsidR="00703FD9" w:rsidRPr="00160290">
        <w:t>among</w:t>
      </w:r>
      <w:r w:rsidRPr="00160290">
        <w:t xml:space="preserve"> other </w:t>
      </w:r>
      <w:r w:rsidR="009A6A1B">
        <w:t xml:space="preserve">things </w:t>
      </w:r>
      <w:r w:rsidRPr="00160290">
        <w:t xml:space="preserve">the applicant’s building employment history, an experience statement and at least two technical referee reports (which enable </w:t>
      </w:r>
      <w:r w:rsidR="000E2924">
        <w:t>VBA</w:t>
      </w:r>
      <w:r w:rsidRPr="00160290">
        <w:t xml:space="preserve"> to validate the information in the application).</w:t>
      </w:r>
      <w:r w:rsidR="002129C8" w:rsidRPr="00160290">
        <w:t xml:space="preserve"> </w:t>
      </w:r>
      <w:r w:rsidRPr="00160290">
        <w:t xml:space="preserve">The </w:t>
      </w:r>
      <w:r w:rsidR="00BE6DEA" w:rsidRPr="00160290">
        <w:t>department</w:t>
      </w:r>
      <w:r w:rsidRPr="00160290">
        <w:t xml:space="preserve"> is proposing to formalise these information requirements in the Regulations as a way to reduce or avoid delays caused by lack of information. </w:t>
      </w:r>
      <w:r w:rsidR="000E2924">
        <w:t>VBA</w:t>
      </w:r>
      <w:r w:rsidRPr="00160290">
        <w:t xml:space="preserve"> ha</w:t>
      </w:r>
      <w:r w:rsidR="000700D8">
        <w:t xml:space="preserve">s </w:t>
      </w:r>
      <w:r w:rsidRPr="00160290">
        <w:t>advise</w:t>
      </w:r>
      <w:r w:rsidR="000700D8">
        <w:t>d</w:t>
      </w:r>
      <w:r w:rsidRPr="00160290">
        <w:t xml:space="preserve"> that </w:t>
      </w:r>
      <w:r w:rsidR="000700D8">
        <w:t xml:space="preserve">it </w:t>
      </w:r>
      <w:r w:rsidR="009A6A1B">
        <w:t xml:space="preserve">is </w:t>
      </w:r>
      <w:r w:rsidRPr="00160290">
        <w:t xml:space="preserve">often required to request further information because an application is incomplete. </w:t>
      </w:r>
      <w:r w:rsidR="009A6A1B">
        <w:t>The department expects</w:t>
      </w:r>
      <w:r w:rsidR="009A6A1B" w:rsidRPr="00160290">
        <w:t xml:space="preserve"> </w:t>
      </w:r>
      <w:r w:rsidRPr="00160290">
        <w:t>codifying the requirements will improve the applications received.</w:t>
      </w:r>
    </w:p>
    <w:p w:rsidR="002129C8" w:rsidRPr="00160290" w:rsidRDefault="000E2924" w:rsidP="00D6050F">
      <w:r>
        <w:t>VBA</w:t>
      </w:r>
      <w:r w:rsidR="003A7FBC" w:rsidRPr="00160290">
        <w:t>’s knowledge and assessment framework may involve an initial examination of the applicant, the checking of technical referee reports and an interview.</w:t>
      </w:r>
      <w:r w:rsidR="002129C8" w:rsidRPr="00160290">
        <w:t xml:space="preserve"> </w:t>
      </w:r>
      <w:r w:rsidR="003A7FBC" w:rsidRPr="00160290">
        <w:t>Building surveyors are expected to have developed and be able to demonstrate competency in the scope of regulated work relevant to building surveyors</w:t>
      </w:r>
      <w:r w:rsidR="009A6A1B">
        <w:t xml:space="preserve">, </w:t>
      </w:r>
      <w:r w:rsidR="003A7FBC" w:rsidRPr="00160290">
        <w:t>described above.</w:t>
      </w:r>
      <w:r w:rsidR="002129C8" w:rsidRPr="00160290">
        <w:t xml:space="preserve"> </w:t>
      </w:r>
      <w:r w:rsidR="003A7FBC" w:rsidRPr="00160290">
        <w:t xml:space="preserve">While </w:t>
      </w:r>
      <w:r w:rsidR="00703FD9" w:rsidRPr="00160290">
        <w:t>some</w:t>
      </w:r>
      <w:r w:rsidR="003A7FBC" w:rsidRPr="00160290">
        <w:t xml:space="preserve"> years of practical experience is prescribed in the </w:t>
      </w:r>
      <w:r w:rsidR="00160290">
        <w:t>R</w:t>
      </w:r>
      <w:r w:rsidR="003A7FBC" w:rsidRPr="00160290">
        <w:t xml:space="preserve">egulations, if competency cannot be demonstrated after that period has expired, registration will not be granted by </w:t>
      </w:r>
      <w:r>
        <w:t>VBA</w:t>
      </w:r>
      <w:r w:rsidR="003A7FBC" w:rsidRPr="00160290">
        <w:t>.</w:t>
      </w:r>
      <w:bookmarkStart w:id="35" w:name="_Toc475087232"/>
    </w:p>
    <w:p w:rsidR="009A6A1B" w:rsidRDefault="009A6A1B">
      <w:pPr>
        <w:spacing w:after="0"/>
        <w:rPr>
          <w:b/>
          <w:bCs/>
          <w:color w:val="201547" w:themeColor="accent2"/>
          <w:kern w:val="32"/>
          <w:sz w:val="40"/>
          <w:szCs w:val="32"/>
        </w:rPr>
      </w:pPr>
      <w:r>
        <w:br w:type="page"/>
      </w:r>
    </w:p>
    <w:p w:rsidR="0033590D" w:rsidRDefault="00357F56">
      <w:pPr>
        <w:pStyle w:val="Heading1"/>
      </w:pPr>
      <w:bookmarkStart w:id="36" w:name="_Toc481502185"/>
      <w:r>
        <w:lastRenderedPageBreak/>
        <w:t>C3</w:t>
      </w:r>
      <w:r>
        <w:tab/>
      </w:r>
      <w:r w:rsidR="003A7FBC" w:rsidRPr="00160290">
        <w:t>Cost</w:t>
      </w:r>
      <w:r w:rsidR="00703FD9" w:rsidRPr="00160290">
        <w:t>-b</w:t>
      </w:r>
      <w:r w:rsidR="003A7FBC" w:rsidRPr="00160290">
        <w:t xml:space="preserve">enefit </w:t>
      </w:r>
      <w:r w:rsidR="00703FD9" w:rsidRPr="00160290">
        <w:t>a</w:t>
      </w:r>
      <w:r w:rsidR="003A7FBC" w:rsidRPr="00160290">
        <w:t>nalysis</w:t>
      </w:r>
      <w:bookmarkEnd w:id="35"/>
      <w:bookmarkEnd w:id="36"/>
    </w:p>
    <w:p w:rsidR="003A7FBC" w:rsidRPr="00160290" w:rsidRDefault="000E2924" w:rsidP="00D6050F">
      <w:pPr>
        <w:pStyle w:val="Normalpre-dotpoint"/>
      </w:pPr>
      <w:r w:rsidRPr="00160290">
        <w:t xml:space="preserve">RIS </w:t>
      </w:r>
      <w:r w:rsidR="003A7FBC" w:rsidRPr="00160290">
        <w:t xml:space="preserve">Part C assesses the costs and benefits of </w:t>
      </w:r>
      <w:r w:rsidR="00160290">
        <w:t>R</w:t>
      </w:r>
      <w:r w:rsidR="003A7FBC" w:rsidRPr="00160290">
        <w:t>egulations that relate to building practitioners:</w:t>
      </w:r>
    </w:p>
    <w:p w:rsidR="003A7FBC" w:rsidRPr="00160290" w:rsidRDefault="009A6A1B" w:rsidP="00D6050F">
      <w:pPr>
        <w:pStyle w:val="Dotpoint"/>
      </w:pPr>
      <w:r>
        <w:t>p</w:t>
      </w:r>
      <w:r w:rsidR="003A7FBC" w:rsidRPr="00160290">
        <w:t xml:space="preserve">rescribed qualifications and classes (current building </w:t>
      </w:r>
      <w:r w:rsidR="000E2924">
        <w:t>reg</w:t>
      </w:r>
      <w:r w:rsidR="003A7FBC" w:rsidRPr="00160290">
        <w:t>1503 and other options to remake)</w:t>
      </w:r>
    </w:p>
    <w:p w:rsidR="003A7FBC" w:rsidRPr="00160290" w:rsidRDefault="009A6A1B" w:rsidP="00D6050F">
      <w:pPr>
        <w:pStyle w:val="Dotpoint"/>
      </w:pPr>
      <w:r>
        <w:t>p</w:t>
      </w:r>
      <w:r w:rsidR="003A7FBC" w:rsidRPr="00160290">
        <w:t xml:space="preserve">rescribed information as to character (current </w:t>
      </w:r>
      <w:r w:rsidR="000E2924">
        <w:t>reg</w:t>
      </w:r>
      <w:r w:rsidR="003A7FBC" w:rsidRPr="00160290">
        <w:t>1509 and other options to remake)</w:t>
      </w:r>
    </w:p>
    <w:p w:rsidR="003A7FBC" w:rsidRPr="00160290" w:rsidRDefault="009A6A1B" w:rsidP="00D6050F">
      <w:pPr>
        <w:pStyle w:val="Dotpoint"/>
      </w:pPr>
      <w:r>
        <w:t>p</w:t>
      </w:r>
      <w:r w:rsidR="003A7FBC" w:rsidRPr="00160290">
        <w:t xml:space="preserve">rofessional standards (current building </w:t>
      </w:r>
      <w:r w:rsidR="000E2924">
        <w:t>reg</w:t>
      </w:r>
      <w:r w:rsidR="003A7FBC" w:rsidRPr="00160290">
        <w:t>1502 and other options to remake)</w:t>
      </w:r>
    </w:p>
    <w:p w:rsidR="003A7FBC" w:rsidRPr="00160290" w:rsidRDefault="009A6A1B" w:rsidP="00D6050F">
      <w:pPr>
        <w:pStyle w:val="Dotpoint"/>
      </w:pPr>
      <w:r>
        <w:t>the p</w:t>
      </w:r>
      <w:r w:rsidR="003A7FBC" w:rsidRPr="00160290">
        <w:t xml:space="preserve">eriod during which a builder surveyor cannot act (current </w:t>
      </w:r>
      <w:r w:rsidR="000E2924">
        <w:t>reg</w:t>
      </w:r>
      <w:r w:rsidR="003A7FBC" w:rsidRPr="00160290">
        <w:t>1504 and other options to remake)</w:t>
      </w:r>
    </w:p>
    <w:p w:rsidR="003A7FBC" w:rsidRPr="00160290" w:rsidRDefault="009A6A1B" w:rsidP="00D6050F">
      <w:pPr>
        <w:pStyle w:val="Dotpointlast"/>
      </w:pPr>
      <w:r>
        <w:t>p</w:t>
      </w:r>
      <w:r w:rsidR="003A7FBC" w:rsidRPr="00160290">
        <w:t xml:space="preserve">otential new </w:t>
      </w:r>
      <w:r w:rsidR="00160290">
        <w:t>R</w:t>
      </w:r>
      <w:r w:rsidR="003A7FBC" w:rsidRPr="00160290">
        <w:t xml:space="preserve">egulations </w:t>
      </w:r>
      <w:r w:rsidR="00D6135D">
        <w:t xml:space="preserve">about </w:t>
      </w:r>
      <w:r w:rsidR="00B257D3">
        <w:t>requiring</w:t>
      </w:r>
      <w:r w:rsidR="00D6135D">
        <w:t xml:space="preserve"> an </w:t>
      </w:r>
      <w:r w:rsidR="003A7FBC" w:rsidRPr="00160290">
        <w:t xml:space="preserve">applicant to complete </w:t>
      </w:r>
      <w:r w:rsidR="00D6135D">
        <w:t xml:space="preserve">their </w:t>
      </w:r>
      <w:r w:rsidR="003A7FBC" w:rsidRPr="00160290">
        <w:t xml:space="preserve">application personally, </w:t>
      </w:r>
      <w:r w:rsidR="00D6135D">
        <w:t xml:space="preserve">the </w:t>
      </w:r>
      <w:r w:rsidR="003A7FBC" w:rsidRPr="00160290">
        <w:t>prescribed information in applications</w:t>
      </w:r>
      <w:r w:rsidR="00D6135D">
        <w:t xml:space="preserve"> and </w:t>
      </w:r>
      <w:r w:rsidR="003A7FBC" w:rsidRPr="00160290">
        <w:t>mandatory business skills.</w:t>
      </w:r>
    </w:p>
    <w:p w:rsidR="003A7FBC" w:rsidRPr="00160290" w:rsidRDefault="003A7FBC" w:rsidP="00D6050F">
      <w:r w:rsidRPr="00160290">
        <w:t>The cost</w:t>
      </w:r>
      <w:r w:rsidR="00703FD9" w:rsidRPr="00160290">
        <w:t>-</w:t>
      </w:r>
      <w:r w:rsidRPr="00160290">
        <w:t xml:space="preserve">benefit analysis does not consider currents </w:t>
      </w:r>
      <w:r w:rsidR="00381EF5">
        <w:t>regs</w:t>
      </w:r>
      <w:r w:rsidRPr="00160290">
        <w:t xml:space="preserve">1505, 1506, 1507 and 1508 (which are proposed to be moved to a new part of the </w:t>
      </w:r>
      <w:r w:rsidR="00D6135D">
        <w:t>R</w:t>
      </w:r>
      <w:r w:rsidRPr="00160290">
        <w:t xml:space="preserve">egulations </w:t>
      </w:r>
      <w:r w:rsidR="00D6135D">
        <w:t xml:space="preserve">to </w:t>
      </w:r>
      <w:r w:rsidRPr="00160290">
        <w:t xml:space="preserve">deal with compliance of building work and are discussed in </w:t>
      </w:r>
      <w:r w:rsidR="000E2924">
        <w:t xml:space="preserve">RIS </w:t>
      </w:r>
      <w:r w:rsidRPr="00160290">
        <w:t>Part B), 1511</w:t>
      </w:r>
      <w:r w:rsidR="00160290">
        <w:t xml:space="preserve"> or</w:t>
      </w:r>
      <w:r w:rsidRPr="00160290">
        <w:t xml:space="preserve"> 1512.</w:t>
      </w:r>
    </w:p>
    <w:p w:rsidR="003A7FBC" w:rsidRPr="00160290" w:rsidRDefault="003A7FBC" w:rsidP="00D6050F">
      <w:r w:rsidRPr="00160290">
        <w:t xml:space="preserve">The modelling assumptions used for the </w:t>
      </w:r>
      <w:r w:rsidR="00D6135D" w:rsidRPr="00160290">
        <w:t xml:space="preserve">cost-benefit analysis </w:t>
      </w:r>
      <w:r w:rsidRPr="00160290">
        <w:t>are set out in Appendix 1.</w:t>
      </w:r>
    </w:p>
    <w:p w:rsidR="00F71F1A" w:rsidRDefault="00357F56" w:rsidP="00357F56">
      <w:pPr>
        <w:pStyle w:val="Heading2"/>
      </w:pPr>
      <w:bookmarkStart w:id="37" w:name="_Toc481502186"/>
      <w:r>
        <w:t>C3.1</w:t>
      </w:r>
      <w:r>
        <w:tab/>
      </w:r>
      <w:r w:rsidR="003A7FBC" w:rsidRPr="00160290">
        <w:t>Approach</w:t>
      </w:r>
      <w:bookmarkEnd w:id="37"/>
    </w:p>
    <w:p w:rsidR="003A7FBC" w:rsidRPr="00160290" w:rsidRDefault="000E2924" w:rsidP="00D6050F">
      <w:r>
        <w:t xml:space="preserve">RIS </w:t>
      </w:r>
      <w:r w:rsidR="003A7FBC" w:rsidRPr="00160290">
        <w:t xml:space="preserve">Part C considers the costs and benefits associated with </w:t>
      </w:r>
      <w:r w:rsidR="00703FD9" w:rsidRPr="00160290">
        <w:t>some</w:t>
      </w:r>
      <w:r w:rsidR="003A7FBC" w:rsidRPr="00160290">
        <w:t xml:space="preserve"> options identified by the department and </w:t>
      </w:r>
      <w:r w:rsidR="00D6135D">
        <w:t xml:space="preserve">explained </w:t>
      </w:r>
      <w:r w:rsidR="003A7FBC" w:rsidRPr="00160290">
        <w:t xml:space="preserve">in </w:t>
      </w:r>
      <w:r w:rsidR="00D6135D">
        <w:t>c</w:t>
      </w:r>
      <w:r w:rsidR="003A7FBC" w:rsidRPr="00160290">
        <w:t xml:space="preserve">hapters </w:t>
      </w:r>
      <w:r>
        <w:t>C</w:t>
      </w:r>
      <w:r w:rsidR="003A7FBC" w:rsidRPr="00160290">
        <w:t xml:space="preserve">1 </w:t>
      </w:r>
      <w:r w:rsidR="008D1FCB">
        <w:t xml:space="preserve">Introduction </w:t>
      </w:r>
      <w:r w:rsidR="003A7FBC" w:rsidRPr="00160290">
        <w:t xml:space="preserve">and </w:t>
      </w:r>
      <w:r>
        <w:t>C</w:t>
      </w:r>
      <w:r w:rsidR="003A7FBC" w:rsidRPr="00160290">
        <w:t>2</w:t>
      </w:r>
      <w:r w:rsidR="008D1FCB">
        <w:t xml:space="preserve"> Issues with building practitioners</w:t>
      </w:r>
      <w:r w:rsidR="003A7FBC" w:rsidRPr="00160290">
        <w:t xml:space="preserve">. The measurement of costs and benefits is against the base case of the relevant </w:t>
      </w:r>
      <w:r w:rsidR="00160290">
        <w:t>R</w:t>
      </w:r>
      <w:r w:rsidR="003A7FBC" w:rsidRPr="00160290">
        <w:t xml:space="preserve">egulation not being in place after it sunsets. This is not the same as an absence of all regulation, as much of the regulatory framework and controls are contained in the Act with the specific </w:t>
      </w:r>
      <w:r w:rsidR="00160290">
        <w:t>R</w:t>
      </w:r>
      <w:r w:rsidR="003A7FBC" w:rsidRPr="00160290">
        <w:t xml:space="preserve">egulations in </w:t>
      </w:r>
      <w:proofErr w:type="spellStart"/>
      <w:r w:rsidR="0062727D">
        <w:t>pt</w:t>
      </w:r>
      <w:proofErr w:type="spellEnd"/>
      <w:r w:rsidR="003A7FBC" w:rsidRPr="00160290">
        <w:t xml:space="preserve"> 15 supporting the broader framework by providing administrative detail required to operationalise certain provisions in the Act. The measurement of costs is only those impacts </w:t>
      </w:r>
      <w:r w:rsidR="00D3125B" w:rsidRPr="00D3125B">
        <w:t>incremental</w:t>
      </w:r>
      <w:r w:rsidR="003A7FBC" w:rsidRPr="00160290">
        <w:t xml:space="preserve"> to the base case, meaning those costs incurred that are genuinely in addition to those that are likely to be incurred anyway.</w:t>
      </w:r>
    </w:p>
    <w:p w:rsidR="002129C8" w:rsidRPr="00160290" w:rsidRDefault="003A7FBC" w:rsidP="00D6050F">
      <w:r w:rsidRPr="00160290">
        <w:t xml:space="preserve">The focus of this analysis has been on measuring the costs of the current </w:t>
      </w:r>
      <w:r w:rsidR="00160290">
        <w:t>R</w:t>
      </w:r>
      <w:r w:rsidRPr="00160290">
        <w:t xml:space="preserve">egulations, as the presented data provide some evidence </w:t>
      </w:r>
      <w:r w:rsidR="00D6135D">
        <w:t xml:space="preserve">about </w:t>
      </w:r>
      <w:r w:rsidRPr="00160290">
        <w:t xml:space="preserve">how these have operated in practice. Other options have not necessarily been modelled separately but as variations from the current </w:t>
      </w:r>
      <w:r w:rsidR="00160290">
        <w:t>R</w:t>
      </w:r>
      <w:r w:rsidRPr="00160290">
        <w:t>egulations (</w:t>
      </w:r>
      <w:r w:rsidR="00D6135D">
        <w:t>for example</w:t>
      </w:r>
      <w:r w:rsidRPr="00160290">
        <w:t>, reduce or increase certain elements). The variations quantified are therefore limited to areas where there would be a material change to the costs or benefits.</w:t>
      </w:r>
    </w:p>
    <w:p w:rsidR="003A7FBC" w:rsidRPr="00160290" w:rsidRDefault="003A7FBC" w:rsidP="00D6050F">
      <w:r w:rsidRPr="00160290">
        <w:t xml:space="preserve">In some instances, the differences of costs and benefits between options is not significant or the overall costs and benefits of the </w:t>
      </w:r>
      <w:r w:rsidR="00160290">
        <w:t>R</w:t>
      </w:r>
      <w:r w:rsidRPr="00160290">
        <w:t>egulation itself is not significant. For these areas, judgement about a preferred option will primarily be based on the department’s judg</w:t>
      </w:r>
      <w:r w:rsidR="00BA4BF1" w:rsidRPr="00160290">
        <w:t>ement</w:t>
      </w:r>
      <w:r w:rsidRPr="00160290">
        <w:t xml:space="preserve"> about alignment of the option against the objectives set out in the </w:t>
      </w:r>
      <w:r w:rsidR="00160290" w:rsidRPr="00160290">
        <w:t>RIS</w:t>
      </w:r>
      <w:r w:rsidRPr="00160290">
        <w:t xml:space="preserve">, which itself will be informed by an assessment of the risk profile associated with the underlying problem. Similarly, where options are assessed using a break-even analysis, the </w:t>
      </w:r>
      <w:r w:rsidR="00BE6DEA" w:rsidRPr="00160290">
        <w:t>department</w:t>
      </w:r>
      <w:r w:rsidRPr="00160290">
        <w:t xml:space="preserve"> has considered likely risks to inform its judgement about the likelihood of reaching the break-even point.</w:t>
      </w:r>
    </w:p>
    <w:p w:rsidR="002129C8" w:rsidRPr="00160290" w:rsidRDefault="003A7FBC" w:rsidP="00D6050F">
      <w:r w:rsidRPr="00160290">
        <w:t>This cost-benefit analysis is to assist consideration of options related to building practitioners (</w:t>
      </w:r>
      <w:proofErr w:type="spellStart"/>
      <w:r w:rsidR="0062727D">
        <w:t>pt</w:t>
      </w:r>
      <w:proofErr w:type="spellEnd"/>
      <w:r w:rsidRPr="00160290">
        <w:t xml:space="preserve"> 15 of the current Regulations) only. It assumes that other parts of the current </w:t>
      </w:r>
      <w:r w:rsidR="00160290">
        <w:t>R</w:t>
      </w:r>
      <w:r w:rsidRPr="00160290">
        <w:t xml:space="preserve">egulations are likely to remain in place in some form, as it would be unhelpful to assess the requirements on building practitioners with all other building </w:t>
      </w:r>
      <w:r w:rsidR="00511A91">
        <w:t>R</w:t>
      </w:r>
      <w:r w:rsidRPr="00160290">
        <w:t>egulations on an all</w:t>
      </w:r>
      <w:r w:rsidR="00D6135D">
        <w:t>-</w:t>
      </w:r>
      <w:r w:rsidRPr="00160290">
        <w:t>or</w:t>
      </w:r>
      <w:r w:rsidR="00D6135D">
        <w:t>-</w:t>
      </w:r>
      <w:r w:rsidRPr="00160290">
        <w:t>nothing basis.</w:t>
      </w:r>
    </w:p>
    <w:p w:rsidR="00011DF3" w:rsidRDefault="00011DF3">
      <w:pPr>
        <w:spacing w:after="0"/>
        <w:rPr>
          <w:rFonts w:asciiTheme="majorHAnsi" w:hAnsiTheme="majorHAnsi"/>
          <w:i/>
          <w:color w:val="00B2A9" w:themeColor="accent1"/>
          <w:sz w:val="28"/>
        </w:rPr>
      </w:pPr>
      <w:bookmarkStart w:id="38" w:name="_Toc481502187"/>
      <w:r>
        <w:br w:type="page"/>
      </w:r>
    </w:p>
    <w:p w:rsidR="0049524F" w:rsidRDefault="00357F56" w:rsidP="00357F56">
      <w:pPr>
        <w:pStyle w:val="Heading3"/>
      </w:pPr>
      <w:r>
        <w:lastRenderedPageBreak/>
        <w:t>3.1.1</w:t>
      </w:r>
      <w:r>
        <w:tab/>
      </w:r>
      <w:r w:rsidR="003A7FBC" w:rsidRPr="00160290">
        <w:t>Sources of data</w:t>
      </w:r>
      <w:bookmarkEnd w:id="38"/>
    </w:p>
    <w:p w:rsidR="003A7FBC" w:rsidRPr="00160290" w:rsidRDefault="003A7FBC" w:rsidP="00D6050F">
      <w:r w:rsidRPr="00160290">
        <w:t xml:space="preserve">The analysis in this </w:t>
      </w:r>
      <w:r w:rsidR="00D6135D">
        <w:t xml:space="preserve">part </w:t>
      </w:r>
      <w:r w:rsidRPr="00160290">
        <w:t xml:space="preserve">relies on data provided by </w:t>
      </w:r>
      <w:r w:rsidR="000E2924">
        <w:t>VBA</w:t>
      </w:r>
      <w:r w:rsidRPr="00160290">
        <w:t xml:space="preserve"> unless otherwise indicated. </w:t>
      </w:r>
      <w:r w:rsidR="00703FD9" w:rsidRPr="00160290">
        <w:t>Sometimes</w:t>
      </w:r>
      <w:r w:rsidRPr="00160290">
        <w:t xml:space="preserve">, the data available from </w:t>
      </w:r>
      <w:r w:rsidR="000E2924">
        <w:t>VBA</w:t>
      </w:r>
      <w:r w:rsidRPr="00160290">
        <w:t xml:space="preserve"> </w:t>
      </w:r>
      <w:r w:rsidR="00D6135D">
        <w:t xml:space="preserve">were </w:t>
      </w:r>
      <w:r w:rsidRPr="00160290">
        <w:t xml:space="preserve">not sufficient to fully model the likely impacts of some options. Working assumptions have therefore been used in some places. Where this occurs, the reasonableness of these assumptions has been validated based on discussions with </w:t>
      </w:r>
      <w:r w:rsidR="000E2924">
        <w:t>VBA</w:t>
      </w:r>
      <w:r w:rsidRPr="00160290">
        <w:t xml:space="preserve"> and through limited consultation with a small sample of registered practitioners, including discussions with 20 practitioners across all practitioner categories.</w:t>
      </w:r>
      <w:r w:rsidRPr="00160290">
        <w:rPr>
          <w:rStyle w:val="FootnoteReference"/>
          <w:rFonts w:cs="Times New Roman"/>
        </w:rPr>
        <w:footnoteReference w:id="24"/>
      </w:r>
      <w:r w:rsidRPr="00160290">
        <w:t xml:space="preserve"> Given the nature of the analysis used to compare the options, this level of consultation is sufficient to develop indicative results, noting that the </w:t>
      </w:r>
      <w:r w:rsidR="00160290" w:rsidRPr="00160290">
        <w:t>RIS</w:t>
      </w:r>
      <w:r w:rsidRPr="00160290">
        <w:t xml:space="preserve"> process will be an opportunity for stakeholders to comment on the assumptions relied on.</w:t>
      </w:r>
    </w:p>
    <w:p w:rsidR="003A7FBC" w:rsidRPr="00160290" w:rsidRDefault="00357F56" w:rsidP="00357F56">
      <w:pPr>
        <w:pStyle w:val="Heading2"/>
      </w:pPr>
      <w:bookmarkStart w:id="39" w:name="_Toc481502188"/>
      <w:r>
        <w:t>C3.2</w:t>
      </w:r>
      <w:r>
        <w:tab/>
      </w:r>
      <w:r w:rsidR="003A7FBC" w:rsidRPr="00160290">
        <w:t>Prescribed qualifications and classes</w:t>
      </w:r>
      <w:bookmarkEnd w:id="39"/>
    </w:p>
    <w:p w:rsidR="003A7FBC" w:rsidRPr="00160290" w:rsidRDefault="003A7FBC" w:rsidP="00D6050F">
      <w:r w:rsidRPr="00160290">
        <w:t xml:space="preserve">The current building </w:t>
      </w:r>
      <w:r w:rsidR="00511A91">
        <w:t>R</w:t>
      </w:r>
      <w:r w:rsidRPr="00160290">
        <w:t xml:space="preserve">egulations </w:t>
      </w:r>
      <w:r w:rsidR="00D6135D">
        <w:t>(</w:t>
      </w:r>
      <w:r w:rsidR="000E2924">
        <w:t>reg</w:t>
      </w:r>
      <w:r w:rsidRPr="00160290">
        <w:t>1503</w:t>
      </w:r>
      <w:r w:rsidR="0062727D">
        <w:t xml:space="preserve"> </w:t>
      </w:r>
      <w:proofErr w:type="spellStart"/>
      <w:r w:rsidR="0062727D">
        <w:t>s</w:t>
      </w:r>
      <w:r w:rsidRPr="00160290">
        <w:t>ch</w:t>
      </w:r>
      <w:proofErr w:type="spellEnd"/>
      <w:r w:rsidR="0062727D">
        <w:t xml:space="preserve"> </w:t>
      </w:r>
      <w:r w:rsidRPr="00160290">
        <w:t>7</w:t>
      </w:r>
      <w:r w:rsidR="00D6135D">
        <w:t>)</w:t>
      </w:r>
      <w:r w:rsidRPr="00160290">
        <w:t xml:space="preserve"> set out a range of classes and the qualifications for each. This is a prerequisite related to the competency of a practitioner.</w:t>
      </w:r>
    </w:p>
    <w:p w:rsidR="00F71F1A" w:rsidRDefault="00FB7090" w:rsidP="00357F56">
      <w:pPr>
        <w:pStyle w:val="Heading3"/>
      </w:pPr>
      <w:bookmarkStart w:id="40" w:name="_Toc481502189"/>
      <w:r w:rsidDel="0055341D">
        <w:t xml:space="preserve">Option 1 – Remake </w:t>
      </w:r>
      <w:r w:rsidR="000E2924">
        <w:t>reg</w:t>
      </w:r>
      <w:r w:rsidR="00FA2F8A" w:rsidDel="0055341D">
        <w:t>1503</w:t>
      </w:r>
      <w:bookmarkEnd w:id="40"/>
    </w:p>
    <w:p w:rsidR="00F71F1A" w:rsidRDefault="003A7FBC" w:rsidP="00357F56">
      <w:pPr>
        <w:pStyle w:val="Heading4"/>
      </w:pPr>
      <w:bookmarkStart w:id="41" w:name="_Toc481502190"/>
      <w:r w:rsidRPr="00160290">
        <w:t xml:space="preserve">Base </w:t>
      </w:r>
      <w:r w:rsidRPr="00357F56">
        <w:t>case</w:t>
      </w:r>
      <w:bookmarkEnd w:id="41"/>
    </w:p>
    <w:p w:rsidR="003A7FBC" w:rsidRDefault="003A7FBC" w:rsidP="00D6050F">
      <w:r w:rsidRPr="00160290">
        <w:t xml:space="preserve">In the absence of </w:t>
      </w:r>
      <w:r w:rsidR="000E2924">
        <w:t>reg</w:t>
      </w:r>
      <w:r w:rsidRPr="00160290">
        <w:t xml:space="preserve">1503 (and the other </w:t>
      </w:r>
      <w:r w:rsidR="00160290">
        <w:t>R</w:t>
      </w:r>
      <w:r w:rsidRPr="00160290">
        <w:t>egulations related to building practitioners), there would remain a registration framework for building practitioners. The Act still requires practitioners to be registered (s 16</w:t>
      </w:r>
      <w:r w:rsidR="00D6135D">
        <w:t xml:space="preserve"> and </w:t>
      </w:r>
      <w:r w:rsidRPr="00160290">
        <w:t>s 176) to carry out building work.</w:t>
      </w:r>
    </w:p>
    <w:p w:rsidR="003A7FBC" w:rsidRPr="00160290" w:rsidRDefault="003A7FBC" w:rsidP="00D6050F">
      <w:r w:rsidRPr="00160290">
        <w:t xml:space="preserve">Even in the absence of </w:t>
      </w:r>
      <w:r w:rsidR="000E2924">
        <w:t>reg</w:t>
      </w:r>
      <w:r w:rsidRPr="00160290">
        <w:t xml:space="preserve">1503, the Act requires </w:t>
      </w:r>
      <w:r w:rsidR="000E2924">
        <w:t>VBA</w:t>
      </w:r>
      <w:r w:rsidRPr="00160290">
        <w:t xml:space="preserve"> to be satisfied that a building practitioner is a fit and proper person to practi</w:t>
      </w:r>
      <w:r w:rsidR="00D6135D">
        <w:t>s</w:t>
      </w:r>
      <w:r w:rsidRPr="00160290">
        <w:t xml:space="preserve">e as a building practitioner (s 170). In the absence of specific </w:t>
      </w:r>
      <w:r w:rsidR="00160290">
        <w:t>R</w:t>
      </w:r>
      <w:r w:rsidRPr="00160290">
        <w:t>egulations on qualification and experience, the assessment of fit and proper person could take account of matters such as skills and competency. A number of court decisions have confirmed that ‘fit and proper’ includes skill and competency.</w:t>
      </w:r>
      <w:r w:rsidRPr="00160290">
        <w:rPr>
          <w:rStyle w:val="FootnoteReference"/>
        </w:rPr>
        <w:footnoteReference w:id="25"/>
      </w:r>
      <w:r w:rsidRPr="00160290">
        <w:t xml:space="preserve"> The Act itself notes that fit and proper includes character, indicating other factors may also be considered. This suggests that in the absence of current </w:t>
      </w:r>
      <w:r w:rsidR="000E2924">
        <w:t>reg</w:t>
      </w:r>
      <w:r w:rsidRPr="00160290">
        <w:t xml:space="preserve">1503 </w:t>
      </w:r>
      <w:r w:rsidR="000E2924">
        <w:t>VBA</w:t>
      </w:r>
      <w:r w:rsidRPr="00160290">
        <w:t xml:space="preserve"> could still refuse to register a practitioner if it considered an applicant did not possess sufficient knowledge or ability.</w:t>
      </w:r>
    </w:p>
    <w:p w:rsidR="003A7FBC" w:rsidRPr="00160290" w:rsidRDefault="003A7FBC" w:rsidP="00D6050F">
      <w:r w:rsidRPr="00160290">
        <w:t xml:space="preserve">The Act requires building practitioners to ensure all building work is carried out in accordance with the Act, </w:t>
      </w:r>
      <w:r w:rsidR="00160290">
        <w:t>R</w:t>
      </w:r>
      <w:r w:rsidRPr="00160290">
        <w:t>egulations and building permits, with penalties for noncompliance. This suggests</w:t>
      </w:r>
      <w:r w:rsidR="00D6135D">
        <w:t xml:space="preserve"> that </w:t>
      </w:r>
      <w:r w:rsidRPr="00160290">
        <w:t xml:space="preserve">even in the absence of any formal requirements on qualifications or experience, a practitioner would need to take at least some form of training or </w:t>
      </w:r>
      <w:r w:rsidR="00D6135D">
        <w:t xml:space="preserve">have </w:t>
      </w:r>
      <w:r w:rsidRPr="00160290">
        <w:t>experience in order to comply with the Act</w:t>
      </w:r>
      <w:r w:rsidR="00D6135D">
        <w:t>. O</w:t>
      </w:r>
      <w:r w:rsidRPr="00160290">
        <w:t>therwise</w:t>
      </w:r>
      <w:r w:rsidR="00D6135D">
        <w:t>,</w:t>
      </w:r>
      <w:r w:rsidRPr="00160290">
        <w:t xml:space="preserve"> they may suffer reputational damage if they are not able to perform building work to the required standard. Outside the Act, tort law and other legislation (</w:t>
      </w:r>
      <w:r w:rsidR="00703FD9" w:rsidRPr="00160290">
        <w:t>for example</w:t>
      </w:r>
      <w:r w:rsidR="00D6135D">
        <w:t xml:space="preserve">, </w:t>
      </w:r>
      <w:r w:rsidRPr="00160290">
        <w:t xml:space="preserve">the </w:t>
      </w:r>
      <w:r w:rsidR="00D3125B" w:rsidRPr="00D3125B">
        <w:rPr>
          <w:i/>
        </w:rPr>
        <w:t>Domestic Building Contracts Act 1995</w:t>
      </w:r>
      <w:r w:rsidRPr="00160290">
        <w:t>) would also apply</w:t>
      </w:r>
      <w:r w:rsidR="00D6135D">
        <w:t>,</w:t>
      </w:r>
      <w:r w:rsidRPr="00160290">
        <w:t xml:space="preserve"> giving incentive for practitioners to make themselves reasonably competent to undertake building work.</w:t>
      </w:r>
    </w:p>
    <w:p w:rsidR="003A7FBC" w:rsidRPr="00160290" w:rsidRDefault="003A7FBC" w:rsidP="00D6050F">
      <w:r w:rsidRPr="00160290">
        <w:t>In addition, the Act requires certain building practitioners to have relevant insurance (</w:t>
      </w:r>
      <w:proofErr w:type="spellStart"/>
      <w:r w:rsidR="0062727D">
        <w:t>pt</w:t>
      </w:r>
      <w:proofErr w:type="spellEnd"/>
      <w:r w:rsidRPr="00160290">
        <w:t xml:space="preserve"> 9). While primarily aimed at protecting consumers, the insurance requirement also acts as a de facto control over competency as a pattern of poor performance is likely to result in insurance being refused. Loss of insurance results in immediate suspension of registration.</w:t>
      </w:r>
    </w:p>
    <w:p w:rsidR="003A7FBC" w:rsidRPr="00160290" w:rsidRDefault="003A7FBC" w:rsidP="00D6050F">
      <w:r w:rsidRPr="00160290">
        <w:t xml:space="preserve">Further, the Act provides mechanisms to suspend or cancel the registration of a practitioner found to be incompetent. Disciplinary action can be taken under </w:t>
      </w:r>
      <w:r w:rsidR="000254D8">
        <w:t>s 1</w:t>
      </w:r>
      <w:r w:rsidRPr="00160290">
        <w:t xml:space="preserve">79 and can occur in relation to contraventions of the Act, unprofessional conduct, </w:t>
      </w:r>
      <w:r w:rsidR="00D6135D">
        <w:t xml:space="preserve">a </w:t>
      </w:r>
      <w:r w:rsidRPr="00160290">
        <w:t xml:space="preserve">pattern of incompetence or negligence, or where </w:t>
      </w:r>
      <w:r w:rsidR="000E2924">
        <w:t>VBA</w:t>
      </w:r>
      <w:r w:rsidRPr="00160290">
        <w:t xml:space="preserve"> </w:t>
      </w:r>
      <w:r w:rsidR="001A6162">
        <w:t>considers</w:t>
      </w:r>
      <w:r w:rsidRPr="00160290">
        <w:t xml:space="preserve"> the person is no longer fit to practi</w:t>
      </w:r>
      <w:r w:rsidR="0022498F">
        <w:t>s</w:t>
      </w:r>
      <w:r w:rsidRPr="00160290">
        <w:t>e.</w:t>
      </w:r>
    </w:p>
    <w:p w:rsidR="003A7FBC" w:rsidRPr="00160290" w:rsidRDefault="003A7FBC" w:rsidP="00D6050F">
      <w:pPr>
        <w:pStyle w:val="Normalpre-dotpoint"/>
      </w:pPr>
      <w:r w:rsidRPr="00160290">
        <w:lastRenderedPageBreak/>
        <w:t xml:space="preserve">In summary, in the absence of a </w:t>
      </w:r>
      <w:r w:rsidR="00160290">
        <w:t>R</w:t>
      </w:r>
      <w:r w:rsidRPr="00160290">
        <w:t>egulation specifically on minimum qualifications and experience, it appears that:</w:t>
      </w:r>
    </w:p>
    <w:p w:rsidR="003A7FBC" w:rsidRPr="00160290" w:rsidRDefault="000E2924" w:rsidP="00D6050F">
      <w:pPr>
        <w:pStyle w:val="Dotpoint"/>
      </w:pPr>
      <w:r>
        <w:t>VBA</w:t>
      </w:r>
      <w:r w:rsidR="003A7FBC" w:rsidRPr="00160290">
        <w:t xml:space="preserve"> may still consider the knowledge and ability of an applicant in deciding whether or not to register the practitioner</w:t>
      </w:r>
      <w:r w:rsidR="00D6135D">
        <w:t xml:space="preserve">; </w:t>
      </w:r>
      <w:r w:rsidR="00703FD9" w:rsidRPr="00160290">
        <w:t>probably</w:t>
      </w:r>
      <w:r w:rsidR="003A7FBC" w:rsidRPr="00160290">
        <w:t xml:space="preserve"> under this scenario </w:t>
      </w:r>
      <w:r>
        <w:t>VBA</w:t>
      </w:r>
      <w:r w:rsidR="003A7FBC" w:rsidRPr="00160290">
        <w:t xml:space="preserve"> could ask applicants </w:t>
      </w:r>
      <w:r w:rsidR="00D6135D" w:rsidRPr="00160290">
        <w:t xml:space="preserve">to list any qualifications and experience </w:t>
      </w:r>
      <w:r w:rsidR="00D6135D">
        <w:t>o</w:t>
      </w:r>
      <w:r w:rsidR="003A7FBC" w:rsidRPr="00160290">
        <w:t>n the application form</w:t>
      </w:r>
    </w:p>
    <w:p w:rsidR="003A7FBC" w:rsidRPr="00160290" w:rsidRDefault="00D6135D" w:rsidP="00D6050F">
      <w:pPr>
        <w:pStyle w:val="Dotpoint"/>
      </w:pPr>
      <w:r>
        <w:t>t</w:t>
      </w:r>
      <w:r w:rsidR="003A7FBC" w:rsidRPr="00160290">
        <w:t xml:space="preserve">he practitioner is likely to take some form of training and </w:t>
      </w:r>
      <w:r>
        <w:t xml:space="preserve">have </w:t>
      </w:r>
      <w:r w:rsidR="003A7FBC" w:rsidRPr="00160290">
        <w:t>experience in order to be able to have the expertise to comply with other parts of the Act</w:t>
      </w:r>
    </w:p>
    <w:p w:rsidR="003A7FBC" w:rsidRPr="00160290" w:rsidRDefault="00D6135D" w:rsidP="00D6050F">
      <w:pPr>
        <w:pStyle w:val="Dotpointlast"/>
      </w:pPr>
      <w:r>
        <w:t>t</w:t>
      </w:r>
      <w:r w:rsidR="003A7FBC" w:rsidRPr="00160290">
        <w:t>here are several mechanisms in the Act that would lead to registration being taken away should a practitioner be found to be not competent.</w:t>
      </w:r>
    </w:p>
    <w:p w:rsidR="002129C8" w:rsidRPr="00160290" w:rsidRDefault="003A7FBC" w:rsidP="00D6050F">
      <w:r w:rsidRPr="00160290">
        <w:t xml:space="preserve">Currently, consumers use the registration of a building practitioner as a signal that the government has checked the competency of a practitioner. In the absence of this, consumers would be able to take their own steps to check the quality of a practitioner </w:t>
      </w:r>
      <w:r w:rsidR="00D6135D">
        <w:t>(</w:t>
      </w:r>
      <w:r w:rsidRPr="00160290">
        <w:t xml:space="preserve">for example, </w:t>
      </w:r>
      <w:r w:rsidR="00D6135D">
        <w:t xml:space="preserve">they could </w:t>
      </w:r>
      <w:r w:rsidRPr="00160290">
        <w:t>reference check past work and many do this even in the presence of registration requirements</w:t>
      </w:r>
      <w:r w:rsidR="00D6135D">
        <w:t>)</w:t>
      </w:r>
      <w:r w:rsidRPr="00160290">
        <w:t>.</w:t>
      </w:r>
    </w:p>
    <w:p w:rsidR="003A7FBC" w:rsidRPr="00160290" w:rsidRDefault="003A7FBC" w:rsidP="00D6050F">
      <w:r w:rsidRPr="00160290">
        <w:t xml:space="preserve">Indeed, in the absence of this government endorsement of competency, building practitioners may take their own steps to demonstrate their competency, such as providing further information </w:t>
      </w:r>
      <w:r w:rsidR="00703FD9" w:rsidRPr="00160290">
        <w:t>about</w:t>
      </w:r>
      <w:r w:rsidRPr="00160290">
        <w:t xml:space="preserve"> their experience to potential customers. In addition, there may be an incentive in the sector to form practitioner</w:t>
      </w:r>
      <w:r w:rsidR="00D6135D">
        <w:t>s'</w:t>
      </w:r>
      <w:r w:rsidRPr="00160290">
        <w:t xml:space="preserve"> associations whereby </w:t>
      </w:r>
      <w:r w:rsidR="00D6135D">
        <w:t xml:space="preserve">an </w:t>
      </w:r>
      <w:r w:rsidRPr="00160290">
        <w:t>association would set membership requirements and then market its membership to consumers. Some membership organisations exist (such as Master Builders</w:t>
      </w:r>
      <w:r w:rsidR="00D6135D">
        <w:t xml:space="preserve"> and </w:t>
      </w:r>
      <w:r w:rsidR="006C108D">
        <w:t>Housing Industry Association</w:t>
      </w:r>
      <w:r w:rsidRPr="00160290">
        <w:t xml:space="preserve">) although these do not assess the qualifications or experience of </w:t>
      </w:r>
      <w:r w:rsidR="00D6135D">
        <w:t xml:space="preserve">their </w:t>
      </w:r>
      <w:r w:rsidRPr="00160290">
        <w:t xml:space="preserve">members. The likelihood they would take on a broader role of assessing qualifications in the absence of regulatory requirements </w:t>
      </w:r>
      <w:r w:rsidR="00D6135D">
        <w:t xml:space="preserve">for a </w:t>
      </w:r>
      <w:r w:rsidRPr="00160290">
        <w:t xml:space="preserve">qualification and experience is unknown and the </w:t>
      </w:r>
      <w:r w:rsidR="00BE6DEA" w:rsidRPr="00160290">
        <w:t>department</w:t>
      </w:r>
      <w:r w:rsidRPr="00160290">
        <w:t xml:space="preserve"> has assumed it will not occur in this base case. The </w:t>
      </w:r>
      <w:r w:rsidR="00BE6DEA" w:rsidRPr="00160290">
        <w:t>department</w:t>
      </w:r>
      <w:r w:rsidRPr="00160290">
        <w:t xml:space="preserve"> notes however that associations in various sectors do use other means to signal the quality of their members.</w:t>
      </w:r>
    </w:p>
    <w:p w:rsidR="003A7FBC" w:rsidRPr="00160290" w:rsidRDefault="003A7FBC" w:rsidP="00D6050F">
      <w:r w:rsidRPr="00160290">
        <w:t xml:space="preserve">The core analysis in this </w:t>
      </w:r>
      <w:r w:rsidR="006461A8" w:rsidRPr="00160290">
        <w:t>chapter</w:t>
      </w:r>
      <w:r w:rsidRPr="00160290">
        <w:t xml:space="preserve"> addresses Option 1, which assumes the current </w:t>
      </w:r>
      <w:r w:rsidR="00D6135D">
        <w:t>R</w:t>
      </w:r>
      <w:r w:rsidRPr="00160290">
        <w:t xml:space="preserve">egulation </w:t>
      </w:r>
      <w:r w:rsidR="00D6135D">
        <w:t xml:space="preserve">about </w:t>
      </w:r>
      <w:r w:rsidRPr="00160290">
        <w:t xml:space="preserve">qualifications and experience will be remade in </w:t>
      </w:r>
      <w:r w:rsidR="00D6135D">
        <w:t xml:space="preserve">its </w:t>
      </w:r>
      <w:r w:rsidRPr="00160290">
        <w:t>current form, and would allow for updating of prescribed qualifications to reflect the current courses available.</w:t>
      </w:r>
    </w:p>
    <w:p w:rsidR="00F71F1A" w:rsidRDefault="003A7FBC" w:rsidP="008D3250">
      <w:pPr>
        <w:pStyle w:val="Heading6"/>
      </w:pPr>
      <w:r w:rsidRPr="00D6135D">
        <w:t>Costs</w:t>
      </w:r>
    </w:p>
    <w:p w:rsidR="003A7FBC" w:rsidRPr="00160290" w:rsidRDefault="00D6050F" w:rsidP="00D6050F">
      <w:r w:rsidRPr="00160290">
        <w:t xml:space="preserve">Table </w:t>
      </w:r>
      <w:r w:rsidR="007C1EF0">
        <w:t>2</w:t>
      </w:r>
      <w:r w:rsidRPr="00160290">
        <w:t xml:space="preserve"> </w:t>
      </w:r>
      <w:r w:rsidR="00D6135D">
        <w:t>shows the regulatory costs of Option 1</w:t>
      </w:r>
      <w:r w:rsidRPr="00160290">
        <w:t>.</w:t>
      </w:r>
      <w:r w:rsidR="003A7FBC" w:rsidRPr="00160290">
        <w:t xml:space="preserve">The cost in the table for the qualification and experience requirements is not the total cost of meeting these requirements, but the </w:t>
      </w:r>
      <w:r w:rsidR="00D3125B" w:rsidRPr="00D3125B">
        <w:t>incremental</w:t>
      </w:r>
      <w:r w:rsidR="003A7FBC" w:rsidRPr="00160290">
        <w:t xml:space="preserve"> cost that occurs beyond what would occur in the base case. As noted above, in the absence of current </w:t>
      </w:r>
      <w:r w:rsidR="000E2924">
        <w:t>reg</w:t>
      </w:r>
      <w:r w:rsidR="003A7FBC" w:rsidRPr="00160290">
        <w:t xml:space="preserve">1503, there would be reasons (from both a registration perspective as well as basic knowledge to undertake work) for practitioners to undertake formal training and work experience. Discussions with a sample of practitioners indicated that in the absence of these qualifications being prescribed </w:t>
      </w:r>
      <w:r w:rsidR="00D6135D">
        <w:t xml:space="preserve">about </w:t>
      </w:r>
      <w:r w:rsidR="003A7FBC" w:rsidRPr="00160290">
        <w:t>75% of practitioners would have the relevant qualifications and 80% of practitioners would have the relevant experience when they begin providing services, as a means of preparing themselves to operate as building practitioner</w:t>
      </w:r>
      <w:r w:rsidR="00D6135D">
        <w:t>s</w:t>
      </w:r>
      <w:r w:rsidR="003A7FBC" w:rsidRPr="00160290">
        <w:t>. Th</w:t>
      </w:r>
      <w:r w:rsidR="00D6135D">
        <w:t>is</w:t>
      </w:r>
      <w:r w:rsidR="003A7FBC" w:rsidRPr="00160290">
        <w:t xml:space="preserve"> ha</w:t>
      </w:r>
      <w:r w:rsidR="00D6135D">
        <w:t>s</w:t>
      </w:r>
      <w:r w:rsidR="003A7FBC" w:rsidRPr="00160290">
        <w:t xml:space="preserve"> been reflected in the modelling assumptions, noting that the </w:t>
      </w:r>
      <w:r w:rsidR="00160290" w:rsidRPr="00160290">
        <w:t>RIS</w:t>
      </w:r>
      <w:r w:rsidR="003A7FBC" w:rsidRPr="00160290">
        <w:t xml:space="preserve"> is available for wider comment on these assumptions.</w:t>
      </w:r>
    </w:p>
    <w:p w:rsidR="003A7FBC" w:rsidRPr="00160290" w:rsidRDefault="003A7FBC" w:rsidP="00D6050F">
      <w:r w:rsidRPr="00160290">
        <w:t xml:space="preserve">The total costs, </w:t>
      </w:r>
      <w:r w:rsidR="00D6135D">
        <w:t xml:space="preserve">of about </w:t>
      </w:r>
      <w:r w:rsidRPr="00160290">
        <w:t xml:space="preserve">$27 million </w:t>
      </w:r>
      <w:r w:rsidR="00D6135D">
        <w:t>a year</w:t>
      </w:r>
      <w:r w:rsidRPr="00160290">
        <w:t xml:space="preserve">, represent </w:t>
      </w:r>
      <w:r w:rsidR="00D6135D">
        <w:t xml:space="preserve">about </w:t>
      </w:r>
      <w:r w:rsidRPr="00160290">
        <w:t xml:space="preserve">0.08% of the value of works completed under building permits issued in </w:t>
      </w:r>
      <w:r w:rsidR="002129C8" w:rsidRPr="00160290">
        <w:t>2015–16</w:t>
      </w:r>
      <w:r w:rsidRPr="00160290">
        <w:t>.</w:t>
      </w:r>
    </w:p>
    <w:p w:rsidR="003A7FBC" w:rsidRPr="00160290" w:rsidRDefault="003A7FBC" w:rsidP="00891FAB">
      <w:pPr>
        <w:sectPr w:rsidR="003A7FBC" w:rsidRPr="00160290" w:rsidSect="004028EE">
          <w:headerReference w:type="default" r:id="rId30"/>
          <w:footerReference w:type="default" r:id="rId31"/>
          <w:pgSz w:w="11900" w:h="16840"/>
          <w:pgMar w:top="992" w:right="1559" w:bottom="709" w:left="1797" w:header="708" w:footer="271" w:gutter="0"/>
          <w:cols w:space="708"/>
          <w:docGrid w:linePitch="272"/>
        </w:sectPr>
      </w:pPr>
      <w:r w:rsidRPr="00160290">
        <w:t>Requiring applicants to have competed a qualification or otherwise satisfy their qualification through an alternative pathway is a barrier to entry (</w:t>
      </w:r>
      <w:r w:rsidR="0075733B">
        <w:t>compared</w:t>
      </w:r>
      <w:r w:rsidR="0075733B" w:rsidRPr="00160290">
        <w:t xml:space="preserve"> </w:t>
      </w:r>
      <w:r w:rsidRPr="00160290">
        <w:t xml:space="preserve">to having no requirements for registration) and as such will </w:t>
      </w:r>
      <w:r w:rsidR="00D6135D">
        <w:t>affect</w:t>
      </w:r>
      <w:r w:rsidR="00D6135D" w:rsidRPr="00160290">
        <w:t xml:space="preserve"> </w:t>
      </w:r>
      <w:r w:rsidRPr="00160290">
        <w:t>competition. Compared to the base case, the qualification and experience requirements will result in fewer building practitioners than would otherwise be the case, collectively producing less output than in the base case. It is this reduction in output (economic production) that is the real economic cost of reducing competition. However, quantifying this competition effect is difficult for this sector.</w:t>
      </w:r>
    </w:p>
    <w:p w:rsidR="003A7FBC" w:rsidRPr="00160290" w:rsidRDefault="003A7FBC" w:rsidP="00031DCC">
      <w:pPr>
        <w:pStyle w:val="Caption"/>
      </w:pPr>
      <w:bookmarkStart w:id="42" w:name="_Toc481473110"/>
      <w:r w:rsidRPr="00160290">
        <w:lastRenderedPageBreak/>
        <w:t xml:space="preserve">Table </w:t>
      </w:r>
      <w:r w:rsidR="008A39F6">
        <w:t>2</w:t>
      </w:r>
      <w:r w:rsidRPr="00160290">
        <w:t>: Regulatory costs of Option 1</w:t>
      </w:r>
      <w:bookmarkEnd w:id="42"/>
    </w:p>
    <w:tbl>
      <w:tblPr>
        <w:tblStyle w:val="TableGrid"/>
        <w:tblW w:w="14884" w:type="dxa"/>
        <w:tblInd w:w="-459" w:type="dxa"/>
        <w:tblLook w:val="04A0" w:firstRow="1" w:lastRow="0" w:firstColumn="1" w:lastColumn="0" w:noHBand="0" w:noVBand="1"/>
      </w:tblPr>
      <w:tblGrid>
        <w:gridCol w:w="1548"/>
        <w:gridCol w:w="4122"/>
        <w:gridCol w:w="7360"/>
        <w:gridCol w:w="1854"/>
      </w:tblGrid>
      <w:tr w:rsidR="003A7FBC" w:rsidRPr="00F6402F" w:rsidTr="00A16FC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48" w:type="dxa"/>
            <w:shd w:val="clear" w:color="auto" w:fill="00B2A9" w:themeFill="accent1"/>
          </w:tcPr>
          <w:p w:rsidR="003A7FBC" w:rsidRPr="00011DF3" w:rsidRDefault="00FC6221" w:rsidP="00414B82">
            <w:pPr>
              <w:pStyle w:val="Tablecolumnhead"/>
              <w:spacing w:before="80" w:after="80"/>
              <w:ind w:left="0" w:right="0"/>
              <w:rPr>
                <w:sz w:val="18"/>
                <w:szCs w:val="18"/>
              </w:rPr>
            </w:pPr>
            <w:r w:rsidRPr="00011DF3">
              <w:rPr>
                <w:sz w:val="18"/>
                <w:szCs w:val="18"/>
              </w:rPr>
              <w:t>Type of cost</w:t>
            </w:r>
          </w:p>
        </w:tc>
        <w:tc>
          <w:tcPr>
            <w:tcW w:w="4122" w:type="dxa"/>
            <w:shd w:val="clear" w:color="auto" w:fill="00B2A9" w:themeFill="accent1"/>
          </w:tcPr>
          <w:p w:rsidR="003A7FBC" w:rsidRPr="00011DF3" w:rsidRDefault="00FC6221" w:rsidP="00414B82">
            <w:pPr>
              <w:pStyle w:val="Tablecolumnhead"/>
              <w:spacing w:before="80" w:after="80"/>
              <w:ind w:left="0" w:right="0"/>
              <w:cnfStyle w:val="100000000000" w:firstRow="1" w:lastRow="0" w:firstColumn="0" w:lastColumn="0" w:oddVBand="0" w:evenVBand="0" w:oddHBand="0" w:evenHBand="0" w:firstRowFirstColumn="0" w:firstRowLastColumn="0" w:lastRowFirstColumn="0" w:lastRowLastColumn="0"/>
              <w:rPr>
                <w:sz w:val="18"/>
                <w:szCs w:val="18"/>
              </w:rPr>
            </w:pPr>
            <w:r w:rsidRPr="00011DF3">
              <w:rPr>
                <w:sz w:val="18"/>
                <w:szCs w:val="18"/>
              </w:rPr>
              <w:t>Description of burden</w:t>
            </w:r>
          </w:p>
        </w:tc>
        <w:tc>
          <w:tcPr>
            <w:tcW w:w="7360" w:type="dxa"/>
            <w:shd w:val="clear" w:color="auto" w:fill="00B2A9" w:themeFill="accent1"/>
          </w:tcPr>
          <w:p w:rsidR="003A7FBC" w:rsidRPr="00011DF3" w:rsidRDefault="00FC6221" w:rsidP="00414B82">
            <w:pPr>
              <w:pStyle w:val="Tablecolumnhead"/>
              <w:spacing w:before="80" w:after="80"/>
              <w:ind w:left="0" w:right="0"/>
              <w:cnfStyle w:val="100000000000" w:firstRow="1" w:lastRow="0" w:firstColumn="0" w:lastColumn="0" w:oddVBand="0" w:evenVBand="0" w:oddHBand="0" w:evenHBand="0" w:firstRowFirstColumn="0" w:firstRowLastColumn="0" w:lastRowFirstColumn="0" w:lastRowLastColumn="0"/>
              <w:rPr>
                <w:sz w:val="18"/>
                <w:szCs w:val="18"/>
              </w:rPr>
            </w:pPr>
            <w:r w:rsidRPr="00011DF3">
              <w:rPr>
                <w:sz w:val="18"/>
                <w:szCs w:val="18"/>
              </w:rPr>
              <w:t>Measurement of burden</w:t>
            </w:r>
          </w:p>
        </w:tc>
        <w:tc>
          <w:tcPr>
            <w:tcW w:w="1854" w:type="dxa"/>
            <w:shd w:val="clear" w:color="auto" w:fill="00B2A9" w:themeFill="accent1"/>
          </w:tcPr>
          <w:p w:rsidR="003A7FBC" w:rsidRPr="00011DF3" w:rsidRDefault="00FC6221" w:rsidP="00414B82">
            <w:pPr>
              <w:pStyle w:val="Tablecolumnhead"/>
              <w:spacing w:before="80" w:after="80"/>
              <w:ind w:left="0" w:right="0"/>
              <w:cnfStyle w:val="100000000000" w:firstRow="1" w:lastRow="0" w:firstColumn="0" w:lastColumn="0" w:oddVBand="0" w:evenVBand="0" w:oddHBand="0" w:evenHBand="0" w:firstRowFirstColumn="0" w:firstRowLastColumn="0" w:lastRowFirstColumn="0" w:lastRowLastColumn="0"/>
              <w:rPr>
                <w:sz w:val="18"/>
                <w:szCs w:val="18"/>
              </w:rPr>
            </w:pPr>
            <w:r w:rsidRPr="00011DF3">
              <w:rPr>
                <w:sz w:val="18"/>
                <w:szCs w:val="18"/>
              </w:rPr>
              <w:t>Total cost</w:t>
            </w:r>
          </w:p>
        </w:tc>
      </w:tr>
      <w:tr w:rsidR="003A7FBC" w:rsidRPr="00F6402F" w:rsidTr="00A16FCE">
        <w:tc>
          <w:tcPr>
            <w:tcW w:w="1548" w:type="dxa"/>
          </w:tcPr>
          <w:p w:rsidR="003A7FBC" w:rsidRPr="00011DF3" w:rsidRDefault="00D3125B" w:rsidP="00031DCC">
            <w:pPr>
              <w:pStyle w:val="Tabletext"/>
              <w:ind w:left="0" w:right="0"/>
              <w:rPr>
                <w:szCs w:val="18"/>
                <w:lang w:val="en-AU"/>
              </w:rPr>
            </w:pPr>
            <w:r w:rsidRPr="00F6402F">
              <w:rPr>
                <w:szCs w:val="18"/>
                <w:lang w:val="en-AU"/>
              </w:rPr>
              <w:t xml:space="preserve">Administrative cost </w:t>
            </w:r>
          </w:p>
        </w:tc>
        <w:tc>
          <w:tcPr>
            <w:tcW w:w="4122" w:type="dxa"/>
          </w:tcPr>
          <w:p w:rsidR="003A7FBC" w:rsidRPr="00011DF3" w:rsidRDefault="00D3125B" w:rsidP="00031DCC">
            <w:pPr>
              <w:pStyle w:val="Tabletext"/>
              <w:ind w:left="0" w:right="0"/>
              <w:rPr>
                <w:szCs w:val="18"/>
                <w:lang w:val="en-AU"/>
              </w:rPr>
            </w:pPr>
            <w:r w:rsidRPr="00F6402F">
              <w:rPr>
                <w:szCs w:val="18"/>
                <w:lang w:val="en-AU"/>
              </w:rPr>
              <w:t>New applicants would need to provide information about their qualifications and experience in their ap</w:t>
            </w:r>
            <w:r w:rsidR="00FC6221" w:rsidRPr="00FC6221">
              <w:rPr>
                <w:szCs w:val="18"/>
                <w:lang w:val="en-AU"/>
              </w:rPr>
              <w:t xml:space="preserve">plication. In practice, </w:t>
            </w:r>
            <w:r w:rsidR="00FC6221" w:rsidRPr="00F57EAA">
              <w:rPr>
                <w:szCs w:val="18"/>
                <w:lang w:val="en-AU"/>
              </w:rPr>
              <w:t>VBA requires copies of transcripts and written references.</w:t>
            </w:r>
          </w:p>
        </w:tc>
        <w:tc>
          <w:tcPr>
            <w:tcW w:w="7360" w:type="dxa"/>
          </w:tcPr>
          <w:p w:rsidR="003A7FBC" w:rsidRPr="00011DF3" w:rsidRDefault="00D3125B" w:rsidP="00031DCC">
            <w:pPr>
              <w:pStyle w:val="Tabletext"/>
              <w:ind w:left="0" w:right="0"/>
              <w:rPr>
                <w:szCs w:val="18"/>
                <w:lang w:val="en-AU"/>
              </w:rPr>
            </w:pPr>
            <w:r w:rsidRPr="00F6402F">
              <w:rPr>
                <w:szCs w:val="18"/>
                <w:lang w:val="en-AU"/>
              </w:rPr>
              <w:t>Additional time to note qualifications and experience is assumed to be negligible.</w:t>
            </w:r>
          </w:p>
          <w:p w:rsidR="003A7FBC" w:rsidRPr="00011DF3" w:rsidRDefault="00D3125B" w:rsidP="00031DCC">
            <w:pPr>
              <w:pStyle w:val="Tabletext"/>
              <w:ind w:left="0" w:right="0"/>
              <w:rPr>
                <w:szCs w:val="18"/>
                <w:lang w:val="en-AU"/>
              </w:rPr>
            </w:pPr>
            <w:r w:rsidRPr="00F6402F">
              <w:rPr>
                <w:szCs w:val="18"/>
                <w:lang w:val="en-AU"/>
              </w:rPr>
              <w:t xml:space="preserve">The time required to obtain copies of the relevant documents is estimated to </w:t>
            </w:r>
            <w:r w:rsidR="00FC6221" w:rsidRPr="00FC6221">
              <w:rPr>
                <w:szCs w:val="18"/>
                <w:lang w:val="en-AU"/>
              </w:rPr>
              <w:t>be one hour per applicant. Valuing an applicant’s time at $37.36 per hour</w:t>
            </w:r>
            <w:r w:rsidR="00561486">
              <w:rPr>
                <w:szCs w:val="18"/>
                <w:lang w:val="en-AU"/>
              </w:rPr>
              <w:t>,</w:t>
            </w:r>
            <w:r w:rsidR="00FC6221" w:rsidRPr="00F57EAA">
              <w:rPr>
                <w:szCs w:val="18"/>
                <w:vertAlign w:val="superscript"/>
                <w:lang w:val="en-AU"/>
              </w:rPr>
              <w:footnoteReference w:id="26"/>
            </w:r>
            <w:r w:rsidR="00FC6221" w:rsidRPr="00F57EAA">
              <w:rPr>
                <w:szCs w:val="18"/>
                <w:lang w:val="en-AU"/>
              </w:rPr>
              <w:t xml:space="preserve"> t</w:t>
            </w:r>
            <w:r w:rsidRPr="00F6402F">
              <w:rPr>
                <w:szCs w:val="18"/>
                <w:lang w:val="en-AU"/>
              </w:rPr>
              <w:t xml:space="preserve">his adds a total $37.36 per application. </w:t>
            </w:r>
            <w:r w:rsidR="00FC6221" w:rsidRPr="00FC6221">
              <w:rPr>
                <w:szCs w:val="18"/>
                <w:lang w:val="en-AU"/>
              </w:rPr>
              <w:t xml:space="preserve">about </w:t>
            </w:r>
            <w:r w:rsidRPr="00F6402F">
              <w:rPr>
                <w:szCs w:val="18"/>
                <w:lang w:val="en-AU"/>
              </w:rPr>
              <w:t xml:space="preserve">700 new applications for registration are received each year, giving a total administrative cost of $26,152 </w:t>
            </w:r>
            <w:r w:rsidR="00FC6221" w:rsidRPr="00FC6221">
              <w:rPr>
                <w:szCs w:val="18"/>
                <w:lang w:val="en-AU"/>
              </w:rPr>
              <w:t>a year</w:t>
            </w:r>
            <w:r w:rsidRPr="00F6402F">
              <w:rPr>
                <w:szCs w:val="18"/>
                <w:lang w:val="en-AU"/>
              </w:rPr>
              <w:t>.</w:t>
            </w:r>
          </w:p>
          <w:p w:rsidR="003A7FBC" w:rsidRPr="00011DF3" w:rsidRDefault="00D3125B" w:rsidP="006B38DF">
            <w:pPr>
              <w:pStyle w:val="Tabletext"/>
              <w:ind w:left="0" w:right="0"/>
              <w:rPr>
                <w:rFonts w:cstheme="minorHAnsi"/>
                <w:szCs w:val="18"/>
                <w:lang w:val="en-AU"/>
              </w:rPr>
            </w:pPr>
            <w:r w:rsidRPr="00F6402F">
              <w:rPr>
                <w:szCs w:val="18"/>
                <w:lang w:val="en-AU"/>
              </w:rPr>
              <w:t>These costs assu</w:t>
            </w:r>
            <w:r w:rsidR="00FC6221" w:rsidRPr="00FC6221">
              <w:rPr>
                <w:szCs w:val="18"/>
                <w:lang w:val="en-AU"/>
              </w:rPr>
              <w:t xml:space="preserve">me that in the absence of Regulations about qualifications </w:t>
            </w:r>
            <w:r w:rsidR="00FC6221" w:rsidRPr="00F57EAA">
              <w:rPr>
                <w:szCs w:val="18"/>
                <w:lang w:val="en-AU"/>
              </w:rPr>
              <w:t xml:space="preserve">VBA would not need to obtain evidence of qualifications. However, as noted above, </w:t>
            </w:r>
            <w:r w:rsidR="00FC6221" w:rsidRPr="00723878">
              <w:rPr>
                <w:szCs w:val="18"/>
              </w:rPr>
              <w:t>VBA</w:t>
            </w:r>
            <w:r w:rsidR="00FC6221" w:rsidRPr="00723878">
              <w:rPr>
                <w:szCs w:val="18"/>
                <w:lang w:val="en-AU"/>
              </w:rPr>
              <w:t xml:space="preserve"> could still decide to obtain information about an applicant’s qualifications to determine if they are otherwise suitable for registration, which would reduce th</w:t>
            </w:r>
            <w:r w:rsidR="00FC6221" w:rsidRPr="00BC1922">
              <w:rPr>
                <w:szCs w:val="18"/>
                <w:lang w:val="en-AU"/>
              </w:rPr>
              <w:t>e incremental nature of this cost item for this option. It has been included here for transparency, and the department notes it is a very small component of the overall scale of costs of this option.</w:t>
            </w:r>
          </w:p>
        </w:tc>
        <w:tc>
          <w:tcPr>
            <w:tcW w:w="1854" w:type="dxa"/>
          </w:tcPr>
          <w:p w:rsidR="003A7FBC" w:rsidRPr="00011DF3" w:rsidRDefault="00D3125B" w:rsidP="00031DCC">
            <w:pPr>
              <w:pStyle w:val="Tabletext"/>
              <w:ind w:left="0" w:right="0"/>
              <w:rPr>
                <w:szCs w:val="18"/>
                <w:lang w:val="en-AU"/>
              </w:rPr>
            </w:pPr>
            <w:r w:rsidRPr="00F6402F">
              <w:rPr>
                <w:szCs w:val="18"/>
                <w:lang w:val="en-AU"/>
              </w:rPr>
              <w:t xml:space="preserve">$26,152 </w:t>
            </w:r>
            <w:r w:rsidR="00FC6221" w:rsidRPr="00FC6221">
              <w:rPr>
                <w:szCs w:val="18"/>
                <w:lang w:val="en-AU"/>
              </w:rPr>
              <w:t>a year</w:t>
            </w:r>
          </w:p>
          <w:p w:rsidR="003A7FBC" w:rsidRPr="00011DF3" w:rsidRDefault="003A7FBC" w:rsidP="00031DCC">
            <w:pPr>
              <w:pStyle w:val="Tabletext"/>
              <w:ind w:left="0" w:right="0"/>
              <w:rPr>
                <w:rFonts w:cstheme="minorHAnsi"/>
                <w:szCs w:val="18"/>
                <w:lang w:val="en-AU"/>
              </w:rPr>
            </w:pPr>
          </w:p>
          <w:p w:rsidR="003A7FBC" w:rsidRPr="00011DF3" w:rsidRDefault="003A7FBC" w:rsidP="00031DCC">
            <w:pPr>
              <w:pStyle w:val="Tabletext"/>
              <w:ind w:left="0" w:right="0"/>
              <w:rPr>
                <w:rFonts w:cstheme="minorHAnsi"/>
                <w:szCs w:val="18"/>
                <w:lang w:val="en-AU"/>
              </w:rPr>
            </w:pPr>
          </w:p>
        </w:tc>
      </w:tr>
      <w:tr w:rsidR="003A7FBC" w:rsidRPr="00F6402F" w:rsidTr="00A16FCE">
        <w:tc>
          <w:tcPr>
            <w:tcW w:w="1548" w:type="dxa"/>
          </w:tcPr>
          <w:p w:rsidR="003A7FBC" w:rsidRPr="00011DF3" w:rsidRDefault="00D3125B" w:rsidP="00031DCC">
            <w:pPr>
              <w:pStyle w:val="Tabletext"/>
              <w:ind w:left="0" w:right="0"/>
              <w:rPr>
                <w:szCs w:val="18"/>
                <w:lang w:val="en-AU"/>
              </w:rPr>
            </w:pPr>
            <w:r w:rsidRPr="00F6402F">
              <w:rPr>
                <w:szCs w:val="18"/>
                <w:lang w:val="en-AU"/>
              </w:rPr>
              <w:t>Administrative cost</w:t>
            </w:r>
          </w:p>
        </w:tc>
        <w:tc>
          <w:tcPr>
            <w:tcW w:w="4122" w:type="dxa"/>
          </w:tcPr>
          <w:p w:rsidR="003A7FBC" w:rsidRPr="00011DF3" w:rsidRDefault="00D3125B" w:rsidP="00703FD9">
            <w:pPr>
              <w:pStyle w:val="Tabletext"/>
              <w:ind w:left="0" w:right="0"/>
              <w:rPr>
                <w:szCs w:val="18"/>
                <w:lang w:val="en-AU"/>
              </w:rPr>
            </w:pPr>
            <w:r w:rsidRPr="00F6402F">
              <w:rPr>
                <w:szCs w:val="18"/>
                <w:lang w:val="en-AU"/>
              </w:rPr>
              <w:t>Most applicants are required to attend testing and interviews. This is to test the practical application of their knowledge.</w:t>
            </w:r>
          </w:p>
        </w:tc>
        <w:tc>
          <w:tcPr>
            <w:tcW w:w="7360" w:type="dxa"/>
          </w:tcPr>
          <w:p w:rsidR="003A7FBC" w:rsidRPr="00011DF3" w:rsidRDefault="00D3125B" w:rsidP="00031DCC">
            <w:pPr>
              <w:pStyle w:val="Tabletext"/>
              <w:ind w:left="0" w:right="0"/>
              <w:rPr>
                <w:szCs w:val="18"/>
                <w:lang w:val="en-AU"/>
              </w:rPr>
            </w:pPr>
            <w:r w:rsidRPr="00F6402F">
              <w:rPr>
                <w:szCs w:val="18"/>
                <w:lang w:val="en-AU"/>
              </w:rPr>
              <w:t xml:space="preserve">Online testing takes </w:t>
            </w:r>
            <w:r w:rsidR="00FC6221" w:rsidRPr="00FC6221">
              <w:rPr>
                <w:szCs w:val="18"/>
                <w:lang w:val="en-AU"/>
              </w:rPr>
              <w:t>about</w:t>
            </w:r>
            <w:r w:rsidRPr="00F6402F">
              <w:rPr>
                <w:szCs w:val="18"/>
                <w:lang w:val="en-AU"/>
              </w:rPr>
              <w:t xml:space="preserve"> 1.5 hours per applicant. The time value ($37.36</w:t>
            </w:r>
            <w:r w:rsidR="00FC6221" w:rsidRPr="00FC6221">
              <w:rPr>
                <w:szCs w:val="18"/>
                <w:lang w:val="en-AU"/>
              </w:rPr>
              <w:t xml:space="preserve"> per hour) provides $56.04 per applicant.</w:t>
            </w:r>
          </w:p>
          <w:p w:rsidR="003A7FBC" w:rsidRPr="00011DF3" w:rsidRDefault="00D3125B" w:rsidP="00031DCC">
            <w:pPr>
              <w:pStyle w:val="Tabletext"/>
              <w:ind w:left="0" w:right="0"/>
              <w:rPr>
                <w:szCs w:val="18"/>
                <w:lang w:val="en-AU"/>
              </w:rPr>
            </w:pPr>
            <w:r w:rsidRPr="00F6402F">
              <w:rPr>
                <w:szCs w:val="18"/>
              </w:rPr>
              <w:t xml:space="preserve">Attendance at interviews may take up to </w:t>
            </w:r>
            <w:r w:rsidR="00FC6221" w:rsidRPr="00FC6221">
              <w:rPr>
                <w:szCs w:val="18"/>
                <w:lang w:val="en-AU"/>
              </w:rPr>
              <w:t xml:space="preserve">three </w:t>
            </w:r>
            <w:r w:rsidRPr="00F6402F">
              <w:rPr>
                <w:szCs w:val="18"/>
              </w:rPr>
              <w:t>hours</w:t>
            </w:r>
            <w:r w:rsidR="00FC6221" w:rsidRPr="00FC6221">
              <w:rPr>
                <w:szCs w:val="18"/>
                <w:lang w:val="en-AU"/>
              </w:rPr>
              <w:t xml:space="preserve"> but </w:t>
            </w:r>
            <w:r w:rsidRPr="00F6402F">
              <w:rPr>
                <w:szCs w:val="18"/>
              </w:rPr>
              <w:t xml:space="preserve">not all applicants are required to attend an interview. Averaged over all applicants, </w:t>
            </w:r>
            <w:r w:rsidR="00FC6221" w:rsidRPr="00FC6221">
              <w:rPr>
                <w:szCs w:val="18"/>
                <w:lang w:val="en-AU"/>
              </w:rPr>
              <w:t xml:space="preserve">at one </w:t>
            </w:r>
            <w:r w:rsidRPr="00F6402F">
              <w:rPr>
                <w:szCs w:val="18"/>
              </w:rPr>
              <w:t xml:space="preserve">hour per applicant, </w:t>
            </w:r>
            <w:r w:rsidR="00FC6221" w:rsidRPr="00FC6221">
              <w:rPr>
                <w:szCs w:val="18"/>
                <w:lang w:val="en-AU"/>
              </w:rPr>
              <w:t xml:space="preserve">the </w:t>
            </w:r>
            <w:r w:rsidR="00FC6221" w:rsidRPr="00F57EAA">
              <w:rPr>
                <w:szCs w:val="18"/>
                <w:lang w:val="en-AU"/>
              </w:rPr>
              <w:t xml:space="preserve">estimated </w:t>
            </w:r>
            <w:r w:rsidRPr="00F6402F">
              <w:rPr>
                <w:szCs w:val="18"/>
              </w:rPr>
              <w:t xml:space="preserve">time cost </w:t>
            </w:r>
            <w:r w:rsidR="00FC6221" w:rsidRPr="00FC6221">
              <w:rPr>
                <w:szCs w:val="18"/>
                <w:lang w:val="en-AU"/>
              </w:rPr>
              <w:t xml:space="preserve">is </w:t>
            </w:r>
            <w:r w:rsidRPr="00F6402F">
              <w:rPr>
                <w:szCs w:val="18"/>
              </w:rPr>
              <w:t>$37.36 per applican</w:t>
            </w:r>
            <w:r w:rsidR="00FC6221" w:rsidRPr="00FC6221">
              <w:rPr>
                <w:szCs w:val="18"/>
              </w:rPr>
              <w:t>t.</w:t>
            </w:r>
            <w:r w:rsidR="00FC6221" w:rsidRPr="00F57EAA">
              <w:rPr>
                <w:szCs w:val="18"/>
                <w:lang w:val="en-AU"/>
              </w:rPr>
              <w:t xml:space="preserve"> </w:t>
            </w:r>
            <w:r w:rsidRPr="00F6402F">
              <w:rPr>
                <w:szCs w:val="18"/>
                <w:lang w:val="en-AU"/>
              </w:rPr>
              <w:t xml:space="preserve">This gives a total cost of $65,380 </w:t>
            </w:r>
            <w:r w:rsidR="00FC6221" w:rsidRPr="00FC6221">
              <w:rPr>
                <w:szCs w:val="18"/>
                <w:lang w:val="en-AU"/>
              </w:rPr>
              <w:t>a year</w:t>
            </w:r>
            <w:r w:rsidRPr="00F6402F">
              <w:rPr>
                <w:szCs w:val="18"/>
                <w:lang w:val="en-AU"/>
              </w:rPr>
              <w:t>.</w:t>
            </w:r>
          </w:p>
          <w:p w:rsidR="003A7FBC" w:rsidRPr="00011DF3" w:rsidRDefault="00D3125B" w:rsidP="006B38DF">
            <w:pPr>
              <w:pStyle w:val="Tabletext"/>
              <w:ind w:left="0" w:right="0"/>
              <w:rPr>
                <w:rFonts w:cstheme="minorHAnsi"/>
                <w:szCs w:val="18"/>
                <w:lang w:val="en-AU"/>
              </w:rPr>
            </w:pPr>
            <w:r w:rsidRPr="00F6402F">
              <w:rPr>
                <w:szCs w:val="18"/>
                <w:lang w:val="en-AU"/>
              </w:rPr>
              <w:t xml:space="preserve">These costs assume that in the absence of Regulations about experience </w:t>
            </w:r>
            <w:r w:rsidR="00FC6221" w:rsidRPr="00F57EAA">
              <w:rPr>
                <w:szCs w:val="18"/>
                <w:lang w:val="en-AU"/>
              </w:rPr>
              <w:t>VBA would not need to obtain evidence of experience. However, as noted above, VBA could still decide to obtain information about an applicant’s knowledge and e</w:t>
            </w:r>
            <w:r w:rsidR="00FC6221" w:rsidRPr="00723878">
              <w:rPr>
                <w:szCs w:val="18"/>
                <w:lang w:val="en-AU"/>
              </w:rPr>
              <w:t xml:space="preserve">xperience to determine if they are otherwise suitable for registration (that is, fit to practise), which would reduce the incremental nature of this cost item for this option. It is </w:t>
            </w:r>
            <w:r w:rsidRPr="00F6402F">
              <w:rPr>
                <w:szCs w:val="18"/>
                <w:lang w:val="en-AU"/>
              </w:rPr>
              <w:t>included here for transparen</w:t>
            </w:r>
            <w:r w:rsidR="00FC6221" w:rsidRPr="00FC6221">
              <w:rPr>
                <w:szCs w:val="18"/>
                <w:lang w:val="en-AU"/>
              </w:rPr>
              <w:t xml:space="preserve">cy, and the </w:t>
            </w:r>
            <w:r w:rsidRPr="00F6402F">
              <w:rPr>
                <w:szCs w:val="18"/>
                <w:lang w:val="en-AU"/>
              </w:rPr>
              <w:t>department notes it is a very small component of the overall scale of costs of this option.</w:t>
            </w:r>
          </w:p>
        </w:tc>
        <w:tc>
          <w:tcPr>
            <w:tcW w:w="1854" w:type="dxa"/>
          </w:tcPr>
          <w:p w:rsidR="003A7FBC" w:rsidRPr="00011DF3" w:rsidRDefault="00D3125B" w:rsidP="00031DCC">
            <w:pPr>
              <w:pStyle w:val="Tabletext"/>
              <w:ind w:left="0" w:right="0"/>
              <w:rPr>
                <w:szCs w:val="18"/>
                <w:lang w:val="en-AU"/>
              </w:rPr>
            </w:pPr>
            <w:r w:rsidRPr="00F6402F">
              <w:rPr>
                <w:szCs w:val="18"/>
                <w:lang w:val="en-AU"/>
              </w:rPr>
              <w:t xml:space="preserve">$65,380 </w:t>
            </w:r>
            <w:r w:rsidR="00FC6221" w:rsidRPr="00FC6221">
              <w:rPr>
                <w:szCs w:val="18"/>
                <w:lang w:val="en-AU"/>
              </w:rPr>
              <w:t>a year</w:t>
            </w:r>
          </w:p>
          <w:p w:rsidR="003A7FBC" w:rsidRPr="00011DF3" w:rsidRDefault="003A7FBC" w:rsidP="00031DCC">
            <w:pPr>
              <w:pStyle w:val="Tabletext"/>
              <w:ind w:left="0" w:right="0"/>
              <w:rPr>
                <w:rFonts w:cstheme="minorHAnsi"/>
                <w:szCs w:val="18"/>
                <w:lang w:val="en-AU"/>
              </w:rPr>
            </w:pPr>
          </w:p>
          <w:p w:rsidR="003A7FBC" w:rsidRPr="00011DF3" w:rsidRDefault="003A7FBC" w:rsidP="00031DCC">
            <w:pPr>
              <w:pStyle w:val="Tabletext"/>
              <w:ind w:left="0" w:right="0"/>
              <w:rPr>
                <w:rFonts w:cstheme="minorHAnsi"/>
                <w:szCs w:val="18"/>
                <w:lang w:val="en-AU"/>
              </w:rPr>
            </w:pPr>
          </w:p>
        </w:tc>
      </w:tr>
      <w:tr w:rsidR="003A7FBC" w:rsidRPr="00F6402F" w:rsidTr="00A16FCE">
        <w:tc>
          <w:tcPr>
            <w:tcW w:w="1548" w:type="dxa"/>
          </w:tcPr>
          <w:p w:rsidR="003A7FBC" w:rsidRPr="00011DF3" w:rsidRDefault="00D3125B" w:rsidP="00031DCC">
            <w:pPr>
              <w:pStyle w:val="Tabletext"/>
              <w:ind w:left="0" w:right="0"/>
              <w:rPr>
                <w:szCs w:val="18"/>
                <w:lang w:val="en-AU"/>
              </w:rPr>
            </w:pPr>
            <w:r w:rsidRPr="00F6402F">
              <w:rPr>
                <w:szCs w:val="18"/>
                <w:lang w:val="en-AU"/>
              </w:rPr>
              <w:t>Substantive compliance cost</w:t>
            </w:r>
          </w:p>
        </w:tc>
        <w:tc>
          <w:tcPr>
            <w:tcW w:w="4122" w:type="dxa"/>
          </w:tcPr>
          <w:p w:rsidR="002129C8" w:rsidRPr="00011DF3" w:rsidRDefault="00D3125B" w:rsidP="00031DCC">
            <w:pPr>
              <w:pStyle w:val="Tabletext"/>
              <w:ind w:left="0" w:right="0"/>
              <w:rPr>
                <w:szCs w:val="18"/>
                <w:lang w:val="en-AU"/>
              </w:rPr>
            </w:pPr>
            <w:r w:rsidRPr="00F6402F">
              <w:rPr>
                <w:szCs w:val="18"/>
              </w:rPr>
              <w:t>Applicants are required to have the prescribed qualification listed in the Regulations. In most cases, the</w:t>
            </w:r>
            <w:r w:rsidR="00FC6221" w:rsidRPr="00FC6221">
              <w:rPr>
                <w:szCs w:val="18"/>
              </w:rPr>
              <w:t xml:space="preserve"> primary means to satisfying the qualification requirement is the completion of a qualification recognised under the Australian Qualifications Framework (such as a </w:t>
            </w:r>
            <w:r w:rsidR="00FC6221" w:rsidRPr="00F57EAA">
              <w:rPr>
                <w:szCs w:val="18"/>
                <w:lang w:val="en-AU"/>
              </w:rPr>
              <w:t>c</w:t>
            </w:r>
            <w:proofErr w:type="spellStart"/>
            <w:r w:rsidRPr="00F6402F">
              <w:rPr>
                <w:szCs w:val="18"/>
              </w:rPr>
              <w:t>ertificate</w:t>
            </w:r>
            <w:proofErr w:type="spellEnd"/>
            <w:r w:rsidRPr="00F6402F">
              <w:rPr>
                <w:szCs w:val="18"/>
              </w:rPr>
              <w:t xml:space="preserve">, </w:t>
            </w:r>
            <w:r w:rsidR="00FC6221" w:rsidRPr="00FC6221">
              <w:rPr>
                <w:szCs w:val="18"/>
                <w:lang w:val="en-AU"/>
              </w:rPr>
              <w:t>d</w:t>
            </w:r>
            <w:proofErr w:type="spellStart"/>
            <w:r w:rsidRPr="00F6402F">
              <w:rPr>
                <w:szCs w:val="18"/>
              </w:rPr>
              <w:t>iploma</w:t>
            </w:r>
            <w:proofErr w:type="spellEnd"/>
            <w:r w:rsidRPr="00F6402F">
              <w:rPr>
                <w:szCs w:val="18"/>
              </w:rPr>
              <w:t xml:space="preserve"> or degree), although the Act also provides for alternative pathways to </w:t>
            </w:r>
            <w:r w:rsidR="00FC6221" w:rsidRPr="00FC6221">
              <w:rPr>
                <w:szCs w:val="18"/>
              </w:rPr>
              <w:t>satisfy the qualification requirement.</w:t>
            </w:r>
          </w:p>
          <w:p w:rsidR="003A7FBC" w:rsidRPr="00011DF3" w:rsidRDefault="00D3125B" w:rsidP="006C108D">
            <w:pPr>
              <w:pStyle w:val="Tabletext"/>
              <w:ind w:left="0" w:right="0"/>
              <w:rPr>
                <w:szCs w:val="18"/>
                <w:lang w:val="en-AU"/>
              </w:rPr>
            </w:pPr>
            <w:r w:rsidRPr="00F6402F">
              <w:rPr>
                <w:szCs w:val="18"/>
                <w:lang w:val="en-AU"/>
              </w:rPr>
              <w:t xml:space="preserve">For those that obtain the relevant </w:t>
            </w:r>
            <w:r w:rsidR="00FC6221" w:rsidRPr="00FC6221">
              <w:rPr>
                <w:szCs w:val="18"/>
                <w:lang w:val="en-AU"/>
              </w:rPr>
              <w:t xml:space="preserve">Australian Qualifications Framework </w:t>
            </w:r>
            <w:r w:rsidR="00FC6221" w:rsidRPr="00F57EAA">
              <w:rPr>
                <w:szCs w:val="18"/>
                <w:lang w:val="en-AU"/>
              </w:rPr>
              <w:t xml:space="preserve">qualification, there is a cost of obtaining this qualification (tuition/course fees) as well as the time (opportunity cost) spent doing </w:t>
            </w:r>
            <w:r w:rsidRPr="00F6402F">
              <w:rPr>
                <w:szCs w:val="18"/>
                <w:lang w:val="en-AU"/>
              </w:rPr>
              <w:t>the co</w:t>
            </w:r>
            <w:r w:rsidR="00FC6221" w:rsidRPr="00FC6221">
              <w:rPr>
                <w:szCs w:val="18"/>
                <w:lang w:val="en-AU"/>
              </w:rPr>
              <w:t>urse.</w:t>
            </w:r>
          </w:p>
        </w:tc>
        <w:tc>
          <w:tcPr>
            <w:tcW w:w="7360" w:type="dxa"/>
          </w:tcPr>
          <w:p w:rsidR="003A7FBC" w:rsidRPr="00011DF3" w:rsidRDefault="00FC6221" w:rsidP="00031DCC">
            <w:pPr>
              <w:pStyle w:val="Tabletext"/>
              <w:ind w:left="0" w:right="0"/>
              <w:rPr>
                <w:szCs w:val="18"/>
                <w:lang w:val="en-AU"/>
              </w:rPr>
            </w:pPr>
            <w:r w:rsidRPr="00FC6221">
              <w:rPr>
                <w:szCs w:val="18"/>
                <w:lang w:val="en-AU"/>
              </w:rPr>
              <w:t>The c</w:t>
            </w:r>
            <w:r w:rsidR="00D3125B" w:rsidRPr="00F6402F">
              <w:rPr>
                <w:szCs w:val="18"/>
                <w:lang w:val="en-AU"/>
              </w:rPr>
              <w:t xml:space="preserve">ost </w:t>
            </w:r>
            <w:r w:rsidRPr="00FC6221">
              <w:rPr>
                <w:szCs w:val="18"/>
                <w:lang w:val="en-AU"/>
              </w:rPr>
              <w:t xml:space="preserve">to applicants </w:t>
            </w:r>
            <w:r w:rsidR="00D3125B" w:rsidRPr="00F6402F">
              <w:rPr>
                <w:szCs w:val="18"/>
                <w:lang w:val="en-AU"/>
              </w:rPr>
              <w:t xml:space="preserve">of </w:t>
            </w:r>
            <w:r w:rsidRPr="00FC6221">
              <w:rPr>
                <w:szCs w:val="18"/>
                <w:lang w:val="en-AU"/>
              </w:rPr>
              <w:t xml:space="preserve">doing a </w:t>
            </w:r>
            <w:r w:rsidR="00D3125B" w:rsidRPr="00F6402F">
              <w:rPr>
                <w:szCs w:val="18"/>
                <w:lang w:val="en-AU"/>
              </w:rPr>
              <w:t xml:space="preserve">qualification (or alternative pathway) is estimated </w:t>
            </w:r>
            <w:r w:rsidRPr="00FC6221">
              <w:rPr>
                <w:szCs w:val="18"/>
                <w:lang w:val="en-AU"/>
              </w:rPr>
              <w:t xml:space="preserve">at </w:t>
            </w:r>
            <w:r w:rsidR="00D3125B" w:rsidRPr="00F6402F">
              <w:rPr>
                <w:szCs w:val="18"/>
                <w:lang w:val="en-AU"/>
              </w:rPr>
              <w:t xml:space="preserve">$20.6 million </w:t>
            </w:r>
            <w:r w:rsidRPr="00FC6221">
              <w:rPr>
                <w:szCs w:val="18"/>
                <w:lang w:val="en-AU"/>
              </w:rPr>
              <w:t>a year</w:t>
            </w:r>
            <w:r w:rsidR="00D3125B" w:rsidRPr="00F6402F">
              <w:rPr>
                <w:szCs w:val="18"/>
                <w:lang w:val="en-AU"/>
              </w:rPr>
              <w:t xml:space="preserve"> incremental to formal training that practitioners may undertake in the absence of an explicit </w:t>
            </w:r>
            <w:r w:rsidR="00723878">
              <w:rPr>
                <w:szCs w:val="18"/>
                <w:lang w:val="en-AU"/>
              </w:rPr>
              <w:t>qualification</w:t>
            </w:r>
            <w:r w:rsidR="00723878" w:rsidRPr="00F6402F">
              <w:rPr>
                <w:szCs w:val="18"/>
                <w:lang w:val="en-AU"/>
              </w:rPr>
              <w:t xml:space="preserve"> </w:t>
            </w:r>
            <w:r w:rsidR="00D3125B" w:rsidRPr="00F6402F">
              <w:rPr>
                <w:szCs w:val="18"/>
                <w:lang w:val="en-AU"/>
              </w:rPr>
              <w:t>requirement. This cost includes t</w:t>
            </w:r>
            <w:r w:rsidRPr="00FC6221">
              <w:rPr>
                <w:szCs w:val="18"/>
                <w:lang w:val="en-AU"/>
              </w:rPr>
              <w:t>he cost of the course itself as well as the time taken to complete the course.</w:t>
            </w:r>
          </w:p>
          <w:p w:rsidR="003A7FBC" w:rsidRPr="00011DF3" w:rsidRDefault="003A7FBC" w:rsidP="00031DCC">
            <w:pPr>
              <w:pStyle w:val="Tabletext"/>
              <w:ind w:left="0" w:right="0"/>
              <w:rPr>
                <w:szCs w:val="18"/>
                <w:lang w:val="en-AU"/>
              </w:rPr>
            </w:pPr>
          </w:p>
        </w:tc>
        <w:tc>
          <w:tcPr>
            <w:tcW w:w="1854" w:type="dxa"/>
          </w:tcPr>
          <w:p w:rsidR="003A7FBC" w:rsidRPr="00011DF3" w:rsidRDefault="00D3125B" w:rsidP="00031DCC">
            <w:pPr>
              <w:pStyle w:val="Tabletext"/>
              <w:ind w:left="0" w:right="0"/>
              <w:rPr>
                <w:szCs w:val="18"/>
                <w:lang w:val="en-AU"/>
              </w:rPr>
            </w:pPr>
            <w:r w:rsidRPr="00F6402F">
              <w:rPr>
                <w:szCs w:val="18"/>
                <w:lang w:val="en-AU"/>
              </w:rPr>
              <w:t xml:space="preserve">$20.6 million </w:t>
            </w:r>
            <w:r w:rsidR="00FC6221" w:rsidRPr="00FC6221">
              <w:rPr>
                <w:szCs w:val="18"/>
                <w:lang w:val="en-AU"/>
              </w:rPr>
              <w:t>a year</w:t>
            </w:r>
          </w:p>
          <w:p w:rsidR="003A7FBC" w:rsidRPr="00011DF3" w:rsidRDefault="003A7FBC" w:rsidP="00031DCC">
            <w:pPr>
              <w:pStyle w:val="Tabletext"/>
              <w:ind w:left="0" w:right="0"/>
              <w:rPr>
                <w:szCs w:val="18"/>
                <w:lang w:val="en-AU"/>
              </w:rPr>
            </w:pPr>
          </w:p>
          <w:p w:rsidR="003A7FBC" w:rsidRPr="00011DF3" w:rsidRDefault="003A7FBC" w:rsidP="00031DCC">
            <w:pPr>
              <w:pStyle w:val="Tabletext"/>
              <w:ind w:left="0" w:right="0"/>
              <w:rPr>
                <w:szCs w:val="18"/>
                <w:lang w:val="en-AU"/>
              </w:rPr>
            </w:pPr>
          </w:p>
        </w:tc>
      </w:tr>
      <w:tr w:rsidR="003A7FBC" w:rsidRPr="00F6402F" w:rsidTr="00A16FCE">
        <w:trPr>
          <w:trHeight w:val="350"/>
        </w:trPr>
        <w:tc>
          <w:tcPr>
            <w:tcW w:w="1548" w:type="dxa"/>
          </w:tcPr>
          <w:p w:rsidR="003A7FBC" w:rsidRPr="00011DF3" w:rsidRDefault="00D3125B" w:rsidP="00031DCC">
            <w:pPr>
              <w:pStyle w:val="Tabletext"/>
              <w:ind w:left="0" w:right="0"/>
              <w:rPr>
                <w:szCs w:val="18"/>
                <w:lang w:val="en-AU"/>
              </w:rPr>
            </w:pPr>
            <w:r w:rsidRPr="00F6402F">
              <w:rPr>
                <w:szCs w:val="18"/>
                <w:lang w:val="en-AU"/>
              </w:rPr>
              <w:lastRenderedPageBreak/>
              <w:t>Opportunity cost</w:t>
            </w:r>
          </w:p>
        </w:tc>
        <w:tc>
          <w:tcPr>
            <w:tcW w:w="4122" w:type="dxa"/>
          </w:tcPr>
          <w:p w:rsidR="003A7FBC" w:rsidRPr="00011DF3" w:rsidRDefault="00D3125B" w:rsidP="004F471C">
            <w:pPr>
              <w:pStyle w:val="Tabletext"/>
              <w:ind w:left="0" w:right="0"/>
              <w:rPr>
                <w:szCs w:val="18"/>
                <w:lang w:val="en-AU"/>
              </w:rPr>
            </w:pPr>
            <w:r w:rsidRPr="00F6402F">
              <w:rPr>
                <w:szCs w:val="18"/>
                <w:lang w:val="en-AU"/>
              </w:rPr>
              <w:t>The requirement of minimum amounts of experience mean</w:t>
            </w:r>
            <w:r w:rsidR="00FC6221" w:rsidRPr="00FC6221">
              <w:rPr>
                <w:szCs w:val="18"/>
                <w:lang w:val="en-AU"/>
              </w:rPr>
              <w:t>s</w:t>
            </w:r>
            <w:r w:rsidRPr="00F6402F">
              <w:rPr>
                <w:szCs w:val="18"/>
                <w:lang w:val="en-AU"/>
              </w:rPr>
              <w:t xml:space="preserve"> in practice there is a delay in being able to practise.</w:t>
            </w:r>
          </w:p>
        </w:tc>
        <w:tc>
          <w:tcPr>
            <w:tcW w:w="7360" w:type="dxa"/>
          </w:tcPr>
          <w:p w:rsidR="003A7FBC" w:rsidRPr="00011DF3" w:rsidRDefault="00D3125B" w:rsidP="001623C3">
            <w:pPr>
              <w:pStyle w:val="Tabletext"/>
              <w:ind w:left="0" w:right="0"/>
              <w:rPr>
                <w:szCs w:val="18"/>
                <w:lang w:val="en-AU"/>
              </w:rPr>
            </w:pPr>
            <w:r w:rsidRPr="00F6402F">
              <w:rPr>
                <w:szCs w:val="18"/>
                <w:lang w:val="en-AU"/>
              </w:rPr>
              <w:t>This opportunity cost ha</w:t>
            </w:r>
            <w:r w:rsidR="00FC6221" w:rsidRPr="00FC6221">
              <w:rPr>
                <w:szCs w:val="18"/>
                <w:lang w:val="en-AU"/>
              </w:rPr>
              <w:t xml:space="preserve">s been estimated based on a delay (the years of experience) in obtaining additional annual income. </w:t>
            </w:r>
          </w:p>
        </w:tc>
        <w:tc>
          <w:tcPr>
            <w:tcW w:w="1854" w:type="dxa"/>
          </w:tcPr>
          <w:p w:rsidR="003A7FBC" w:rsidRPr="00011DF3" w:rsidRDefault="00D3125B" w:rsidP="00031DCC">
            <w:pPr>
              <w:pStyle w:val="Tabletext"/>
              <w:ind w:left="0" w:right="0"/>
              <w:rPr>
                <w:szCs w:val="18"/>
                <w:lang w:val="en-AU"/>
              </w:rPr>
            </w:pPr>
            <w:r w:rsidRPr="00F6402F">
              <w:rPr>
                <w:szCs w:val="18"/>
                <w:lang w:val="en-AU"/>
              </w:rPr>
              <w:t xml:space="preserve">$4.6 million </w:t>
            </w:r>
            <w:r w:rsidR="00FC6221" w:rsidRPr="00FC6221">
              <w:rPr>
                <w:szCs w:val="18"/>
                <w:lang w:val="en-AU"/>
              </w:rPr>
              <w:t>a year</w:t>
            </w:r>
          </w:p>
          <w:p w:rsidR="00F71F1A" w:rsidRPr="00011DF3" w:rsidRDefault="00F71F1A">
            <w:pPr>
              <w:pStyle w:val="Tabletext"/>
              <w:ind w:left="0" w:right="0"/>
              <w:rPr>
                <w:b/>
                <w:spacing w:val="2"/>
                <w:szCs w:val="18"/>
                <w:lang w:val="en-AU"/>
              </w:rPr>
            </w:pPr>
          </w:p>
        </w:tc>
      </w:tr>
      <w:tr w:rsidR="003A7FBC" w:rsidRPr="00F6402F" w:rsidTr="00A16FCE">
        <w:tc>
          <w:tcPr>
            <w:tcW w:w="1548" w:type="dxa"/>
          </w:tcPr>
          <w:p w:rsidR="003A7FBC" w:rsidRPr="00011DF3" w:rsidRDefault="00D3125B" w:rsidP="00031DCC">
            <w:pPr>
              <w:pStyle w:val="Tabletext"/>
              <w:ind w:left="0" w:right="0"/>
              <w:rPr>
                <w:szCs w:val="18"/>
                <w:lang w:val="en-AU"/>
              </w:rPr>
            </w:pPr>
            <w:r w:rsidRPr="00F6402F">
              <w:rPr>
                <w:szCs w:val="18"/>
                <w:lang w:val="en-AU"/>
              </w:rPr>
              <w:t>Market effects</w:t>
            </w:r>
          </w:p>
        </w:tc>
        <w:tc>
          <w:tcPr>
            <w:tcW w:w="4122" w:type="dxa"/>
          </w:tcPr>
          <w:p w:rsidR="003A7FBC" w:rsidRPr="00011DF3" w:rsidRDefault="00D3125B" w:rsidP="004F471C">
            <w:pPr>
              <w:pStyle w:val="Tabletext"/>
              <w:ind w:left="0" w:right="0"/>
              <w:rPr>
                <w:szCs w:val="18"/>
                <w:lang w:val="en-AU"/>
              </w:rPr>
            </w:pPr>
            <w:r w:rsidRPr="00F6402F">
              <w:rPr>
                <w:szCs w:val="18"/>
                <w:lang w:val="en-AU"/>
              </w:rPr>
              <w:t xml:space="preserve">Setting barriers to entry generally results in fewer practitioners than otherwise in the </w:t>
            </w:r>
            <w:r w:rsidR="00FC6221" w:rsidRPr="00FC6221">
              <w:rPr>
                <w:szCs w:val="18"/>
                <w:lang w:val="en-AU"/>
              </w:rPr>
              <w:t>market. This is a competition effect:</w:t>
            </w:r>
            <w:r w:rsidRPr="00F6402F">
              <w:rPr>
                <w:szCs w:val="18"/>
                <w:lang w:val="en-AU"/>
              </w:rPr>
              <w:t xml:space="preserve"> reducing the number of </w:t>
            </w:r>
            <w:r w:rsidR="00FC6221" w:rsidRPr="00FC6221">
              <w:rPr>
                <w:szCs w:val="18"/>
                <w:lang w:val="en-AU"/>
              </w:rPr>
              <w:t xml:space="preserve">available </w:t>
            </w:r>
            <w:r w:rsidRPr="00F6402F">
              <w:rPr>
                <w:szCs w:val="18"/>
                <w:lang w:val="en-AU"/>
              </w:rPr>
              <w:t>practitioners results in higher costs for consumers.</w:t>
            </w:r>
          </w:p>
        </w:tc>
        <w:tc>
          <w:tcPr>
            <w:tcW w:w="7360" w:type="dxa"/>
          </w:tcPr>
          <w:p w:rsidR="003A7FBC" w:rsidRPr="00011DF3" w:rsidRDefault="00D3125B" w:rsidP="004F471C">
            <w:pPr>
              <w:pStyle w:val="Tabletext"/>
              <w:ind w:left="0" w:right="0"/>
              <w:rPr>
                <w:szCs w:val="18"/>
                <w:lang w:val="en-AU"/>
              </w:rPr>
            </w:pPr>
            <w:r w:rsidRPr="00F6402F">
              <w:rPr>
                <w:szCs w:val="18"/>
                <w:lang w:val="en-AU"/>
              </w:rPr>
              <w:t xml:space="preserve">No cost has been included. See </w:t>
            </w:r>
            <w:r w:rsidR="00FC6221" w:rsidRPr="00FC6221">
              <w:rPr>
                <w:szCs w:val="18"/>
                <w:lang w:val="en-AU"/>
              </w:rPr>
              <w:t xml:space="preserve">the explanation </w:t>
            </w:r>
            <w:r w:rsidRPr="00F6402F">
              <w:rPr>
                <w:szCs w:val="18"/>
                <w:lang w:val="en-AU"/>
              </w:rPr>
              <w:t>below.</w:t>
            </w:r>
          </w:p>
        </w:tc>
        <w:tc>
          <w:tcPr>
            <w:tcW w:w="1854" w:type="dxa"/>
          </w:tcPr>
          <w:p w:rsidR="003A7FBC" w:rsidRPr="00011DF3" w:rsidRDefault="00D3125B" w:rsidP="00031DCC">
            <w:pPr>
              <w:pStyle w:val="Tabletext"/>
              <w:ind w:left="0" w:right="0"/>
              <w:rPr>
                <w:szCs w:val="18"/>
                <w:lang w:val="en-AU"/>
              </w:rPr>
            </w:pPr>
            <w:r w:rsidRPr="00F6402F">
              <w:rPr>
                <w:szCs w:val="18"/>
                <w:lang w:val="en-AU"/>
              </w:rPr>
              <w:t>-</w:t>
            </w:r>
          </w:p>
        </w:tc>
      </w:tr>
      <w:tr w:rsidR="003A7FBC" w:rsidRPr="00F6402F" w:rsidTr="00A16FCE">
        <w:tc>
          <w:tcPr>
            <w:tcW w:w="1548" w:type="dxa"/>
          </w:tcPr>
          <w:p w:rsidR="003A7FBC" w:rsidRPr="00011DF3" w:rsidRDefault="00D3125B" w:rsidP="00031DCC">
            <w:pPr>
              <w:pStyle w:val="Tabletext"/>
              <w:ind w:left="0" w:right="0"/>
              <w:rPr>
                <w:szCs w:val="18"/>
                <w:lang w:val="en-AU"/>
              </w:rPr>
            </w:pPr>
            <w:r w:rsidRPr="00F6402F">
              <w:rPr>
                <w:szCs w:val="18"/>
                <w:lang w:val="en-AU"/>
              </w:rPr>
              <w:t>Government costs</w:t>
            </w:r>
          </w:p>
        </w:tc>
        <w:tc>
          <w:tcPr>
            <w:tcW w:w="4122" w:type="dxa"/>
          </w:tcPr>
          <w:p w:rsidR="00C442C8" w:rsidRPr="00011DF3" w:rsidRDefault="00D3125B" w:rsidP="004F471C">
            <w:pPr>
              <w:pStyle w:val="Tabletext"/>
              <w:ind w:left="0" w:right="0"/>
              <w:rPr>
                <w:szCs w:val="18"/>
                <w:lang w:val="en-AU"/>
              </w:rPr>
            </w:pPr>
            <w:r w:rsidRPr="00F6402F">
              <w:rPr>
                <w:szCs w:val="18"/>
                <w:lang w:val="en-AU"/>
              </w:rPr>
              <w:t xml:space="preserve">There are additional costs </w:t>
            </w:r>
            <w:r w:rsidR="00FC6221" w:rsidRPr="00FC6221">
              <w:rPr>
                <w:szCs w:val="18"/>
                <w:lang w:val="en-AU"/>
              </w:rPr>
              <w:t>to</w:t>
            </w:r>
            <w:r w:rsidRPr="00F6402F">
              <w:rPr>
                <w:szCs w:val="18"/>
                <w:lang w:val="en-AU"/>
              </w:rPr>
              <w:t xml:space="preserve"> government associated with c</w:t>
            </w:r>
            <w:r w:rsidR="00FC6221" w:rsidRPr="00FC6221">
              <w:rPr>
                <w:szCs w:val="18"/>
                <w:lang w:val="en-AU"/>
              </w:rPr>
              <w:t>hecking the qualifications and experience of applicants.</w:t>
            </w:r>
          </w:p>
          <w:p w:rsidR="00F71F1A" w:rsidRPr="00F6402F" w:rsidRDefault="00F71F1A">
            <w:pPr>
              <w:rPr>
                <w:szCs w:val="18"/>
              </w:rPr>
            </w:pPr>
          </w:p>
          <w:p w:rsidR="00F71F1A" w:rsidRPr="00011DF3" w:rsidRDefault="00F71F1A">
            <w:pPr>
              <w:spacing w:before="0" w:line="240" w:lineRule="atLeast"/>
              <w:ind w:left="0" w:right="0"/>
              <w:rPr>
                <w:szCs w:val="18"/>
              </w:rPr>
            </w:pPr>
          </w:p>
          <w:p w:rsidR="00F71F1A" w:rsidRPr="00011DF3" w:rsidRDefault="00FC6221">
            <w:pPr>
              <w:tabs>
                <w:tab w:val="left" w:pos="898"/>
              </w:tabs>
              <w:spacing w:before="0" w:line="240" w:lineRule="atLeast"/>
              <w:ind w:left="0" w:right="0"/>
              <w:rPr>
                <w:szCs w:val="18"/>
              </w:rPr>
            </w:pPr>
            <w:r w:rsidRPr="00FC6221">
              <w:rPr>
                <w:szCs w:val="18"/>
              </w:rPr>
              <w:tab/>
            </w:r>
          </w:p>
        </w:tc>
        <w:tc>
          <w:tcPr>
            <w:tcW w:w="7360" w:type="dxa"/>
          </w:tcPr>
          <w:p w:rsidR="003A7FBC" w:rsidRPr="00011DF3" w:rsidRDefault="00FC6221" w:rsidP="00031DCC">
            <w:pPr>
              <w:pStyle w:val="Tabletext"/>
              <w:ind w:left="0" w:right="0"/>
              <w:rPr>
                <w:szCs w:val="18"/>
                <w:lang w:val="en-AU"/>
              </w:rPr>
            </w:pPr>
            <w:r w:rsidRPr="00FC6221">
              <w:rPr>
                <w:szCs w:val="18"/>
                <w:lang w:val="en-AU"/>
              </w:rPr>
              <w:t>VBA</w:t>
            </w:r>
            <w:r w:rsidRPr="00F57EAA">
              <w:rPr>
                <w:szCs w:val="18"/>
                <w:lang w:val="en-AU"/>
              </w:rPr>
              <w:t xml:space="preserve"> has not measured its costs for </w:t>
            </w:r>
            <w:r w:rsidR="00D3125B" w:rsidRPr="00F6402F">
              <w:rPr>
                <w:szCs w:val="18"/>
                <w:lang w:val="en-AU"/>
              </w:rPr>
              <w:t>each step of the application process. The current applicant fees are an indication of the magnitude of costs but are unlikely to be precise</w:t>
            </w:r>
            <w:r w:rsidRPr="00FC6221">
              <w:rPr>
                <w:szCs w:val="18"/>
                <w:lang w:val="en-AU"/>
              </w:rPr>
              <w:t xml:space="preserve">: </w:t>
            </w:r>
            <w:r w:rsidR="00D3125B" w:rsidRPr="00F6402F">
              <w:rPr>
                <w:szCs w:val="18"/>
                <w:lang w:val="en-AU"/>
              </w:rPr>
              <w:t>fees h</w:t>
            </w:r>
            <w:r w:rsidRPr="00FC6221">
              <w:rPr>
                <w:szCs w:val="18"/>
                <w:lang w:val="en-AU"/>
              </w:rPr>
              <w:t>ave not been reviewed for some time. Further, many application processing activities would occur in the absence of qualification or experience requirements. P</w:t>
            </w:r>
            <w:r w:rsidR="00D3125B" w:rsidRPr="00F6402F">
              <w:rPr>
                <w:szCs w:val="18"/>
                <w:lang w:val="en-AU"/>
              </w:rPr>
              <w:t xml:space="preserve">rescribing specific qualifications may reduce the costs to </w:t>
            </w:r>
            <w:r w:rsidRPr="00F57EAA">
              <w:rPr>
                <w:szCs w:val="18"/>
                <w:lang w:val="en-AU"/>
              </w:rPr>
              <w:t xml:space="preserve">VBA of </w:t>
            </w:r>
            <w:r w:rsidR="00D3125B" w:rsidRPr="00F6402F">
              <w:rPr>
                <w:szCs w:val="18"/>
                <w:lang w:val="en-AU"/>
              </w:rPr>
              <w:t>otherwise determini</w:t>
            </w:r>
            <w:r w:rsidRPr="00FC6221">
              <w:rPr>
                <w:szCs w:val="18"/>
                <w:lang w:val="en-AU"/>
              </w:rPr>
              <w:t>ng whether an application has the knowledge to be fit to practise.</w:t>
            </w:r>
          </w:p>
          <w:p w:rsidR="003A7FBC" w:rsidRPr="00011DF3" w:rsidRDefault="00D3125B" w:rsidP="004F471C">
            <w:pPr>
              <w:pStyle w:val="Tabletext"/>
              <w:ind w:left="0" w:right="0"/>
              <w:rPr>
                <w:szCs w:val="18"/>
                <w:lang w:val="en-AU"/>
              </w:rPr>
            </w:pPr>
            <w:r w:rsidRPr="00F6402F">
              <w:rPr>
                <w:szCs w:val="18"/>
                <w:lang w:val="en-AU"/>
              </w:rPr>
              <w:t xml:space="preserve">For </w:t>
            </w:r>
            <w:r w:rsidR="00FC6221" w:rsidRPr="00FC6221">
              <w:rPr>
                <w:szCs w:val="18"/>
                <w:lang w:val="en-AU"/>
              </w:rPr>
              <w:t xml:space="preserve">modelling </w:t>
            </w:r>
            <w:r w:rsidRPr="00F6402F">
              <w:rPr>
                <w:szCs w:val="18"/>
                <w:lang w:val="en-AU"/>
              </w:rPr>
              <w:t>purposes, it is assumed a cost of half the current application fee is taken as the cost attributable to checking the qualifications and experience of applicants, based on disc</w:t>
            </w:r>
            <w:r w:rsidR="00FC6221" w:rsidRPr="00FC6221">
              <w:rPr>
                <w:szCs w:val="18"/>
                <w:lang w:val="en-AU"/>
              </w:rPr>
              <w:t>ussion with VBA</w:t>
            </w:r>
            <w:r w:rsidRPr="00F6402F">
              <w:rPr>
                <w:szCs w:val="18"/>
                <w:lang w:val="en-AU"/>
              </w:rPr>
              <w:t xml:space="preserve"> about the tasks involved.</w:t>
            </w:r>
          </w:p>
        </w:tc>
        <w:tc>
          <w:tcPr>
            <w:tcW w:w="1854" w:type="dxa"/>
          </w:tcPr>
          <w:p w:rsidR="003A7FBC" w:rsidRPr="00011DF3" w:rsidRDefault="00D3125B" w:rsidP="00031DCC">
            <w:pPr>
              <w:pStyle w:val="Tabletext"/>
              <w:ind w:left="0" w:right="0"/>
              <w:rPr>
                <w:szCs w:val="18"/>
                <w:lang w:val="en-AU"/>
              </w:rPr>
            </w:pPr>
            <w:r w:rsidRPr="00F6402F">
              <w:rPr>
                <w:szCs w:val="18"/>
                <w:lang w:val="en-AU"/>
              </w:rPr>
              <w:t xml:space="preserve">$1.7 million </w:t>
            </w:r>
            <w:r w:rsidR="00FC6221" w:rsidRPr="00FC6221">
              <w:rPr>
                <w:szCs w:val="18"/>
                <w:lang w:val="en-AU"/>
              </w:rPr>
              <w:t>a year</w:t>
            </w:r>
          </w:p>
          <w:p w:rsidR="003A7FBC" w:rsidRPr="00011DF3" w:rsidRDefault="003A7FBC" w:rsidP="00031DCC">
            <w:pPr>
              <w:pStyle w:val="Tabletext"/>
              <w:ind w:left="0" w:right="0"/>
              <w:rPr>
                <w:szCs w:val="18"/>
                <w:lang w:val="en-AU"/>
              </w:rPr>
            </w:pPr>
          </w:p>
          <w:p w:rsidR="003A7FBC" w:rsidRPr="00011DF3" w:rsidRDefault="003A7FBC" w:rsidP="00031DCC">
            <w:pPr>
              <w:pStyle w:val="Tabletext"/>
              <w:ind w:left="0" w:right="0"/>
              <w:rPr>
                <w:szCs w:val="18"/>
                <w:lang w:val="en-AU"/>
              </w:rPr>
            </w:pPr>
          </w:p>
        </w:tc>
      </w:tr>
      <w:tr w:rsidR="003A7FBC" w:rsidRPr="00F6402F" w:rsidTr="00A16FCE">
        <w:tc>
          <w:tcPr>
            <w:tcW w:w="1548" w:type="dxa"/>
          </w:tcPr>
          <w:p w:rsidR="003A7FBC" w:rsidRPr="00011DF3" w:rsidRDefault="00D3125B" w:rsidP="00031DCC">
            <w:pPr>
              <w:pStyle w:val="Tabletext"/>
              <w:ind w:left="0" w:right="0"/>
              <w:rPr>
                <w:b/>
                <w:szCs w:val="18"/>
                <w:lang w:val="en-AU"/>
              </w:rPr>
            </w:pPr>
            <w:r w:rsidRPr="00F6402F">
              <w:rPr>
                <w:b/>
                <w:szCs w:val="18"/>
                <w:lang w:val="en-AU"/>
              </w:rPr>
              <w:t>TOTAL COSTS</w:t>
            </w:r>
          </w:p>
        </w:tc>
        <w:tc>
          <w:tcPr>
            <w:tcW w:w="4122" w:type="dxa"/>
          </w:tcPr>
          <w:p w:rsidR="003A7FBC" w:rsidRPr="00011DF3" w:rsidRDefault="003A7FBC" w:rsidP="00031DCC">
            <w:pPr>
              <w:pStyle w:val="Tabletext"/>
              <w:ind w:left="0" w:right="0"/>
              <w:rPr>
                <w:b/>
                <w:szCs w:val="18"/>
                <w:lang w:val="en-AU"/>
              </w:rPr>
            </w:pPr>
          </w:p>
        </w:tc>
        <w:tc>
          <w:tcPr>
            <w:tcW w:w="7360" w:type="dxa"/>
          </w:tcPr>
          <w:p w:rsidR="003A7FBC" w:rsidRPr="00011DF3" w:rsidRDefault="003A7FBC" w:rsidP="00031DCC">
            <w:pPr>
              <w:pStyle w:val="Tabletext"/>
              <w:ind w:left="0" w:right="0"/>
              <w:rPr>
                <w:b/>
                <w:szCs w:val="18"/>
                <w:lang w:val="en-AU"/>
              </w:rPr>
            </w:pPr>
          </w:p>
        </w:tc>
        <w:tc>
          <w:tcPr>
            <w:tcW w:w="1854" w:type="dxa"/>
          </w:tcPr>
          <w:p w:rsidR="003A7FBC" w:rsidRPr="00011DF3" w:rsidRDefault="00D3125B" w:rsidP="006C108D">
            <w:pPr>
              <w:pStyle w:val="Tabletext"/>
              <w:ind w:left="0" w:right="0"/>
              <w:rPr>
                <w:b/>
                <w:szCs w:val="18"/>
                <w:lang w:val="en-AU"/>
              </w:rPr>
            </w:pPr>
            <w:r w:rsidRPr="00F6402F">
              <w:rPr>
                <w:b/>
                <w:szCs w:val="18"/>
              </w:rPr>
              <w:t xml:space="preserve">$27.0 million </w:t>
            </w:r>
            <w:r w:rsidR="00FC6221" w:rsidRPr="00FC6221">
              <w:rPr>
                <w:b/>
                <w:szCs w:val="18"/>
              </w:rPr>
              <w:t>a year</w:t>
            </w:r>
            <w:r w:rsidR="00FC6221" w:rsidRPr="00F57EAA">
              <w:rPr>
                <w:b/>
                <w:szCs w:val="18"/>
              </w:rPr>
              <w:t>, or</w:t>
            </w:r>
            <w:r w:rsidR="00482560">
              <w:rPr>
                <w:b/>
                <w:szCs w:val="18"/>
                <w:lang w:val="en-AU"/>
              </w:rPr>
              <w:t xml:space="preserve"> </w:t>
            </w:r>
            <w:r w:rsidR="006C108D" w:rsidRPr="00F6402F">
              <w:rPr>
                <w:b/>
                <w:szCs w:val="18"/>
                <w:lang w:val="en-AU"/>
              </w:rPr>
              <w:t>$237 million</w:t>
            </w:r>
            <w:r w:rsidR="00FC6221" w:rsidRPr="00FC6221">
              <w:rPr>
                <w:rStyle w:val="FootnoteReference"/>
                <w:b/>
                <w:szCs w:val="18"/>
              </w:rPr>
              <w:footnoteReference w:id="27"/>
            </w:r>
            <w:r w:rsidR="006C108D" w:rsidRPr="00F6402F">
              <w:rPr>
                <w:b/>
                <w:szCs w:val="18"/>
                <w:lang w:val="en-AU"/>
              </w:rPr>
              <w:t xml:space="preserve"> NPV over </w:t>
            </w:r>
            <w:r w:rsidRPr="00F6402F">
              <w:rPr>
                <w:b/>
                <w:szCs w:val="18"/>
                <w:lang w:val="en-AU"/>
              </w:rPr>
              <w:t>10</w:t>
            </w:r>
            <w:r w:rsidR="00FC6221" w:rsidRPr="00011DF3">
              <w:rPr>
                <w:b/>
                <w:szCs w:val="18"/>
                <w:lang w:val="en-AU"/>
              </w:rPr>
              <w:t xml:space="preserve"> years</w:t>
            </w:r>
          </w:p>
        </w:tc>
      </w:tr>
    </w:tbl>
    <w:p w:rsidR="003A7FBC" w:rsidRPr="00160290" w:rsidRDefault="003A7FBC" w:rsidP="003A7FBC">
      <w:pPr>
        <w:sectPr w:rsidR="003A7FBC" w:rsidRPr="00160290" w:rsidSect="00C442C8">
          <w:pgSz w:w="16840" w:h="11900" w:orient="landscape"/>
          <w:pgMar w:top="702" w:right="1559" w:bottom="851" w:left="1797" w:header="284" w:footer="0" w:gutter="0"/>
          <w:cols w:space="708"/>
        </w:sectPr>
      </w:pPr>
    </w:p>
    <w:p w:rsidR="003A7FBC" w:rsidRPr="00160290" w:rsidRDefault="003A7FBC" w:rsidP="002424BD">
      <w:r w:rsidRPr="00160290">
        <w:lastRenderedPageBreak/>
        <w:t>While higher prices may be an indicator of reduced competition, it is also likely that other regulatory costs (</w:t>
      </w:r>
      <w:r w:rsidR="00B7574E">
        <w:t>for example</w:t>
      </w:r>
      <w:r w:rsidRPr="00160290">
        <w:t>, the cost of obtaining a qualification) are ultimately passed on to consumers through the practitioners’ costs</w:t>
      </w:r>
      <w:r w:rsidR="00B7574E">
        <w:t xml:space="preserve"> </w:t>
      </w:r>
      <w:r w:rsidRPr="00160290">
        <w:t>and hence this impact is already reflected in the costs in the above table</w:t>
      </w:r>
      <w:r w:rsidR="00561486">
        <w:t>.</w:t>
      </w:r>
      <w:r w:rsidRPr="00160290">
        <w:rPr>
          <w:rStyle w:val="FootnoteReference"/>
          <w:rFonts w:cs="Times New Roman"/>
        </w:rPr>
        <w:footnoteReference w:id="28"/>
      </w:r>
      <w:r w:rsidRPr="00160290">
        <w:t xml:space="preserve"> The reduction in output, if it could be measured, would also be problematic as the output common to both scenarios would not be of the same quality</w:t>
      </w:r>
      <w:r w:rsidR="00B7574E">
        <w:t>:</w:t>
      </w:r>
      <w:r w:rsidRPr="00160290">
        <w:t xml:space="preserve"> in other words, while the barriers to entry may reduce the amount of building activity undertaken, the community would place a higher value on this output because it would have a higher average quality. Thus, the extent of any real competition impacts would depend on the benefits</w:t>
      </w:r>
      <w:r w:rsidR="00B7574E">
        <w:t xml:space="preserve"> explained </w:t>
      </w:r>
      <w:r w:rsidRPr="00160290">
        <w:t>below.</w:t>
      </w:r>
    </w:p>
    <w:p w:rsidR="008D3250" w:rsidRPr="008D3250" w:rsidRDefault="008D3250" w:rsidP="008D3250">
      <w:pPr>
        <w:pStyle w:val="Heading6"/>
      </w:pPr>
      <w:bookmarkStart w:id="43" w:name="_Toc481333105"/>
      <w:r w:rsidRPr="008D3250">
        <w:t>Benefits</w:t>
      </w:r>
      <w:bookmarkEnd w:id="43"/>
    </w:p>
    <w:p w:rsidR="003A7FBC" w:rsidRPr="00160290" w:rsidRDefault="003A7FBC" w:rsidP="002424BD">
      <w:r w:rsidRPr="00160290">
        <w:t xml:space="preserve">The </w:t>
      </w:r>
      <w:r w:rsidR="00BE6DEA" w:rsidRPr="00160290">
        <w:t>department</w:t>
      </w:r>
      <w:r w:rsidRPr="00160290">
        <w:t xml:space="preserve"> expects there would be reduced search costs for consumers. In the base case, consumers would need to satisfy themselves of the competency of a building practitioner, </w:t>
      </w:r>
      <w:r w:rsidR="00B7574E">
        <w:t xml:space="preserve">a task </w:t>
      </w:r>
      <w:r w:rsidRPr="00160290">
        <w:t xml:space="preserve">which </w:t>
      </w:r>
      <w:r w:rsidR="00B7574E">
        <w:t xml:space="preserve">would often be lessened if </w:t>
      </w:r>
      <w:r w:rsidRPr="00160290">
        <w:t xml:space="preserve">they accept the registration process has already checked the qualifications and experience of the practitioner. This benefit may not </w:t>
      </w:r>
      <w:r w:rsidR="00703FD9" w:rsidRPr="00160290">
        <w:t xml:space="preserve">always </w:t>
      </w:r>
      <w:r w:rsidRPr="00160290">
        <w:t xml:space="preserve">occur: many consumers would continue to undertake their own investigations even where registration is evidence of competency and conversely, some consumers may not undertake adequate checks even in the base case. Assuming that search costs are reduced by </w:t>
      </w:r>
      <w:r w:rsidR="00B7574E">
        <w:t xml:space="preserve">one </w:t>
      </w:r>
      <w:r w:rsidRPr="00160290">
        <w:t>hour on average</w:t>
      </w:r>
      <w:r w:rsidRPr="00160290">
        <w:rPr>
          <w:rStyle w:val="FootnoteReference"/>
        </w:rPr>
        <w:footnoteReference w:id="29"/>
      </w:r>
      <w:r w:rsidRPr="00160290">
        <w:t xml:space="preserve"> in half the number of permits issued, </w:t>
      </w:r>
      <w:r w:rsidR="00B7574E">
        <w:t xml:space="preserve">taking </w:t>
      </w:r>
      <w:r w:rsidRPr="00160290">
        <w:t xml:space="preserve">the value of a person’s time as $37.36 gives a total saving to consumers of $2.1 million </w:t>
      </w:r>
      <w:r w:rsidR="00746629">
        <w:t>a year</w:t>
      </w:r>
      <w:r w:rsidRPr="00160290">
        <w:t>.</w:t>
      </w:r>
    </w:p>
    <w:p w:rsidR="002129C8" w:rsidRPr="00160290" w:rsidRDefault="003A7FBC" w:rsidP="002424BD">
      <w:r w:rsidRPr="00160290">
        <w:t>For other consumers, checking competency will result in improved quality of building works and integrity of dealing</w:t>
      </w:r>
      <w:r w:rsidR="00B7574E">
        <w:t>s</w:t>
      </w:r>
      <w:r w:rsidRPr="00160290">
        <w:t xml:space="preserve"> with practitioners. A 2006 report by </w:t>
      </w:r>
      <w:r w:rsidR="00B7574E">
        <w:t>CAV</w:t>
      </w:r>
      <w:r w:rsidRPr="00160290">
        <w:rPr>
          <w:rStyle w:val="FootnoteReference"/>
          <w:rFonts w:cs="Times New Roman"/>
        </w:rPr>
        <w:footnoteReference w:id="30"/>
      </w:r>
      <w:r w:rsidRPr="00160290">
        <w:t xml:space="preserve"> estimated detriment relating to building and renovating cost the consumer an average of $1,600 in money, time and emotional cost per incident. That survey has not been repeated since 2006</w:t>
      </w:r>
      <w:r w:rsidR="00B7574E">
        <w:t xml:space="preserve"> but </w:t>
      </w:r>
      <w:r w:rsidRPr="00160290">
        <w:t xml:space="preserve">a similar survey </w:t>
      </w:r>
      <w:r w:rsidR="00B7574E">
        <w:t xml:space="preserve">was </w:t>
      </w:r>
      <w:r w:rsidRPr="00160290">
        <w:t>conducted at the national level in 2011 and 2016</w:t>
      </w:r>
      <w:r w:rsidR="00561486">
        <w:t>.</w:t>
      </w:r>
      <w:r w:rsidRPr="00160290">
        <w:rPr>
          <w:rStyle w:val="FootnoteReference"/>
          <w:rFonts w:cs="Times New Roman"/>
        </w:rPr>
        <w:footnoteReference w:id="31"/>
      </w:r>
      <w:r w:rsidRPr="00160290">
        <w:t xml:space="preserve"> The 2016 survey</w:t>
      </w:r>
      <w:r w:rsidR="00B7574E">
        <w:t xml:space="preserve"> estimated the average </w:t>
      </w:r>
      <w:r w:rsidRPr="00160290">
        <w:t xml:space="preserve">cost to Australian consumers to resolve building problems was $751.36 per incident. </w:t>
      </w:r>
      <w:r w:rsidR="00B7574E">
        <w:t>T</w:t>
      </w:r>
      <w:r w:rsidRPr="00160290">
        <w:t>o break</w:t>
      </w:r>
      <w:r w:rsidR="00B7574E">
        <w:t xml:space="preserve"> </w:t>
      </w:r>
      <w:r w:rsidRPr="00160290">
        <w:t>even (</w:t>
      </w:r>
      <w:r w:rsidR="00B7574E">
        <w:t xml:space="preserve">for </w:t>
      </w:r>
      <w:r w:rsidRPr="00160290">
        <w:t xml:space="preserve">benefits </w:t>
      </w:r>
      <w:r w:rsidR="00B7574E">
        <w:t xml:space="preserve">to </w:t>
      </w:r>
      <w:r w:rsidRPr="00160290">
        <w:t xml:space="preserve">outweigh costs), the number of detrimental incidents needed to be avoided due to the increased competency of practitioners would need to be at least 33,155. This is a high number but represents only 30% of the number of permits issued each year and is smaller than the proportion of incidents that occur under the existing arrangements. Despite the lack of evidence about the reasons for incidents, and the potential link between these and the specific qualification requirements in the Regulations, the department is satisfied that this break-even point is achievable given the analysis of the extent of the problem </w:t>
      </w:r>
      <w:r w:rsidR="003C0A7D">
        <w:t xml:space="preserve">detailed </w:t>
      </w:r>
      <w:r w:rsidRPr="00160290">
        <w:t>above and that this option therefore will result in an overall net benefit.</w:t>
      </w:r>
    </w:p>
    <w:p w:rsidR="003A7FBC" w:rsidRPr="00160290" w:rsidRDefault="003A7FBC" w:rsidP="002424BD">
      <w:r w:rsidRPr="00160290">
        <w:t xml:space="preserve">However, caution should be exercised when considering benefits. In a sector that is highly regulated because of </w:t>
      </w:r>
      <w:r w:rsidR="003C0A7D">
        <w:t xml:space="preserve">perceived </w:t>
      </w:r>
      <w:r w:rsidRPr="00160290">
        <w:t xml:space="preserve">high risks of harms, it is difficult to link benefits to single elements of the overall regulatory system. The </w:t>
      </w:r>
      <w:r w:rsidR="00160290">
        <w:t>R</w:t>
      </w:r>
      <w:r w:rsidRPr="00160290">
        <w:t xml:space="preserve">egulations </w:t>
      </w:r>
      <w:r w:rsidR="003C0A7D">
        <w:t xml:space="preserve">about </w:t>
      </w:r>
      <w:r w:rsidRPr="00160290">
        <w:t>qualifications and experience are not the primary instruments to ensure quality but work as part of a suite of measures to reduce overall risk.</w:t>
      </w:r>
    </w:p>
    <w:p w:rsidR="00011DF3" w:rsidRDefault="00011DF3">
      <w:pPr>
        <w:spacing w:after="0"/>
      </w:pPr>
      <w:r>
        <w:br w:type="page"/>
      </w:r>
    </w:p>
    <w:p w:rsidR="003A7FBC" w:rsidRPr="00160290" w:rsidRDefault="003A7FBC" w:rsidP="002424BD">
      <w:r w:rsidRPr="00160290">
        <w:lastRenderedPageBreak/>
        <w:t>In that regard, an assessment of costs and benefits also need</w:t>
      </w:r>
      <w:r w:rsidR="007D0967">
        <w:t>s</w:t>
      </w:r>
      <w:r w:rsidRPr="00160290">
        <w:t xml:space="preserve"> to consider whether the reduction of risk will be effective in practice. Measures to address one area of risk may increase risks in other areas. For example, if entry requirements for registration in Victoria are set too high, practitioners may seek to avoid the requirements by becoming registered in another state where requirements are lower and then practi</w:t>
      </w:r>
      <w:r w:rsidR="007D0967">
        <w:t>s</w:t>
      </w:r>
      <w:r w:rsidRPr="00160290">
        <w:t xml:space="preserve">e in Victoria under mutual recognition arrangements. This means that an attempt to increase the competency requirements in Victoria may actually lead to a reduction in the quality of practitioners. The department </w:t>
      </w:r>
      <w:r w:rsidR="007D0967">
        <w:t xml:space="preserve">considers </w:t>
      </w:r>
      <w:r w:rsidRPr="00160290">
        <w:t xml:space="preserve">the requirements appropriately balance this risk, in light of actions undertaken by </w:t>
      </w:r>
      <w:r w:rsidR="000E2924">
        <w:t>VBA</w:t>
      </w:r>
      <w:r w:rsidRPr="00160290">
        <w:t xml:space="preserve"> to address such problems including sharing information with interstate counterparts and use of investigators to determine whether a practitioner genuinely operates in the state in which they are registered.</w:t>
      </w:r>
    </w:p>
    <w:p w:rsidR="003A7FBC" w:rsidRPr="00160290" w:rsidRDefault="003A7FBC" w:rsidP="00357F56">
      <w:pPr>
        <w:pStyle w:val="Heading3"/>
      </w:pPr>
      <w:bookmarkStart w:id="44" w:name="_Toc481502191"/>
      <w:r w:rsidRPr="00160290">
        <w:t xml:space="preserve">Option 1.1 – </w:t>
      </w:r>
      <w:r w:rsidR="0062727D">
        <w:t>R</w:t>
      </w:r>
      <w:r w:rsidRPr="00160290">
        <w:t xml:space="preserve">emove requirement for </w:t>
      </w:r>
      <w:r w:rsidR="000E2924">
        <w:t>VBA</w:t>
      </w:r>
      <w:r w:rsidRPr="00160290">
        <w:t xml:space="preserve"> to be satisfied of experience</w:t>
      </w:r>
      <w:bookmarkEnd w:id="44"/>
    </w:p>
    <w:p w:rsidR="002129C8" w:rsidRPr="00160290" w:rsidRDefault="003A7FBC" w:rsidP="002424BD">
      <w:r w:rsidRPr="00160290">
        <w:t xml:space="preserve">An option to reduce the regulatory barrier would be to remove the current requirement for </w:t>
      </w:r>
      <w:r w:rsidR="000E2924">
        <w:t>VBA</w:t>
      </w:r>
      <w:r w:rsidRPr="00160290">
        <w:t xml:space="preserve"> to be satisfied of the applicant’s experience. Registration would rely on demonstration of the relevant qualification (as </w:t>
      </w:r>
      <w:r w:rsidR="0063360C">
        <w:t xml:space="preserve">with </w:t>
      </w:r>
      <w:r w:rsidRPr="00160290">
        <w:t xml:space="preserve">the current </w:t>
      </w:r>
      <w:r w:rsidR="00160290">
        <w:t>R</w:t>
      </w:r>
      <w:r w:rsidRPr="00160290">
        <w:t xml:space="preserve">egulations) and attestation by two referees that the applicant has the relevant experience. </w:t>
      </w:r>
      <w:r w:rsidR="000E2924">
        <w:t>VBA</w:t>
      </w:r>
      <w:r w:rsidRPr="00160290">
        <w:t xml:space="preserve"> would not need to satisfy itself of the applicant’s experience beyond those references.</w:t>
      </w:r>
    </w:p>
    <w:p w:rsidR="003A7FBC" w:rsidRPr="00160290" w:rsidRDefault="003A7FBC" w:rsidP="002424BD">
      <w:r w:rsidRPr="00160290">
        <w:t>This would likely reduce the amount of experience needed to be undertaken before registration could occur, although some experience would still be necessary in order to properly obtain references</w:t>
      </w:r>
      <w:r w:rsidR="0063360C">
        <w:t xml:space="preserve"> about </w:t>
      </w:r>
      <w:r w:rsidRPr="00160290">
        <w:t xml:space="preserve">experience and to gain sufficient skills to operate effectively in the industry. Importantly, </w:t>
      </w:r>
      <w:r w:rsidR="000E2924">
        <w:t xml:space="preserve">VBA's </w:t>
      </w:r>
      <w:r w:rsidRPr="00160290">
        <w:t xml:space="preserve"> assessment process would be shorter, requiring a lower cost to </w:t>
      </w:r>
      <w:r w:rsidR="000E2924">
        <w:t xml:space="preserve">it </w:t>
      </w:r>
      <w:r w:rsidRPr="00160290">
        <w:t>of assessing applications.</w:t>
      </w:r>
    </w:p>
    <w:p w:rsidR="002129C8" w:rsidRPr="00160290" w:rsidRDefault="003A7FBC" w:rsidP="002424BD">
      <w:r w:rsidRPr="00160290">
        <w:t xml:space="preserve">It is estimated that the incremental costs of the </w:t>
      </w:r>
      <w:r w:rsidR="00160290">
        <w:t>R</w:t>
      </w:r>
      <w:r w:rsidRPr="00160290">
        <w:t xml:space="preserve">egulation under this option would be </w:t>
      </w:r>
      <w:r w:rsidR="00746629">
        <w:t>about</w:t>
      </w:r>
      <w:r w:rsidRPr="00160290">
        <w:t xml:space="preserve"> $22.3 million </w:t>
      </w:r>
      <w:r w:rsidR="00746629">
        <w:t>a year</w:t>
      </w:r>
      <w:r w:rsidRPr="00160290">
        <w:t xml:space="preserve">, </w:t>
      </w:r>
      <w:r w:rsidR="00746629">
        <w:t>about</w:t>
      </w:r>
      <w:r w:rsidRPr="00160290">
        <w:t xml:space="preserve"> $4.7 million less than the cost of remaking the current </w:t>
      </w:r>
      <w:r w:rsidR="00160290">
        <w:t>R</w:t>
      </w:r>
      <w:r w:rsidRPr="00160290">
        <w:t xml:space="preserve">egulations. Under this option, the </w:t>
      </w:r>
      <w:r w:rsidR="00160290">
        <w:t>R</w:t>
      </w:r>
      <w:r w:rsidRPr="00160290">
        <w:t xml:space="preserve">egulation would need to prevent </w:t>
      </w:r>
      <w:r w:rsidR="00746629">
        <w:t>about</w:t>
      </w:r>
      <w:r w:rsidRPr="00160290">
        <w:t xml:space="preserve"> 27,008 detrimental incidents each year in order to break even. While this is less than the break-even point for continuing the current </w:t>
      </w:r>
      <w:r w:rsidR="00160290">
        <w:t>R</w:t>
      </w:r>
      <w:r w:rsidRPr="00160290">
        <w:t xml:space="preserve">egulations, the </w:t>
      </w:r>
      <w:r w:rsidR="00BE6DEA" w:rsidRPr="00160290">
        <w:t>department</w:t>
      </w:r>
      <w:r w:rsidRPr="00160290">
        <w:t xml:space="preserve"> considers that the likelihood of reaching the break-even point is less because there would be a higher likelihood of building defects and poor dealings with consumers, due to practitioners in general having less practical experience compared to Option 1. On balance, the department considers this option increases risks</w:t>
      </w:r>
      <w:r w:rsidR="00F43619">
        <w:t>,</w:t>
      </w:r>
      <w:r w:rsidR="0063360C">
        <w:t xml:space="preserve"> which would</w:t>
      </w:r>
      <w:r w:rsidR="004028EE">
        <w:t xml:space="preserve"> </w:t>
      </w:r>
      <w:r w:rsidRPr="00160290">
        <w:t>exacerbat</w:t>
      </w:r>
      <w:r w:rsidR="0063360C">
        <w:t>e</w:t>
      </w:r>
      <w:r w:rsidRPr="00160290">
        <w:t xml:space="preserve"> the already high levels of concern about building practitioners outlined earlier in </w:t>
      </w:r>
      <w:r w:rsidR="000E2924">
        <w:t>the</w:t>
      </w:r>
      <w:r w:rsidR="000E2924" w:rsidRPr="00160290">
        <w:t xml:space="preserve"> </w:t>
      </w:r>
      <w:r w:rsidRPr="00160290">
        <w:t>RIS.</w:t>
      </w:r>
      <w:r w:rsidR="002129C8" w:rsidRPr="00160290">
        <w:t xml:space="preserve"> </w:t>
      </w:r>
      <w:r w:rsidRPr="00160290">
        <w:t>The department</w:t>
      </w:r>
      <w:r w:rsidR="0063360C">
        <w:t xml:space="preserve"> considers </w:t>
      </w:r>
      <w:r w:rsidRPr="00160290">
        <w:t xml:space="preserve">the probability of reaching the break-even point of this option is less that the status quo and the status quo (Option 1) is </w:t>
      </w:r>
      <w:r w:rsidR="0063360C" w:rsidRPr="00160290">
        <w:t xml:space="preserve">therefore </w:t>
      </w:r>
      <w:r w:rsidRPr="00160290">
        <w:t>the preferred option.</w:t>
      </w:r>
    </w:p>
    <w:p w:rsidR="003A7FBC" w:rsidRPr="00160290" w:rsidRDefault="003A7FBC" w:rsidP="003A7FBC">
      <w:r w:rsidRPr="00160290">
        <w:t xml:space="preserve">This option would also potentially lower competition barriers compared to remaking the current </w:t>
      </w:r>
      <w:r w:rsidR="00160290">
        <w:t>R</w:t>
      </w:r>
      <w:r w:rsidRPr="00160290">
        <w:t xml:space="preserve">egulations and improve market access and choice. As noted above, these impacts are difficult to quantify and are complicated by the likely market responses to the </w:t>
      </w:r>
      <w:r w:rsidR="00160290">
        <w:t>R</w:t>
      </w:r>
      <w:r w:rsidRPr="00160290">
        <w:t>egulations (</w:t>
      </w:r>
      <w:r w:rsidR="00703FD9" w:rsidRPr="00160290">
        <w:t>that is</w:t>
      </w:r>
      <w:r w:rsidRPr="00160290">
        <w:t>, pass</w:t>
      </w:r>
      <w:r w:rsidR="0063360C">
        <w:t>-</w:t>
      </w:r>
      <w:r w:rsidRPr="00160290">
        <w:t>through of costs to consumers) which are already included in the above costs.</w:t>
      </w:r>
    </w:p>
    <w:p w:rsidR="003A7FBC" w:rsidRPr="00160290" w:rsidRDefault="008D3250" w:rsidP="00357F56">
      <w:pPr>
        <w:pStyle w:val="Heading2"/>
      </w:pPr>
      <w:bookmarkStart w:id="45" w:name="_Toc481502192"/>
      <w:r>
        <w:t>C3.3</w:t>
      </w:r>
      <w:r>
        <w:tab/>
      </w:r>
      <w:r w:rsidR="003A7FBC" w:rsidRPr="00160290">
        <w:t>Prescribed information related to character</w:t>
      </w:r>
      <w:bookmarkEnd w:id="45"/>
    </w:p>
    <w:p w:rsidR="003A7FBC" w:rsidRPr="00160290" w:rsidRDefault="003A7FBC" w:rsidP="002424BD">
      <w:pPr>
        <w:pStyle w:val="Normalpre-dotpoint"/>
      </w:pPr>
      <w:r w:rsidRPr="00160290">
        <w:t xml:space="preserve">The Act requires </w:t>
      </w:r>
      <w:r w:rsidR="000E2924">
        <w:t>VBA</w:t>
      </w:r>
      <w:r w:rsidRPr="00160290">
        <w:t xml:space="preserve"> to determine if an applicant is a fit and proper person to practise as a building practitioner (</w:t>
      </w:r>
      <w:r w:rsidR="000254D8">
        <w:t>s 1</w:t>
      </w:r>
      <w:r w:rsidRPr="00160290">
        <w:t>70). To facilitate this, the Act requires an applicant to provide with their application prescribed information relating to their character (</w:t>
      </w:r>
      <w:r w:rsidR="000254D8">
        <w:t>s 1</w:t>
      </w:r>
      <w:r w:rsidRPr="00160290">
        <w:t xml:space="preserve">69). The current prescribed information is set out in </w:t>
      </w:r>
      <w:r w:rsidR="000E2924">
        <w:t>reg</w:t>
      </w:r>
      <w:r w:rsidRPr="00160290">
        <w:t>1509</w:t>
      </w:r>
      <w:r w:rsidR="0063360C">
        <w:t xml:space="preserve"> which requires the </w:t>
      </w:r>
      <w:r w:rsidRPr="00160290">
        <w:t xml:space="preserve">applicant </w:t>
      </w:r>
      <w:r w:rsidR="0063360C">
        <w:t xml:space="preserve">to </w:t>
      </w:r>
      <w:r w:rsidRPr="00160290">
        <w:t>disclose if:</w:t>
      </w:r>
    </w:p>
    <w:p w:rsidR="002129C8" w:rsidRPr="00160290" w:rsidRDefault="002424BD" w:rsidP="002424BD">
      <w:pPr>
        <w:kinsoku w:val="0"/>
        <w:overflowPunct w:val="0"/>
        <w:autoSpaceDE w:val="0"/>
        <w:autoSpaceDN w:val="0"/>
        <w:adjustRightInd w:val="0"/>
        <w:snapToGrid w:val="0"/>
        <w:spacing w:before="120" w:after="120" w:line="240" w:lineRule="auto"/>
        <w:ind w:left="567" w:hanging="567"/>
      </w:pPr>
      <w:r w:rsidRPr="00160290">
        <w:t>a)</w:t>
      </w:r>
      <w:r w:rsidRPr="00160290">
        <w:tab/>
      </w:r>
      <w:r w:rsidR="003A7FBC" w:rsidRPr="00160290">
        <w:t xml:space="preserve">the applicant has within the last 10 years as an adult or the last </w:t>
      </w:r>
      <w:r w:rsidR="0063360C">
        <w:t xml:space="preserve">five </w:t>
      </w:r>
      <w:r w:rsidR="003A7FBC" w:rsidRPr="00160290">
        <w:t>years as a child, been convicted or found guilty of an indictable offence or an offence that, if committed in Victoria, would be an indictable offence involving fraud, dishonesty, drug trafficking or violence; or</w:t>
      </w:r>
    </w:p>
    <w:p w:rsidR="002129C8" w:rsidRPr="00160290" w:rsidRDefault="002424BD" w:rsidP="002424BD">
      <w:pPr>
        <w:kinsoku w:val="0"/>
        <w:overflowPunct w:val="0"/>
        <w:autoSpaceDE w:val="0"/>
        <w:autoSpaceDN w:val="0"/>
        <w:adjustRightInd w:val="0"/>
        <w:snapToGrid w:val="0"/>
        <w:spacing w:before="120" w:after="120" w:line="240" w:lineRule="auto"/>
      </w:pPr>
      <w:r w:rsidRPr="00160290">
        <w:t>b)</w:t>
      </w:r>
      <w:r w:rsidRPr="00160290">
        <w:tab/>
      </w:r>
      <w:r w:rsidR="003A7FBC" w:rsidRPr="00160290">
        <w:t>the applicant has ever been insolvent under administration; or</w:t>
      </w:r>
    </w:p>
    <w:p w:rsidR="002129C8" w:rsidRPr="00160290" w:rsidRDefault="002424BD" w:rsidP="002424BD">
      <w:pPr>
        <w:kinsoku w:val="0"/>
        <w:overflowPunct w:val="0"/>
        <w:autoSpaceDE w:val="0"/>
        <w:autoSpaceDN w:val="0"/>
        <w:adjustRightInd w:val="0"/>
        <w:snapToGrid w:val="0"/>
        <w:spacing w:before="120" w:after="120" w:line="240" w:lineRule="auto"/>
        <w:ind w:left="567" w:hanging="567"/>
      </w:pPr>
      <w:r w:rsidRPr="00160290">
        <w:t>c)</w:t>
      </w:r>
      <w:r w:rsidRPr="00160290">
        <w:tab/>
      </w:r>
      <w:r w:rsidR="003A7FBC" w:rsidRPr="00160290">
        <w:t>any licence, permit, registration or other authority enabling the applicant to work as a building practitioner in Victoria or in an equivalent occupation in the building and construction industry in another State or Territory has ever been cancelled or suspended; or</w:t>
      </w:r>
    </w:p>
    <w:p w:rsidR="002129C8" w:rsidRPr="00160290" w:rsidRDefault="002424BD" w:rsidP="002424BD">
      <w:pPr>
        <w:kinsoku w:val="0"/>
        <w:overflowPunct w:val="0"/>
        <w:autoSpaceDE w:val="0"/>
        <w:autoSpaceDN w:val="0"/>
        <w:adjustRightInd w:val="0"/>
        <w:snapToGrid w:val="0"/>
        <w:spacing w:before="120" w:after="120" w:line="240" w:lineRule="auto"/>
        <w:ind w:left="567" w:hanging="567"/>
      </w:pPr>
      <w:r w:rsidRPr="00160290">
        <w:lastRenderedPageBreak/>
        <w:t>d)</w:t>
      </w:r>
      <w:r w:rsidRPr="00160290">
        <w:tab/>
      </w:r>
      <w:r w:rsidR="003A7FBC" w:rsidRPr="00160290">
        <w:t>the applicant has ever been disqualified from holding, or been refused a licence, permit, registration or other authority enabling the applicant to work as a building practitioner in Victoria or in an equivalent occupation in the building and construction industry in another State or Territory; or</w:t>
      </w:r>
    </w:p>
    <w:p w:rsidR="002129C8" w:rsidRPr="00160290" w:rsidRDefault="002424BD" w:rsidP="002424BD">
      <w:pPr>
        <w:kinsoku w:val="0"/>
        <w:overflowPunct w:val="0"/>
        <w:autoSpaceDE w:val="0"/>
        <w:autoSpaceDN w:val="0"/>
        <w:adjustRightInd w:val="0"/>
        <w:snapToGrid w:val="0"/>
        <w:spacing w:before="120" w:after="120" w:line="240" w:lineRule="auto"/>
        <w:ind w:left="567" w:hanging="567"/>
      </w:pPr>
      <w:r w:rsidRPr="00160290">
        <w:t>e)</w:t>
      </w:r>
      <w:r w:rsidRPr="00160290">
        <w:tab/>
      </w:r>
      <w:r w:rsidR="003A7FBC" w:rsidRPr="00160290">
        <w:t xml:space="preserve">the applicant has been fined, reprimanded or cautioned for any breach of an Act, </w:t>
      </w:r>
      <w:r w:rsidR="00160290">
        <w:t>R</w:t>
      </w:r>
      <w:r w:rsidR="003A7FBC" w:rsidRPr="00160290">
        <w:t>egulations, rules, professional conduct or code of ethics, in relation to working as a building practitioner in Victoria or in an equivalent occupation in the building and construction industry in another State or Territory; or</w:t>
      </w:r>
    </w:p>
    <w:p w:rsidR="002129C8" w:rsidRPr="00160290" w:rsidRDefault="002424BD" w:rsidP="002424BD">
      <w:pPr>
        <w:ind w:left="567" w:hanging="567"/>
      </w:pPr>
      <w:r w:rsidRPr="00160290">
        <w:t>f)</w:t>
      </w:r>
      <w:r w:rsidRPr="00160290">
        <w:tab/>
      </w:r>
      <w:r w:rsidR="003A7FBC" w:rsidRPr="00160290">
        <w:t xml:space="preserve">any insurer has ever declined, cancelled, or imposed special conditions in relation to the provision of professional indemnity insurance, public liability insurance, or any other indemnity insurance </w:t>
      </w:r>
      <w:r w:rsidR="00703FD9" w:rsidRPr="00160290">
        <w:t>regarding</w:t>
      </w:r>
      <w:r w:rsidR="003A7FBC" w:rsidRPr="00160290">
        <w:t xml:space="preserve"> the applicant working as a building practitioner in Victoria or in an equivalent occupation in the building and construction industry in another State or Territory.</w:t>
      </w:r>
    </w:p>
    <w:p w:rsidR="00F71F1A" w:rsidRDefault="00204BEB" w:rsidP="008D3250">
      <w:pPr>
        <w:pStyle w:val="Heading3"/>
      </w:pPr>
      <w:bookmarkStart w:id="46" w:name="_Toc481502193"/>
      <w:r>
        <w:t xml:space="preserve">Option 2 – Remake </w:t>
      </w:r>
      <w:r w:rsidR="000E2924">
        <w:t>reg</w:t>
      </w:r>
      <w:r w:rsidR="00FA2F8A">
        <w:t>1509</w:t>
      </w:r>
      <w:bookmarkEnd w:id="46"/>
    </w:p>
    <w:p w:rsidR="003A7FBC" w:rsidRPr="00160290" w:rsidRDefault="003A7FBC" w:rsidP="002424BD">
      <w:r w:rsidRPr="00160290">
        <w:t>Under Option 2</w:t>
      </w:r>
      <w:r w:rsidR="0063360C">
        <w:t>,</w:t>
      </w:r>
      <w:r w:rsidRPr="00160290">
        <w:t xml:space="preserve"> the current </w:t>
      </w:r>
      <w:r w:rsidR="00160290">
        <w:t>R</w:t>
      </w:r>
      <w:r w:rsidRPr="00160290">
        <w:t>egulation would be remade.</w:t>
      </w:r>
    </w:p>
    <w:p w:rsidR="00F71F1A" w:rsidRDefault="003A7FBC" w:rsidP="008D3250">
      <w:pPr>
        <w:pStyle w:val="Heading4"/>
      </w:pPr>
      <w:bookmarkStart w:id="47" w:name="_Toc481502194"/>
      <w:r w:rsidRPr="00160290">
        <w:t>Base case</w:t>
      </w:r>
      <w:bookmarkEnd w:id="47"/>
    </w:p>
    <w:p w:rsidR="003A7FBC" w:rsidRPr="00160290" w:rsidRDefault="003A7FBC" w:rsidP="002424BD">
      <w:pPr>
        <w:pStyle w:val="Normalpre-dotpoint"/>
      </w:pPr>
      <w:r w:rsidRPr="00160290">
        <w:t xml:space="preserve">In the absence of prescribing the current information, there is still an obligation on </w:t>
      </w:r>
      <w:r w:rsidR="000E2924">
        <w:t>VBA</w:t>
      </w:r>
      <w:r w:rsidRPr="00160290">
        <w:t xml:space="preserve"> to consider an applicant’s character before registration can occur (</w:t>
      </w:r>
      <w:r w:rsidR="000254D8">
        <w:t>s 1</w:t>
      </w:r>
      <w:r w:rsidRPr="00160290">
        <w:t>70(1)(c)). There are existing mechanisms to do this</w:t>
      </w:r>
      <w:r w:rsidR="0063360C">
        <w:t xml:space="preserve">. </w:t>
      </w:r>
      <w:r w:rsidR="000E2924">
        <w:t>VBA</w:t>
      </w:r>
      <w:r w:rsidR="0063360C">
        <w:t>:</w:t>
      </w:r>
    </w:p>
    <w:p w:rsidR="003A7FBC" w:rsidRPr="00160290" w:rsidRDefault="003A7FBC" w:rsidP="002424BD">
      <w:pPr>
        <w:pStyle w:val="Dotpoint"/>
      </w:pPr>
      <w:r w:rsidRPr="00160290">
        <w:t>may arrange for the conduct of a police record check (</w:t>
      </w:r>
      <w:r w:rsidR="000254D8">
        <w:t>s 1</w:t>
      </w:r>
      <w:r w:rsidRPr="00160290">
        <w:t>69</w:t>
      </w:r>
      <w:r w:rsidR="0022498F">
        <w:t> A</w:t>
      </w:r>
      <w:r w:rsidRPr="00160290">
        <w:t>)</w:t>
      </w:r>
      <w:r w:rsidR="0063360C">
        <w:t>; i</w:t>
      </w:r>
      <w:r w:rsidRPr="00160290">
        <w:t xml:space="preserve">n practice, </w:t>
      </w:r>
      <w:r w:rsidR="000E2924">
        <w:t>VBA</w:t>
      </w:r>
      <w:r w:rsidRPr="00160290">
        <w:t xml:space="preserve"> does this for all applicants</w:t>
      </w:r>
    </w:p>
    <w:p w:rsidR="003A7FBC" w:rsidRPr="00160290" w:rsidRDefault="003A7FBC" w:rsidP="002424BD">
      <w:pPr>
        <w:pStyle w:val="Dotpoint"/>
      </w:pPr>
      <w:r w:rsidRPr="00160290">
        <w:t xml:space="preserve">may look for risk indicators based on past known activities (including </w:t>
      </w:r>
      <w:r w:rsidR="0063360C">
        <w:t xml:space="preserve">the </w:t>
      </w:r>
      <w:r w:rsidRPr="00160290">
        <w:t>disciplinary history and previous referrals) of the person or associated persons or where referees have been unreliable in the past</w:t>
      </w:r>
    </w:p>
    <w:p w:rsidR="003A7FBC" w:rsidRPr="00160290" w:rsidRDefault="00703FD9" w:rsidP="002424BD">
      <w:pPr>
        <w:pStyle w:val="Dotpoint"/>
      </w:pPr>
      <w:r w:rsidRPr="00160290">
        <w:t xml:space="preserve">can </w:t>
      </w:r>
      <w:r w:rsidR="003A7FBC" w:rsidRPr="00160290">
        <w:t>also do other checks (</w:t>
      </w:r>
      <w:r w:rsidR="0063360C">
        <w:t>for example</w:t>
      </w:r>
      <w:r w:rsidR="003A7FBC" w:rsidRPr="00160290">
        <w:t>, checks</w:t>
      </w:r>
      <w:r w:rsidR="006C108D">
        <w:t xml:space="preserve"> by the Australian Securities and Investments Commission</w:t>
      </w:r>
      <w:r w:rsidR="0063360C">
        <w:t xml:space="preserve">, checks of </w:t>
      </w:r>
      <w:r w:rsidR="003A7FBC" w:rsidRPr="00160290">
        <w:t xml:space="preserve">information from </w:t>
      </w:r>
      <w:r w:rsidR="006C108D">
        <w:t>the Victorian Managed Insurance Agency</w:t>
      </w:r>
      <w:r w:rsidR="006C108D" w:rsidRPr="00160290">
        <w:t xml:space="preserve"> </w:t>
      </w:r>
      <w:r w:rsidR="003A7FBC" w:rsidRPr="00160290">
        <w:t>if deemed relevant or liaison with interstate regulators if particular risks are identified)</w:t>
      </w:r>
    </w:p>
    <w:p w:rsidR="003A7FBC" w:rsidRPr="00160290" w:rsidRDefault="003A7FBC" w:rsidP="002424BD">
      <w:pPr>
        <w:pStyle w:val="Dotpointlast"/>
      </w:pPr>
      <w:r w:rsidRPr="00160290">
        <w:t>has a power under the Act to ask the applicant to give it any information that it reasonably requires to determine the application (</w:t>
      </w:r>
      <w:r w:rsidR="000254D8">
        <w:t>s 1</w:t>
      </w:r>
      <w:r w:rsidRPr="00160290">
        <w:t>69(3)).</w:t>
      </w:r>
    </w:p>
    <w:p w:rsidR="003A7FBC" w:rsidRPr="00160290" w:rsidRDefault="003A7FBC" w:rsidP="002424BD">
      <w:r w:rsidRPr="00160290">
        <w:t xml:space="preserve">There is no application form prescribed by the Act or </w:t>
      </w:r>
      <w:r w:rsidR="00160290">
        <w:t>R</w:t>
      </w:r>
      <w:r w:rsidRPr="00160290">
        <w:t xml:space="preserve">egulations, </w:t>
      </w:r>
      <w:r w:rsidR="00D20CBF">
        <w:t xml:space="preserve">but </w:t>
      </w:r>
      <w:r w:rsidRPr="00160290">
        <w:t xml:space="preserve">in practice </w:t>
      </w:r>
      <w:r w:rsidR="000E2924">
        <w:t>VBA</w:t>
      </w:r>
      <w:r w:rsidRPr="00160290">
        <w:t xml:space="preserve"> uses a standard application form that it requires applicants to complete. This means in practice, in the absence of </w:t>
      </w:r>
      <w:r w:rsidR="000E2924">
        <w:t>reg</w:t>
      </w:r>
      <w:r w:rsidRPr="00160290">
        <w:t xml:space="preserve">1509, </w:t>
      </w:r>
      <w:r w:rsidR="000E2924">
        <w:t>VBA</w:t>
      </w:r>
      <w:r w:rsidRPr="00160290">
        <w:t xml:space="preserve"> could still include questions related to the same information in the standard application form. While an applicant could refuse to answer these questions, </w:t>
      </w:r>
      <w:r w:rsidR="000E2924">
        <w:t>VBA</w:t>
      </w:r>
      <w:r w:rsidRPr="00160290">
        <w:t xml:space="preserve"> could refuse to consider the application unless the information is provided (relying on </w:t>
      </w:r>
      <w:r w:rsidR="000254D8">
        <w:t>s 1</w:t>
      </w:r>
      <w:r w:rsidRPr="00160290">
        <w:t>69(3)).</w:t>
      </w:r>
    </w:p>
    <w:p w:rsidR="00F71F1A" w:rsidRDefault="003A7FBC" w:rsidP="008D3250">
      <w:pPr>
        <w:pStyle w:val="Heading6"/>
      </w:pPr>
      <w:r w:rsidRPr="00160290">
        <w:t xml:space="preserve">Costs </w:t>
      </w:r>
    </w:p>
    <w:p w:rsidR="003A7FBC" w:rsidRPr="00160290" w:rsidRDefault="003A7FBC" w:rsidP="002424BD">
      <w:r w:rsidRPr="00160290">
        <w:t xml:space="preserve">The direct costs of the current </w:t>
      </w:r>
      <w:r w:rsidR="00160290">
        <w:t>R</w:t>
      </w:r>
      <w:r w:rsidRPr="00160290">
        <w:t>egulation 1509 is that an applicant needs to answer a series of questions related to character as part of their application form. Th</w:t>
      </w:r>
      <w:r w:rsidR="00D20CBF">
        <w:t xml:space="preserve">ese are </w:t>
      </w:r>
      <w:r w:rsidRPr="00160290">
        <w:t>yes</w:t>
      </w:r>
      <w:r w:rsidR="00D20CBF">
        <w:t>-</w:t>
      </w:r>
      <w:r w:rsidRPr="00160290">
        <w:t xml:space="preserve">no questions, and in nearly all cases no other information is required to be provided. This is estimated to involve an incremental cost to completing an application of </w:t>
      </w:r>
      <w:r w:rsidR="00746629">
        <w:t>about</w:t>
      </w:r>
      <w:r w:rsidRPr="00160290">
        <w:t xml:space="preserve"> </w:t>
      </w:r>
      <w:r w:rsidR="00D20CBF">
        <w:t xml:space="preserve">five </w:t>
      </w:r>
      <w:r w:rsidRPr="00160290">
        <w:t>minutes per applicant.</w:t>
      </w:r>
      <w:r w:rsidRPr="00160290">
        <w:rPr>
          <w:rStyle w:val="FootnoteReference"/>
          <w:rFonts w:cs="Times New Roman"/>
        </w:rPr>
        <w:footnoteReference w:id="32"/>
      </w:r>
      <w:r w:rsidRPr="00160290">
        <w:t xml:space="preserve"> Valuing an applicant’s time at $56.04 per hour</w:t>
      </w:r>
      <w:r w:rsidR="00561486">
        <w:t>,</w:t>
      </w:r>
      <w:r w:rsidRPr="00160290">
        <w:rPr>
          <w:rStyle w:val="FootnoteReference"/>
          <w:rFonts w:cs="Times New Roman"/>
        </w:rPr>
        <w:footnoteReference w:id="33"/>
      </w:r>
      <w:r w:rsidRPr="00160290">
        <w:t xml:space="preserve"> the incremental cost is estimated at $4.67 per application.</w:t>
      </w:r>
    </w:p>
    <w:p w:rsidR="00011DF3" w:rsidRDefault="00011DF3">
      <w:pPr>
        <w:spacing w:after="0"/>
      </w:pPr>
      <w:r>
        <w:br w:type="page"/>
      </w:r>
    </w:p>
    <w:p w:rsidR="003A7FBC" w:rsidRPr="00160290" w:rsidRDefault="003A7FBC" w:rsidP="002424BD">
      <w:r w:rsidRPr="00160290">
        <w:lastRenderedPageBreak/>
        <w:t xml:space="preserve">From 1 September 2016, registered practitioners must renew their registration at least every five years. This means the number of applications where the prescribed information will need to be provided will be for new applicants as well as a share of existing registered practitioners. As the change to five-yearly renewals is new, </w:t>
      </w:r>
      <w:r w:rsidR="000E2924">
        <w:t>VBA</w:t>
      </w:r>
      <w:r w:rsidRPr="00160290">
        <w:t xml:space="preserve"> is still working through the process to allocate renewal years to registrations before September 2016. This may result in the number of renewals being volatile from year to year, </w:t>
      </w:r>
      <w:r w:rsidR="00D20CBF">
        <w:t xml:space="preserve">but </w:t>
      </w:r>
      <w:r w:rsidRPr="00160290">
        <w:t xml:space="preserve">for modelling purposes a smoothed distribution of renewals </w:t>
      </w:r>
      <w:r w:rsidR="00D20CBF">
        <w:t>is assumed</w:t>
      </w:r>
      <w:r w:rsidRPr="00160290">
        <w:t>, such that one-fifth of existing practitioners will need to renew each year. There were 22,377 registered building practitioners as at 30 June 201</w:t>
      </w:r>
      <w:r w:rsidR="00D20CBF">
        <w:t xml:space="preserve"> so it </w:t>
      </w:r>
      <w:r w:rsidRPr="00160290">
        <w:t xml:space="preserve">is therefore assumed that 4,475 practitioners need to renew each year. There will also be </w:t>
      </w:r>
      <w:r w:rsidR="00746629">
        <w:t>about</w:t>
      </w:r>
      <w:r w:rsidRPr="00160290">
        <w:t xml:space="preserve"> 700 net new applications</w:t>
      </w:r>
      <w:r w:rsidR="00561486">
        <w:t>.</w:t>
      </w:r>
      <w:r w:rsidRPr="00160290">
        <w:rPr>
          <w:rStyle w:val="FootnoteReference"/>
          <w:rFonts w:cs="Times New Roman"/>
        </w:rPr>
        <w:footnoteReference w:id="34"/>
      </w:r>
      <w:r w:rsidRPr="00160290">
        <w:t xml:space="preserve"> This gives a total number of registration renewals</w:t>
      </w:r>
      <w:r w:rsidR="00D20CBF">
        <w:t xml:space="preserve"> and </w:t>
      </w:r>
      <w:r w:rsidRPr="00160290">
        <w:t>applications each year of 5,175.</w:t>
      </w:r>
    </w:p>
    <w:p w:rsidR="003A7FBC" w:rsidRPr="00160290" w:rsidRDefault="003A7FBC" w:rsidP="002424BD">
      <w:r w:rsidRPr="00160290">
        <w:t xml:space="preserve">The total administrative burden for applicants providing the prescribed information is therefore $24,171 </w:t>
      </w:r>
      <w:r w:rsidR="00746629">
        <w:t>a year</w:t>
      </w:r>
      <w:r w:rsidR="00D20CBF">
        <w:t xml:space="preserve">, or </w:t>
      </w:r>
      <w:r w:rsidRPr="00160290">
        <w:t>$212,393</w:t>
      </w:r>
      <w:r w:rsidR="00D20CBF">
        <w:t xml:space="preserve"> NPV </w:t>
      </w:r>
      <w:r w:rsidR="006C108D">
        <w:t xml:space="preserve">(net present value) </w:t>
      </w:r>
      <w:r w:rsidR="00D20CBF">
        <w:t>over 10 years</w:t>
      </w:r>
      <w:r w:rsidRPr="00160290">
        <w:t>.</w:t>
      </w:r>
    </w:p>
    <w:p w:rsidR="003A7FBC" w:rsidRPr="00160290" w:rsidRDefault="003A7FBC" w:rsidP="002424BD">
      <w:r w:rsidRPr="00160290">
        <w:t xml:space="preserve">The prescribing of information in </w:t>
      </w:r>
      <w:r w:rsidR="00381EF5">
        <w:t>reg</w:t>
      </w:r>
      <w:r w:rsidRPr="00160290">
        <w:t xml:space="preserve">1509 also triggers another obligation under the Act. Under </w:t>
      </w:r>
      <w:r w:rsidR="000254D8">
        <w:t>s 1</w:t>
      </w:r>
      <w:r w:rsidRPr="00160290">
        <w:t>72</w:t>
      </w:r>
      <w:r w:rsidR="0022498F">
        <w:t>A</w:t>
      </w:r>
      <w:r w:rsidRPr="00160290">
        <w:t xml:space="preserve">, a registered practitioner must notify </w:t>
      </w:r>
      <w:r w:rsidR="000E2924">
        <w:t>VBA</w:t>
      </w:r>
      <w:r w:rsidRPr="00160290">
        <w:t xml:space="preserve"> of any change to the prescribed information about the practitioner provided as part their application</w:t>
      </w:r>
      <w:r w:rsidR="00D20CBF">
        <w:t>,</w:t>
      </w:r>
      <w:r w:rsidRPr="00160290">
        <w:t xml:space="preserve"> without delay</w:t>
      </w:r>
      <w:r w:rsidR="00D20CBF">
        <w:t>,</w:t>
      </w:r>
      <w:r w:rsidRPr="00160290">
        <w:t xml:space="preserve"> after the change occurs. However, </w:t>
      </w:r>
      <w:r w:rsidR="000700D8">
        <w:t>authority</w:t>
      </w:r>
      <w:r w:rsidRPr="00160290">
        <w:t xml:space="preserve"> staff consulted for this report were not aware of any practitioners providing such information in practice, and therefore this secondary requirement is assumed to impose no real burden on practitioners.</w:t>
      </w:r>
    </w:p>
    <w:p w:rsidR="00F71F1A" w:rsidRDefault="003A7FBC" w:rsidP="008D3250">
      <w:pPr>
        <w:pStyle w:val="Heading6"/>
      </w:pPr>
      <w:r w:rsidRPr="00160290">
        <w:t>Benefits</w:t>
      </w:r>
    </w:p>
    <w:p w:rsidR="003A7FBC" w:rsidRPr="00160290" w:rsidRDefault="003A7FBC" w:rsidP="002424BD">
      <w:r w:rsidRPr="00160290">
        <w:t>The risks sought to be addressed by regulating building practitioners go to the high risks of fraud, corruption and dishonestly that may occur in an unregulated sector. The prescribed information is not the first line of checking character</w:t>
      </w:r>
      <w:r w:rsidR="00D20CBF">
        <w:t xml:space="preserve">: </w:t>
      </w:r>
      <w:r w:rsidR="000E2924">
        <w:t>VBA</w:t>
      </w:r>
      <w:r w:rsidRPr="00160290">
        <w:t xml:space="preserve"> obtains its own police record checks and reference checks. Indeed, the above costs may be zero in practice if </w:t>
      </w:r>
      <w:r w:rsidR="000E2924">
        <w:t>VBA</w:t>
      </w:r>
      <w:r w:rsidRPr="00160290">
        <w:t xml:space="preserve"> requests the information from applicants anyway. To the extent that prescribing the information may allow </w:t>
      </w:r>
      <w:r w:rsidR="000E2924">
        <w:t>VBA</w:t>
      </w:r>
      <w:r w:rsidRPr="00160290">
        <w:t xml:space="preserve"> to identify unsuitable applicants that it otherwise would</w:t>
      </w:r>
      <w:r w:rsidR="00D20CBF">
        <w:t xml:space="preserve"> not</w:t>
      </w:r>
      <w:r w:rsidRPr="00160290">
        <w:t xml:space="preserve">, the benefit of the prescribed information is to increase the likelihood that unsuitable practitioners will be prevented from becoming registered and consumers will </w:t>
      </w:r>
      <w:r w:rsidR="00D20CBF" w:rsidRPr="00160290">
        <w:t xml:space="preserve">therefore </w:t>
      </w:r>
      <w:r w:rsidRPr="00160290">
        <w:t>be protected.</w:t>
      </w:r>
    </w:p>
    <w:p w:rsidR="003A7FBC" w:rsidRPr="00160290" w:rsidRDefault="003A7FBC" w:rsidP="002424BD">
      <w:r w:rsidRPr="00160290">
        <w:t>The prescribed information is not only a mechanism to capture information that may not be identified through other checks</w:t>
      </w:r>
      <w:r w:rsidR="009F55B5">
        <w:t xml:space="preserve">: it </w:t>
      </w:r>
      <w:r w:rsidRPr="00160290">
        <w:t>also serves as a way of seeing if an applicant is honest and open in their application</w:t>
      </w:r>
      <w:r w:rsidR="009F55B5">
        <w:t xml:space="preserve">, which is </w:t>
      </w:r>
      <w:r w:rsidRPr="00160290">
        <w:t>itself a matter of character (for example, admission of prior insolvency or disqualification in another state, which may be able to be separately verified in some cases).</w:t>
      </w:r>
    </w:p>
    <w:p w:rsidR="003A7FBC" w:rsidRPr="00160290" w:rsidRDefault="003A7FBC" w:rsidP="002424BD">
      <w:r w:rsidRPr="00160290">
        <w:t xml:space="preserve">These benefits are difficult to quantify, both in assigning a value to the benefit and </w:t>
      </w:r>
      <w:r w:rsidR="009F55B5">
        <w:t xml:space="preserve">in </w:t>
      </w:r>
      <w:r w:rsidRPr="00160290">
        <w:t>estimating the frequency</w:t>
      </w:r>
      <w:r w:rsidR="009F55B5">
        <w:t xml:space="preserve"> with </w:t>
      </w:r>
      <w:r w:rsidRPr="00160290">
        <w:t xml:space="preserve">which the prescribing of information will result in a different outcome. Based on the data held at an aggregate level by </w:t>
      </w:r>
      <w:r w:rsidR="000E2924">
        <w:t>VBA</w:t>
      </w:r>
      <w:r w:rsidRPr="00160290">
        <w:t xml:space="preserve">, the number of applications refused on character grounds was unable to be determined, as was whether or not this was only possible because of the prescribed information. This is because applications are </w:t>
      </w:r>
      <w:r w:rsidR="009F55B5" w:rsidRPr="00160290">
        <w:t xml:space="preserve">often </w:t>
      </w:r>
      <w:r w:rsidRPr="00160290">
        <w:t>in practice refused for multiple reasons and are not easily counted on the basis of single grounds for refusal</w:t>
      </w:r>
      <w:r w:rsidR="009F55B5">
        <w:t xml:space="preserve">: </w:t>
      </w:r>
      <w:r w:rsidRPr="00160290">
        <w:t>complete information is recorded on each individual file only.</w:t>
      </w:r>
    </w:p>
    <w:p w:rsidR="003A7FBC" w:rsidRPr="00160290" w:rsidRDefault="003A7FBC" w:rsidP="002424BD">
      <w:pPr>
        <w:rPr>
          <w:bCs/>
        </w:rPr>
      </w:pPr>
      <w:r w:rsidRPr="00160290">
        <w:t xml:space="preserve">The </w:t>
      </w:r>
      <w:r w:rsidR="00D3125B" w:rsidRPr="00D3125B">
        <w:rPr>
          <w:i/>
        </w:rPr>
        <w:t>2016 Australian Consumer Survey</w:t>
      </w:r>
      <w:r w:rsidRPr="00160290">
        <w:t xml:space="preserve"> indicated the cost to Australian consumers to resolve building problems was an estimated average of $751.36 per incident. While this figure represents the costs from all types of problems (</w:t>
      </w:r>
      <w:r w:rsidR="00703FD9" w:rsidRPr="00160290">
        <w:t>that is</w:t>
      </w:r>
      <w:r w:rsidRPr="00160290">
        <w:t>, poor</w:t>
      </w:r>
      <w:r w:rsidR="009F55B5">
        <w:t>-</w:t>
      </w:r>
      <w:r w:rsidRPr="00160290">
        <w:t xml:space="preserve">quality work as well as unprofessional conduct), it is an indicator </w:t>
      </w:r>
      <w:r w:rsidR="009F55B5">
        <w:t xml:space="preserve">of </w:t>
      </w:r>
      <w:r w:rsidRPr="00160290">
        <w:t>the possible benefits of avoiding unsuitable practitioners from being registered. In order to break-even (</w:t>
      </w:r>
      <w:r w:rsidR="009F55B5">
        <w:t xml:space="preserve">for the </w:t>
      </w:r>
      <w:r w:rsidRPr="00160290">
        <w:t xml:space="preserve">benefits </w:t>
      </w:r>
      <w:r w:rsidR="009F55B5">
        <w:t xml:space="preserve">to </w:t>
      </w:r>
      <w:r w:rsidRPr="00160290">
        <w:t xml:space="preserve">outweigh the costs), the prescribing of the character information would need to result in 22 incidents being avoided each year. As each registered builder may undertake </w:t>
      </w:r>
      <w:r w:rsidR="00746629">
        <w:t>about</w:t>
      </w:r>
      <w:r w:rsidRPr="00160290">
        <w:t xml:space="preserve"> 10 building works each year, the break-even point suggests that if </w:t>
      </w:r>
      <w:r w:rsidR="00746629">
        <w:t>about</w:t>
      </w:r>
      <w:r w:rsidRPr="00160290">
        <w:t xml:space="preserve"> </w:t>
      </w:r>
      <w:r w:rsidR="00160290" w:rsidRPr="00160290">
        <w:t>three</w:t>
      </w:r>
      <w:r w:rsidRPr="00160290">
        <w:t xml:space="preserve"> unsuitable practitioners are prevented </w:t>
      </w:r>
      <w:r w:rsidRPr="00160290">
        <w:lastRenderedPageBreak/>
        <w:t xml:space="preserve">from being registered because of the prescribing of the character information, then the benefits will outweigh the costs. While aggregate data is not available, our understanding from </w:t>
      </w:r>
      <w:r w:rsidR="000E2924">
        <w:t>VBA</w:t>
      </w:r>
      <w:r w:rsidRPr="00160290">
        <w:t xml:space="preserve"> is that character grounds are common in refusal</w:t>
      </w:r>
      <w:r w:rsidR="009F55B5">
        <w:t>s</w:t>
      </w:r>
      <w:r w:rsidRPr="00160290">
        <w:t xml:space="preserve">, and that asking </w:t>
      </w:r>
      <w:r w:rsidR="009F55B5">
        <w:t xml:space="preserve">for </w:t>
      </w:r>
      <w:r w:rsidRPr="00160290">
        <w:t xml:space="preserve">the prescribed information is </w:t>
      </w:r>
      <w:r w:rsidR="009F55B5">
        <w:t xml:space="preserve">how </w:t>
      </w:r>
      <w:r w:rsidR="000E2924">
        <w:t>VBA</w:t>
      </w:r>
      <w:r w:rsidRPr="00160290">
        <w:t xml:space="preserve"> identified initial risk indicators. The </w:t>
      </w:r>
      <w:r w:rsidR="00BE6DEA" w:rsidRPr="00160290">
        <w:t>department</w:t>
      </w:r>
      <w:r w:rsidRPr="00160290">
        <w:t xml:space="preserve"> considers it likely that this break-even point is met, despite it not hav</w:t>
      </w:r>
      <w:r w:rsidR="00703FD9" w:rsidRPr="00160290">
        <w:t>ing</w:t>
      </w:r>
      <w:r w:rsidRPr="00160290">
        <w:t xml:space="preserve"> data on the extent to which issues of character are (or would be) a cause of problems reported by consumers.</w:t>
      </w:r>
    </w:p>
    <w:p w:rsidR="00F71F1A" w:rsidRDefault="003A7FBC">
      <w:r w:rsidRPr="00160290">
        <w:t>The department has considered two other options</w:t>
      </w:r>
      <w:r w:rsidR="009F55B5">
        <w:t>.</w:t>
      </w:r>
    </w:p>
    <w:p w:rsidR="00F71F1A" w:rsidRDefault="003A7FBC" w:rsidP="008D3250">
      <w:pPr>
        <w:pStyle w:val="Heading3"/>
      </w:pPr>
      <w:bookmarkStart w:id="48" w:name="_Toc481502195"/>
      <w:r w:rsidRPr="00160290">
        <w:t xml:space="preserve">Option 2.1 – </w:t>
      </w:r>
      <w:r w:rsidR="00B66344">
        <w:t>R</w:t>
      </w:r>
      <w:r w:rsidRPr="00160290">
        <w:t>educ</w:t>
      </w:r>
      <w:r w:rsidR="00B66344">
        <w:t>e</w:t>
      </w:r>
      <w:r w:rsidRPr="00160290">
        <w:t xml:space="preserve"> the</w:t>
      </w:r>
      <w:r w:rsidR="008A5E35">
        <w:t xml:space="preserve"> prescribed</w:t>
      </w:r>
      <w:r w:rsidRPr="00160290">
        <w:t xml:space="preserve"> information to be provided</w:t>
      </w:r>
      <w:bookmarkEnd w:id="48"/>
    </w:p>
    <w:p w:rsidR="00F71F1A" w:rsidRDefault="003A7FBC">
      <w:r w:rsidRPr="00160290">
        <w:t xml:space="preserve">This option is examined </w:t>
      </w:r>
      <w:r w:rsidR="00703FD9" w:rsidRPr="00160290">
        <w:t xml:space="preserve">to </w:t>
      </w:r>
      <w:r w:rsidRPr="00160290">
        <w:t xml:space="preserve">consider a </w:t>
      </w:r>
      <w:r w:rsidR="00B66344">
        <w:t>reduced-</w:t>
      </w:r>
      <w:r w:rsidR="00160290">
        <w:t>R</w:t>
      </w:r>
      <w:r w:rsidRPr="00160290">
        <w:t xml:space="preserve">egulation option. </w:t>
      </w:r>
      <w:proofErr w:type="spellStart"/>
      <w:r w:rsidR="00B66344">
        <w:t>R</w:t>
      </w:r>
      <w:r w:rsidR="00381EF5">
        <w:t>eg</w:t>
      </w:r>
      <w:proofErr w:type="spellEnd"/>
      <w:r w:rsidR="00B66344">
        <w:t xml:space="preserve"> </w:t>
      </w:r>
      <w:r w:rsidRPr="00160290">
        <w:t xml:space="preserve">1509(e) requires an applicant to disclose whether </w:t>
      </w:r>
      <w:r w:rsidR="00B66344">
        <w:t xml:space="preserve">they have </w:t>
      </w:r>
      <w:r w:rsidRPr="00160290">
        <w:t xml:space="preserve">been fined, reprimanded or cautioned for any breach of an Act, </w:t>
      </w:r>
      <w:r w:rsidR="00160290">
        <w:t>R</w:t>
      </w:r>
      <w:r w:rsidRPr="00160290">
        <w:t>egulations, rules, professional conduct or code of ethics, in relation to working as a building practitioner in Victoria or in an equivalent occupation in the building and construction industry in another State or Territory</w:t>
      </w:r>
      <w:r w:rsidR="00B66344">
        <w:t xml:space="preserve">. </w:t>
      </w:r>
      <w:r w:rsidR="00B66344" w:rsidRPr="00160290">
        <w:t>The department identified that</w:t>
      </w:r>
      <w:r w:rsidR="00B66344">
        <w:t xml:space="preserve"> this Regulation</w:t>
      </w:r>
      <w:r w:rsidRPr="00160290">
        <w:t xml:space="preserve"> could be removed, as </w:t>
      </w:r>
      <w:r w:rsidR="00B66344">
        <w:t xml:space="preserve">it is </w:t>
      </w:r>
      <w:r w:rsidRPr="00160290">
        <w:t xml:space="preserve">considered </w:t>
      </w:r>
      <w:r w:rsidR="00B66344">
        <w:t xml:space="preserve">to be </w:t>
      </w:r>
      <w:r w:rsidRPr="00160290">
        <w:t xml:space="preserve">rarely used in making a decision </w:t>
      </w:r>
      <w:r w:rsidR="00703FD9" w:rsidRPr="00160290">
        <w:t>about</w:t>
      </w:r>
      <w:r w:rsidRPr="00160290">
        <w:t xml:space="preserve"> character.</w:t>
      </w:r>
    </w:p>
    <w:p w:rsidR="00F71F1A" w:rsidRDefault="003A7FBC" w:rsidP="008D3250">
      <w:pPr>
        <w:pStyle w:val="Heading3"/>
      </w:pPr>
      <w:bookmarkStart w:id="49" w:name="_Toc481502196"/>
      <w:r w:rsidRPr="00160290">
        <w:t>Option 2.2 –</w:t>
      </w:r>
      <w:r w:rsidR="00BD1691">
        <w:t xml:space="preserve"> </w:t>
      </w:r>
      <w:r w:rsidR="008A5E35">
        <w:t>Expand</w:t>
      </w:r>
      <w:r w:rsidR="00FA2F8A">
        <w:t xml:space="preserve"> </w:t>
      </w:r>
      <w:r w:rsidR="00BD1691" w:rsidRPr="00160290">
        <w:t>the</w:t>
      </w:r>
      <w:r w:rsidR="008A5E35">
        <w:t xml:space="preserve"> prescribed</w:t>
      </w:r>
      <w:r w:rsidR="00BD1691" w:rsidRPr="00160290">
        <w:t xml:space="preserve"> information </w:t>
      </w:r>
      <w:r w:rsidR="00FA2F8A">
        <w:t>to be provided</w:t>
      </w:r>
      <w:bookmarkEnd w:id="49"/>
    </w:p>
    <w:p w:rsidR="00F71F1A" w:rsidRDefault="003A7FBC">
      <w:r w:rsidRPr="00160290">
        <w:t xml:space="preserve">Following discussions with </w:t>
      </w:r>
      <w:r w:rsidR="000E2924">
        <w:t>VBA</w:t>
      </w:r>
      <w:r w:rsidRPr="00160290">
        <w:t xml:space="preserve">, additional information was identified that could be useful in making an assessment but is currently not </w:t>
      </w:r>
      <w:r w:rsidR="00B66344">
        <w:t>requested</w:t>
      </w:r>
      <w:r w:rsidRPr="00160290">
        <w:t xml:space="preserve">. Under this option, information in relation to breaches of the securities of payment legislation, domestic building contracts legislation, </w:t>
      </w:r>
      <w:r w:rsidR="00B66344">
        <w:t xml:space="preserve">environmental protection </w:t>
      </w:r>
      <w:r w:rsidRPr="00160290">
        <w:t>legislation and</w:t>
      </w:r>
      <w:r w:rsidR="00B66344">
        <w:t xml:space="preserve"> occupational health and safety </w:t>
      </w:r>
      <w:r w:rsidRPr="00160290">
        <w:t xml:space="preserve">legislation would also be </w:t>
      </w:r>
      <w:r w:rsidR="00B66344">
        <w:t>requested</w:t>
      </w:r>
      <w:r w:rsidRPr="00160290">
        <w:t>.</w:t>
      </w:r>
    </w:p>
    <w:p w:rsidR="003A7FBC" w:rsidRPr="00160290" w:rsidRDefault="003A7FBC" w:rsidP="002424BD">
      <w:r w:rsidRPr="00160290">
        <w:t xml:space="preserve">The main differences in relation to </w:t>
      </w:r>
      <w:r w:rsidR="00B66344">
        <w:t xml:space="preserve">the </w:t>
      </w:r>
      <w:r w:rsidRPr="00160290">
        <w:t>cost</w:t>
      </w:r>
      <w:r w:rsidR="00B66344">
        <w:t>s</w:t>
      </w:r>
      <w:r w:rsidRPr="00160290">
        <w:t xml:space="preserve"> of these options is the time it takes an applicant to read the relevant question and provide a yes</w:t>
      </w:r>
      <w:r w:rsidR="00B66344">
        <w:t>-</w:t>
      </w:r>
      <w:r w:rsidRPr="00160290">
        <w:t xml:space="preserve">no answer. While continuing the existing questions was estimated to take </w:t>
      </w:r>
      <w:r w:rsidR="00B66344">
        <w:t xml:space="preserve">five </w:t>
      </w:r>
      <w:r w:rsidRPr="00160290">
        <w:t xml:space="preserve">minutes per application, reducing the number of questions by </w:t>
      </w:r>
      <w:r w:rsidR="00160290" w:rsidRPr="00160290">
        <w:t>one</w:t>
      </w:r>
      <w:r w:rsidRPr="00160290">
        <w:t xml:space="preserve"> is unlikely to have a material change: purely based on the number of questions, this may take only </w:t>
      </w:r>
      <w:r w:rsidR="00B66344">
        <w:t xml:space="preserve">four </w:t>
      </w:r>
      <w:r w:rsidRPr="00160290">
        <w:t xml:space="preserve">minutes. Therefore, </w:t>
      </w:r>
      <w:r w:rsidR="00B66344" w:rsidRPr="00160290">
        <w:t xml:space="preserve">Option 2.1 </w:t>
      </w:r>
      <w:r w:rsidR="00B66344">
        <w:t>(</w:t>
      </w:r>
      <w:r w:rsidRPr="00160290">
        <w:t>the reduced</w:t>
      </w:r>
      <w:r w:rsidR="00B66344">
        <w:t>-</w:t>
      </w:r>
      <w:r w:rsidR="00160290">
        <w:t>R</w:t>
      </w:r>
      <w:r w:rsidRPr="00160290">
        <w:t>egulation option</w:t>
      </w:r>
      <w:r w:rsidR="00B66344">
        <w:t xml:space="preserve">) </w:t>
      </w:r>
      <w:r w:rsidRPr="00160290">
        <w:t xml:space="preserve">would have a total cost of $19,337 </w:t>
      </w:r>
      <w:r w:rsidR="00746629">
        <w:t>a year</w:t>
      </w:r>
      <w:r w:rsidRPr="00160290">
        <w:t xml:space="preserve"> and require the information to lead to </w:t>
      </w:r>
      <w:r w:rsidR="00B66344">
        <w:t xml:space="preserve">an average </w:t>
      </w:r>
      <w:r w:rsidRPr="00160290">
        <w:t>2</w:t>
      </w:r>
      <w:r w:rsidR="00B66344">
        <w:t>.5</w:t>
      </w:r>
      <w:r w:rsidRPr="00160290">
        <w:t xml:space="preserve"> unsuitable practitioners being refused registration each year in order to break even.</w:t>
      </w:r>
    </w:p>
    <w:p w:rsidR="002129C8" w:rsidRDefault="003A7FBC" w:rsidP="002424BD">
      <w:r w:rsidRPr="00160290">
        <w:t>Conversely</w:t>
      </w:r>
      <w:r w:rsidR="00B66344">
        <w:t>,</w:t>
      </w:r>
      <w:r w:rsidRPr="00160290">
        <w:t xml:space="preserve"> under Option 2.2, asking </w:t>
      </w:r>
      <w:r w:rsidR="00B66344">
        <w:t xml:space="preserve">for </w:t>
      </w:r>
      <w:r w:rsidRPr="00160290">
        <w:t xml:space="preserve">additional information would increase the administrative cost </w:t>
      </w:r>
      <w:r w:rsidR="00B66344">
        <w:t xml:space="preserve">to </w:t>
      </w:r>
      <w:r w:rsidRPr="00160290">
        <w:t xml:space="preserve">applicants. The additional information may be more time-consuming to provide as an applicant may need to consider a wider range of information before responding. It may therefore take </w:t>
      </w:r>
      <w:r w:rsidR="00746629">
        <w:t>about</w:t>
      </w:r>
      <w:r w:rsidRPr="00160290">
        <w:t xml:space="preserve"> </w:t>
      </w:r>
      <w:r w:rsidR="00B66344">
        <w:t xml:space="preserve">seven </w:t>
      </w:r>
      <w:r w:rsidRPr="00160290">
        <w:t xml:space="preserve">minutes to complete this range of questions in an application. On the same methodology, this option would result in a total cost of $33,839 </w:t>
      </w:r>
      <w:r w:rsidR="00746629">
        <w:t>a year</w:t>
      </w:r>
      <w:r w:rsidRPr="00160290">
        <w:t xml:space="preserve">, and require </w:t>
      </w:r>
      <w:r w:rsidR="00B66344">
        <w:t xml:space="preserve">an average of some </w:t>
      </w:r>
      <w:r w:rsidRPr="00160290">
        <w:t>4</w:t>
      </w:r>
      <w:r w:rsidR="00B66344">
        <w:t xml:space="preserve">.5 </w:t>
      </w:r>
      <w:r w:rsidRPr="00160290">
        <w:t>unsuitable practitioners being refused each year because of the prescribed information.</w:t>
      </w:r>
    </w:p>
    <w:p w:rsidR="00011DF3" w:rsidRDefault="00011DF3">
      <w:pPr>
        <w:spacing w:after="0"/>
      </w:pPr>
      <w:r>
        <w:br w:type="page"/>
      </w:r>
    </w:p>
    <w:p w:rsidR="00B66344" w:rsidRPr="00160290" w:rsidRDefault="00B66344" w:rsidP="002424BD">
      <w:r>
        <w:lastRenderedPageBreak/>
        <w:t xml:space="preserve">Table </w:t>
      </w:r>
      <w:r w:rsidR="008A39F6">
        <w:t>3</w:t>
      </w:r>
      <w:r>
        <w:t xml:space="preserve"> shows the yearly and </w:t>
      </w:r>
      <w:r w:rsidR="000E2924">
        <w:t>10</w:t>
      </w:r>
      <w:r>
        <w:t xml:space="preserve">-year NPV costs of remaking the Regulation and the </w:t>
      </w:r>
      <w:r w:rsidR="0058158E">
        <w:t>three</w:t>
      </w:r>
      <w:r>
        <w:t xml:space="preserve"> options and the benefits of each.</w:t>
      </w:r>
    </w:p>
    <w:p w:rsidR="00F71F1A" w:rsidRDefault="00160290">
      <w:pPr>
        <w:pStyle w:val="Caption"/>
      </w:pPr>
      <w:bookmarkStart w:id="50" w:name="_Toc481473111"/>
      <w:r>
        <w:t xml:space="preserve">Table </w:t>
      </w:r>
      <w:r w:rsidR="008A39F6">
        <w:t>3</w:t>
      </w:r>
      <w:r>
        <w:t xml:space="preserve">: </w:t>
      </w:r>
      <w:r w:rsidR="00B669AA">
        <w:t>Prescribed information relating to character options, costs and benefits</w:t>
      </w:r>
      <w:bookmarkEnd w:id="50"/>
    </w:p>
    <w:tbl>
      <w:tblPr>
        <w:tblStyle w:val="TableGrid"/>
        <w:tblW w:w="8613" w:type="dxa"/>
        <w:tblLook w:val="04A0" w:firstRow="1" w:lastRow="0" w:firstColumn="1" w:lastColumn="0" w:noHBand="0" w:noVBand="1"/>
      </w:tblPr>
      <w:tblGrid>
        <w:gridCol w:w="2376"/>
        <w:gridCol w:w="2694"/>
        <w:gridCol w:w="3543"/>
      </w:tblGrid>
      <w:tr w:rsidR="003A7FBC" w:rsidRPr="00160290" w:rsidTr="00B66344">
        <w:trPr>
          <w:cnfStyle w:val="100000000000" w:firstRow="1" w:lastRow="0" w:firstColumn="0" w:lastColumn="0" w:oddVBand="0" w:evenVBand="0" w:oddHBand="0" w:evenHBand="0" w:firstRowFirstColumn="0" w:firstRowLastColumn="0" w:lastRowFirstColumn="0" w:lastRowLastColumn="0"/>
          <w:trHeight w:val="33"/>
        </w:trPr>
        <w:tc>
          <w:tcPr>
            <w:cnfStyle w:val="000000000100" w:firstRow="0" w:lastRow="0" w:firstColumn="0" w:lastColumn="0" w:oddVBand="0" w:evenVBand="0" w:oddHBand="0" w:evenHBand="0" w:firstRowFirstColumn="1" w:firstRowLastColumn="0" w:lastRowFirstColumn="0" w:lastRowLastColumn="0"/>
            <w:tcW w:w="2376" w:type="dxa"/>
            <w:shd w:val="clear" w:color="auto" w:fill="00B2A9" w:themeFill="accent1"/>
          </w:tcPr>
          <w:p w:rsidR="00F71F1A" w:rsidRDefault="003A7FBC">
            <w:pPr>
              <w:pStyle w:val="Tablecolumnhead"/>
              <w:rPr>
                <w:rFonts w:asciiTheme="majorHAnsi" w:eastAsiaTheme="majorEastAsia" w:hAnsiTheme="majorHAnsi" w:cs="Arial"/>
                <w:sz w:val="16"/>
              </w:rPr>
            </w:pPr>
            <w:r w:rsidRPr="00160290">
              <w:t>Option</w:t>
            </w:r>
          </w:p>
        </w:tc>
        <w:tc>
          <w:tcPr>
            <w:tcW w:w="2694" w:type="dxa"/>
            <w:shd w:val="clear" w:color="auto" w:fill="00B2A9" w:themeFill="accent1"/>
          </w:tcPr>
          <w:p w:rsidR="00F71F1A" w:rsidRDefault="003A7FBC">
            <w:pPr>
              <w:pStyle w:val="Tablecolumnhead"/>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Arial"/>
                <w:sz w:val="40"/>
              </w:rPr>
            </w:pPr>
            <w:r w:rsidRPr="00160290">
              <w:t>Costs</w:t>
            </w:r>
          </w:p>
        </w:tc>
        <w:tc>
          <w:tcPr>
            <w:tcW w:w="3543" w:type="dxa"/>
            <w:shd w:val="clear" w:color="auto" w:fill="00B2A9" w:themeFill="accent1"/>
          </w:tcPr>
          <w:p w:rsidR="00F71F1A" w:rsidRDefault="003A7FBC">
            <w:pPr>
              <w:pStyle w:val="Tablecolumnhead"/>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Arial"/>
                <w:sz w:val="16"/>
              </w:rPr>
            </w:pPr>
            <w:r w:rsidRPr="00160290">
              <w:t>Benefits</w:t>
            </w:r>
            <w:r w:rsidRPr="00160290">
              <w:rPr>
                <w:rStyle w:val="FootnoteReference"/>
                <w:b w:val="0"/>
                <w:bCs/>
                <w:color w:val="FFFFFF" w:themeColor="background1"/>
              </w:rPr>
              <w:footnoteReference w:id="35"/>
            </w:r>
          </w:p>
        </w:tc>
      </w:tr>
      <w:tr w:rsidR="003A7FBC" w:rsidRPr="00160290" w:rsidTr="003A7FBC">
        <w:tc>
          <w:tcPr>
            <w:tcW w:w="2376" w:type="dxa"/>
          </w:tcPr>
          <w:p w:rsidR="00F71F1A" w:rsidRDefault="0058158E">
            <w:pPr>
              <w:pStyle w:val="Tabletext"/>
              <w:rPr>
                <w:rFonts w:asciiTheme="majorHAnsi" w:eastAsiaTheme="majorEastAsia" w:hAnsiTheme="majorHAnsi" w:cstheme="majorBidi"/>
                <w:b/>
                <w:sz w:val="20"/>
              </w:rPr>
            </w:pPr>
            <w:r>
              <w:t xml:space="preserve">2 </w:t>
            </w:r>
            <w:r w:rsidR="003A7FBC" w:rsidRPr="00160290">
              <w:t xml:space="preserve">Remake </w:t>
            </w:r>
            <w:r w:rsidR="00381EF5">
              <w:t>reg</w:t>
            </w:r>
            <w:r w:rsidR="003A7FBC" w:rsidRPr="00160290">
              <w:t>1509 without change</w:t>
            </w:r>
          </w:p>
        </w:tc>
        <w:tc>
          <w:tcPr>
            <w:tcW w:w="2694" w:type="dxa"/>
          </w:tcPr>
          <w:p w:rsidR="00F71F1A" w:rsidRDefault="003A7FBC">
            <w:pPr>
              <w:pStyle w:val="Tabletext"/>
              <w:rPr>
                <w:rFonts w:asciiTheme="majorHAnsi" w:eastAsiaTheme="majorEastAsia" w:hAnsiTheme="majorHAnsi" w:cstheme="majorBidi"/>
                <w:b/>
                <w:sz w:val="20"/>
              </w:rPr>
            </w:pPr>
            <w:r w:rsidRPr="00160290">
              <w:t xml:space="preserve">$24,171 </w:t>
            </w:r>
            <w:r w:rsidR="00746629">
              <w:t>a year</w:t>
            </w:r>
          </w:p>
          <w:p w:rsidR="00F71F1A" w:rsidRDefault="003A7FBC">
            <w:pPr>
              <w:pStyle w:val="Tabletext"/>
              <w:rPr>
                <w:rFonts w:asciiTheme="majorHAnsi" w:eastAsiaTheme="majorEastAsia" w:hAnsiTheme="majorHAnsi" w:cstheme="majorBidi"/>
                <w:b/>
                <w:sz w:val="20"/>
              </w:rPr>
            </w:pPr>
            <w:r w:rsidRPr="00160290">
              <w:t>$212,393 NPV</w:t>
            </w:r>
            <w:r w:rsidR="00151043">
              <w:t xml:space="preserve"> (10 years)</w:t>
            </w:r>
          </w:p>
        </w:tc>
        <w:tc>
          <w:tcPr>
            <w:tcW w:w="3543" w:type="dxa"/>
          </w:tcPr>
          <w:p w:rsidR="00F71F1A" w:rsidRDefault="003A7FBC">
            <w:pPr>
              <w:pStyle w:val="Tabletext"/>
              <w:rPr>
                <w:rFonts w:asciiTheme="majorHAnsi" w:eastAsiaTheme="majorEastAsia" w:hAnsiTheme="majorHAnsi" w:cstheme="majorBidi"/>
                <w:b/>
                <w:sz w:val="20"/>
              </w:rPr>
            </w:pPr>
            <w:r w:rsidRPr="00160290">
              <w:t xml:space="preserve">Benefits outweigh costs if the information leads to </w:t>
            </w:r>
            <w:r w:rsidR="00160290" w:rsidRPr="00160290">
              <w:t>three</w:t>
            </w:r>
            <w:r w:rsidRPr="00160290">
              <w:t xml:space="preserve"> unsuitable practitioners being registered each year</w:t>
            </w:r>
          </w:p>
        </w:tc>
      </w:tr>
      <w:tr w:rsidR="003A7FBC" w:rsidRPr="00160290" w:rsidTr="003A7FBC">
        <w:tc>
          <w:tcPr>
            <w:tcW w:w="2376" w:type="dxa"/>
          </w:tcPr>
          <w:p w:rsidR="00F71F1A" w:rsidRDefault="00BD1691">
            <w:pPr>
              <w:pStyle w:val="Tabletext"/>
              <w:rPr>
                <w:sz w:val="20"/>
              </w:rPr>
            </w:pPr>
            <w:r>
              <w:t xml:space="preserve">2.1 </w:t>
            </w:r>
            <w:r w:rsidR="003A7FBC" w:rsidRPr="00160290">
              <w:t xml:space="preserve">Reduce the </w:t>
            </w:r>
            <w:r w:rsidR="00B257D3" w:rsidRPr="00160290">
              <w:t>prescribed</w:t>
            </w:r>
            <w:r w:rsidR="00B257D3">
              <w:t xml:space="preserve"> information</w:t>
            </w:r>
            <w:r w:rsidR="004028EE">
              <w:t xml:space="preserve"> </w:t>
            </w:r>
            <w:r>
              <w:t>to be provided</w:t>
            </w:r>
          </w:p>
        </w:tc>
        <w:tc>
          <w:tcPr>
            <w:tcW w:w="2694" w:type="dxa"/>
          </w:tcPr>
          <w:p w:rsidR="00F71F1A" w:rsidRDefault="003A7FBC">
            <w:pPr>
              <w:pStyle w:val="Tabletext"/>
              <w:rPr>
                <w:rFonts w:asciiTheme="majorHAnsi" w:eastAsiaTheme="majorEastAsia" w:hAnsiTheme="majorHAnsi" w:cstheme="majorBidi"/>
                <w:b/>
                <w:sz w:val="20"/>
              </w:rPr>
            </w:pPr>
            <w:r w:rsidRPr="00160290">
              <w:t xml:space="preserve">$19,337 </w:t>
            </w:r>
            <w:r w:rsidR="00746629">
              <w:t>a year</w:t>
            </w:r>
          </w:p>
          <w:p w:rsidR="00F71F1A" w:rsidRDefault="003A7FBC">
            <w:pPr>
              <w:pStyle w:val="Tabletext"/>
              <w:rPr>
                <w:rFonts w:asciiTheme="majorHAnsi" w:eastAsiaTheme="majorEastAsia" w:hAnsiTheme="majorHAnsi" w:cstheme="majorBidi"/>
                <w:b/>
                <w:sz w:val="20"/>
              </w:rPr>
            </w:pPr>
            <w:r w:rsidRPr="00160290">
              <w:t>$169,914 NPV</w:t>
            </w:r>
            <w:r w:rsidR="00151043">
              <w:t xml:space="preserve"> (10 years)</w:t>
            </w:r>
          </w:p>
        </w:tc>
        <w:tc>
          <w:tcPr>
            <w:tcW w:w="3543" w:type="dxa"/>
          </w:tcPr>
          <w:p w:rsidR="00F71F1A" w:rsidRDefault="003A7FBC">
            <w:pPr>
              <w:pStyle w:val="Tabletext"/>
              <w:rPr>
                <w:rFonts w:asciiTheme="majorHAnsi" w:eastAsiaTheme="majorEastAsia" w:hAnsiTheme="majorHAnsi" w:cstheme="majorBidi"/>
                <w:b/>
                <w:sz w:val="20"/>
              </w:rPr>
            </w:pPr>
            <w:r w:rsidRPr="00160290">
              <w:t xml:space="preserve">Benefits outweigh costs if the information leads to </w:t>
            </w:r>
            <w:r w:rsidR="0058158E">
              <w:t xml:space="preserve">an </w:t>
            </w:r>
            <w:r w:rsidR="00151043">
              <w:t xml:space="preserve">average of </w:t>
            </w:r>
            <w:r w:rsidRPr="00160290">
              <w:t>2</w:t>
            </w:r>
            <w:r w:rsidR="00151043">
              <w:t>.5</w:t>
            </w:r>
            <w:r w:rsidRPr="00160290">
              <w:t xml:space="preserve"> unsuitable practitioners being registered each year</w:t>
            </w:r>
          </w:p>
        </w:tc>
      </w:tr>
      <w:tr w:rsidR="003A7FBC" w:rsidRPr="00160290" w:rsidTr="003A7FBC">
        <w:tc>
          <w:tcPr>
            <w:tcW w:w="2376" w:type="dxa"/>
          </w:tcPr>
          <w:p w:rsidR="00F71F1A" w:rsidRDefault="00BD1691">
            <w:pPr>
              <w:pStyle w:val="Tabletext"/>
              <w:rPr>
                <w:sz w:val="20"/>
              </w:rPr>
            </w:pPr>
            <w:r>
              <w:t xml:space="preserve">2.2 </w:t>
            </w:r>
            <w:r w:rsidR="003A7FBC" w:rsidRPr="00160290">
              <w:t xml:space="preserve">Expand the </w:t>
            </w:r>
            <w:r w:rsidR="008A5E35">
              <w:t xml:space="preserve">prescribed </w:t>
            </w:r>
            <w:r w:rsidR="003A7FBC" w:rsidRPr="00160290">
              <w:t xml:space="preserve">information </w:t>
            </w:r>
            <w:r w:rsidR="008A5E35">
              <w:t>to be provided</w:t>
            </w:r>
          </w:p>
        </w:tc>
        <w:tc>
          <w:tcPr>
            <w:tcW w:w="2694" w:type="dxa"/>
          </w:tcPr>
          <w:p w:rsidR="00F71F1A" w:rsidRDefault="003A7FBC">
            <w:pPr>
              <w:pStyle w:val="Tabletext"/>
              <w:rPr>
                <w:rFonts w:asciiTheme="majorHAnsi" w:eastAsiaTheme="majorEastAsia" w:hAnsiTheme="majorHAnsi" w:cstheme="majorBidi"/>
                <w:b/>
                <w:sz w:val="20"/>
              </w:rPr>
            </w:pPr>
            <w:r w:rsidRPr="00160290">
              <w:t xml:space="preserve">$33,839 </w:t>
            </w:r>
            <w:r w:rsidR="00746629">
              <w:t>a year</w:t>
            </w:r>
          </w:p>
          <w:p w:rsidR="00F71F1A" w:rsidRDefault="003A7FBC">
            <w:pPr>
              <w:pStyle w:val="Tabletext"/>
              <w:rPr>
                <w:rFonts w:asciiTheme="majorHAnsi" w:eastAsiaTheme="majorEastAsia" w:hAnsiTheme="majorHAnsi" w:cstheme="majorBidi"/>
                <w:b/>
                <w:sz w:val="20"/>
              </w:rPr>
            </w:pPr>
            <w:r w:rsidRPr="00160290">
              <w:t>$297,359 NPV</w:t>
            </w:r>
            <w:r w:rsidR="00151043">
              <w:t xml:space="preserve"> (10 years)</w:t>
            </w:r>
          </w:p>
        </w:tc>
        <w:tc>
          <w:tcPr>
            <w:tcW w:w="3543" w:type="dxa"/>
          </w:tcPr>
          <w:p w:rsidR="00F71F1A" w:rsidRDefault="003A7FBC">
            <w:pPr>
              <w:pStyle w:val="Tabletext"/>
              <w:rPr>
                <w:rFonts w:asciiTheme="majorHAnsi" w:eastAsiaTheme="majorEastAsia" w:hAnsiTheme="majorHAnsi" w:cstheme="majorBidi"/>
                <w:b/>
                <w:sz w:val="20"/>
              </w:rPr>
            </w:pPr>
            <w:r w:rsidRPr="00160290">
              <w:t xml:space="preserve">Benefits outweigh costs if the information leads to </w:t>
            </w:r>
            <w:r w:rsidR="0058158E">
              <w:t xml:space="preserve">an </w:t>
            </w:r>
            <w:r w:rsidR="00151043">
              <w:t xml:space="preserve">average of </w:t>
            </w:r>
            <w:r w:rsidRPr="00160290">
              <w:t>4</w:t>
            </w:r>
            <w:r w:rsidR="00151043">
              <w:t>.5</w:t>
            </w:r>
            <w:r w:rsidRPr="00160290">
              <w:t xml:space="preserve"> unsuitable practitioners being registered each year</w:t>
            </w:r>
          </w:p>
        </w:tc>
      </w:tr>
    </w:tbl>
    <w:p w:rsidR="00BD1691" w:rsidRDefault="00BD1691" w:rsidP="003A7FBC">
      <w:pPr>
        <w:rPr>
          <w:bCs/>
        </w:rPr>
      </w:pPr>
    </w:p>
    <w:p w:rsidR="002129C8" w:rsidRPr="00160290" w:rsidRDefault="003A7FBC" w:rsidP="002424BD">
      <w:r w:rsidRPr="00160290">
        <w:t>The department</w:t>
      </w:r>
      <w:r w:rsidR="00151043">
        <w:t xml:space="preserve"> considers </w:t>
      </w:r>
      <w:r w:rsidRPr="00160290">
        <w:t xml:space="preserve">all three options would </w:t>
      </w:r>
      <w:r w:rsidR="00703FD9" w:rsidRPr="00160290">
        <w:t xml:space="preserve">probably </w:t>
      </w:r>
      <w:r w:rsidRPr="00160290">
        <w:t>achieve their break-even points, as it understands the information collected on character has been relied on in refusing registration to far more applicants than these break-even points.</w:t>
      </w:r>
    </w:p>
    <w:p w:rsidR="00CF3B74" w:rsidRPr="00CF3B74" w:rsidRDefault="003A7FBC" w:rsidP="00CF3B74">
      <w:pPr>
        <w:rPr>
          <w:bCs/>
        </w:rPr>
      </w:pPr>
      <w:r w:rsidRPr="00CF3B74">
        <w:rPr>
          <w:bCs/>
        </w:rPr>
        <w:t xml:space="preserve">The status quo is preferred. While </w:t>
      </w:r>
      <w:r w:rsidR="00160290" w:rsidRPr="00CF3B74">
        <w:rPr>
          <w:bCs/>
        </w:rPr>
        <w:t>O</w:t>
      </w:r>
      <w:r w:rsidRPr="00CF3B74">
        <w:rPr>
          <w:bCs/>
        </w:rPr>
        <w:t xml:space="preserve">ption 2.1 has a lower cost, the lower break-even point is minor and the department considers it does not justify the reduced information that will be available to </w:t>
      </w:r>
      <w:r w:rsidR="000E2924">
        <w:rPr>
          <w:bCs/>
        </w:rPr>
        <w:t>VBA</w:t>
      </w:r>
      <w:r w:rsidRPr="00CF3B74">
        <w:rPr>
          <w:bCs/>
        </w:rPr>
        <w:t xml:space="preserve">. Conversely, the additional cost for </w:t>
      </w:r>
      <w:r w:rsidR="00160290" w:rsidRPr="00CF3B74">
        <w:rPr>
          <w:bCs/>
        </w:rPr>
        <w:t>O</w:t>
      </w:r>
      <w:r w:rsidRPr="00CF3B74">
        <w:rPr>
          <w:bCs/>
        </w:rPr>
        <w:t xml:space="preserve">ption 2.2 is more significant and, because it is not known whether the additional information requested will itself lead to more unsuitable practitioners not being registered, the department </w:t>
      </w:r>
      <w:r w:rsidR="001A6162" w:rsidRPr="00CF3B74">
        <w:rPr>
          <w:bCs/>
        </w:rPr>
        <w:t>considers</w:t>
      </w:r>
      <w:r w:rsidRPr="00CF3B74">
        <w:rPr>
          <w:bCs/>
        </w:rPr>
        <w:t xml:space="preserve"> is not justified based on the very small amount of information that will be available.</w:t>
      </w:r>
    </w:p>
    <w:p w:rsidR="003A7FBC" w:rsidRDefault="008D3250" w:rsidP="00357F56">
      <w:pPr>
        <w:pStyle w:val="Heading2"/>
      </w:pPr>
      <w:bookmarkStart w:id="51" w:name="_Toc481502197"/>
      <w:r>
        <w:t>C3.4</w:t>
      </w:r>
      <w:r>
        <w:tab/>
      </w:r>
      <w:r w:rsidR="003A7FBC" w:rsidRPr="00160290">
        <w:t xml:space="preserve">Professional </w:t>
      </w:r>
      <w:r w:rsidR="00160290">
        <w:t>s</w:t>
      </w:r>
      <w:r w:rsidR="003A7FBC" w:rsidRPr="00160290">
        <w:t>tandards</w:t>
      </w:r>
      <w:bookmarkEnd w:id="51"/>
    </w:p>
    <w:p w:rsidR="00F71F1A" w:rsidRDefault="00D3125B" w:rsidP="008D3250">
      <w:pPr>
        <w:pStyle w:val="Heading3"/>
      </w:pPr>
      <w:bookmarkStart w:id="52" w:name="_Toc481502198"/>
      <w:r w:rsidRPr="00D3125B">
        <w:t xml:space="preserve">Option 3 – Remake </w:t>
      </w:r>
      <w:r w:rsidR="00381EF5">
        <w:t>reg</w:t>
      </w:r>
      <w:r w:rsidRPr="00D3125B">
        <w:t>1502</w:t>
      </w:r>
      <w:bookmarkEnd w:id="52"/>
    </w:p>
    <w:p w:rsidR="00F71F1A" w:rsidRDefault="00CF3B74" w:rsidP="008D3250">
      <w:pPr>
        <w:pStyle w:val="Heading3"/>
      </w:pPr>
      <w:bookmarkStart w:id="53" w:name="_Toc481502199"/>
      <w:r>
        <w:t xml:space="preserve">Option </w:t>
      </w:r>
      <w:r w:rsidRPr="00FA2F8A">
        <w:t>3.1</w:t>
      </w:r>
      <w:r>
        <w:t xml:space="preserve"> – </w:t>
      </w:r>
      <w:r w:rsidRPr="00FA2F8A">
        <w:t xml:space="preserve">Remake only </w:t>
      </w:r>
      <w:proofErr w:type="spellStart"/>
      <w:r w:rsidRPr="00FA2F8A">
        <w:t>pt</w:t>
      </w:r>
      <w:proofErr w:type="spellEnd"/>
      <w:r w:rsidRPr="00FA2F8A">
        <w:t xml:space="preserve"> (a) of </w:t>
      </w:r>
      <w:r w:rsidR="00381EF5">
        <w:t>reg</w:t>
      </w:r>
      <w:r w:rsidRPr="00FA2F8A">
        <w:t>1502</w:t>
      </w:r>
      <w:bookmarkEnd w:id="53"/>
    </w:p>
    <w:p w:rsidR="003A7FBC" w:rsidRPr="00160290" w:rsidRDefault="000254D8" w:rsidP="002424BD">
      <w:pPr>
        <w:rPr>
          <w:bCs/>
        </w:rPr>
      </w:pPr>
      <w:r>
        <w:t>S 2</w:t>
      </w:r>
      <w:r w:rsidR="003A7FBC" w:rsidRPr="00160290">
        <w:t xml:space="preserve">61(1)(j) allows the </w:t>
      </w:r>
      <w:r w:rsidR="00160290">
        <w:t>R</w:t>
      </w:r>
      <w:r w:rsidR="003A7FBC" w:rsidRPr="00160290">
        <w:t>egulations to prescribe the professional standards to be observed by registered building practitioners in the different categories or classes. Standards are relevant for matters such as disciplinary action (</w:t>
      </w:r>
      <w:r>
        <w:t>s 1</w:t>
      </w:r>
      <w:r w:rsidR="003A7FBC" w:rsidRPr="00160290">
        <w:t>79).</w:t>
      </w:r>
    </w:p>
    <w:p w:rsidR="003A7FBC" w:rsidRPr="00160290" w:rsidRDefault="003A7FBC" w:rsidP="002424BD">
      <w:pPr>
        <w:pStyle w:val="Normalpre-dotpoint"/>
      </w:pPr>
      <w:r w:rsidRPr="00160290">
        <w:t xml:space="preserve">Current </w:t>
      </w:r>
      <w:r w:rsidR="00381EF5">
        <w:t>reg</w:t>
      </w:r>
      <w:r w:rsidRPr="00160290">
        <w:t xml:space="preserve">1502 sets out basic standards of behaviour that can be expected of all registered building practitioners. Option 3 would remake this </w:t>
      </w:r>
      <w:r w:rsidR="00160290">
        <w:t>R</w:t>
      </w:r>
      <w:r w:rsidRPr="00160290">
        <w:t>egulation, which requires that a registered building practitioner must:</w:t>
      </w:r>
    </w:p>
    <w:p w:rsidR="002129C8" w:rsidRPr="00160290" w:rsidRDefault="002424BD" w:rsidP="00757E56">
      <w:pPr>
        <w:pStyle w:val="Normalpre-dotpoint"/>
        <w:ind w:left="567" w:hanging="567"/>
      </w:pPr>
      <w:r w:rsidRPr="00160290">
        <w:t>a)</w:t>
      </w:r>
      <w:r w:rsidRPr="00160290">
        <w:tab/>
      </w:r>
      <w:r w:rsidR="003A7FBC" w:rsidRPr="00160290">
        <w:t>perform his or her work as a building practitioner in a competent manner and to a professional standard; and</w:t>
      </w:r>
    </w:p>
    <w:p w:rsidR="002129C8" w:rsidRPr="00160290" w:rsidRDefault="002424BD" w:rsidP="00757E56">
      <w:pPr>
        <w:pStyle w:val="Normalpre-dotpoint"/>
        <w:ind w:left="567" w:hanging="567"/>
      </w:pPr>
      <w:r w:rsidRPr="00160290">
        <w:t>b)</w:t>
      </w:r>
      <w:r w:rsidRPr="00160290">
        <w:tab/>
      </w:r>
      <w:r w:rsidR="003A7FBC" w:rsidRPr="00160290">
        <w:t>immediately inform the client in writing if a conflict of interest arises or appears likely to arise between his or her interest as a building practitioner and that of his or her client; and</w:t>
      </w:r>
    </w:p>
    <w:p w:rsidR="002129C8" w:rsidRPr="00160290" w:rsidRDefault="002424BD" w:rsidP="00757E56">
      <w:pPr>
        <w:ind w:left="567" w:hanging="567"/>
      </w:pPr>
      <w:r w:rsidRPr="00160290">
        <w:t>c)</w:t>
      </w:r>
      <w:r w:rsidRPr="00160290">
        <w:tab/>
      </w:r>
      <w:r w:rsidR="003A7FBC" w:rsidRPr="00160290">
        <w:t>receive remuneration for his or her services as a building practitioner solely by the professional fee or other benefits specified in the contract of engagement or by the salary and other benefits payable by the building practitioner's employer.</w:t>
      </w:r>
    </w:p>
    <w:p w:rsidR="002129C8" w:rsidRPr="00160290" w:rsidRDefault="003A7FBC" w:rsidP="00282301">
      <w:r w:rsidRPr="00160290">
        <w:t>These standards have been in place since 1994.</w:t>
      </w:r>
    </w:p>
    <w:p w:rsidR="002129C8" w:rsidRPr="00160290" w:rsidRDefault="003A7FBC" w:rsidP="00282301">
      <w:r w:rsidRPr="00160290">
        <w:t xml:space="preserve">No formal evaluation of the impacts of </w:t>
      </w:r>
      <w:r w:rsidR="00381EF5">
        <w:t>reg</w:t>
      </w:r>
      <w:r w:rsidRPr="00160290">
        <w:t xml:space="preserve">1502 has been undertaken, </w:t>
      </w:r>
      <w:r w:rsidR="00151043">
        <w:t xml:space="preserve">but </w:t>
      </w:r>
      <w:r w:rsidR="000E2924">
        <w:t>VBA</w:t>
      </w:r>
      <w:r w:rsidRPr="00160290">
        <w:t xml:space="preserve"> advises data on disciplinary action indicates that standard (a) is used, while the others</w:t>
      </w:r>
      <w:r w:rsidR="00151043">
        <w:t xml:space="preserve"> </w:t>
      </w:r>
      <w:r w:rsidRPr="00160290">
        <w:t>are not.</w:t>
      </w:r>
    </w:p>
    <w:p w:rsidR="003A7FBC" w:rsidRPr="00160290" w:rsidRDefault="003A7FBC" w:rsidP="00282301">
      <w:r w:rsidRPr="00160290">
        <w:lastRenderedPageBreak/>
        <w:t xml:space="preserve">A preliminary reading of the register reveals that </w:t>
      </w:r>
      <w:r w:rsidR="00381EF5">
        <w:t>reg</w:t>
      </w:r>
      <w:r w:rsidRPr="00160290">
        <w:t xml:space="preserve">1502 is often used as a basis for disciplinary action. In particular, </w:t>
      </w:r>
      <w:r w:rsidR="00381EF5">
        <w:t>reg</w:t>
      </w:r>
      <w:r w:rsidRPr="00160290">
        <w:t xml:space="preserve">1502(a) (competent manner and to a professional standard) is often referenced whereas </w:t>
      </w:r>
      <w:r w:rsidR="00381EF5">
        <w:t>reg</w:t>
      </w:r>
      <w:r w:rsidRPr="00160290">
        <w:t xml:space="preserve">1502(b) (notification of conflict of interest) is referred to only once. </w:t>
      </w:r>
      <w:proofErr w:type="spellStart"/>
      <w:r w:rsidR="00381EF5">
        <w:t>Reg</w:t>
      </w:r>
      <w:proofErr w:type="spellEnd"/>
      <w:r w:rsidR="00381EF5">
        <w:t xml:space="preserve"> </w:t>
      </w:r>
      <w:r w:rsidRPr="00160290">
        <w:t xml:space="preserve">1502(c) (remuneration other than through fees for services) is not mentioned at all. Most of the misconduct relating to payments involves the builder demanding more or earlier payments. </w:t>
      </w:r>
      <w:proofErr w:type="spellStart"/>
      <w:r w:rsidR="00151043">
        <w:t>R</w:t>
      </w:r>
      <w:r w:rsidR="00381EF5">
        <w:t>eg</w:t>
      </w:r>
      <w:proofErr w:type="spellEnd"/>
      <w:r w:rsidRPr="00160290">
        <w:t xml:space="preserve"> 1502(a) has been used to capture a wide variety of misconduct relating to technical competency (</w:t>
      </w:r>
      <w:r w:rsidR="00703FD9" w:rsidRPr="00160290">
        <w:t>for example</w:t>
      </w:r>
      <w:r w:rsidR="00151043">
        <w:t>,</w:t>
      </w:r>
      <w:r w:rsidRPr="00160290">
        <w:t xml:space="preserve"> ensuring that work is not defective), procedural requirements (</w:t>
      </w:r>
      <w:r w:rsidR="00703FD9" w:rsidRPr="00160290">
        <w:t>for example</w:t>
      </w:r>
      <w:r w:rsidR="00151043">
        <w:t>,</w:t>
      </w:r>
      <w:r w:rsidRPr="00160290">
        <w:t xml:space="preserve"> failing to issue a building permit)</w:t>
      </w:r>
      <w:r w:rsidR="00151043">
        <w:t xml:space="preserve"> and</w:t>
      </w:r>
      <w:r w:rsidR="004028EE">
        <w:t xml:space="preserve"> </w:t>
      </w:r>
      <w:r w:rsidRPr="00160290">
        <w:t>business conduct (</w:t>
      </w:r>
      <w:r w:rsidR="00703FD9" w:rsidRPr="00160290">
        <w:t>for example</w:t>
      </w:r>
      <w:r w:rsidR="00151043">
        <w:t>,</w:t>
      </w:r>
      <w:r w:rsidRPr="00160290">
        <w:t xml:space="preserve"> delays in communicating with clients).</w:t>
      </w:r>
    </w:p>
    <w:p w:rsidR="003A7FBC" w:rsidRDefault="003A7FBC" w:rsidP="00282301">
      <w:r w:rsidRPr="00160290">
        <w:t xml:space="preserve">It is not apparent that </w:t>
      </w:r>
      <w:r w:rsidR="00381EF5">
        <w:t>reg</w:t>
      </w:r>
      <w:r w:rsidRPr="00160290">
        <w:t xml:space="preserve">1502 genuinely introduces any new obligations or consequences for a practitioner, as other provisions in the Act could be used to achieve the same result. The Act provides mechanisms to suspend or cancel the registration of a practitioner found to be incompetent. Disciplinary action can be taken under </w:t>
      </w:r>
      <w:r w:rsidR="000254D8">
        <w:t>s 1</w:t>
      </w:r>
      <w:r w:rsidRPr="00160290">
        <w:t xml:space="preserve">79 and can occur in relation to contraventions of the Act, unprofessional conduct, </w:t>
      </w:r>
      <w:r w:rsidR="00E92761">
        <w:t xml:space="preserve">a </w:t>
      </w:r>
      <w:r w:rsidRPr="00160290">
        <w:t xml:space="preserve">pattern of incompetence or negligence, or where </w:t>
      </w:r>
      <w:r w:rsidR="000E2924">
        <w:t>VBA</w:t>
      </w:r>
      <w:r w:rsidRPr="00160290">
        <w:t xml:space="preserve"> </w:t>
      </w:r>
      <w:r w:rsidR="00E92761">
        <w:t xml:space="preserve">considers </w:t>
      </w:r>
      <w:r w:rsidRPr="00160290">
        <w:t>the person is no longer fit to practi</w:t>
      </w:r>
      <w:r w:rsidR="0022498F">
        <w:t>s</w:t>
      </w:r>
      <w:r w:rsidRPr="00160290">
        <w:t xml:space="preserve">e. Unprofessional conduct under </w:t>
      </w:r>
      <w:r w:rsidR="000254D8">
        <w:t>s 1</w:t>
      </w:r>
      <w:r w:rsidRPr="00160290">
        <w:t>79 would include conduct that ‘falls short of, to a substantial degree, the standard of professional conduct observed or approved by members of the profession of good repute and competency’.</w:t>
      </w:r>
      <w:r w:rsidRPr="00160290">
        <w:rPr>
          <w:rStyle w:val="FootnoteReference"/>
          <w:rFonts w:cs="Times New Roman"/>
        </w:rPr>
        <w:footnoteReference w:id="36"/>
      </w:r>
      <w:r w:rsidRPr="00160290">
        <w:t xml:space="preserve"> However, </w:t>
      </w:r>
      <w:r w:rsidR="000E2924">
        <w:t>VBA</w:t>
      </w:r>
      <w:r w:rsidRPr="00160290">
        <w:t xml:space="preserve"> advises that it does in practice rely on this </w:t>
      </w:r>
      <w:r w:rsidR="00160290">
        <w:t>R</w:t>
      </w:r>
      <w:r w:rsidRPr="00160290">
        <w:t xml:space="preserve">egulation as an overall benchmark in undertaking </w:t>
      </w:r>
      <w:r w:rsidR="00E92761">
        <w:t xml:space="preserve">its </w:t>
      </w:r>
      <w:r w:rsidRPr="00160290">
        <w:t xml:space="preserve">assessment of practitioners, in particular linking a practitioner’s conduct to the legislative assessment of being </w:t>
      </w:r>
      <w:r w:rsidR="00E92761">
        <w:t xml:space="preserve">a </w:t>
      </w:r>
      <w:r w:rsidRPr="00160290">
        <w:t>fit and proper person to practi</w:t>
      </w:r>
      <w:r w:rsidR="00E92761">
        <w:t>s</w:t>
      </w:r>
      <w:r w:rsidRPr="00160290">
        <w:t xml:space="preserve">e. </w:t>
      </w:r>
      <w:r w:rsidR="000E2924">
        <w:t>VBA</w:t>
      </w:r>
      <w:r w:rsidRPr="00160290">
        <w:t xml:space="preserve"> use the requirement for professional conduct in the process </w:t>
      </w:r>
      <w:r w:rsidR="00E92761">
        <w:t xml:space="preserve">of </w:t>
      </w:r>
      <w:r w:rsidRPr="00160290">
        <w:t>assessing knowledge and experience</w:t>
      </w:r>
      <w:r w:rsidR="00204BEB">
        <w:t xml:space="preserve">: </w:t>
      </w:r>
      <w:r w:rsidRPr="00160290">
        <w:t>to determine if it is satisfied that an applicant has demonstrated sufficient knowledge and experience to perform the functions of the registered practitioner in a competent manner and to a professional standard.</w:t>
      </w:r>
    </w:p>
    <w:p w:rsidR="002129C8" w:rsidRPr="00160290" w:rsidRDefault="003A7FBC" w:rsidP="00282301">
      <w:r w:rsidRPr="00160290">
        <w:t>Generally, standard (a) (as it relates to disciplinary action) is used where other breaches may already be relevant (</w:t>
      </w:r>
      <w:r w:rsidR="00204BEB">
        <w:t>for example</w:t>
      </w:r>
      <w:r w:rsidRPr="00160290">
        <w:t>, failing to issue a building permit</w:t>
      </w:r>
      <w:r w:rsidR="00204BEB">
        <w:t xml:space="preserve"> or </w:t>
      </w:r>
      <w:r w:rsidRPr="00160290">
        <w:t xml:space="preserve">technical competency </w:t>
      </w:r>
      <w:r w:rsidR="00204BEB">
        <w:t xml:space="preserve">in terms of </w:t>
      </w:r>
      <w:r w:rsidRPr="00160290">
        <w:t>defective work) as well as business conduct.</w:t>
      </w:r>
    </w:p>
    <w:p w:rsidR="003A7FBC" w:rsidRPr="00160290" w:rsidRDefault="003A7FBC" w:rsidP="00282301">
      <w:r w:rsidRPr="00160290">
        <w:t xml:space="preserve">A sample of practitioners was asked about their understanding of their obligations arising from </w:t>
      </w:r>
      <w:r w:rsidR="00381EF5">
        <w:t>reg</w:t>
      </w:r>
      <w:r w:rsidRPr="00160290">
        <w:t xml:space="preserve">1502. No practitioners could describe any precise obligations that arise from </w:t>
      </w:r>
      <w:r w:rsidR="00381EF5">
        <w:t>reg</w:t>
      </w:r>
      <w:r w:rsidRPr="00160290">
        <w:t xml:space="preserve">1502(a), and no practitioners considered the </w:t>
      </w:r>
      <w:r w:rsidR="00160290">
        <w:t>R</w:t>
      </w:r>
      <w:r w:rsidRPr="00160290">
        <w:t>egulation changes their behaviour beyond what is already required.</w:t>
      </w:r>
    </w:p>
    <w:p w:rsidR="003A7FBC" w:rsidRPr="00160290" w:rsidRDefault="003A7FBC" w:rsidP="00282301">
      <w:r w:rsidRPr="00160290">
        <w:t xml:space="preserve">The current form of the </w:t>
      </w:r>
      <w:r w:rsidR="00160290">
        <w:t>R</w:t>
      </w:r>
      <w:r w:rsidRPr="00160290">
        <w:t>egulation has been in place since 1994</w:t>
      </w:r>
      <w:r w:rsidR="00204BEB">
        <w:t>. T</w:t>
      </w:r>
      <w:r w:rsidRPr="00160290">
        <w:t>o the extent that it originally was a meaningful signal of the expectations of practitioners, such behaviour is likely to have now become part of normal behaviour.</w:t>
      </w:r>
    </w:p>
    <w:p w:rsidR="003A7FBC" w:rsidRPr="00160290" w:rsidRDefault="003A7FBC" w:rsidP="00282301">
      <w:r w:rsidRPr="00160290">
        <w:t xml:space="preserve">It therefore appears that </w:t>
      </w:r>
      <w:r w:rsidR="00381EF5">
        <w:t>reg</w:t>
      </w:r>
      <w:r w:rsidRPr="00160290">
        <w:t xml:space="preserve">1502 imposes no additional costs on practitioners, but it remains necessary as it clearly establishes the professional standards to which a building practitioner must adhere. Contravention of this standard provides a basis for disciplinary action. It is important to note that </w:t>
      </w:r>
      <w:r w:rsidR="00381EF5">
        <w:t>reg</w:t>
      </w:r>
      <w:r w:rsidRPr="00160290">
        <w:t>1502 is not needed in relation to a consumer’s right for remedy should a consumer suffer harm from dealings with an unprofessional practitioner.</w:t>
      </w:r>
    </w:p>
    <w:p w:rsidR="003A7FBC" w:rsidRPr="00160290" w:rsidRDefault="003A7FBC" w:rsidP="00282301">
      <w:r w:rsidRPr="00160290">
        <w:t xml:space="preserve">On this basis, there is effectively no material cost or benefit of remaking </w:t>
      </w:r>
      <w:r w:rsidR="00381EF5">
        <w:t>reg</w:t>
      </w:r>
      <w:r w:rsidRPr="00160290">
        <w:t xml:space="preserve">1502 in its current form. Similarly, there is no material difference should the </w:t>
      </w:r>
      <w:r w:rsidR="00160290">
        <w:t>R</w:t>
      </w:r>
      <w:r w:rsidRPr="00160290">
        <w:t xml:space="preserve">egulation be reduced to include only </w:t>
      </w:r>
      <w:proofErr w:type="spellStart"/>
      <w:r w:rsidR="000E2924">
        <w:t>pt</w:t>
      </w:r>
      <w:proofErr w:type="spellEnd"/>
      <w:r w:rsidRPr="00160290">
        <w:t xml:space="preserve">(a) (Option 3.1), or whether the </w:t>
      </w:r>
      <w:r w:rsidR="00160290">
        <w:t>R</w:t>
      </w:r>
      <w:r w:rsidRPr="00160290">
        <w:t xml:space="preserve">egulation remains in its current form with </w:t>
      </w:r>
      <w:r w:rsidR="000E2924">
        <w:t>VBA</w:t>
      </w:r>
      <w:r w:rsidRPr="00160290">
        <w:t xml:space="preserve"> issuing guidance notes </w:t>
      </w:r>
      <w:r w:rsidR="00204BEB">
        <w:t xml:space="preserve">about </w:t>
      </w:r>
      <w:r w:rsidRPr="00160290">
        <w:t>how it will be interpreted and applied.</w:t>
      </w:r>
    </w:p>
    <w:p w:rsidR="00011DF3" w:rsidRDefault="00011DF3">
      <w:pPr>
        <w:spacing w:after="0"/>
      </w:pPr>
      <w:r>
        <w:br w:type="page"/>
      </w:r>
    </w:p>
    <w:p w:rsidR="003A7FBC" w:rsidRPr="00160290" w:rsidRDefault="003A7FBC" w:rsidP="00282301">
      <w:r w:rsidRPr="00160290">
        <w:lastRenderedPageBreak/>
        <w:t xml:space="preserve">The department has identified an option to strengthen the </w:t>
      </w:r>
      <w:r w:rsidR="00160290">
        <w:t>R</w:t>
      </w:r>
      <w:r w:rsidRPr="00160290">
        <w:t>egulation by including more specific information</w:t>
      </w:r>
      <w:r w:rsidR="00204BEB">
        <w:t xml:space="preserve"> about </w:t>
      </w:r>
      <w:r w:rsidRPr="00160290">
        <w:t>what constitutes professional conduct</w:t>
      </w:r>
      <w:r w:rsidR="00204BEB">
        <w:t xml:space="preserve">, </w:t>
      </w:r>
      <w:r w:rsidRPr="00160290">
        <w:t xml:space="preserve">either within the </w:t>
      </w:r>
      <w:r w:rsidR="00160290">
        <w:t>R</w:t>
      </w:r>
      <w:r w:rsidRPr="00160290">
        <w:t xml:space="preserve">egulations or by incorporation of other documents. While one such specific standard has been suggested </w:t>
      </w:r>
      <w:r w:rsidR="00204BEB">
        <w:t xml:space="preserve">– </w:t>
      </w:r>
      <w:r w:rsidRPr="00160290">
        <w:t xml:space="preserve">requiring </w:t>
      </w:r>
      <w:r w:rsidR="00BC1922">
        <w:t>d</w:t>
      </w:r>
      <w:r w:rsidRPr="00160290">
        <w:t xml:space="preserve">omestic </w:t>
      </w:r>
      <w:r w:rsidR="00BC1922">
        <w:t>b</w:t>
      </w:r>
      <w:r w:rsidRPr="00160290">
        <w:t>uilder (</w:t>
      </w:r>
      <w:r w:rsidR="00BC1922">
        <w:t>m</w:t>
      </w:r>
      <w:r w:rsidRPr="00160290">
        <w:t>anager) to only hire registered building practitioners</w:t>
      </w:r>
      <w:r w:rsidR="00204BEB">
        <w:t xml:space="preserve"> – </w:t>
      </w:r>
      <w:r w:rsidRPr="00160290">
        <w:t xml:space="preserve">it is still unclear whether describing standards in more detail would change behaviours and introduce new obligations, or remain only as a means to establish grounds for disciplinary action. The </w:t>
      </w:r>
      <w:r w:rsidR="00BE6DEA" w:rsidRPr="00160290">
        <w:t>department</w:t>
      </w:r>
      <w:r w:rsidRPr="00160290">
        <w:t xml:space="preserve"> has not pursued this option, although it is an area the department will monitor as part of the evaluation process, to determine if sufficient evidence emerges to warrant revisiting this </w:t>
      </w:r>
      <w:r w:rsidR="00204BEB">
        <w:t>topic.</w:t>
      </w:r>
    </w:p>
    <w:p w:rsidR="003A7FBC" w:rsidRDefault="003A7FBC" w:rsidP="00282301">
      <w:pPr>
        <w:rPr>
          <w:bCs/>
        </w:rPr>
      </w:pPr>
      <w:r w:rsidRPr="00160290">
        <w:rPr>
          <w:bCs/>
        </w:rPr>
        <w:t>The</w:t>
      </w:r>
      <w:r w:rsidRPr="00160290">
        <w:rPr>
          <w:b/>
          <w:bCs/>
          <w:u w:val="single"/>
        </w:rPr>
        <w:t xml:space="preserve"> </w:t>
      </w:r>
      <w:r w:rsidRPr="00160290">
        <w:rPr>
          <w:bCs/>
        </w:rPr>
        <w:t xml:space="preserve">base case must now also recognise </w:t>
      </w:r>
      <w:proofErr w:type="spellStart"/>
      <w:r w:rsidRPr="00160290">
        <w:rPr>
          <w:bCs/>
        </w:rPr>
        <w:t xml:space="preserve">new </w:t>
      </w:r>
      <w:r w:rsidR="000254D8">
        <w:rPr>
          <w:bCs/>
        </w:rPr>
        <w:t>s</w:t>
      </w:r>
      <w:proofErr w:type="spellEnd"/>
      <w:r w:rsidR="000254D8">
        <w:rPr>
          <w:bCs/>
        </w:rPr>
        <w:t xml:space="preserve"> 1</w:t>
      </w:r>
      <w:r w:rsidRPr="00160290">
        <w:rPr>
          <w:bCs/>
        </w:rPr>
        <w:t>77 of the Act (</w:t>
      </w:r>
      <w:r w:rsidR="00204BEB">
        <w:rPr>
          <w:bCs/>
        </w:rPr>
        <w:t xml:space="preserve">which </w:t>
      </w:r>
      <w:r w:rsidRPr="00160290">
        <w:rPr>
          <w:bCs/>
        </w:rPr>
        <w:t xml:space="preserve">commenced </w:t>
      </w:r>
      <w:r w:rsidR="00204BEB">
        <w:rPr>
          <w:bCs/>
        </w:rPr>
        <w:t xml:space="preserve">on </w:t>
      </w:r>
      <w:r w:rsidRPr="00160290">
        <w:rPr>
          <w:bCs/>
        </w:rPr>
        <w:t xml:space="preserve">1 September 2016), which provides that </w:t>
      </w:r>
      <w:r w:rsidR="000E2924">
        <w:rPr>
          <w:bCs/>
        </w:rPr>
        <w:t>VBA</w:t>
      </w:r>
      <w:r w:rsidRPr="00160290">
        <w:t xml:space="preserve"> may approve</w:t>
      </w:r>
      <w:r w:rsidR="004028EE">
        <w:t xml:space="preserve"> </w:t>
      </w:r>
      <w:r w:rsidRPr="00160290">
        <w:t>code</w:t>
      </w:r>
      <w:r w:rsidR="00CF3B74">
        <w:t>s</w:t>
      </w:r>
      <w:r w:rsidRPr="00160290">
        <w:t xml:space="preserve"> of </w:t>
      </w:r>
      <w:hyperlink r:id="rId32" w:anchor="conduct" w:history="1">
        <w:r w:rsidRPr="00160290">
          <w:t>conduct</w:t>
        </w:r>
      </w:hyperlink>
      <w:r w:rsidRPr="00160290">
        <w:t xml:space="preserve"> for </w:t>
      </w:r>
      <w:hyperlink r:id="rId33" w:anchor="building" w:history="1">
        <w:r w:rsidRPr="00160290">
          <w:t>building</w:t>
        </w:r>
      </w:hyperlink>
      <w:r w:rsidRPr="00160290">
        <w:t xml:space="preserve"> practitioners and disciplinary action may be taken where a practitioner does not comply with </w:t>
      </w:r>
      <w:r w:rsidR="00692E00">
        <w:t>a</w:t>
      </w:r>
      <w:r w:rsidR="00692E00" w:rsidRPr="00160290">
        <w:t xml:space="preserve"> </w:t>
      </w:r>
      <w:r w:rsidRPr="00160290">
        <w:t xml:space="preserve">code. The Act sets out a process for preparing such a code. From a regulatory compliance perspective, a code of conduct may be a more appropriate mechanism to set out standards of behaviour in the long run. </w:t>
      </w:r>
      <w:r w:rsidRPr="00160290">
        <w:rPr>
          <w:bCs/>
        </w:rPr>
        <w:t xml:space="preserve">The department considers that, as the code of conduct regime has not been developed (and would take some time to develop), the </w:t>
      </w:r>
      <w:r w:rsidR="00160290">
        <w:rPr>
          <w:bCs/>
        </w:rPr>
        <w:t>R</w:t>
      </w:r>
      <w:r w:rsidRPr="00160290">
        <w:rPr>
          <w:bCs/>
        </w:rPr>
        <w:t>egulation should be re</w:t>
      </w:r>
      <w:r w:rsidR="00703FD9" w:rsidRPr="00160290">
        <w:rPr>
          <w:bCs/>
        </w:rPr>
        <w:t>made</w:t>
      </w:r>
      <w:r w:rsidRPr="00160290">
        <w:rPr>
          <w:bCs/>
        </w:rPr>
        <w:t xml:space="preserve"> in its current form.</w:t>
      </w:r>
    </w:p>
    <w:p w:rsidR="003A7FBC" w:rsidRPr="00160290" w:rsidRDefault="008D3250" w:rsidP="00357F56">
      <w:pPr>
        <w:pStyle w:val="Heading2"/>
      </w:pPr>
      <w:bookmarkStart w:id="54" w:name="_Toc481502200"/>
      <w:r>
        <w:t>C3.5</w:t>
      </w:r>
      <w:r>
        <w:tab/>
      </w:r>
      <w:r w:rsidR="003A7FBC" w:rsidRPr="00160290">
        <w:t>Period during which a private building surveyor cannot act</w:t>
      </w:r>
      <w:bookmarkEnd w:id="54"/>
    </w:p>
    <w:p w:rsidR="002129C8" w:rsidRPr="00160290" w:rsidRDefault="003A7FBC" w:rsidP="00282301">
      <w:pPr>
        <w:pStyle w:val="Normalpre-dotpoint"/>
      </w:pPr>
      <w:r w:rsidRPr="00160290">
        <w:t xml:space="preserve">Under the Act, a </w:t>
      </w:r>
      <w:r w:rsidR="00010CE1">
        <w:t>PBS</w:t>
      </w:r>
      <w:r w:rsidRPr="00160290">
        <w:t xml:space="preserve"> may be appointed to carry out all or any of the following functions:</w:t>
      </w:r>
    </w:p>
    <w:p w:rsidR="002129C8" w:rsidRPr="00160290" w:rsidRDefault="00282301" w:rsidP="00282301">
      <w:pPr>
        <w:pStyle w:val="Normalpre-dotpoint"/>
      </w:pPr>
      <w:r w:rsidRPr="00160290">
        <w:t>a)</w:t>
      </w:r>
      <w:r w:rsidRPr="00160290">
        <w:tab/>
      </w:r>
      <w:r w:rsidR="003A7FBC" w:rsidRPr="00160290">
        <w:t>the issuing of building permits</w:t>
      </w:r>
      <w:r w:rsidR="003A7FBC" w:rsidRPr="00160290">
        <w:rPr>
          <w:rStyle w:val="FootnoteReference"/>
        </w:rPr>
        <w:footnoteReference w:id="37"/>
      </w:r>
    </w:p>
    <w:p w:rsidR="003A7FBC" w:rsidRPr="00160290" w:rsidRDefault="00282301" w:rsidP="00282301">
      <w:pPr>
        <w:pStyle w:val="Normalpre-dotpoint"/>
      </w:pPr>
      <w:r w:rsidRPr="00160290">
        <w:t>b)</w:t>
      </w:r>
      <w:r w:rsidRPr="00160290">
        <w:tab/>
      </w:r>
      <w:r w:rsidR="003A7FBC" w:rsidRPr="00160290">
        <w:t>the carrying</w:t>
      </w:r>
      <w:r w:rsidR="00355370">
        <w:t>-</w:t>
      </w:r>
      <w:r w:rsidR="003A7FBC" w:rsidRPr="00160290">
        <w:t xml:space="preserve">out of inspections of buildings and building work under </w:t>
      </w:r>
      <w:proofErr w:type="spellStart"/>
      <w:r w:rsidR="0062727D">
        <w:t>pt</w:t>
      </w:r>
      <w:proofErr w:type="spellEnd"/>
      <w:r w:rsidR="003A7FBC" w:rsidRPr="00160290">
        <w:t xml:space="preserve"> 4</w:t>
      </w:r>
    </w:p>
    <w:p w:rsidR="002129C8" w:rsidRPr="00160290" w:rsidRDefault="00282301" w:rsidP="00282301">
      <w:r w:rsidRPr="00160290">
        <w:t>c)</w:t>
      </w:r>
      <w:r w:rsidRPr="00160290">
        <w:tab/>
      </w:r>
      <w:r w:rsidR="003A7FBC" w:rsidRPr="00160290">
        <w:t xml:space="preserve">the issuing of occupancy permits and temporary approvals under </w:t>
      </w:r>
      <w:proofErr w:type="spellStart"/>
      <w:r w:rsidR="0062727D">
        <w:t>pt</w:t>
      </w:r>
      <w:proofErr w:type="spellEnd"/>
      <w:r w:rsidR="003A7FBC" w:rsidRPr="00160290">
        <w:t xml:space="preserve"> 5.</w:t>
      </w:r>
    </w:p>
    <w:p w:rsidR="003A7FBC" w:rsidRPr="00160290" w:rsidRDefault="000E2924" w:rsidP="00282301">
      <w:r>
        <w:t>S</w:t>
      </w:r>
      <w:r w:rsidR="003A7FBC" w:rsidRPr="00160290">
        <w:t xml:space="preserve"> 79 sets out the circumstance</w:t>
      </w:r>
      <w:r w:rsidR="00E06704">
        <w:t>s</w:t>
      </w:r>
      <w:r w:rsidR="003A7FBC" w:rsidRPr="00160290">
        <w:t xml:space="preserve"> in which a </w:t>
      </w:r>
      <w:r w:rsidR="00010CE1">
        <w:t>PBS</w:t>
      </w:r>
      <w:r w:rsidR="003A7FBC" w:rsidRPr="00160290">
        <w:t xml:space="preserve"> must not act. These are where the building surveyor has a pecuniary interest in the building work or its design, where they were involved in the design of the building or work, and where they were previously employed or engaged by the entity that prepared the design for the building or works. This last</w:t>
      </w:r>
      <w:r w:rsidR="00E06704">
        <w:t xml:space="preserve"> circumstance </w:t>
      </w:r>
      <w:r w:rsidR="003A7FBC" w:rsidRPr="00160290">
        <w:t>only applies where the employment or engagement was within a period prescribed in the Regulations.</w:t>
      </w:r>
      <w:r>
        <w:t xml:space="preserve"> </w:t>
      </w:r>
    </w:p>
    <w:p w:rsidR="003A7FBC" w:rsidRPr="00160290" w:rsidRDefault="003A7FBC" w:rsidP="00282301">
      <w:r w:rsidRPr="00160290">
        <w:t>The objective of s</w:t>
      </w:r>
      <w:r w:rsidR="00E06704">
        <w:t xml:space="preserve"> </w:t>
      </w:r>
      <w:r w:rsidRPr="00160290">
        <w:t>79 is to prevent a building surveyor having a conflict between their own interests (such as a sense of fidelity or loyalty to a former employer) and their duty to a consumer. There is a risk that a consumer will not be adequately protected (</w:t>
      </w:r>
      <w:r w:rsidR="00E06704">
        <w:t>for example</w:t>
      </w:r>
      <w:r w:rsidRPr="00160290">
        <w:t xml:space="preserve">, </w:t>
      </w:r>
      <w:r w:rsidR="00E06704">
        <w:t xml:space="preserve">be </w:t>
      </w:r>
      <w:r w:rsidRPr="00160290">
        <w:t>informed about defects) where a building surveyor has such a conflict of interest.</w:t>
      </w:r>
    </w:p>
    <w:p w:rsidR="00F71F1A" w:rsidRDefault="003A7FBC">
      <w:pPr>
        <w:pStyle w:val="Heading4"/>
      </w:pPr>
      <w:bookmarkStart w:id="55" w:name="_Toc481502201"/>
      <w:r w:rsidRPr="00160290">
        <w:t>Base case</w:t>
      </w:r>
      <w:bookmarkEnd w:id="55"/>
    </w:p>
    <w:p w:rsidR="003A7FBC" w:rsidRPr="00160290" w:rsidRDefault="003A7FBC" w:rsidP="00282301">
      <w:r w:rsidRPr="00160290">
        <w:t xml:space="preserve">Current </w:t>
      </w:r>
      <w:r w:rsidR="00381EF5">
        <w:t>reg</w:t>
      </w:r>
      <w:r w:rsidRPr="00160290">
        <w:t xml:space="preserve">1504 sets the prescribed period at </w:t>
      </w:r>
      <w:r w:rsidR="00E06704">
        <w:t xml:space="preserve">one </w:t>
      </w:r>
      <w:r w:rsidRPr="00160290">
        <w:t xml:space="preserve">year. In the absence of this </w:t>
      </w:r>
      <w:r w:rsidR="00160290">
        <w:t>R</w:t>
      </w:r>
      <w:r w:rsidRPr="00160290">
        <w:t xml:space="preserve">egulation, </w:t>
      </w:r>
      <w:r w:rsidR="00E06704" w:rsidRPr="00160290">
        <w:t>s</w:t>
      </w:r>
      <w:r w:rsidR="00E06704">
        <w:t>.</w:t>
      </w:r>
      <w:r w:rsidRPr="00160290">
        <w:t xml:space="preserve">79(1) of the Act could not be used to prevent a person acting as building surveyor for a building works designed by their previous employer, even if that employment relationship existed immediately </w:t>
      </w:r>
      <w:r w:rsidR="00703FD9" w:rsidRPr="00160290">
        <w:t>before</w:t>
      </w:r>
      <w:r w:rsidRPr="00160290">
        <w:t xml:space="preserve"> the functions performed by the building surveyor. Remaking </w:t>
      </w:r>
      <w:r w:rsidR="00381EF5">
        <w:t>reg</w:t>
      </w:r>
      <w:r w:rsidRPr="00160290">
        <w:t>1504 is Option 4.</w:t>
      </w:r>
    </w:p>
    <w:p w:rsidR="003A7FBC" w:rsidRPr="00160290" w:rsidRDefault="003A7FBC" w:rsidP="00282301">
      <w:pPr>
        <w:rPr>
          <w:bCs/>
        </w:rPr>
      </w:pPr>
      <w:r w:rsidRPr="00160290">
        <w:t>This creates a risk of conflict of interest in the functions carried out by building surveyors.</w:t>
      </w:r>
      <w:r w:rsidR="00E06704">
        <w:t xml:space="preserve"> </w:t>
      </w:r>
      <w:r w:rsidRPr="00160290">
        <w:t>However, the Act still has controls to prevent such conflicts of interest arising. These include</w:t>
      </w:r>
      <w:r w:rsidR="00E06704">
        <w:t xml:space="preserve"> s </w:t>
      </w:r>
      <w:r w:rsidRPr="00160290">
        <w:t>79(1</w:t>
      </w:r>
      <w:r w:rsidR="0022498F">
        <w:t>A</w:t>
      </w:r>
      <w:r w:rsidRPr="00160290">
        <w:t>)</w:t>
      </w:r>
      <w:r w:rsidR="00E06704">
        <w:t xml:space="preserve">, which </w:t>
      </w:r>
      <w:r w:rsidRPr="00160290">
        <w:t xml:space="preserve">provides that a </w:t>
      </w:r>
      <w:r w:rsidR="00010CE1">
        <w:t>PBS</w:t>
      </w:r>
      <w:r w:rsidRPr="00160290">
        <w:t xml:space="preserve"> must not carry out any function as a </w:t>
      </w:r>
      <w:r w:rsidR="00010CE1">
        <w:t>PBS</w:t>
      </w:r>
      <w:r w:rsidRPr="00160290">
        <w:t xml:space="preserve"> in relation to which the </w:t>
      </w:r>
      <w:r w:rsidR="00010CE1">
        <w:t>PBS</w:t>
      </w:r>
      <w:r w:rsidRPr="00160290">
        <w:t xml:space="preserve"> or a related person has a conflict of interest.</w:t>
      </w:r>
      <w:r w:rsidR="00E06704">
        <w:t xml:space="preserve"> </w:t>
      </w:r>
      <w:r w:rsidRPr="00160290">
        <w:rPr>
          <w:bCs/>
        </w:rPr>
        <w:t>Disciplinary</w:t>
      </w:r>
      <w:r w:rsidRPr="00160290">
        <w:t xml:space="preserve"> action can be taken under </w:t>
      </w:r>
      <w:r w:rsidR="000254D8">
        <w:t>s 1</w:t>
      </w:r>
      <w:r w:rsidRPr="00160290">
        <w:t>79, including for unprofessional conduct of which acting under a conflict of interest would be an example.</w:t>
      </w:r>
    </w:p>
    <w:p w:rsidR="003A7FBC" w:rsidRPr="00160290" w:rsidRDefault="003A7FBC" w:rsidP="00282301">
      <w:r w:rsidRPr="00160290">
        <w:lastRenderedPageBreak/>
        <w:t>Thus, in the absence of prescribing a period to which previous employment would prevent a building surveyor from acting, the Act may nevertheless prevent the building surveyor from acting where to do so amounts to a conflict of interest (generally defined) or unprofessional conduct.</w:t>
      </w:r>
    </w:p>
    <w:p w:rsidR="003A7FBC" w:rsidRPr="00160290" w:rsidRDefault="003A7FBC" w:rsidP="00282301">
      <w:r w:rsidRPr="00160290">
        <w:t>S</w:t>
      </w:r>
      <w:r w:rsidR="00E06704">
        <w:t xml:space="preserve"> </w:t>
      </w:r>
      <w:r w:rsidRPr="00160290">
        <w:t>79(1</w:t>
      </w:r>
      <w:r w:rsidR="0022498F">
        <w:t>A</w:t>
      </w:r>
      <w:r w:rsidRPr="00160290">
        <w:t xml:space="preserve">) was only introduced in the 2016 amendments to the Act and as such now provides a general catch-all for conflicts of interest. This was introduced following </w:t>
      </w:r>
      <w:r w:rsidR="00E06704">
        <w:t xml:space="preserve">the </w:t>
      </w:r>
      <w:r w:rsidRPr="00160290">
        <w:t xml:space="preserve">2015 </w:t>
      </w:r>
      <w:r w:rsidR="006C108D">
        <w:t>VAGO</w:t>
      </w:r>
      <w:r w:rsidR="00E06704">
        <w:t xml:space="preserve"> </w:t>
      </w:r>
      <w:r w:rsidR="00D3125B" w:rsidRPr="00D3125B">
        <w:rPr>
          <w:i/>
        </w:rPr>
        <w:t>Victoria’s Consumer Protection Framework for Building Construction</w:t>
      </w:r>
      <w:r w:rsidR="00E06704">
        <w:t xml:space="preserve"> report</w:t>
      </w:r>
      <w:r w:rsidRPr="00160290">
        <w:t xml:space="preserve">, which found the framework had failed to manage a long-recognised conflict of interest for </w:t>
      </w:r>
      <w:r w:rsidR="00010CE1">
        <w:t>PBS</w:t>
      </w:r>
      <w:r w:rsidRPr="00160290">
        <w:t xml:space="preserve">s, and evidence of collusion and conflict of interest between builders and building surveyors. The new </w:t>
      </w:r>
      <w:r w:rsidR="000E2924">
        <w:t>s</w:t>
      </w:r>
      <w:r w:rsidR="00E06704">
        <w:t xml:space="preserve"> </w:t>
      </w:r>
      <w:r w:rsidRPr="00160290">
        <w:t>79(1</w:t>
      </w:r>
      <w:r w:rsidR="0022498F">
        <w:t>A</w:t>
      </w:r>
      <w:r w:rsidRPr="00160290">
        <w:t xml:space="preserve">) means that reliance on the period prescribed under </w:t>
      </w:r>
      <w:r w:rsidR="000E2924">
        <w:t>s</w:t>
      </w:r>
      <w:r w:rsidRPr="00160290">
        <w:t xml:space="preserve"> 79(1) is now much less important.</w:t>
      </w:r>
    </w:p>
    <w:p w:rsidR="003A7FBC" w:rsidRPr="00160290" w:rsidRDefault="003A7FBC" w:rsidP="00282301">
      <w:r w:rsidRPr="00160290">
        <w:t>There are also likely existing reputational incentives for a builder surveyor to avoid perceptions of conflict of interest, as well as some more</w:t>
      </w:r>
      <w:r w:rsidR="00E06704">
        <w:t>-</w:t>
      </w:r>
      <w:r w:rsidRPr="00160290">
        <w:t>astute customers actively ensuring conflicts of interest are avoided.</w:t>
      </w:r>
    </w:p>
    <w:p w:rsidR="002129C8" w:rsidRPr="00160290" w:rsidRDefault="003A7FBC" w:rsidP="00282301">
      <w:r w:rsidRPr="00160290">
        <w:t xml:space="preserve">Proving a case of conflict of interest related to previous employment is inherently subjective as there may be </w:t>
      </w:r>
      <w:r w:rsidR="00703FD9" w:rsidRPr="00160290">
        <w:t xml:space="preserve">several </w:t>
      </w:r>
      <w:r w:rsidRPr="00160290">
        <w:t>factors to be considered, only one of which is the time period since the employment relationship ended.</w:t>
      </w:r>
    </w:p>
    <w:p w:rsidR="003A7FBC" w:rsidRPr="00160290" w:rsidRDefault="003A7FBC" w:rsidP="00757E56">
      <w:r w:rsidRPr="00160290">
        <w:t xml:space="preserve">With the introduction of </w:t>
      </w:r>
      <w:r w:rsidR="000E2924">
        <w:t>s</w:t>
      </w:r>
      <w:r w:rsidRPr="00160290">
        <w:t xml:space="preserve"> 79(1</w:t>
      </w:r>
      <w:r w:rsidR="0022498F">
        <w:t>A</w:t>
      </w:r>
      <w:r w:rsidRPr="00160290">
        <w:t xml:space="preserve">), the prescribed period in relation to previous employment now only acts as an effective default minimum. It is a minimum because even if the employment occurs outside the period prescribed for </w:t>
      </w:r>
      <w:r w:rsidR="000E2924">
        <w:t>s</w:t>
      </w:r>
      <w:r w:rsidRPr="00160290">
        <w:t xml:space="preserve"> 79(1), a conflict of interest may still be considered to exist under </w:t>
      </w:r>
      <w:r w:rsidR="000E2924">
        <w:t>s</w:t>
      </w:r>
      <w:r w:rsidRPr="00160290">
        <w:t xml:space="preserve"> 79(1</w:t>
      </w:r>
      <w:r w:rsidR="0022498F">
        <w:t>A</w:t>
      </w:r>
      <w:r w:rsidRPr="00160290">
        <w:t xml:space="preserve">). It is a default, because a person may apply to be exempt from </w:t>
      </w:r>
      <w:r w:rsidR="000E2924">
        <w:t>s</w:t>
      </w:r>
      <w:r w:rsidRPr="00160290">
        <w:t xml:space="preserve"> 79 even where they may have previously employment within the prescribed period.</w:t>
      </w:r>
    </w:p>
    <w:p w:rsidR="003A7FBC" w:rsidRPr="00160290" w:rsidRDefault="003A7FBC" w:rsidP="00757E56">
      <w:r w:rsidRPr="00160290">
        <w:t xml:space="preserve">With the introduction of </w:t>
      </w:r>
      <w:r w:rsidR="000E2924">
        <w:t>s</w:t>
      </w:r>
      <w:r w:rsidRPr="00160290">
        <w:t xml:space="preserve"> 79(1</w:t>
      </w:r>
      <w:r w:rsidR="0022498F">
        <w:t>A</w:t>
      </w:r>
      <w:r w:rsidRPr="00160290">
        <w:t xml:space="preserve">), prescribing any period for the purpose of </w:t>
      </w:r>
      <w:r w:rsidR="000E2924">
        <w:t>s</w:t>
      </w:r>
      <w:r w:rsidRPr="00160290">
        <w:t xml:space="preserve"> 79(1) may </w:t>
      </w:r>
      <w:r w:rsidR="00703FD9" w:rsidRPr="00160290">
        <w:t xml:space="preserve">sometimes </w:t>
      </w:r>
      <w:r w:rsidRPr="00160290">
        <w:t xml:space="preserve">increase the risk of misinterpretation, for example if a building surveyor (wrongly) </w:t>
      </w:r>
      <w:r w:rsidR="001A6162">
        <w:t>considers</w:t>
      </w:r>
      <w:r w:rsidRPr="00160290">
        <w:t xml:space="preserve"> that once the prescribed period has elapsed there is no longer a question of conflict of interest. The </w:t>
      </w:r>
      <w:r w:rsidR="00BE6DEA" w:rsidRPr="00160290">
        <w:t>department</w:t>
      </w:r>
      <w:r w:rsidRPr="00160290">
        <w:t xml:space="preserve"> </w:t>
      </w:r>
      <w:r w:rsidR="00CF157F">
        <w:t>considers</w:t>
      </w:r>
      <w:r w:rsidRPr="00160290">
        <w:t xml:space="preserve"> however that this risk is low. Moreover, removal of any prescribed period (</w:t>
      </w:r>
      <w:r w:rsidR="00703FD9" w:rsidRPr="00160290">
        <w:t>that is</w:t>
      </w:r>
      <w:r w:rsidRPr="00160290">
        <w:t xml:space="preserve">, an intention to rely solely on </w:t>
      </w:r>
      <w:r w:rsidR="000E2924">
        <w:t>s</w:t>
      </w:r>
      <w:r w:rsidRPr="00160290">
        <w:t xml:space="preserve"> 79(1</w:t>
      </w:r>
      <w:r w:rsidR="0022498F">
        <w:t>A</w:t>
      </w:r>
      <w:r w:rsidRPr="00160290">
        <w:t>)) may cause some practitioners to (wrongly) believe there is no longer a restriction on providing services for work undertaken by a former employer.</w:t>
      </w:r>
    </w:p>
    <w:p w:rsidR="003A7FBC" w:rsidRPr="00160290" w:rsidRDefault="000254D8" w:rsidP="00757E56">
      <w:r>
        <w:t>S</w:t>
      </w:r>
      <w:r w:rsidR="00CF157F">
        <w:t xml:space="preserve"> </w:t>
      </w:r>
      <w:r w:rsidR="003A7FBC" w:rsidRPr="00160290">
        <w:t xml:space="preserve">79(1A) relies on a practitioner being able to identify and assess that a conflict of interest exists. The department </w:t>
      </w:r>
      <w:r w:rsidR="00CF157F">
        <w:t xml:space="preserve">considers </w:t>
      </w:r>
      <w:r w:rsidR="003A7FBC" w:rsidRPr="00160290">
        <w:t xml:space="preserve">this is not always </w:t>
      </w:r>
      <w:r w:rsidR="00BA4BF1" w:rsidRPr="00160290">
        <w:t>likely</w:t>
      </w:r>
      <w:r w:rsidR="003A7FBC" w:rsidRPr="00160290">
        <w:t xml:space="preserve"> and </w:t>
      </w:r>
      <w:r w:rsidR="00CF157F">
        <w:t xml:space="preserve">therefore </w:t>
      </w:r>
      <w:r w:rsidR="003A7FBC" w:rsidRPr="00160290">
        <w:t>considers</w:t>
      </w:r>
      <w:r w:rsidR="00CF157F">
        <w:t xml:space="preserve"> that </w:t>
      </w:r>
      <w:r w:rsidR="003A7FBC" w:rsidRPr="00160290">
        <w:t>to ensure conflict</w:t>
      </w:r>
      <w:r w:rsidR="00CF157F">
        <w:t>s</w:t>
      </w:r>
      <w:r w:rsidR="003A7FBC" w:rsidRPr="00160290">
        <w:t xml:space="preserve"> of interest are avoided (as opposed to subsequently detected), a more</w:t>
      </w:r>
      <w:r w:rsidR="00703FD9" w:rsidRPr="00160290">
        <w:t>-</w:t>
      </w:r>
      <w:r w:rsidR="003A7FBC" w:rsidRPr="00160290">
        <w:t>objective rule that restricts the period in which a building surveyor can work on particular projects is beneficial.</w:t>
      </w:r>
    </w:p>
    <w:p w:rsidR="003A7FBC" w:rsidRPr="00160290" w:rsidRDefault="003A7FBC" w:rsidP="00757E56">
      <w:pPr>
        <w:pStyle w:val="Normalpre-dotpoint"/>
      </w:pPr>
      <w:r w:rsidRPr="00160290">
        <w:t>The choice of an appropriate prescribed period therefore needs to balance:</w:t>
      </w:r>
    </w:p>
    <w:p w:rsidR="003A7FBC" w:rsidRPr="00160290" w:rsidRDefault="00CF157F" w:rsidP="00757E56">
      <w:pPr>
        <w:pStyle w:val="Dotpoint"/>
      </w:pPr>
      <w:r>
        <w:t>n</w:t>
      </w:r>
      <w:r w:rsidR="003A7FBC" w:rsidRPr="00160290">
        <w:t xml:space="preserve">ot </w:t>
      </w:r>
      <w:r w:rsidR="003A7FBC" w:rsidRPr="00160290">
        <w:rPr>
          <w:bCs/>
        </w:rPr>
        <w:t>being</w:t>
      </w:r>
      <w:r w:rsidR="003A7FBC" w:rsidRPr="00160290">
        <w:t xml:space="preserve"> too short as to not capture genuine conflicts of interest that could arise from these situations</w:t>
      </w:r>
    </w:p>
    <w:p w:rsidR="0049524F" w:rsidRDefault="00CF157F">
      <w:pPr>
        <w:pStyle w:val="Dotpointlast"/>
      </w:pPr>
      <w:r>
        <w:t>n</w:t>
      </w:r>
      <w:r w:rsidR="003A7FBC" w:rsidRPr="00160290">
        <w:t xml:space="preserve">ot </w:t>
      </w:r>
      <w:r w:rsidR="003A7FBC" w:rsidRPr="00160290">
        <w:rPr>
          <w:bCs/>
        </w:rPr>
        <w:t>being</w:t>
      </w:r>
      <w:r w:rsidR="003A7FBC" w:rsidRPr="00160290">
        <w:t xml:space="preserve"> too long as to capture too many situations where conflicts are unlikely to be present, or place a higher need on people needing to apply for exemptions.</w:t>
      </w:r>
    </w:p>
    <w:p w:rsidR="00692E00" w:rsidRDefault="00692E00" w:rsidP="008D3250">
      <w:pPr>
        <w:pStyle w:val="Heading3"/>
      </w:pPr>
      <w:bookmarkStart w:id="56" w:name="_Toc481502202"/>
      <w:r w:rsidRPr="00692E00">
        <w:rPr>
          <w:rFonts w:eastAsiaTheme="majorEastAsia"/>
        </w:rPr>
        <w:t xml:space="preserve">Option 4 – Remake </w:t>
      </w:r>
      <w:proofErr w:type="spellStart"/>
      <w:r w:rsidR="00B53D4A">
        <w:rPr>
          <w:rFonts w:eastAsiaTheme="majorEastAsia"/>
        </w:rPr>
        <w:t>r</w:t>
      </w:r>
      <w:r w:rsidRPr="00692E00">
        <w:rPr>
          <w:rFonts w:eastAsiaTheme="majorEastAsia"/>
        </w:rPr>
        <w:t>eg</w:t>
      </w:r>
      <w:proofErr w:type="spellEnd"/>
      <w:r w:rsidR="00B53D4A">
        <w:rPr>
          <w:rFonts w:eastAsiaTheme="majorEastAsia"/>
        </w:rPr>
        <w:t xml:space="preserve"> 1504</w:t>
      </w:r>
      <w:bookmarkEnd w:id="56"/>
    </w:p>
    <w:p w:rsidR="003A7FBC" w:rsidRDefault="00692E00" w:rsidP="00757E56">
      <w:r>
        <w:t>Option 4 is to remake the current Regulation and r</w:t>
      </w:r>
      <w:r w:rsidRPr="00692E00">
        <w:t xml:space="preserve">etain </w:t>
      </w:r>
      <w:r>
        <w:t xml:space="preserve">the </w:t>
      </w:r>
      <w:r w:rsidRPr="00692E00">
        <w:t xml:space="preserve">period during which a </w:t>
      </w:r>
      <w:r w:rsidR="00010CE1">
        <w:t>PBS</w:t>
      </w:r>
      <w:r w:rsidRPr="00692E00">
        <w:t xml:space="preserve"> cannot act of one year</w:t>
      </w:r>
      <w:r>
        <w:t xml:space="preserve">. </w:t>
      </w:r>
      <w:r w:rsidR="003A7FBC" w:rsidRPr="00160290">
        <w:t xml:space="preserve">Preliminary discussions with a small sample of building surveyors considered that the current </w:t>
      </w:r>
      <w:r w:rsidR="00CF157F">
        <w:t>one-</w:t>
      </w:r>
      <w:r w:rsidR="003A7FBC" w:rsidRPr="00160290">
        <w:t xml:space="preserve">year period was reasonable and noted that </w:t>
      </w:r>
      <w:r w:rsidR="00CF157F">
        <w:t xml:space="preserve">this time period did not impose a </w:t>
      </w:r>
      <w:r w:rsidR="003A7FBC" w:rsidRPr="00160290">
        <w:t xml:space="preserve">material burden on building surveyors. While notionally prescribing a period where a person cannot do work in relation to works undertaken by others is a restraint on competition, in practice there are only a small number of building surveyors compared to the very large number of building works undertaken each year. Precluding a building surveyor from performing functions in relation to a previous employer was considered to not have any real impact on their ability to operate and compete in the market. </w:t>
      </w:r>
      <w:r w:rsidR="000E2924">
        <w:t>VBA</w:t>
      </w:r>
      <w:r w:rsidR="003A7FBC" w:rsidRPr="00160290">
        <w:t xml:space="preserve"> advised that requests for exemptions from the current </w:t>
      </w:r>
      <w:r w:rsidR="00703FD9" w:rsidRPr="00160290">
        <w:t>one-</w:t>
      </w:r>
      <w:r w:rsidR="003A7FBC" w:rsidRPr="00160290">
        <w:t>year prescribed period are extremely rare.</w:t>
      </w:r>
    </w:p>
    <w:p w:rsidR="00F71F1A" w:rsidRDefault="00CF157F" w:rsidP="008D3250">
      <w:pPr>
        <w:pStyle w:val="Heading3"/>
      </w:pPr>
      <w:bookmarkStart w:id="57" w:name="_Toc481502203"/>
      <w:r w:rsidRPr="00EA7513">
        <w:lastRenderedPageBreak/>
        <w:t>Option 4.1</w:t>
      </w:r>
      <w:r>
        <w:t xml:space="preserve"> – </w:t>
      </w:r>
      <w:r w:rsidRPr="00EA7513">
        <w:t xml:space="preserve">Reduce the prescribed period to </w:t>
      </w:r>
      <w:r>
        <w:t xml:space="preserve">six </w:t>
      </w:r>
      <w:r w:rsidRPr="00EA7513">
        <w:t>months</w:t>
      </w:r>
      <w:bookmarkEnd w:id="57"/>
    </w:p>
    <w:p w:rsidR="003A7FBC" w:rsidRPr="00160290" w:rsidRDefault="00CF157F" w:rsidP="00757E56">
      <w:r>
        <w:t xml:space="preserve">Option 4.1 is to reduce </w:t>
      </w:r>
      <w:r w:rsidR="003A7FBC" w:rsidRPr="00160290">
        <w:t xml:space="preserve">the prescribed period to </w:t>
      </w:r>
      <w:r>
        <w:t xml:space="preserve">six </w:t>
      </w:r>
      <w:r w:rsidR="003A7FBC" w:rsidRPr="00160290">
        <w:t>months</w:t>
      </w:r>
      <w:r>
        <w:t>. This</w:t>
      </w:r>
      <w:r w:rsidR="003A7FBC" w:rsidRPr="00160290">
        <w:t xml:space="preserve"> would not materially alter the costs of complying with the </w:t>
      </w:r>
      <w:r w:rsidR="00160290">
        <w:t>R</w:t>
      </w:r>
      <w:r w:rsidR="003A7FBC" w:rsidRPr="00160290">
        <w:t xml:space="preserve">egulation but would increase the risk of a building surveyor acting where, despite </w:t>
      </w:r>
      <w:r>
        <w:t xml:space="preserve">six </w:t>
      </w:r>
      <w:r w:rsidR="003A7FBC" w:rsidRPr="00160290">
        <w:t>months elapsing, a relevant conflict of interest still exist</w:t>
      </w:r>
      <w:r>
        <w:t>ed</w:t>
      </w:r>
      <w:r w:rsidR="003A7FBC" w:rsidRPr="00160290">
        <w:t xml:space="preserve">. This is because they would be guided by the prescribed period and not separately consider the operation of </w:t>
      </w:r>
      <w:r w:rsidR="000E2924">
        <w:t>s</w:t>
      </w:r>
      <w:r w:rsidR="003A7FBC" w:rsidRPr="00160290">
        <w:t xml:space="preserve"> 79(1A) which applies without a time limit. The risks of a building surveyor acting while under a conflict of interest are the costs to the customer if potential defects are not properly identified and avoided. Because of this risk, the department </w:t>
      </w:r>
      <w:r>
        <w:t xml:space="preserve">considers </w:t>
      </w:r>
      <w:r w:rsidR="003A7FBC" w:rsidRPr="00160290">
        <w:t xml:space="preserve">a </w:t>
      </w:r>
      <w:r w:rsidR="00703FD9" w:rsidRPr="00160290">
        <w:t>six</w:t>
      </w:r>
      <w:r w:rsidR="003A7FBC" w:rsidRPr="00160290">
        <w:t xml:space="preserve">-month prescribed period is inferior to the current </w:t>
      </w:r>
      <w:r w:rsidR="00703FD9" w:rsidRPr="00160290">
        <w:t>one</w:t>
      </w:r>
      <w:r w:rsidR="003A7FBC" w:rsidRPr="00160290">
        <w:t>-year period, although the extent of the difference (and whether it is significant) cannot be meaningfully quantified.</w:t>
      </w:r>
    </w:p>
    <w:p w:rsidR="00F71F1A" w:rsidRDefault="00CF157F" w:rsidP="008D3250">
      <w:pPr>
        <w:pStyle w:val="Heading3"/>
      </w:pPr>
      <w:bookmarkStart w:id="58" w:name="_Toc481502204"/>
      <w:r>
        <w:t xml:space="preserve">Option 4.2 – </w:t>
      </w:r>
      <w:r w:rsidRPr="00EA7513">
        <w:t>Inc</w:t>
      </w:r>
      <w:r>
        <w:t>rease the prescribed period to two</w:t>
      </w:r>
      <w:r w:rsidRPr="00EA7513">
        <w:t xml:space="preserve"> years</w:t>
      </w:r>
      <w:bookmarkEnd w:id="58"/>
    </w:p>
    <w:p w:rsidR="003A7FBC" w:rsidRPr="00160290" w:rsidRDefault="00CF157F" w:rsidP="00757E56">
      <w:r>
        <w:t xml:space="preserve">Option 4.2 is to increase </w:t>
      </w:r>
      <w:r w:rsidR="003A7FBC" w:rsidRPr="00160290">
        <w:t xml:space="preserve">the prescribed period to </w:t>
      </w:r>
      <w:r>
        <w:t xml:space="preserve">two </w:t>
      </w:r>
      <w:r w:rsidR="003A7FBC" w:rsidRPr="00160290">
        <w:t>years</w:t>
      </w:r>
      <w:r>
        <w:t xml:space="preserve">. This </w:t>
      </w:r>
      <w:r w:rsidR="003A7FBC" w:rsidRPr="00160290">
        <w:t xml:space="preserve">might provide greater protection against conflicts of interest, </w:t>
      </w:r>
      <w:r>
        <w:t xml:space="preserve">but it </w:t>
      </w:r>
      <w:r w:rsidR="003A7FBC" w:rsidRPr="00160290">
        <w:t xml:space="preserve">would also increase the costs of the </w:t>
      </w:r>
      <w:r w:rsidR="00160290">
        <w:t>R</w:t>
      </w:r>
      <w:r w:rsidR="003A7FBC" w:rsidRPr="00160290">
        <w:t xml:space="preserve">egulation. A </w:t>
      </w:r>
      <w:r w:rsidR="00703FD9" w:rsidRPr="00160290">
        <w:t>two</w:t>
      </w:r>
      <w:r w:rsidR="003A7FBC" w:rsidRPr="00160290">
        <w:t>-year period would continue to restrict when building surveyors could act even where a real conflict of interest no longer existed. If people could demonstrate no conflict of interest existing within this period, they may apply for an exemption under the Act, which itself is a time-consuming process. There would appear to be no strong evidence of the need to increase the prescribed period</w:t>
      </w:r>
      <w:r>
        <w:t xml:space="preserve">: </w:t>
      </w:r>
      <w:r w:rsidR="003A7FBC" w:rsidRPr="00160290">
        <w:t xml:space="preserve">as </w:t>
      </w:r>
      <w:r w:rsidR="000E2924">
        <w:t>s</w:t>
      </w:r>
      <w:r w:rsidR="003A7FBC" w:rsidRPr="00160290">
        <w:t xml:space="preserve"> 79(1A) is new, an evaluation on its effectiveness may provide further insights in the future.</w:t>
      </w:r>
    </w:p>
    <w:p w:rsidR="003A7FBC" w:rsidRPr="00160290" w:rsidRDefault="008D3250" w:rsidP="00357F56">
      <w:pPr>
        <w:pStyle w:val="Heading2"/>
      </w:pPr>
      <w:bookmarkStart w:id="59" w:name="_Toc481502205"/>
      <w:r>
        <w:t>C3.6</w:t>
      </w:r>
      <w:r>
        <w:tab/>
      </w:r>
      <w:r w:rsidR="00366BFC">
        <w:t>Other topics</w:t>
      </w:r>
      <w:bookmarkEnd w:id="59"/>
      <w:r w:rsidR="00366BFC">
        <w:t xml:space="preserve"> </w:t>
      </w:r>
    </w:p>
    <w:p w:rsidR="003A7FBC" w:rsidRPr="00160290" w:rsidRDefault="003A7FBC" w:rsidP="00757E56">
      <w:r w:rsidRPr="00160290">
        <w:t xml:space="preserve">The department also considered </w:t>
      </w:r>
      <w:r w:rsidR="00703FD9" w:rsidRPr="00160290">
        <w:t>some</w:t>
      </w:r>
      <w:r w:rsidRPr="00160290">
        <w:t xml:space="preserve"> additional </w:t>
      </w:r>
      <w:r w:rsidR="00160290">
        <w:t>R</w:t>
      </w:r>
      <w:r w:rsidRPr="00160290">
        <w:t xml:space="preserve">egulations, based on suggestion made through previous VAGO/Ombudsman reports and </w:t>
      </w:r>
      <w:r w:rsidR="000700D8">
        <w:t>authority</w:t>
      </w:r>
      <w:r w:rsidRPr="00160290">
        <w:t xml:space="preserve"> advice.</w:t>
      </w:r>
    </w:p>
    <w:p w:rsidR="00F71F1A" w:rsidRDefault="00366BFC" w:rsidP="008D3250">
      <w:pPr>
        <w:pStyle w:val="Heading3"/>
      </w:pPr>
      <w:bookmarkStart w:id="60" w:name="_Toc481502206"/>
      <w:r>
        <w:t xml:space="preserve">Option 5 – </w:t>
      </w:r>
      <w:r w:rsidR="00D3125B" w:rsidRPr="00D3125B">
        <w:t>Prescrib</w:t>
      </w:r>
      <w:r w:rsidR="00A13352">
        <w:t>e</w:t>
      </w:r>
      <w:r w:rsidR="00D3125B" w:rsidRPr="00D3125B">
        <w:t xml:space="preserve"> application forms and other documents to be provided with an application</w:t>
      </w:r>
      <w:bookmarkEnd w:id="60"/>
      <w:r>
        <w:t xml:space="preserve"> </w:t>
      </w:r>
    </w:p>
    <w:p w:rsidR="0049524F" w:rsidRDefault="003A7FBC">
      <w:r w:rsidRPr="00160290">
        <w:t xml:space="preserve">Option 5 is to prescribe in </w:t>
      </w:r>
      <w:r w:rsidR="00160290">
        <w:t>R</w:t>
      </w:r>
      <w:r w:rsidRPr="00160290">
        <w:t>egulation</w:t>
      </w:r>
      <w:r w:rsidR="00160290">
        <w:t>s</w:t>
      </w:r>
      <w:r w:rsidRPr="00160290">
        <w:t xml:space="preserve"> the information needed to be provided in an application for registration. This could be a standard application form, but </w:t>
      </w:r>
      <w:r w:rsidR="00366BFC">
        <w:t xml:space="preserve">it could </w:t>
      </w:r>
      <w:r w:rsidRPr="00160290">
        <w:t>also include specific additional information needed to be included before an application is in an acceptable form (for example, copies of transcripts or written references).</w:t>
      </w:r>
    </w:p>
    <w:p w:rsidR="003A7FBC" w:rsidRPr="00160290" w:rsidRDefault="003A7FBC" w:rsidP="00757E56">
      <w:r w:rsidRPr="00160290">
        <w:t xml:space="preserve">The </w:t>
      </w:r>
      <w:r w:rsidR="00BE6DEA" w:rsidRPr="00160290">
        <w:t>department</w:t>
      </w:r>
      <w:r w:rsidRPr="00160290">
        <w:t xml:space="preserve"> understands this would merely codify what </w:t>
      </w:r>
      <w:r w:rsidR="000E2924">
        <w:t>VBA</w:t>
      </w:r>
      <w:r w:rsidRPr="00160290">
        <w:t xml:space="preserve"> requires from applicants, for which there is already powers in the Act for </w:t>
      </w:r>
      <w:r w:rsidR="000E2924">
        <w:t>VBA</w:t>
      </w:r>
      <w:r w:rsidRPr="00160290">
        <w:t xml:space="preserve"> to request any information it considers it reasonably requires to determine the application</w:t>
      </w:r>
      <w:r w:rsidR="00366BFC">
        <w:t xml:space="preserve">. It may </w:t>
      </w:r>
      <w:r w:rsidRPr="00160290">
        <w:t>refuse the application if the applicant does not comply with the request within a reasonable time (</w:t>
      </w:r>
      <w:r w:rsidR="000E2924">
        <w:t>s</w:t>
      </w:r>
      <w:r w:rsidRPr="00160290">
        <w:t xml:space="preserve"> 169).</w:t>
      </w:r>
    </w:p>
    <w:p w:rsidR="002129C8" w:rsidRPr="00160290" w:rsidRDefault="003A7FBC" w:rsidP="00757E56">
      <w:r w:rsidRPr="00160290">
        <w:t xml:space="preserve">As such, prescribing the information that is already required by </w:t>
      </w:r>
      <w:r w:rsidR="000E2924">
        <w:t>VBA</w:t>
      </w:r>
      <w:r w:rsidRPr="00160290">
        <w:t xml:space="preserve"> would not impose any substantive incremental costs or benefits</w:t>
      </w:r>
      <w:r w:rsidR="00366BFC">
        <w:t>,</w:t>
      </w:r>
      <w:r w:rsidRPr="00160290">
        <w:t xml:space="preserve"> and the </w:t>
      </w:r>
      <w:r w:rsidR="00BE6DEA" w:rsidRPr="00160290">
        <w:t>department</w:t>
      </w:r>
      <w:r w:rsidRPr="00160290">
        <w:t xml:space="preserve"> is proposing to include this in the new Regulations to assist in providing transparency of process for applicants seeking registration as building practitioner</w:t>
      </w:r>
      <w:r w:rsidR="00366BFC">
        <w:t>s</w:t>
      </w:r>
      <w:r w:rsidRPr="00160290">
        <w:t>.</w:t>
      </w:r>
    </w:p>
    <w:p w:rsidR="00F71F1A" w:rsidRDefault="00366BFC" w:rsidP="008D3250">
      <w:pPr>
        <w:pStyle w:val="Heading3"/>
      </w:pPr>
      <w:bookmarkStart w:id="61" w:name="_Toc481502207"/>
      <w:r w:rsidRPr="00EA7513">
        <w:t>Option 6</w:t>
      </w:r>
      <w:r w:rsidR="00FA2F8A">
        <w:t xml:space="preserve"> –</w:t>
      </w:r>
      <w:r w:rsidRPr="00EA7513">
        <w:t xml:space="preserve"> Require a statutory declaration </w:t>
      </w:r>
      <w:r w:rsidR="00B53D4A">
        <w:t xml:space="preserve">that the </w:t>
      </w:r>
      <w:r w:rsidRPr="00EA7513">
        <w:t>applicant</w:t>
      </w:r>
      <w:r>
        <w:t>, not a third party, prepared the applicat</w:t>
      </w:r>
      <w:r w:rsidR="009030BC">
        <w:t>ion</w:t>
      </w:r>
      <w:bookmarkEnd w:id="61"/>
    </w:p>
    <w:p w:rsidR="0049524F" w:rsidRDefault="00D3125B">
      <w:r w:rsidRPr="00D3125B">
        <w:t xml:space="preserve">Option 6 is to introduce a requirement whereby applications for registration must be completed personally by </w:t>
      </w:r>
      <w:r w:rsidR="00366BFC">
        <w:t xml:space="preserve">the </w:t>
      </w:r>
      <w:r w:rsidRPr="00D3125B">
        <w:t xml:space="preserve">applicant </w:t>
      </w:r>
      <w:r w:rsidR="003A7FBC" w:rsidRPr="00160290">
        <w:t>and not by third parties.</w:t>
      </w:r>
    </w:p>
    <w:p w:rsidR="003A7FBC" w:rsidRPr="00160290" w:rsidRDefault="003A7FBC" w:rsidP="00757E56">
      <w:r w:rsidRPr="00160290">
        <w:t xml:space="preserve">The </w:t>
      </w:r>
      <w:r w:rsidR="00BE6DEA" w:rsidRPr="00160290">
        <w:t>department</w:t>
      </w:r>
      <w:r w:rsidRPr="00160290">
        <w:t xml:space="preserve"> understands some applicants seek the services of other parties to help them prepare their applications. This may be to assist in understanding the application requirements or to ensure their information correctly address</w:t>
      </w:r>
      <w:r w:rsidR="00366BFC">
        <w:t>es</w:t>
      </w:r>
      <w:r w:rsidRPr="00160290">
        <w:t xml:space="preserve"> all relevant registration requirements. There is no reason why this</w:t>
      </w:r>
      <w:r w:rsidR="00366BFC">
        <w:t xml:space="preserve"> </w:t>
      </w:r>
      <w:r w:rsidRPr="00160290">
        <w:t>genuine assistance</w:t>
      </w:r>
      <w:r w:rsidR="00366BFC">
        <w:t xml:space="preserve"> </w:t>
      </w:r>
      <w:r w:rsidRPr="00160290">
        <w:t>should not occur.</w:t>
      </w:r>
    </w:p>
    <w:p w:rsidR="003A7FBC" w:rsidRPr="00160290" w:rsidRDefault="003A7FBC" w:rsidP="00757E56">
      <w:r w:rsidRPr="00160290">
        <w:lastRenderedPageBreak/>
        <w:t xml:space="preserve">However, the third party </w:t>
      </w:r>
      <w:r w:rsidR="00703FD9" w:rsidRPr="00160290">
        <w:t xml:space="preserve">sometimes </w:t>
      </w:r>
      <w:r w:rsidRPr="00160290">
        <w:t xml:space="preserve">effectively writes the entire application </w:t>
      </w:r>
      <w:r w:rsidR="00366BFC">
        <w:t xml:space="preserve">and </w:t>
      </w:r>
      <w:r w:rsidRPr="00160290">
        <w:t>the applicant only sign</w:t>
      </w:r>
      <w:r w:rsidR="00366BFC">
        <w:t>s</w:t>
      </w:r>
      <w:r w:rsidRPr="00160290">
        <w:t xml:space="preserve"> the form. A 2012 Ombudsman’s report found some applications for registration as a building practitioner are completed by third parties for a fee and then provided to </w:t>
      </w:r>
      <w:r w:rsidR="00366BFC">
        <w:t xml:space="preserve">the </w:t>
      </w:r>
      <w:r w:rsidRPr="00160290">
        <w:t xml:space="preserve">applicant for submission. This has </w:t>
      </w:r>
      <w:r w:rsidR="00703FD9" w:rsidRPr="00160290">
        <w:t xml:space="preserve">sometimes </w:t>
      </w:r>
      <w:r w:rsidRPr="00160290">
        <w:t>meant that the information provided in an application does not properly reflect the person making the application, particularly where completing the form would require an applicant to demonstrate they understand the nature of the work involved. While such a practice is generally identified during interviews (</w:t>
      </w:r>
      <w:r w:rsidR="00366BFC">
        <w:t>for example</w:t>
      </w:r>
      <w:r w:rsidRPr="00160290">
        <w:t>, an applicant is unable to explain building practices in person that they demonstrated in their application), it means that time and resources are used up when it should have been clear much earlier that an applicant had inadequate knowledge.</w:t>
      </w:r>
    </w:p>
    <w:p w:rsidR="003A7FBC" w:rsidRPr="00160290" w:rsidRDefault="003A7FBC" w:rsidP="00757E56">
      <w:r w:rsidRPr="00160290">
        <w:t>The Ombudsman concluded this was an integrity issue with the application process. The Ombudsman’s report recommended each applicant be required to prepare their own application for registration.</w:t>
      </w:r>
      <w:r w:rsidR="002129C8" w:rsidRPr="00160290">
        <w:t xml:space="preserve"> </w:t>
      </w:r>
      <w:r w:rsidRPr="00160290">
        <w:t xml:space="preserve">This would introduce tighter controls to ensure the integrity of practitioner registration, including requiring applicants to complete a statutory declaration that they have personally prepared all documentation submitted to </w:t>
      </w:r>
      <w:r w:rsidR="000E2924">
        <w:t>VBA</w:t>
      </w:r>
      <w:r w:rsidRPr="00160290">
        <w:t>.</w:t>
      </w:r>
    </w:p>
    <w:p w:rsidR="002129C8" w:rsidRPr="00160290" w:rsidRDefault="003A7FBC" w:rsidP="00757E56">
      <w:r w:rsidRPr="00160290">
        <w:t xml:space="preserve">While a requirement for applications to be prepared personally would be straightforward, the difficultly </w:t>
      </w:r>
      <w:r w:rsidR="00366BFC">
        <w:t>with</w:t>
      </w:r>
      <w:r w:rsidR="00366BFC" w:rsidRPr="00160290">
        <w:t xml:space="preserve"> </w:t>
      </w:r>
      <w:r w:rsidRPr="00160290">
        <w:t xml:space="preserve">such a requirement relates to enforcement and compliance. As a mere requirement, compliance is expected to be low. As such, a feasible mechanism would be for applicants to provide a statutory declaration that they have indeed prepared the application themselves. Requiring a statutory declaration to be provided has a regulatory burden. An applicant needs to spent time preparing the statutory declaration and to obtain a witness. While </w:t>
      </w:r>
      <w:r w:rsidR="000E2924">
        <w:t>VBA</w:t>
      </w:r>
      <w:r w:rsidRPr="00160290">
        <w:t xml:space="preserve"> could provide a template declaration, it would still be expected that an applicant would spend up to 15 minutes preparing the form and getting it witnessed. This would be </w:t>
      </w:r>
      <w:r w:rsidR="00746629">
        <w:t>about</w:t>
      </w:r>
      <w:r w:rsidRPr="00160290">
        <w:t xml:space="preserve"> $9.34 per applicant. Further, the time burden imposed on the witness would also need to be considered: while the range of witnesses is large, an indicative cost is where, for example, certain registered professions charge a small fee for witnessing documents. A fee of </w:t>
      </w:r>
      <w:r w:rsidR="00746629">
        <w:t>about</w:t>
      </w:r>
      <w:r w:rsidRPr="00160290">
        <w:t xml:space="preserve"> $5 is common.</w:t>
      </w:r>
      <w:r w:rsidRPr="00160290">
        <w:rPr>
          <w:rStyle w:val="FootnoteReference"/>
          <w:rFonts w:cs="Times New Roman"/>
          <w:bCs/>
        </w:rPr>
        <w:footnoteReference w:id="38"/>
      </w:r>
      <w:r w:rsidRPr="00160290">
        <w:t xml:space="preserve"> Therefore, the total cost of providing a statutory declaration is </w:t>
      </w:r>
      <w:r w:rsidR="00746629">
        <w:t>about</w:t>
      </w:r>
      <w:r w:rsidRPr="00160290">
        <w:t xml:space="preserve"> $14.34 per new applicant, with a total cost of this requirement being $10,038 </w:t>
      </w:r>
      <w:r w:rsidR="00746629">
        <w:t>a year</w:t>
      </w:r>
      <w:r w:rsidR="00366BFC">
        <w:t xml:space="preserve">, or </w:t>
      </w:r>
      <w:r w:rsidR="00366BFC" w:rsidRPr="00160290">
        <w:t>$88,209</w:t>
      </w:r>
      <w:r w:rsidR="00366BFC">
        <w:t xml:space="preserve"> </w:t>
      </w:r>
      <w:r w:rsidRPr="00160290">
        <w:t xml:space="preserve">NPV over </w:t>
      </w:r>
      <w:r w:rsidR="00366BFC">
        <w:t>10 years</w:t>
      </w:r>
      <w:r w:rsidRPr="00160290">
        <w:t>.</w:t>
      </w:r>
      <w:r w:rsidRPr="00160290">
        <w:rPr>
          <w:rStyle w:val="FootnoteReference"/>
          <w:rFonts w:cs="Times New Roman"/>
          <w:bCs/>
        </w:rPr>
        <w:footnoteReference w:id="39"/>
      </w:r>
    </w:p>
    <w:p w:rsidR="003A7FBC" w:rsidRPr="00160290" w:rsidRDefault="003A7FBC" w:rsidP="00757E56">
      <w:r w:rsidRPr="00160290">
        <w:t xml:space="preserve">Based on the similar break-even analysis of the other </w:t>
      </w:r>
      <w:r w:rsidR="00160290">
        <w:t>R</w:t>
      </w:r>
      <w:r w:rsidRPr="00160290">
        <w:t xml:space="preserve">egulations, this requirement would break even if it resulted in just over </w:t>
      </w:r>
      <w:r w:rsidR="00366BFC">
        <w:t xml:space="preserve">one </w:t>
      </w:r>
      <w:r w:rsidRPr="00160290">
        <w:t xml:space="preserve">practitioner </w:t>
      </w:r>
      <w:r w:rsidR="00366BFC">
        <w:t xml:space="preserve">on average a </w:t>
      </w:r>
      <w:r w:rsidRPr="00160290">
        <w:t xml:space="preserve">year not being registered (13 over 10 years). While this is </w:t>
      </w:r>
      <w:r w:rsidR="00366BFC">
        <w:t xml:space="preserve">a </w:t>
      </w:r>
      <w:r w:rsidRPr="00160290">
        <w:t xml:space="preserve">small number, it is difficult to attribute the identification of unsuitable practitioners to the requirement to complete the statutory declaration as </w:t>
      </w:r>
      <w:r w:rsidR="000E2924">
        <w:t>VBA</w:t>
      </w:r>
      <w:r w:rsidRPr="00160290">
        <w:t xml:space="preserve"> has a series of check points.</w:t>
      </w:r>
    </w:p>
    <w:p w:rsidR="003A7FBC" w:rsidRPr="00160290" w:rsidRDefault="003A7FBC" w:rsidP="00757E56">
      <w:r w:rsidRPr="00160290">
        <w:t xml:space="preserve">There may be other costs incurred as a result of this requirement. For example, a person who may have previously used some assistance to complete an application (to ensure </w:t>
      </w:r>
      <w:r w:rsidR="0030299E">
        <w:t xml:space="preserve">their </w:t>
      </w:r>
      <w:r w:rsidRPr="00160290">
        <w:t xml:space="preserve">information was complete and legible) may no longer seek such assistance, resulting in an application that requires </w:t>
      </w:r>
      <w:r w:rsidR="000E2924">
        <w:t>VBA</w:t>
      </w:r>
      <w:r w:rsidRPr="00160290">
        <w:t xml:space="preserve"> to follow</w:t>
      </w:r>
      <w:r w:rsidR="0030299E">
        <w:t xml:space="preserve"> </w:t>
      </w:r>
      <w:r w:rsidRPr="00160290">
        <w:t xml:space="preserve">up to clarify information. Alternatively, </w:t>
      </w:r>
      <w:r w:rsidR="000E2924">
        <w:t>VBA</w:t>
      </w:r>
      <w:r w:rsidRPr="00160290">
        <w:t xml:space="preserve"> further advises that such a requirement is likely to unnecessarily slow down the process for many applications where there is very low risk. For example, if an applicant declares they had assistance with their application, </w:t>
      </w:r>
      <w:r w:rsidR="000E2924">
        <w:t>VBA</w:t>
      </w:r>
      <w:r w:rsidRPr="00160290">
        <w:t xml:space="preserve"> would be required to investigate the circumstances, which they consider in most cases would be benign assistance (</w:t>
      </w:r>
      <w:r w:rsidR="0030299E">
        <w:t xml:space="preserve">such as </w:t>
      </w:r>
      <w:r w:rsidRPr="00160290">
        <w:t>a spouse helping an applicant fill out a form)</w:t>
      </w:r>
      <w:r w:rsidR="0030299E">
        <w:t>. H</w:t>
      </w:r>
      <w:r w:rsidRPr="00160290">
        <w:t>owever it would be difficult to establish a clear evidentiary basis for what constituted allowable assistance (</w:t>
      </w:r>
      <w:r w:rsidR="0030299E">
        <w:t>for example</w:t>
      </w:r>
      <w:r w:rsidRPr="00160290">
        <w:t xml:space="preserve">, an applicant may have difficulty in demonstrating that assistance from a spouse is merely benign). To overcome this difficulty, there would be a significant resource burden on </w:t>
      </w:r>
      <w:r w:rsidR="000E2924">
        <w:t>VBA</w:t>
      </w:r>
      <w:r w:rsidRPr="00160290">
        <w:t xml:space="preserve"> to collect and assess evidence to be satisfied of the nature of the assistance provided.</w:t>
      </w:r>
    </w:p>
    <w:p w:rsidR="003A7FBC" w:rsidRPr="00160290" w:rsidRDefault="003A7FBC" w:rsidP="00757E56">
      <w:r w:rsidRPr="00160290">
        <w:t xml:space="preserve">The other question to consider is the effectiveness of such a requirement. While the influence of the statutory declaration may change the behaviour of some applicants, it may not for all. </w:t>
      </w:r>
      <w:r w:rsidRPr="00160290">
        <w:lastRenderedPageBreak/>
        <w:t>Indeed, the requirement may provide a disincentive for people who would otherwise only seek assistance and advice in preparing their own application and provide little incentive for people who already allow a third party to write the entire application.</w:t>
      </w:r>
    </w:p>
    <w:p w:rsidR="003A7FBC" w:rsidRPr="00160290" w:rsidRDefault="003A7FBC" w:rsidP="00757E56">
      <w:r w:rsidRPr="00160290">
        <w:t xml:space="preserve">Based on the difficulties in enforcing such a requirement and the likelihood that a blunt approach would impose a greater burden on applicants for which seeking assistance is not a problem, the department </w:t>
      </w:r>
      <w:r w:rsidR="0044135D">
        <w:t xml:space="preserve">considers </w:t>
      </w:r>
      <w:r w:rsidRPr="00160290">
        <w:t>this option (</w:t>
      </w:r>
      <w:r w:rsidR="00703FD9" w:rsidRPr="00160290">
        <w:t>that is</w:t>
      </w:r>
      <w:r w:rsidRPr="00160290">
        <w:t xml:space="preserve">, relying on a broad-based </w:t>
      </w:r>
      <w:r w:rsidR="00160290">
        <w:t>R</w:t>
      </w:r>
      <w:r w:rsidRPr="00160290">
        <w:t xml:space="preserve">egulation that applies to all applicants) is unlikely to result in benefits that outweigh costs. Therefore, there will be no requirement in the proposed Regulations for an applicant to personally complete their application. Instead, </w:t>
      </w:r>
      <w:r w:rsidR="000E2924">
        <w:t>VBA</w:t>
      </w:r>
      <w:r w:rsidRPr="00160290">
        <w:t xml:space="preserve"> advises there are </w:t>
      </w:r>
      <w:proofErr w:type="spellStart"/>
      <w:r w:rsidRPr="00160290">
        <w:t>nonregulatory</w:t>
      </w:r>
      <w:proofErr w:type="spellEnd"/>
      <w:r w:rsidRPr="00160290">
        <w:t xml:space="preserve"> options that could be used more effectively</w:t>
      </w:r>
      <w:r w:rsidR="0044135D">
        <w:t xml:space="preserve"> (</w:t>
      </w:r>
      <w:r w:rsidRPr="00160290">
        <w:t xml:space="preserve">such as using the interview process to more rigorously test an applicant’s knowledge and understanding </w:t>
      </w:r>
      <w:r w:rsidR="0044135D">
        <w:t xml:space="preserve">if </w:t>
      </w:r>
      <w:r w:rsidR="000E2924">
        <w:t>VBA</w:t>
      </w:r>
      <w:r w:rsidRPr="00160290">
        <w:t xml:space="preserve"> suspects the information included in an application does not represent the applicants’ knowledge of building requirements</w:t>
      </w:r>
      <w:r w:rsidR="0044135D">
        <w:t>)</w:t>
      </w:r>
      <w:r w:rsidRPr="00160290">
        <w:t>.</w:t>
      </w:r>
    </w:p>
    <w:p w:rsidR="008338ED" w:rsidRDefault="008338ED">
      <w:pPr>
        <w:spacing w:after="0"/>
        <w:rPr>
          <w:b/>
          <w:bCs/>
          <w:color w:val="201547" w:themeColor="accent2"/>
          <w:kern w:val="32"/>
          <w:sz w:val="40"/>
          <w:szCs w:val="32"/>
        </w:rPr>
      </w:pPr>
      <w:bookmarkStart w:id="62" w:name="_Toc475087233"/>
      <w:r>
        <w:br w:type="page"/>
      </w:r>
    </w:p>
    <w:p w:rsidR="0033590D" w:rsidRDefault="008D3250" w:rsidP="00011DF3">
      <w:pPr>
        <w:pStyle w:val="Heading1"/>
      </w:pPr>
      <w:bookmarkStart w:id="63" w:name="_Toc481502208"/>
      <w:r>
        <w:lastRenderedPageBreak/>
        <w:t>C4</w:t>
      </w:r>
      <w:r>
        <w:tab/>
        <w:t>Competition and small business impact</w:t>
      </w:r>
      <w:r w:rsidR="000E2924">
        <w:t>s</w:t>
      </w:r>
      <w:bookmarkEnd w:id="63"/>
    </w:p>
    <w:p w:rsidR="003A7FBC" w:rsidRPr="00160290" w:rsidRDefault="008D3250" w:rsidP="008D3250">
      <w:pPr>
        <w:pStyle w:val="Heading2"/>
      </w:pPr>
      <w:bookmarkStart w:id="64" w:name="_Toc481502209"/>
      <w:r>
        <w:t>C4.1</w:t>
      </w:r>
      <w:r>
        <w:tab/>
      </w:r>
      <w:r w:rsidR="003A7FBC" w:rsidRPr="00160290">
        <w:t>Competition impact</w:t>
      </w:r>
      <w:bookmarkEnd w:id="62"/>
      <w:r w:rsidR="0033149C">
        <w:t>s</w:t>
      </w:r>
      <w:bookmarkEnd w:id="64"/>
    </w:p>
    <w:p w:rsidR="003A7FBC" w:rsidRPr="00160290" w:rsidRDefault="003A7FBC" w:rsidP="00757E56">
      <w:r w:rsidRPr="00160290">
        <w:t xml:space="preserve">Two of the current </w:t>
      </w:r>
      <w:r w:rsidR="00160290">
        <w:t>R</w:t>
      </w:r>
      <w:r w:rsidRPr="00160290">
        <w:t xml:space="preserve">egulations impose restrictions on competition. These are the prescribing of qualifications and experience in order to be registered, and the prescribing of the period in which a building surveyor may not undertake certain work. These impacts are discussed in the respective </w:t>
      </w:r>
      <w:r w:rsidR="006461A8" w:rsidRPr="00160290">
        <w:t>chapter</w:t>
      </w:r>
      <w:r w:rsidRPr="00160290">
        <w:t>s in this report.</w:t>
      </w:r>
    </w:p>
    <w:p w:rsidR="003A7FBC" w:rsidRPr="00160290" w:rsidRDefault="008D3250" w:rsidP="00357F56">
      <w:pPr>
        <w:pStyle w:val="Heading2"/>
      </w:pPr>
      <w:bookmarkStart w:id="65" w:name="_Toc481502210"/>
      <w:r>
        <w:t>C4.2</w:t>
      </w:r>
      <w:r>
        <w:tab/>
      </w:r>
      <w:r w:rsidR="003A7FBC" w:rsidRPr="00160290">
        <w:t>Small business impacts</w:t>
      </w:r>
      <w:bookmarkEnd w:id="65"/>
    </w:p>
    <w:p w:rsidR="003A7FBC" w:rsidRPr="00160290" w:rsidRDefault="003A7FBC" w:rsidP="00757E56">
      <w:r w:rsidRPr="00160290">
        <w:t xml:space="preserve">It is useful when considering regulatory options to examine the impacts on small business. While all </w:t>
      </w:r>
      <w:r w:rsidR="00160290">
        <w:t>R</w:t>
      </w:r>
      <w:r w:rsidRPr="00160290">
        <w:t xml:space="preserve">egulations can affect small businesses, the key policy question is whether a </w:t>
      </w:r>
      <w:r w:rsidR="00160290">
        <w:t>R</w:t>
      </w:r>
      <w:r w:rsidRPr="00160290">
        <w:t xml:space="preserve">egulation has a </w:t>
      </w:r>
      <w:r w:rsidR="00D3125B" w:rsidRPr="00D3125B">
        <w:t>disproportionally</w:t>
      </w:r>
      <w:r w:rsidRPr="00160290">
        <w:rPr>
          <w:i/>
        </w:rPr>
        <w:t xml:space="preserve"> </w:t>
      </w:r>
      <w:r w:rsidRPr="00160290">
        <w:t>adverse impact on small business</w:t>
      </w:r>
      <w:r w:rsidR="008338ED">
        <w:t>es</w:t>
      </w:r>
      <w:r w:rsidRPr="00160290">
        <w:t xml:space="preserve"> to the extent it affects small businesses’ ability to compete with larger businesses. There is no single definition of </w:t>
      </w:r>
      <w:r w:rsidR="008338ED">
        <w:t xml:space="preserve">a </w:t>
      </w:r>
      <w:r w:rsidRPr="00160290">
        <w:t>small business, although number of employees and annual turnover are often used.</w:t>
      </w:r>
    </w:p>
    <w:p w:rsidR="003A7FBC" w:rsidRPr="00160290" w:rsidRDefault="003A7FBC" w:rsidP="00757E56">
      <w:r w:rsidRPr="00160290">
        <w:t xml:space="preserve">Registered practitioners are individuals although practitioners may employ other people to work under their supervision. These may be employees but </w:t>
      </w:r>
      <w:r w:rsidR="008338ED">
        <w:t xml:space="preserve">are </w:t>
      </w:r>
      <w:r w:rsidRPr="00160290">
        <w:t>often independent contractors. The Housing Industry Association</w:t>
      </w:r>
      <w:r w:rsidR="006C108D">
        <w:t>'s</w:t>
      </w:r>
      <w:r w:rsidRPr="00160290">
        <w:t xml:space="preserve"> </w:t>
      </w:r>
      <w:r w:rsidRPr="00160290">
        <w:rPr>
          <w:i/>
        </w:rPr>
        <w:t>Renovations Roundup (</w:t>
      </w:r>
      <w:r w:rsidR="00160290">
        <w:rPr>
          <w:i/>
        </w:rPr>
        <w:t>a</w:t>
      </w:r>
      <w:r w:rsidRPr="00160290">
        <w:rPr>
          <w:i/>
        </w:rPr>
        <w:t>utumn 2016)</w:t>
      </w:r>
      <w:r w:rsidRPr="00160290">
        <w:t xml:space="preserve"> reports the vast majority of practitioners active in the market operate on a small scale. Further, given the nature of the types of work performed, it is more common for smaller practitioners to compete in practice with other smaller practitioners.</w:t>
      </w:r>
    </w:p>
    <w:p w:rsidR="003A7FBC" w:rsidRPr="00160290" w:rsidRDefault="003A7FBC" w:rsidP="003A7FBC">
      <w:pPr>
        <w:rPr>
          <w:bCs/>
        </w:rPr>
      </w:pPr>
      <w:r w:rsidRPr="00160290">
        <w:t xml:space="preserve">The range of </w:t>
      </w:r>
      <w:r w:rsidR="00160290">
        <w:t>R</w:t>
      </w:r>
      <w:r w:rsidRPr="00160290">
        <w:t xml:space="preserve">egulations considered in this report do not have any apparent disproportional impact on small businesses. To the extent that the </w:t>
      </w:r>
      <w:r w:rsidR="00160290">
        <w:t>R</w:t>
      </w:r>
      <w:r w:rsidRPr="00160290">
        <w:t xml:space="preserve">egulations require a practitioner to do something that </w:t>
      </w:r>
      <w:r w:rsidR="008338ED">
        <w:t xml:space="preserve">they </w:t>
      </w:r>
      <w:r w:rsidRPr="00160290">
        <w:t>otherwise would</w:t>
      </w:r>
      <w:r w:rsidR="008338ED">
        <w:t xml:space="preserve"> not</w:t>
      </w:r>
      <w:r w:rsidRPr="00160290">
        <w:t xml:space="preserve">, there is no identified additional time, cost or effort for a small business to meet these requirements compared to other businesses. Indeed, the </w:t>
      </w:r>
      <w:r w:rsidR="00160290">
        <w:t>R</w:t>
      </w:r>
      <w:r w:rsidRPr="00160290">
        <w:t>egulation</w:t>
      </w:r>
      <w:r w:rsidR="008338ED">
        <w:t>s</w:t>
      </w:r>
      <w:r w:rsidRPr="00160290">
        <w:t xml:space="preserve"> may provide a disproportionate benefit to small businesses, as a more</w:t>
      </w:r>
      <w:r w:rsidR="008338ED">
        <w:t>-</w:t>
      </w:r>
      <w:r w:rsidRPr="00160290">
        <w:t xml:space="preserve">rigorous registration and regulation process signals a practitioner’s competence and quality, which may otherwise be more costly for small businesses to demonstrate to </w:t>
      </w:r>
      <w:r w:rsidR="008338ED">
        <w:t xml:space="preserve">a </w:t>
      </w:r>
      <w:r w:rsidRPr="00160290">
        <w:t>customer.</w:t>
      </w:r>
    </w:p>
    <w:p w:rsidR="004028EE" w:rsidRDefault="004028EE">
      <w:pPr>
        <w:spacing w:after="0"/>
        <w:rPr>
          <w:b/>
          <w:bCs/>
          <w:color w:val="201547" w:themeColor="accent2"/>
          <w:kern w:val="32"/>
          <w:sz w:val="40"/>
          <w:szCs w:val="32"/>
        </w:rPr>
      </w:pPr>
      <w:bookmarkStart w:id="66" w:name="_Toc475087234"/>
      <w:r>
        <w:br w:type="page"/>
      </w:r>
    </w:p>
    <w:p w:rsidR="0033590D" w:rsidRDefault="003A7FBC">
      <w:pPr>
        <w:pStyle w:val="Heading1"/>
      </w:pPr>
      <w:bookmarkStart w:id="67" w:name="_Toc481502211"/>
      <w:r w:rsidRPr="00160290">
        <w:lastRenderedPageBreak/>
        <w:t>Appendix 1: Modelling assumptions</w:t>
      </w:r>
      <w:bookmarkEnd w:id="66"/>
      <w:bookmarkEnd w:id="67"/>
    </w:p>
    <w:p w:rsidR="00F71F1A" w:rsidRDefault="003A7FBC">
      <w:pPr>
        <w:pStyle w:val="Heading4"/>
      </w:pPr>
      <w:bookmarkStart w:id="68" w:name="_Toc481502212"/>
      <w:r w:rsidRPr="00160290">
        <w:t>Net present value</w:t>
      </w:r>
      <w:bookmarkEnd w:id="68"/>
    </w:p>
    <w:p w:rsidR="003A7FBC" w:rsidRPr="00160290" w:rsidRDefault="003A7FBC" w:rsidP="00757E56">
      <w:r w:rsidRPr="00160290">
        <w:t>For net present value calculations, the number of registered building practitioners is assumed to grow at 1.54</w:t>
      </w:r>
      <w:r w:rsidR="00BA4BF1" w:rsidRPr="00160290">
        <w:t>%</w:t>
      </w:r>
      <w:r w:rsidRPr="00160290">
        <w:t xml:space="preserve"> </w:t>
      </w:r>
      <w:r w:rsidR="00746629">
        <w:t>a year</w:t>
      </w:r>
      <w:r w:rsidRPr="00160290">
        <w:t>, consistent with employment projections by occupation group</w:t>
      </w:r>
      <w:r w:rsidR="0033149C">
        <w:t>s</w:t>
      </w:r>
      <w:r w:rsidRPr="00160290">
        <w:t xml:space="preserve"> published by the Commonwealth Department of Employment (2015</w:t>
      </w:r>
      <w:r w:rsidR="0033149C">
        <w:t>–</w:t>
      </w:r>
      <w:r w:rsidRPr="00160290">
        <w:t>20 projections).</w:t>
      </w:r>
    </w:p>
    <w:p w:rsidR="003A7FBC" w:rsidRPr="00160290" w:rsidRDefault="003A7FBC" w:rsidP="00757E56">
      <w:r w:rsidRPr="00160290">
        <w:t>A real discount rate of 4</w:t>
      </w:r>
      <w:r w:rsidR="00BA4BF1" w:rsidRPr="00160290">
        <w:t>%</w:t>
      </w:r>
      <w:r w:rsidRPr="00160290">
        <w:t xml:space="preserve"> has been used, consistent with the rate used for </w:t>
      </w:r>
      <w:r w:rsidR="00160290">
        <w:t xml:space="preserve">RISs </w:t>
      </w:r>
      <w:r w:rsidRPr="00160290">
        <w:t>and guidance published by the Department of Treasury and Finance.</w:t>
      </w:r>
    </w:p>
    <w:p w:rsidR="00F71F1A" w:rsidRDefault="003A7FBC">
      <w:pPr>
        <w:pStyle w:val="Heading4"/>
      </w:pPr>
      <w:bookmarkStart w:id="69" w:name="_Toc481502213"/>
      <w:r w:rsidRPr="00160290">
        <w:t>Value of time</w:t>
      </w:r>
      <w:bookmarkEnd w:id="69"/>
    </w:p>
    <w:p w:rsidR="003A7FBC" w:rsidRPr="00160290" w:rsidRDefault="003A7FBC" w:rsidP="00757E56">
      <w:r w:rsidRPr="00160290">
        <w:t xml:space="preserve">The administrative burdens caused by </w:t>
      </w:r>
      <w:r w:rsidR="00703FD9" w:rsidRPr="00160290">
        <w:t xml:space="preserve">some </w:t>
      </w:r>
      <w:r w:rsidRPr="00160290">
        <w:t>options involves a practitioner or applicant spending an amount of time to comply (</w:t>
      </w:r>
      <w:r w:rsidR="0033149C">
        <w:t>for example</w:t>
      </w:r>
      <w:r w:rsidRPr="00160290">
        <w:t>,</w:t>
      </w:r>
      <w:r w:rsidR="0033149C">
        <w:t xml:space="preserve"> to </w:t>
      </w:r>
      <w:r w:rsidRPr="00160290">
        <w:t>complet</w:t>
      </w:r>
      <w:r w:rsidR="0033149C">
        <w:t>e</w:t>
      </w:r>
      <w:r w:rsidRPr="00160290">
        <w:t xml:space="preserve"> a form). The amount of time spent has been estimated by a review of the information required and consultation with a sample of practitioners.</w:t>
      </w:r>
    </w:p>
    <w:p w:rsidR="003A7FBC" w:rsidRPr="00160290" w:rsidRDefault="003A7FBC" w:rsidP="00757E56">
      <w:r w:rsidRPr="00160290">
        <w:t xml:space="preserve">The value of the time spent on these activities has been estimated from </w:t>
      </w:r>
      <w:r w:rsidR="0033149C">
        <w:t xml:space="preserve">data about </w:t>
      </w:r>
      <w:r w:rsidRPr="00160290">
        <w:t>average wage</w:t>
      </w:r>
      <w:r w:rsidR="0033149C">
        <w:t>s</w:t>
      </w:r>
      <w:r w:rsidRPr="00160290">
        <w:t xml:space="preserve"> and hours worked published by the </w:t>
      </w:r>
      <w:r w:rsidR="006C108D">
        <w:t>Australian Bureau of Statistics (</w:t>
      </w:r>
      <w:r w:rsidRPr="00160290">
        <w:t>ABS</w:t>
      </w:r>
      <w:r w:rsidR="006C108D">
        <w:t>)</w:t>
      </w:r>
      <w:r w:rsidRPr="00160290">
        <w:t>. In particular, earnings were taken as average weekly ordinary time earnings for full</w:t>
      </w:r>
      <w:r w:rsidR="00703FD9" w:rsidRPr="00160290">
        <w:t>-</w:t>
      </w:r>
      <w:r w:rsidRPr="00160290">
        <w:t>time adults as at May 2016 (seasonally adjusted). For new applicants, it is assumed that the average weekly earnings represent their opportunity cost of time. For practitioners that are already registered (and therefore likely earning a higher income as a result of their registration) a multiple of 1.5 times average earnings has been used to reflect the higher value of time for skilled workers.</w:t>
      </w:r>
    </w:p>
    <w:p w:rsidR="003A7FBC" w:rsidRPr="00160290" w:rsidRDefault="003A7FBC" w:rsidP="00757E56">
      <w:r w:rsidRPr="00160290">
        <w:t>It is assumed these represents costs to individuals, as practitioners are registered as individuals. Therefore, costs to business associated with employee</w:t>
      </w:r>
      <w:r w:rsidR="0033149C">
        <w:t>s'</w:t>
      </w:r>
      <w:r w:rsidRPr="00160290">
        <w:t xml:space="preserve"> time (</w:t>
      </w:r>
      <w:r w:rsidR="0033149C">
        <w:t>for example</w:t>
      </w:r>
      <w:r w:rsidRPr="00160290">
        <w:t>, overheads) are not considered.</w:t>
      </w:r>
    </w:p>
    <w:p w:rsidR="00F71F1A" w:rsidRDefault="003A7FBC">
      <w:pPr>
        <w:pStyle w:val="Heading4"/>
      </w:pPr>
      <w:bookmarkStart w:id="70" w:name="_Toc481502214"/>
      <w:r w:rsidRPr="00160290">
        <w:t>Travel costs</w:t>
      </w:r>
      <w:bookmarkEnd w:id="70"/>
    </w:p>
    <w:p w:rsidR="002129C8" w:rsidRPr="00160290" w:rsidRDefault="003A7FBC" w:rsidP="00757E56">
      <w:r w:rsidRPr="00160290">
        <w:t>Applicants may need to travel to attend interviews and obtain a witness’ signature on a statutory declaration. These have not been included in the costs of the options analysed.</w:t>
      </w:r>
    </w:p>
    <w:p w:rsidR="003A7FBC" w:rsidRPr="00160290" w:rsidRDefault="003A7FBC" w:rsidP="00757E56">
      <w:r w:rsidRPr="00160290">
        <w:t xml:space="preserve">In the absence of the </w:t>
      </w:r>
      <w:r w:rsidR="00160290">
        <w:t>R</w:t>
      </w:r>
      <w:r w:rsidRPr="00160290">
        <w:t xml:space="preserve">egulations, </w:t>
      </w:r>
      <w:r w:rsidR="000E2924">
        <w:t>VBA</w:t>
      </w:r>
      <w:r w:rsidRPr="00160290">
        <w:t xml:space="preserve"> is still required to determine an applicant’s suitability to practise. While the testing and interviews may not be as extensive as under the </w:t>
      </w:r>
      <w:r w:rsidR="00160290">
        <w:t>R</w:t>
      </w:r>
      <w:r w:rsidRPr="00160290">
        <w:t xml:space="preserve">egulations, it is expected that applicants would still need to attend some form of meeting with </w:t>
      </w:r>
      <w:r w:rsidR="000E2924">
        <w:t>VBA</w:t>
      </w:r>
      <w:r w:rsidRPr="00160290">
        <w:t xml:space="preserve">. Therefore, the </w:t>
      </w:r>
      <w:r w:rsidR="0033149C">
        <w:t xml:space="preserve">cost-benefit analysis </w:t>
      </w:r>
      <w:r w:rsidRPr="00160290">
        <w:t xml:space="preserve">takes account of expected </w:t>
      </w:r>
      <w:r w:rsidR="00D3125B" w:rsidRPr="00D3125B">
        <w:t>additional</w:t>
      </w:r>
      <w:r w:rsidRPr="00160290">
        <w:t xml:space="preserve"> time involved in the interviews, but </w:t>
      </w:r>
      <w:r w:rsidR="0033149C">
        <w:t xml:space="preserve">it </w:t>
      </w:r>
      <w:r w:rsidRPr="00160290">
        <w:t>does not include any costs for the time and travel costs to arrive at the interviews as these would not be additional.</w:t>
      </w:r>
    </w:p>
    <w:p w:rsidR="003A7FBC" w:rsidRPr="00160290" w:rsidRDefault="003A7FBC" w:rsidP="00757E56">
      <w:r w:rsidRPr="00160290">
        <w:t>In relation to obtaining a witness</w:t>
      </w:r>
      <w:r w:rsidR="0033149C">
        <w:t>'</w:t>
      </w:r>
      <w:r w:rsidRPr="00160290">
        <w:t xml:space="preserve"> signature on a statutory declaration, it is assumed that applicants </w:t>
      </w:r>
      <w:r w:rsidR="00703FD9" w:rsidRPr="00160290">
        <w:t>could</w:t>
      </w:r>
      <w:r w:rsidRPr="00160290">
        <w:t xml:space="preserve"> attend a relevant witness (</w:t>
      </w:r>
      <w:r w:rsidR="0033149C">
        <w:t>for example</w:t>
      </w:r>
      <w:r w:rsidRPr="00160290">
        <w:t>, a pharmacist) in the course of their other activities and not need to undertake a separate and additional trip to obtain the signature. Therefore, no additional travel costs have been factored in. However, the time of an applicant to wait for a witness signature (</w:t>
      </w:r>
      <w:r w:rsidR="0033149C">
        <w:t>for example</w:t>
      </w:r>
      <w:r w:rsidRPr="00160290">
        <w:t>, enter a pharmacy and wait for the pharmacist to witness and sign the document) has been included in the applicant’s costs (an allowance of 10 minutes).</w:t>
      </w:r>
    </w:p>
    <w:p w:rsidR="00F71F1A" w:rsidRDefault="003A7FBC">
      <w:pPr>
        <w:pStyle w:val="Heading4"/>
      </w:pPr>
      <w:bookmarkStart w:id="71" w:name="_Toc481502215"/>
      <w:r w:rsidRPr="00160290">
        <w:t>Prescribed qualifications and experience</w:t>
      </w:r>
      <w:bookmarkEnd w:id="71"/>
    </w:p>
    <w:p w:rsidR="003A7FBC" w:rsidRPr="00160290" w:rsidRDefault="003A7FBC" w:rsidP="00757E56">
      <w:r w:rsidRPr="00160290">
        <w:t xml:space="preserve">The number (population) included is only successful new applications each year. </w:t>
      </w:r>
      <w:r w:rsidR="0033149C">
        <w:t xml:space="preserve">Practitioners renewing </w:t>
      </w:r>
      <w:r w:rsidRPr="00160290">
        <w:t xml:space="preserve">do not need to obtain qualifications after </w:t>
      </w:r>
      <w:r w:rsidR="0033149C">
        <w:t xml:space="preserve">their </w:t>
      </w:r>
      <w:r w:rsidRPr="00160290">
        <w:t>first registration. Unsuccessful applica</w:t>
      </w:r>
      <w:r w:rsidR="0033149C">
        <w:t>n</w:t>
      </w:r>
      <w:r w:rsidRPr="00160290">
        <w:t>t</w:t>
      </w:r>
      <w:r w:rsidR="0033149C">
        <w:t>s</w:t>
      </w:r>
      <w:r w:rsidRPr="00160290">
        <w:t xml:space="preserve"> often apply again so to count all applications would double</w:t>
      </w:r>
      <w:r w:rsidR="0033149C">
        <w:t>-</w:t>
      </w:r>
      <w:r w:rsidRPr="00160290">
        <w:t xml:space="preserve">count the people actually obtaining qualifications. </w:t>
      </w:r>
      <w:r w:rsidR="0033149C">
        <w:t>The n</w:t>
      </w:r>
      <w:r w:rsidRPr="00160290">
        <w:t xml:space="preserve">umber of new registrations granted was provided by </w:t>
      </w:r>
      <w:r w:rsidR="000E2924">
        <w:t>VBA</w:t>
      </w:r>
      <w:r w:rsidRPr="00160290">
        <w:t>.</w:t>
      </w:r>
    </w:p>
    <w:p w:rsidR="003A7FBC" w:rsidRDefault="0033149C" w:rsidP="00757E56">
      <w:r>
        <w:t xml:space="preserve">Table </w:t>
      </w:r>
      <w:r w:rsidR="008A39F6">
        <w:t>4</w:t>
      </w:r>
      <w:r>
        <w:t xml:space="preserve"> shows t</w:t>
      </w:r>
      <w:r w:rsidR="003A7FBC" w:rsidRPr="00160290">
        <w:t>he underlying cost assumptions used for each type of registration</w:t>
      </w:r>
      <w:r w:rsidR="00757E56" w:rsidRPr="00160290">
        <w:t>.</w:t>
      </w:r>
    </w:p>
    <w:p w:rsidR="00F71F1A" w:rsidRDefault="00160290">
      <w:pPr>
        <w:pStyle w:val="Caption"/>
      </w:pPr>
      <w:bookmarkStart w:id="72" w:name="_Toc481473112"/>
      <w:r>
        <w:lastRenderedPageBreak/>
        <w:t xml:space="preserve">Table </w:t>
      </w:r>
      <w:r w:rsidR="008A39F6">
        <w:t>4</w:t>
      </w:r>
      <w:r>
        <w:t xml:space="preserve">: </w:t>
      </w:r>
      <w:r w:rsidR="0033149C">
        <w:t xml:space="preserve">Cost assumptions for categories </w:t>
      </w:r>
      <w:r w:rsidR="0033149C" w:rsidRPr="00160290">
        <w:t>/</w:t>
      </w:r>
      <w:r w:rsidR="0033149C">
        <w:t xml:space="preserve"> </w:t>
      </w:r>
      <w:r w:rsidR="0033149C" w:rsidRPr="00160290">
        <w:t>prescribed class</w:t>
      </w:r>
      <w:r w:rsidR="0033149C">
        <w:t>es</w:t>
      </w:r>
      <w:r w:rsidR="0033149C" w:rsidRPr="00160290">
        <w:t xml:space="preserve"> of building practitioner</w:t>
      </w:r>
      <w:bookmarkEnd w:id="72"/>
    </w:p>
    <w:tbl>
      <w:tblPr>
        <w:tblStyle w:val="TableGrid"/>
        <w:tblW w:w="0" w:type="auto"/>
        <w:tblLayout w:type="fixed"/>
        <w:tblLook w:val="04A0" w:firstRow="1" w:lastRow="0" w:firstColumn="1" w:lastColumn="0" w:noHBand="0" w:noVBand="1"/>
      </w:tblPr>
      <w:tblGrid>
        <w:gridCol w:w="2827"/>
        <w:gridCol w:w="1560"/>
        <w:gridCol w:w="1155"/>
        <w:gridCol w:w="1311"/>
        <w:gridCol w:w="1447"/>
      </w:tblGrid>
      <w:tr w:rsidR="003A7FBC" w:rsidRPr="00160290" w:rsidTr="003A7FBC">
        <w:trPr>
          <w:cnfStyle w:val="100000000000" w:firstRow="1" w:lastRow="0" w:firstColumn="0" w:lastColumn="0" w:oddVBand="0" w:evenVBand="0" w:oddHBand="0" w:evenHBand="0" w:firstRowFirstColumn="0" w:firstRowLastColumn="0" w:lastRowFirstColumn="0" w:lastRowLastColumn="0"/>
          <w:trHeight w:val="1300"/>
        </w:trPr>
        <w:tc>
          <w:tcPr>
            <w:cnfStyle w:val="000000000100" w:firstRow="0" w:lastRow="0" w:firstColumn="0" w:lastColumn="0" w:oddVBand="0" w:evenVBand="0" w:oddHBand="0" w:evenHBand="0" w:firstRowFirstColumn="1" w:firstRowLastColumn="0" w:lastRowFirstColumn="0" w:lastRowLastColumn="0"/>
            <w:tcW w:w="2827" w:type="dxa"/>
            <w:hideMark/>
          </w:tcPr>
          <w:p w:rsidR="003A7FBC" w:rsidRPr="00160290" w:rsidRDefault="003A7FBC" w:rsidP="00624E28">
            <w:pPr>
              <w:pStyle w:val="Tablecolumnhead"/>
            </w:pPr>
            <w:r w:rsidRPr="00160290">
              <w:t xml:space="preserve">Category/prescribed class of building practitioner </w:t>
            </w:r>
          </w:p>
        </w:tc>
        <w:tc>
          <w:tcPr>
            <w:tcW w:w="1560" w:type="dxa"/>
            <w:hideMark/>
          </w:tcPr>
          <w:p w:rsidR="003A7FBC" w:rsidRPr="00160290" w:rsidRDefault="003A7FBC" w:rsidP="00624E28">
            <w:pPr>
              <w:pStyle w:val="Tablecolumnhead"/>
              <w:cnfStyle w:val="100000000000" w:firstRow="1" w:lastRow="0" w:firstColumn="0" w:lastColumn="0" w:oddVBand="0" w:evenVBand="0" w:oddHBand="0" w:evenHBand="0" w:firstRowFirstColumn="0" w:firstRowLastColumn="0" w:lastRowFirstColumn="0" w:lastRowLastColumn="0"/>
            </w:pPr>
            <w:r w:rsidRPr="00160290">
              <w:t>Cost of qualification (course fees)</w:t>
            </w:r>
          </w:p>
        </w:tc>
        <w:tc>
          <w:tcPr>
            <w:tcW w:w="1155" w:type="dxa"/>
            <w:hideMark/>
          </w:tcPr>
          <w:p w:rsidR="003A7FBC" w:rsidRPr="00160290" w:rsidRDefault="003A7FBC" w:rsidP="00624E28">
            <w:pPr>
              <w:pStyle w:val="Tablecolumnhead"/>
              <w:cnfStyle w:val="100000000000" w:firstRow="1" w:lastRow="0" w:firstColumn="0" w:lastColumn="0" w:oddVBand="0" w:evenVBand="0" w:oddHBand="0" w:evenHBand="0" w:firstRowFirstColumn="0" w:firstRowLastColumn="0" w:lastRowFirstColumn="0" w:lastRowLastColumn="0"/>
            </w:pPr>
            <w:r w:rsidRPr="00160290">
              <w:t>Hours of course</w:t>
            </w:r>
          </w:p>
        </w:tc>
        <w:tc>
          <w:tcPr>
            <w:tcW w:w="1311" w:type="dxa"/>
            <w:hideMark/>
          </w:tcPr>
          <w:p w:rsidR="003A7FBC" w:rsidRPr="00160290" w:rsidRDefault="003A7FBC" w:rsidP="00624E28">
            <w:pPr>
              <w:pStyle w:val="Tablecolumnhead"/>
              <w:cnfStyle w:val="100000000000" w:firstRow="1" w:lastRow="0" w:firstColumn="0" w:lastColumn="0" w:oddVBand="0" w:evenVBand="0" w:oddHBand="0" w:evenHBand="0" w:firstRowFirstColumn="0" w:firstRowLastColumn="0" w:lastRowFirstColumn="0" w:lastRowLastColumn="0"/>
            </w:pPr>
            <w:r w:rsidRPr="00160290">
              <w:t xml:space="preserve">Years of experience required in practice </w:t>
            </w:r>
          </w:p>
        </w:tc>
        <w:tc>
          <w:tcPr>
            <w:tcW w:w="1447" w:type="dxa"/>
            <w:hideMark/>
          </w:tcPr>
          <w:p w:rsidR="003A7FBC" w:rsidRPr="00160290" w:rsidRDefault="003A7FBC" w:rsidP="00624E28">
            <w:pPr>
              <w:pStyle w:val="Tablecolumnhead"/>
              <w:cnfStyle w:val="100000000000" w:firstRow="1" w:lastRow="0" w:firstColumn="0" w:lastColumn="0" w:oddVBand="0" w:evenVBand="0" w:oddHBand="0" w:evenHBand="0" w:firstRowFirstColumn="0" w:firstRowLastColumn="0" w:lastRowFirstColumn="0" w:lastRowLastColumn="0"/>
            </w:pPr>
            <w:r w:rsidRPr="00160290">
              <w:t>Income differential (annual)</w:t>
            </w:r>
          </w:p>
        </w:tc>
      </w:tr>
      <w:tr w:rsidR="003A7FBC" w:rsidRPr="00160290" w:rsidTr="003A7FBC">
        <w:trPr>
          <w:trHeight w:val="260"/>
        </w:trPr>
        <w:tc>
          <w:tcPr>
            <w:tcW w:w="2827" w:type="dxa"/>
            <w:hideMark/>
          </w:tcPr>
          <w:p w:rsidR="003A7FBC" w:rsidRPr="00160290" w:rsidRDefault="0033149C" w:rsidP="00CB3019">
            <w:pPr>
              <w:pStyle w:val="Tabletext"/>
              <w:rPr>
                <w:sz w:val="20"/>
                <w:lang w:val="en-AU"/>
              </w:rPr>
            </w:pPr>
            <w:r w:rsidRPr="00160290">
              <w:rPr>
                <w:sz w:val="20"/>
                <w:lang w:val="en-AU"/>
              </w:rPr>
              <w:t xml:space="preserve"> Building surveyor (unlimited)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$44,800 </w:t>
            </w:r>
          </w:p>
        </w:tc>
        <w:tc>
          <w:tcPr>
            <w:tcW w:w="1155" w:type="dxa"/>
            <w:noWrap/>
            <w:hideMark/>
          </w:tcPr>
          <w:p w:rsidR="003A7FBC" w:rsidRPr="00160290" w:rsidRDefault="003A7FBC" w:rsidP="00CB3019">
            <w:pPr>
              <w:pStyle w:val="Tabletext"/>
              <w:rPr>
                <w:sz w:val="20"/>
                <w:lang w:val="en-AU"/>
              </w:rPr>
            </w:pPr>
            <w:r w:rsidRPr="00160290">
              <w:rPr>
                <w:sz w:val="20"/>
                <w:lang w:val="en-AU"/>
              </w:rPr>
              <w:t>4</w:t>
            </w:r>
            <w:r w:rsidR="00160290" w:rsidRPr="00160290">
              <w:rPr>
                <w:sz w:val="20"/>
                <w:lang w:val="en-AU"/>
              </w:rPr>
              <w:t>,800</w:t>
            </w:r>
          </w:p>
        </w:tc>
        <w:tc>
          <w:tcPr>
            <w:tcW w:w="1311" w:type="dxa"/>
            <w:noWrap/>
            <w:hideMark/>
          </w:tcPr>
          <w:p w:rsidR="003A7FBC" w:rsidRPr="00160290" w:rsidRDefault="003A7FBC" w:rsidP="00CB3019">
            <w:pPr>
              <w:pStyle w:val="Tabletext"/>
              <w:rPr>
                <w:sz w:val="20"/>
                <w:lang w:val="en-AU"/>
              </w:rPr>
            </w:pPr>
            <w:r w:rsidRPr="00160290">
              <w:rPr>
                <w:sz w:val="20"/>
                <w:lang w:val="en-AU"/>
              </w:rPr>
              <w:t>4</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$15,000 </w:t>
            </w:r>
          </w:p>
        </w:tc>
      </w:tr>
      <w:tr w:rsidR="003A7FBC" w:rsidRPr="00160290" w:rsidTr="003A7FBC">
        <w:trPr>
          <w:trHeight w:val="260"/>
        </w:trPr>
        <w:tc>
          <w:tcPr>
            <w:tcW w:w="2827" w:type="dxa"/>
            <w:hideMark/>
          </w:tcPr>
          <w:p w:rsidR="003A7FBC" w:rsidRPr="00160290" w:rsidRDefault="0033149C" w:rsidP="00CB3019">
            <w:pPr>
              <w:pStyle w:val="Tabletext"/>
              <w:rPr>
                <w:sz w:val="20"/>
                <w:lang w:val="en-AU"/>
              </w:rPr>
            </w:pPr>
            <w:r w:rsidRPr="00160290">
              <w:rPr>
                <w:sz w:val="20"/>
                <w:lang w:val="en-AU"/>
              </w:rPr>
              <w:t xml:space="preserve"> Building surveyor (limited)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$28,080 </w:t>
            </w:r>
          </w:p>
        </w:tc>
        <w:tc>
          <w:tcPr>
            <w:tcW w:w="1155" w:type="dxa"/>
            <w:noWrap/>
            <w:hideMark/>
          </w:tcPr>
          <w:p w:rsidR="003A7FBC" w:rsidRPr="00160290" w:rsidRDefault="003A7FBC" w:rsidP="00CB3019">
            <w:pPr>
              <w:pStyle w:val="Tabletext"/>
              <w:rPr>
                <w:sz w:val="20"/>
                <w:lang w:val="en-AU"/>
              </w:rPr>
            </w:pPr>
            <w:r w:rsidRPr="00160290">
              <w:rPr>
                <w:sz w:val="20"/>
                <w:lang w:val="en-AU"/>
              </w:rPr>
              <w:t>2,340</w:t>
            </w:r>
          </w:p>
        </w:tc>
        <w:tc>
          <w:tcPr>
            <w:tcW w:w="1311" w:type="dxa"/>
            <w:noWrap/>
            <w:hideMark/>
          </w:tcPr>
          <w:p w:rsidR="003A7FBC" w:rsidRPr="00160290" w:rsidRDefault="003A7FBC" w:rsidP="00CB3019">
            <w:pPr>
              <w:pStyle w:val="Tabletext"/>
              <w:rPr>
                <w:sz w:val="20"/>
                <w:lang w:val="en-AU"/>
              </w:rPr>
            </w:pPr>
            <w:r w:rsidRPr="00160290">
              <w:rPr>
                <w:sz w:val="20"/>
                <w:lang w:val="en-AU"/>
              </w:rPr>
              <w:t>3</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$10,000 </w:t>
            </w:r>
          </w:p>
        </w:tc>
      </w:tr>
      <w:tr w:rsidR="003A7FBC" w:rsidRPr="00160290" w:rsidTr="003A7FBC">
        <w:trPr>
          <w:trHeight w:val="260"/>
        </w:trPr>
        <w:tc>
          <w:tcPr>
            <w:tcW w:w="2827" w:type="dxa"/>
            <w:hideMark/>
          </w:tcPr>
          <w:p w:rsidR="003A7FBC" w:rsidRPr="00160290" w:rsidRDefault="0033149C" w:rsidP="00CB3019">
            <w:pPr>
              <w:pStyle w:val="Tabletext"/>
              <w:rPr>
                <w:sz w:val="20"/>
                <w:lang w:val="en-AU"/>
              </w:rPr>
            </w:pPr>
            <w:r w:rsidRPr="00160290">
              <w:rPr>
                <w:sz w:val="20"/>
                <w:lang w:val="en-AU"/>
              </w:rPr>
              <w:t xml:space="preserve"> Building inspector (unlimited)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$13,992 </w:t>
            </w:r>
          </w:p>
        </w:tc>
        <w:tc>
          <w:tcPr>
            <w:tcW w:w="1155" w:type="dxa"/>
            <w:noWrap/>
            <w:hideMark/>
          </w:tcPr>
          <w:p w:rsidR="003A7FBC" w:rsidRPr="00160290" w:rsidRDefault="003A7FBC" w:rsidP="00CB3019">
            <w:pPr>
              <w:pStyle w:val="Tabletext"/>
              <w:rPr>
                <w:sz w:val="20"/>
                <w:lang w:val="en-AU"/>
              </w:rPr>
            </w:pPr>
            <w:r w:rsidRPr="00160290">
              <w:rPr>
                <w:sz w:val="20"/>
                <w:lang w:val="en-AU"/>
              </w:rPr>
              <w:t>1,166</w:t>
            </w:r>
          </w:p>
        </w:tc>
        <w:tc>
          <w:tcPr>
            <w:tcW w:w="1311" w:type="dxa"/>
            <w:noWrap/>
            <w:hideMark/>
          </w:tcPr>
          <w:p w:rsidR="003A7FBC" w:rsidRPr="00160290" w:rsidRDefault="003A7FBC" w:rsidP="00CB3019">
            <w:pPr>
              <w:pStyle w:val="Tabletext"/>
              <w:rPr>
                <w:sz w:val="20"/>
                <w:lang w:val="en-AU"/>
              </w:rPr>
            </w:pPr>
            <w:r w:rsidRPr="00160290">
              <w:rPr>
                <w:sz w:val="20"/>
                <w:lang w:val="en-AU"/>
              </w:rPr>
              <w:t>3</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$15,000 </w:t>
            </w:r>
          </w:p>
        </w:tc>
      </w:tr>
      <w:tr w:rsidR="003A7FBC" w:rsidRPr="00160290" w:rsidTr="003A7FBC">
        <w:trPr>
          <w:trHeight w:val="260"/>
        </w:trPr>
        <w:tc>
          <w:tcPr>
            <w:tcW w:w="2827" w:type="dxa"/>
            <w:hideMark/>
          </w:tcPr>
          <w:p w:rsidR="003A7FBC" w:rsidRPr="00160290" w:rsidRDefault="0033149C" w:rsidP="00CB3019">
            <w:pPr>
              <w:pStyle w:val="Tabletext"/>
              <w:rPr>
                <w:sz w:val="20"/>
                <w:lang w:val="en-AU"/>
              </w:rPr>
            </w:pPr>
            <w:r w:rsidRPr="00160290">
              <w:rPr>
                <w:sz w:val="20"/>
                <w:lang w:val="en-AU"/>
              </w:rPr>
              <w:t xml:space="preserve"> Building inspector (limited)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$13,992 </w:t>
            </w:r>
          </w:p>
        </w:tc>
        <w:tc>
          <w:tcPr>
            <w:tcW w:w="1155" w:type="dxa"/>
            <w:noWrap/>
            <w:hideMark/>
          </w:tcPr>
          <w:p w:rsidR="003A7FBC" w:rsidRPr="00160290" w:rsidRDefault="003A7FBC" w:rsidP="00CB3019">
            <w:pPr>
              <w:pStyle w:val="Tabletext"/>
              <w:rPr>
                <w:sz w:val="20"/>
                <w:lang w:val="en-AU"/>
              </w:rPr>
            </w:pPr>
            <w:r w:rsidRPr="00160290">
              <w:rPr>
                <w:sz w:val="20"/>
                <w:lang w:val="en-AU"/>
              </w:rPr>
              <w:t>1,166</w:t>
            </w:r>
          </w:p>
        </w:tc>
        <w:tc>
          <w:tcPr>
            <w:tcW w:w="1311" w:type="dxa"/>
            <w:noWrap/>
            <w:hideMark/>
          </w:tcPr>
          <w:p w:rsidR="003A7FBC" w:rsidRPr="00160290" w:rsidRDefault="003A7FBC" w:rsidP="00CB3019">
            <w:pPr>
              <w:pStyle w:val="Tabletext"/>
              <w:rPr>
                <w:sz w:val="20"/>
                <w:lang w:val="en-AU"/>
              </w:rPr>
            </w:pPr>
            <w:r w:rsidRPr="00160290">
              <w:rPr>
                <w:sz w:val="20"/>
                <w:lang w:val="en-AU"/>
              </w:rPr>
              <w:t>3</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$10,000 </w:t>
            </w:r>
          </w:p>
        </w:tc>
      </w:tr>
      <w:tr w:rsidR="003A7FBC" w:rsidRPr="00160290" w:rsidTr="003A7FBC">
        <w:trPr>
          <w:trHeight w:val="320"/>
        </w:trPr>
        <w:tc>
          <w:tcPr>
            <w:tcW w:w="2827" w:type="dxa"/>
            <w:hideMark/>
          </w:tcPr>
          <w:p w:rsidR="003A7FBC" w:rsidRPr="00160290" w:rsidRDefault="003A7FBC" w:rsidP="00CB3019">
            <w:pPr>
              <w:pStyle w:val="Tabletext"/>
              <w:rPr>
                <w:sz w:val="20"/>
                <w:lang w:val="en-AU"/>
              </w:rPr>
            </w:pPr>
            <w:r w:rsidRPr="00160290">
              <w:rPr>
                <w:sz w:val="20"/>
                <w:lang w:val="en-AU"/>
              </w:rPr>
              <w:t xml:space="preserve"> Quantity surveyor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$28,080 </w:t>
            </w:r>
          </w:p>
        </w:tc>
        <w:tc>
          <w:tcPr>
            <w:tcW w:w="1155" w:type="dxa"/>
            <w:noWrap/>
            <w:hideMark/>
          </w:tcPr>
          <w:p w:rsidR="003A7FBC" w:rsidRPr="00160290" w:rsidRDefault="003A7FBC" w:rsidP="00CB3019">
            <w:pPr>
              <w:pStyle w:val="Tabletext"/>
              <w:rPr>
                <w:sz w:val="20"/>
                <w:lang w:val="en-AU"/>
              </w:rPr>
            </w:pPr>
            <w:r w:rsidRPr="00160290">
              <w:rPr>
                <w:sz w:val="20"/>
                <w:lang w:val="en-AU"/>
              </w:rPr>
              <w:t>2,340</w:t>
            </w:r>
          </w:p>
        </w:tc>
        <w:tc>
          <w:tcPr>
            <w:tcW w:w="1311" w:type="dxa"/>
            <w:noWrap/>
            <w:hideMark/>
          </w:tcPr>
          <w:p w:rsidR="003A7FBC" w:rsidRPr="00160290" w:rsidRDefault="003A7FBC" w:rsidP="00CB3019">
            <w:pPr>
              <w:pStyle w:val="Tabletext"/>
              <w:rPr>
                <w:sz w:val="20"/>
                <w:lang w:val="en-AU"/>
              </w:rPr>
            </w:pPr>
            <w:r w:rsidRPr="00160290">
              <w:rPr>
                <w:sz w:val="20"/>
                <w:lang w:val="en-AU"/>
              </w:rPr>
              <w:t>3</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$15,000 </w:t>
            </w:r>
          </w:p>
        </w:tc>
      </w:tr>
      <w:tr w:rsidR="003A7FBC" w:rsidRPr="00160290" w:rsidTr="003A7FBC">
        <w:trPr>
          <w:trHeight w:val="260"/>
        </w:trPr>
        <w:tc>
          <w:tcPr>
            <w:tcW w:w="2827" w:type="dxa"/>
            <w:hideMark/>
          </w:tcPr>
          <w:p w:rsidR="003A7FBC" w:rsidRPr="00160290" w:rsidRDefault="003A7FBC" w:rsidP="00CB3019">
            <w:pPr>
              <w:pStyle w:val="Tabletext"/>
              <w:rPr>
                <w:sz w:val="20"/>
                <w:lang w:val="en-AU"/>
              </w:rPr>
            </w:pPr>
            <w:r w:rsidRPr="00160290">
              <w:rPr>
                <w:sz w:val="20"/>
                <w:lang w:val="en-AU"/>
              </w:rPr>
              <w:t xml:space="preserve"> Civil engineer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$35,668 </w:t>
            </w:r>
          </w:p>
        </w:tc>
        <w:tc>
          <w:tcPr>
            <w:tcW w:w="1155" w:type="dxa"/>
            <w:noWrap/>
            <w:hideMark/>
          </w:tcPr>
          <w:p w:rsidR="003A7FBC" w:rsidRPr="00160290" w:rsidRDefault="003A7FBC" w:rsidP="00CB3019">
            <w:pPr>
              <w:pStyle w:val="Tabletext"/>
              <w:rPr>
                <w:sz w:val="20"/>
                <w:lang w:val="en-AU"/>
              </w:rPr>
            </w:pPr>
            <w:r w:rsidRPr="00160290">
              <w:rPr>
                <w:sz w:val="20"/>
                <w:lang w:val="en-AU"/>
              </w:rPr>
              <w:t>6</w:t>
            </w:r>
            <w:r w:rsidR="00160290" w:rsidRPr="00160290">
              <w:rPr>
                <w:sz w:val="20"/>
                <w:lang w:val="en-AU"/>
              </w:rPr>
              <w:t>,400</w:t>
            </w:r>
          </w:p>
        </w:tc>
        <w:tc>
          <w:tcPr>
            <w:tcW w:w="1311" w:type="dxa"/>
            <w:noWrap/>
            <w:hideMark/>
          </w:tcPr>
          <w:p w:rsidR="003A7FBC" w:rsidRPr="00160290" w:rsidRDefault="003A7FBC" w:rsidP="00CB3019">
            <w:pPr>
              <w:pStyle w:val="Tabletext"/>
              <w:rPr>
                <w:sz w:val="20"/>
                <w:lang w:val="en-AU"/>
              </w:rPr>
            </w:pPr>
            <w:r w:rsidRPr="00160290">
              <w:rPr>
                <w:sz w:val="20"/>
                <w:lang w:val="en-AU"/>
              </w:rPr>
              <w:t>4</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$20,000 </w:t>
            </w:r>
          </w:p>
        </w:tc>
      </w:tr>
      <w:tr w:rsidR="003A7FBC" w:rsidRPr="00160290" w:rsidTr="003A7FBC">
        <w:trPr>
          <w:trHeight w:val="260"/>
        </w:trPr>
        <w:tc>
          <w:tcPr>
            <w:tcW w:w="2827" w:type="dxa"/>
            <w:hideMark/>
          </w:tcPr>
          <w:p w:rsidR="003A7FBC" w:rsidRPr="00160290" w:rsidRDefault="003A7FBC" w:rsidP="00CB3019">
            <w:pPr>
              <w:pStyle w:val="Tabletext"/>
              <w:rPr>
                <w:sz w:val="20"/>
                <w:lang w:val="en-AU"/>
              </w:rPr>
            </w:pPr>
            <w:r w:rsidRPr="00160290">
              <w:rPr>
                <w:sz w:val="20"/>
                <w:lang w:val="en-AU"/>
              </w:rPr>
              <w:t xml:space="preserve"> Mechanical engineer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$35,668 </w:t>
            </w:r>
          </w:p>
        </w:tc>
        <w:tc>
          <w:tcPr>
            <w:tcW w:w="1155" w:type="dxa"/>
            <w:noWrap/>
            <w:hideMark/>
          </w:tcPr>
          <w:p w:rsidR="003A7FBC" w:rsidRPr="00160290" w:rsidRDefault="003A7FBC" w:rsidP="00CB3019">
            <w:pPr>
              <w:pStyle w:val="Tabletext"/>
              <w:rPr>
                <w:sz w:val="20"/>
                <w:lang w:val="en-AU"/>
              </w:rPr>
            </w:pPr>
            <w:r w:rsidRPr="00160290">
              <w:rPr>
                <w:sz w:val="20"/>
                <w:lang w:val="en-AU"/>
              </w:rPr>
              <w:t>6</w:t>
            </w:r>
            <w:r w:rsidR="00160290" w:rsidRPr="00160290">
              <w:rPr>
                <w:sz w:val="20"/>
                <w:lang w:val="en-AU"/>
              </w:rPr>
              <w:t>,400</w:t>
            </w:r>
          </w:p>
        </w:tc>
        <w:tc>
          <w:tcPr>
            <w:tcW w:w="1311" w:type="dxa"/>
            <w:noWrap/>
            <w:hideMark/>
          </w:tcPr>
          <w:p w:rsidR="003A7FBC" w:rsidRPr="00160290" w:rsidRDefault="003A7FBC" w:rsidP="00CB3019">
            <w:pPr>
              <w:pStyle w:val="Tabletext"/>
              <w:rPr>
                <w:sz w:val="20"/>
                <w:lang w:val="en-AU"/>
              </w:rPr>
            </w:pPr>
            <w:r w:rsidRPr="00160290">
              <w:rPr>
                <w:sz w:val="20"/>
                <w:lang w:val="en-AU"/>
              </w:rPr>
              <w:t>3</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$20,000 </w:t>
            </w:r>
          </w:p>
        </w:tc>
      </w:tr>
      <w:tr w:rsidR="003A7FBC" w:rsidRPr="00160290" w:rsidTr="003A7FBC">
        <w:trPr>
          <w:trHeight w:val="320"/>
        </w:trPr>
        <w:tc>
          <w:tcPr>
            <w:tcW w:w="2827" w:type="dxa"/>
            <w:hideMark/>
          </w:tcPr>
          <w:p w:rsidR="003A7FBC" w:rsidRPr="00160290" w:rsidRDefault="003A7FBC" w:rsidP="00CB3019">
            <w:pPr>
              <w:pStyle w:val="Tabletext"/>
              <w:rPr>
                <w:sz w:val="20"/>
                <w:lang w:val="en-AU"/>
              </w:rPr>
            </w:pPr>
            <w:r w:rsidRPr="00160290">
              <w:rPr>
                <w:sz w:val="20"/>
                <w:lang w:val="en-AU"/>
              </w:rPr>
              <w:t xml:space="preserve"> Electrical engineer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$35,668 </w:t>
            </w:r>
          </w:p>
        </w:tc>
        <w:tc>
          <w:tcPr>
            <w:tcW w:w="1155" w:type="dxa"/>
            <w:noWrap/>
            <w:hideMark/>
          </w:tcPr>
          <w:p w:rsidR="003A7FBC" w:rsidRPr="00160290" w:rsidRDefault="003A7FBC" w:rsidP="00CB3019">
            <w:pPr>
              <w:pStyle w:val="Tabletext"/>
              <w:rPr>
                <w:sz w:val="20"/>
                <w:lang w:val="en-AU"/>
              </w:rPr>
            </w:pPr>
            <w:r w:rsidRPr="00160290">
              <w:rPr>
                <w:sz w:val="20"/>
                <w:lang w:val="en-AU"/>
              </w:rPr>
              <w:t>6</w:t>
            </w:r>
            <w:r w:rsidR="00160290" w:rsidRPr="00160290">
              <w:rPr>
                <w:sz w:val="20"/>
                <w:lang w:val="en-AU"/>
              </w:rPr>
              <w:t>,400</w:t>
            </w:r>
          </w:p>
        </w:tc>
        <w:tc>
          <w:tcPr>
            <w:tcW w:w="1311" w:type="dxa"/>
            <w:noWrap/>
            <w:hideMark/>
          </w:tcPr>
          <w:p w:rsidR="003A7FBC" w:rsidRPr="00160290" w:rsidRDefault="003A7FBC" w:rsidP="00CB3019">
            <w:pPr>
              <w:pStyle w:val="Tabletext"/>
              <w:rPr>
                <w:sz w:val="20"/>
                <w:lang w:val="en-AU"/>
              </w:rPr>
            </w:pPr>
            <w:r w:rsidRPr="00160290">
              <w:rPr>
                <w:sz w:val="20"/>
                <w:lang w:val="en-AU"/>
              </w:rPr>
              <w:t>4</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$20,000 </w:t>
            </w:r>
          </w:p>
        </w:tc>
      </w:tr>
      <w:tr w:rsidR="003A7FBC" w:rsidRPr="00160290" w:rsidTr="003A7FBC">
        <w:trPr>
          <w:trHeight w:val="260"/>
        </w:trPr>
        <w:tc>
          <w:tcPr>
            <w:tcW w:w="2827" w:type="dxa"/>
            <w:hideMark/>
          </w:tcPr>
          <w:p w:rsidR="003A7FBC" w:rsidRPr="00160290" w:rsidRDefault="003A7FBC" w:rsidP="00CB3019">
            <w:pPr>
              <w:pStyle w:val="Tabletext"/>
              <w:rPr>
                <w:sz w:val="20"/>
                <w:lang w:val="en-AU"/>
              </w:rPr>
            </w:pPr>
            <w:r w:rsidRPr="00160290">
              <w:rPr>
                <w:sz w:val="20"/>
                <w:lang w:val="en-AU"/>
              </w:rPr>
              <w:t xml:space="preserve"> Fire safety engineer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$35,668 </w:t>
            </w:r>
          </w:p>
        </w:tc>
        <w:tc>
          <w:tcPr>
            <w:tcW w:w="1155" w:type="dxa"/>
            <w:noWrap/>
            <w:hideMark/>
          </w:tcPr>
          <w:p w:rsidR="003A7FBC" w:rsidRPr="00160290" w:rsidRDefault="003A7FBC" w:rsidP="00CB3019">
            <w:pPr>
              <w:pStyle w:val="Tabletext"/>
              <w:rPr>
                <w:sz w:val="20"/>
                <w:lang w:val="en-AU"/>
              </w:rPr>
            </w:pPr>
            <w:r w:rsidRPr="00160290">
              <w:rPr>
                <w:sz w:val="20"/>
                <w:lang w:val="en-AU"/>
              </w:rPr>
              <w:t>6</w:t>
            </w:r>
            <w:r w:rsidR="00160290" w:rsidRPr="00160290">
              <w:rPr>
                <w:sz w:val="20"/>
                <w:lang w:val="en-AU"/>
              </w:rPr>
              <w:t>,400</w:t>
            </w:r>
          </w:p>
        </w:tc>
        <w:tc>
          <w:tcPr>
            <w:tcW w:w="1311" w:type="dxa"/>
            <w:noWrap/>
            <w:hideMark/>
          </w:tcPr>
          <w:p w:rsidR="003A7FBC" w:rsidRPr="00160290" w:rsidRDefault="003A7FBC" w:rsidP="00CB3019">
            <w:pPr>
              <w:pStyle w:val="Tabletext"/>
              <w:rPr>
                <w:sz w:val="20"/>
                <w:lang w:val="en-AU"/>
              </w:rPr>
            </w:pPr>
            <w:r w:rsidRPr="00160290">
              <w:rPr>
                <w:sz w:val="20"/>
                <w:lang w:val="en-AU"/>
              </w:rPr>
              <w:t>4</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$20,000 </w:t>
            </w:r>
          </w:p>
        </w:tc>
      </w:tr>
      <w:tr w:rsidR="003A7FBC" w:rsidRPr="00160290" w:rsidTr="003A7FBC">
        <w:trPr>
          <w:trHeight w:val="260"/>
        </w:trPr>
        <w:tc>
          <w:tcPr>
            <w:tcW w:w="2827" w:type="dxa"/>
            <w:hideMark/>
          </w:tcPr>
          <w:p w:rsidR="003A7FBC" w:rsidRPr="00160290" w:rsidRDefault="003A7FBC" w:rsidP="00CB3019">
            <w:pPr>
              <w:pStyle w:val="Tabletext"/>
              <w:rPr>
                <w:sz w:val="20"/>
                <w:lang w:val="en-AU"/>
              </w:rPr>
            </w:pPr>
            <w:r w:rsidRPr="00160290">
              <w:rPr>
                <w:sz w:val="20"/>
                <w:lang w:val="en-AU"/>
              </w:rPr>
              <w:t xml:space="preserve"> Building design (architectural)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$25,032 </w:t>
            </w:r>
          </w:p>
        </w:tc>
        <w:tc>
          <w:tcPr>
            <w:tcW w:w="1155" w:type="dxa"/>
            <w:noWrap/>
            <w:hideMark/>
          </w:tcPr>
          <w:p w:rsidR="003A7FBC" w:rsidRPr="00160290" w:rsidRDefault="003A7FBC" w:rsidP="00CB3019">
            <w:pPr>
              <w:pStyle w:val="Tabletext"/>
              <w:rPr>
                <w:sz w:val="20"/>
                <w:lang w:val="en-AU"/>
              </w:rPr>
            </w:pPr>
            <w:r w:rsidRPr="00160290">
              <w:rPr>
                <w:sz w:val="20"/>
                <w:lang w:val="en-AU"/>
              </w:rPr>
              <w:t>2,086</w:t>
            </w:r>
          </w:p>
        </w:tc>
        <w:tc>
          <w:tcPr>
            <w:tcW w:w="1311" w:type="dxa"/>
            <w:noWrap/>
            <w:hideMark/>
          </w:tcPr>
          <w:p w:rsidR="003A7FBC" w:rsidRPr="00160290" w:rsidRDefault="003A7FBC" w:rsidP="00CB3019">
            <w:pPr>
              <w:pStyle w:val="Tabletext"/>
              <w:rPr>
                <w:sz w:val="20"/>
                <w:lang w:val="en-AU"/>
              </w:rPr>
            </w:pPr>
            <w:r w:rsidRPr="00160290">
              <w:rPr>
                <w:sz w:val="20"/>
                <w:lang w:val="en-AU"/>
              </w:rPr>
              <w:t>2</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$10,000 </w:t>
            </w:r>
          </w:p>
        </w:tc>
      </w:tr>
      <w:tr w:rsidR="003A7FBC" w:rsidRPr="00160290" w:rsidTr="003A7FBC">
        <w:trPr>
          <w:trHeight w:val="260"/>
        </w:trPr>
        <w:tc>
          <w:tcPr>
            <w:tcW w:w="2827" w:type="dxa"/>
            <w:hideMark/>
          </w:tcPr>
          <w:p w:rsidR="003A7FBC" w:rsidRPr="00160290" w:rsidRDefault="003A7FBC" w:rsidP="00CB3019">
            <w:pPr>
              <w:pStyle w:val="Tabletext"/>
              <w:rPr>
                <w:sz w:val="20"/>
                <w:lang w:val="en-AU"/>
              </w:rPr>
            </w:pPr>
            <w:r w:rsidRPr="00160290">
              <w:rPr>
                <w:sz w:val="20"/>
                <w:lang w:val="en-AU"/>
              </w:rPr>
              <w:t xml:space="preserve"> Building design (interior)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$13,252 </w:t>
            </w:r>
          </w:p>
        </w:tc>
        <w:tc>
          <w:tcPr>
            <w:tcW w:w="1155" w:type="dxa"/>
            <w:noWrap/>
            <w:hideMark/>
          </w:tcPr>
          <w:p w:rsidR="003A7FBC" w:rsidRPr="00160290" w:rsidRDefault="003A7FBC" w:rsidP="00CB3019">
            <w:pPr>
              <w:pStyle w:val="Tabletext"/>
              <w:rPr>
                <w:sz w:val="20"/>
                <w:lang w:val="en-AU"/>
              </w:rPr>
            </w:pPr>
            <w:r w:rsidRPr="00160290">
              <w:rPr>
                <w:sz w:val="20"/>
                <w:lang w:val="en-AU"/>
              </w:rPr>
              <w:t xml:space="preserve"> 1,325 </w:t>
            </w:r>
          </w:p>
        </w:tc>
        <w:tc>
          <w:tcPr>
            <w:tcW w:w="1311" w:type="dxa"/>
            <w:noWrap/>
            <w:hideMark/>
          </w:tcPr>
          <w:p w:rsidR="003A7FBC" w:rsidRPr="00160290" w:rsidRDefault="003A7FBC" w:rsidP="00CB3019">
            <w:pPr>
              <w:pStyle w:val="Tabletext"/>
              <w:rPr>
                <w:sz w:val="20"/>
                <w:lang w:val="en-AU"/>
              </w:rPr>
            </w:pPr>
            <w:r w:rsidRPr="00160290">
              <w:rPr>
                <w:sz w:val="20"/>
                <w:lang w:val="en-AU"/>
              </w:rPr>
              <w:t>2</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$10,000 </w:t>
            </w:r>
          </w:p>
        </w:tc>
      </w:tr>
      <w:tr w:rsidR="003A7FBC" w:rsidRPr="00160290" w:rsidTr="003A7FBC">
        <w:trPr>
          <w:trHeight w:val="320"/>
        </w:trPr>
        <w:tc>
          <w:tcPr>
            <w:tcW w:w="2827" w:type="dxa"/>
            <w:hideMark/>
          </w:tcPr>
          <w:p w:rsidR="003A7FBC" w:rsidRPr="00160290" w:rsidRDefault="003A7FBC" w:rsidP="00CB3019">
            <w:pPr>
              <w:pStyle w:val="Tabletext"/>
              <w:rPr>
                <w:sz w:val="20"/>
                <w:lang w:val="en-AU"/>
              </w:rPr>
            </w:pPr>
            <w:r w:rsidRPr="00160290">
              <w:rPr>
                <w:sz w:val="20"/>
                <w:lang w:val="en-AU"/>
              </w:rPr>
              <w:t xml:space="preserve"> Building design (services)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$13,252 </w:t>
            </w:r>
          </w:p>
        </w:tc>
        <w:tc>
          <w:tcPr>
            <w:tcW w:w="1155" w:type="dxa"/>
            <w:noWrap/>
            <w:hideMark/>
          </w:tcPr>
          <w:p w:rsidR="003A7FBC" w:rsidRPr="00160290" w:rsidRDefault="003A7FBC" w:rsidP="00CB3019">
            <w:pPr>
              <w:pStyle w:val="Tabletext"/>
              <w:rPr>
                <w:sz w:val="20"/>
                <w:lang w:val="en-AU"/>
              </w:rPr>
            </w:pPr>
            <w:r w:rsidRPr="00160290">
              <w:rPr>
                <w:sz w:val="20"/>
                <w:lang w:val="en-AU"/>
              </w:rPr>
              <w:t xml:space="preserve"> 1,325 </w:t>
            </w:r>
          </w:p>
        </w:tc>
        <w:tc>
          <w:tcPr>
            <w:tcW w:w="1311" w:type="dxa"/>
            <w:noWrap/>
            <w:hideMark/>
          </w:tcPr>
          <w:p w:rsidR="003A7FBC" w:rsidRPr="00160290" w:rsidRDefault="003A7FBC" w:rsidP="00CB3019">
            <w:pPr>
              <w:pStyle w:val="Tabletext"/>
              <w:rPr>
                <w:sz w:val="20"/>
                <w:lang w:val="en-AU"/>
              </w:rPr>
            </w:pPr>
            <w:r w:rsidRPr="00160290">
              <w:rPr>
                <w:sz w:val="20"/>
                <w:lang w:val="en-AU"/>
              </w:rPr>
              <w:t>2</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$10,000 </w:t>
            </w:r>
          </w:p>
        </w:tc>
      </w:tr>
      <w:tr w:rsidR="003A7FBC" w:rsidRPr="00160290" w:rsidTr="003A7FBC">
        <w:trPr>
          <w:trHeight w:val="260"/>
        </w:trPr>
        <w:tc>
          <w:tcPr>
            <w:tcW w:w="2827" w:type="dxa"/>
            <w:hideMark/>
          </w:tcPr>
          <w:p w:rsidR="003A7FBC" w:rsidRPr="00160290" w:rsidRDefault="003A7FBC" w:rsidP="00CB3019">
            <w:pPr>
              <w:pStyle w:val="Tabletext"/>
              <w:rPr>
                <w:sz w:val="20"/>
                <w:lang w:val="en-AU"/>
              </w:rPr>
            </w:pPr>
            <w:r w:rsidRPr="00160290">
              <w:rPr>
                <w:sz w:val="20"/>
                <w:lang w:val="en-AU"/>
              </w:rPr>
              <w:t xml:space="preserve"> Commercial builder (unlimited)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$22,080 </w:t>
            </w:r>
          </w:p>
        </w:tc>
        <w:tc>
          <w:tcPr>
            <w:tcW w:w="1155" w:type="dxa"/>
            <w:noWrap/>
            <w:hideMark/>
          </w:tcPr>
          <w:p w:rsidR="003A7FBC" w:rsidRPr="00160290" w:rsidRDefault="003A7FBC" w:rsidP="00CB3019">
            <w:pPr>
              <w:pStyle w:val="Tabletext"/>
              <w:rPr>
                <w:sz w:val="20"/>
                <w:lang w:val="en-AU"/>
              </w:rPr>
            </w:pPr>
            <w:r w:rsidRPr="00160290">
              <w:rPr>
                <w:sz w:val="20"/>
                <w:lang w:val="en-AU"/>
              </w:rPr>
              <w:t>1,840</w:t>
            </w:r>
          </w:p>
        </w:tc>
        <w:tc>
          <w:tcPr>
            <w:tcW w:w="1311" w:type="dxa"/>
            <w:noWrap/>
            <w:hideMark/>
          </w:tcPr>
          <w:p w:rsidR="003A7FBC" w:rsidRPr="00160290" w:rsidRDefault="003A7FBC" w:rsidP="00CB3019">
            <w:pPr>
              <w:pStyle w:val="Tabletext"/>
              <w:rPr>
                <w:sz w:val="20"/>
                <w:lang w:val="en-AU"/>
              </w:rPr>
            </w:pPr>
            <w:r w:rsidRPr="00160290">
              <w:rPr>
                <w:sz w:val="20"/>
                <w:lang w:val="en-AU"/>
              </w:rPr>
              <w:t>4</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$15,000 </w:t>
            </w:r>
          </w:p>
        </w:tc>
      </w:tr>
      <w:tr w:rsidR="003A7FBC" w:rsidRPr="00160290" w:rsidTr="003A7FBC">
        <w:trPr>
          <w:trHeight w:val="260"/>
        </w:trPr>
        <w:tc>
          <w:tcPr>
            <w:tcW w:w="2827" w:type="dxa"/>
            <w:hideMark/>
          </w:tcPr>
          <w:p w:rsidR="003A7FBC" w:rsidRPr="00160290" w:rsidRDefault="003A7FBC" w:rsidP="00CB3019">
            <w:pPr>
              <w:pStyle w:val="Tabletext"/>
              <w:rPr>
                <w:sz w:val="20"/>
                <w:lang w:val="en-AU"/>
              </w:rPr>
            </w:pPr>
            <w:r w:rsidRPr="00160290">
              <w:rPr>
                <w:sz w:val="20"/>
                <w:lang w:val="en-AU"/>
              </w:rPr>
              <w:t xml:space="preserve"> Commercial builder (limited)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$11,040 </w:t>
            </w:r>
          </w:p>
        </w:tc>
        <w:tc>
          <w:tcPr>
            <w:tcW w:w="1155" w:type="dxa"/>
            <w:noWrap/>
            <w:hideMark/>
          </w:tcPr>
          <w:p w:rsidR="003A7FBC" w:rsidRPr="00160290" w:rsidRDefault="003A7FBC" w:rsidP="00CB3019">
            <w:pPr>
              <w:pStyle w:val="Tabletext"/>
              <w:rPr>
                <w:sz w:val="20"/>
                <w:lang w:val="en-AU"/>
              </w:rPr>
            </w:pPr>
            <w:r w:rsidRPr="00160290">
              <w:rPr>
                <w:sz w:val="20"/>
                <w:lang w:val="en-AU"/>
              </w:rPr>
              <w:t>920</w:t>
            </w:r>
          </w:p>
        </w:tc>
        <w:tc>
          <w:tcPr>
            <w:tcW w:w="1311" w:type="dxa"/>
            <w:noWrap/>
            <w:hideMark/>
          </w:tcPr>
          <w:p w:rsidR="003A7FBC" w:rsidRPr="00160290" w:rsidRDefault="003A7FBC" w:rsidP="00CB3019">
            <w:pPr>
              <w:pStyle w:val="Tabletext"/>
              <w:rPr>
                <w:sz w:val="20"/>
                <w:lang w:val="en-AU"/>
              </w:rPr>
            </w:pPr>
            <w:r w:rsidRPr="00160290">
              <w:rPr>
                <w:sz w:val="20"/>
                <w:lang w:val="en-AU"/>
              </w:rPr>
              <w:t>1</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$10,000 </w:t>
            </w:r>
          </w:p>
        </w:tc>
      </w:tr>
      <w:tr w:rsidR="003A7FBC" w:rsidRPr="00160290" w:rsidTr="003A7FBC">
        <w:trPr>
          <w:trHeight w:val="260"/>
        </w:trPr>
        <w:tc>
          <w:tcPr>
            <w:tcW w:w="2827" w:type="dxa"/>
            <w:hideMark/>
          </w:tcPr>
          <w:p w:rsidR="003A7FBC" w:rsidRPr="00160290" w:rsidRDefault="003A7FBC" w:rsidP="00CB3019">
            <w:pPr>
              <w:pStyle w:val="Tabletext"/>
              <w:rPr>
                <w:sz w:val="20"/>
                <w:lang w:val="en-AU"/>
              </w:rPr>
            </w:pPr>
            <w:r w:rsidRPr="00160290">
              <w:rPr>
                <w:sz w:val="20"/>
                <w:lang w:val="en-AU"/>
              </w:rPr>
              <w:t xml:space="preserve"> Domestic builder (unlimited)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$22,080 </w:t>
            </w:r>
          </w:p>
        </w:tc>
        <w:tc>
          <w:tcPr>
            <w:tcW w:w="1155" w:type="dxa"/>
            <w:noWrap/>
            <w:hideMark/>
          </w:tcPr>
          <w:p w:rsidR="003A7FBC" w:rsidRPr="00160290" w:rsidRDefault="003A7FBC" w:rsidP="00CB3019">
            <w:pPr>
              <w:pStyle w:val="Tabletext"/>
              <w:rPr>
                <w:sz w:val="20"/>
                <w:lang w:val="en-AU"/>
              </w:rPr>
            </w:pPr>
            <w:r w:rsidRPr="00160290">
              <w:rPr>
                <w:sz w:val="20"/>
                <w:lang w:val="en-AU"/>
              </w:rPr>
              <w:t>1,840</w:t>
            </w:r>
          </w:p>
        </w:tc>
        <w:tc>
          <w:tcPr>
            <w:tcW w:w="1311" w:type="dxa"/>
            <w:noWrap/>
            <w:hideMark/>
          </w:tcPr>
          <w:p w:rsidR="003A7FBC" w:rsidRPr="00160290" w:rsidRDefault="003A7FBC" w:rsidP="00CB3019">
            <w:pPr>
              <w:pStyle w:val="Tabletext"/>
              <w:rPr>
                <w:sz w:val="20"/>
                <w:lang w:val="en-AU"/>
              </w:rPr>
            </w:pPr>
            <w:r w:rsidRPr="00160290">
              <w:rPr>
                <w:sz w:val="20"/>
                <w:lang w:val="en-AU"/>
              </w:rPr>
              <w:t>4</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$10,000 </w:t>
            </w:r>
          </w:p>
        </w:tc>
      </w:tr>
      <w:tr w:rsidR="003A7FBC" w:rsidRPr="00160290" w:rsidTr="003A7FBC">
        <w:trPr>
          <w:trHeight w:val="260"/>
        </w:trPr>
        <w:tc>
          <w:tcPr>
            <w:tcW w:w="2827" w:type="dxa"/>
            <w:hideMark/>
          </w:tcPr>
          <w:p w:rsidR="003A7FBC" w:rsidRPr="00160290" w:rsidRDefault="003A7FBC" w:rsidP="00CB3019">
            <w:pPr>
              <w:pStyle w:val="Tabletext"/>
              <w:rPr>
                <w:sz w:val="20"/>
                <w:lang w:val="en-AU"/>
              </w:rPr>
            </w:pPr>
            <w:r w:rsidRPr="00160290">
              <w:rPr>
                <w:sz w:val="20"/>
                <w:lang w:val="en-AU"/>
              </w:rPr>
              <w:t xml:space="preserve"> Domestic builder (limited) </w:t>
            </w:r>
          </w:p>
        </w:tc>
        <w:tc>
          <w:tcPr>
            <w:tcW w:w="1560" w:type="dxa"/>
            <w:noWrap/>
            <w:hideMark/>
          </w:tcPr>
          <w:p w:rsidR="003A7FBC" w:rsidRPr="00160290" w:rsidRDefault="003A7FBC" w:rsidP="00CB3019">
            <w:pPr>
              <w:pStyle w:val="Tabletext"/>
              <w:rPr>
                <w:sz w:val="20"/>
                <w:lang w:val="en-AU"/>
              </w:rPr>
            </w:pPr>
            <w:r w:rsidRPr="00160290">
              <w:rPr>
                <w:sz w:val="20"/>
                <w:lang w:val="en-AU"/>
              </w:rPr>
              <w:t xml:space="preserve"> $11,040 </w:t>
            </w:r>
          </w:p>
        </w:tc>
        <w:tc>
          <w:tcPr>
            <w:tcW w:w="1155" w:type="dxa"/>
            <w:noWrap/>
            <w:hideMark/>
          </w:tcPr>
          <w:p w:rsidR="003A7FBC" w:rsidRPr="00160290" w:rsidRDefault="003A7FBC" w:rsidP="00CB3019">
            <w:pPr>
              <w:pStyle w:val="Tabletext"/>
              <w:rPr>
                <w:sz w:val="20"/>
                <w:lang w:val="en-AU"/>
              </w:rPr>
            </w:pPr>
            <w:r w:rsidRPr="00160290">
              <w:rPr>
                <w:sz w:val="20"/>
                <w:lang w:val="en-AU"/>
              </w:rPr>
              <w:t>920</w:t>
            </w:r>
          </w:p>
        </w:tc>
        <w:tc>
          <w:tcPr>
            <w:tcW w:w="1311" w:type="dxa"/>
            <w:noWrap/>
            <w:hideMark/>
          </w:tcPr>
          <w:p w:rsidR="003A7FBC" w:rsidRPr="00160290" w:rsidRDefault="003A7FBC" w:rsidP="00CB3019">
            <w:pPr>
              <w:pStyle w:val="Tabletext"/>
              <w:rPr>
                <w:sz w:val="20"/>
                <w:lang w:val="en-AU"/>
              </w:rPr>
            </w:pPr>
            <w:r w:rsidRPr="00160290">
              <w:rPr>
                <w:sz w:val="20"/>
                <w:lang w:val="en-AU"/>
              </w:rPr>
              <w:t>1</w:t>
            </w:r>
          </w:p>
        </w:tc>
        <w:tc>
          <w:tcPr>
            <w:tcW w:w="1447" w:type="dxa"/>
            <w:noWrap/>
            <w:hideMark/>
          </w:tcPr>
          <w:p w:rsidR="003A7FBC" w:rsidRPr="00160290" w:rsidRDefault="003A7FBC" w:rsidP="00CB3019">
            <w:pPr>
              <w:pStyle w:val="Tabletext"/>
              <w:rPr>
                <w:sz w:val="20"/>
                <w:lang w:val="en-AU"/>
              </w:rPr>
            </w:pPr>
            <w:r w:rsidRPr="00160290">
              <w:rPr>
                <w:sz w:val="20"/>
                <w:lang w:val="en-AU"/>
              </w:rPr>
              <w:t xml:space="preserve"> $7,000 </w:t>
            </w:r>
          </w:p>
        </w:tc>
      </w:tr>
    </w:tbl>
    <w:p w:rsidR="0033149C" w:rsidRDefault="003A7FBC" w:rsidP="003A7FBC">
      <w:pPr>
        <w:spacing w:before="120" w:after="120"/>
        <w:rPr>
          <w:i/>
          <w:sz w:val="18"/>
        </w:rPr>
      </w:pPr>
      <w:r w:rsidRPr="00160290">
        <w:rPr>
          <w:i/>
          <w:sz w:val="18"/>
        </w:rPr>
        <w:t>Source: Regulatory Impact Solutions</w:t>
      </w:r>
    </w:p>
    <w:p w:rsidR="00F71F1A" w:rsidRDefault="00F71F1A"/>
    <w:p w:rsidR="003A7FBC" w:rsidRPr="00160290" w:rsidRDefault="003A7FBC" w:rsidP="00757E56">
      <w:r w:rsidRPr="00160290">
        <w:t xml:space="preserve">Course fees are taken as </w:t>
      </w:r>
      <w:r w:rsidR="0033149C">
        <w:t xml:space="preserve">the </w:t>
      </w:r>
      <w:r w:rsidRPr="00160290">
        <w:t>average of course fees published by a selection of institutions (Victoria University, Victoria Polytechnic, Holmesglen</w:t>
      </w:r>
      <w:r w:rsidR="0033149C">
        <w:t xml:space="preserve"> and </w:t>
      </w:r>
      <w:r w:rsidRPr="00160290">
        <w:t xml:space="preserve">Latrobe University). Using </w:t>
      </w:r>
      <w:r w:rsidR="0033149C">
        <w:t xml:space="preserve">the </w:t>
      </w:r>
      <w:r w:rsidRPr="00160290">
        <w:t>average is likely to overestimate the minimum cost of compliance</w:t>
      </w:r>
      <w:r w:rsidR="0033149C">
        <w:t>, but</w:t>
      </w:r>
      <w:r w:rsidR="004028EE">
        <w:t xml:space="preserve"> </w:t>
      </w:r>
      <w:r w:rsidRPr="00160290">
        <w:t>will more accurately reflect the costs more likely to be incurred across the population. Where the listed qualification is no longer offered under that title, the current equivalent has been used. Course costs include tuition fees and course materials. Student service fees have been excluded as students receive other benefits in exchange for these fees.</w:t>
      </w:r>
    </w:p>
    <w:p w:rsidR="002129C8" w:rsidRPr="00160290" w:rsidRDefault="003A7FBC" w:rsidP="00757E56">
      <w:r w:rsidRPr="00160290">
        <w:t xml:space="preserve">Courses below diploma level include the full course cost even though the course cost may be subsidised by the Victorian Government under the Victorian Training Guarantee. This means the cost reflects the total cost to the Victorian community of the course. However, for </w:t>
      </w:r>
      <w:r w:rsidR="00160290">
        <w:t>d</w:t>
      </w:r>
      <w:r w:rsidRPr="00160290">
        <w:t>egree courses, only the student contribution has been included under an assumption of all places being Commonwealth</w:t>
      </w:r>
      <w:r w:rsidR="0033149C">
        <w:t>-s</w:t>
      </w:r>
      <w:r w:rsidRPr="00160290">
        <w:t xml:space="preserve">upported </w:t>
      </w:r>
      <w:r w:rsidR="0033149C">
        <w:t>p</w:t>
      </w:r>
      <w:r w:rsidRPr="00160290">
        <w:t>laces.</w:t>
      </w:r>
    </w:p>
    <w:p w:rsidR="003A7FBC" w:rsidRPr="00160290" w:rsidRDefault="003A7FBC" w:rsidP="00757E56">
      <w:r w:rsidRPr="00160290">
        <w:t xml:space="preserve">The number of years needed to achieve the experience requirement is generally higher than the number of years listed in the Regulations. This is because it nearly always takes more time to achieve experience in all relevant elements assessed by </w:t>
      </w:r>
      <w:r w:rsidR="000E2924">
        <w:t>VBA</w:t>
      </w:r>
      <w:r w:rsidRPr="00160290">
        <w:t xml:space="preserve">. Therefore, the actual duration of experience </w:t>
      </w:r>
      <w:r w:rsidR="00703FD9" w:rsidRPr="00160290">
        <w:t>before</w:t>
      </w:r>
      <w:r w:rsidRPr="00160290">
        <w:t xml:space="preserve"> achieving registration has been used. This is an average</w:t>
      </w:r>
      <w:r w:rsidR="0033149C">
        <w:t>,</w:t>
      </w:r>
      <w:r w:rsidRPr="00160290">
        <w:t xml:space="preserve"> based on discussions </w:t>
      </w:r>
      <w:r w:rsidR="0033149C">
        <w:t xml:space="preserve">with </w:t>
      </w:r>
      <w:r w:rsidR="000E2924">
        <w:t>VBA</w:t>
      </w:r>
      <w:r w:rsidR="0033149C">
        <w:t xml:space="preserve"> about </w:t>
      </w:r>
      <w:r w:rsidRPr="00160290">
        <w:t>their assessment methodology.</w:t>
      </w:r>
    </w:p>
    <w:p w:rsidR="003A7FBC" w:rsidRPr="00160290" w:rsidRDefault="003A7FBC" w:rsidP="00757E56">
      <w:r w:rsidRPr="00160290">
        <w:lastRenderedPageBreak/>
        <w:t xml:space="preserve">The income differential used refers to the difference between average earnings for the population and the </w:t>
      </w:r>
      <w:r w:rsidR="00703FD9" w:rsidRPr="00160290">
        <w:t>starting</w:t>
      </w:r>
      <w:r w:rsidRPr="00160290">
        <w:t xml:space="preserve"> annual income for each group</w:t>
      </w:r>
      <w:r w:rsidR="0033149C">
        <w:t xml:space="preserve">. It is </w:t>
      </w:r>
      <w:r w:rsidRPr="00160290">
        <w:t>based on desktop research, validated by discussions with a sample of registered building practitioners across all groups. This is used for modelling purposes only, as it is difficult to estimate the income a building practitioner might be able to achieve were no experience requirements in place.</w:t>
      </w:r>
    </w:p>
    <w:p w:rsidR="00F71F1A" w:rsidRDefault="003A7FBC">
      <w:pPr>
        <w:pStyle w:val="Heading4"/>
      </w:pPr>
      <w:bookmarkStart w:id="73" w:name="_Toc481502216"/>
      <w:r w:rsidRPr="00160290">
        <w:t>Avoided consumer detriment</w:t>
      </w:r>
      <w:bookmarkEnd w:id="73"/>
    </w:p>
    <w:p w:rsidR="003A7FBC" w:rsidRPr="00160290" w:rsidRDefault="003A7FBC" w:rsidP="00757E56">
      <w:r w:rsidRPr="00160290">
        <w:t xml:space="preserve">This report uses a measure of consumer detriment reported in the </w:t>
      </w:r>
      <w:r w:rsidR="00D3125B" w:rsidRPr="00D3125B">
        <w:rPr>
          <w:i/>
        </w:rPr>
        <w:t>2016 Australian Consumer Survey</w:t>
      </w:r>
      <w:r w:rsidRPr="00160290">
        <w:t xml:space="preserve"> (published </w:t>
      </w:r>
      <w:r w:rsidR="0033149C">
        <w:t xml:space="preserve">on </w:t>
      </w:r>
      <w:r w:rsidRPr="00160290">
        <w:t>18 May 2016) by the Commonwealth Treasurer. The full report is available on the Australian Consumer Law website.</w:t>
      </w:r>
    </w:p>
    <w:p w:rsidR="003A7FBC" w:rsidRPr="00160290" w:rsidRDefault="003A7FBC" w:rsidP="00757E56">
      <w:pPr>
        <w:rPr>
          <w:rFonts w:cs="Times New Roman"/>
        </w:rPr>
      </w:pPr>
      <w:r w:rsidRPr="00160290">
        <w:rPr>
          <w:rFonts w:cs="Times New Roman"/>
        </w:rPr>
        <w:t xml:space="preserve">A ‘detrimental incident’ is one of a range of problems experienced by consumers when engaging professionals to undertake building, renovations, repairs or maintenance. The problems reported include poor workmanship, poor customer service, faulty or unsafe products, delays in having defects repaired or replaced, false or misleading information, </w:t>
      </w:r>
      <w:proofErr w:type="spellStart"/>
      <w:r w:rsidRPr="00160290">
        <w:rPr>
          <w:rFonts w:cs="Times New Roman"/>
        </w:rPr>
        <w:t>nondelivery</w:t>
      </w:r>
      <w:proofErr w:type="spellEnd"/>
      <w:r w:rsidRPr="00160290">
        <w:rPr>
          <w:rFonts w:cs="Times New Roman"/>
        </w:rPr>
        <w:t xml:space="preserve"> of a service, unclear or unfair terms or price, and scams. The measure used to determine the break-even points is the cost to the consumer either direct loss or costs of rectifying the problem. It includes the time spent by the consumer dealing with the problem.</w:t>
      </w:r>
    </w:p>
    <w:p w:rsidR="003A7FBC" w:rsidRPr="00160290" w:rsidRDefault="003A7FBC" w:rsidP="00757E56">
      <w:pPr>
        <w:rPr>
          <w:rFonts w:cs="Times New Roman"/>
        </w:rPr>
      </w:pPr>
      <w:r w:rsidRPr="00160290">
        <w:rPr>
          <w:rFonts w:cs="Times New Roman"/>
        </w:rPr>
        <w:t xml:space="preserve">The </w:t>
      </w:r>
      <w:r w:rsidR="00160290">
        <w:rPr>
          <w:rFonts w:cs="Times New Roman"/>
        </w:rPr>
        <w:t>s</w:t>
      </w:r>
      <w:r w:rsidRPr="00160290">
        <w:rPr>
          <w:rFonts w:cs="Times New Roman"/>
        </w:rPr>
        <w:t xml:space="preserve">urvey only reports this estimated average cost at a national level: $751.36 per incident. This was a reduced estimate from the previous 2011 </w:t>
      </w:r>
      <w:r w:rsidR="00160290">
        <w:rPr>
          <w:rFonts w:cs="Times New Roman"/>
        </w:rPr>
        <w:t>s</w:t>
      </w:r>
      <w:r w:rsidRPr="00160290">
        <w:rPr>
          <w:rFonts w:cs="Times New Roman"/>
        </w:rPr>
        <w:t xml:space="preserve">urvey of $1,321.02. However, both estimates are below a previous estimate measured for Victoria by </w:t>
      </w:r>
      <w:r w:rsidR="006F48F9">
        <w:rPr>
          <w:rFonts w:cs="Times New Roman"/>
        </w:rPr>
        <w:t>CAV</w:t>
      </w:r>
      <w:r w:rsidRPr="00160290">
        <w:rPr>
          <w:rStyle w:val="FootnoteReference"/>
          <w:rFonts w:cs="Times New Roman"/>
        </w:rPr>
        <w:footnoteReference w:id="40"/>
      </w:r>
      <w:r w:rsidRPr="00160290">
        <w:rPr>
          <w:rFonts w:cs="Times New Roman"/>
        </w:rPr>
        <w:t xml:space="preserve"> in 2006, which estimated that detriment relating to building and renovating cost the consumer an average of $1,600 in money, time and emotional cost per incident. There was no overlap in the timing of the surveys, so it is unclear whether Victoria has experienced a decline in the average cost of building problems or if the costs of detriment in Victoria per incident are higher than the national average.</w:t>
      </w:r>
    </w:p>
    <w:p w:rsidR="003A7FBC" w:rsidRPr="00160290" w:rsidRDefault="003A7FBC" w:rsidP="00757E56">
      <w:pPr>
        <w:rPr>
          <w:rFonts w:cs="Times New Roman"/>
        </w:rPr>
      </w:pPr>
      <w:r w:rsidRPr="00160290">
        <w:rPr>
          <w:rFonts w:cs="Times New Roman"/>
        </w:rPr>
        <w:t xml:space="preserve">The 2016 </w:t>
      </w:r>
      <w:r w:rsidR="00160290">
        <w:rPr>
          <w:rFonts w:cs="Times New Roman"/>
        </w:rPr>
        <w:t>s</w:t>
      </w:r>
      <w:r w:rsidRPr="00160290">
        <w:rPr>
          <w:rFonts w:cs="Times New Roman"/>
        </w:rPr>
        <w:t>urvey does report state and territory results on the incidence of experiencing a problem, which reports that the incidence of problems relating to building or renovations is slightly higher (18%) in Victoria than the national incidence (17%). It is unclear how (or if) this higher incidence may translate into a higher average cost of rectifying problems.</w:t>
      </w:r>
    </w:p>
    <w:p w:rsidR="000758E3" w:rsidRPr="00160290" w:rsidRDefault="000758E3" w:rsidP="00F7154D"/>
    <w:p w:rsidR="0058551B" w:rsidRPr="00160290" w:rsidRDefault="0058551B">
      <w:pPr>
        <w:rPr>
          <w:rFonts w:cs="Times New Roman"/>
        </w:rPr>
      </w:pPr>
      <w:r w:rsidRPr="00160290">
        <w:br w:type="page"/>
      </w:r>
    </w:p>
    <w:p w:rsidR="0058551B" w:rsidRPr="00160290" w:rsidRDefault="003448FA" w:rsidP="00F7154D">
      <w:r>
        <w:rPr>
          <w:noProof/>
        </w:rPr>
        <w:lastRenderedPageBreak/>
        <mc:AlternateContent>
          <mc:Choice Requires="wpc">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7562850" cy="10687050"/>
                <wp:effectExtent l="0" t="0" r="0" b="0"/>
                <wp:wrapNone/>
                <wp:docPr id="5" name="BackCoverPortrai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lumMod val="100000"/>
                            <a:lumOff val="0"/>
                          </a:schemeClr>
                        </a:solidFill>
                      </wpc:bg>
                      <wpc:whole/>
                      <wps:wsp>
                        <wps:cNvPr id="18" name="DELWPRectangle"/>
                        <wps:cNvSpPr>
                          <a:spLocks noChangeArrowheads="1"/>
                        </wps:cNvSpPr>
                        <wps:spPr bwMode="auto">
                          <a:xfrm>
                            <a:off x="358702" y="360002"/>
                            <a:ext cx="6840045" cy="9972047"/>
                          </a:xfrm>
                          <a:prstGeom prst="rect">
                            <a:avLst/>
                          </a:prstGeom>
                          <a:solidFill>
                            <a:srgbClr val="2015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22"/>
                        <wps:cNvSpPr txBox="1">
                          <a:spLocks noChangeArrowheads="1"/>
                        </wps:cNvSpPr>
                        <wps:spPr bwMode="auto">
                          <a:xfrm>
                            <a:off x="720005" y="9757446"/>
                            <a:ext cx="2383216" cy="57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1DF3" w:rsidRDefault="00011DF3" w:rsidP="00CC18C6">
                              <w:pPr>
                                <w:pStyle w:val="xWeb"/>
                                <w:rPr>
                                  <w:color w:val="FFFFFF"/>
                                </w:rPr>
                              </w:pPr>
                              <w:r w:rsidRPr="00CC18C6">
                                <w:rPr>
                                  <w:color w:val="FFFFFF"/>
                                </w:rPr>
                                <w:t>delwp.vic.gov.au</w:t>
                              </w:r>
                            </w:p>
                            <w:p w:rsidR="00011DF3" w:rsidRPr="00CC18C6" w:rsidRDefault="00011DF3" w:rsidP="00CC18C6">
                              <w:pPr>
                                <w:pStyle w:val="xWeb"/>
                                <w:rPr>
                                  <w:color w:val="FFFFFF"/>
                                </w:rPr>
                              </w:pP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BackCoverPortrait" o:spid="_x0000_s1031"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5628;height:106870;visibility:visible;mso-wrap-style:square" filled="t" fillcolor="white [3212]">
                  <v:fill o:detectmouseclick="t"/>
                  <v:path o:connecttype="none"/>
                </v:shape>
                <v:rect id="DELWPRectangle" o:spid="_x0000_s1033" style="position:absolute;left:3587;top:3600;width:68400;height:9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B48MA&#10;AADbAAAADwAAAGRycy9kb3ducmV2LnhtbESPQWvCQBCF70L/wzKF3nSjFJXoKqVYKFQPxv6AaXZM&#10;gtnZsLtq7K93DoK3Gd6b975ZrnvXqguF2Hg2MB5loIhLbxuuDPwevoZzUDEhW2w9k4EbRVivXgZL&#10;zK2/8p4uRaqUhHDM0UCdUpdrHcuaHMaR74hFO/rgMMkaKm0DXiXctXqSZVPtsGFpqLGjz5rKU3F2&#10;Bna3v8kP/m/fy03rZp33msP4aMzba/+xAJWoT0/z4/rbCr7Ayi8ygF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B48MAAADbAAAADwAAAAAAAAAAAAAAAACYAgAAZHJzL2Rv&#10;d25yZXYueG1sUEsFBgAAAAAEAAQA9QAAAIgDAAAAAA==&#10;" fillcolor="#201547" stroked="f"/>
                <v:shape id="Text Box 22" o:spid="_x0000_s1034" type="#_x0000_t202" style="position:absolute;left:7200;top:97574;width:23832;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inset="0,0,0,0">
                    <w:txbxContent>
                      <w:p w:rsidR="00011DF3" w:rsidRDefault="00011DF3" w:rsidP="00CC18C6">
                        <w:pPr>
                          <w:pStyle w:val="xWeb"/>
                          <w:rPr>
                            <w:color w:val="FFFFFF"/>
                          </w:rPr>
                        </w:pPr>
                        <w:r w:rsidRPr="00CC18C6">
                          <w:rPr>
                            <w:color w:val="FFFFFF"/>
                          </w:rPr>
                          <w:t>delwp.vic.gov.au</w:t>
                        </w:r>
                      </w:p>
                      <w:p w:rsidR="00011DF3" w:rsidRPr="00CC18C6" w:rsidRDefault="00011DF3" w:rsidP="00CC18C6">
                        <w:pPr>
                          <w:pStyle w:val="xWeb"/>
                          <w:rPr>
                            <w:color w:val="FFFFFF"/>
                          </w:rPr>
                        </w:pPr>
                      </w:p>
                    </w:txbxContent>
                  </v:textbox>
                </v:shape>
                <w10:wrap anchorx="page" anchory="page"/>
              </v:group>
            </w:pict>
          </mc:Fallback>
        </mc:AlternateContent>
      </w:r>
    </w:p>
    <w:sectPr w:rsidR="0058551B" w:rsidRPr="00160290" w:rsidSect="00011DF3">
      <w:pgSz w:w="11907" w:h="16840" w:code="9"/>
      <w:pgMar w:top="992" w:right="1559" w:bottom="1560" w:left="1797"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F3" w:rsidRDefault="00011DF3">
      <w:r>
        <w:separator/>
      </w:r>
    </w:p>
    <w:p w:rsidR="00011DF3" w:rsidRDefault="00011DF3"/>
  </w:endnote>
  <w:endnote w:type="continuationSeparator" w:id="0">
    <w:p w:rsidR="00011DF3" w:rsidRDefault="00011DF3">
      <w:r>
        <w:continuationSeparator/>
      </w:r>
    </w:p>
    <w:p w:rsidR="00011DF3" w:rsidRDefault="00011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011DF3" w:rsidTr="00D83BD4">
      <w:trPr>
        <w:trHeight w:val="397"/>
      </w:trPr>
      <w:tc>
        <w:tcPr>
          <w:tcW w:w="340" w:type="dxa"/>
        </w:tcPr>
        <w:p w:rsidR="00011DF3" w:rsidRPr="00D55628" w:rsidRDefault="00011DF3" w:rsidP="00D55628">
          <w:pPr>
            <w:pStyle w:val="FooterEven"/>
          </w:pPr>
          <w:r>
            <w:fldChar w:fldCharType="begin"/>
          </w:r>
          <w:r>
            <w:instrText xml:space="preserve"> PAGE   \* MERGEFORMAT </w:instrText>
          </w:r>
          <w:r>
            <w:fldChar w:fldCharType="separate"/>
          </w:r>
          <w:r>
            <w:rPr>
              <w:noProof/>
            </w:rPr>
            <w:t>3</w:t>
          </w:r>
          <w:r>
            <w:rPr>
              <w:noProof/>
            </w:rPr>
            <w:fldChar w:fldCharType="end"/>
          </w:r>
        </w:p>
      </w:tc>
      <w:tc>
        <w:tcPr>
          <w:tcW w:w="8164" w:type="dxa"/>
        </w:tcPr>
        <w:p w:rsidR="00011DF3" w:rsidRPr="00D55628" w:rsidRDefault="00011DF3" w:rsidP="00D55628">
          <w:pPr>
            <w:pStyle w:val="FooterEven"/>
          </w:pPr>
          <w:r w:rsidRPr="000A15E4">
            <w:rPr>
              <w:rStyle w:val="Bold"/>
            </w:rPr>
            <w:t>Title of document</w:t>
          </w:r>
          <w:r w:rsidRPr="00D55628">
            <w:t xml:space="preserve"> Subtitle</w:t>
          </w:r>
        </w:p>
      </w:tc>
    </w:tr>
  </w:tbl>
  <w:p w:rsidR="00011DF3" w:rsidRPr="008B6D45" w:rsidRDefault="00011DF3" w:rsidP="005949B0">
    <w:pPr>
      <w:pStyle w:val="FooterEve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3" w:rsidRDefault="003448FA">
    <w:pPr>
      <w:pStyle w:val="Footer"/>
    </w:pPr>
    <w:r>
      <w:rPr>
        <w:noProof/>
      </w:rPr>
      <mc:AlternateContent>
        <mc:Choice Requires="wps">
          <w:drawing>
            <wp:anchor distT="0" distB="0" distL="114300" distR="114300" simplePos="0" relativeHeight="251658240" behindDoc="1" locked="1" layoutInCell="1" allowOverlap="1">
              <wp:simplePos x="0" y="0"/>
              <wp:positionH relativeFrom="page">
                <wp:align>center</wp:align>
              </wp:positionH>
              <wp:positionV relativeFrom="page">
                <wp:align>center</wp:align>
              </wp:positionV>
              <wp:extent cx="7560310" cy="1796415"/>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DF3" w:rsidRPr="0001226A" w:rsidRDefault="00011DF3"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35"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lfOcU0AIAAN8FAAAOAAAAAAAAAAAAAAAAAC4CAABkcnMvZTJvRG9jLnht&#10;bFBLAQItABQABgAIAAAAIQA0xUTO2wAAAAYBAAAPAAAAAAAAAAAAAAAAACoFAABkcnMvZG93bnJl&#10;di54bWxQSwUGAAAAAAQABADzAAAAMgYAAAAA&#10;" filled="f" stroked="f">
              <v:textbox>
                <w:txbxContent>
                  <w:p w:rsidR="00011DF3" w:rsidRPr="0001226A" w:rsidRDefault="00011DF3" w:rsidP="00DF21D2">
                    <w:pPr>
                      <w:pStyle w:val="xStatus"/>
                    </w:pPr>
                  </w:p>
                </w:txbxContent>
              </v:textbox>
              <w10:wrap anchorx="page" anchory="page"/>
              <w10:anchorlock/>
            </v:shape>
          </w:pict>
        </mc:Fallback>
      </mc:AlternateContent>
    </w:r>
  </w:p>
  <w:p w:rsidR="00011DF3" w:rsidRDefault="00011D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3" w:rsidRDefault="00011DF3">
    <w:pPr>
      <w:pStyle w:val="Footer"/>
    </w:pPr>
    <w:r w:rsidRPr="00D55628">
      <w:rPr>
        <w:noProof/>
      </w:rPr>
      <w:drawing>
        <wp:anchor distT="0" distB="0" distL="114300" distR="114300" simplePos="0" relativeHeight="251654144" behindDoc="1" locked="0" layoutInCell="1" allowOverlap="1" wp14:anchorId="3DD1DD4F" wp14:editId="3723F318">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anchor>
      </w:drawing>
    </w:r>
    <w:r w:rsidRPr="00D55628">
      <w:rPr>
        <w:noProof/>
      </w:rPr>
      <w:drawing>
        <wp:anchor distT="0" distB="0" distL="114300" distR="114300" simplePos="0" relativeHeight="251652096" behindDoc="1" locked="1" layoutInCell="1" allowOverlap="1" wp14:anchorId="7931BFEC" wp14:editId="049CC9A2">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3" w:rsidRPr="00124E8F" w:rsidRDefault="003448FA" w:rsidP="00124E8F">
    <w:pPr>
      <w:pStyle w:val="Footer"/>
    </w:pPr>
    <w:r>
      <w:rPr>
        <w:noProof/>
      </w:rPr>
      <mc:AlternateContent>
        <mc:Choice Requires="wps">
          <w:drawing>
            <wp:anchor distT="0" distB="0" distL="114300" distR="114300" simplePos="0" relativeHeight="251664384" behindDoc="1" locked="1" layoutInCell="1" allowOverlap="1">
              <wp:simplePos x="0" y="0"/>
              <wp:positionH relativeFrom="page">
                <wp:align>center</wp:align>
              </wp:positionH>
              <wp:positionV relativeFrom="page">
                <wp:align>center</wp:align>
              </wp:positionV>
              <wp:extent cx="7560310" cy="1796415"/>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DF3" w:rsidRPr="0001226A" w:rsidRDefault="00011DF3"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5" o:spid="_x0000_s1036" type="#_x0000_t202" style="position:absolute;margin-left:0;margin-top:0;width:595.3pt;height:141.45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nivAIAAMQ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wGZ54rwC&#10;AADEBQAADgAAAAAAAAAAAAAAAAAuAgAAZHJzL2Uyb0RvYy54bWxQSwECLQAUAAYACAAAACEANMVE&#10;ztsAAAAGAQAADwAAAAAAAAAAAAAAAAAWBQAAZHJzL2Rvd25yZXYueG1sUEsFBgAAAAAEAAQA8wAA&#10;AB4GAAAAAA==&#10;" filled="f" stroked="f">
              <v:textbox>
                <w:txbxContent>
                  <w:p w:rsidR="00011DF3" w:rsidRPr="0001226A" w:rsidRDefault="00011DF3" w:rsidP="00DF21D2">
                    <w:pPr>
                      <w:pStyle w:val="xStatus"/>
                    </w:pPr>
                  </w:p>
                </w:txbxContent>
              </v:textbox>
              <w10:wrap anchorx="page" anchory="pag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3" w:rsidRDefault="003448FA">
    <w:pPr>
      <w:pStyle w:val="Footer"/>
    </w:pPr>
    <w:r>
      <w:rPr>
        <w:noProof/>
      </w:rPr>
      <mc:AlternateContent>
        <mc:Choice Requires="wps">
          <w:drawing>
            <wp:anchor distT="0" distB="0" distL="114300" distR="114300" simplePos="0" relativeHeight="251656192" behindDoc="1" locked="1" layoutInCell="1" allowOverlap="1">
              <wp:simplePos x="0" y="0"/>
              <wp:positionH relativeFrom="page">
                <wp:align>center</wp:align>
              </wp:positionH>
              <wp:positionV relativeFrom="page">
                <wp:align>center</wp:align>
              </wp:positionV>
              <wp:extent cx="7560310" cy="1796415"/>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DF3" w:rsidRPr="0001226A" w:rsidRDefault="00011DF3"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luz9A0wIAAOcFAAAOAAAAAAAAAAAAAAAAAC4CAABkcnMvZTJvRG9j&#10;LnhtbFBLAQItABQABgAIAAAAIQA0xUTO2wAAAAYBAAAPAAAAAAAAAAAAAAAAAC0FAABkcnMvZG93&#10;bnJldi54bWxQSwUGAAAAAAQABADzAAAANQYAAAAA&#10;" filled="f" stroked="f">
              <v:textbox>
                <w:txbxContent>
                  <w:p w:rsidR="00011DF3" w:rsidRPr="0001226A" w:rsidRDefault="00011DF3" w:rsidP="00DF21D2">
                    <w:pPr>
                      <w:pStyle w:val="xStatus"/>
                    </w:pPr>
                  </w:p>
                </w:txbxContent>
              </v:textbox>
              <w10:wrap anchorx="page" anchory="page"/>
              <w10:anchorlock/>
            </v:shape>
          </w:pict>
        </mc:Fallback>
      </mc:AlternateContent>
    </w:r>
  </w:p>
  <w:p w:rsidR="00011DF3" w:rsidRDefault="00011DF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13005"/>
      <w:docPartObj>
        <w:docPartGallery w:val="Page Numbers (Bottom of Page)"/>
        <w:docPartUnique/>
      </w:docPartObj>
    </w:sdtPr>
    <w:sdtEndPr>
      <w:rPr>
        <w:color w:val="7F7F7F" w:themeColor="background1" w:themeShade="7F"/>
        <w:spacing w:val="60"/>
      </w:rPr>
    </w:sdtEndPr>
    <w:sdtContent>
      <w:p w:rsidR="00011DF3" w:rsidRDefault="00011DF3">
        <w:pPr>
          <w:pStyle w:val="Footer"/>
          <w:pBdr>
            <w:top w:val="single" w:sz="4" w:space="1" w:color="D9D9D9" w:themeColor="background1" w:themeShade="D9"/>
          </w:pBdr>
          <w:rPr>
            <w:b/>
          </w:rPr>
        </w:pPr>
        <w:r>
          <w:fldChar w:fldCharType="begin"/>
        </w:r>
        <w:r>
          <w:instrText xml:space="preserve"> PAGE   \* MERGEFORMAT </w:instrText>
        </w:r>
        <w:r>
          <w:fldChar w:fldCharType="separate"/>
        </w:r>
        <w:r w:rsidRPr="004028EE">
          <w:rPr>
            <w:b/>
            <w:noProof/>
          </w:rPr>
          <w:t>6</w:t>
        </w:r>
        <w:r>
          <w:rPr>
            <w:b/>
            <w:noProof/>
          </w:rPr>
          <w:fldChar w:fldCharType="end"/>
        </w:r>
        <w:r>
          <w:rPr>
            <w:b/>
          </w:rPr>
          <w:t xml:space="preserve"> | </w:t>
        </w:r>
        <w:r>
          <w:rPr>
            <w:color w:val="7F7F7F" w:themeColor="background1" w:themeShade="7F"/>
            <w:spacing w:val="60"/>
          </w:rPr>
          <w:t>Page</w:t>
        </w:r>
      </w:p>
    </w:sdtContent>
  </w:sdt>
  <w:p w:rsidR="00011DF3" w:rsidRPr="00B5221E" w:rsidRDefault="00011DF3" w:rsidP="00B5221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3" w:rsidRDefault="003448FA">
    <w:pPr>
      <w:pStyle w:val="Footer"/>
    </w:pPr>
    <w:r>
      <w:rPr>
        <w:noProof/>
      </w:rPr>
      <mc:AlternateContent>
        <mc:Choice Requires="wps">
          <w:drawing>
            <wp:anchor distT="0" distB="0" distL="114300" distR="114300" simplePos="0" relativeHeight="251660288" behindDoc="1" locked="1" layoutInCell="1" allowOverlap="1">
              <wp:simplePos x="0" y="0"/>
              <wp:positionH relativeFrom="page">
                <wp:align>center</wp:align>
              </wp:positionH>
              <wp:positionV relativeFrom="page">
                <wp:align>center</wp:align>
              </wp:positionV>
              <wp:extent cx="7560310" cy="1796415"/>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DF3" w:rsidRPr="0001226A" w:rsidRDefault="00011DF3"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hPmNONQCAADmBQAADgAAAAAAAAAAAAAAAAAuAgAAZHJzL2Uyb0Rv&#10;Yy54bWxQSwECLQAUAAYACAAAACEANMVEztsAAAAGAQAADwAAAAAAAAAAAAAAAAAuBQAAZHJzL2Rv&#10;d25yZXYueG1sUEsFBgAAAAAEAAQA8wAAADYGAAAAAA==&#10;" filled="f" stroked="f">
              <v:textbox>
                <w:txbxContent>
                  <w:p w:rsidR="00011DF3" w:rsidRPr="0001226A" w:rsidRDefault="00011DF3" w:rsidP="00DF21D2">
                    <w:pPr>
                      <w:pStyle w:val="xStatus"/>
                    </w:pPr>
                  </w:p>
                </w:txbxContent>
              </v:textbox>
              <w10:wrap anchorx="page" anchory="page"/>
              <w10:anchorlock/>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904"/>
      <w:docPartObj>
        <w:docPartGallery w:val="Page Numbers (Bottom of Page)"/>
        <w:docPartUnique/>
      </w:docPartObj>
    </w:sdtPr>
    <w:sdtEndPr>
      <w:rPr>
        <w:color w:val="7F7F7F" w:themeColor="background1" w:themeShade="7F"/>
        <w:spacing w:val="60"/>
      </w:rPr>
    </w:sdtEndPr>
    <w:sdtContent>
      <w:p w:rsidR="00011DF3" w:rsidRPr="00DB4C93" w:rsidRDefault="00011DF3" w:rsidP="001623C3">
        <w:pPr>
          <w:pStyle w:val="Footer"/>
          <w:pBdr>
            <w:top w:val="single" w:sz="4" w:space="1" w:color="D9D9D9" w:themeColor="background1" w:themeShade="D9"/>
          </w:pBdr>
          <w:spacing w:after="0" w:line="240" w:lineRule="auto"/>
          <w:rPr>
            <w:b/>
            <w:color w:val="1A1A1A" w:themeColor="text1" w:themeShade="80"/>
          </w:rPr>
        </w:pPr>
        <w:r>
          <w:fldChar w:fldCharType="begin"/>
        </w:r>
        <w:r>
          <w:instrText xml:space="preserve"> PAGE   \* MERGEFORMAT </w:instrText>
        </w:r>
        <w:r>
          <w:fldChar w:fldCharType="separate"/>
        </w:r>
        <w:r w:rsidR="00716E0C" w:rsidRPr="00716E0C">
          <w:rPr>
            <w:b/>
            <w:noProof/>
          </w:rPr>
          <w:t>39</w:t>
        </w:r>
        <w:r>
          <w:rPr>
            <w:b/>
            <w:noProof/>
          </w:rPr>
          <w:fldChar w:fldCharType="end"/>
        </w:r>
        <w:r>
          <w:rPr>
            <w:b/>
          </w:rPr>
          <w:t xml:space="preserve"> | </w:t>
        </w:r>
        <w:r>
          <w:rPr>
            <w:b/>
          </w:rPr>
          <w:tab/>
        </w:r>
        <w:r w:rsidRPr="00DB4C93">
          <w:rPr>
            <w:b/>
            <w:color w:val="1A1A1A" w:themeColor="text1" w:themeShade="80"/>
          </w:rPr>
          <w:t>Regulatory impact statement proposed Building Regulations 2017</w:t>
        </w:r>
      </w:p>
      <w:p w:rsidR="00011DF3" w:rsidRDefault="00011DF3" w:rsidP="00011DF3">
        <w:pPr>
          <w:pStyle w:val="Footer"/>
          <w:pBdr>
            <w:top w:val="single" w:sz="4" w:space="1" w:color="D9D9D9" w:themeColor="background1" w:themeShade="D9"/>
          </w:pBdr>
          <w:ind w:firstLine="567"/>
          <w:rPr>
            <w:b/>
          </w:rPr>
        </w:pPr>
        <w:r w:rsidRPr="00DB4C93">
          <w:rPr>
            <w:rStyle w:val="Bold"/>
            <w:b w:val="0"/>
            <w:color w:val="1A1A1A" w:themeColor="text1" w:themeShade="80"/>
          </w:rPr>
          <w:t xml:space="preserve">Part </w:t>
        </w:r>
        <w:r>
          <w:rPr>
            <w:rStyle w:val="Bold"/>
            <w:b w:val="0"/>
            <w:color w:val="1A1A1A" w:themeColor="text1" w:themeShade="80"/>
          </w:rPr>
          <w:t xml:space="preserve">C: Building practitioner registration </w:t>
        </w:r>
      </w:p>
    </w:sdtContent>
  </w:sdt>
  <w:p w:rsidR="00011DF3" w:rsidRDefault="00011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F3" w:rsidRDefault="00011DF3" w:rsidP="00011DF3">
      <w:pPr>
        <w:pStyle w:val="FootnoteSeparator"/>
        <w:spacing w:before="200" w:after="80" w:line="240" w:lineRule="auto"/>
      </w:pPr>
    </w:p>
  </w:footnote>
  <w:footnote w:type="continuationSeparator" w:id="0">
    <w:p w:rsidR="00011DF3" w:rsidRDefault="00011DF3" w:rsidP="00011DF3">
      <w:pPr>
        <w:pStyle w:val="FootnoteSeparator"/>
        <w:spacing w:before="0"/>
      </w:pPr>
    </w:p>
    <w:p w:rsidR="00011DF3" w:rsidRPr="00011DF3" w:rsidRDefault="00011DF3" w:rsidP="00011DF3">
      <w:pPr>
        <w:spacing w:after="0" w:line="240" w:lineRule="auto"/>
        <w:rPr>
          <w:sz w:val="8"/>
        </w:rPr>
      </w:pPr>
    </w:p>
  </w:footnote>
  <w:footnote w:type="continuationNotice" w:id="1">
    <w:p w:rsidR="00011DF3" w:rsidRPr="00011DF3" w:rsidRDefault="00011DF3" w:rsidP="00011DF3">
      <w:pPr>
        <w:spacing w:after="80" w:line="240" w:lineRule="auto"/>
        <w:rPr>
          <w:sz w:val="16"/>
        </w:rPr>
      </w:pPr>
    </w:p>
  </w:footnote>
  <w:footnote w:id="2">
    <w:p w:rsidR="00011DF3" w:rsidRPr="00053B19" w:rsidRDefault="00011DF3" w:rsidP="003A7FBC">
      <w:pPr>
        <w:pStyle w:val="FootnoteText"/>
        <w:ind w:left="0" w:firstLine="0"/>
        <w:rPr>
          <w:sz w:val="18"/>
          <w:lang w:val="en-US"/>
        </w:rPr>
      </w:pPr>
      <w:r w:rsidRPr="00053B19">
        <w:rPr>
          <w:rStyle w:val="FootnoteReference"/>
          <w:sz w:val="18"/>
        </w:rPr>
        <w:footnoteRef/>
      </w:r>
      <w:r w:rsidRPr="00053B19">
        <w:rPr>
          <w:sz w:val="18"/>
        </w:rPr>
        <w:t xml:space="preserve"> </w:t>
      </w:r>
      <w:r w:rsidRPr="00D3125B">
        <w:t xml:space="preserve">In this report, ‘detrimental incidents’ means one of a range of problems experienced by consumers when engaging professionals to undertake home building, renovations, repairs or maintenance. The problems reported include poor workmanship, poor customer service, faulty or unsafe products, delays in having defects repaired or replaced, false or misleading information, </w:t>
      </w:r>
      <w:proofErr w:type="spellStart"/>
      <w:r w:rsidRPr="00D3125B">
        <w:t>nondelivery</w:t>
      </w:r>
      <w:proofErr w:type="spellEnd"/>
      <w:r w:rsidRPr="00D3125B">
        <w:t xml:space="preserve"> of a service, unclear or unfair terms or price, and scams. The measure used to determine the break-even points is the cost to the consumer in terms of either direct loss or costs of rectifying the problem. It includes the time spent by the consumer in dealing with the problem.</w:t>
      </w:r>
    </w:p>
  </w:footnote>
  <w:footnote w:id="3">
    <w:p w:rsidR="00011DF3" w:rsidRPr="003810A3" w:rsidRDefault="00011DF3" w:rsidP="003A7FBC">
      <w:pPr>
        <w:pStyle w:val="FootnoteText"/>
        <w:rPr>
          <w:sz w:val="18"/>
          <w:szCs w:val="18"/>
        </w:rPr>
      </w:pPr>
      <w:r w:rsidRPr="003810A3">
        <w:rPr>
          <w:rStyle w:val="FootnoteReference"/>
          <w:sz w:val="18"/>
          <w:szCs w:val="18"/>
        </w:rPr>
        <w:footnoteRef/>
      </w:r>
      <w:r w:rsidRPr="003810A3">
        <w:rPr>
          <w:sz w:val="18"/>
          <w:szCs w:val="18"/>
        </w:rPr>
        <w:t xml:space="preserve"> </w:t>
      </w:r>
      <w:r w:rsidRPr="00011DF3">
        <w:t>S 3(1) of the Act.</w:t>
      </w:r>
    </w:p>
  </w:footnote>
  <w:footnote w:id="4">
    <w:p w:rsidR="00011DF3" w:rsidRDefault="00011DF3" w:rsidP="00011DF3">
      <w:pPr>
        <w:pStyle w:val="FootnoteText"/>
      </w:pPr>
      <w:r>
        <w:rPr>
          <w:rStyle w:val="FootnoteReference"/>
        </w:rPr>
        <w:footnoteRef/>
      </w:r>
      <w:r>
        <w:t xml:space="preserve"> </w:t>
      </w:r>
      <w:r>
        <w:tab/>
        <w:t xml:space="preserve">CAV (2015) Building disputes, defects and delays. Available at </w:t>
      </w:r>
      <w:hyperlink r:id="rId1" w:history="1">
        <w:r w:rsidRPr="00D93EBD">
          <w:rPr>
            <w:rStyle w:val="Hyperlink"/>
          </w:rPr>
          <w:t>http://www.consumer.vic.gov.au/housing-and-accommodation/building-and-renovating/defects-delays-and-insolvency/disputes-defects-and-delays</w:t>
        </w:r>
      </w:hyperlink>
      <w:r>
        <w:t>.</w:t>
      </w:r>
    </w:p>
  </w:footnote>
  <w:footnote w:id="5">
    <w:p w:rsidR="00011DF3" w:rsidRDefault="00011DF3" w:rsidP="003A7FBC">
      <w:pPr>
        <w:pStyle w:val="FootnoteText"/>
      </w:pPr>
      <w:r>
        <w:rPr>
          <w:rStyle w:val="FootnoteReference"/>
        </w:rPr>
        <w:footnoteRef/>
      </w:r>
      <w:r>
        <w:t xml:space="preserve"> </w:t>
      </w:r>
      <w:r>
        <w:tab/>
      </w:r>
      <w:r w:rsidRPr="002C423F">
        <w:t xml:space="preserve">Victorian Auditor General Office (2015), Victoria’s Consumer Protection Framework for Building Construction. Available at: </w:t>
      </w:r>
      <w:hyperlink r:id="rId2" w:history="1">
        <w:r w:rsidRPr="002C423F">
          <w:rPr>
            <w:rStyle w:val="Hyperlink"/>
          </w:rPr>
          <w:t>http://www.audit.vic.gov.au</w:t>
        </w:r>
      </w:hyperlink>
    </w:p>
  </w:footnote>
  <w:footnote w:id="6">
    <w:p w:rsidR="00011DF3" w:rsidRDefault="00011DF3" w:rsidP="003A7FBC">
      <w:pPr>
        <w:pStyle w:val="FootnoteText"/>
      </w:pPr>
      <w:r>
        <w:rPr>
          <w:rStyle w:val="FootnoteReference"/>
        </w:rPr>
        <w:footnoteRef/>
      </w:r>
      <w:r>
        <w:t xml:space="preserve"> </w:t>
      </w:r>
      <w:r>
        <w:tab/>
        <w:t>VBA</w:t>
      </w:r>
      <w:r w:rsidRPr="003E0E31">
        <w:t xml:space="preserve"> (2015) Complaints process. Available</w:t>
      </w:r>
      <w:r>
        <w:t xml:space="preserve"> </w:t>
      </w:r>
      <w:hyperlink r:id="rId3" w:history="1">
        <w:r w:rsidRPr="003E0E31">
          <w:rPr>
            <w:rStyle w:val="Hyperlink"/>
          </w:rPr>
          <w:t>http://www.vba.vic.gov.au/disputes-and-resolutions/complaints/building</w:t>
        </w:r>
      </w:hyperlink>
    </w:p>
  </w:footnote>
  <w:footnote w:id="7">
    <w:p w:rsidR="00011DF3" w:rsidRDefault="00011DF3" w:rsidP="003A7FBC">
      <w:pPr>
        <w:pStyle w:val="FootnoteText"/>
      </w:pPr>
      <w:r>
        <w:rPr>
          <w:rStyle w:val="FootnoteReference"/>
        </w:rPr>
        <w:footnoteRef/>
      </w:r>
      <w:r>
        <w:t xml:space="preserve"> </w:t>
      </w:r>
      <w:r>
        <w:tab/>
        <w:t>VBA</w:t>
      </w:r>
      <w:r w:rsidRPr="003E0E31">
        <w:t xml:space="preserve"> five-year metrics 2011-16, available at: http://www.vba.vic.gov.au/about/annual-reports</w:t>
      </w:r>
    </w:p>
  </w:footnote>
  <w:footnote w:id="8">
    <w:p w:rsidR="00011DF3" w:rsidRDefault="00011DF3" w:rsidP="003A7FBC">
      <w:pPr>
        <w:pStyle w:val="FootnoteText"/>
      </w:pPr>
      <w:r>
        <w:rPr>
          <w:rStyle w:val="FootnoteReference"/>
        </w:rPr>
        <w:footnoteRef/>
      </w:r>
      <w:r>
        <w:t xml:space="preserve"> </w:t>
      </w:r>
      <w:r>
        <w:tab/>
        <w:t>VBA</w:t>
      </w:r>
      <w:r w:rsidRPr="003E0E31">
        <w:t xml:space="preserve"> (2015) Practitioner Disciplinary Register. Available at http://www.vba.vic.gov.au/disputes-and-resolutions/practitioner-disciplinary-register</w:t>
      </w:r>
    </w:p>
  </w:footnote>
  <w:footnote w:id="9">
    <w:p w:rsidR="00011DF3" w:rsidRDefault="00011DF3" w:rsidP="003A7FBC">
      <w:pPr>
        <w:pStyle w:val="FootnoteText"/>
      </w:pPr>
      <w:r>
        <w:rPr>
          <w:rStyle w:val="FootnoteReference"/>
        </w:rPr>
        <w:footnoteRef/>
      </w:r>
      <w:r>
        <w:t xml:space="preserve"> </w:t>
      </w:r>
      <w:r>
        <w:tab/>
        <w:t>Information supplied by VBA.</w:t>
      </w:r>
    </w:p>
  </w:footnote>
  <w:footnote w:id="10">
    <w:p w:rsidR="00011DF3" w:rsidRDefault="00011DF3" w:rsidP="003A7FBC">
      <w:pPr>
        <w:pStyle w:val="FootnoteText"/>
      </w:pPr>
      <w:r>
        <w:rPr>
          <w:rStyle w:val="FootnoteReference"/>
        </w:rPr>
        <w:footnoteRef/>
      </w:r>
      <w:r>
        <w:t xml:space="preserve"> </w:t>
      </w:r>
      <w:r>
        <w:tab/>
      </w:r>
      <w:r w:rsidRPr="005258FC">
        <w:t xml:space="preserve">Information supplied by </w:t>
      </w:r>
      <w:r>
        <w:t>VBA.</w:t>
      </w:r>
    </w:p>
  </w:footnote>
  <w:footnote w:id="11">
    <w:p w:rsidR="00011DF3" w:rsidRDefault="00011DF3" w:rsidP="003A7FBC">
      <w:pPr>
        <w:pStyle w:val="FootnoteText"/>
      </w:pPr>
      <w:r>
        <w:rPr>
          <w:rStyle w:val="FootnoteReference"/>
        </w:rPr>
        <w:footnoteRef/>
      </w:r>
      <w:r>
        <w:t xml:space="preserve"> </w:t>
      </w:r>
      <w:r>
        <w:tab/>
        <w:t>Information supplied by VBA.</w:t>
      </w:r>
    </w:p>
  </w:footnote>
  <w:footnote w:id="12">
    <w:p w:rsidR="00011DF3" w:rsidRDefault="00011DF3" w:rsidP="003A7FBC">
      <w:pPr>
        <w:pStyle w:val="FootnoteText"/>
      </w:pPr>
      <w:r>
        <w:rPr>
          <w:rStyle w:val="FootnoteReference"/>
        </w:rPr>
        <w:footnoteRef/>
      </w:r>
      <w:r>
        <w:t xml:space="preserve"> </w:t>
      </w:r>
      <w:r>
        <w:tab/>
        <w:t xml:space="preserve">Australian Consumer Survey 2016, The Treasury, on behalf of Consumer Affairs Australia and New Zealand, (EY Sweeney Ref No. 25364) – 18th May 2016, </w:t>
      </w:r>
      <w:hyperlink r:id="rId4" w:history="1">
        <w:r w:rsidRPr="00D57B42">
          <w:rPr>
            <w:rStyle w:val="Hyperlink"/>
          </w:rPr>
          <w:t>http://consumerlaw.gov.au/files/2016/05/ACL-Consumer-Survey-2016.pdf</w:t>
        </w:r>
      </w:hyperlink>
      <w:r>
        <w:t>.</w:t>
      </w:r>
    </w:p>
  </w:footnote>
  <w:footnote w:id="13">
    <w:p w:rsidR="00011DF3" w:rsidRDefault="00011DF3" w:rsidP="003A7FBC">
      <w:pPr>
        <w:pStyle w:val="FootnoteText"/>
      </w:pPr>
      <w:r>
        <w:rPr>
          <w:rStyle w:val="FootnoteReference"/>
        </w:rPr>
        <w:footnoteRef/>
      </w:r>
      <w:r>
        <w:t xml:space="preserve"> </w:t>
      </w:r>
      <w:r>
        <w:tab/>
        <w:t>Figure 23 on page 39.</w:t>
      </w:r>
    </w:p>
  </w:footnote>
  <w:footnote w:id="14">
    <w:p w:rsidR="00011DF3" w:rsidRDefault="00011DF3" w:rsidP="003A7FBC">
      <w:pPr>
        <w:pStyle w:val="FootnoteText"/>
      </w:pPr>
      <w:r>
        <w:rPr>
          <w:rStyle w:val="FootnoteReference"/>
        </w:rPr>
        <w:footnoteRef/>
      </w:r>
      <w:r>
        <w:t xml:space="preserve"> </w:t>
      </w:r>
      <w:r>
        <w:tab/>
        <w:t>See page 59 of the report and figure 49 on page 59 of the Australian Consumer Survey 2016.</w:t>
      </w:r>
    </w:p>
  </w:footnote>
  <w:footnote w:id="15">
    <w:p w:rsidR="00011DF3" w:rsidRDefault="00011DF3" w:rsidP="003A7FBC">
      <w:pPr>
        <w:pStyle w:val="FootnoteText"/>
      </w:pPr>
      <w:r>
        <w:rPr>
          <w:rStyle w:val="FootnoteReference"/>
        </w:rPr>
        <w:footnoteRef/>
      </w:r>
      <w:r>
        <w:t xml:space="preserve"> </w:t>
      </w:r>
      <w:r>
        <w:tab/>
        <w:t>See Table 17 on page 109 of the Australian Consumer Survey 2016.</w:t>
      </w:r>
    </w:p>
  </w:footnote>
  <w:footnote w:id="16">
    <w:p w:rsidR="00011DF3" w:rsidRDefault="00011DF3" w:rsidP="003A7FBC">
      <w:pPr>
        <w:pStyle w:val="FootnoteText"/>
      </w:pPr>
      <w:r>
        <w:rPr>
          <w:rStyle w:val="FootnoteReference"/>
        </w:rPr>
        <w:footnoteRef/>
      </w:r>
      <w:r>
        <w:t xml:space="preserve"> </w:t>
      </w:r>
      <w:r>
        <w:tab/>
        <w:t xml:space="preserve">17% x </w:t>
      </w:r>
      <w:r>
        <w:rPr>
          <w:iCs/>
        </w:rPr>
        <w:t>90,670 domestic building permits issued.</w:t>
      </w:r>
    </w:p>
  </w:footnote>
  <w:footnote w:id="17">
    <w:p w:rsidR="00011DF3" w:rsidRDefault="00011DF3" w:rsidP="003A7FBC">
      <w:pPr>
        <w:pStyle w:val="FootnoteText"/>
      </w:pPr>
      <w:r>
        <w:rPr>
          <w:rStyle w:val="FootnoteReference"/>
        </w:rPr>
        <w:footnoteRef/>
      </w:r>
      <w:r>
        <w:t xml:space="preserve"> </w:t>
      </w:r>
      <w:r>
        <w:tab/>
        <w:t>15,405.4 x $1,321.02.</w:t>
      </w:r>
    </w:p>
  </w:footnote>
  <w:footnote w:id="18">
    <w:p w:rsidR="00011DF3" w:rsidRDefault="00011DF3" w:rsidP="003A7FBC">
      <w:pPr>
        <w:pStyle w:val="FootnoteText"/>
      </w:pPr>
      <w:r>
        <w:rPr>
          <w:rStyle w:val="FootnoteReference"/>
        </w:rPr>
        <w:footnoteRef/>
      </w:r>
      <w:r>
        <w:t xml:space="preserve"> </w:t>
      </w:r>
      <w:r>
        <w:tab/>
        <w:t>Information supplied by VBA.</w:t>
      </w:r>
    </w:p>
  </w:footnote>
  <w:footnote w:id="19">
    <w:p w:rsidR="00011DF3" w:rsidRDefault="00011DF3" w:rsidP="003A7FBC">
      <w:pPr>
        <w:pStyle w:val="FootnoteText"/>
      </w:pPr>
      <w:r>
        <w:rPr>
          <w:rStyle w:val="FootnoteReference"/>
        </w:rPr>
        <w:footnoteRef/>
      </w:r>
      <w:r>
        <w:t xml:space="preserve"> </w:t>
      </w:r>
      <w:r>
        <w:tab/>
        <w:t>Information supplied by VBA.</w:t>
      </w:r>
    </w:p>
  </w:footnote>
  <w:footnote w:id="20">
    <w:p w:rsidR="00011DF3" w:rsidRDefault="00011DF3" w:rsidP="003A7FBC">
      <w:pPr>
        <w:pStyle w:val="FootnoteText"/>
      </w:pPr>
      <w:r>
        <w:rPr>
          <w:rStyle w:val="FootnoteReference"/>
        </w:rPr>
        <w:footnoteRef/>
      </w:r>
      <w:r>
        <w:t xml:space="preserve"> </w:t>
      </w:r>
      <w:r>
        <w:tab/>
        <w:t>Information supplied by VBA.</w:t>
      </w:r>
    </w:p>
  </w:footnote>
  <w:footnote w:id="21">
    <w:p w:rsidR="00011DF3" w:rsidRDefault="00011DF3" w:rsidP="003A7FBC">
      <w:pPr>
        <w:pStyle w:val="FootnoteText"/>
      </w:pPr>
      <w:r>
        <w:rPr>
          <w:rStyle w:val="FootnoteReference"/>
        </w:rPr>
        <w:footnoteRef/>
      </w:r>
      <w:r>
        <w:t xml:space="preserve"> </w:t>
      </w:r>
      <w:r>
        <w:tab/>
        <w:t>Information supplied by VBA.</w:t>
      </w:r>
    </w:p>
  </w:footnote>
  <w:footnote w:id="22">
    <w:p w:rsidR="00011DF3" w:rsidRDefault="00011DF3" w:rsidP="003A7FBC">
      <w:pPr>
        <w:pStyle w:val="FootnoteText"/>
      </w:pPr>
      <w:r>
        <w:rPr>
          <w:rStyle w:val="FootnoteReference"/>
        </w:rPr>
        <w:footnoteRef/>
      </w:r>
      <w:r>
        <w:t xml:space="preserve"> </w:t>
      </w:r>
      <w:r>
        <w:tab/>
      </w:r>
      <w:r w:rsidRPr="00BF0D81">
        <w:t>Compliance with Building Permits</w:t>
      </w:r>
      <w:r>
        <w:t>,</w:t>
      </w:r>
      <w:r w:rsidRPr="00BF0D81">
        <w:t xml:space="preserve"> </w:t>
      </w:r>
      <w:r>
        <w:t>VAGO r</w:t>
      </w:r>
      <w:r w:rsidRPr="00BF0D81">
        <w:t>eport</w:t>
      </w:r>
      <w:r>
        <w:t>, December 2011 at page 21.</w:t>
      </w:r>
    </w:p>
  </w:footnote>
  <w:footnote w:id="23">
    <w:p w:rsidR="00011DF3" w:rsidRDefault="00011DF3" w:rsidP="003A7FBC">
      <w:pPr>
        <w:pStyle w:val="FootnoteText"/>
      </w:pPr>
      <w:r>
        <w:rPr>
          <w:rStyle w:val="FootnoteReference"/>
        </w:rPr>
        <w:footnoteRef/>
      </w:r>
      <w:r>
        <w:t xml:space="preserve"> </w:t>
      </w:r>
      <w:r>
        <w:tab/>
        <w:t>Information supplied by VBA.</w:t>
      </w:r>
    </w:p>
  </w:footnote>
  <w:footnote w:id="24">
    <w:p w:rsidR="00011DF3" w:rsidRPr="00993FA7" w:rsidRDefault="00011DF3" w:rsidP="003A7FBC">
      <w:pPr>
        <w:pStyle w:val="FootnoteText"/>
        <w:rPr>
          <w:rFonts w:cs="Times New Roman"/>
          <w:sz w:val="18"/>
          <w:szCs w:val="18"/>
        </w:rPr>
      </w:pPr>
      <w:r>
        <w:rPr>
          <w:rStyle w:val="FootnoteReference"/>
        </w:rPr>
        <w:footnoteRef/>
      </w:r>
      <w:r>
        <w:t xml:space="preserve"> </w:t>
      </w:r>
      <w:r>
        <w:tab/>
      </w:r>
      <w:r w:rsidRPr="00011DF3">
        <w:t>The practitioners consulted were 7 domestic builders (including both small and large scale builders), 5 commercial builders, 3 building surveyors, 2 building inspectors, 1 engineer, 1 building design and 1 erector/demolisher.</w:t>
      </w:r>
    </w:p>
  </w:footnote>
  <w:footnote w:id="25">
    <w:p w:rsidR="00011DF3" w:rsidRDefault="00011DF3" w:rsidP="003A7FBC">
      <w:pPr>
        <w:pStyle w:val="FootnoteText"/>
      </w:pPr>
      <w:r>
        <w:rPr>
          <w:rStyle w:val="FootnoteReference"/>
        </w:rPr>
        <w:footnoteRef/>
      </w:r>
      <w:r>
        <w:t xml:space="preserve"> </w:t>
      </w:r>
      <w:r>
        <w:tab/>
      </w:r>
      <w:r w:rsidRPr="00011DF3">
        <w:rPr>
          <w:i/>
        </w:rPr>
        <w:t>Hughes and Vale Pty Ltd v New South Wales</w:t>
      </w:r>
      <w:r w:rsidRPr="00011DF3">
        <w:t xml:space="preserve"> (No 2) [(1955) [1955] HCA 28; 93 CLR 127 at 156-157 – ‘Fit’ means ‘honesty, knowledge and ability’. </w:t>
      </w:r>
      <w:proofErr w:type="spellStart"/>
      <w:r w:rsidRPr="00011DF3">
        <w:rPr>
          <w:i/>
        </w:rPr>
        <w:t>Sobey</w:t>
      </w:r>
      <w:proofErr w:type="spellEnd"/>
      <w:r w:rsidRPr="00011DF3">
        <w:rPr>
          <w:i/>
        </w:rPr>
        <w:t xml:space="preserve"> v Commercial and Private Agents Board</w:t>
      </w:r>
      <w:r w:rsidRPr="00011DF3">
        <w:t xml:space="preserve"> [(1979) 22 SASR 70 at 76] – Fit and proper person requires an applicant to show he is possessed of a requisite knowledge of the duties and responsibilities devolving upon him as the holder of the particular licence under the Act.</w:t>
      </w:r>
    </w:p>
  </w:footnote>
  <w:footnote w:id="26">
    <w:p w:rsidR="00011DF3" w:rsidRPr="003810A3" w:rsidRDefault="00011DF3" w:rsidP="003A7FBC">
      <w:pPr>
        <w:pStyle w:val="FootnoteText"/>
        <w:rPr>
          <w:rFonts w:cs="Times New Roman"/>
          <w:sz w:val="18"/>
          <w:szCs w:val="18"/>
          <w:lang w:val="en-US"/>
        </w:rPr>
      </w:pPr>
      <w:r w:rsidRPr="003810A3">
        <w:rPr>
          <w:rStyle w:val="FootnoteReference"/>
          <w:rFonts w:cs="Times New Roman"/>
          <w:sz w:val="18"/>
          <w:szCs w:val="18"/>
        </w:rPr>
        <w:footnoteRef/>
      </w:r>
      <w:r w:rsidRPr="003810A3">
        <w:rPr>
          <w:rFonts w:cs="Times New Roman"/>
          <w:sz w:val="18"/>
          <w:szCs w:val="18"/>
        </w:rPr>
        <w:t xml:space="preserve"> </w:t>
      </w:r>
      <w:r>
        <w:rPr>
          <w:rFonts w:cs="Times New Roman"/>
          <w:sz w:val="18"/>
          <w:szCs w:val="18"/>
        </w:rPr>
        <w:tab/>
      </w:r>
      <w:r w:rsidRPr="00011DF3">
        <w:t>This value of time uses the Average Weekly Ordinary Times Earnings for Victorian, seasonally adjusted as at May 2016 (ABS), over a 38</w:t>
      </w:r>
      <w:r>
        <w:t>-</w:t>
      </w:r>
      <w:r w:rsidRPr="00011DF3">
        <w:t>hour week.</w:t>
      </w:r>
    </w:p>
  </w:footnote>
  <w:footnote w:id="27">
    <w:p w:rsidR="00011DF3" w:rsidRPr="005258FC" w:rsidRDefault="00011DF3" w:rsidP="006C108D">
      <w:pPr>
        <w:pStyle w:val="FootnoteText"/>
      </w:pPr>
      <w:r>
        <w:rPr>
          <w:rStyle w:val="FootnoteReference"/>
        </w:rPr>
        <w:footnoteRef/>
      </w:r>
      <w:r>
        <w:t xml:space="preserve"> </w:t>
      </w:r>
      <w:r>
        <w:tab/>
      </w:r>
      <w:r w:rsidRPr="00011DF3">
        <w:t>10-year NPV assumed a growth in the number of registered practitioners of 2.5% a year over the next 10 years, discounted at a real discount rate of 4%.</w:t>
      </w:r>
    </w:p>
  </w:footnote>
  <w:footnote w:id="28">
    <w:p w:rsidR="00011DF3" w:rsidRPr="003810A3" w:rsidRDefault="00011DF3" w:rsidP="003A7FBC">
      <w:pPr>
        <w:pStyle w:val="FootnoteText"/>
        <w:rPr>
          <w:rFonts w:cs="Times New Roman"/>
          <w:sz w:val="18"/>
          <w:szCs w:val="18"/>
          <w:lang w:val="en-US"/>
        </w:rPr>
      </w:pPr>
      <w:r w:rsidRPr="003810A3">
        <w:rPr>
          <w:rStyle w:val="FootnoteReference"/>
          <w:rFonts w:cs="Times New Roman"/>
          <w:sz w:val="18"/>
          <w:szCs w:val="18"/>
        </w:rPr>
        <w:footnoteRef/>
      </w:r>
      <w:r w:rsidRPr="003810A3">
        <w:rPr>
          <w:rFonts w:cs="Times New Roman"/>
          <w:sz w:val="18"/>
          <w:szCs w:val="18"/>
        </w:rPr>
        <w:t xml:space="preserve"> </w:t>
      </w:r>
      <w:r>
        <w:rPr>
          <w:rFonts w:cs="Times New Roman"/>
          <w:sz w:val="18"/>
          <w:szCs w:val="18"/>
        </w:rPr>
        <w:tab/>
      </w:r>
      <w:r w:rsidRPr="00D3125B">
        <w:t>Indeed, it is expected that most practitioners would only undertake the qualifications and experience to become registered if they believed they would recover those associated costs through higher lifetime earnings, which would only occur in practice where the market was prepared to reward that increased competency through increased prices. Therefore, there is an inherent tendency towards an optimal number of practitioners, provided the market has sufficient confidence in the registration process.</w:t>
      </w:r>
    </w:p>
  </w:footnote>
  <w:footnote w:id="29">
    <w:p w:rsidR="00011DF3" w:rsidRPr="00C90F21" w:rsidRDefault="00011DF3" w:rsidP="003A7FBC">
      <w:pPr>
        <w:pStyle w:val="FootnoteText"/>
        <w:rPr>
          <w:rFonts w:cs="Times New Roman"/>
          <w:sz w:val="18"/>
          <w:szCs w:val="18"/>
          <w:lang w:val="en-US"/>
        </w:rPr>
      </w:pPr>
      <w:r w:rsidRPr="00C90F21">
        <w:rPr>
          <w:rStyle w:val="FootnoteReference"/>
          <w:rFonts w:cs="Times New Roman"/>
          <w:sz w:val="18"/>
          <w:szCs w:val="18"/>
        </w:rPr>
        <w:footnoteRef/>
      </w:r>
      <w:r w:rsidRPr="00C90F21">
        <w:rPr>
          <w:rStyle w:val="FootnoteReference"/>
          <w:rFonts w:cs="Times New Roman"/>
          <w:sz w:val="18"/>
          <w:szCs w:val="18"/>
        </w:rPr>
        <w:t xml:space="preserve"> </w:t>
      </w:r>
      <w:r>
        <w:rPr>
          <w:rFonts w:cs="Times New Roman"/>
          <w:sz w:val="18"/>
          <w:szCs w:val="18"/>
        </w:rPr>
        <w:tab/>
      </w:r>
      <w:r w:rsidRPr="00D3125B">
        <w:t>Search time of 1 hour reflects the department’s estimate of time to request referee details from a prospective builder, contact up to three referees to inquire about the performance of the builder, and (in some cases) travel to and inspect previous work completed by a builder. This is an average across those consumers that do take active steps to find out about a builder’s past performance.</w:t>
      </w:r>
    </w:p>
  </w:footnote>
  <w:footnote w:id="30">
    <w:p w:rsidR="00011DF3" w:rsidRPr="003810A3" w:rsidRDefault="00011DF3" w:rsidP="003A7FBC">
      <w:pPr>
        <w:pStyle w:val="FootnoteText"/>
        <w:rPr>
          <w:rFonts w:cs="Times New Roman"/>
          <w:sz w:val="18"/>
          <w:szCs w:val="18"/>
          <w:lang w:val="en-US"/>
        </w:rPr>
      </w:pPr>
      <w:r w:rsidRPr="003810A3">
        <w:rPr>
          <w:rStyle w:val="FootnoteReference"/>
          <w:rFonts w:cs="Times New Roman"/>
          <w:sz w:val="18"/>
          <w:szCs w:val="18"/>
        </w:rPr>
        <w:footnoteRef/>
      </w:r>
      <w:r w:rsidRPr="003810A3">
        <w:rPr>
          <w:rFonts w:cs="Times New Roman"/>
          <w:sz w:val="18"/>
          <w:szCs w:val="18"/>
        </w:rPr>
        <w:t xml:space="preserve"> </w:t>
      </w:r>
      <w:r>
        <w:rPr>
          <w:rFonts w:cs="Times New Roman"/>
          <w:sz w:val="18"/>
          <w:szCs w:val="18"/>
        </w:rPr>
        <w:tab/>
      </w:r>
      <w:r w:rsidRPr="00D3125B">
        <w:rPr>
          <w:i/>
        </w:rPr>
        <w:t>Consumer Detriment in Victoria: a survey of its costs, nature and implications.</w:t>
      </w:r>
    </w:p>
  </w:footnote>
  <w:footnote w:id="31">
    <w:p w:rsidR="00011DF3" w:rsidRPr="003810A3" w:rsidRDefault="00011DF3" w:rsidP="003A7FBC">
      <w:pPr>
        <w:pStyle w:val="FootnoteText"/>
        <w:rPr>
          <w:rFonts w:cs="Times New Roman"/>
          <w:sz w:val="18"/>
          <w:szCs w:val="18"/>
          <w:lang w:val="en-US"/>
        </w:rPr>
      </w:pPr>
      <w:r w:rsidRPr="003810A3">
        <w:rPr>
          <w:rStyle w:val="FootnoteReference"/>
          <w:rFonts w:cs="Times New Roman"/>
          <w:sz w:val="18"/>
          <w:szCs w:val="18"/>
        </w:rPr>
        <w:footnoteRef/>
      </w:r>
      <w:r w:rsidRPr="003810A3">
        <w:rPr>
          <w:rFonts w:cs="Times New Roman"/>
          <w:sz w:val="18"/>
          <w:szCs w:val="18"/>
        </w:rPr>
        <w:t xml:space="preserve"> </w:t>
      </w:r>
      <w:r>
        <w:rPr>
          <w:rFonts w:cs="Times New Roman"/>
          <w:sz w:val="18"/>
          <w:szCs w:val="18"/>
        </w:rPr>
        <w:tab/>
      </w:r>
      <w:r w:rsidRPr="00D3125B">
        <w:t>Australian Consumer Survey, published by Commonwealth Treasury, May 2016.</w:t>
      </w:r>
    </w:p>
  </w:footnote>
  <w:footnote w:id="32">
    <w:p w:rsidR="00011DF3" w:rsidRPr="003810A3" w:rsidRDefault="00011DF3" w:rsidP="003A7FBC">
      <w:pPr>
        <w:pStyle w:val="FootnoteText"/>
        <w:rPr>
          <w:rFonts w:cs="Times New Roman"/>
          <w:sz w:val="18"/>
          <w:szCs w:val="18"/>
          <w:lang w:val="en-US"/>
        </w:rPr>
      </w:pPr>
      <w:r w:rsidRPr="003810A3">
        <w:rPr>
          <w:rStyle w:val="FootnoteReference"/>
          <w:rFonts w:cs="Times New Roman"/>
          <w:sz w:val="18"/>
          <w:szCs w:val="18"/>
        </w:rPr>
        <w:footnoteRef/>
      </w:r>
      <w:r w:rsidRPr="003810A3">
        <w:rPr>
          <w:rFonts w:cs="Times New Roman"/>
          <w:sz w:val="18"/>
          <w:szCs w:val="18"/>
        </w:rPr>
        <w:t xml:space="preserve"> </w:t>
      </w:r>
      <w:r>
        <w:rPr>
          <w:rFonts w:cs="Times New Roman"/>
          <w:sz w:val="18"/>
          <w:szCs w:val="18"/>
        </w:rPr>
        <w:tab/>
      </w:r>
      <w:r w:rsidRPr="00011DF3">
        <w:t>This is based on the time needed to read and answer each question. Discussions with a sample of practitioners confirmed this as reasonable, although several practitioners suggested that where they are familiar with the information requested, it would take only about 1 minute to answer ‘no’ down the list of questions.</w:t>
      </w:r>
    </w:p>
  </w:footnote>
  <w:footnote w:id="33">
    <w:p w:rsidR="00011DF3" w:rsidRPr="00011DF3" w:rsidRDefault="00011DF3" w:rsidP="003A7FBC">
      <w:pPr>
        <w:pStyle w:val="FootnoteText"/>
      </w:pPr>
      <w:r w:rsidRPr="003810A3">
        <w:rPr>
          <w:rStyle w:val="FootnoteReference"/>
          <w:rFonts w:cs="Times New Roman"/>
          <w:sz w:val="18"/>
          <w:szCs w:val="18"/>
        </w:rPr>
        <w:footnoteRef/>
      </w:r>
      <w:r w:rsidRPr="003810A3">
        <w:rPr>
          <w:rFonts w:cs="Times New Roman"/>
          <w:sz w:val="18"/>
          <w:szCs w:val="18"/>
        </w:rPr>
        <w:t xml:space="preserve"> </w:t>
      </w:r>
      <w:r>
        <w:rPr>
          <w:rFonts w:cs="Times New Roman"/>
          <w:sz w:val="18"/>
          <w:szCs w:val="18"/>
        </w:rPr>
        <w:tab/>
      </w:r>
      <w:r w:rsidRPr="00011DF3">
        <w:t>This value of time uses the Average Weekly Ordinary Times Earnings for full time adults, private sector, seasonally adjusted as at May 2016 (ABS), increased by 50% to account for average incomes of skilled building practitioners, over a 39.7-hour average week.</w:t>
      </w:r>
    </w:p>
  </w:footnote>
  <w:footnote w:id="34">
    <w:p w:rsidR="00011DF3" w:rsidRPr="003810A3" w:rsidRDefault="00011DF3" w:rsidP="003A7FBC">
      <w:pPr>
        <w:pStyle w:val="FootnoteText"/>
        <w:rPr>
          <w:rFonts w:cs="Times New Roman"/>
          <w:sz w:val="18"/>
          <w:szCs w:val="18"/>
          <w:lang w:val="en-US"/>
        </w:rPr>
      </w:pPr>
      <w:r w:rsidRPr="003810A3">
        <w:rPr>
          <w:rStyle w:val="FootnoteReference"/>
          <w:rFonts w:cs="Times New Roman"/>
          <w:sz w:val="18"/>
          <w:szCs w:val="18"/>
        </w:rPr>
        <w:footnoteRef/>
      </w:r>
      <w:r w:rsidRPr="003810A3">
        <w:rPr>
          <w:rFonts w:cs="Times New Roman"/>
          <w:sz w:val="18"/>
          <w:szCs w:val="18"/>
        </w:rPr>
        <w:t xml:space="preserve"> </w:t>
      </w:r>
      <w:r>
        <w:rPr>
          <w:rFonts w:cs="Times New Roman"/>
          <w:sz w:val="18"/>
          <w:szCs w:val="18"/>
        </w:rPr>
        <w:tab/>
      </w:r>
      <w:r w:rsidRPr="00011DF3">
        <w:t>The net figure includes new applications less an allowance for practitioners who may not renew (e.g., retirement, cancellation) as well as existing practitioners who apply to be registered in a different category.</w:t>
      </w:r>
    </w:p>
  </w:footnote>
  <w:footnote w:id="35">
    <w:p w:rsidR="00011DF3" w:rsidRPr="00BF1379" w:rsidRDefault="00011DF3" w:rsidP="003A7FBC">
      <w:pPr>
        <w:pStyle w:val="FootnoteText"/>
        <w:rPr>
          <w:sz w:val="18"/>
          <w:lang w:val="en-US"/>
        </w:rPr>
      </w:pPr>
      <w:r w:rsidRPr="00BF1379">
        <w:rPr>
          <w:rStyle w:val="FootnoteReference"/>
          <w:sz w:val="18"/>
        </w:rPr>
        <w:footnoteRef/>
      </w:r>
      <w:r w:rsidRPr="00BF1379">
        <w:rPr>
          <w:sz w:val="18"/>
        </w:rPr>
        <w:t xml:space="preserve"> </w:t>
      </w:r>
      <w:r>
        <w:rPr>
          <w:sz w:val="18"/>
        </w:rPr>
        <w:tab/>
      </w:r>
      <w:r w:rsidRPr="00011DF3">
        <w:t>These benefits are average over the life of the Regulations.</w:t>
      </w:r>
    </w:p>
  </w:footnote>
  <w:footnote w:id="36">
    <w:p w:rsidR="00011DF3" w:rsidRPr="003810A3" w:rsidRDefault="00011DF3" w:rsidP="003A7FBC">
      <w:pPr>
        <w:pStyle w:val="FootnoteText"/>
        <w:rPr>
          <w:sz w:val="18"/>
          <w:szCs w:val="18"/>
          <w:lang w:val="en-US"/>
        </w:rPr>
      </w:pPr>
      <w:r w:rsidRPr="003810A3">
        <w:rPr>
          <w:rStyle w:val="FootnoteReference"/>
          <w:sz w:val="18"/>
          <w:szCs w:val="18"/>
        </w:rPr>
        <w:footnoteRef/>
      </w:r>
      <w:r w:rsidRPr="003810A3">
        <w:rPr>
          <w:sz w:val="18"/>
          <w:szCs w:val="18"/>
        </w:rPr>
        <w:t xml:space="preserve"> </w:t>
      </w:r>
      <w:r>
        <w:rPr>
          <w:sz w:val="18"/>
          <w:szCs w:val="18"/>
        </w:rPr>
        <w:tab/>
      </w:r>
      <w:r w:rsidRPr="00011DF3">
        <w:t xml:space="preserve">See cases </w:t>
      </w:r>
      <w:r w:rsidRPr="00011DF3">
        <w:rPr>
          <w:i/>
        </w:rPr>
        <w:t>In re R: A practitioner of the Supreme Court; and Campbell v Dental Board of Victoria</w:t>
      </w:r>
      <w:r w:rsidRPr="00011DF3">
        <w:t>.</w:t>
      </w:r>
    </w:p>
  </w:footnote>
  <w:footnote w:id="37">
    <w:p w:rsidR="00011DF3" w:rsidRPr="003810A3" w:rsidRDefault="00011DF3" w:rsidP="003A7FBC">
      <w:pPr>
        <w:pStyle w:val="FootnoteText"/>
        <w:rPr>
          <w:rFonts w:cs="Times New Roman"/>
          <w:sz w:val="18"/>
          <w:szCs w:val="18"/>
          <w:lang w:val="en-US"/>
        </w:rPr>
      </w:pPr>
      <w:r w:rsidRPr="003810A3">
        <w:rPr>
          <w:rStyle w:val="FootnoteReference"/>
          <w:rFonts w:cs="Times New Roman"/>
          <w:sz w:val="18"/>
          <w:szCs w:val="18"/>
        </w:rPr>
        <w:footnoteRef/>
      </w:r>
      <w:r w:rsidRPr="003810A3">
        <w:rPr>
          <w:rFonts w:cs="Times New Roman"/>
          <w:sz w:val="18"/>
          <w:szCs w:val="18"/>
        </w:rPr>
        <w:t xml:space="preserve"> </w:t>
      </w:r>
      <w:r>
        <w:rPr>
          <w:rFonts w:cs="Times New Roman"/>
          <w:sz w:val="18"/>
          <w:szCs w:val="18"/>
        </w:rPr>
        <w:tab/>
      </w:r>
      <w:r w:rsidRPr="00011DF3">
        <w:t>An application for a building permit may be made to a private building surveyor or to a municipal building surveyor.</w:t>
      </w:r>
    </w:p>
  </w:footnote>
  <w:footnote w:id="38">
    <w:p w:rsidR="00011DF3" w:rsidRPr="006C647F" w:rsidRDefault="00011DF3" w:rsidP="003A7FBC">
      <w:pPr>
        <w:pStyle w:val="FootnoteText"/>
        <w:rPr>
          <w:sz w:val="18"/>
          <w:szCs w:val="18"/>
          <w:lang w:val="en-US"/>
        </w:rPr>
      </w:pPr>
      <w:r w:rsidRPr="006C647F">
        <w:rPr>
          <w:rStyle w:val="FootnoteReference"/>
          <w:sz w:val="18"/>
          <w:szCs w:val="18"/>
        </w:rPr>
        <w:footnoteRef/>
      </w:r>
      <w:r w:rsidRPr="006C647F">
        <w:rPr>
          <w:sz w:val="18"/>
          <w:szCs w:val="18"/>
        </w:rPr>
        <w:t xml:space="preserve"> </w:t>
      </w:r>
      <w:r>
        <w:rPr>
          <w:sz w:val="18"/>
          <w:szCs w:val="18"/>
        </w:rPr>
        <w:tab/>
      </w:r>
      <w:r w:rsidRPr="00011DF3">
        <w:t>Based on a sample of prices charged by five pharmacists in Melbourne CBD during August 2016.</w:t>
      </w:r>
    </w:p>
  </w:footnote>
  <w:footnote w:id="39">
    <w:p w:rsidR="00011DF3" w:rsidRPr="00202C55" w:rsidRDefault="00011DF3" w:rsidP="003A7FBC">
      <w:pPr>
        <w:pStyle w:val="FootnoteText"/>
        <w:rPr>
          <w:sz w:val="18"/>
          <w:szCs w:val="18"/>
          <w:lang w:val="en-US"/>
        </w:rPr>
      </w:pPr>
      <w:r w:rsidRPr="00202C55">
        <w:rPr>
          <w:rStyle w:val="FootnoteReference"/>
          <w:sz w:val="18"/>
          <w:szCs w:val="18"/>
        </w:rPr>
        <w:footnoteRef/>
      </w:r>
      <w:r w:rsidRPr="00202C55">
        <w:rPr>
          <w:sz w:val="18"/>
          <w:szCs w:val="18"/>
        </w:rPr>
        <w:t xml:space="preserve"> </w:t>
      </w:r>
      <w:r>
        <w:rPr>
          <w:sz w:val="18"/>
          <w:szCs w:val="18"/>
        </w:rPr>
        <w:tab/>
      </w:r>
      <w:r w:rsidRPr="00011DF3">
        <w:t>This assumes that the requirement only applies to new applications for registration. If a statutory declaration were required also for those renewing registrations every five years, the total cost would be $98,382 a year.</w:t>
      </w:r>
    </w:p>
  </w:footnote>
  <w:footnote w:id="40">
    <w:p w:rsidR="00011DF3" w:rsidRPr="003810A3" w:rsidRDefault="00011DF3" w:rsidP="003A7FBC">
      <w:pPr>
        <w:pStyle w:val="FootnoteText"/>
        <w:rPr>
          <w:rFonts w:cs="Times New Roman"/>
          <w:sz w:val="18"/>
          <w:szCs w:val="18"/>
          <w:lang w:val="en-US"/>
        </w:rPr>
      </w:pPr>
      <w:r w:rsidRPr="003810A3">
        <w:rPr>
          <w:rStyle w:val="FootnoteReference"/>
          <w:rFonts w:cs="Times New Roman"/>
          <w:sz w:val="18"/>
          <w:szCs w:val="18"/>
        </w:rPr>
        <w:footnoteRef/>
      </w:r>
      <w:r w:rsidRPr="003810A3">
        <w:rPr>
          <w:rFonts w:cs="Times New Roman"/>
          <w:sz w:val="18"/>
          <w:szCs w:val="18"/>
        </w:rPr>
        <w:t xml:space="preserve"> </w:t>
      </w:r>
      <w:r>
        <w:rPr>
          <w:rFonts w:cs="Times New Roman"/>
          <w:sz w:val="18"/>
          <w:szCs w:val="18"/>
        </w:rPr>
        <w:tab/>
      </w:r>
      <w:r w:rsidRPr="00011DF3">
        <w:rPr>
          <w:i/>
        </w:rPr>
        <w:t>Consumer Detriment in Victoria: a survey of its costs, nature and implications.</w:t>
      </w:r>
      <w:r w:rsidRPr="00011DF3">
        <w:t xml:space="preserve">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3" w:rsidRDefault="00011DF3" w:rsidP="009C64FA">
    <w:pPr>
      <w:pStyle w:val="Header"/>
    </w:pPr>
  </w:p>
  <w:p w:rsidR="00011DF3" w:rsidRPr="00393205" w:rsidRDefault="00011DF3" w:rsidP="00393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3" w:rsidRDefault="00011D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3" w:rsidRDefault="00011D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3" w:rsidRDefault="00011D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3" w:rsidRDefault="00011DF3" w:rsidP="009C64FA">
    <w:pPr>
      <w:pStyle w:val="Header"/>
    </w:pPr>
  </w:p>
  <w:p w:rsidR="00011DF3" w:rsidRPr="00393205" w:rsidRDefault="00011DF3" w:rsidP="003932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F3" w:rsidRPr="005E1E2B" w:rsidRDefault="00011DF3" w:rsidP="003A7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9EF"/>
    <w:multiLevelType w:val="hybridMultilevel"/>
    <w:tmpl w:val="9034B422"/>
    <w:lvl w:ilvl="0" w:tplc="E7041A5C">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433394F"/>
    <w:multiLevelType w:val="hybridMultilevel"/>
    <w:tmpl w:val="AA1A3D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nsid w:val="0686668D"/>
    <w:multiLevelType w:val="hybridMultilevel"/>
    <w:tmpl w:val="EBB296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6">
    <w:nsid w:val="08D86985"/>
    <w:multiLevelType w:val="hybridMultilevel"/>
    <w:tmpl w:val="A9DE42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nsid w:val="09F47AB3"/>
    <w:multiLevelType w:val="hybridMultilevel"/>
    <w:tmpl w:val="1256D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351215"/>
    <w:multiLevelType w:val="multilevel"/>
    <w:tmpl w:val="F7701110"/>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1">
    <w:nsid w:val="0CD90539"/>
    <w:multiLevelType w:val="multilevel"/>
    <w:tmpl w:val="FD9044F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E602EA9"/>
    <w:multiLevelType w:val="hybridMultilevel"/>
    <w:tmpl w:val="AD2CFEEA"/>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5">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9">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1">
    <w:nsid w:val="206049CB"/>
    <w:multiLevelType w:val="hybridMultilevel"/>
    <w:tmpl w:val="79F4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83947C2"/>
    <w:multiLevelType w:val="multilevel"/>
    <w:tmpl w:val="50B20D3A"/>
    <w:numStyleLink w:val="TableNumberedListSmall"/>
  </w:abstractNum>
  <w:abstractNum w:abstractNumId="23">
    <w:nsid w:val="29722702"/>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5">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6">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31B52E81"/>
    <w:multiLevelType w:val="multilevel"/>
    <w:tmpl w:val="173A89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5292FF5"/>
    <w:multiLevelType w:val="hybridMultilevel"/>
    <w:tmpl w:val="53F4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5960C1C"/>
    <w:multiLevelType w:val="hybridMultilevel"/>
    <w:tmpl w:val="77E631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nsid w:val="388A350A"/>
    <w:multiLevelType w:val="hybridMultilevel"/>
    <w:tmpl w:val="D7BE2B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AEC2681"/>
    <w:multiLevelType w:val="hybridMultilevel"/>
    <w:tmpl w:val="95D6D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E4F29E4"/>
    <w:multiLevelType w:val="multilevel"/>
    <w:tmpl w:val="0BD8A4F4"/>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38">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1">
    <w:nsid w:val="4AAB5470"/>
    <w:multiLevelType w:val="multilevel"/>
    <w:tmpl w:val="D4F45398"/>
    <w:lvl w:ilvl="0">
      <w:start w:val="1"/>
      <w:numFmt w:val="bullet"/>
      <w:lvlRestart w:val="0"/>
      <w:pStyle w:val="Dotpoin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8" w:hanging="284"/>
      </w:pPr>
      <w:rPr>
        <w:rFonts w:ascii="Arial" w:hAnsi="Arial"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42">
    <w:nsid w:val="4D545EC4"/>
    <w:multiLevelType w:val="multilevel"/>
    <w:tmpl w:val="874A822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3">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4">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45">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46">
    <w:nsid w:val="518C39C9"/>
    <w:multiLevelType w:val="multilevel"/>
    <w:tmpl w:val="D93463A2"/>
    <w:styleLink w:val="Style1"/>
    <w:lvl w:ilvl="0">
      <w:start w:val="1"/>
      <w:numFmt w:val="decimal"/>
      <w:lvlText w:val="%1"/>
      <w:lvlJc w:val="left"/>
      <w:pPr>
        <w:tabs>
          <w:tab w:val="num" w:pos="567"/>
        </w:tabs>
        <w:ind w:left="567" w:hanging="567"/>
      </w:pPr>
      <w:rPr>
        <w:rFonts w:hint="default"/>
      </w:rPr>
    </w:lvl>
    <w:lvl w:ilvl="1">
      <w:start w:val="1"/>
      <w:numFmt w:val="none"/>
      <w:suff w:val="nothing"/>
      <w:lvlText w:val=""/>
      <w:lvlJc w:val="left"/>
      <w:pPr>
        <w:ind w:left="0" w:firstLine="0"/>
      </w:pPr>
      <w:rPr>
        <w:rFonts w:hint="default"/>
      </w:rPr>
    </w:lvl>
    <w:lvl w:ilvl="2">
      <w:start w:val="1"/>
      <w:numFmt w:val="upperLetter"/>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nsid w:val="5DC76B7F"/>
    <w:multiLevelType w:val="multilevel"/>
    <w:tmpl w:val="5C688014"/>
    <w:lvl w:ilvl="0">
      <w:start w:val="1"/>
      <w:numFmt w:val="decimal"/>
      <w:lvlRestart w:val="0"/>
      <w:suff w:val="nothing"/>
      <w:lvlText w:val="%1"/>
      <w:lvlJc w:val="left"/>
      <w:pPr>
        <w:tabs>
          <w:tab w:val="num" w:pos="0"/>
        </w:tabs>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color w:val="00B2A9" w:themeColor="accent1"/>
        <w:sz w:val="32"/>
        <w:szCs w:val="32"/>
      </w:rPr>
    </w:lvl>
    <w:lvl w:ilvl="3">
      <w:start w:val="1"/>
      <w:numFmt w:val="decimal"/>
      <w:lvlText w:val="%2.%3.%4"/>
      <w:lvlJc w:val="left"/>
      <w:pPr>
        <w:tabs>
          <w:tab w:val="num" w:pos="850"/>
        </w:tabs>
        <w:ind w:left="850" w:hanging="850"/>
      </w:pPr>
      <w:rPr>
        <w:rFonts w:hint="default"/>
        <w:b w:val="0"/>
        <w:i/>
        <w:color w:val="00B2A9" w:themeColor="accent1"/>
        <w:sz w:val="28"/>
        <w:szCs w:val="28"/>
      </w:rPr>
    </w:lvl>
    <w:lvl w:ilvl="4">
      <w:start w:val="1"/>
      <w:numFmt w:val="upperLetter"/>
      <w:lvlRestart w:val="0"/>
      <w:lvlText w:val="Appendix %5"/>
      <w:lvlJc w:val="left"/>
      <w:pPr>
        <w:tabs>
          <w:tab w:val="num" w:pos="6946"/>
        </w:tabs>
        <w:ind w:left="3261" w:firstLine="0"/>
      </w:pPr>
      <w:rPr>
        <w:rFonts w:hint="default"/>
      </w:rPr>
    </w:lvl>
    <w:lvl w:ilvl="5">
      <w:start w:val="1"/>
      <w:numFmt w:val="upperLetter"/>
      <w:lvlRestart w:val="0"/>
      <w:suff w:val="nothing"/>
      <w:lvlText w:val="Appendix %6"/>
      <w:lvlJc w:val="left"/>
      <w:pPr>
        <w:tabs>
          <w:tab w:val="num" w:pos="0"/>
        </w:tabs>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567"/>
        </w:tabs>
        <w:ind w:left="567" w:hanging="567"/>
      </w:pPr>
      <w:rPr>
        <w:rFonts w:hint="default"/>
        <w:b w:val="0"/>
        <w:i w:val="0"/>
        <w:color w:val="auto"/>
      </w:rPr>
    </w:lvl>
    <w:lvl w:ilvl="8">
      <w:start w:val="1"/>
      <w:numFmt w:val="lowerLetter"/>
      <w:lvlText w:val="%9"/>
      <w:lvlJc w:val="left"/>
      <w:pPr>
        <w:tabs>
          <w:tab w:val="num" w:pos="1134"/>
        </w:tabs>
        <w:ind w:left="1134" w:hanging="567"/>
      </w:pPr>
      <w:rPr>
        <w:rFonts w:hint="default"/>
        <w:b w:val="0"/>
        <w:i w:val="0"/>
        <w:color w:val="auto"/>
      </w:rPr>
    </w:lvl>
  </w:abstractNum>
  <w:abstractNum w:abstractNumId="49">
    <w:nsid w:val="5E401664"/>
    <w:multiLevelType w:val="multilevel"/>
    <w:tmpl w:val="EE12AE72"/>
    <w:name w:val="LongTOC"/>
    <w:numStyleLink w:val="PwCAppendixList1"/>
  </w:abstractNum>
  <w:abstractNum w:abstractNumId="50">
    <w:nsid w:val="5F174C6A"/>
    <w:multiLevelType w:val="hybridMultilevel"/>
    <w:tmpl w:val="93CA3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3917BB9"/>
    <w:multiLevelType w:val="multilevel"/>
    <w:tmpl w:val="C3DE98D4"/>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52">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53">
    <w:nsid w:val="69FD4FE0"/>
    <w:multiLevelType w:val="hybridMultilevel"/>
    <w:tmpl w:val="06400B04"/>
    <w:lvl w:ilvl="0" w:tplc="67546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5">
    <w:nsid w:val="6CC23054"/>
    <w:multiLevelType w:val="hybridMultilevel"/>
    <w:tmpl w:val="78167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D145DD5"/>
    <w:multiLevelType w:val="hybridMultilevel"/>
    <w:tmpl w:val="12E67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8">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9">
    <w:nsid w:val="707518CF"/>
    <w:multiLevelType w:val="multilevel"/>
    <w:tmpl w:val="8CEA6DAA"/>
    <w:name w:val="Bullets2"/>
    <w:numStyleLink w:val="Bullets"/>
  </w:abstractNum>
  <w:abstractNum w:abstractNumId="60">
    <w:nsid w:val="71D36B0C"/>
    <w:multiLevelType w:val="hybridMultilevel"/>
    <w:tmpl w:val="17683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2">
    <w:nsid w:val="7EA8460C"/>
    <w:multiLevelType w:val="multilevel"/>
    <w:tmpl w:val="6728E3A2"/>
    <w:styleLink w:val="IndentList"/>
    <w:lvl w:ilvl="0">
      <w:start w:val="1"/>
      <w:numFmt w:val="none"/>
      <w:suff w:val="nothing"/>
      <w:lvlText w:val=""/>
      <w:lvlJc w:val="left"/>
      <w:pPr>
        <w:ind w:left="0" w:firstLine="0"/>
      </w:pPr>
      <w:rPr>
        <w:rFonts w:hint="default"/>
        <w:color w:val="auto"/>
      </w:rPr>
    </w:lvl>
    <w:lvl w:ilvl="1">
      <w:start w:val="1"/>
      <w:numFmt w:val="none"/>
      <w:lvlRestart w:val="0"/>
      <w:suff w:val="nothing"/>
      <w:lvlText w:val=""/>
      <w:lvlJc w:val="left"/>
      <w:pPr>
        <w:ind w:left="567" w:firstLine="0"/>
      </w:pPr>
      <w:rPr>
        <w:rFonts w:hint="default"/>
      </w:rPr>
    </w:lvl>
    <w:lvl w:ilvl="2">
      <w:start w:val="1"/>
      <w:numFmt w:val="none"/>
      <w:lvlRestart w:val="0"/>
      <w:suff w:val="nothing"/>
      <w:lvlText w:val=""/>
      <w:lvlJc w:val="left"/>
      <w:pPr>
        <w:ind w:left="1134" w:firstLine="0"/>
      </w:pPr>
      <w:rPr>
        <w:rFonts w:hint="default"/>
      </w:rPr>
    </w:lvl>
    <w:lvl w:ilvl="3">
      <w:start w:val="1"/>
      <w:numFmt w:val="none"/>
      <w:lvlRestart w:val="0"/>
      <w:suff w:val="nothing"/>
      <w:lvlText w:val=""/>
      <w:lvlJc w:val="left"/>
      <w:pPr>
        <w:ind w:left="1701" w:firstLine="0"/>
      </w:pPr>
      <w:rPr>
        <w:rFonts w:hint="default"/>
      </w:rPr>
    </w:lvl>
    <w:lvl w:ilvl="4">
      <w:start w:val="1"/>
      <w:numFmt w:val="none"/>
      <w:lvlRestart w:val="0"/>
      <w:suff w:val="nothing"/>
      <w:lvlText w:val=""/>
      <w:lvlJc w:val="left"/>
      <w:pPr>
        <w:ind w:left="2268" w:firstLine="0"/>
      </w:pPr>
      <w:rPr>
        <w:rFonts w:hint="default"/>
      </w:rPr>
    </w:lvl>
    <w:lvl w:ilvl="5">
      <w:start w:val="1"/>
      <w:numFmt w:val="none"/>
      <w:lvlRestart w:val="0"/>
      <w:suff w:val="nothing"/>
      <w:lvlText w:val=""/>
      <w:lvlJc w:val="left"/>
      <w:pPr>
        <w:ind w:left="2835" w:firstLine="0"/>
      </w:pPr>
      <w:rPr>
        <w:rFonts w:hint="default"/>
      </w:rPr>
    </w:lvl>
    <w:lvl w:ilvl="6">
      <w:start w:val="1"/>
      <w:numFmt w:val="none"/>
      <w:lvlRestart w:val="0"/>
      <w:suff w:val="nothing"/>
      <w:lvlText w:val=""/>
      <w:lvlJc w:val="left"/>
      <w:pPr>
        <w:ind w:left="3402" w:firstLine="0"/>
      </w:pPr>
      <w:rPr>
        <w:rFonts w:hint="default"/>
      </w:rPr>
    </w:lvl>
    <w:lvl w:ilvl="7">
      <w:start w:val="1"/>
      <w:numFmt w:val="none"/>
      <w:lvlRestart w:val="0"/>
      <w:suff w:val="nothing"/>
      <w:lvlText w:val=""/>
      <w:lvlJc w:val="left"/>
      <w:pPr>
        <w:ind w:left="3969" w:firstLine="0"/>
      </w:pPr>
      <w:rPr>
        <w:rFonts w:hint="default"/>
      </w:rPr>
    </w:lvl>
    <w:lvl w:ilvl="8">
      <w:start w:val="1"/>
      <w:numFmt w:val="none"/>
      <w:lvlRestart w:val="0"/>
      <w:suff w:val="nothing"/>
      <w:lvlText w:val=""/>
      <w:lvlJc w:val="left"/>
      <w:pPr>
        <w:ind w:left="4536" w:firstLine="0"/>
      </w:pPr>
      <w:rPr>
        <w:rFonts w:hint="default"/>
      </w:rPr>
    </w:lvl>
  </w:abstractNum>
  <w:num w:numId="1">
    <w:abstractNumId w:val="36"/>
  </w:num>
  <w:num w:numId="2">
    <w:abstractNumId w:val="57"/>
  </w:num>
  <w:num w:numId="3">
    <w:abstractNumId w:val="47"/>
  </w:num>
  <w:num w:numId="4">
    <w:abstractNumId w:val="61"/>
  </w:num>
  <w:num w:numId="5">
    <w:abstractNumId w:val="26"/>
  </w:num>
  <w:num w:numId="6">
    <w:abstractNumId w:val="13"/>
  </w:num>
  <w:num w:numId="7">
    <w:abstractNumId w:val="10"/>
  </w:num>
  <w:num w:numId="8">
    <w:abstractNumId w:val="3"/>
  </w:num>
  <w:num w:numId="9">
    <w:abstractNumId w:val="58"/>
  </w:num>
  <w:num w:numId="10">
    <w:abstractNumId w:val="18"/>
  </w:num>
  <w:num w:numId="11">
    <w:abstractNumId w:val="32"/>
  </w:num>
  <w:num w:numId="12">
    <w:abstractNumId w:val="20"/>
  </w:num>
  <w:num w:numId="13">
    <w:abstractNumId w:val="39"/>
  </w:num>
  <w:num w:numId="14">
    <w:abstractNumId w:val="42"/>
  </w:num>
  <w:num w:numId="15">
    <w:abstractNumId w:val="4"/>
  </w:num>
  <w:num w:numId="16">
    <w:abstractNumId w:val="14"/>
  </w:num>
  <w:num w:numId="17">
    <w:abstractNumId w:val="40"/>
  </w:num>
  <w:num w:numId="18">
    <w:abstractNumId w:val="54"/>
  </w:num>
  <w:num w:numId="19">
    <w:abstractNumId w:val="43"/>
  </w:num>
  <w:num w:numId="20">
    <w:abstractNumId w:val="25"/>
  </w:num>
  <w:num w:numId="21">
    <w:abstractNumId w:val="29"/>
  </w:num>
  <w:num w:numId="22">
    <w:abstractNumId w:val="7"/>
  </w:num>
  <w:num w:numId="23">
    <w:abstractNumId w:val="38"/>
  </w:num>
  <w:num w:numId="24">
    <w:abstractNumId w:val="49"/>
    <w:lvlOverride w:ilvl="0">
      <w:lvl w:ilvl="0">
        <w:start w:val="1"/>
        <w:numFmt w:val="upperLetter"/>
        <w:pStyle w:val="Appendix"/>
        <w:lvlText w:val="Appendix %1 "/>
        <w:lvlJc w:val="left"/>
        <w:pPr>
          <w:ind w:left="360" w:hanging="360"/>
        </w:pPr>
        <w:rPr>
          <w:rFonts w:hint="default"/>
        </w:rPr>
      </w:lvl>
    </w:lvlOverride>
  </w:num>
  <w:num w:numId="25">
    <w:abstractNumId w:val="8"/>
  </w:num>
  <w:num w:numId="26">
    <w:abstractNumId w:val="19"/>
  </w:num>
  <w:num w:numId="27">
    <w:abstractNumId w:val="24"/>
  </w:num>
  <w:num w:numId="28">
    <w:abstractNumId w:val="15"/>
  </w:num>
  <w:num w:numId="29">
    <w:abstractNumId w:val="22"/>
  </w:num>
  <w:num w:numId="30">
    <w:abstractNumId w:val="16"/>
  </w:num>
  <w:num w:numId="31">
    <w:abstractNumId w:val="17"/>
  </w:num>
  <w:num w:numId="32">
    <w:abstractNumId w:val="27"/>
  </w:num>
  <w:num w:numId="33">
    <w:abstractNumId w:val="5"/>
  </w:num>
  <w:num w:numId="34">
    <w:abstractNumId w:val="46"/>
  </w:num>
  <w:num w:numId="35">
    <w:abstractNumId w:val="37"/>
  </w:num>
  <w:num w:numId="36">
    <w:abstractNumId w:val="59"/>
  </w:num>
  <w:num w:numId="37">
    <w:abstractNumId w:val="51"/>
  </w:num>
  <w:num w:numId="38">
    <w:abstractNumId w:val="48"/>
  </w:num>
  <w:num w:numId="39">
    <w:abstractNumId w:val="62"/>
  </w:num>
  <w:num w:numId="40">
    <w:abstractNumId w:val="53"/>
  </w:num>
  <w:num w:numId="41">
    <w:abstractNumId w:val="50"/>
  </w:num>
  <w:num w:numId="42">
    <w:abstractNumId w:val="1"/>
  </w:num>
  <w:num w:numId="43">
    <w:abstractNumId w:val="12"/>
  </w:num>
  <w:num w:numId="44">
    <w:abstractNumId w:val="60"/>
  </w:num>
  <w:num w:numId="45">
    <w:abstractNumId w:val="35"/>
  </w:num>
  <w:num w:numId="46">
    <w:abstractNumId w:val="30"/>
  </w:num>
  <w:num w:numId="47">
    <w:abstractNumId w:val="31"/>
  </w:num>
  <w:num w:numId="48">
    <w:abstractNumId w:val="9"/>
  </w:num>
  <w:num w:numId="49">
    <w:abstractNumId w:val="6"/>
  </w:num>
  <w:num w:numId="50">
    <w:abstractNumId w:val="33"/>
  </w:num>
  <w:num w:numId="51">
    <w:abstractNumId w:val="55"/>
  </w:num>
  <w:num w:numId="52">
    <w:abstractNumId w:val="23"/>
  </w:num>
  <w:num w:numId="53">
    <w:abstractNumId w:val="2"/>
  </w:num>
  <w:num w:numId="54">
    <w:abstractNumId w:val="28"/>
  </w:num>
  <w:num w:numId="55">
    <w:abstractNumId w:val="11"/>
  </w:num>
  <w:num w:numId="56">
    <w:abstractNumId w:val="56"/>
  </w:num>
  <w:num w:numId="57">
    <w:abstractNumId w:val="21"/>
  </w:num>
  <w:num w:numId="58">
    <w:abstractNumId w:val="41"/>
  </w:num>
  <w:num w:numId="59">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dgnword-docGUID" w:val="{75D2DE50-203C-416B-9BD3-A21628DDDDBF}"/>
    <w:docVar w:name="dgnword-eventsink" w:val="727584776"/>
    <w:docVar w:name="FooterTextAuto" w:val="True"/>
    <w:docVar w:name="Heading1Numbered" w:val="False"/>
    <w:docVar w:name="Heading2Numbered" w:val="False"/>
    <w:docVar w:name="Heading3Numbered" w:val="False"/>
    <w:docVar w:name="PageSetup" w:val="Double"/>
    <w:docVar w:name="Theme Color" w:val="CorporateServices"/>
    <w:docVar w:name="TOC" w:val="True"/>
    <w:docVar w:name="TOCNew" w:val="True"/>
    <w:docVar w:name="Version" w:val="1"/>
  </w:docVars>
  <w:rsids>
    <w:rsidRoot w:val="00F3751A"/>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CE1"/>
    <w:rsid w:val="00010E3F"/>
    <w:rsid w:val="00010FAD"/>
    <w:rsid w:val="0001107C"/>
    <w:rsid w:val="000114BD"/>
    <w:rsid w:val="000118FD"/>
    <w:rsid w:val="00011DF3"/>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4D8"/>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DCC"/>
    <w:rsid w:val="00031F2C"/>
    <w:rsid w:val="000321BA"/>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9B2"/>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0D8"/>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5E80"/>
    <w:rsid w:val="0008745F"/>
    <w:rsid w:val="000908D6"/>
    <w:rsid w:val="0009125C"/>
    <w:rsid w:val="000913AD"/>
    <w:rsid w:val="000918D7"/>
    <w:rsid w:val="00091F49"/>
    <w:rsid w:val="0009214D"/>
    <w:rsid w:val="00093051"/>
    <w:rsid w:val="000935F8"/>
    <w:rsid w:val="000938C5"/>
    <w:rsid w:val="00093B56"/>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EA4"/>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A7B"/>
    <w:rsid w:val="000D1E7B"/>
    <w:rsid w:val="000D2475"/>
    <w:rsid w:val="000D2526"/>
    <w:rsid w:val="000D2813"/>
    <w:rsid w:val="000D3282"/>
    <w:rsid w:val="000D3AE8"/>
    <w:rsid w:val="000D3B59"/>
    <w:rsid w:val="000D3D33"/>
    <w:rsid w:val="000D3E39"/>
    <w:rsid w:val="000D3F7B"/>
    <w:rsid w:val="000D42D6"/>
    <w:rsid w:val="000D464F"/>
    <w:rsid w:val="000D4EC1"/>
    <w:rsid w:val="000D6115"/>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924"/>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CB5"/>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D5E"/>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043"/>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290"/>
    <w:rsid w:val="00160ED7"/>
    <w:rsid w:val="001619E0"/>
    <w:rsid w:val="00161E60"/>
    <w:rsid w:val="001623C3"/>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957"/>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8C1"/>
    <w:rsid w:val="001A0EF8"/>
    <w:rsid w:val="001A13E9"/>
    <w:rsid w:val="001A150E"/>
    <w:rsid w:val="001A18D2"/>
    <w:rsid w:val="001A245B"/>
    <w:rsid w:val="001A25AC"/>
    <w:rsid w:val="001A37A6"/>
    <w:rsid w:val="001A4197"/>
    <w:rsid w:val="001A45A0"/>
    <w:rsid w:val="001A4BB8"/>
    <w:rsid w:val="001A50A5"/>
    <w:rsid w:val="001A548E"/>
    <w:rsid w:val="001A5625"/>
    <w:rsid w:val="001A6162"/>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AF5"/>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4BEB"/>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9C8"/>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707"/>
    <w:rsid w:val="0022498F"/>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C2B"/>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4BD"/>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694"/>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301"/>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190"/>
    <w:rsid w:val="00293463"/>
    <w:rsid w:val="00293680"/>
    <w:rsid w:val="002936BD"/>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D99"/>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73A"/>
    <w:rsid w:val="002F6A05"/>
    <w:rsid w:val="002F6C77"/>
    <w:rsid w:val="002F71D3"/>
    <w:rsid w:val="002F7537"/>
    <w:rsid w:val="002F76E9"/>
    <w:rsid w:val="002F7E42"/>
    <w:rsid w:val="002F7F6A"/>
    <w:rsid w:val="00300224"/>
    <w:rsid w:val="003002D2"/>
    <w:rsid w:val="003003E2"/>
    <w:rsid w:val="00300482"/>
    <w:rsid w:val="00300640"/>
    <w:rsid w:val="00300778"/>
    <w:rsid w:val="00300B22"/>
    <w:rsid w:val="0030152A"/>
    <w:rsid w:val="0030153A"/>
    <w:rsid w:val="003015B7"/>
    <w:rsid w:val="003017BE"/>
    <w:rsid w:val="00301B40"/>
    <w:rsid w:val="00301C03"/>
    <w:rsid w:val="00301EAE"/>
    <w:rsid w:val="00302572"/>
    <w:rsid w:val="003027A8"/>
    <w:rsid w:val="0030299E"/>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2A7"/>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60B"/>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49C"/>
    <w:rsid w:val="00331509"/>
    <w:rsid w:val="0033153B"/>
    <w:rsid w:val="003316FD"/>
    <w:rsid w:val="00331705"/>
    <w:rsid w:val="003319CC"/>
    <w:rsid w:val="00332131"/>
    <w:rsid w:val="0033220C"/>
    <w:rsid w:val="00332539"/>
    <w:rsid w:val="00332796"/>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90D"/>
    <w:rsid w:val="00335A0C"/>
    <w:rsid w:val="00335E10"/>
    <w:rsid w:val="003363DA"/>
    <w:rsid w:val="003365F6"/>
    <w:rsid w:val="00336657"/>
    <w:rsid w:val="003368F1"/>
    <w:rsid w:val="00336A3D"/>
    <w:rsid w:val="00336F65"/>
    <w:rsid w:val="003370FB"/>
    <w:rsid w:val="00337219"/>
    <w:rsid w:val="00337980"/>
    <w:rsid w:val="00337989"/>
    <w:rsid w:val="00340C4D"/>
    <w:rsid w:val="00341DE0"/>
    <w:rsid w:val="003420E0"/>
    <w:rsid w:val="00342173"/>
    <w:rsid w:val="00342444"/>
    <w:rsid w:val="003428F3"/>
    <w:rsid w:val="00342C49"/>
    <w:rsid w:val="00342D06"/>
    <w:rsid w:val="00343B7B"/>
    <w:rsid w:val="003440FE"/>
    <w:rsid w:val="003446A9"/>
    <w:rsid w:val="003448FA"/>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4A"/>
    <w:rsid w:val="00354841"/>
    <w:rsid w:val="00354EFD"/>
    <w:rsid w:val="00355370"/>
    <w:rsid w:val="003555CC"/>
    <w:rsid w:val="003561B4"/>
    <w:rsid w:val="003574ED"/>
    <w:rsid w:val="003576A7"/>
    <w:rsid w:val="003576FA"/>
    <w:rsid w:val="00357F56"/>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6BFC"/>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1EF5"/>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A7FBC"/>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987"/>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A7D"/>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1C7"/>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92"/>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8EE"/>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4B82"/>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61"/>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35D"/>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60"/>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24F"/>
    <w:rsid w:val="004956B2"/>
    <w:rsid w:val="0049587E"/>
    <w:rsid w:val="00495986"/>
    <w:rsid w:val="00496446"/>
    <w:rsid w:val="00496465"/>
    <w:rsid w:val="00496982"/>
    <w:rsid w:val="00496A2C"/>
    <w:rsid w:val="00496C3E"/>
    <w:rsid w:val="0049713E"/>
    <w:rsid w:val="00497A05"/>
    <w:rsid w:val="004A0535"/>
    <w:rsid w:val="004A0717"/>
    <w:rsid w:val="004A07E7"/>
    <w:rsid w:val="004A0D32"/>
    <w:rsid w:val="004A0E8E"/>
    <w:rsid w:val="004A142F"/>
    <w:rsid w:val="004A200E"/>
    <w:rsid w:val="004A2164"/>
    <w:rsid w:val="004A2515"/>
    <w:rsid w:val="004A284B"/>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79B"/>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71C"/>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1A91"/>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8FC"/>
    <w:rsid w:val="00525B0A"/>
    <w:rsid w:val="0052624A"/>
    <w:rsid w:val="00526266"/>
    <w:rsid w:val="00526493"/>
    <w:rsid w:val="00526A07"/>
    <w:rsid w:val="00526A2E"/>
    <w:rsid w:val="00526EBE"/>
    <w:rsid w:val="00527269"/>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1D"/>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486"/>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4F4B"/>
    <w:rsid w:val="00565127"/>
    <w:rsid w:val="00566671"/>
    <w:rsid w:val="00566DAC"/>
    <w:rsid w:val="00566FEA"/>
    <w:rsid w:val="005676F5"/>
    <w:rsid w:val="00567948"/>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58E"/>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B2"/>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0CF"/>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38"/>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B8C"/>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5E1"/>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282"/>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E28"/>
    <w:rsid w:val="00624FB0"/>
    <w:rsid w:val="006254B4"/>
    <w:rsid w:val="006254FD"/>
    <w:rsid w:val="006262CF"/>
    <w:rsid w:val="006266D4"/>
    <w:rsid w:val="006266E1"/>
    <w:rsid w:val="006266FA"/>
    <w:rsid w:val="00627067"/>
    <w:rsid w:val="0062727D"/>
    <w:rsid w:val="006302E0"/>
    <w:rsid w:val="00630767"/>
    <w:rsid w:val="006307CD"/>
    <w:rsid w:val="00630E39"/>
    <w:rsid w:val="0063103F"/>
    <w:rsid w:val="0063133D"/>
    <w:rsid w:val="00631925"/>
    <w:rsid w:val="00631D9A"/>
    <w:rsid w:val="006326EA"/>
    <w:rsid w:val="006330C8"/>
    <w:rsid w:val="006331BD"/>
    <w:rsid w:val="00633361"/>
    <w:rsid w:val="0063360C"/>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A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1E1"/>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BED"/>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BAB"/>
    <w:rsid w:val="00670C77"/>
    <w:rsid w:val="00670F64"/>
    <w:rsid w:val="00671260"/>
    <w:rsid w:val="006712C2"/>
    <w:rsid w:val="006712DE"/>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2E00"/>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783"/>
    <w:rsid w:val="006B2C90"/>
    <w:rsid w:val="006B3157"/>
    <w:rsid w:val="006B36E4"/>
    <w:rsid w:val="006B38DF"/>
    <w:rsid w:val="006B41FB"/>
    <w:rsid w:val="006B4566"/>
    <w:rsid w:val="006B460D"/>
    <w:rsid w:val="006B460E"/>
    <w:rsid w:val="006B46AE"/>
    <w:rsid w:val="006B47DA"/>
    <w:rsid w:val="006B48D4"/>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08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8F9"/>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3FD9"/>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6E0C"/>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878"/>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3D3"/>
    <w:rsid w:val="007408FA"/>
    <w:rsid w:val="007408FC"/>
    <w:rsid w:val="00740F1E"/>
    <w:rsid w:val="0074145A"/>
    <w:rsid w:val="00741475"/>
    <w:rsid w:val="007418C9"/>
    <w:rsid w:val="00741B02"/>
    <w:rsid w:val="00741FE3"/>
    <w:rsid w:val="007420BB"/>
    <w:rsid w:val="0074211D"/>
    <w:rsid w:val="007423AB"/>
    <w:rsid w:val="00742476"/>
    <w:rsid w:val="0074286B"/>
    <w:rsid w:val="00742974"/>
    <w:rsid w:val="00742E83"/>
    <w:rsid w:val="00743668"/>
    <w:rsid w:val="00743779"/>
    <w:rsid w:val="00743C5A"/>
    <w:rsid w:val="00743E88"/>
    <w:rsid w:val="007444C1"/>
    <w:rsid w:val="0074479B"/>
    <w:rsid w:val="00745229"/>
    <w:rsid w:val="0074545B"/>
    <w:rsid w:val="00745643"/>
    <w:rsid w:val="007458C6"/>
    <w:rsid w:val="007459A9"/>
    <w:rsid w:val="00745DFB"/>
    <w:rsid w:val="00746166"/>
    <w:rsid w:val="00746362"/>
    <w:rsid w:val="00746592"/>
    <w:rsid w:val="00746629"/>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33B"/>
    <w:rsid w:val="007579AE"/>
    <w:rsid w:val="007579E2"/>
    <w:rsid w:val="00757E56"/>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E11"/>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5D1"/>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49D"/>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1EF0"/>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737"/>
    <w:rsid w:val="007C7BDE"/>
    <w:rsid w:val="007C7E1E"/>
    <w:rsid w:val="007D00DF"/>
    <w:rsid w:val="007D02A3"/>
    <w:rsid w:val="007D0435"/>
    <w:rsid w:val="007D0603"/>
    <w:rsid w:val="007D082B"/>
    <w:rsid w:val="007D0967"/>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1C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1CB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8ED"/>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4EDD"/>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32F"/>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AB"/>
    <w:rsid w:val="00891FB0"/>
    <w:rsid w:val="0089215E"/>
    <w:rsid w:val="008924C4"/>
    <w:rsid w:val="0089267F"/>
    <w:rsid w:val="0089285A"/>
    <w:rsid w:val="00892864"/>
    <w:rsid w:val="00892A95"/>
    <w:rsid w:val="00893106"/>
    <w:rsid w:val="00893307"/>
    <w:rsid w:val="008933FC"/>
    <w:rsid w:val="0089343A"/>
    <w:rsid w:val="008934CA"/>
    <w:rsid w:val="00893540"/>
    <w:rsid w:val="00893E62"/>
    <w:rsid w:val="008948B8"/>
    <w:rsid w:val="00894C0C"/>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9F6"/>
    <w:rsid w:val="008A3B88"/>
    <w:rsid w:val="008A4229"/>
    <w:rsid w:val="008A431B"/>
    <w:rsid w:val="008A43D8"/>
    <w:rsid w:val="008A44B6"/>
    <w:rsid w:val="008A4612"/>
    <w:rsid w:val="008A4977"/>
    <w:rsid w:val="008A5077"/>
    <w:rsid w:val="008A53E6"/>
    <w:rsid w:val="008A5BEF"/>
    <w:rsid w:val="008A5C16"/>
    <w:rsid w:val="008A5E35"/>
    <w:rsid w:val="008A615E"/>
    <w:rsid w:val="008A6926"/>
    <w:rsid w:val="008A69DF"/>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68E"/>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1FCB"/>
    <w:rsid w:val="008D2349"/>
    <w:rsid w:val="008D26CC"/>
    <w:rsid w:val="008D30FD"/>
    <w:rsid w:val="008D3196"/>
    <w:rsid w:val="008D3250"/>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0BC"/>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BA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2969"/>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81"/>
    <w:rsid w:val="009A5178"/>
    <w:rsid w:val="009A5D79"/>
    <w:rsid w:val="009A608A"/>
    <w:rsid w:val="009A62E0"/>
    <w:rsid w:val="009A6354"/>
    <w:rsid w:val="009A64BF"/>
    <w:rsid w:val="009A69D0"/>
    <w:rsid w:val="009A6A1B"/>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7A3"/>
    <w:rsid w:val="009E3B07"/>
    <w:rsid w:val="009E3BBC"/>
    <w:rsid w:val="009E3C3B"/>
    <w:rsid w:val="009E4848"/>
    <w:rsid w:val="009E4D3F"/>
    <w:rsid w:val="009E4F96"/>
    <w:rsid w:val="009E520E"/>
    <w:rsid w:val="009E54A0"/>
    <w:rsid w:val="009E5513"/>
    <w:rsid w:val="009E5540"/>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701"/>
    <w:rsid w:val="009F3846"/>
    <w:rsid w:val="009F3EBC"/>
    <w:rsid w:val="009F40DE"/>
    <w:rsid w:val="009F4174"/>
    <w:rsid w:val="009F4633"/>
    <w:rsid w:val="009F4EA8"/>
    <w:rsid w:val="009F55B5"/>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352"/>
    <w:rsid w:val="00A139AC"/>
    <w:rsid w:val="00A13CE0"/>
    <w:rsid w:val="00A1416B"/>
    <w:rsid w:val="00A1431F"/>
    <w:rsid w:val="00A14B4E"/>
    <w:rsid w:val="00A14C73"/>
    <w:rsid w:val="00A15676"/>
    <w:rsid w:val="00A159CE"/>
    <w:rsid w:val="00A16110"/>
    <w:rsid w:val="00A16714"/>
    <w:rsid w:val="00A16AB7"/>
    <w:rsid w:val="00A16B92"/>
    <w:rsid w:val="00A16FCE"/>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A06"/>
    <w:rsid w:val="00A52E7D"/>
    <w:rsid w:val="00A53095"/>
    <w:rsid w:val="00A5321D"/>
    <w:rsid w:val="00A53CEB"/>
    <w:rsid w:val="00A53E52"/>
    <w:rsid w:val="00A53EAB"/>
    <w:rsid w:val="00A54248"/>
    <w:rsid w:val="00A54895"/>
    <w:rsid w:val="00A54972"/>
    <w:rsid w:val="00A54C4A"/>
    <w:rsid w:val="00A55099"/>
    <w:rsid w:val="00A551BD"/>
    <w:rsid w:val="00A552CD"/>
    <w:rsid w:val="00A553C8"/>
    <w:rsid w:val="00A5581C"/>
    <w:rsid w:val="00A55F09"/>
    <w:rsid w:val="00A562C4"/>
    <w:rsid w:val="00A56793"/>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2C94"/>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A0E"/>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302"/>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7D3"/>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1FD2"/>
    <w:rsid w:val="00B33139"/>
    <w:rsid w:val="00B336C5"/>
    <w:rsid w:val="00B33B3A"/>
    <w:rsid w:val="00B33D84"/>
    <w:rsid w:val="00B340FA"/>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0F1"/>
    <w:rsid w:val="00B44444"/>
    <w:rsid w:val="00B444C7"/>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D4A"/>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9A3"/>
    <w:rsid w:val="00B64CD9"/>
    <w:rsid w:val="00B65160"/>
    <w:rsid w:val="00B6549C"/>
    <w:rsid w:val="00B6553F"/>
    <w:rsid w:val="00B6561B"/>
    <w:rsid w:val="00B6566B"/>
    <w:rsid w:val="00B65C8D"/>
    <w:rsid w:val="00B65DA8"/>
    <w:rsid w:val="00B65EFE"/>
    <w:rsid w:val="00B66344"/>
    <w:rsid w:val="00B669AA"/>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2C60"/>
    <w:rsid w:val="00B73397"/>
    <w:rsid w:val="00B7377D"/>
    <w:rsid w:val="00B739CC"/>
    <w:rsid w:val="00B74098"/>
    <w:rsid w:val="00B740EF"/>
    <w:rsid w:val="00B74861"/>
    <w:rsid w:val="00B74B2A"/>
    <w:rsid w:val="00B74B7C"/>
    <w:rsid w:val="00B75123"/>
    <w:rsid w:val="00B7574E"/>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56E"/>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0AE"/>
    <w:rsid w:val="00BA4241"/>
    <w:rsid w:val="00BA4391"/>
    <w:rsid w:val="00BA43C5"/>
    <w:rsid w:val="00BA4BF1"/>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408"/>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ED7"/>
    <w:rsid w:val="00BC0FB0"/>
    <w:rsid w:val="00BC15FC"/>
    <w:rsid w:val="00BC1922"/>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91"/>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EA"/>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3D4B"/>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98"/>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0DDF"/>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2C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53B"/>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615"/>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019"/>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7EB"/>
    <w:rsid w:val="00CC6E76"/>
    <w:rsid w:val="00CC731B"/>
    <w:rsid w:val="00CC7676"/>
    <w:rsid w:val="00CC7832"/>
    <w:rsid w:val="00CC7B75"/>
    <w:rsid w:val="00CC7BC7"/>
    <w:rsid w:val="00CC7E21"/>
    <w:rsid w:val="00CC7FEC"/>
    <w:rsid w:val="00CD02E6"/>
    <w:rsid w:val="00CD102F"/>
    <w:rsid w:val="00CD1112"/>
    <w:rsid w:val="00CD1A91"/>
    <w:rsid w:val="00CD1F29"/>
    <w:rsid w:val="00CD23F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57F"/>
    <w:rsid w:val="00CF1F26"/>
    <w:rsid w:val="00CF1F40"/>
    <w:rsid w:val="00CF26A1"/>
    <w:rsid w:val="00CF2886"/>
    <w:rsid w:val="00CF2ABF"/>
    <w:rsid w:val="00CF2EBB"/>
    <w:rsid w:val="00CF3444"/>
    <w:rsid w:val="00CF3659"/>
    <w:rsid w:val="00CF3B74"/>
    <w:rsid w:val="00CF3F6E"/>
    <w:rsid w:val="00CF4173"/>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0CBF"/>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25B"/>
    <w:rsid w:val="00D3152F"/>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A3"/>
    <w:rsid w:val="00D370E5"/>
    <w:rsid w:val="00D37164"/>
    <w:rsid w:val="00D37659"/>
    <w:rsid w:val="00D37D9C"/>
    <w:rsid w:val="00D40641"/>
    <w:rsid w:val="00D40820"/>
    <w:rsid w:val="00D40DF5"/>
    <w:rsid w:val="00D41403"/>
    <w:rsid w:val="00D41678"/>
    <w:rsid w:val="00D41FB8"/>
    <w:rsid w:val="00D42003"/>
    <w:rsid w:val="00D42E52"/>
    <w:rsid w:val="00D42ECF"/>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50F"/>
    <w:rsid w:val="00D60692"/>
    <w:rsid w:val="00D6071B"/>
    <w:rsid w:val="00D607FB"/>
    <w:rsid w:val="00D60FA5"/>
    <w:rsid w:val="00D610F3"/>
    <w:rsid w:val="00D6110B"/>
    <w:rsid w:val="00D61148"/>
    <w:rsid w:val="00D6135D"/>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73E"/>
    <w:rsid w:val="00D73B6C"/>
    <w:rsid w:val="00D73C62"/>
    <w:rsid w:val="00D73E90"/>
    <w:rsid w:val="00D747A7"/>
    <w:rsid w:val="00D7587C"/>
    <w:rsid w:val="00D7591E"/>
    <w:rsid w:val="00D759A3"/>
    <w:rsid w:val="00D75FF5"/>
    <w:rsid w:val="00D765B1"/>
    <w:rsid w:val="00D76EF0"/>
    <w:rsid w:val="00D779E9"/>
    <w:rsid w:val="00D77C22"/>
    <w:rsid w:val="00D77C87"/>
    <w:rsid w:val="00D77DA6"/>
    <w:rsid w:val="00D80648"/>
    <w:rsid w:val="00D809C1"/>
    <w:rsid w:val="00D80B5C"/>
    <w:rsid w:val="00D80D2C"/>
    <w:rsid w:val="00D80DD3"/>
    <w:rsid w:val="00D81477"/>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D45"/>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0B80"/>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704"/>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2FBD"/>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0A"/>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0E1E"/>
    <w:rsid w:val="00E513DD"/>
    <w:rsid w:val="00E5145C"/>
    <w:rsid w:val="00E514AA"/>
    <w:rsid w:val="00E5164B"/>
    <w:rsid w:val="00E516F2"/>
    <w:rsid w:val="00E51954"/>
    <w:rsid w:val="00E52159"/>
    <w:rsid w:val="00E52360"/>
    <w:rsid w:val="00E52857"/>
    <w:rsid w:val="00E5311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832"/>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761"/>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881"/>
    <w:rsid w:val="00EA5A7F"/>
    <w:rsid w:val="00EA5C9A"/>
    <w:rsid w:val="00EA660E"/>
    <w:rsid w:val="00EA6C70"/>
    <w:rsid w:val="00EA7513"/>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5F25"/>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1F0"/>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B33"/>
    <w:rsid w:val="00EF0C8E"/>
    <w:rsid w:val="00EF0D1B"/>
    <w:rsid w:val="00EF0D5E"/>
    <w:rsid w:val="00EF0F35"/>
    <w:rsid w:val="00EF110A"/>
    <w:rsid w:val="00EF123C"/>
    <w:rsid w:val="00EF14F8"/>
    <w:rsid w:val="00EF1BF6"/>
    <w:rsid w:val="00EF202A"/>
    <w:rsid w:val="00EF3458"/>
    <w:rsid w:val="00EF373E"/>
    <w:rsid w:val="00EF3D3F"/>
    <w:rsid w:val="00EF3F56"/>
    <w:rsid w:val="00EF4010"/>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1A"/>
    <w:rsid w:val="00F375AE"/>
    <w:rsid w:val="00F40403"/>
    <w:rsid w:val="00F40AB4"/>
    <w:rsid w:val="00F41112"/>
    <w:rsid w:val="00F411B4"/>
    <w:rsid w:val="00F41594"/>
    <w:rsid w:val="00F4185B"/>
    <w:rsid w:val="00F418D3"/>
    <w:rsid w:val="00F42107"/>
    <w:rsid w:val="00F42A49"/>
    <w:rsid w:val="00F42A7A"/>
    <w:rsid w:val="00F42EFD"/>
    <w:rsid w:val="00F43039"/>
    <w:rsid w:val="00F4361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EAA"/>
    <w:rsid w:val="00F60202"/>
    <w:rsid w:val="00F60818"/>
    <w:rsid w:val="00F6092F"/>
    <w:rsid w:val="00F60AB8"/>
    <w:rsid w:val="00F60BCE"/>
    <w:rsid w:val="00F6141B"/>
    <w:rsid w:val="00F6158A"/>
    <w:rsid w:val="00F619F6"/>
    <w:rsid w:val="00F61ADE"/>
    <w:rsid w:val="00F62154"/>
    <w:rsid w:val="00F629F7"/>
    <w:rsid w:val="00F62FAC"/>
    <w:rsid w:val="00F630AA"/>
    <w:rsid w:val="00F63E68"/>
    <w:rsid w:val="00F63EC8"/>
    <w:rsid w:val="00F6402F"/>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154D"/>
    <w:rsid w:val="00F71F1A"/>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1BD8"/>
    <w:rsid w:val="00F92016"/>
    <w:rsid w:val="00F925B4"/>
    <w:rsid w:val="00F925F6"/>
    <w:rsid w:val="00F93AA3"/>
    <w:rsid w:val="00F94191"/>
    <w:rsid w:val="00F9443B"/>
    <w:rsid w:val="00F94CA5"/>
    <w:rsid w:val="00F952C5"/>
    <w:rsid w:val="00F953FE"/>
    <w:rsid w:val="00F96DAA"/>
    <w:rsid w:val="00F97540"/>
    <w:rsid w:val="00F9777B"/>
    <w:rsid w:val="00F979B0"/>
    <w:rsid w:val="00F97FB0"/>
    <w:rsid w:val="00FA0BCC"/>
    <w:rsid w:val="00FA1070"/>
    <w:rsid w:val="00FA164F"/>
    <w:rsid w:val="00FA165E"/>
    <w:rsid w:val="00FA1ACB"/>
    <w:rsid w:val="00FA1BB5"/>
    <w:rsid w:val="00FA1FDF"/>
    <w:rsid w:val="00FA21F4"/>
    <w:rsid w:val="00FA2F3A"/>
    <w:rsid w:val="00FA2F8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090"/>
    <w:rsid w:val="00FB746B"/>
    <w:rsid w:val="00FB74A0"/>
    <w:rsid w:val="00FB7D96"/>
    <w:rsid w:val="00FC0142"/>
    <w:rsid w:val="00FC03A1"/>
    <w:rsid w:val="00FC0623"/>
    <w:rsid w:val="00FC1D06"/>
    <w:rsid w:val="00FC1F16"/>
    <w:rsid w:val="00FC1FB3"/>
    <w:rsid w:val="00FC2654"/>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221"/>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 w:val="00FF7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Bullet" w:qFormat="1"/>
    <w:lsdException w:name="List Number" w:semiHidden="0" w:uiPriority="13" w:unhideWhenUsed="0" w:qFormat="1"/>
    <w:lsdException w:name="List 4" w:semiHidden="0" w:unhideWhenUsed="0"/>
    <w:lsdException w:name="List 5" w:semiHidden="0" w:unhideWhenUsed="0"/>
    <w:lsdException w:name="List Bullet 2" w:qFormat="1"/>
    <w:lsdException w:name="List Bullet 3" w:qFormat="1"/>
    <w:lsdException w:name="List Number 2" w:uiPriority="13" w:qFormat="1"/>
    <w:lsdException w:name="List Number 3" w:uiPriority="13" w:qFormat="1"/>
    <w:lsdException w:name="List Number 4" w:uiPriority="13"/>
    <w:lsdException w:name="List Number 5" w:uiPriority="13"/>
    <w:lsdException w:name="Title" w:semiHidden="0" w:unhideWhenUsed="0" w:qFormat="1"/>
    <w:lsdException w:name="Default Paragraph Font" w:uiPriority="1"/>
    <w:lsdException w:name="Body Text" w:uiPriority="1" w:qFormat="1"/>
    <w:lsdException w:name="List Continue" w:qFormat="1"/>
    <w:lsdException w:name="List Continue 2"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Table Professional"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BEB"/>
    <w:pPr>
      <w:spacing w:after="200"/>
    </w:pPr>
    <w:rPr>
      <w:color w:val="auto"/>
    </w:rPr>
  </w:style>
  <w:style w:type="paragraph" w:styleId="Heading1">
    <w:name w:val="heading 1"/>
    <w:basedOn w:val="Normal"/>
    <w:next w:val="BodyText"/>
    <w:link w:val="Heading1Char"/>
    <w:uiPriority w:val="9"/>
    <w:qFormat/>
    <w:rsid w:val="008A39F6"/>
    <w:pPr>
      <w:keepNext/>
      <w:keepLines/>
      <w:numPr>
        <w:numId w:val="7"/>
      </w:numPr>
      <w:spacing w:after="360" w:line="240" w:lineRule="auto"/>
      <w:ind w:left="1134" w:hanging="1134"/>
      <w:outlineLvl w:val="0"/>
    </w:pPr>
    <w:rPr>
      <w:b/>
      <w:bCs/>
      <w:color w:val="201547" w:themeColor="accent2"/>
      <w:kern w:val="32"/>
      <w:sz w:val="40"/>
      <w:szCs w:val="32"/>
    </w:rPr>
  </w:style>
  <w:style w:type="paragraph" w:styleId="Heading2">
    <w:name w:val="heading 2"/>
    <w:basedOn w:val="Normal"/>
    <w:next w:val="BodyText"/>
    <w:link w:val="Heading2Char"/>
    <w:uiPriority w:val="9"/>
    <w:qFormat/>
    <w:rsid w:val="00357F56"/>
    <w:pPr>
      <w:keepNext/>
      <w:keepLines/>
      <w:numPr>
        <w:ilvl w:val="1"/>
        <w:numId w:val="7"/>
      </w:numPr>
      <w:tabs>
        <w:tab w:val="left" w:pos="1134"/>
      </w:tabs>
      <w:spacing w:after="220" w:line="240" w:lineRule="auto"/>
      <w:ind w:left="1134" w:hanging="1134"/>
      <w:outlineLvl w:val="1"/>
    </w:pPr>
    <w:rPr>
      <w:b/>
      <w:bCs/>
      <w:i/>
      <w:iCs/>
      <w:color w:val="00B2A9" w:themeColor="text2"/>
      <w:kern w:val="20"/>
      <w:sz w:val="32"/>
      <w:szCs w:val="28"/>
    </w:rPr>
  </w:style>
  <w:style w:type="paragraph" w:styleId="Heading3">
    <w:name w:val="heading 3"/>
    <w:basedOn w:val="Normal"/>
    <w:next w:val="BodyText"/>
    <w:link w:val="Heading3Char"/>
    <w:uiPriority w:val="9"/>
    <w:qFormat/>
    <w:rsid w:val="00357F56"/>
    <w:pPr>
      <w:keepNext/>
      <w:keepLines/>
      <w:numPr>
        <w:ilvl w:val="2"/>
        <w:numId w:val="7"/>
      </w:numPr>
      <w:tabs>
        <w:tab w:val="left" w:pos="1134"/>
        <w:tab w:val="left" w:pos="1701"/>
        <w:tab w:val="left" w:pos="1985"/>
      </w:tabs>
      <w:spacing w:before="200" w:after="220" w:line="240" w:lineRule="auto"/>
      <w:ind w:left="1134" w:hanging="1134"/>
      <w:outlineLvl w:val="2"/>
    </w:pPr>
    <w:rPr>
      <w:rFonts w:asciiTheme="majorHAnsi" w:hAnsiTheme="majorHAnsi"/>
      <w:i/>
      <w:color w:val="00B2A9" w:themeColor="accent1"/>
      <w:sz w:val="28"/>
    </w:rPr>
  </w:style>
  <w:style w:type="paragraph" w:styleId="Heading4">
    <w:name w:val="heading 4"/>
    <w:basedOn w:val="Normal"/>
    <w:next w:val="BodyText"/>
    <w:link w:val="Heading4Char"/>
    <w:qFormat/>
    <w:rsid w:val="00FA2F8A"/>
    <w:pPr>
      <w:keepNext/>
      <w:keepLines/>
      <w:tabs>
        <w:tab w:val="left" w:pos="1418"/>
        <w:tab w:val="left" w:pos="1701"/>
        <w:tab w:val="left" w:pos="1985"/>
      </w:tabs>
      <w:spacing w:line="200" w:lineRule="atLeast"/>
      <w:outlineLvl w:val="3"/>
    </w:pPr>
    <w:rPr>
      <w:rFonts w:asciiTheme="majorHAnsi" w:eastAsiaTheme="majorEastAsia" w:hAnsiTheme="majorHAnsi" w:cstheme="majorBidi"/>
      <w:b/>
      <w:bCs/>
      <w:i/>
      <w:iCs/>
    </w:rPr>
  </w:style>
  <w:style w:type="paragraph" w:styleId="Heading5">
    <w:name w:val="heading 5"/>
    <w:basedOn w:val="Normal"/>
    <w:next w:val="BodyText"/>
    <w:link w:val="Heading5Char"/>
    <w:qFormat/>
    <w:rsid w:val="00FA2F8A"/>
    <w:pPr>
      <w:keepNext/>
      <w:keepLines/>
      <w:spacing w:line="240" w:lineRule="auto"/>
      <w:outlineLvl w:val="4"/>
    </w:pPr>
    <w:rPr>
      <w:rFonts w:asciiTheme="majorHAnsi" w:eastAsiaTheme="majorEastAsia" w:hAnsiTheme="majorHAnsi" w:cstheme="majorBidi"/>
      <w:i/>
      <w:u w:val="single"/>
    </w:rPr>
  </w:style>
  <w:style w:type="paragraph" w:styleId="Heading6">
    <w:name w:val="heading 6"/>
    <w:basedOn w:val="Normal"/>
    <w:next w:val="BodyText"/>
    <w:link w:val="Heading6Char"/>
    <w:qFormat/>
    <w:rsid w:val="008D3250"/>
    <w:pPr>
      <w:keepNext/>
      <w:keepLines/>
      <w:spacing w:line="240" w:lineRule="auto"/>
      <w:outlineLvl w:val="5"/>
    </w:pPr>
    <w:rPr>
      <w:rFonts w:asciiTheme="majorHAnsi" w:eastAsiaTheme="majorEastAsia" w:hAnsiTheme="majorHAnsi" w:cstheme="majorBidi"/>
      <w:b/>
      <w:i/>
      <w:iCs/>
      <w:color w:val="00B2A9" w:themeColor="text2"/>
    </w:rPr>
  </w:style>
  <w:style w:type="paragraph" w:styleId="Heading7">
    <w:name w:val="heading 7"/>
    <w:basedOn w:val="Normal"/>
    <w:next w:val="Normal"/>
    <w:link w:val="Heading7Char"/>
    <w:uiPriority w:val="9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uiPriority w:val="99"/>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Autospacing="0" w:afterLines="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uiPriority w:val="13"/>
    <w:qFormat/>
    <w:rsid w:val="00B876CB"/>
    <w:pPr>
      <w:numPr>
        <w:numId w:val="4"/>
      </w:numPr>
      <w:spacing w:before="120" w:after="120"/>
    </w:pPr>
  </w:style>
  <w:style w:type="paragraph" w:styleId="ListNumber2">
    <w:name w:val="List Number 2"/>
    <w:basedOn w:val="Normal"/>
    <w:uiPriority w:val="13"/>
    <w:qFormat/>
    <w:rsid w:val="00781566"/>
    <w:pPr>
      <w:numPr>
        <w:ilvl w:val="1"/>
        <w:numId w:val="4"/>
      </w:numPr>
      <w:spacing w:before="120" w:after="120"/>
    </w:pPr>
  </w:style>
  <w:style w:type="paragraph" w:styleId="ListNumber3">
    <w:name w:val="List Number 3"/>
    <w:basedOn w:val="Normal"/>
    <w:uiPriority w:val="13"/>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uiPriority w:val="1"/>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qFormat/>
    <w:rsid w:val="00167957"/>
    <w:pPr>
      <w:keepNext/>
      <w:spacing w:line="240" w:lineRule="auto"/>
    </w:pPr>
    <w:rPr>
      <w:b/>
      <w:bCs/>
      <w:color w:val="2E1E66" w:themeColor="accent2" w:themeTint="E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qFormat/>
    <w:rsid w:val="004D4063"/>
    <w:pPr>
      <w:numPr>
        <w:ilvl w:val="2"/>
        <w:numId w:val="8"/>
      </w:numPr>
      <w:spacing w:before="120" w:after="120"/>
    </w:pPr>
  </w:style>
  <w:style w:type="paragraph" w:styleId="Subtitle">
    <w:name w:val="Subtitle"/>
    <w:basedOn w:val="Normal"/>
    <w:next w:val="Normal"/>
    <w:link w:val="SubtitleChar"/>
    <w:uiPriority w:val="11"/>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11"/>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FA2F8A"/>
    <w:rPr>
      <w:rFonts w:asciiTheme="majorHAnsi" w:eastAsiaTheme="majorEastAsia" w:hAnsiTheme="majorHAnsi" w:cstheme="majorBidi"/>
      <w:b/>
      <w:bCs/>
      <w:i/>
      <w:iCs/>
      <w:color w:val="auto"/>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autoRedefine/>
    <w:uiPriority w:val="39"/>
    <w:rsid w:val="00357F56"/>
    <w:pPr>
      <w:tabs>
        <w:tab w:val="left" w:pos="567"/>
        <w:tab w:val="right" w:leader="dot" w:pos="8505"/>
      </w:tabs>
      <w:spacing w:before="40" w:after="40" w:line="240" w:lineRule="auto"/>
      <w:ind w:right="851"/>
    </w:pPr>
    <w:rPr>
      <w:b/>
      <w:noProof/>
      <w:color w:val="642667"/>
      <w:sz w:val="22"/>
      <w:szCs w:val="22"/>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autoRedefine/>
    <w:uiPriority w:val="39"/>
    <w:rsid w:val="00B53D4A"/>
    <w:pPr>
      <w:tabs>
        <w:tab w:val="left" w:pos="1000"/>
        <w:tab w:val="right" w:leader="dot" w:pos="8505"/>
      </w:tabs>
      <w:spacing w:before="40" w:after="40" w:line="240" w:lineRule="auto"/>
      <w:ind w:left="284"/>
    </w:pPr>
    <w:rPr>
      <w:b/>
      <w:noProof/>
      <w:szCs w:val="28"/>
    </w:rPr>
  </w:style>
  <w:style w:type="paragraph" w:styleId="TOC3">
    <w:name w:val="toc 3"/>
    <w:basedOn w:val="Normal"/>
    <w:next w:val="Normal"/>
    <w:autoRedefine/>
    <w:uiPriority w:val="39"/>
    <w:rsid w:val="00B53D4A"/>
    <w:pPr>
      <w:tabs>
        <w:tab w:val="left" w:pos="1560"/>
        <w:tab w:val="right" w:leader="dot" w:pos="8505"/>
      </w:tabs>
      <w:spacing w:before="40" w:after="40" w:line="240" w:lineRule="auto"/>
      <w:ind w:left="567"/>
    </w:pPr>
    <w:rPr>
      <w:rFonts w:eastAsiaTheme="minorEastAsia" w:cstheme="minorBidi"/>
      <w:noProof/>
    </w:rPr>
  </w:style>
  <w:style w:type="paragraph" w:styleId="TOC4">
    <w:name w:val="toc 4"/>
    <w:basedOn w:val="Normal"/>
    <w:autoRedefine/>
    <w:uiPriority w:val="39"/>
    <w:rsid w:val="00FB7090"/>
    <w:pPr>
      <w:tabs>
        <w:tab w:val="right" w:leader="dot" w:pos="8505"/>
      </w:tabs>
      <w:spacing w:before="40" w:after="40" w:line="240" w:lineRule="auto"/>
      <w:ind w:left="851"/>
    </w:pPr>
    <w:rPr>
      <w:noProof/>
      <w:sz w:val="16"/>
      <w:szCs w:val="16"/>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rsid w:val="000758E3"/>
    <w:rPr>
      <w:b/>
      <w:color w:val="00B2A9"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FB7090"/>
    <w:pPr>
      <w:tabs>
        <w:tab w:val="right" w:pos="8505"/>
      </w:tabs>
      <w:spacing w:before="40" w:after="40" w:line="240" w:lineRule="auto"/>
      <w:ind w:left="1134"/>
    </w:pPr>
    <w:rPr>
      <w:noProof/>
      <w:sz w:val="16"/>
      <w:szCs w:val="16"/>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9"/>
    <w:rsid w:val="000758E3"/>
    <w:rPr>
      <w:rFonts w:asciiTheme="majorHAnsi" w:eastAsiaTheme="majorEastAsia" w:hAnsiTheme="majorHAnsi" w:cstheme="majorBidi"/>
      <w:b/>
      <w:color w:val="00B2A9" w:themeColor="text2"/>
      <w:sz w:val="40"/>
    </w:rPr>
  </w:style>
  <w:style w:type="paragraph" w:styleId="Quote">
    <w:name w:val="Quote"/>
    <w:basedOn w:val="Normal"/>
    <w:link w:val="QuoteChar"/>
    <w:uiPriority w:val="29"/>
    <w:qFormat/>
    <w:rsid w:val="004D4063"/>
    <w:pPr>
      <w:tabs>
        <w:tab w:val="left" w:pos="1134"/>
      </w:tabs>
      <w:spacing w:before="120" w:after="120"/>
      <w:ind w:left="284"/>
    </w:pPr>
    <w:rPr>
      <w:i/>
      <w:iCs/>
    </w:rPr>
  </w:style>
  <w:style w:type="character" w:customStyle="1" w:styleId="QuoteChar">
    <w:name w:val="Quote Char"/>
    <w:basedOn w:val="DefaultParagraphFont"/>
    <w:link w:val="Quote"/>
    <w:uiPriority w:val="29"/>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rsid w:val="008D3250"/>
    <w:rPr>
      <w:rFonts w:asciiTheme="majorHAnsi" w:eastAsiaTheme="majorEastAsia" w:hAnsiTheme="majorHAnsi" w:cstheme="majorBidi"/>
      <w:b/>
      <w:i/>
      <w:iCs/>
      <w:color w:val="00B2A9" w:themeColor="text2"/>
    </w:rPr>
  </w:style>
  <w:style w:type="character" w:customStyle="1" w:styleId="Heading5Char">
    <w:name w:val="Heading 5 Char"/>
    <w:basedOn w:val="DefaultParagraphFont"/>
    <w:link w:val="Heading5"/>
    <w:rsid w:val="00FA2F8A"/>
    <w:rPr>
      <w:rFonts w:asciiTheme="majorHAnsi" w:eastAsiaTheme="majorEastAsia" w:hAnsiTheme="majorHAnsi" w:cstheme="majorBidi"/>
      <w:i/>
      <w:color w:val="auto"/>
      <w:u w:val="single"/>
    </w:rPr>
  </w:style>
  <w:style w:type="paragraph" w:styleId="BlockText">
    <w:name w:val="Block Text"/>
    <w:basedOn w:val="Normal"/>
    <w:uiPriority w:val="99"/>
    <w:unhideWhenUsed/>
    <w:qFormat/>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B2A9"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uiPriority w:val="99"/>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357F56"/>
    <w:rPr>
      <w:b/>
      <w:bCs/>
      <w:i/>
      <w:iCs/>
      <w:color w:val="00B2A9" w:themeColor="text2"/>
      <w:kern w:val="20"/>
      <w:sz w:val="32"/>
      <w:szCs w:val="28"/>
    </w:rPr>
  </w:style>
  <w:style w:type="character" w:customStyle="1" w:styleId="Heading1Char">
    <w:name w:val="Heading 1 Char"/>
    <w:basedOn w:val="DefaultParagraphFont"/>
    <w:link w:val="Heading1"/>
    <w:uiPriority w:val="9"/>
    <w:rsid w:val="008A39F6"/>
    <w:rPr>
      <w:b/>
      <w:bCs/>
      <w:color w:val="201547" w:themeColor="accent2"/>
      <w:kern w:val="32"/>
      <w:sz w:val="40"/>
      <w:szCs w:val="32"/>
    </w:rPr>
  </w:style>
  <w:style w:type="character" w:customStyle="1" w:styleId="Heading3Char">
    <w:name w:val="Heading 3 Char"/>
    <w:basedOn w:val="DefaultParagraphFont"/>
    <w:link w:val="Heading3"/>
    <w:uiPriority w:val="9"/>
    <w:rsid w:val="00357F56"/>
    <w:rPr>
      <w:rFonts w:asciiTheme="majorHAnsi" w:hAnsiTheme="majorHAnsi"/>
      <w:i/>
      <w:color w:val="00B2A9" w:themeColor="accent1"/>
      <w:sz w:val="28"/>
    </w:rPr>
  </w:style>
  <w:style w:type="character" w:customStyle="1" w:styleId="HiddenText">
    <w:name w:val="Hidden Text"/>
    <w:basedOn w:val="DefaultParagraphFont"/>
    <w:uiPriority w:val="1"/>
    <w:qFormat/>
    <w:rsid w:val="00321955"/>
    <w:rPr>
      <w:color w:val="FF0000"/>
      <w:sz w:val="20"/>
      <w:u w:val="dotted"/>
    </w:rPr>
  </w:style>
  <w:style w:type="paragraph" w:customStyle="1" w:styleId="TOCtitle">
    <w:name w:val="TOC title"/>
    <w:basedOn w:val="Heading2"/>
    <w:next w:val="PwCNormal"/>
    <w:unhideWhenUsed/>
    <w:rsid w:val="003A7FBC"/>
    <w:pPr>
      <w:pageBreakBefore/>
      <w:numPr>
        <w:ilvl w:val="0"/>
        <w:numId w:val="0"/>
      </w:numPr>
      <w:kinsoku w:val="0"/>
      <w:overflowPunct w:val="0"/>
      <w:autoSpaceDE w:val="0"/>
      <w:autoSpaceDN w:val="0"/>
      <w:adjustRightInd w:val="0"/>
      <w:snapToGrid w:val="0"/>
      <w:spacing w:after="600" w:line="600" w:lineRule="atLeast"/>
    </w:pPr>
    <w:rPr>
      <w:rFonts w:asciiTheme="majorHAnsi" w:hAnsiTheme="majorHAnsi"/>
      <w:snapToGrid w:val="0"/>
      <w:color w:val="auto"/>
      <w:kern w:val="0"/>
      <w:sz w:val="56"/>
      <w:szCs w:val="36"/>
      <w:lang w:eastAsia="en-US"/>
    </w:rPr>
  </w:style>
  <w:style w:type="paragraph" w:customStyle="1" w:styleId="Covertitle">
    <w:name w:val="Cover title"/>
    <w:basedOn w:val="KeySentenceInside"/>
    <w:next w:val="Coversubtitle"/>
    <w:rsid w:val="003A7FBC"/>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3A7FBC"/>
    <w:pPr>
      <w:framePr w:wrap="notBeside"/>
      <w:spacing w:before="180"/>
    </w:pPr>
    <w:rPr>
      <w:bCs/>
      <w:szCs w:val="64"/>
    </w:rPr>
  </w:style>
  <w:style w:type="paragraph" w:customStyle="1" w:styleId="AppendixNumberLong">
    <w:name w:val="Appendix Number (Long)"/>
    <w:basedOn w:val="Heading3"/>
    <w:next w:val="Heading3"/>
    <w:uiPriority w:val="99"/>
    <w:rsid w:val="003A7FBC"/>
    <w:pPr>
      <w:pageBreakBefore/>
      <w:numPr>
        <w:ilvl w:val="0"/>
        <w:numId w:val="0"/>
      </w:numPr>
      <w:tabs>
        <w:tab w:val="clear" w:pos="1701"/>
        <w:tab w:val="clear" w:pos="1985"/>
        <w:tab w:val="num" w:pos="0"/>
      </w:tabs>
      <w:kinsoku w:val="0"/>
      <w:overflowPunct w:val="0"/>
      <w:autoSpaceDE w:val="0"/>
      <w:autoSpaceDN w:val="0"/>
      <w:adjustRightInd w:val="0"/>
      <w:snapToGrid w:val="0"/>
      <w:spacing w:before="0" w:after="0" w:line="720" w:lineRule="atLeast"/>
    </w:pPr>
    <w:rPr>
      <w:snapToGrid w:val="0"/>
      <w:color w:val="363534" w:themeColor="text1"/>
      <w:sz w:val="56"/>
      <w:szCs w:val="72"/>
      <w:lang w:eastAsia="en-US"/>
    </w:rPr>
  </w:style>
  <w:style w:type="paragraph" w:customStyle="1" w:styleId="ChapterNumberLong">
    <w:name w:val="Chapter Number (Long)"/>
    <w:basedOn w:val="Heading1"/>
    <w:next w:val="Heading1"/>
    <w:uiPriority w:val="99"/>
    <w:rsid w:val="003A7FBC"/>
    <w:pPr>
      <w:keepNext w:val="0"/>
      <w:keepLines w:val="0"/>
      <w:pageBreakBefore/>
      <w:numPr>
        <w:numId w:val="0"/>
      </w:numPr>
      <w:tabs>
        <w:tab w:val="num" w:pos="0"/>
      </w:tabs>
      <w:kinsoku w:val="0"/>
      <w:overflowPunct w:val="0"/>
      <w:autoSpaceDE w:val="0"/>
      <w:autoSpaceDN w:val="0"/>
      <w:adjustRightInd w:val="0"/>
      <w:snapToGrid w:val="0"/>
      <w:spacing w:after="0" w:line="720" w:lineRule="atLeast"/>
    </w:pPr>
    <w:rPr>
      <w:rFonts w:asciiTheme="majorHAnsi" w:hAnsiTheme="majorHAnsi"/>
      <w:i/>
      <w:snapToGrid w:val="0"/>
      <w:color w:val="auto"/>
      <w:kern w:val="0"/>
      <w:sz w:val="56"/>
      <w:szCs w:val="72"/>
      <w:lang w:eastAsia="en-US"/>
    </w:rPr>
  </w:style>
  <w:style w:type="paragraph" w:customStyle="1" w:styleId="Footer-Even">
    <w:name w:val="Footer - Even"/>
    <w:basedOn w:val="Footer"/>
    <w:rsid w:val="003A7FBC"/>
    <w:pPr>
      <w:tabs>
        <w:tab w:val="right" w:pos="8220"/>
      </w:tabs>
      <w:kinsoku w:val="0"/>
      <w:overflowPunct w:val="0"/>
      <w:autoSpaceDE w:val="0"/>
      <w:autoSpaceDN w:val="0"/>
      <w:adjustRightInd w:val="0"/>
      <w:snapToGrid w:val="0"/>
      <w:spacing w:line="0" w:lineRule="atLeast"/>
    </w:pPr>
    <w:rPr>
      <w:rFonts w:ascii="Arial" w:hAnsi="Arial"/>
      <w:snapToGrid w:val="0"/>
      <w:sz w:val="19"/>
      <w:szCs w:val="18"/>
      <w:lang w:eastAsia="en-US"/>
    </w:rPr>
  </w:style>
  <w:style w:type="paragraph" w:customStyle="1" w:styleId="URL">
    <w:name w:val="URL"/>
    <w:basedOn w:val="PwCNormal"/>
    <w:next w:val="PwCNormal"/>
    <w:rsid w:val="003A7FBC"/>
    <w:pPr>
      <w:framePr w:wrap="around" w:vAnchor="page" w:hAnchor="page" w:x="1022" w:y="568"/>
      <w:spacing w:after="0"/>
    </w:pPr>
    <w:rPr>
      <w:rFonts w:eastAsia="+mn-ea"/>
      <w:snapToGrid/>
      <w:color w:val="FFFFFF"/>
      <w:sz w:val="36"/>
    </w:rPr>
  </w:style>
  <w:style w:type="paragraph" w:customStyle="1" w:styleId="Indent1">
    <w:name w:val="Indent 1"/>
    <w:basedOn w:val="Normal"/>
    <w:rsid w:val="003A7FBC"/>
    <w:pPr>
      <w:numPr>
        <w:ilvl w:val="1"/>
        <w:numId w:val="37"/>
      </w:numPr>
      <w:kinsoku w:val="0"/>
      <w:overflowPunct w:val="0"/>
      <w:autoSpaceDE w:val="0"/>
      <w:autoSpaceDN w:val="0"/>
      <w:adjustRightInd w:val="0"/>
      <w:snapToGrid w:val="0"/>
      <w:spacing w:before="100" w:after="100" w:line="240" w:lineRule="auto"/>
    </w:pPr>
    <w:rPr>
      <w:rFonts w:ascii="Georgia" w:hAnsi="Georgia" w:cs="Times New Roman"/>
      <w:snapToGrid w:val="0"/>
      <w:lang w:eastAsia="en-US"/>
    </w:rPr>
  </w:style>
  <w:style w:type="paragraph" w:customStyle="1" w:styleId="Indent2">
    <w:name w:val="Indent 2"/>
    <w:basedOn w:val="Indent1"/>
    <w:rsid w:val="003A7FBC"/>
    <w:pPr>
      <w:numPr>
        <w:ilvl w:val="2"/>
      </w:numPr>
    </w:pPr>
  </w:style>
  <w:style w:type="paragraph" w:customStyle="1" w:styleId="Indent3">
    <w:name w:val="Indent 3"/>
    <w:basedOn w:val="Indent2"/>
    <w:rsid w:val="003A7FBC"/>
    <w:pPr>
      <w:numPr>
        <w:ilvl w:val="3"/>
      </w:numPr>
    </w:pPr>
  </w:style>
  <w:style w:type="paragraph" w:customStyle="1" w:styleId="Indent5">
    <w:name w:val="Indent 5"/>
    <w:basedOn w:val="Indent4"/>
    <w:rsid w:val="003A7FBC"/>
    <w:pPr>
      <w:numPr>
        <w:ilvl w:val="5"/>
      </w:numPr>
    </w:pPr>
  </w:style>
  <w:style w:type="paragraph" w:customStyle="1" w:styleId="Indent6">
    <w:name w:val="Indent 6"/>
    <w:basedOn w:val="Indent5"/>
    <w:rsid w:val="003A7FBC"/>
    <w:pPr>
      <w:numPr>
        <w:ilvl w:val="6"/>
      </w:numPr>
    </w:pPr>
  </w:style>
  <w:style w:type="paragraph" w:customStyle="1" w:styleId="Indent7">
    <w:name w:val="Indent 7"/>
    <w:basedOn w:val="Indent6"/>
    <w:rsid w:val="003A7FBC"/>
    <w:pPr>
      <w:numPr>
        <w:ilvl w:val="7"/>
      </w:numPr>
    </w:pPr>
  </w:style>
  <w:style w:type="numbering" w:customStyle="1" w:styleId="Indents">
    <w:name w:val="Indents"/>
    <w:rsid w:val="003A7FBC"/>
    <w:pPr>
      <w:numPr>
        <w:numId w:val="16"/>
      </w:numPr>
    </w:pPr>
  </w:style>
  <w:style w:type="paragraph" w:customStyle="1" w:styleId="Copyright">
    <w:name w:val="Copyright"/>
    <w:basedOn w:val="Normal"/>
    <w:rsid w:val="003A7FBC"/>
    <w:pPr>
      <w:framePr w:w="7938" w:wrap="around" w:vAnchor="page" w:hAnchor="page" w:x="1022" w:y="15196"/>
      <w:kinsoku w:val="0"/>
      <w:overflowPunct w:val="0"/>
      <w:autoSpaceDE w:val="0"/>
      <w:autoSpaceDN w:val="0"/>
      <w:adjustRightInd w:val="0"/>
      <w:snapToGrid w:val="0"/>
      <w:spacing w:before="150" w:after="150" w:line="150" w:lineRule="atLeast"/>
      <w:ind w:right="816"/>
    </w:pPr>
    <w:rPr>
      <w:rFonts w:ascii="Arial" w:hAnsi="Arial"/>
      <w:snapToGrid w:val="0"/>
      <w:color w:val="FFFFFF"/>
      <w:sz w:val="16"/>
      <w:lang w:val="en-US" w:eastAsia="en-US"/>
    </w:rPr>
  </w:style>
  <w:style w:type="paragraph" w:customStyle="1" w:styleId="Header-Even">
    <w:name w:val="Header - Even"/>
    <w:basedOn w:val="Header"/>
    <w:rsid w:val="003A7FBC"/>
    <w:pPr>
      <w:tabs>
        <w:tab w:val="right" w:pos="8220"/>
      </w:tabs>
      <w:kinsoku w:val="0"/>
      <w:overflowPunct w:val="0"/>
      <w:autoSpaceDE w:val="0"/>
      <w:autoSpaceDN w:val="0"/>
      <w:adjustRightInd w:val="0"/>
      <w:snapToGrid w:val="0"/>
    </w:pPr>
    <w:rPr>
      <w:rFonts w:ascii="Arial" w:hAnsi="Arial"/>
      <w:snapToGrid w:val="0"/>
      <w:sz w:val="19"/>
      <w:szCs w:val="18"/>
      <w:lang w:eastAsia="en-US"/>
    </w:rPr>
  </w:style>
  <w:style w:type="paragraph" w:customStyle="1" w:styleId="PleaseNote">
    <w:name w:val="Please Note"/>
    <w:basedOn w:val="PrefaceTitle"/>
    <w:next w:val="PwCNormal"/>
    <w:rsid w:val="003A7FBC"/>
    <w:rPr>
      <w:iCs w:val="0"/>
    </w:rPr>
  </w:style>
  <w:style w:type="paragraph" w:customStyle="1" w:styleId="Indent4">
    <w:name w:val="Indent 4"/>
    <w:basedOn w:val="Indent3"/>
    <w:rsid w:val="003A7FBC"/>
    <w:pPr>
      <w:numPr>
        <w:ilvl w:val="4"/>
      </w:numPr>
    </w:pPr>
  </w:style>
  <w:style w:type="paragraph" w:customStyle="1" w:styleId="KeySentenceInside">
    <w:name w:val="Key Sentence Inside"/>
    <w:basedOn w:val="KeySentence"/>
    <w:rsid w:val="003A7FBC"/>
    <w:pPr>
      <w:framePr w:w="2296" w:wrap="notBeside" w:vAnchor="text" w:hAnchor="margin" w:x="-2521" w:y="1" w:anchorLock="1"/>
    </w:pPr>
  </w:style>
  <w:style w:type="paragraph" w:customStyle="1" w:styleId="ChapterNumberedList1">
    <w:name w:val="Chapter Numbered List 1"/>
    <w:basedOn w:val="PwCNormal"/>
    <w:uiPriority w:val="99"/>
    <w:rsid w:val="003A7FBC"/>
    <w:pPr>
      <w:numPr>
        <w:numId w:val="0"/>
      </w:numPr>
      <w:ind w:left="3632" w:hanging="454"/>
    </w:pPr>
  </w:style>
  <w:style w:type="paragraph" w:customStyle="1" w:styleId="ChapterNumberedList2">
    <w:name w:val="Chapter Numbered List 2"/>
    <w:basedOn w:val="ChapterNumberedList1"/>
    <w:uiPriority w:val="99"/>
    <w:rsid w:val="003A7FBC"/>
    <w:pPr>
      <w:ind w:left="4086"/>
    </w:pPr>
  </w:style>
  <w:style w:type="paragraph" w:customStyle="1" w:styleId="PwCNormal">
    <w:name w:val="PwC Normal"/>
    <w:basedOn w:val="Normal"/>
    <w:link w:val="PwCNormalChar"/>
    <w:rsid w:val="003A7FBC"/>
    <w:pPr>
      <w:numPr>
        <w:numId w:val="37"/>
      </w:numPr>
      <w:kinsoku w:val="0"/>
      <w:overflowPunct w:val="0"/>
      <w:autoSpaceDE w:val="0"/>
      <w:autoSpaceDN w:val="0"/>
      <w:adjustRightInd w:val="0"/>
      <w:snapToGrid w:val="0"/>
      <w:spacing w:before="120" w:after="120" w:line="240" w:lineRule="auto"/>
    </w:pPr>
    <w:rPr>
      <w:rFonts w:ascii="Georgia" w:hAnsi="Georgia"/>
      <w:snapToGrid w:val="0"/>
      <w:lang w:eastAsia="en-US"/>
    </w:rPr>
  </w:style>
  <w:style w:type="paragraph" w:customStyle="1" w:styleId="CoverDate">
    <w:name w:val="Cover Date"/>
    <w:basedOn w:val="Coversubtitle"/>
    <w:rsid w:val="003A7FBC"/>
    <w:pPr>
      <w:framePr w:wrap="notBeside"/>
    </w:pPr>
  </w:style>
  <w:style w:type="paragraph" w:customStyle="1" w:styleId="KeySentenceOutside">
    <w:name w:val="Key Sentence Outside"/>
    <w:basedOn w:val="KeySentence"/>
    <w:rsid w:val="003A7FBC"/>
    <w:pPr>
      <w:framePr w:w="2410" w:wrap="around" w:vAnchor="text" w:hAnchor="margin" w:x="7909" w:y="1" w:anchorLock="1"/>
    </w:pPr>
  </w:style>
  <w:style w:type="character" w:customStyle="1" w:styleId="PwCNormalChar">
    <w:name w:val="PwC Normal Char"/>
    <w:basedOn w:val="DefaultParagraphFont"/>
    <w:link w:val="PwCNormal"/>
    <w:rsid w:val="003A7FBC"/>
    <w:rPr>
      <w:rFonts w:ascii="Georgia" w:hAnsi="Georgia"/>
      <w:snapToGrid w:val="0"/>
      <w:color w:val="auto"/>
      <w:lang w:eastAsia="en-US"/>
    </w:rPr>
  </w:style>
  <w:style w:type="paragraph" w:customStyle="1" w:styleId="CREATISID">
    <w:name w:val="CREATISID"/>
    <w:basedOn w:val="PwCNormal"/>
    <w:unhideWhenUsed/>
    <w:rsid w:val="003A7FBC"/>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3A7FBC"/>
    <w:pPr>
      <w:numPr>
        <w:numId w:val="15"/>
      </w:numPr>
    </w:pPr>
  </w:style>
  <w:style w:type="paragraph" w:customStyle="1" w:styleId="Footer-Landscape">
    <w:name w:val="Footer - Landscape"/>
    <w:basedOn w:val="Footer"/>
    <w:rsid w:val="003A7FBC"/>
    <w:pPr>
      <w:tabs>
        <w:tab w:val="right" w:pos="14797"/>
      </w:tabs>
      <w:kinsoku w:val="0"/>
      <w:overflowPunct w:val="0"/>
      <w:autoSpaceDE w:val="0"/>
      <w:autoSpaceDN w:val="0"/>
      <w:adjustRightInd w:val="0"/>
      <w:snapToGrid w:val="0"/>
      <w:spacing w:line="0" w:lineRule="atLeast"/>
    </w:pPr>
    <w:rPr>
      <w:rFonts w:ascii="Arial" w:hAnsi="Arial"/>
      <w:snapToGrid w:val="0"/>
      <w:sz w:val="19"/>
      <w:szCs w:val="18"/>
      <w:lang w:eastAsia="en-US"/>
    </w:rPr>
  </w:style>
  <w:style w:type="paragraph" w:customStyle="1" w:styleId="TableBullet1Normal">
    <w:name w:val="Table Bullet 1 Normal"/>
    <w:basedOn w:val="TableTextNormal"/>
    <w:rsid w:val="003A7FBC"/>
    <w:pPr>
      <w:numPr>
        <w:numId w:val="19"/>
      </w:numPr>
      <w:spacing w:before="40" w:after="40"/>
    </w:pPr>
  </w:style>
  <w:style w:type="paragraph" w:customStyle="1" w:styleId="TableTextNormal">
    <w:name w:val="Table Text Normal"/>
    <w:basedOn w:val="Normal"/>
    <w:rsid w:val="003A7FBC"/>
    <w:pPr>
      <w:kinsoku w:val="0"/>
      <w:overflowPunct w:val="0"/>
      <w:autoSpaceDE w:val="0"/>
      <w:autoSpaceDN w:val="0"/>
      <w:adjustRightInd w:val="0"/>
      <w:snapToGrid w:val="0"/>
      <w:spacing w:before="80" w:after="80" w:line="240" w:lineRule="auto"/>
    </w:pPr>
    <w:rPr>
      <w:rFonts w:ascii="Georgia" w:hAnsi="Georgia"/>
      <w:snapToGrid w:val="0"/>
      <w:lang w:eastAsia="en-US"/>
    </w:rPr>
  </w:style>
  <w:style w:type="paragraph" w:customStyle="1" w:styleId="TableBullet1Small">
    <w:name w:val="Table Bullet 1 Small"/>
    <w:basedOn w:val="TableTextSmall"/>
    <w:rsid w:val="003A7FBC"/>
    <w:pPr>
      <w:numPr>
        <w:numId w:val="20"/>
      </w:numPr>
      <w:spacing w:before="20" w:after="20"/>
    </w:pPr>
  </w:style>
  <w:style w:type="paragraph" w:customStyle="1" w:styleId="TableTextSmall">
    <w:name w:val="Table Text Small"/>
    <w:basedOn w:val="Normal"/>
    <w:rsid w:val="003A7FBC"/>
    <w:pPr>
      <w:kinsoku w:val="0"/>
      <w:overflowPunct w:val="0"/>
      <w:autoSpaceDE w:val="0"/>
      <w:autoSpaceDN w:val="0"/>
      <w:adjustRightInd w:val="0"/>
      <w:snapToGrid w:val="0"/>
      <w:spacing w:before="40" w:after="40" w:line="240" w:lineRule="auto"/>
    </w:pPr>
    <w:rPr>
      <w:rFonts w:ascii="Arial" w:hAnsi="Arial"/>
      <w:snapToGrid w:val="0"/>
      <w:sz w:val="16"/>
      <w:szCs w:val="18"/>
      <w:lang w:eastAsia="en-US"/>
    </w:rPr>
  </w:style>
  <w:style w:type="paragraph" w:customStyle="1" w:styleId="TableBullet3Normal">
    <w:name w:val="Table Bullet 3 Normal"/>
    <w:basedOn w:val="TableBullet2Normal"/>
    <w:rsid w:val="003A7FBC"/>
    <w:pPr>
      <w:numPr>
        <w:ilvl w:val="2"/>
      </w:numPr>
      <w:tabs>
        <w:tab w:val="clear" w:pos="851"/>
        <w:tab w:val="num" w:pos="567"/>
      </w:tabs>
      <w:ind w:left="567" w:hanging="283"/>
    </w:pPr>
  </w:style>
  <w:style w:type="paragraph" w:customStyle="1" w:styleId="TableBullet3Small">
    <w:name w:val="Table Bullet 3 Small"/>
    <w:basedOn w:val="TableBullet2Small"/>
    <w:rsid w:val="003A7FBC"/>
    <w:pPr>
      <w:numPr>
        <w:ilvl w:val="2"/>
      </w:numPr>
    </w:pPr>
    <w:rPr>
      <w:szCs w:val="16"/>
    </w:rPr>
  </w:style>
  <w:style w:type="paragraph" w:customStyle="1" w:styleId="BlockText2">
    <w:name w:val="Block Text 2"/>
    <w:basedOn w:val="Normal"/>
    <w:qFormat/>
    <w:rsid w:val="003A7FBC"/>
    <w:pPr>
      <w:pBdr>
        <w:top w:val="single" w:sz="2" w:space="10" w:color="00B2A9" w:themeColor="text2"/>
        <w:left w:val="single" w:sz="2" w:space="10" w:color="00B2A9" w:themeColor="text2"/>
        <w:bottom w:val="single" w:sz="2" w:space="10" w:color="00B2A9" w:themeColor="text2"/>
        <w:right w:val="single" w:sz="2" w:space="10" w:color="00B2A9" w:themeColor="text2"/>
      </w:pBdr>
      <w:shd w:val="clear" w:color="auto" w:fill="00B2A9" w:themeFill="text2"/>
      <w:spacing w:after="240" w:line="240" w:lineRule="auto"/>
      <w:ind w:left="227" w:right="227"/>
    </w:pPr>
    <w:rPr>
      <w:rFonts w:ascii="Georgia" w:eastAsiaTheme="minorHAnsi" w:hAnsi="Georgia" w:cstheme="minorBidi"/>
      <w:i/>
      <w:color w:val="E5F7F6" w:themeColor="background2"/>
      <w:sz w:val="48"/>
      <w:szCs w:val="48"/>
      <w:lang w:val="en-GB" w:eastAsia="en-US"/>
    </w:rPr>
  </w:style>
  <w:style w:type="paragraph" w:customStyle="1" w:styleId="Appendix">
    <w:name w:val="Appendix"/>
    <w:basedOn w:val="Heading1"/>
    <w:next w:val="Normal"/>
    <w:uiPriority w:val="99"/>
    <w:qFormat/>
    <w:rsid w:val="003A7FBC"/>
    <w:pPr>
      <w:numPr>
        <w:numId w:val="24"/>
      </w:numPr>
      <w:spacing w:after="480" w:line="600" w:lineRule="atLeast"/>
    </w:pPr>
    <w:rPr>
      <w:rFonts w:asciiTheme="majorHAnsi" w:eastAsiaTheme="majorEastAsia" w:hAnsiTheme="majorHAnsi" w:cstheme="majorBidi"/>
      <w:i/>
      <w:color w:val="auto"/>
      <w:kern w:val="0"/>
      <w:sz w:val="56"/>
      <w:szCs w:val="28"/>
      <w:lang w:val="en-GB" w:eastAsia="en-US"/>
    </w:rPr>
  </w:style>
  <w:style w:type="numbering" w:customStyle="1" w:styleId="PwCAppendixList1">
    <w:name w:val="PwC Appendix List 1"/>
    <w:uiPriority w:val="99"/>
    <w:rsid w:val="003A7FBC"/>
    <w:pPr>
      <w:numPr>
        <w:numId w:val="23"/>
      </w:numPr>
    </w:pPr>
  </w:style>
  <w:style w:type="paragraph" w:customStyle="1" w:styleId="Majorheading">
    <w:name w:val="Major heading"/>
    <w:basedOn w:val="Normal"/>
    <w:next w:val="PwCNormal"/>
    <w:rsid w:val="003A7FBC"/>
    <w:pPr>
      <w:keepNext/>
      <w:keepLines/>
      <w:kinsoku w:val="0"/>
      <w:overflowPunct w:val="0"/>
      <w:autoSpaceDE w:val="0"/>
      <w:autoSpaceDN w:val="0"/>
      <w:adjustRightInd w:val="0"/>
      <w:snapToGrid w:val="0"/>
      <w:spacing w:before="240" w:after="40" w:line="240" w:lineRule="auto"/>
    </w:pPr>
    <w:rPr>
      <w:rFonts w:asciiTheme="majorHAnsi" w:hAnsiTheme="majorHAnsi"/>
      <w:b/>
      <w:i/>
      <w:snapToGrid w:val="0"/>
      <w:color w:val="00B2A9" w:themeColor="text2"/>
      <w:sz w:val="28"/>
      <w:szCs w:val="24"/>
      <w:lang w:eastAsia="en-US"/>
    </w:rPr>
  </w:style>
  <w:style w:type="numbering" w:customStyle="1" w:styleId="TableBulletNormalList">
    <w:name w:val="Table Bullet Normal List"/>
    <w:rsid w:val="003A7FBC"/>
    <w:pPr>
      <w:numPr>
        <w:numId w:val="18"/>
      </w:numPr>
    </w:pPr>
  </w:style>
  <w:style w:type="paragraph" w:customStyle="1" w:styleId="Disclaimer">
    <w:name w:val="Disclaimer"/>
    <w:basedOn w:val="Normal"/>
    <w:unhideWhenUsed/>
    <w:rsid w:val="003A7FBC"/>
    <w:pPr>
      <w:kinsoku w:val="0"/>
      <w:overflowPunct w:val="0"/>
      <w:autoSpaceDE w:val="0"/>
      <w:autoSpaceDN w:val="0"/>
      <w:adjustRightInd w:val="0"/>
      <w:snapToGrid w:val="0"/>
      <w:spacing w:after="140" w:line="240" w:lineRule="auto"/>
    </w:pPr>
    <w:rPr>
      <w:rFonts w:ascii="Arial" w:hAnsi="Arial"/>
      <w:snapToGrid w:val="0"/>
      <w:sz w:val="15"/>
      <w:lang w:eastAsia="en-US"/>
    </w:rPr>
  </w:style>
  <w:style w:type="paragraph" w:customStyle="1" w:styleId="Footer-LandscapeEven">
    <w:name w:val="Footer - Landscape Even"/>
    <w:basedOn w:val="Footer-Landscape"/>
    <w:rsid w:val="003A7FBC"/>
  </w:style>
  <w:style w:type="paragraph" w:customStyle="1" w:styleId="PwCNormal-Single">
    <w:name w:val="PwC Normal - Single"/>
    <w:basedOn w:val="PwCNormal"/>
    <w:rsid w:val="003A7FBC"/>
    <w:pPr>
      <w:numPr>
        <w:numId w:val="0"/>
      </w:numPr>
      <w:spacing w:after="0"/>
    </w:pPr>
  </w:style>
  <w:style w:type="numbering" w:customStyle="1" w:styleId="TableNumberdListNormal">
    <w:name w:val="Table Numberd List Normal"/>
    <w:uiPriority w:val="99"/>
    <w:rsid w:val="003A7FBC"/>
    <w:pPr>
      <w:numPr>
        <w:numId w:val="26"/>
      </w:numPr>
    </w:pPr>
  </w:style>
  <w:style w:type="numbering" w:customStyle="1" w:styleId="TableNumberedListSmall">
    <w:name w:val="Table Numbered List Small"/>
    <w:uiPriority w:val="99"/>
    <w:rsid w:val="003A7FBC"/>
    <w:pPr>
      <w:numPr>
        <w:numId w:val="28"/>
      </w:numPr>
    </w:pPr>
  </w:style>
  <w:style w:type="paragraph" w:customStyle="1" w:styleId="TableIndent2Normal">
    <w:name w:val="Table Indent 2 Normal"/>
    <w:basedOn w:val="TableIndent1Normal"/>
    <w:rsid w:val="003A7FBC"/>
    <w:pPr>
      <w:ind w:left="567"/>
    </w:pPr>
  </w:style>
  <w:style w:type="paragraph" w:customStyle="1" w:styleId="TableIndent2Small">
    <w:name w:val="Table Indent 2 Small"/>
    <w:basedOn w:val="TableIndent1Small"/>
    <w:rsid w:val="003A7FBC"/>
    <w:pPr>
      <w:ind w:left="567"/>
    </w:pPr>
    <w:rPr>
      <w:szCs w:val="16"/>
    </w:rPr>
  </w:style>
  <w:style w:type="paragraph" w:customStyle="1" w:styleId="KeySentence">
    <w:name w:val="Key Sentence"/>
    <w:basedOn w:val="Normal"/>
    <w:rsid w:val="003A7FBC"/>
    <w:pPr>
      <w:kinsoku w:val="0"/>
      <w:overflowPunct w:val="0"/>
      <w:autoSpaceDE w:val="0"/>
      <w:autoSpaceDN w:val="0"/>
      <w:adjustRightInd w:val="0"/>
      <w:snapToGrid w:val="0"/>
      <w:spacing w:after="160" w:line="260" w:lineRule="atLeast"/>
    </w:pPr>
    <w:rPr>
      <w:rFonts w:ascii="Georgia" w:hAnsi="Georgia"/>
      <w:i/>
      <w:snapToGrid w:val="0"/>
      <w:color w:val="00B2A9" w:themeColor="text2"/>
      <w:sz w:val="16"/>
      <w:szCs w:val="18"/>
      <w:lang w:eastAsia="en-US"/>
    </w:rPr>
  </w:style>
  <w:style w:type="numbering" w:customStyle="1" w:styleId="TableNumberedListS">
    <w:name w:val="Table Numbered List S"/>
    <w:rsid w:val="003A7FBC"/>
  </w:style>
  <w:style w:type="paragraph" w:customStyle="1" w:styleId="PrefaceTitle">
    <w:name w:val="Preface Title"/>
    <w:basedOn w:val="Heading2"/>
    <w:next w:val="PwCNormal"/>
    <w:rsid w:val="003A7FBC"/>
    <w:pPr>
      <w:pageBreakBefore/>
      <w:numPr>
        <w:ilvl w:val="0"/>
        <w:numId w:val="0"/>
      </w:numPr>
      <w:kinsoku w:val="0"/>
      <w:overflowPunct w:val="0"/>
      <w:autoSpaceDE w:val="0"/>
      <w:autoSpaceDN w:val="0"/>
      <w:adjustRightInd w:val="0"/>
      <w:snapToGrid w:val="0"/>
      <w:spacing w:after="480" w:line="600" w:lineRule="atLeast"/>
    </w:pPr>
    <w:rPr>
      <w:rFonts w:asciiTheme="majorHAnsi" w:hAnsiTheme="majorHAnsi"/>
      <w:snapToGrid w:val="0"/>
      <w:color w:val="363534" w:themeColor="text1"/>
      <w:kern w:val="0"/>
      <w:sz w:val="56"/>
      <w:szCs w:val="36"/>
      <w:lang w:eastAsia="en-US"/>
    </w:rPr>
  </w:style>
  <w:style w:type="paragraph" w:customStyle="1" w:styleId="Sources">
    <w:name w:val="Sources"/>
    <w:basedOn w:val="Normal"/>
    <w:next w:val="PwCNormal"/>
    <w:rsid w:val="003A7FBC"/>
    <w:pPr>
      <w:kinsoku w:val="0"/>
      <w:overflowPunct w:val="0"/>
      <w:autoSpaceDE w:val="0"/>
      <w:autoSpaceDN w:val="0"/>
      <w:adjustRightInd w:val="0"/>
      <w:snapToGrid w:val="0"/>
      <w:spacing w:before="80" w:after="240" w:line="180" w:lineRule="atLeast"/>
    </w:pPr>
    <w:rPr>
      <w:rFonts w:ascii="Georgia" w:hAnsi="Georgia"/>
      <w:snapToGrid w:val="0"/>
      <w:color w:val="00B2A9" w:themeColor="text2"/>
      <w:sz w:val="16"/>
      <w:lang w:eastAsia="en-US"/>
    </w:rPr>
  </w:style>
  <w:style w:type="paragraph" w:customStyle="1" w:styleId="Minorheading">
    <w:name w:val="Minor heading"/>
    <w:basedOn w:val="Majorheading"/>
    <w:next w:val="PwCNormal"/>
    <w:rsid w:val="003A7FBC"/>
    <w:pPr>
      <w:spacing w:line="180" w:lineRule="atLeast"/>
    </w:pPr>
    <w:rPr>
      <w:b w:val="0"/>
      <w:sz w:val="26"/>
    </w:rPr>
  </w:style>
  <w:style w:type="paragraph" w:customStyle="1" w:styleId="Minorheading2">
    <w:name w:val="Minor heading 2"/>
    <w:basedOn w:val="Minorheading"/>
    <w:next w:val="PwCNormal"/>
    <w:rsid w:val="003A7FBC"/>
    <w:pPr>
      <w:spacing w:after="120" w:line="240" w:lineRule="auto"/>
    </w:pPr>
    <w:rPr>
      <w:b/>
      <w:i w:val="0"/>
      <w:sz w:val="20"/>
    </w:rPr>
  </w:style>
  <w:style w:type="numbering" w:customStyle="1" w:styleId="PwCListNumbers1">
    <w:name w:val="PwC List Numbers 1"/>
    <w:uiPriority w:val="99"/>
    <w:rsid w:val="003A7FBC"/>
    <w:pPr>
      <w:numPr>
        <w:numId w:val="25"/>
      </w:numPr>
    </w:pPr>
  </w:style>
  <w:style w:type="paragraph" w:customStyle="1" w:styleId="BlockText3">
    <w:name w:val="Block Text 3"/>
    <w:basedOn w:val="BlockText"/>
    <w:qFormat/>
    <w:rsid w:val="003A7FBC"/>
    <w:pPr>
      <w:pBdr>
        <w:top w:val="single" w:sz="8" w:space="10" w:color="D2F1EF" w:themeColor="background2" w:themeShade="F2"/>
        <w:left w:val="single" w:sz="8" w:space="10" w:color="D2F1EF" w:themeColor="background2" w:themeShade="F2"/>
        <w:bottom w:val="single" w:sz="8" w:space="10" w:color="D2F1EF" w:themeColor="background2" w:themeShade="F2"/>
        <w:right w:val="single" w:sz="8" w:space="10" w:color="D2F1EF" w:themeColor="background2" w:themeShade="F2"/>
      </w:pBdr>
      <w:shd w:val="clear" w:color="auto" w:fill="D2F1EF" w:themeFill="background2" w:themeFillShade="F2"/>
      <w:spacing w:after="240" w:line="240" w:lineRule="auto"/>
      <w:ind w:left="227" w:right="227"/>
    </w:pPr>
    <w:rPr>
      <w:rFonts w:ascii="Georgia" w:hAnsi="Georgia"/>
      <w:b/>
      <w:color w:val="00B2A9" w:themeColor="accent1"/>
      <w:sz w:val="96"/>
      <w:lang w:val="en-GB" w:eastAsia="en-US"/>
    </w:rPr>
  </w:style>
  <w:style w:type="paragraph" w:customStyle="1" w:styleId="TableBullet2Normal">
    <w:name w:val="Table Bullet 2 Normal"/>
    <w:basedOn w:val="TableBullet1Normal"/>
    <w:rsid w:val="003A7FBC"/>
    <w:pPr>
      <w:numPr>
        <w:ilvl w:val="1"/>
      </w:numPr>
    </w:pPr>
  </w:style>
  <w:style w:type="paragraph" w:customStyle="1" w:styleId="TableBullet2Small">
    <w:name w:val="Table Bullet 2 Small"/>
    <w:basedOn w:val="TableBullet1Small"/>
    <w:rsid w:val="003A7FBC"/>
    <w:pPr>
      <w:numPr>
        <w:ilvl w:val="1"/>
      </w:numPr>
    </w:pPr>
  </w:style>
  <w:style w:type="paragraph" w:customStyle="1" w:styleId="TableIndent1Normal">
    <w:name w:val="Table Indent 1 Normal"/>
    <w:basedOn w:val="TableBullet1Normal"/>
    <w:rsid w:val="003A7FBC"/>
    <w:pPr>
      <w:numPr>
        <w:numId w:val="0"/>
      </w:numPr>
      <w:ind w:left="284"/>
    </w:pPr>
  </w:style>
  <w:style w:type="paragraph" w:customStyle="1" w:styleId="TableIndent1Small">
    <w:name w:val="Table Indent 1 Small"/>
    <w:basedOn w:val="TableBullet1Small"/>
    <w:rsid w:val="003A7FBC"/>
    <w:pPr>
      <w:numPr>
        <w:numId w:val="0"/>
      </w:numPr>
      <w:ind w:left="284"/>
    </w:pPr>
  </w:style>
  <w:style w:type="paragraph" w:customStyle="1" w:styleId="SubHeading">
    <w:name w:val="Sub Heading"/>
    <w:basedOn w:val="PwCNormal"/>
    <w:rsid w:val="003A7FBC"/>
    <w:pPr>
      <w:spacing w:after="480" w:line="600" w:lineRule="atLeast"/>
    </w:pPr>
    <w:rPr>
      <w:sz w:val="56"/>
    </w:rPr>
  </w:style>
  <w:style w:type="character" w:styleId="EndnoteReference">
    <w:name w:val="endnote reference"/>
    <w:basedOn w:val="DefaultParagraphFont"/>
    <w:semiHidden/>
    <w:unhideWhenUsed/>
    <w:rsid w:val="003A7FBC"/>
    <w:rPr>
      <w:rFonts w:ascii="Arial" w:hAnsi="Arial" w:cs="Arial"/>
      <w:sz w:val="21"/>
      <w:vertAlign w:val="superscript"/>
    </w:rPr>
  </w:style>
  <w:style w:type="paragraph" w:styleId="EndnoteText">
    <w:name w:val="endnote text"/>
    <w:basedOn w:val="FootnoteText"/>
    <w:link w:val="EndnoteTextChar"/>
    <w:semiHidden/>
    <w:unhideWhenUsed/>
    <w:rsid w:val="003A7FBC"/>
    <w:pPr>
      <w:kinsoku w:val="0"/>
      <w:overflowPunct w:val="0"/>
      <w:autoSpaceDE w:val="0"/>
      <w:autoSpaceDN w:val="0"/>
      <w:adjustRightInd w:val="0"/>
      <w:snapToGrid w:val="0"/>
      <w:spacing w:before="80" w:after="80" w:line="240" w:lineRule="auto"/>
      <w:ind w:left="227" w:hanging="227"/>
    </w:pPr>
    <w:rPr>
      <w:rFonts w:ascii="Georgia" w:hAnsi="Georgia"/>
      <w:snapToGrid w:val="0"/>
      <w:kern w:val="0"/>
      <w:lang w:eastAsia="en-US"/>
    </w:rPr>
  </w:style>
  <w:style w:type="character" w:customStyle="1" w:styleId="EndnoteTextChar">
    <w:name w:val="Endnote Text Char"/>
    <w:basedOn w:val="DefaultParagraphFont"/>
    <w:link w:val="EndnoteText"/>
    <w:semiHidden/>
    <w:rsid w:val="003A7FBC"/>
    <w:rPr>
      <w:rFonts w:ascii="Georgia" w:hAnsi="Georgia"/>
      <w:snapToGrid w:val="0"/>
      <w:color w:val="auto"/>
      <w:sz w:val="14"/>
      <w:lang w:eastAsia="en-US"/>
    </w:rPr>
  </w:style>
  <w:style w:type="paragraph" w:customStyle="1" w:styleId="Address">
    <w:name w:val="Address"/>
    <w:basedOn w:val="Normal"/>
    <w:qFormat/>
    <w:rsid w:val="003A7FBC"/>
    <w:pPr>
      <w:spacing w:line="200" w:lineRule="atLeast"/>
    </w:pPr>
    <w:rPr>
      <w:rFonts w:ascii="Georgia" w:eastAsiaTheme="minorHAnsi" w:hAnsi="Georgia" w:cstheme="minorBidi"/>
      <w:i/>
      <w:noProof/>
      <w:sz w:val="18"/>
      <w:szCs w:val="22"/>
      <w:lang w:val="en-GB" w:eastAsia="en-GB"/>
    </w:rPr>
  </w:style>
  <w:style w:type="paragraph" w:styleId="TOC9">
    <w:name w:val="toc 9"/>
    <w:basedOn w:val="TOC8"/>
    <w:next w:val="PwCNormal"/>
    <w:uiPriority w:val="39"/>
    <w:rsid w:val="003A7FBC"/>
    <w:pPr>
      <w:tabs>
        <w:tab w:val="clear" w:pos="9582"/>
        <w:tab w:val="left" w:pos="4253"/>
        <w:tab w:val="right" w:pos="8220"/>
      </w:tabs>
      <w:kinsoku w:val="0"/>
      <w:overflowPunct w:val="0"/>
      <w:autoSpaceDE w:val="0"/>
      <w:autoSpaceDN w:val="0"/>
      <w:adjustRightInd w:val="0"/>
      <w:snapToGrid w:val="0"/>
      <w:spacing w:before="240" w:after="240"/>
      <w:ind w:left="4253" w:hanging="851"/>
    </w:pPr>
    <w:rPr>
      <w:rFonts w:ascii="Georgia" w:hAnsi="Georgia"/>
      <w:b w:val="0"/>
      <w:snapToGrid w:val="0"/>
      <w:color w:val="auto"/>
      <w:lang w:eastAsia="en-US"/>
    </w:rPr>
  </w:style>
  <w:style w:type="paragraph" w:customStyle="1" w:styleId="Separator">
    <w:name w:val="Separator"/>
    <w:basedOn w:val="Normal"/>
    <w:semiHidden/>
    <w:rsid w:val="003A7FBC"/>
    <w:pPr>
      <w:kinsoku w:val="0"/>
      <w:overflowPunct w:val="0"/>
      <w:autoSpaceDE w:val="0"/>
      <w:autoSpaceDN w:val="0"/>
      <w:adjustRightInd w:val="0"/>
      <w:snapToGrid w:val="0"/>
      <w:spacing w:before="240" w:after="120" w:line="240" w:lineRule="auto"/>
    </w:pPr>
    <w:rPr>
      <w:rFonts w:ascii="Georgia" w:hAnsi="Georgia"/>
      <w:snapToGrid w:val="0"/>
      <w:sz w:val="16"/>
      <w:lang w:eastAsia="en-US"/>
    </w:rPr>
  </w:style>
  <w:style w:type="numbering" w:customStyle="1" w:styleId="TableNumberedListN">
    <w:name w:val="Table Numbered List N"/>
    <w:rsid w:val="003A7FBC"/>
  </w:style>
  <w:style w:type="paragraph" w:customStyle="1" w:styleId="TableColumnHeadingNormal">
    <w:name w:val="Table Column Heading Normal"/>
    <w:basedOn w:val="TableTextNormal"/>
    <w:rsid w:val="003A7FBC"/>
    <w:pPr>
      <w:keepNext/>
      <w:keepLines/>
    </w:pPr>
    <w:rPr>
      <w:b/>
      <w:color w:val="00B2A9" w:themeColor="text2"/>
    </w:rPr>
  </w:style>
  <w:style w:type="paragraph" w:customStyle="1" w:styleId="Tablecolumnhead">
    <w:name w:val="Table column head"/>
    <w:basedOn w:val="TableTextSmall"/>
    <w:next w:val="TableTextSmall"/>
    <w:rsid w:val="00414B82"/>
    <w:pPr>
      <w:keepNext/>
      <w:keepLines/>
    </w:pPr>
    <w:rPr>
      <w:b/>
      <w:color w:val="FFFFFF" w:themeColor="background1"/>
      <w:sz w:val="20"/>
      <w:szCs w:val="16"/>
    </w:rPr>
  </w:style>
  <w:style w:type="numbering" w:customStyle="1" w:styleId="TableBulletSmallList">
    <w:name w:val="Table Bullet Small List"/>
    <w:rsid w:val="003A7FBC"/>
    <w:pPr>
      <w:numPr>
        <w:numId w:val="17"/>
      </w:numPr>
    </w:pPr>
  </w:style>
  <w:style w:type="paragraph" w:customStyle="1" w:styleId="Header-Landscape">
    <w:name w:val="Header - Landscape"/>
    <w:basedOn w:val="Header"/>
    <w:rsid w:val="003A7FBC"/>
    <w:pPr>
      <w:tabs>
        <w:tab w:val="right" w:pos="8220"/>
      </w:tabs>
      <w:kinsoku w:val="0"/>
      <w:overflowPunct w:val="0"/>
      <w:autoSpaceDE w:val="0"/>
      <w:autoSpaceDN w:val="0"/>
      <w:adjustRightInd w:val="0"/>
      <w:snapToGrid w:val="0"/>
    </w:pPr>
    <w:rPr>
      <w:rFonts w:ascii="Arial" w:hAnsi="Arial"/>
      <w:snapToGrid w:val="0"/>
      <w:sz w:val="19"/>
      <w:szCs w:val="18"/>
      <w:lang w:eastAsia="en-US"/>
    </w:rPr>
  </w:style>
  <w:style w:type="paragraph" w:customStyle="1" w:styleId="Indent8">
    <w:name w:val="Indent 8"/>
    <w:basedOn w:val="Indent7"/>
    <w:rsid w:val="003A7FBC"/>
    <w:pPr>
      <w:numPr>
        <w:ilvl w:val="8"/>
      </w:numPr>
    </w:pPr>
  </w:style>
  <w:style w:type="paragraph" w:customStyle="1" w:styleId="Header-LandscapeEven">
    <w:name w:val="Header - Landscape Even"/>
    <w:basedOn w:val="Header-Landscape"/>
    <w:rsid w:val="003A7FBC"/>
    <w:pPr>
      <w:tabs>
        <w:tab w:val="right" w:pos="14661"/>
      </w:tabs>
    </w:pPr>
  </w:style>
  <w:style w:type="paragraph" w:customStyle="1" w:styleId="Footer-ToC">
    <w:name w:val="Footer - ToC"/>
    <w:basedOn w:val="Footer"/>
    <w:rsid w:val="003A7FBC"/>
    <w:pPr>
      <w:tabs>
        <w:tab w:val="right" w:pos="8220"/>
      </w:tabs>
      <w:kinsoku w:val="0"/>
      <w:overflowPunct w:val="0"/>
      <w:autoSpaceDE w:val="0"/>
      <w:autoSpaceDN w:val="0"/>
      <w:adjustRightInd w:val="0"/>
      <w:snapToGrid w:val="0"/>
      <w:spacing w:line="0" w:lineRule="atLeast"/>
    </w:pPr>
    <w:rPr>
      <w:rFonts w:ascii="Arial" w:hAnsi="Arial"/>
      <w:snapToGrid w:val="0"/>
      <w:sz w:val="19"/>
      <w:szCs w:val="18"/>
      <w:lang w:eastAsia="en-US"/>
    </w:rPr>
  </w:style>
  <w:style w:type="paragraph" w:customStyle="1" w:styleId="Footer-ToCEven">
    <w:name w:val="Footer - ToC Even"/>
    <w:basedOn w:val="Footer-ToC"/>
    <w:rsid w:val="003A7FBC"/>
  </w:style>
  <w:style w:type="table" w:customStyle="1" w:styleId="Tables-APBase">
    <w:name w:val="Tables - AP Base"/>
    <w:basedOn w:val="TableNormal"/>
    <w:rsid w:val="003A7FBC"/>
    <w:pPr>
      <w:spacing w:line="240" w:lineRule="auto"/>
    </w:pPr>
    <w:rPr>
      <w:rFonts w:ascii="Georgia" w:hAnsi="Georgia" w:cs="Times New Roman"/>
      <w:color w:val="auto"/>
    </w:rPr>
    <w:tblPr>
      <w:tblStyleRowBandSize w:val="1"/>
      <w:tblStyleColBandSize w:val="1"/>
      <w:tblBorders>
        <w:top w:val="single" w:sz="4" w:space="0" w:color="FFFFFF"/>
        <w:left w:val="single" w:sz="4" w:space="0" w:color="FFFFFF"/>
        <w:bottom w:val="single" w:sz="6" w:space="0" w:color="00B2A9" w:themeColor="text2"/>
        <w:right w:val="single" w:sz="4" w:space="0" w:color="FFFFFF"/>
        <w:insideH w:val="dotted" w:sz="8" w:space="0" w:color="00B2A9"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00B2A9" w:themeColor="text2"/>
          <w:bottom w:val="single" w:sz="4" w:space="0" w:color="00B2A9" w:themeColor="text2"/>
        </w:tcBorders>
      </w:tcPr>
    </w:tblStylePr>
    <w:tblStylePr w:type="lastRow">
      <w:rPr>
        <w:color w:val="auto"/>
      </w:rPr>
      <w:tblPr/>
      <w:tcPr>
        <w:tcBorders>
          <w:top w:val="single" w:sz="4" w:space="0" w:color="00B2A9"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3A7FBC"/>
  </w:style>
  <w:style w:type="paragraph" w:customStyle="1" w:styleId="ListBullet1">
    <w:name w:val="List Bullet 1"/>
    <w:basedOn w:val="Normal"/>
    <w:semiHidden/>
    <w:locked/>
    <w:rsid w:val="003A7FBC"/>
    <w:pPr>
      <w:tabs>
        <w:tab w:val="num" w:pos="720"/>
      </w:tabs>
      <w:kinsoku w:val="0"/>
      <w:overflowPunct w:val="0"/>
      <w:autoSpaceDE w:val="0"/>
      <w:autoSpaceDN w:val="0"/>
      <w:adjustRightInd w:val="0"/>
      <w:snapToGrid w:val="0"/>
      <w:spacing w:before="100" w:after="100" w:line="240" w:lineRule="auto"/>
      <w:ind w:left="720" w:hanging="720"/>
    </w:pPr>
    <w:rPr>
      <w:rFonts w:ascii="Georgia" w:hAnsi="Georgia"/>
      <w:snapToGrid w:val="0"/>
      <w:lang w:eastAsia="en-US"/>
    </w:rPr>
  </w:style>
  <w:style w:type="paragraph" w:styleId="ListBullet4">
    <w:name w:val="List Bullet 4"/>
    <w:basedOn w:val="ListBullet3"/>
    <w:unhideWhenUsed/>
    <w:rsid w:val="003A7FBC"/>
    <w:pPr>
      <w:numPr>
        <w:ilvl w:val="0"/>
        <w:numId w:val="0"/>
      </w:numPr>
      <w:tabs>
        <w:tab w:val="num" w:pos="1134"/>
      </w:tabs>
      <w:kinsoku w:val="0"/>
      <w:overflowPunct w:val="0"/>
      <w:autoSpaceDE w:val="0"/>
      <w:autoSpaceDN w:val="0"/>
      <w:adjustRightInd w:val="0"/>
      <w:snapToGrid w:val="0"/>
      <w:spacing w:line="240" w:lineRule="auto"/>
      <w:ind w:left="1136" w:hanging="284"/>
    </w:pPr>
    <w:rPr>
      <w:rFonts w:ascii="Georgia" w:hAnsi="Georgia"/>
      <w:snapToGrid w:val="0"/>
      <w:lang w:eastAsia="en-US"/>
    </w:rPr>
  </w:style>
  <w:style w:type="paragraph" w:customStyle="1" w:styleId="CVBullet1">
    <w:name w:val="CV Bullet 1"/>
    <w:basedOn w:val="CVText"/>
    <w:rsid w:val="003A7FBC"/>
    <w:pPr>
      <w:numPr>
        <w:numId w:val="22"/>
      </w:numPr>
      <w:ind w:left="0" w:firstLine="0"/>
    </w:pPr>
  </w:style>
  <w:style w:type="paragraph" w:customStyle="1" w:styleId="CVDetails">
    <w:name w:val="CV Details"/>
    <w:basedOn w:val="CVRoleTitle"/>
    <w:rsid w:val="003A7FBC"/>
    <w:pPr>
      <w:pBdr>
        <w:bottom w:val="none" w:sz="0" w:space="0" w:color="00457C"/>
      </w:pBdr>
      <w:spacing w:before="120" w:after="40"/>
    </w:pPr>
    <w:rPr>
      <w:i/>
      <w:color w:val="00B2A9" w:themeColor="text2"/>
      <w:sz w:val="14"/>
      <w:szCs w:val="24"/>
    </w:rPr>
  </w:style>
  <w:style w:type="paragraph" w:customStyle="1" w:styleId="CVHeading2">
    <w:name w:val="CV Heading 2"/>
    <w:basedOn w:val="CVHeading1"/>
    <w:next w:val="CVText"/>
    <w:rsid w:val="003A7FBC"/>
    <w:pPr>
      <w:keepNext/>
      <w:keepLines/>
      <w:pBdr>
        <w:bottom w:val="none" w:sz="0" w:space="0" w:color="00457C"/>
      </w:pBdr>
      <w:spacing w:before="120"/>
    </w:pPr>
    <w:rPr>
      <w:i/>
      <w:color w:val="00B2A9" w:themeColor="text2"/>
      <w:sz w:val="18"/>
      <w:szCs w:val="24"/>
    </w:rPr>
  </w:style>
  <w:style w:type="paragraph" w:customStyle="1" w:styleId="CVHeading1">
    <w:name w:val="CV Heading 1"/>
    <w:basedOn w:val="CVText"/>
    <w:next w:val="CVText"/>
    <w:rsid w:val="003A7FBC"/>
  </w:style>
  <w:style w:type="paragraph" w:customStyle="1" w:styleId="CVPhoto">
    <w:name w:val="CV Photo"/>
    <w:basedOn w:val="CVHeading2"/>
    <w:rsid w:val="003A7FBC"/>
    <w:rPr>
      <w:sz w:val="21"/>
    </w:rPr>
  </w:style>
  <w:style w:type="paragraph" w:customStyle="1" w:styleId="CVText">
    <w:name w:val="CV Text"/>
    <w:basedOn w:val="PwCNormal"/>
    <w:rsid w:val="003A7FBC"/>
    <w:pPr>
      <w:numPr>
        <w:numId w:val="0"/>
      </w:numPr>
      <w:spacing w:before="80" w:after="80"/>
    </w:pPr>
  </w:style>
  <w:style w:type="paragraph" w:customStyle="1" w:styleId="CVNamelarge">
    <w:name w:val="CV Name large"/>
    <w:basedOn w:val="CVText"/>
    <w:next w:val="CVRoleTitle"/>
    <w:rsid w:val="003A7FBC"/>
  </w:style>
  <w:style w:type="paragraph" w:customStyle="1" w:styleId="CVBullet2">
    <w:name w:val="CV Bullet 2"/>
    <w:basedOn w:val="CVBullet1"/>
    <w:rsid w:val="003A7FBC"/>
    <w:pPr>
      <w:numPr>
        <w:ilvl w:val="1"/>
      </w:numPr>
      <w:tabs>
        <w:tab w:val="num" w:pos="567"/>
      </w:tabs>
      <w:ind w:left="0" w:firstLine="0"/>
    </w:pPr>
  </w:style>
  <w:style w:type="numbering" w:customStyle="1" w:styleId="Style1">
    <w:name w:val="Style1"/>
    <w:uiPriority w:val="99"/>
    <w:rsid w:val="003A7FBC"/>
    <w:pPr>
      <w:numPr>
        <w:numId w:val="34"/>
      </w:numPr>
    </w:pPr>
  </w:style>
  <w:style w:type="numbering" w:customStyle="1" w:styleId="IndentList">
    <w:name w:val="IndentList"/>
    <w:basedOn w:val="NoList"/>
    <w:rsid w:val="003A7FBC"/>
    <w:pPr>
      <w:numPr>
        <w:numId w:val="39"/>
      </w:numPr>
    </w:pPr>
  </w:style>
  <w:style w:type="paragraph" w:customStyle="1" w:styleId="VersionControl">
    <w:name w:val="Version Control"/>
    <w:basedOn w:val="TOCtitle"/>
    <w:unhideWhenUsed/>
    <w:rsid w:val="003A7FBC"/>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A7FBC"/>
    <w:pPr>
      <w:framePr w:wrap="around"/>
    </w:pPr>
  </w:style>
  <w:style w:type="paragraph" w:customStyle="1" w:styleId="VersionTableText">
    <w:name w:val="Version Table Text"/>
    <w:basedOn w:val="VersionControl"/>
    <w:unhideWhenUsed/>
    <w:rsid w:val="003A7FBC"/>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3A7FBC"/>
    <w:tblPr/>
    <w:tcPr>
      <w:shd w:val="clear" w:color="auto" w:fill="auto"/>
    </w:tcPr>
    <w:tblStylePr w:type="firstRow">
      <w:pPr>
        <w:jc w:val="center"/>
      </w:pPr>
      <w:rPr>
        <w:rFonts w:asciiTheme="minorHAnsi" w:hAnsiTheme="minorHAnsi"/>
        <w:b/>
        <w:color w:val="E5F7F6" w:themeColor="background2"/>
      </w:rPr>
      <w:tblPr/>
      <w:trPr>
        <w:tblHeader/>
      </w:trPr>
      <w:tcPr>
        <w:tcBorders>
          <w:top w:val="single" w:sz="4" w:space="0" w:color="00B2A9" w:themeColor="text2"/>
          <w:bottom w:val="single" w:sz="4" w:space="0" w:color="00B2A9" w:themeColor="text2"/>
        </w:tcBorders>
        <w:shd w:val="clear" w:color="auto" w:fill="00B2A9" w:themeFill="text2"/>
        <w:vAlign w:val="bottom"/>
      </w:tcPr>
    </w:tblStylePr>
    <w:tblStylePr w:type="lastRow">
      <w:rPr>
        <w:color w:val="FFFFFF" w:themeColor="background1"/>
      </w:rPr>
      <w:tblPr/>
      <w:tcPr>
        <w:tcBorders>
          <w:top w:val="single" w:sz="4" w:space="0" w:color="00B2A9" w:themeColor="text2"/>
        </w:tcBorders>
        <w:shd w:val="clear" w:color="auto" w:fill="00B2A9" w:themeFill="text2"/>
      </w:tcPr>
    </w:tblStylePr>
    <w:tblStylePr w:type="firstCol">
      <w:tblPr/>
      <w:tcPr>
        <w:shd w:val="clear" w:color="auto" w:fill="E5F7F6" w:themeFill="background2"/>
      </w:tcPr>
    </w:tblStylePr>
    <w:tblStylePr w:type="lastCol">
      <w:tblPr/>
      <w:tcPr>
        <w:shd w:val="clear" w:color="auto" w:fill="E5F7F6" w:themeFill="background2"/>
      </w:tcPr>
    </w:tblStylePr>
    <w:tblStylePr w:type="band2Vert">
      <w:tblPr/>
      <w:tcPr>
        <w:shd w:val="clear" w:color="auto" w:fill="BCFFFB" w:themeFill="text2" w:themeFillTint="33"/>
      </w:tcPr>
    </w:tblStylePr>
    <w:tblStylePr w:type="band2Horz">
      <w:tblPr/>
      <w:tcPr>
        <w:shd w:val="clear" w:color="auto" w:fill="BCFFFB" w:themeFill="text2" w:themeFillTint="33"/>
      </w:tcPr>
    </w:tblStylePr>
    <w:tblStylePr w:type="nwCell">
      <w:pPr>
        <w:jc w:val="left"/>
      </w:pPr>
      <w:tblPr/>
      <w:tcPr>
        <w:shd w:val="clear" w:color="auto" w:fill="FFFFFF" w:themeFill="background1"/>
        <w:vAlign w:val="bottom"/>
      </w:tcPr>
    </w:tblStylePr>
  </w:style>
  <w:style w:type="paragraph" w:customStyle="1" w:styleId="Header-FirstPage">
    <w:name w:val="Header - First Page"/>
    <w:basedOn w:val="Header"/>
    <w:rsid w:val="003A7FBC"/>
    <w:pPr>
      <w:tabs>
        <w:tab w:val="right" w:pos="8220"/>
      </w:tabs>
      <w:kinsoku w:val="0"/>
      <w:overflowPunct w:val="0"/>
      <w:autoSpaceDE w:val="0"/>
      <w:autoSpaceDN w:val="0"/>
      <w:adjustRightInd w:val="0"/>
      <w:snapToGrid w:val="0"/>
    </w:pPr>
    <w:rPr>
      <w:rFonts w:ascii="Arial" w:hAnsi="Arial"/>
      <w:snapToGrid w:val="0"/>
      <w:sz w:val="19"/>
      <w:szCs w:val="18"/>
      <w:lang w:eastAsia="en-US"/>
    </w:rPr>
  </w:style>
  <w:style w:type="paragraph" w:customStyle="1" w:styleId="Appendicestitle">
    <w:name w:val="Appendices title"/>
    <w:basedOn w:val="TOCtitle"/>
    <w:qFormat/>
    <w:rsid w:val="003A7FBC"/>
    <w:pPr>
      <w:pageBreakBefore w:val="0"/>
    </w:pPr>
  </w:style>
  <w:style w:type="numbering" w:customStyle="1" w:styleId="CVBullets">
    <w:name w:val="CV Bullets"/>
    <w:uiPriority w:val="99"/>
    <w:rsid w:val="003A7FBC"/>
    <w:pPr>
      <w:numPr>
        <w:numId w:val="21"/>
      </w:numPr>
    </w:pPr>
  </w:style>
  <w:style w:type="paragraph" w:styleId="DocumentMap">
    <w:name w:val="Document Map"/>
    <w:basedOn w:val="Normal"/>
    <w:link w:val="DocumentMapChar"/>
    <w:semiHidden/>
    <w:rsid w:val="003A7FBC"/>
    <w:pPr>
      <w:kinsoku w:val="0"/>
      <w:overflowPunct w:val="0"/>
      <w:autoSpaceDE w:val="0"/>
      <w:autoSpaceDN w:val="0"/>
      <w:adjustRightInd w:val="0"/>
      <w:snapToGrid w:val="0"/>
      <w:spacing w:line="240" w:lineRule="auto"/>
    </w:pPr>
    <w:rPr>
      <w:rFonts w:ascii="Tahoma" w:hAnsi="Tahoma" w:cs="Tahoma"/>
      <w:snapToGrid w:val="0"/>
      <w:sz w:val="16"/>
      <w:szCs w:val="16"/>
      <w:lang w:eastAsia="en-US"/>
    </w:rPr>
  </w:style>
  <w:style w:type="character" w:customStyle="1" w:styleId="DocumentMapChar">
    <w:name w:val="Document Map Char"/>
    <w:basedOn w:val="DefaultParagraphFont"/>
    <w:link w:val="DocumentMap"/>
    <w:semiHidden/>
    <w:rsid w:val="003A7FBC"/>
    <w:rPr>
      <w:rFonts w:ascii="Tahoma" w:hAnsi="Tahoma" w:cs="Tahoma"/>
      <w:snapToGrid w:val="0"/>
      <w:color w:val="auto"/>
      <w:sz w:val="16"/>
      <w:szCs w:val="16"/>
      <w:lang w:eastAsia="en-US"/>
    </w:rPr>
  </w:style>
  <w:style w:type="table" w:styleId="TableGrid2">
    <w:name w:val="Table Grid 2"/>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7FBC"/>
    <w:pPr>
      <w:kinsoku w:val="0"/>
      <w:overflowPunct w:val="0"/>
      <w:autoSpaceDE w:val="0"/>
      <w:autoSpaceDN w:val="0"/>
      <w:adjustRightInd w:val="0"/>
      <w:snapToGrid w:val="0"/>
      <w:spacing w:line="240" w:lineRule="auto"/>
    </w:pPr>
    <w:rPr>
      <w:rFonts w:ascii="Georgia" w:hAnsi="Georgia"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3A7FBC"/>
    <w:pPr>
      <w:kinsoku w:val="0"/>
      <w:overflowPunct w:val="0"/>
      <w:autoSpaceDE w:val="0"/>
      <w:autoSpaceDN w:val="0"/>
      <w:adjustRightInd w:val="0"/>
      <w:snapToGrid w:val="0"/>
      <w:spacing w:line="240" w:lineRule="auto"/>
    </w:pPr>
    <w:rPr>
      <w:rFonts w:ascii="Georgia" w:hAnsi="Georgia"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rsid w:val="003A7FBC"/>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spacing w:line="240" w:lineRule="auto"/>
    </w:pPr>
    <w:rPr>
      <w:rFonts w:ascii="Consolas" w:hAnsi="Consolas"/>
      <w:snapToGrid w:val="0"/>
      <w:color w:val="auto"/>
      <w:lang w:eastAsia="en-US"/>
    </w:rPr>
  </w:style>
  <w:style w:type="character" w:customStyle="1" w:styleId="MacroTextChar">
    <w:name w:val="Macro Text Char"/>
    <w:basedOn w:val="DefaultParagraphFont"/>
    <w:link w:val="MacroText"/>
    <w:rsid w:val="003A7FBC"/>
    <w:rPr>
      <w:rFonts w:ascii="Consolas" w:hAnsi="Consolas"/>
      <w:snapToGrid w:val="0"/>
      <w:color w:val="auto"/>
      <w:lang w:eastAsia="en-US"/>
    </w:rPr>
  </w:style>
  <w:style w:type="paragraph" w:styleId="Bibliography">
    <w:name w:val="Bibliography"/>
    <w:basedOn w:val="Normal"/>
    <w:next w:val="Normal"/>
    <w:uiPriority w:val="37"/>
    <w:semiHidden/>
    <w:rsid w:val="003A7FBC"/>
    <w:pPr>
      <w:kinsoku w:val="0"/>
      <w:overflowPunct w:val="0"/>
      <w:autoSpaceDE w:val="0"/>
      <w:autoSpaceDN w:val="0"/>
      <w:adjustRightInd w:val="0"/>
      <w:snapToGrid w:val="0"/>
      <w:spacing w:line="240" w:lineRule="auto"/>
    </w:pPr>
    <w:rPr>
      <w:rFonts w:ascii="Georgia" w:hAnsi="Georgia"/>
      <w:snapToGrid w:val="0"/>
      <w:lang w:eastAsia="en-US"/>
    </w:rPr>
  </w:style>
  <w:style w:type="paragraph" w:styleId="BodyText2">
    <w:name w:val="Body Text 2"/>
    <w:basedOn w:val="Normal"/>
    <w:link w:val="BodyText2Char"/>
    <w:semiHidden/>
    <w:rsid w:val="003A7FBC"/>
    <w:pPr>
      <w:kinsoku w:val="0"/>
      <w:overflowPunct w:val="0"/>
      <w:autoSpaceDE w:val="0"/>
      <w:autoSpaceDN w:val="0"/>
      <w:adjustRightInd w:val="0"/>
      <w:snapToGrid w:val="0"/>
      <w:spacing w:after="120" w:line="480" w:lineRule="auto"/>
    </w:pPr>
    <w:rPr>
      <w:rFonts w:ascii="Georgia" w:hAnsi="Georgia"/>
      <w:snapToGrid w:val="0"/>
      <w:lang w:eastAsia="en-US"/>
    </w:rPr>
  </w:style>
  <w:style w:type="character" w:customStyle="1" w:styleId="BodyText2Char">
    <w:name w:val="Body Text 2 Char"/>
    <w:basedOn w:val="DefaultParagraphFont"/>
    <w:link w:val="BodyText2"/>
    <w:semiHidden/>
    <w:rsid w:val="003A7FBC"/>
    <w:rPr>
      <w:rFonts w:ascii="Georgia" w:hAnsi="Georgia"/>
      <w:snapToGrid w:val="0"/>
      <w:color w:val="auto"/>
      <w:lang w:eastAsia="en-US"/>
    </w:rPr>
  </w:style>
  <w:style w:type="paragraph" w:styleId="BodyText3">
    <w:name w:val="Body Text 3"/>
    <w:basedOn w:val="Normal"/>
    <w:link w:val="BodyText3Char"/>
    <w:semiHidden/>
    <w:rsid w:val="003A7FBC"/>
    <w:pPr>
      <w:kinsoku w:val="0"/>
      <w:overflowPunct w:val="0"/>
      <w:autoSpaceDE w:val="0"/>
      <w:autoSpaceDN w:val="0"/>
      <w:adjustRightInd w:val="0"/>
      <w:snapToGrid w:val="0"/>
      <w:spacing w:after="120" w:line="240" w:lineRule="auto"/>
    </w:pPr>
    <w:rPr>
      <w:rFonts w:ascii="Georgia" w:hAnsi="Georgia"/>
      <w:snapToGrid w:val="0"/>
      <w:sz w:val="16"/>
      <w:szCs w:val="16"/>
      <w:lang w:eastAsia="en-US"/>
    </w:rPr>
  </w:style>
  <w:style w:type="character" w:customStyle="1" w:styleId="BodyText3Char">
    <w:name w:val="Body Text 3 Char"/>
    <w:basedOn w:val="DefaultParagraphFont"/>
    <w:link w:val="BodyText3"/>
    <w:semiHidden/>
    <w:rsid w:val="003A7FBC"/>
    <w:rPr>
      <w:rFonts w:ascii="Georgia" w:hAnsi="Georgia"/>
      <w:snapToGrid w:val="0"/>
      <w:color w:val="auto"/>
      <w:sz w:val="16"/>
      <w:szCs w:val="16"/>
      <w:lang w:eastAsia="en-US"/>
    </w:rPr>
  </w:style>
  <w:style w:type="paragraph" w:styleId="BodyTextFirstIndent">
    <w:name w:val="Body Text First Indent"/>
    <w:basedOn w:val="BodyText"/>
    <w:link w:val="BodyTextFirstIndentChar"/>
    <w:rsid w:val="003A7FBC"/>
    <w:pPr>
      <w:kinsoku w:val="0"/>
      <w:overflowPunct w:val="0"/>
      <w:autoSpaceDE w:val="0"/>
      <w:autoSpaceDN w:val="0"/>
      <w:adjustRightInd w:val="0"/>
      <w:snapToGrid w:val="0"/>
      <w:spacing w:before="0" w:after="0" w:line="240" w:lineRule="auto"/>
      <w:ind w:firstLine="360"/>
    </w:pPr>
    <w:rPr>
      <w:rFonts w:ascii="Georgia" w:hAnsi="Georgia" w:cs="Arial"/>
      <w:snapToGrid w:val="0"/>
    </w:rPr>
  </w:style>
  <w:style w:type="character" w:customStyle="1" w:styleId="BodyTextFirstIndentChar">
    <w:name w:val="Body Text First Indent Char"/>
    <w:basedOn w:val="BodyTextChar"/>
    <w:link w:val="BodyTextFirstIndent"/>
    <w:rsid w:val="003A7FBC"/>
    <w:rPr>
      <w:rFonts w:ascii="Georgia" w:hAnsi="Georgia" w:cs="Times New Roman"/>
      <w:snapToGrid w:val="0"/>
      <w:color w:val="auto"/>
      <w:lang w:eastAsia="en-US"/>
    </w:rPr>
  </w:style>
  <w:style w:type="paragraph" w:styleId="BodyTextIndent">
    <w:name w:val="Body Text Indent"/>
    <w:basedOn w:val="Normal"/>
    <w:link w:val="BodyTextIndentChar"/>
    <w:semiHidden/>
    <w:rsid w:val="003A7FBC"/>
    <w:pPr>
      <w:kinsoku w:val="0"/>
      <w:overflowPunct w:val="0"/>
      <w:autoSpaceDE w:val="0"/>
      <w:autoSpaceDN w:val="0"/>
      <w:adjustRightInd w:val="0"/>
      <w:snapToGrid w:val="0"/>
      <w:spacing w:after="120" w:line="240" w:lineRule="auto"/>
      <w:ind w:left="283"/>
    </w:pPr>
    <w:rPr>
      <w:rFonts w:ascii="Georgia" w:hAnsi="Georgia"/>
      <w:snapToGrid w:val="0"/>
      <w:lang w:eastAsia="en-US"/>
    </w:rPr>
  </w:style>
  <w:style w:type="character" w:customStyle="1" w:styleId="BodyTextIndentChar">
    <w:name w:val="Body Text Indent Char"/>
    <w:basedOn w:val="DefaultParagraphFont"/>
    <w:link w:val="BodyTextIndent"/>
    <w:semiHidden/>
    <w:rsid w:val="003A7FBC"/>
    <w:rPr>
      <w:rFonts w:ascii="Georgia" w:hAnsi="Georgia"/>
      <w:snapToGrid w:val="0"/>
      <w:color w:val="auto"/>
      <w:lang w:eastAsia="en-US"/>
    </w:rPr>
  </w:style>
  <w:style w:type="paragraph" w:styleId="BodyTextFirstIndent2">
    <w:name w:val="Body Text First Indent 2"/>
    <w:basedOn w:val="BodyTextIndent"/>
    <w:link w:val="BodyTextFirstIndent2Char"/>
    <w:semiHidden/>
    <w:rsid w:val="003A7FBC"/>
    <w:pPr>
      <w:spacing w:after="0"/>
      <w:ind w:left="360" w:firstLine="360"/>
    </w:pPr>
  </w:style>
  <w:style w:type="character" w:customStyle="1" w:styleId="BodyTextFirstIndent2Char">
    <w:name w:val="Body Text First Indent 2 Char"/>
    <w:basedOn w:val="BodyTextIndentChar"/>
    <w:link w:val="BodyTextFirstIndent2"/>
    <w:semiHidden/>
    <w:rsid w:val="003A7FBC"/>
    <w:rPr>
      <w:rFonts w:ascii="Georgia" w:hAnsi="Georgia"/>
      <w:snapToGrid w:val="0"/>
      <w:color w:val="auto"/>
      <w:lang w:eastAsia="en-US"/>
    </w:rPr>
  </w:style>
  <w:style w:type="paragraph" w:styleId="BodyTextIndent2">
    <w:name w:val="Body Text Indent 2"/>
    <w:basedOn w:val="Normal"/>
    <w:link w:val="BodyTextIndent2Char"/>
    <w:semiHidden/>
    <w:rsid w:val="003A7FBC"/>
    <w:pPr>
      <w:kinsoku w:val="0"/>
      <w:overflowPunct w:val="0"/>
      <w:autoSpaceDE w:val="0"/>
      <w:autoSpaceDN w:val="0"/>
      <w:adjustRightInd w:val="0"/>
      <w:snapToGrid w:val="0"/>
      <w:spacing w:after="120" w:line="480" w:lineRule="auto"/>
      <w:ind w:left="283"/>
    </w:pPr>
    <w:rPr>
      <w:rFonts w:ascii="Georgia" w:hAnsi="Georgia"/>
      <w:snapToGrid w:val="0"/>
      <w:lang w:eastAsia="en-US"/>
    </w:rPr>
  </w:style>
  <w:style w:type="character" w:customStyle="1" w:styleId="BodyTextIndent2Char">
    <w:name w:val="Body Text Indent 2 Char"/>
    <w:basedOn w:val="DefaultParagraphFont"/>
    <w:link w:val="BodyTextIndent2"/>
    <w:semiHidden/>
    <w:rsid w:val="003A7FBC"/>
    <w:rPr>
      <w:rFonts w:ascii="Georgia" w:hAnsi="Georgia"/>
      <w:snapToGrid w:val="0"/>
      <w:color w:val="auto"/>
      <w:lang w:eastAsia="en-US"/>
    </w:rPr>
  </w:style>
  <w:style w:type="paragraph" w:styleId="BodyTextIndent3">
    <w:name w:val="Body Text Indent 3"/>
    <w:basedOn w:val="Normal"/>
    <w:link w:val="BodyTextIndent3Char"/>
    <w:semiHidden/>
    <w:rsid w:val="003A7FBC"/>
    <w:pPr>
      <w:kinsoku w:val="0"/>
      <w:overflowPunct w:val="0"/>
      <w:autoSpaceDE w:val="0"/>
      <w:autoSpaceDN w:val="0"/>
      <w:adjustRightInd w:val="0"/>
      <w:snapToGrid w:val="0"/>
      <w:spacing w:after="120" w:line="240" w:lineRule="auto"/>
      <w:ind w:left="283"/>
    </w:pPr>
    <w:rPr>
      <w:rFonts w:ascii="Georgia" w:hAnsi="Georgia"/>
      <w:snapToGrid w:val="0"/>
      <w:sz w:val="16"/>
      <w:szCs w:val="16"/>
      <w:lang w:eastAsia="en-US"/>
    </w:rPr>
  </w:style>
  <w:style w:type="character" w:customStyle="1" w:styleId="BodyTextIndent3Char">
    <w:name w:val="Body Text Indent 3 Char"/>
    <w:basedOn w:val="DefaultParagraphFont"/>
    <w:link w:val="BodyTextIndent3"/>
    <w:semiHidden/>
    <w:rsid w:val="003A7FBC"/>
    <w:rPr>
      <w:rFonts w:ascii="Georgia" w:hAnsi="Georgia"/>
      <w:snapToGrid w:val="0"/>
      <w:color w:val="auto"/>
      <w:sz w:val="16"/>
      <w:szCs w:val="16"/>
      <w:lang w:eastAsia="en-US"/>
    </w:rPr>
  </w:style>
  <w:style w:type="character" w:styleId="BookTitle">
    <w:name w:val="Book Title"/>
    <w:basedOn w:val="DefaultParagraphFont"/>
    <w:uiPriority w:val="33"/>
    <w:qFormat/>
    <w:rsid w:val="003A7FBC"/>
    <w:rPr>
      <w:rFonts w:ascii="Georgia" w:hAnsi="Georgia"/>
      <w:b/>
      <w:bCs/>
      <w:smallCaps/>
      <w:spacing w:val="5"/>
    </w:rPr>
  </w:style>
  <w:style w:type="paragraph" w:styleId="Closing">
    <w:name w:val="Closing"/>
    <w:basedOn w:val="Normal"/>
    <w:link w:val="ClosingChar"/>
    <w:semiHidden/>
    <w:unhideWhenUsed/>
    <w:rsid w:val="003A7FBC"/>
    <w:pPr>
      <w:kinsoku w:val="0"/>
      <w:overflowPunct w:val="0"/>
      <w:autoSpaceDE w:val="0"/>
      <w:autoSpaceDN w:val="0"/>
      <w:adjustRightInd w:val="0"/>
      <w:snapToGrid w:val="0"/>
      <w:spacing w:line="240" w:lineRule="auto"/>
      <w:ind w:left="4252"/>
    </w:pPr>
    <w:rPr>
      <w:rFonts w:ascii="Georgia" w:hAnsi="Georgia"/>
      <w:snapToGrid w:val="0"/>
      <w:lang w:eastAsia="en-US"/>
    </w:rPr>
  </w:style>
  <w:style w:type="character" w:customStyle="1" w:styleId="ClosingChar">
    <w:name w:val="Closing Char"/>
    <w:basedOn w:val="DefaultParagraphFont"/>
    <w:link w:val="Closing"/>
    <w:semiHidden/>
    <w:rsid w:val="003A7FBC"/>
    <w:rPr>
      <w:rFonts w:ascii="Georgia" w:hAnsi="Georgia"/>
      <w:snapToGrid w:val="0"/>
      <w:color w:val="auto"/>
      <w:lang w:eastAsia="en-US"/>
    </w:rPr>
  </w:style>
  <w:style w:type="paragraph" w:styleId="EnvelopeAddress">
    <w:name w:val="envelope address"/>
    <w:basedOn w:val="Normal"/>
    <w:semiHidden/>
    <w:unhideWhenUsed/>
    <w:rsid w:val="003A7FBC"/>
    <w:pPr>
      <w:framePr w:w="7920" w:h="1980" w:hRule="exact" w:hSpace="180" w:wrap="auto" w:hAnchor="page" w:xAlign="center" w:yAlign="bottom"/>
      <w:kinsoku w:val="0"/>
      <w:overflowPunct w:val="0"/>
      <w:autoSpaceDE w:val="0"/>
      <w:autoSpaceDN w:val="0"/>
      <w:adjustRightInd w:val="0"/>
      <w:snapToGrid w:val="0"/>
      <w:spacing w:line="240" w:lineRule="auto"/>
      <w:ind w:left="2880"/>
    </w:pPr>
    <w:rPr>
      <w:rFonts w:asciiTheme="majorHAnsi" w:eastAsiaTheme="majorEastAsia" w:hAnsiTheme="majorHAnsi" w:cstheme="majorBidi"/>
      <w:snapToGrid w:val="0"/>
      <w:sz w:val="24"/>
      <w:szCs w:val="24"/>
      <w:lang w:eastAsia="en-US"/>
    </w:rPr>
  </w:style>
  <w:style w:type="paragraph" w:styleId="EnvelopeReturn">
    <w:name w:val="envelope return"/>
    <w:basedOn w:val="Normal"/>
    <w:semiHidden/>
    <w:rsid w:val="003A7FBC"/>
    <w:pPr>
      <w:kinsoku w:val="0"/>
      <w:overflowPunct w:val="0"/>
      <w:autoSpaceDE w:val="0"/>
      <w:autoSpaceDN w:val="0"/>
      <w:adjustRightInd w:val="0"/>
      <w:snapToGrid w:val="0"/>
      <w:spacing w:line="240" w:lineRule="auto"/>
    </w:pPr>
    <w:rPr>
      <w:rFonts w:asciiTheme="majorHAnsi" w:eastAsiaTheme="majorEastAsia" w:hAnsiTheme="majorHAnsi" w:cstheme="majorBidi"/>
      <w:snapToGrid w:val="0"/>
      <w:lang w:eastAsia="en-US"/>
    </w:rPr>
  </w:style>
  <w:style w:type="paragraph" w:styleId="Index1">
    <w:name w:val="index 1"/>
    <w:basedOn w:val="Normal"/>
    <w:next w:val="Normal"/>
    <w:autoRedefine/>
    <w:semiHidden/>
    <w:unhideWhenUsed/>
    <w:rsid w:val="003A7FBC"/>
    <w:pPr>
      <w:spacing w:line="240" w:lineRule="auto"/>
      <w:ind w:left="200" w:hanging="200"/>
    </w:pPr>
  </w:style>
  <w:style w:type="paragraph" w:styleId="IndexHeading">
    <w:name w:val="index heading"/>
    <w:basedOn w:val="Normal"/>
    <w:next w:val="Normal"/>
    <w:semiHidden/>
    <w:rsid w:val="003A7FBC"/>
    <w:pPr>
      <w:kinsoku w:val="0"/>
      <w:overflowPunct w:val="0"/>
      <w:autoSpaceDE w:val="0"/>
      <w:autoSpaceDN w:val="0"/>
      <w:adjustRightInd w:val="0"/>
      <w:snapToGrid w:val="0"/>
      <w:spacing w:line="240" w:lineRule="auto"/>
    </w:pPr>
    <w:rPr>
      <w:rFonts w:asciiTheme="majorHAnsi" w:eastAsiaTheme="majorEastAsia" w:hAnsiTheme="majorHAnsi" w:cstheme="majorBidi"/>
      <w:b/>
      <w:bCs/>
      <w:snapToGrid w:val="0"/>
      <w:lang w:eastAsia="en-US"/>
    </w:rPr>
  </w:style>
  <w:style w:type="paragraph" w:customStyle="1" w:styleId="BlockTextClient">
    <w:name w:val="Block Text Client"/>
    <w:basedOn w:val="BlockText"/>
    <w:rsid w:val="003A7FBC"/>
    <w:pPr>
      <w:pBdr>
        <w:top w:val="none" w:sz="0" w:space="0" w:color="auto"/>
        <w:left w:val="none" w:sz="0" w:space="0" w:color="auto"/>
        <w:bottom w:val="none" w:sz="0" w:space="0" w:color="auto"/>
        <w:right w:val="none" w:sz="0" w:space="0" w:color="auto"/>
      </w:pBdr>
      <w:kinsoku w:val="0"/>
      <w:overflowPunct w:val="0"/>
      <w:autoSpaceDE w:val="0"/>
      <w:autoSpaceDN w:val="0"/>
      <w:adjustRightInd w:val="0"/>
      <w:snapToGrid w:val="0"/>
      <w:spacing w:line="240" w:lineRule="auto"/>
      <w:ind w:left="0" w:right="0"/>
    </w:pPr>
    <w:rPr>
      <w:rFonts w:ascii="Georgia" w:hAnsi="Georgia"/>
      <w:snapToGrid w:val="0"/>
      <w:color w:val="00B2A9" w:themeColor="accent1"/>
      <w:lang w:eastAsia="en-US"/>
    </w:rPr>
  </w:style>
  <w:style w:type="paragraph" w:customStyle="1" w:styleId="BlockTextPosition">
    <w:name w:val="Block Text Position"/>
    <w:basedOn w:val="BlockText"/>
    <w:rsid w:val="003A7FBC"/>
    <w:pPr>
      <w:pBdr>
        <w:top w:val="none" w:sz="0" w:space="0" w:color="auto"/>
        <w:left w:val="none" w:sz="0" w:space="0" w:color="auto"/>
        <w:bottom w:val="none" w:sz="0" w:space="0" w:color="auto"/>
        <w:right w:val="none" w:sz="0" w:space="0" w:color="auto"/>
      </w:pBdr>
      <w:kinsoku w:val="0"/>
      <w:overflowPunct w:val="0"/>
      <w:autoSpaceDE w:val="0"/>
      <w:autoSpaceDN w:val="0"/>
      <w:adjustRightInd w:val="0"/>
      <w:snapToGrid w:val="0"/>
      <w:spacing w:after="240" w:line="240" w:lineRule="auto"/>
      <w:ind w:left="0" w:right="0"/>
    </w:pPr>
    <w:rPr>
      <w:rFonts w:ascii="Georgia" w:hAnsi="Georgia"/>
      <w:i w:val="0"/>
      <w:snapToGrid w:val="0"/>
      <w:color w:val="00B2A9" w:themeColor="accent1"/>
      <w:lang w:eastAsia="en-US"/>
    </w:rPr>
  </w:style>
  <w:style w:type="paragraph" w:customStyle="1" w:styleId="BlockText2Client">
    <w:name w:val="Block Text 2 Client"/>
    <w:basedOn w:val="BlockText2"/>
    <w:rsid w:val="003A7FBC"/>
    <w:pPr>
      <w:spacing w:after="0"/>
    </w:pPr>
    <w:rPr>
      <w:sz w:val="20"/>
      <w:szCs w:val="20"/>
    </w:rPr>
  </w:style>
  <w:style w:type="paragraph" w:customStyle="1" w:styleId="BlockText2Position">
    <w:name w:val="Block Text 2 Position"/>
    <w:basedOn w:val="BlockText2"/>
    <w:rsid w:val="003A7FBC"/>
    <w:rPr>
      <w:i w:val="0"/>
      <w:sz w:val="20"/>
      <w:szCs w:val="20"/>
    </w:rPr>
  </w:style>
  <w:style w:type="character" w:styleId="LineNumber">
    <w:name w:val="line number"/>
    <w:basedOn w:val="DefaultParagraphFont"/>
    <w:semiHidden/>
    <w:rsid w:val="003A7FBC"/>
  </w:style>
  <w:style w:type="paragraph" w:styleId="ListBullet5">
    <w:name w:val="List Bullet 5"/>
    <w:basedOn w:val="ListBullet4"/>
    <w:unhideWhenUsed/>
    <w:rsid w:val="003A7FBC"/>
    <w:pPr>
      <w:tabs>
        <w:tab w:val="clear" w:pos="1134"/>
        <w:tab w:val="num" w:pos="1418"/>
      </w:tabs>
      <w:ind w:left="1420"/>
      <w:contextualSpacing/>
    </w:pPr>
  </w:style>
  <w:style w:type="paragraph" w:styleId="ListNumber4">
    <w:name w:val="List Number 4"/>
    <w:basedOn w:val="ListNumber3"/>
    <w:uiPriority w:val="13"/>
    <w:unhideWhenUsed/>
    <w:rsid w:val="003A7FBC"/>
    <w:pPr>
      <w:numPr>
        <w:ilvl w:val="0"/>
        <w:numId w:val="0"/>
      </w:numPr>
      <w:tabs>
        <w:tab w:val="num" w:pos="2268"/>
      </w:tabs>
      <w:kinsoku w:val="0"/>
      <w:overflowPunct w:val="0"/>
      <w:autoSpaceDE w:val="0"/>
      <w:autoSpaceDN w:val="0"/>
      <w:adjustRightInd w:val="0"/>
      <w:snapToGrid w:val="0"/>
      <w:spacing w:before="0" w:after="0" w:line="240" w:lineRule="auto"/>
      <w:ind w:left="2268" w:hanging="567"/>
      <w:contextualSpacing/>
    </w:pPr>
    <w:rPr>
      <w:rFonts w:ascii="Georgia" w:hAnsi="Georgia"/>
      <w:snapToGrid w:val="0"/>
      <w:lang w:eastAsia="en-US"/>
    </w:rPr>
  </w:style>
  <w:style w:type="paragraph" w:styleId="ListNumber5">
    <w:name w:val="List Number 5"/>
    <w:basedOn w:val="ListNumber4"/>
    <w:uiPriority w:val="13"/>
    <w:unhideWhenUsed/>
    <w:rsid w:val="003A7FBC"/>
    <w:pPr>
      <w:tabs>
        <w:tab w:val="clear" w:pos="2268"/>
        <w:tab w:val="num" w:pos="2835"/>
      </w:tabs>
      <w:ind w:left="2835"/>
    </w:pPr>
  </w:style>
  <w:style w:type="paragraph" w:styleId="MessageHeader">
    <w:name w:val="Message Header"/>
    <w:basedOn w:val="Normal"/>
    <w:link w:val="MessageHeaderChar"/>
    <w:semiHidden/>
    <w:rsid w:val="003A7FBC"/>
    <w:pPr>
      <w:pBdr>
        <w:top w:val="single" w:sz="6" w:space="1" w:color="auto"/>
        <w:left w:val="single" w:sz="6" w:space="1" w:color="auto"/>
        <w:bottom w:val="single" w:sz="6" w:space="1" w:color="auto"/>
        <w:right w:val="single" w:sz="6" w:space="1" w:color="auto"/>
      </w:pBdr>
      <w:shd w:val="pct20" w:color="auto" w:fill="auto"/>
      <w:kinsoku w:val="0"/>
      <w:overflowPunct w:val="0"/>
      <w:autoSpaceDE w:val="0"/>
      <w:autoSpaceDN w:val="0"/>
      <w:adjustRightInd w:val="0"/>
      <w:snapToGrid w:val="0"/>
      <w:spacing w:line="240" w:lineRule="auto"/>
      <w:ind w:left="1134" w:hanging="1134"/>
    </w:pPr>
    <w:rPr>
      <w:rFonts w:asciiTheme="majorHAnsi" w:eastAsiaTheme="majorEastAsia" w:hAnsiTheme="majorHAnsi" w:cstheme="majorBidi"/>
      <w:snapToGrid w:val="0"/>
      <w:sz w:val="24"/>
      <w:szCs w:val="24"/>
      <w:lang w:eastAsia="en-US"/>
    </w:rPr>
  </w:style>
  <w:style w:type="character" w:customStyle="1" w:styleId="MessageHeaderChar">
    <w:name w:val="Message Header Char"/>
    <w:basedOn w:val="DefaultParagraphFont"/>
    <w:link w:val="MessageHeader"/>
    <w:semiHidden/>
    <w:rsid w:val="003A7FBC"/>
    <w:rPr>
      <w:rFonts w:asciiTheme="majorHAnsi" w:eastAsiaTheme="majorEastAsia" w:hAnsiTheme="majorHAnsi" w:cstheme="majorBidi"/>
      <w:snapToGrid w:val="0"/>
      <w:color w:val="auto"/>
      <w:sz w:val="24"/>
      <w:szCs w:val="24"/>
      <w:shd w:val="pct20" w:color="auto" w:fill="auto"/>
      <w:lang w:eastAsia="en-US"/>
    </w:rPr>
  </w:style>
  <w:style w:type="paragraph" w:styleId="NormalIndent">
    <w:name w:val="Normal Indent"/>
    <w:basedOn w:val="Normal"/>
    <w:semiHidden/>
    <w:rsid w:val="003A7FBC"/>
    <w:pPr>
      <w:kinsoku w:val="0"/>
      <w:overflowPunct w:val="0"/>
      <w:autoSpaceDE w:val="0"/>
      <w:autoSpaceDN w:val="0"/>
      <w:adjustRightInd w:val="0"/>
      <w:snapToGrid w:val="0"/>
      <w:spacing w:line="240" w:lineRule="auto"/>
      <w:ind w:left="720"/>
    </w:pPr>
    <w:rPr>
      <w:rFonts w:ascii="Georgia" w:hAnsi="Georgia"/>
      <w:snapToGrid w:val="0"/>
      <w:lang w:eastAsia="en-US"/>
    </w:rPr>
  </w:style>
  <w:style w:type="paragraph" w:styleId="NoteHeading">
    <w:name w:val="Note Heading"/>
    <w:basedOn w:val="Normal"/>
    <w:next w:val="Normal"/>
    <w:link w:val="NoteHeadingChar"/>
    <w:semiHidden/>
    <w:unhideWhenUsed/>
    <w:rsid w:val="003A7FBC"/>
    <w:pPr>
      <w:kinsoku w:val="0"/>
      <w:overflowPunct w:val="0"/>
      <w:autoSpaceDE w:val="0"/>
      <w:autoSpaceDN w:val="0"/>
      <w:adjustRightInd w:val="0"/>
      <w:snapToGrid w:val="0"/>
      <w:spacing w:line="240" w:lineRule="auto"/>
    </w:pPr>
    <w:rPr>
      <w:rFonts w:ascii="Georgia" w:hAnsi="Georgia"/>
      <w:snapToGrid w:val="0"/>
      <w:lang w:eastAsia="en-US"/>
    </w:rPr>
  </w:style>
  <w:style w:type="character" w:customStyle="1" w:styleId="NoteHeadingChar">
    <w:name w:val="Note Heading Char"/>
    <w:basedOn w:val="DefaultParagraphFont"/>
    <w:link w:val="NoteHeading"/>
    <w:semiHidden/>
    <w:rsid w:val="003A7FBC"/>
    <w:rPr>
      <w:rFonts w:ascii="Georgia" w:hAnsi="Georgia"/>
      <w:snapToGrid w:val="0"/>
      <w:color w:val="auto"/>
      <w:lang w:eastAsia="en-US"/>
    </w:rPr>
  </w:style>
  <w:style w:type="paragraph" w:styleId="PlainText">
    <w:name w:val="Plain Text"/>
    <w:basedOn w:val="Normal"/>
    <w:link w:val="PlainTextChar"/>
    <w:semiHidden/>
    <w:rsid w:val="003A7FBC"/>
    <w:pPr>
      <w:kinsoku w:val="0"/>
      <w:overflowPunct w:val="0"/>
      <w:autoSpaceDE w:val="0"/>
      <w:autoSpaceDN w:val="0"/>
      <w:adjustRightInd w:val="0"/>
      <w:snapToGrid w:val="0"/>
      <w:spacing w:line="240" w:lineRule="auto"/>
    </w:pPr>
    <w:rPr>
      <w:rFonts w:ascii="Consolas" w:hAnsi="Consolas"/>
      <w:snapToGrid w:val="0"/>
      <w:lang w:eastAsia="en-US"/>
    </w:rPr>
  </w:style>
  <w:style w:type="character" w:customStyle="1" w:styleId="PlainTextChar">
    <w:name w:val="Plain Text Char"/>
    <w:basedOn w:val="DefaultParagraphFont"/>
    <w:link w:val="PlainText"/>
    <w:semiHidden/>
    <w:rsid w:val="003A7FBC"/>
    <w:rPr>
      <w:rFonts w:ascii="Consolas" w:hAnsi="Consolas"/>
      <w:snapToGrid w:val="0"/>
      <w:color w:val="auto"/>
      <w:lang w:eastAsia="en-US"/>
    </w:rPr>
  </w:style>
  <w:style w:type="paragraph" w:styleId="Salutation">
    <w:name w:val="Salutation"/>
    <w:basedOn w:val="Normal"/>
    <w:next w:val="Normal"/>
    <w:link w:val="SalutationChar"/>
    <w:unhideWhenUsed/>
    <w:rsid w:val="003A7FBC"/>
    <w:pPr>
      <w:kinsoku w:val="0"/>
      <w:overflowPunct w:val="0"/>
      <w:autoSpaceDE w:val="0"/>
      <w:autoSpaceDN w:val="0"/>
      <w:adjustRightInd w:val="0"/>
      <w:snapToGrid w:val="0"/>
      <w:spacing w:line="240" w:lineRule="auto"/>
    </w:pPr>
    <w:rPr>
      <w:rFonts w:ascii="Georgia" w:hAnsi="Georgia"/>
      <w:snapToGrid w:val="0"/>
      <w:lang w:eastAsia="en-US"/>
    </w:rPr>
  </w:style>
  <w:style w:type="character" w:customStyle="1" w:styleId="SalutationChar">
    <w:name w:val="Salutation Char"/>
    <w:basedOn w:val="DefaultParagraphFont"/>
    <w:link w:val="Salutation"/>
    <w:rsid w:val="003A7FBC"/>
    <w:rPr>
      <w:rFonts w:ascii="Georgia" w:hAnsi="Georgia"/>
      <w:snapToGrid w:val="0"/>
      <w:color w:val="auto"/>
      <w:lang w:eastAsia="en-US"/>
    </w:rPr>
  </w:style>
  <w:style w:type="paragraph" w:styleId="Signature">
    <w:name w:val="Signature"/>
    <w:basedOn w:val="Normal"/>
    <w:link w:val="SignatureChar"/>
    <w:semiHidden/>
    <w:rsid w:val="003A7FBC"/>
    <w:pPr>
      <w:kinsoku w:val="0"/>
      <w:overflowPunct w:val="0"/>
      <w:autoSpaceDE w:val="0"/>
      <w:autoSpaceDN w:val="0"/>
      <w:adjustRightInd w:val="0"/>
      <w:snapToGrid w:val="0"/>
      <w:spacing w:line="240" w:lineRule="auto"/>
      <w:ind w:left="4252"/>
    </w:pPr>
    <w:rPr>
      <w:rFonts w:ascii="Georgia" w:hAnsi="Georgia"/>
      <w:snapToGrid w:val="0"/>
      <w:lang w:eastAsia="en-US"/>
    </w:rPr>
  </w:style>
  <w:style w:type="character" w:customStyle="1" w:styleId="SignatureChar">
    <w:name w:val="Signature Char"/>
    <w:basedOn w:val="DefaultParagraphFont"/>
    <w:link w:val="Signature"/>
    <w:semiHidden/>
    <w:rsid w:val="003A7FBC"/>
    <w:rPr>
      <w:rFonts w:ascii="Georgia" w:hAnsi="Georgia"/>
      <w:snapToGrid w:val="0"/>
      <w:color w:val="auto"/>
      <w:lang w:eastAsia="en-US"/>
    </w:rPr>
  </w:style>
  <w:style w:type="paragraph" w:styleId="TableofAuthorities">
    <w:name w:val="table of authorities"/>
    <w:basedOn w:val="Normal"/>
    <w:next w:val="Normal"/>
    <w:semiHidden/>
    <w:unhideWhenUsed/>
    <w:rsid w:val="003A7FBC"/>
    <w:pPr>
      <w:kinsoku w:val="0"/>
      <w:overflowPunct w:val="0"/>
      <w:autoSpaceDE w:val="0"/>
      <w:autoSpaceDN w:val="0"/>
      <w:adjustRightInd w:val="0"/>
      <w:snapToGrid w:val="0"/>
      <w:spacing w:line="240" w:lineRule="auto"/>
      <w:ind w:left="210" w:hanging="210"/>
    </w:pPr>
    <w:rPr>
      <w:rFonts w:ascii="Georgia" w:hAnsi="Georgia"/>
      <w:snapToGrid w:val="0"/>
      <w:lang w:eastAsia="en-US"/>
    </w:rPr>
  </w:style>
  <w:style w:type="paragraph" w:styleId="TOAHeading">
    <w:name w:val="toa heading"/>
    <w:basedOn w:val="Normal"/>
    <w:next w:val="Normal"/>
    <w:semiHidden/>
    <w:unhideWhenUsed/>
    <w:rsid w:val="003A7FBC"/>
    <w:pPr>
      <w:kinsoku w:val="0"/>
      <w:overflowPunct w:val="0"/>
      <w:autoSpaceDE w:val="0"/>
      <w:autoSpaceDN w:val="0"/>
      <w:adjustRightInd w:val="0"/>
      <w:snapToGrid w:val="0"/>
      <w:spacing w:before="120" w:line="240" w:lineRule="auto"/>
    </w:pPr>
    <w:rPr>
      <w:rFonts w:asciiTheme="majorHAnsi" w:eastAsiaTheme="majorEastAsia" w:hAnsiTheme="majorHAnsi" w:cstheme="majorBidi"/>
      <w:b/>
      <w:bCs/>
      <w:snapToGrid w:val="0"/>
      <w:sz w:val="24"/>
      <w:szCs w:val="24"/>
      <w:lang w:eastAsia="en-US"/>
    </w:rPr>
  </w:style>
  <w:style w:type="paragraph" w:customStyle="1" w:styleId="CoverPanelFrame">
    <w:name w:val="Cover Panel Frame"/>
    <w:basedOn w:val="Coverpulloutframe"/>
    <w:rsid w:val="003A7FBC"/>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3A7FBC"/>
    <w:pPr>
      <w:framePr w:w="3119" w:h="1412" w:hRule="exact" w:wrap="around" w:vAnchor="page" w:hAnchor="page" w:x="1543" w:y="15299"/>
      <w:tabs>
        <w:tab w:val="center" w:pos="2551"/>
        <w:tab w:val="right" w:pos="7682"/>
      </w:tabs>
      <w:kinsoku w:val="0"/>
      <w:overflowPunct w:val="0"/>
      <w:autoSpaceDE w:val="0"/>
      <w:autoSpaceDN w:val="0"/>
      <w:adjustRightInd w:val="0"/>
      <w:snapToGrid w:val="0"/>
      <w:spacing w:line="0" w:lineRule="atLeast"/>
    </w:pPr>
    <w:rPr>
      <w:rFonts w:asciiTheme="majorHAnsi" w:hAnsiTheme="majorHAnsi"/>
      <w:noProof/>
      <w:sz w:val="18"/>
      <w:szCs w:val="32"/>
    </w:rPr>
  </w:style>
  <w:style w:type="paragraph" w:customStyle="1" w:styleId="FirstPagePanelFrame">
    <w:name w:val="First Page Panel Frame"/>
    <w:basedOn w:val="CoverPanelFrame"/>
    <w:rsid w:val="003A7FBC"/>
    <w:pPr>
      <w:framePr w:w="8334" w:h="227" w:hRule="exact" w:wrap="notBeside" w:y="-169"/>
      <w:pBdr>
        <w:top w:val="single" w:sz="6" w:space="1" w:color="00B2A9" w:themeColor="text2"/>
        <w:left w:val="single" w:sz="6" w:space="4" w:color="00B2A9" w:themeColor="text2"/>
      </w:pBdr>
    </w:pPr>
  </w:style>
  <w:style w:type="paragraph" w:customStyle="1" w:styleId="URLCover">
    <w:name w:val="URL Cover"/>
    <w:basedOn w:val="Normal"/>
    <w:rsid w:val="003A7FBC"/>
    <w:pPr>
      <w:kinsoku w:val="0"/>
      <w:overflowPunct w:val="0"/>
      <w:autoSpaceDE w:val="0"/>
      <w:autoSpaceDN w:val="0"/>
      <w:adjustRightInd w:val="0"/>
      <w:snapToGrid w:val="0"/>
      <w:spacing w:line="240" w:lineRule="auto"/>
    </w:pPr>
    <w:rPr>
      <w:rFonts w:ascii="Georgia" w:hAnsi="Georgia"/>
      <w:snapToGrid w:val="0"/>
      <w:sz w:val="19"/>
      <w:lang w:eastAsia="en-US"/>
    </w:rPr>
  </w:style>
  <w:style w:type="paragraph" w:customStyle="1" w:styleId="Coverpulloutframe">
    <w:name w:val="Cover pull out frame"/>
    <w:basedOn w:val="KeySentenceInside"/>
    <w:rsid w:val="003A7FBC"/>
    <w:pPr>
      <w:framePr w:w="2189" w:h="227" w:wrap="notBeside" w:vAnchor="page" w:hAnchor="page" w:x="908" w:y="8415"/>
      <w:pBdr>
        <w:top w:val="dotted" w:sz="8" w:space="1" w:color="00B2A9" w:themeColor="text2"/>
        <w:left w:val="dotted" w:sz="8" w:space="4" w:color="00B2A9" w:themeColor="text2"/>
      </w:pBdr>
      <w:spacing w:after="0" w:line="0" w:lineRule="atLeast"/>
    </w:pPr>
    <w:rPr>
      <w:color w:val="auto"/>
      <w:sz w:val="8"/>
      <w:lang w:val="en-GB"/>
    </w:rPr>
  </w:style>
  <w:style w:type="paragraph" w:customStyle="1" w:styleId="CoverOutcomeHeadline">
    <w:name w:val="Cover Outcome Headline"/>
    <w:basedOn w:val="PwCNormal"/>
    <w:rsid w:val="003A7FBC"/>
    <w:pPr>
      <w:spacing w:after="0" w:line="960" w:lineRule="atLeast"/>
      <w:ind w:right="1701"/>
    </w:pPr>
    <w:rPr>
      <w:b/>
      <w:i/>
      <w:color w:val="FFFFFF" w:themeColor="background1"/>
      <w:sz w:val="88"/>
      <w:szCs w:val="88"/>
      <w:lang w:val="en-GB"/>
    </w:rPr>
  </w:style>
  <w:style w:type="paragraph" w:customStyle="1" w:styleId="CoverOutcomeSubtitle">
    <w:name w:val="Cover Outcome Subtitle"/>
    <w:basedOn w:val="CoverOutcomeHeadline"/>
    <w:rsid w:val="003A7FBC"/>
    <w:rPr>
      <w:b w:val="0"/>
      <w:i w:val="0"/>
    </w:rPr>
  </w:style>
  <w:style w:type="paragraph" w:customStyle="1" w:styleId="LogoFixed">
    <w:name w:val="Logo Fixed"/>
    <w:basedOn w:val="LogoActivated"/>
    <w:rsid w:val="003A7FBC"/>
    <w:pPr>
      <w:framePr w:h="2733" w:hRule="exact" w:wrap="around" w:x="1322" w:y="14125"/>
    </w:pPr>
  </w:style>
  <w:style w:type="paragraph" w:customStyle="1" w:styleId="NumericCaption">
    <w:name w:val="Numeric Caption"/>
    <w:basedOn w:val="Caption"/>
    <w:rsid w:val="003A7FBC"/>
    <w:pPr>
      <w:keepLines/>
      <w:tabs>
        <w:tab w:val="left" w:pos="992"/>
      </w:tabs>
      <w:kinsoku w:val="0"/>
      <w:overflowPunct w:val="0"/>
      <w:autoSpaceDE w:val="0"/>
      <w:autoSpaceDN w:val="0"/>
      <w:adjustRightInd w:val="0"/>
      <w:snapToGrid w:val="0"/>
      <w:spacing w:before="240" w:after="120"/>
      <w:ind w:left="992" w:hanging="992"/>
    </w:pPr>
    <w:rPr>
      <w:rFonts w:ascii="Arial" w:hAnsi="Arial"/>
      <w:snapToGrid w:val="0"/>
      <w:color w:val="00B2A9" w:themeColor="text2"/>
      <w:szCs w:val="18"/>
      <w:lang w:eastAsia="en-US"/>
    </w:rPr>
  </w:style>
  <w:style w:type="paragraph" w:customStyle="1" w:styleId="NumericTableColumnHeadingNormal">
    <w:name w:val="Numeric Table Column Heading Normal"/>
    <w:basedOn w:val="TableColumnHeadingNormal"/>
    <w:rsid w:val="003A7FBC"/>
    <w:rPr>
      <w:rFonts w:ascii="Arial" w:hAnsi="Arial"/>
    </w:rPr>
  </w:style>
  <w:style w:type="paragraph" w:customStyle="1" w:styleId="NumericTableTextNormal">
    <w:name w:val="Numeric Table Text Normal"/>
    <w:basedOn w:val="TableTextNormal"/>
    <w:rsid w:val="003A7FBC"/>
    <w:rPr>
      <w:rFonts w:ascii="Arial" w:hAnsi="Arial"/>
    </w:rPr>
  </w:style>
  <w:style w:type="paragraph" w:customStyle="1" w:styleId="NumericSources">
    <w:name w:val="Numeric Sources"/>
    <w:basedOn w:val="Sources"/>
    <w:rsid w:val="003A7FBC"/>
    <w:rPr>
      <w:rFonts w:ascii="Arial" w:hAnsi="Arial"/>
    </w:rPr>
  </w:style>
  <w:style w:type="paragraph" w:customStyle="1" w:styleId="NumericTableColumnHeadingSmall">
    <w:name w:val="Numeric Table Column Heading Small"/>
    <w:basedOn w:val="NumericTableColumnHeadingNormal"/>
    <w:rsid w:val="003A7FBC"/>
    <w:rPr>
      <w:sz w:val="16"/>
      <w:szCs w:val="16"/>
    </w:rPr>
  </w:style>
  <w:style w:type="paragraph" w:customStyle="1" w:styleId="NumericTableTextSmall">
    <w:name w:val="Numeric Table Text Small"/>
    <w:basedOn w:val="NumericTableTextNormal"/>
    <w:rsid w:val="003A7FBC"/>
    <w:rPr>
      <w:sz w:val="16"/>
      <w:szCs w:val="16"/>
    </w:rPr>
  </w:style>
  <w:style w:type="paragraph" w:customStyle="1" w:styleId="NumericTableTextDecimalNormal">
    <w:name w:val="Numeric Table Text Decimal Normal"/>
    <w:basedOn w:val="NumericTableTextNormal"/>
    <w:rsid w:val="003A7FBC"/>
    <w:pPr>
      <w:tabs>
        <w:tab w:val="decimal" w:pos="1004"/>
      </w:tabs>
    </w:pPr>
  </w:style>
  <w:style w:type="paragraph" w:customStyle="1" w:styleId="NumericTableTextDecimalSmall">
    <w:name w:val="Numeric Table Text Decimal Small"/>
    <w:basedOn w:val="NumericTableTextDecimalNormal"/>
    <w:rsid w:val="003A7FBC"/>
    <w:rPr>
      <w:sz w:val="16"/>
      <w:szCs w:val="16"/>
    </w:rPr>
  </w:style>
  <w:style w:type="paragraph" w:customStyle="1" w:styleId="Heading2Nospacing">
    <w:name w:val="Heading 2 No spacing"/>
    <w:basedOn w:val="Heading2"/>
    <w:rsid w:val="003A7FBC"/>
    <w:pPr>
      <w:pageBreakBefore/>
      <w:tabs>
        <w:tab w:val="num" w:pos="850"/>
      </w:tabs>
      <w:kinsoku w:val="0"/>
      <w:overflowPunct w:val="0"/>
      <w:autoSpaceDE w:val="0"/>
      <w:autoSpaceDN w:val="0"/>
      <w:adjustRightInd w:val="0"/>
      <w:snapToGrid w:val="0"/>
      <w:spacing w:after="0" w:line="0" w:lineRule="atLeast"/>
      <w:ind w:left="851" w:hanging="851"/>
    </w:pPr>
    <w:rPr>
      <w:rFonts w:asciiTheme="majorHAnsi" w:hAnsiTheme="majorHAnsi"/>
      <w:snapToGrid w:val="0"/>
      <w:color w:val="363534" w:themeColor="text1"/>
      <w:kern w:val="0"/>
      <w:sz w:val="56"/>
      <w:szCs w:val="36"/>
      <w:lang w:eastAsia="en-US"/>
    </w:rPr>
  </w:style>
  <w:style w:type="paragraph" w:customStyle="1" w:styleId="TableNumberedList1">
    <w:name w:val="Table Numbered List 1"/>
    <w:basedOn w:val="TableTextNormal"/>
    <w:rsid w:val="003A7FBC"/>
    <w:pPr>
      <w:numPr>
        <w:numId w:val="27"/>
      </w:numPr>
    </w:pPr>
  </w:style>
  <w:style w:type="paragraph" w:customStyle="1" w:styleId="TableNumberedList2">
    <w:name w:val="Table Numbered List 2"/>
    <w:basedOn w:val="TableNumberedList1"/>
    <w:rsid w:val="003A7FBC"/>
    <w:pPr>
      <w:numPr>
        <w:ilvl w:val="1"/>
      </w:numPr>
      <w:spacing w:before="40" w:after="40"/>
    </w:pPr>
  </w:style>
  <w:style w:type="paragraph" w:customStyle="1" w:styleId="TableNumberedList3">
    <w:name w:val="Table Numbered List 3"/>
    <w:basedOn w:val="TableNumberedList2"/>
    <w:rsid w:val="003A7FBC"/>
    <w:pPr>
      <w:numPr>
        <w:ilvl w:val="2"/>
      </w:numPr>
    </w:pPr>
  </w:style>
  <w:style w:type="paragraph" w:customStyle="1" w:styleId="TableNumberedListSmall1">
    <w:name w:val="Table Numbered List Small 1"/>
    <w:basedOn w:val="TableTextSmall"/>
    <w:rsid w:val="003A7FBC"/>
    <w:pPr>
      <w:numPr>
        <w:numId w:val="29"/>
      </w:numPr>
    </w:pPr>
  </w:style>
  <w:style w:type="paragraph" w:customStyle="1" w:styleId="TableNumberedListSmall2">
    <w:name w:val="Table Numbered List Small 2"/>
    <w:basedOn w:val="TableNumberedListSmall1"/>
    <w:rsid w:val="003A7FBC"/>
    <w:pPr>
      <w:numPr>
        <w:ilvl w:val="1"/>
      </w:numPr>
    </w:pPr>
    <w:rPr>
      <w:szCs w:val="21"/>
    </w:rPr>
  </w:style>
  <w:style w:type="paragraph" w:customStyle="1" w:styleId="TableNumberedListSmall3">
    <w:name w:val="Table Numbered List Small 3"/>
    <w:basedOn w:val="TableNumberedListSmall2"/>
    <w:rsid w:val="003A7FBC"/>
    <w:pPr>
      <w:numPr>
        <w:ilvl w:val="2"/>
      </w:numPr>
    </w:pPr>
  </w:style>
  <w:style w:type="numbering" w:customStyle="1" w:styleId="ListNumberList">
    <w:name w:val="List Number List"/>
    <w:uiPriority w:val="99"/>
    <w:rsid w:val="003A7FBC"/>
    <w:pPr>
      <w:numPr>
        <w:numId w:val="30"/>
      </w:numPr>
    </w:pPr>
  </w:style>
  <w:style w:type="numbering" w:styleId="111111">
    <w:name w:val="Outline List 2"/>
    <w:basedOn w:val="NoList"/>
    <w:rsid w:val="003A7FBC"/>
    <w:pPr>
      <w:numPr>
        <w:numId w:val="31"/>
      </w:numPr>
    </w:pPr>
  </w:style>
  <w:style w:type="numbering" w:styleId="ArticleSection">
    <w:name w:val="Outline List 3"/>
    <w:basedOn w:val="NoList"/>
    <w:rsid w:val="003A7FBC"/>
    <w:pPr>
      <w:numPr>
        <w:numId w:val="32"/>
      </w:numPr>
    </w:pPr>
  </w:style>
  <w:style w:type="paragraph" w:customStyle="1" w:styleId="Minorheading3">
    <w:name w:val="Minor heading 3"/>
    <w:basedOn w:val="Minorheading2"/>
    <w:rsid w:val="003A7FBC"/>
    <w:pPr>
      <w:spacing w:before="120"/>
    </w:pPr>
    <w:rPr>
      <w:b w:val="0"/>
      <w:i/>
    </w:rPr>
  </w:style>
  <w:style w:type="table" w:customStyle="1" w:styleId="Tables-APLines">
    <w:name w:val="Tables - AP Lines"/>
    <w:basedOn w:val="TableNormal"/>
    <w:rsid w:val="003A7FBC"/>
    <w:pPr>
      <w:spacing w:line="240" w:lineRule="auto"/>
    </w:pPr>
    <w:rPr>
      <w:rFonts w:ascii="Georgia" w:hAnsi="Georgia" w:cs="Times New Roman"/>
      <w:color w:val="auto"/>
    </w:rPr>
    <w:tblPr>
      <w:tblStyleRowBandSize w:val="1"/>
      <w:tblStyleColBandSize w:val="1"/>
      <w:tblBorders>
        <w:insideH w:val="single" w:sz="4" w:space="0" w:color="00B2A9" w:themeColor="text2"/>
        <w:insideV w:val="single" w:sz="4" w:space="0" w:color="00B2A9"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3A7FBC"/>
    <w:pPr>
      <w:spacing w:line="227" w:lineRule="exact"/>
    </w:pPr>
    <w:rPr>
      <w:rFonts w:ascii="Georgia" w:hAnsi="Georgia" w:cs="Times New Roman"/>
      <w:color w:val="auto"/>
      <w:sz w:val="8"/>
    </w:rPr>
    <w:tblPr>
      <w:tblBorders>
        <w:top w:val="single" w:sz="8" w:space="0" w:color="00B2A9" w:themeColor="text2"/>
        <w:left w:val="single" w:sz="8" w:space="0" w:color="00B2A9"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3A7FBC"/>
    <w:tblPr>
      <w:tblBorders>
        <w:top w:val="dotted" w:sz="8" w:space="0" w:color="00B2A9" w:themeColor="text2"/>
        <w:left w:val="dotted" w:sz="8" w:space="0" w:color="00B2A9" w:themeColor="text2"/>
      </w:tblBorders>
    </w:tblPr>
    <w:tcPr>
      <w:shd w:val="clear" w:color="auto" w:fill="auto"/>
    </w:tcPr>
  </w:style>
  <w:style w:type="paragraph" w:customStyle="1" w:styleId="Bullet1">
    <w:name w:val="Bullet 1"/>
    <w:aliases w:val="FACS,MA Bullet 1,Alt.,b1,Bullet for no #'s,Bullet for no #'s Char,MA Bullet 1 Char,Alt. Char,Bullet,body,Bullet ...,body Char Char,body Char Char Char5,body Char Char Char Char,body Char Char Char Char Char Char Char Char,Bullet 1 Char1"/>
    <w:basedOn w:val="PwCNormal"/>
    <w:link w:val="Bullet1CharChar"/>
    <w:rsid w:val="003A7FBC"/>
    <w:pPr>
      <w:numPr>
        <w:numId w:val="36"/>
      </w:numPr>
      <w:spacing w:after="80"/>
    </w:pPr>
  </w:style>
  <w:style w:type="paragraph" w:customStyle="1" w:styleId="Bullet2">
    <w:name w:val="Bullet 2"/>
    <w:basedOn w:val="Bullet1"/>
    <w:uiPriority w:val="99"/>
    <w:rsid w:val="003A7FBC"/>
    <w:pPr>
      <w:numPr>
        <w:ilvl w:val="1"/>
      </w:numPr>
      <w:tabs>
        <w:tab w:val="clear" w:pos="567"/>
        <w:tab w:val="num" w:pos="926"/>
      </w:tabs>
      <w:ind w:left="567" w:hanging="283"/>
    </w:pPr>
  </w:style>
  <w:style w:type="paragraph" w:customStyle="1" w:styleId="Bullet3">
    <w:name w:val="Bullet 3"/>
    <w:basedOn w:val="Bullet2"/>
    <w:uiPriority w:val="99"/>
    <w:rsid w:val="003A7FBC"/>
    <w:pPr>
      <w:numPr>
        <w:ilvl w:val="2"/>
      </w:numPr>
      <w:tabs>
        <w:tab w:val="clear" w:pos="851"/>
        <w:tab w:val="num" w:pos="0"/>
        <w:tab w:val="num" w:pos="926"/>
      </w:tabs>
      <w:ind w:left="0" w:firstLine="0"/>
    </w:pPr>
  </w:style>
  <w:style w:type="paragraph" w:customStyle="1" w:styleId="Bullet4">
    <w:name w:val="Bullet 4"/>
    <w:basedOn w:val="Bullet3"/>
    <w:uiPriority w:val="99"/>
    <w:rsid w:val="003A7FBC"/>
    <w:pPr>
      <w:numPr>
        <w:ilvl w:val="3"/>
      </w:numPr>
      <w:tabs>
        <w:tab w:val="clear" w:pos="1134"/>
        <w:tab w:val="num" w:pos="0"/>
        <w:tab w:val="num" w:pos="926"/>
      </w:tabs>
      <w:ind w:left="0" w:hanging="5670"/>
    </w:pPr>
  </w:style>
  <w:style w:type="numbering" w:customStyle="1" w:styleId="Bullets">
    <w:name w:val="Bullets"/>
    <w:uiPriority w:val="99"/>
    <w:rsid w:val="003A7FBC"/>
    <w:pPr>
      <w:numPr>
        <w:numId w:val="33"/>
      </w:numPr>
    </w:pPr>
  </w:style>
  <w:style w:type="paragraph" w:customStyle="1" w:styleId="FirstPagePanelFrame-Contents">
    <w:name w:val="First Page Panel Frame - Contents"/>
    <w:basedOn w:val="FirstPagePanelFrame"/>
    <w:rsid w:val="003A7FBC"/>
    <w:pPr>
      <w:framePr w:wrap="notBeside"/>
    </w:pPr>
  </w:style>
  <w:style w:type="numbering" w:customStyle="1" w:styleId="ChapterNumberingList">
    <w:name w:val="Chapter Numbering List"/>
    <w:uiPriority w:val="99"/>
    <w:rsid w:val="003A7FBC"/>
    <w:pPr>
      <w:numPr>
        <w:numId w:val="35"/>
      </w:numPr>
    </w:pPr>
  </w:style>
  <w:style w:type="table" w:customStyle="1" w:styleId="LightList-Accent11">
    <w:name w:val="Light List - Accent 11"/>
    <w:basedOn w:val="TableNormal"/>
    <w:uiPriority w:val="61"/>
    <w:rsid w:val="003A7FBC"/>
    <w:pPr>
      <w:spacing w:line="240" w:lineRule="auto"/>
    </w:pPr>
    <w:rPr>
      <w:rFonts w:ascii="Georgia" w:hAnsi="Georgia" w:cs="Times New Roman"/>
      <w:color w:val="auto"/>
    </w:rPr>
    <w:tblPr>
      <w:tblStyleRowBandSize w:val="1"/>
      <w:tblStyleColBandSize w:val="1"/>
      <w:tblBorders>
        <w:top w:val="single" w:sz="8" w:space="0" w:color="00B2A9" w:themeColor="accent1"/>
        <w:left w:val="single" w:sz="8" w:space="0" w:color="00B2A9" w:themeColor="accent1"/>
        <w:bottom w:val="single" w:sz="8" w:space="0" w:color="00B2A9" w:themeColor="accent1"/>
        <w:right w:val="single" w:sz="8" w:space="0" w:color="00B2A9" w:themeColor="accent1"/>
      </w:tblBorders>
    </w:tblPr>
    <w:tblStylePr w:type="firstRow">
      <w:pPr>
        <w:spacing w:before="0" w:after="0" w:line="240" w:lineRule="auto"/>
      </w:pPr>
      <w:rPr>
        <w:b/>
        <w:bCs/>
        <w:color w:val="FFFFFF" w:themeColor="background1"/>
      </w:rPr>
      <w:tblPr/>
      <w:tcPr>
        <w:shd w:val="clear" w:color="auto" w:fill="00B2A9" w:themeFill="accent1"/>
      </w:tcPr>
    </w:tblStylePr>
    <w:tblStylePr w:type="lastRow">
      <w:pPr>
        <w:spacing w:before="0" w:after="0" w:line="240" w:lineRule="auto"/>
      </w:pPr>
      <w:rPr>
        <w:b/>
        <w:bCs/>
      </w:rPr>
      <w:tblPr/>
      <w:tcPr>
        <w:tcBorders>
          <w:top w:val="double" w:sz="6" w:space="0" w:color="00B2A9" w:themeColor="accent1"/>
          <w:left w:val="single" w:sz="8" w:space="0" w:color="00B2A9" w:themeColor="accent1"/>
          <w:bottom w:val="single" w:sz="8" w:space="0" w:color="00B2A9" w:themeColor="accent1"/>
          <w:right w:val="single" w:sz="8" w:space="0" w:color="00B2A9" w:themeColor="accent1"/>
        </w:tcBorders>
      </w:tcPr>
    </w:tblStylePr>
    <w:tblStylePr w:type="firstCol">
      <w:rPr>
        <w:b/>
        <w:bCs/>
      </w:rPr>
    </w:tblStylePr>
    <w:tblStylePr w:type="lastCol">
      <w:rPr>
        <w:b/>
        <w:bCs/>
      </w:rPr>
    </w:tblStylePr>
    <w:tblStylePr w:type="band1Vert">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tblStylePr w:type="band1Horz">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style>
  <w:style w:type="character" w:customStyle="1" w:styleId="apple-converted-space">
    <w:name w:val="apple-converted-space"/>
    <w:basedOn w:val="DefaultParagraphFont"/>
    <w:rsid w:val="003A7FBC"/>
  </w:style>
  <w:style w:type="paragraph" w:styleId="Revision">
    <w:name w:val="Revision"/>
    <w:hidden/>
    <w:uiPriority w:val="99"/>
    <w:semiHidden/>
    <w:rsid w:val="003A7FBC"/>
    <w:pPr>
      <w:spacing w:line="240" w:lineRule="auto"/>
    </w:pPr>
    <w:rPr>
      <w:rFonts w:ascii="Georgia" w:hAnsi="Georgia"/>
      <w:snapToGrid w:val="0"/>
      <w:color w:val="auto"/>
      <w:lang w:eastAsia="en-US"/>
    </w:rPr>
  </w:style>
  <w:style w:type="character" w:customStyle="1" w:styleId="Bullet1CharChar">
    <w:name w:val="Bullet 1 Char Char"/>
    <w:basedOn w:val="DefaultParagraphFont"/>
    <w:link w:val="Bullet1"/>
    <w:locked/>
    <w:rsid w:val="003A7FBC"/>
    <w:rPr>
      <w:rFonts w:ascii="Georgia" w:hAnsi="Georgia"/>
      <w:snapToGrid w:val="0"/>
      <w:color w:val="auto"/>
      <w:lang w:eastAsia="en-US"/>
    </w:rPr>
  </w:style>
  <w:style w:type="character" w:styleId="Emphasis">
    <w:name w:val="Emphasis"/>
    <w:basedOn w:val="DefaultParagraphFont"/>
    <w:uiPriority w:val="20"/>
    <w:qFormat/>
    <w:rsid w:val="003A7FBC"/>
    <w:rPr>
      <w:i/>
      <w:iCs/>
    </w:rPr>
  </w:style>
  <w:style w:type="paragraph" w:customStyle="1" w:styleId="TableParagraph">
    <w:name w:val="Table Paragraph"/>
    <w:basedOn w:val="Normal"/>
    <w:uiPriority w:val="1"/>
    <w:qFormat/>
    <w:rsid w:val="003A7FBC"/>
    <w:pPr>
      <w:widowControl w:val="0"/>
      <w:spacing w:line="240" w:lineRule="auto"/>
    </w:pPr>
    <w:rPr>
      <w:rFonts w:eastAsiaTheme="minorHAnsi" w:cstheme="minorBidi"/>
      <w:sz w:val="22"/>
      <w:szCs w:val="22"/>
      <w:lang w:val="en-US" w:eastAsia="en-US"/>
    </w:rPr>
  </w:style>
  <w:style w:type="paragraph" w:customStyle="1" w:styleId="StyleListBulletBefore12ptAfter12pt">
    <w:name w:val="Style List Bullet + Before:  12 pt After:  12 pt"/>
    <w:basedOn w:val="ListBullet"/>
    <w:rsid w:val="003A7FBC"/>
    <w:pPr>
      <w:tabs>
        <w:tab w:val="clear" w:pos="170"/>
        <w:tab w:val="num" w:pos="284"/>
      </w:tabs>
      <w:kinsoku w:val="0"/>
      <w:overflowPunct w:val="0"/>
      <w:autoSpaceDE w:val="0"/>
      <w:autoSpaceDN w:val="0"/>
      <w:adjustRightInd w:val="0"/>
      <w:snapToGrid w:val="0"/>
      <w:spacing w:before="60" w:line="240" w:lineRule="auto"/>
      <w:ind w:left="284" w:hanging="284"/>
    </w:pPr>
    <w:rPr>
      <w:rFonts w:ascii="Georgia" w:hAnsi="Georgia" w:cs="Times New Roman"/>
      <w:snapToGrid w:val="0"/>
      <w:lang w:eastAsia="en-US"/>
    </w:rPr>
  </w:style>
  <w:style w:type="paragraph" w:customStyle="1" w:styleId="StylePwCNormalCustomColorRGB222222">
    <w:name w:val="Style PwC Normal + Custom Color(RGB(222222))"/>
    <w:basedOn w:val="PwCNormal"/>
    <w:rsid w:val="003A7FBC"/>
    <w:rPr>
      <w:color w:val="161616"/>
    </w:rPr>
  </w:style>
  <w:style w:type="paragraph" w:customStyle="1" w:styleId="Pullout">
    <w:name w:val="_Pullout"/>
    <w:qFormat/>
    <w:rsid w:val="003A7FBC"/>
    <w:pPr>
      <w:spacing w:before="85" w:after="170" w:line="300" w:lineRule="atLeast"/>
    </w:pPr>
    <w:rPr>
      <w:rFonts w:ascii="Calibri" w:hAnsi="Calibri"/>
      <w:color w:val="228591"/>
      <w:sz w:val="24"/>
      <w:szCs w:val="24"/>
      <w:lang w:eastAsia="en-US"/>
    </w:rPr>
  </w:style>
  <w:style w:type="paragraph" w:customStyle="1" w:styleId="Tabletext">
    <w:name w:val="Table text"/>
    <w:basedOn w:val="BodyText"/>
    <w:link w:val="TabletextChar"/>
    <w:rsid w:val="00CB3019"/>
    <w:pPr>
      <w:autoSpaceDE w:val="0"/>
      <w:autoSpaceDN w:val="0"/>
      <w:adjustRightInd w:val="0"/>
      <w:spacing w:after="60" w:line="240" w:lineRule="auto"/>
    </w:pPr>
    <w:rPr>
      <w:rFonts w:ascii="Arial" w:hAnsi="Arial" w:cs="Arial"/>
      <w:lang w:val="en-GB" w:eastAsia="en-AU"/>
    </w:rPr>
  </w:style>
  <w:style w:type="character" w:customStyle="1" w:styleId="TabletextChar">
    <w:name w:val="Table text Char"/>
    <w:link w:val="Tabletext"/>
    <w:rsid w:val="00CB3019"/>
    <w:rPr>
      <w:rFonts w:ascii="Arial" w:hAnsi="Arial"/>
      <w:color w:val="auto"/>
      <w:lang w:val="en-GB"/>
    </w:rPr>
  </w:style>
  <w:style w:type="paragraph" w:customStyle="1" w:styleId="TableCellHeading">
    <w:name w:val="Table Cell Heading"/>
    <w:basedOn w:val="Tabletext"/>
    <w:uiPriority w:val="99"/>
    <w:qFormat/>
    <w:rsid w:val="003A7FBC"/>
    <w:pPr>
      <w:autoSpaceDE/>
      <w:autoSpaceDN/>
      <w:adjustRightInd/>
      <w:spacing w:after="120"/>
    </w:pPr>
    <w:rPr>
      <w:rFonts w:cs="Times New Roman"/>
      <w:b/>
      <w:bCs/>
      <w:szCs w:val="18"/>
    </w:rPr>
  </w:style>
  <w:style w:type="table" w:customStyle="1" w:styleId="Standard">
    <w:name w:val="Standard"/>
    <w:basedOn w:val="TableProfessional"/>
    <w:uiPriority w:val="99"/>
    <w:rsid w:val="003A7FBC"/>
    <w:rPr>
      <w:rFonts w:ascii="Arial" w:hAnsi="Arial"/>
      <w:lang w:val="en-US" w:eastAsia="ja-JP"/>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cPr>
    <w:tblStylePr w:type="firstRow">
      <w:rPr>
        <w:b/>
        <w:bCs/>
        <w:color w:val="auto"/>
      </w:rPr>
      <w:tblPr/>
      <w:tcPr>
        <w:tcBorders>
          <w:top w:val="nil"/>
          <w:left w:val="nil"/>
          <w:bottom w:val="nil"/>
          <w:right w:val="nil"/>
          <w:insideH w:val="nil"/>
          <w:insideV w:val="nil"/>
          <w:tl2br w:val="nil"/>
          <w:tr2bl w:val="nil"/>
        </w:tcBorders>
        <w:shd w:val="clear" w:color="auto" w:fill="000080"/>
      </w:tcPr>
    </w:tblStylePr>
  </w:style>
  <w:style w:type="table" w:styleId="TableProfessional">
    <w:name w:val="Table Professional"/>
    <w:basedOn w:val="TableNormal"/>
    <w:uiPriority w:val="99"/>
    <w:semiHidden/>
    <w:unhideWhenUsed/>
    <w:rsid w:val="003A7FBC"/>
    <w:pPr>
      <w:spacing w:line="240" w:lineRule="auto"/>
    </w:pPr>
    <w:rPr>
      <w:rFonts w:ascii="Times New Roman" w:eastAsiaTheme="minorEastAsia" w:hAnsi="Times New Roman" w:cstheme="minorBidi"/>
      <w:color w:val="auto"/>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arial">
    <w:name w:val="arial"/>
    <w:basedOn w:val="Normal"/>
    <w:rsid w:val="003A7FBC"/>
    <w:pPr>
      <w:spacing w:line="240" w:lineRule="auto"/>
    </w:pPr>
    <w:rPr>
      <w:rFonts w:ascii="Times New Roman" w:eastAsiaTheme="minorEastAsia" w:hAnsi="Times New Roman" w:cstheme="minorBidi"/>
      <w:sz w:val="22"/>
      <w:szCs w:val="24"/>
      <w:lang w:eastAsia="en-US"/>
    </w:rPr>
  </w:style>
  <w:style w:type="character" w:customStyle="1" w:styleId="BalloonTextChar">
    <w:name w:val="Balloon Text Char"/>
    <w:basedOn w:val="DefaultParagraphFont"/>
    <w:link w:val="BalloonText"/>
    <w:uiPriority w:val="99"/>
    <w:semiHidden/>
    <w:rsid w:val="003A7FBC"/>
    <w:rPr>
      <w:rFonts w:ascii="Tahoma" w:hAnsi="Tahoma" w:cs="Tahoma"/>
      <w:sz w:val="16"/>
      <w:szCs w:val="16"/>
    </w:rPr>
  </w:style>
  <w:style w:type="paragraph" w:customStyle="1" w:styleId="Default">
    <w:name w:val="Default"/>
    <w:rsid w:val="003A7FBC"/>
    <w:pPr>
      <w:autoSpaceDE w:val="0"/>
      <w:autoSpaceDN w:val="0"/>
      <w:adjustRightInd w:val="0"/>
      <w:spacing w:line="240" w:lineRule="auto"/>
    </w:pPr>
    <w:rPr>
      <w:rFonts w:ascii="HelveticaNeueLT Std Lt" w:hAnsi="HelveticaNeueLT Std Lt" w:cs="HelveticaNeueLT Std Lt"/>
      <w:color w:val="000000"/>
      <w:sz w:val="24"/>
      <w:szCs w:val="24"/>
    </w:rPr>
  </w:style>
  <w:style w:type="character" w:customStyle="1" w:styleId="A3">
    <w:name w:val="A3"/>
    <w:uiPriority w:val="99"/>
    <w:rsid w:val="003A7FBC"/>
    <w:rPr>
      <w:rFonts w:cs="HelveticaNeueLT Std Lt"/>
      <w:color w:val="000000"/>
      <w:sz w:val="36"/>
      <w:szCs w:val="36"/>
    </w:rPr>
  </w:style>
  <w:style w:type="table" w:customStyle="1" w:styleId="TableGrid10">
    <w:name w:val="Table Grid1"/>
    <w:basedOn w:val="TableNormal"/>
    <w:next w:val="TableGrid"/>
    <w:uiPriority w:val="59"/>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rsid w:val="003A7FBC"/>
    <w:rPr>
      <w:color w:val="A32020"/>
      <w:u w:val="single"/>
    </w:rPr>
  </w:style>
  <w:style w:type="table" w:customStyle="1" w:styleId="Tables-APBase1">
    <w:name w:val="Tables - AP Base1"/>
    <w:basedOn w:val="TableNormal"/>
    <w:rsid w:val="003A7FBC"/>
    <w:pPr>
      <w:spacing w:line="240" w:lineRule="auto"/>
    </w:pPr>
    <w:rPr>
      <w:rFonts w:ascii="Georgia" w:hAnsi="Georgia" w:cs="Times New Roman"/>
      <w:color w:val="auto"/>
    </w:rPr>
    <w:tblPr>
      <w:tblStyleRowBandSize w:val="1"/>
      <w:tblStyleColBandSize w:val="1"/>
      <w:tblBorders>
        <w:top w:val="single" w:sz="4" w:space="0" w:color="FFFFFF"/>
        <w:left w:val="single" w:sz="4" w:space="0" w:color="FFFFFF"/>
        <w:bottom w:val="single" w:sz="6" w:space="0" w:color="A32020"/>
        <w:right w:val="single" w:sz="4" w:space="0" w:color="FFFFFF"/>
        <w:insideH w:val="dotted" w:sz="8" w:space="0" w:color="A32020"/>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bottom w:val="single" w:sz="4" w:space="0" w:color="A32020"/>
        </w:tcBorders>
      </w:tcPr>
    </w:tblStylePr>
    <w:tblStylePr w:type="lastRow">
      <w:rPr>
        <w:color w:val="auto"/>
      </w:rPr>
      <w:tblPr/>
      <w:tcPr>
        <w:tcBorders>
          <w:top w:val="single" w:sz="4" w:space="0" w:color="A32020"/>
        </w:tcBorders>
        <w:shd w:val="clear" w:color="auto" w:fill="auto"/>
      </w:tcPr>
    </w:tblStylePr>
    <w:tblStylePr w:type="nwCell">
      <w:pPr>
        <w:jc w:val="left"/>
      </w:pPr>
      <w:tblPr/>
      <w:tcPr>
        <w:vAlign w:val="bottom"/>
      </w:tcPr>
    </w:tblStylePr>
  </w:style>
  <w:style w:type="character" w:styleId="SubtleEmphasis">
    <w:name w:val="Subtle Emphasis"/>
    <w:basedOn w:val="DefaultParagraphFont"/>
    <w:uiPriority w:val="19"/>
    <w:qFormat/>
    <w:rsid w:val="003A7FBC"/>
    <w:rPr>
      <w:i/>
      <w:iCs/>
      <w:color w:val="9C9A98" w:themeColor="text1" w:themeTint="7F"/>
    </w:rPr>
  </w:style>
  <w:style w:type="paragraph" w:customStyle="1" w:styleId="Normalpre-dotpoint">
    <w:name w:val="Normal pre-dot point"/>
    <w:basedOn w:val="Normal"/>
    <w:qFormat/>
    <w:rsid w:val="00567948"/>
    <w:pPr>
      <w:spacing w:after="80"/>
    </w:pPr>
  </w:style>
  <w:style w:type="paragraph" w:customStyle="1" w:styleId="Dotpoint">
    <w:name w:val="Dot point"/>
    <w:basedOn w:val="Normal"/>
    <w:qFormat/>
    <w:rsid w:val="00567948"/>
    <w:pPr>
      <w:numPr>
        <w:numId w:val="58"/>
      </w:numPr>
      <w:kinsoku w:val="0"/>
      <w:overflowPunct w:val="0"/>
      <w:autoSpaceDE w:val="0"/>
      <w:autoSpaceDN w:val="0"/>
      <w:adjustRightInd w:val="0"/>
      <w:snapToGrid w:val="0"/>
      <w:spacing w:after="80"/>
    </w:pPr>
    <w:rPr>
      <w:rFonts w:cstheme="minorHAnsi"/>
    </w:rPr>
  </w:style>
  <w:style w:type="paragraph" w:customStyle="1" w:styleId="Dotpointlast">
    <w:name w:val="Dot point last"/>
    <w:basedOn w:val="Dotpoint"/>
    <w:next w:val="Normal"/>
    <w:qFormat/>
    <w:rsid w:val="00567948"/>
    <w:pPr>
      <w:spacing w:after="200"/>
    </w:pPr>
  </w:style>
  <w:style w:type="paragraph" w:customStyle="1" w:styleId="CQuestion">
    <w:name w:val="CQuestion"/>
    <w:basedOn w:val="Normal"/>
    <w:qFormat/>
    <w:rsid w:val="0032260B"/>
    <w:pPr>
      <w:pBdr>
        <w:top w:val="dotted" w:sz="8" w:space="6" w:color="FFFFFF" w:themeColor="background1"/>
        <w:left w:val="dotted" w:sz="8" w:space="4" w:color="FFFFFF" w:themeColor="background1"/>
        <w:bottom w:val="dotted" w:sz="8" w:space="6" w:color="FFFFFF" w:themeColor="background1"/>
        <w:right w:val="dotted" w:sz="8" w:space="4" w:color="FFFFFF" w:themeColor="background1"/>
      </w:pBdr>
      <w:shd w:val="clear" w:color="auto" w:fill="00B2A9" w:themeFill="accent1"/>
      <w:spacing w:line="240" w:lineRule="auto"/>
    </w:pPr>
    <w:rPr>
      <w:rFonts w:ascii="Arial" w:hAnsi="Arial"/>
      <w:color w:val="FFFFFF" w:themeColor="background1"/>
    </w:rPr>
  </w:style>
  <w:style w:type="table" w:styleId="MediumGrid3-Accent4">
    <w:name w:val="Medium Grid 3 Accent 4"/>
    <w:basedOn w:val="TableNormal"/>
    <w:uiPriority w:val="69"/>
    <w:rsid w:val="00BD16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Bullet" w:qFormat="1"/>
    <w:lsdException w:name="List Number" w:semiHidden="0" w:uiPriority="13" w:unhideWhenUsed="0" w:qFormat="1"/>
    <w:lsdException w:name="List 4" w:semiHidden="0" w:unhideWhenUsed="0"/>
    <w:lsdException w:name="List 5" w:semiHidden="0" w:unhideWhenUsed="0"/>
    <w:lsdException w:name="List Bullet 2" w:qFormat="1"/>
    <w:lsdException w:name="List Bullet 3" w:qFormat="1"/>
    <w:lsdException w:name="List Number 2" w:uiPriority="13" w:qFormat="1"/>
    <w:lsdException w:name="List Number 3" w:uiPriority="13" w:qFormat="1"/>
    <w:lsdException w:name="List Number 4" w:uiPriority="13"/>
    <w:lsdException w:name="List Number 5" w:uiPriority="13"/>
    <w:lsdException w:name="Title" w:semiHidden="0" w:unhideWhenUsed="0" w:qFormat="1"/>
    <w:lsdException w:name="Default Paragraph Font" w:uiPriority="1"/>
    <w:lsdException w:name="Body Text" w:uiPriority="1" w:qFormat="1"/>
    <w:lsdException w:name="List Continue" w:qFormat="1"/>
    <w:lsdException w:name="List Continue 2"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Followed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Table Professional"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BEB"/>
    <w:pPr>
      <w:spacing w:after="200"/>
    </w:pPr>
    <w:rPr>
      <w:color w:val="auto"/>
    </w:rPr>
  </w:style>
  <w:style w:type="paragraph" w:styleId="Heading1">
    <w:name w:val="heading 1"/>
    <w:basedOn w:val="Normal"/>
    <w:next w:val="BodyText"/>
    <w:link w:val="Heading1Char"/>
    <w:uiPriority w:val="9"/>
    <w:qFormat/>
    <w:rsid w:val="008A39F6"/>
    <w:pPr>
      <w:keepNext/>
      <w:keepLines/>
      <w:numPr>
        <w:numId w:val="7"/>
      </w:numPr>
      <w:spacing w:after="360" w:line="240" w:lineRule="auto"/>
      <w:ind w:left="1134" w:hanging="1134"/>
      <w:outlineLvl w:val="0"/>
    </w:pPr>
    <w:rPr>
      <w:b/>
      <w:bCs/>
      <w:color w:val="201547" w:themeColor="accent2"/>
      <w:kern w:val="32"/>
      <w:sz w:val="40"/>
      <w:szCs w:val="32"/>
    </w:rPr>
  </w:style>
  <w:style w:type="paragraph" w:styleId="Heading2">
    <w:name w:val="heading 2"/>
    <w:basedOn w:val="Normal"/>
    <w:next w:val="BodyText"/>
    <w:link w:val="Heading2Char"/>
    <w:uiPriority w:val="9"/>
    <w:qFormat/>
    <w:rsid w:val="00357F56"/>
    <w:pPr>
      <w:keepNext/>
      <w:keepLines/>
      <w:numPr>
        <w:ilvl w:val="1"/>
        <w:numId w:val="7"/>
      </w:numPr>
      <w:tabs>
        <w:tab w:val="left" w:pos="1134"/>
      </w:tabs>
      <w:spacing w:after="220" w:line="240" w:lineRule="auto"/>
      <w:ind w:left="1134" w:hanging="1134"/>
      <w:outlineLvl w:val="1"/>
    </w:pPr>
    <w:rPr>
      <w:b/>
      <w:bCs/>
      <w:i/>
      <w:iCs/>
      <w:color w:val="00B2A9" w:themeColor="text2"/>
      <w:kern w:val="20"/>
      <w:sz w:val="32"/>
      <w:szCs w:val="28"/>
    </w:rPr>
  </w:style>
  <w:style w:type="paragraph" w:styleId="Heading3">
    <w:name w:val="heading 3"/>
    <w:basedOn w:val="Normal"/>
    <w:next w:val="BodyText"/>
    <w:link w:val="Heading3Char"/>
    <w:uiPriority w:val="9"/>
    <w:qFormat/>
    <w:rsid w:val="00357F56"/>
    <w:pPr>
      <w:keepNext/>
      <w:keepLines/>
      <w:numPr>
        <w:ilvl w:val="2"/>
        <w:numId w:val="7"/>
      </w:numPr>
      <w:tabs>
        <w:tab w:val="left" w:pos="1134"/>
        <w:tab w:val="left" w:pos="1701"/>
        <w:tab w:val="left" w:pos="1985"/>
      </w:tabs>
      <w:spacing w:before="200" w:after="220" w:line="240" w:lineRule="auto"/>
      <w:ind w:left="1134" w:hanging="1134"/>
      <w:outlineLvl w:val="2"/>
    </w:pPr>
    <w:rPr>
      <w:rFonts w:asciiTheme="majorHAnsi" w:hAnsiTheme="majorHAnsi"/>
      <w:i/>
      <w:color w:val="00B2A9" w:themeColor="accent1"/>
      <w:sz w:val="28"/>
    </w:rPr>
  </w:style>
  <w:style w:type="paragraph" w:styleId="Heading4">
    <w:name w:val="heading 4"/>
    <w:basedOn w:val="Normal"/>
    <w:next w:val="BodyText"/>
    <w:link w:val="Heading4Char"/>
    <w:qFormat/>
    <w:rsid w:val="00FA2F8A"/>
    <w:pPr>
      <w:keepNext/>
      <w:keepLines/>
      <w:tabs>
        <w:tab w:val="left" w:pos="1418"/>
        <w:tab w:val="left" w:pos="1701"/>
        <w:tab w:val="left" w:pos="1985"/>
      </w:tabs>
      <w:spacing w:line="200" w:lineRule="atLeast"/>
      <w:outlineLvl w:val="3"/>
    </w:pPr>
    <w:rPr>
      <w:rFonts w:asciiTheme="majorHAnsi" w:eastAsiaTheme="majorEastAsia" w:hAnsiTheme="majorHAnsi" w:cstheme="majorBidi"/>
      <w:b/>
      <w:bCs/>
      <w:i/>
      <w:iCs/>
    </w:rPr>
  </w:style>
  <w:style w:type="paragraph" w:styleId="Heading5">
    <w:name w:val="heading 5"/>
    <w:basedOn w:val="Normal"/>
    <w:next w:val="BodyText"/>
    <w:link w:val="Heading5Char"/>
    <w:qFormat/>
    <w:rsid w:val="00FA2F8A"/>
    <w:pPr>
      <w:keepNext/>
      <w:keepLines/>
      <w:spacing w:line="240" w:lineRule="auto"/>
      <w:outlineLvl w:val="4"/>
    </w:pPr>
    <w:rPr>
      <w:rFonts w:asciiTheme="majorHAnsi" w:eastAsiaTheme="majorEastAsia" w:hAnsiTheme="majorHAnsi" w:cstheme="majorBidi"/>
      <w:i/>
      <w:u w:val="single"/>
    </w:rPr>
  </w:style>
  <w:style w:type="paragraph" w:styleId="Heading6">
    <w:name w:val="heading 6"/>
    <w:basedOn w:val="Normal"/>
    <w:next w:val="BodyText"/>
    <w:link w:val="Heading6Char"/>
    <w:qFormat/>
    <w:rsid w:val="008D3250"/>
    <w:pPr>
      <w:keepNext/>
      <w:keepLines/>
      <w:spacing w:line="240" w:lineRule="auto"/>
      <w:outlineLvl w:val="5"/>
    </w:pPr>
    <w:rPr>
      <w:rFonts w:asciiTheme="majorHAnsi" w:eastAsiaTheme="majorEastAsia" w:hAnsiTheme="majorHAnsi" w:cstheme="majorBidi"/>
      <w:b/>
      <w:i/>
      <w:iCs/>
      <w:color w:val="00B2A9" w:themeColor="text2"/>
    </w:rPr>
  </w:style>
  <w:style w:type="paragraph" w:styleId="Heading7">
    <w:name w:val="heading 7"/>
    <w:basedOn w:val="Normal"/>
    <w:next w:val="Normal"/>
    <w:link w:val="Heading7Char"/>
    <w:uiPriority w:val="9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uiPriority w:val="99"/>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Autospacing="0" w:afterLines="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uiPriority w:val="13"/>
    <w:qFormat/>
    <w:rsid w:val="00B876CB"/>
    <w:pPr>
      <w:numPr>
        <w:numId w:val="4"/>
      </w:numPr>
      <w:spacing w:before="120" w:after="120"/>
    </w:pPr>
  </w:style>
  <w:style w:type="paragraph" w:styleId="ListNumber2">
    <w:name w:val="List Number 2"/>
    <w:basedOn w:val="Normal"/>
    <w:uiPriority w:val="13"/>
    <w:qFormat/>
    <w:rsid w:val="00781566"/>
    <w:pPr>
      <w:numPr>
        <w:ilvl w:val="1"/>
        <w:numId w:val="4"/>
      </w:numPr>
      <w:spacing w:before="120" w:after="120"/>
    </w:pPr>
  </w:style>
  <w:style w:type="paragraph" w:styleId="ListNumber3">
    <w:name w:val="List Number 3"/>
    <w:basedOn w:val="Normal"/>
    <w:uiPriority w:val="13"/>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uiPriority w:val="1"/>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qFormat/>
    <w:rsid w:val="00167957"/>
    <w:pPr>
      <w:keepNext/>
      <w:spacing w:line="240" w:lineRule="auto"/>
    </w:pPr>
    <w:rPr>
      <w:b/>
      <w:bCs/>
      <w:color w:val="2E1E66" w:themeColor="accent2" w:themeTint="E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qFormat/>
    <w:rsid w:val="004D4063"/>
    <w:pPr>
      <w:numPr>
        <w:ilvl w:val="2"/>
        <w:numId w:val="8"/>
      </w:numPr>
      <w:spacing w:before="120" w:after="120"/>
    </w:pPr>
  </w:style>
  <w:style w:type="paragraph" w:styleId="Subtitle">
    <w:name w:val="Subtitle"/>
    <w:basedOn w:val="Normal"/>
    <w:next w:val="Normal"/>
    <w:link w:val="SubtitleChar"/>
    <w:uiPriority w:val="11"/>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11"/>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FA2F8A"/>
    <w:rPr>
      <w:rFonts w:asciiTheme="majorHAnsi" w:eastAsiaTheme="majorEastAsia" w:hAnsiTheme="majorHAnsi" w:cstheme="majorBidi"/>
      <w:b/>
      <w:bCs/>
      <w:i/>
      <w:iCs/>
      <w:color w:val="auto"/>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autoRedefine/>
    <w:uiPriority w:val="39"/>
    <w:rsid w:val="00357F56"/>
    <w:pPr>
      <w:tabs>
        <w:tab w:val="left" w:pos="567"/>
        <w:tab w:val="right" w:leader="dot" w:pos="8505"/>
      </w:tabs>
      <w:spacing w:before="40" w:after="40" w:line="240" w:lineRule="auto"/>
      <w:ind w:right="851"/>
    </w:pPr>
    <w:rPr>
      <w:b/>
      <w:noProof/>
      <w:color w:val="642667"/>
      <w:sz w:val="22"/>
      <w:szCs w:val="22"/>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autoRedefine/>
    <w:uiPriority w:val="39"/>
    <w:rsid w:val="00B53D4A"/>
    <w:pPr>
      <w:tabs>
        <w:tab w:val="left" w:pos="1000"/>
        <w:tab w:val="right" w:leader="dot" w:pos="8505"/>
      </w:tabs>
      <w:spacing w:before="40" w:after="40" w:line="240" w:lineRule="auto"/>
      <w:ind w:left="284"/>
    </w:pPr>
    <w:rPr>
      <w:b/>
      <w:noProof/>
      <w:szCs w:val="28"/>
    </w:rPr>
  </w:style>
  <w:style w:type="paragraph" w:styleId="TOC3">
    <w:name w:val="toc 3"/>
    <w:basedOn w:val="Normal"/>
    <w:next w:val="Normal"/>
    <w:autoRedefine/>
    <w:uiPriority w:val="39"/>
    <w:rsid w:val="00B53D4A"/>
    <w:pPr>
      <w:tabs>
        <w:tab w:val="left" w:pos="1560"/>
        <w:tab w:val="right" w:leader="dot" w:pos="8505"/>
      </w:tabs>
      <w:spacing w:before="40" w:after="40" w:line="240" w:lineRule="auto"/>
      <w:ind w:left="567"/>
    </w:pPr>
    <w:rPr>
      <w:rFonts w:eastAsiaTheme="minorEastAsia" w:cstheme="minorBidi"/>
      <w:noProof/>
    </w:rPr>
  </w:style>
  <w:style w:type="paragraph" w:styleId="TOC4">
    <w:name w:val="toc 4"/>
    <w:basedOn w:val="Normal"/>
    <w:autoRedefine/>
    <w:uiPriority w:val="39"/>
    <w:rsid w:val="00FB7090"/>
    <w:pPr>
      <w:tabs>
        <w:tab w:val="right" w:leader="dot" w:pos="8505"/>
      </w:tabs>
      <w:spacing w:before="40" w:after="40" w:line="240" w:lineRule="auto"/>
      <w:ind w:left="851"/>
    </w:pPr>
    <w:rPr>
      <w:noProof/>
      <w:sz w:val="16"/>
      <w:szCs w:val="16"/>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rsid w:val="000758E3"/>
    <w:rPr>
      <w:b/>
      <w:color w:val="00B2A9"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FB7090"/>
    <w:pPr>
      <w:tabs>
        <w:tab w:val="right" w:pos="8505"/>
      </w:tabs>
      <w:spacing w:before="40" w:after="40" w:line="240" w:lineRule="auto"/>
      <w:ind w:left="1134"/>
    </w:pPr>
    <w:rPr>
      <w:noProof/>
      <w:sz w:val="16"/>
      <w:szCs w:val="16"/>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9"/>
    <w:rsid w:val="000758E3"/>
    <w:rPr>
      <w:rFonts w:asciiTheme="majorHAnsi" w:eastAsiaTheme="majorEastAsia" w:hAnsiTheme="majorHAnsi" w:cstheme="majorBidi"/>
      <w:b/>
      <w:color w:val="00B2A9" w:themeColor="text2"/>
      <w:sz w:val="40"/>
    </w:rPr>
  </w:style>
  <w:style w:type="paragraph" w:styleId="Quote">
    <w:name w:val="Quote"/>
    <w:basedOn w:val="Normal"/>
    <w:link w:val="QuoteChar"/>
    <w:uiPriority w:val="29"/>
    <w:qFormat/>
    <w:rsid w:val="004D4063"/>
    <w:pPr>
      <w:tabs>
        <w:tab w:val="left" w:pos="1134"/>
      </w:tabs>
      <w:spacing w:before="120" w:after="120"/>
      <w:ind w:left="284"/>
    </w:pPr>
    <w:rPr>
      <w:i/>
      <w:iCs/>
    </w:rPr>
  </w:style>
  <w:style w:type="character" w:customStyle="1" w:styleId="QuoteChar">
    <w:name w:val="Quote Char"/>
    <w:basedOn w:val="DefaultParagraphFont"/>
    <w:link w:val="Quote"/>
    <w:uiPriority w:val="29"/>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rsid w:val="008D3250"/>
    <w:rPr>
      <w:rFonts w:asciiTheme="majorHAnsi" w:eastAsiaTheme="majorEastAsia" w:hAnsiTheme="majorHAnsi" w:cstheme="majorBidi"/>
      <w:b/>
      <w:i/>
      <w:iCs/>
      <w:color w:val="00B2A9" w:themeColor="text2"/>
    </w:rPr>
  </w:style>
  <w:style w:type="character" w:customStyle="1" w:styleId="Heading5Char">
    <w:name w:val="Heading 5 Char"/>
    <w:basedOn w:val="DefaultParagraphFont"/>
    <w:link w:val="Heading5"/>
    <w:rsid w:val="00FA2F8A"/>
    <w:rPr>
      <w:rFonts w:asciiTheme="majorHAnsi" w:eastAsiaTheme="majorEastAsia" w:hAnsiTheme="majorHAnsi" w:cstheme="majorBidi"/>
      <w:i/>
      <w:color w:val="auto"/>
      <w:u w:val="single"/>
    </w:rPr>
  </w:style>
  <w:style w:type="paragraph" w:styleId="BlockText">
    <w:name w:val="Block Text"/>
    <w:basedOn w:val="Normal"/>
    <w:uiPriority w:val="99"/>
    <w:unhideWhenUsed/>
    <w:qFormat/>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B2A9"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uiPriority w:val="99"/>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357F56"/>
    <w:rPr>
      <w:b/>
      <w:bCs/>
      <w:i/>
      <w:iCs/>
      <w:color w:val="00B2A9" w:themeColor="text2"/>
      <w:kern w:val="20"/>
      <w:sz w:val="32"/>
      <w:szCs w:val="28"/>
    </w:rPr>
  </w:style>
  <w:style w:type="character" w:customStyle="1" w:styleId="Heading1Char">
    <w:name w:val="Heading 1 Char"/>
    <w:basedOn w:val="DefaultParagraphFont"/>
    <w:link w:val="Heading1"/>
    <w:uiPriority w:val="9"/>
    <w:rsid w:val="008A39F6"/>
    <w:rPr>
      <w:b/>
      <w:bCs/>
      <w:color w:val="201547" w:themeColor="accent2"/>
      <w:kern w:val="32"/>
      <w:sz w:val="40"/>
      <w:szCs w:val="32"/>
    </w:rPr>
  </w:style>
  <w:style w:type="character" w:customStyle="1" w:styleId="Heading3Char">
    <w:name w:val="Heading 3 Char"/>
    <w:basedOn w:val="DefaultParagraphFont"/>
    <w:link w:val="Heading3"/>
    <w:uiPriority w:val="9"/>
    <w:rsid w:val="00357F56"/>
    <w:rPr>
      <w:rFonts w:asciiTheme="majorHAnsi" w:hAnsiTheme="majorHAnsi"/>
      <w:i/>
      <w:color w:val="00B2A9" w:themeColor="accent1"/>
      <w:sz w:val="28"/>
    </w:rPr>
  </w:style>
  <w:style w:type="character" w:customStyle="1" w:styleId="HiddenText">
    <w:name w:val="Hidden Text"/>
    <w:basedOn w:val="DefaultParagraphFont"/>
    <w:uiPriority w:val="1"/>
    <w:qFormat/>
    <w:rsid w:val="00321955"/>
    <w:rPr>
      <w:color w:val="FF0000"/>
      <w:sz w:val="20"/>
      <w:u w:val="dotted"/>
    </w:rPr>
  </w:style>
  <w:style w:type="paragraph" w:customStyle="1" w:styleId="TOCtitle">
    <w:name w:val="TOC title"/>
    <w:basedOn w:val="Heading2"/>
    <w:next w:val="PwCNormal"/>
    <w:unhideWhenUsed/>
    <w:rsid w:val="003A7FBC"/>
    <w:pPr>
      <w:pageBreakBefore/>
      <w:numPr>
        <w:ilvl w:val="0"/>
        <w:numId w:val="0"/>
      </w:numPr>
      <w:kinsoku w:val="0"/>
      <w:overflowPunct w:val="0"/>
      <w:autoSpaceDE w:val="0"/>
      <w:autoSpaceDN w:val="0"/>
      <w:adjustRightInd w:val="0"/>
      <w:snapToGrid w:val="0"/>
      <w:spacing w:after="600" w:line="600" w:lineRule="atLeast"/>
    </w:pPr>
    <w:rPr>
      <w:rFonts w:asciiTheme="majorHAnsi" w:hAnsiTheme="majorHAnsi"/>
      <w:snapToGrid w:val="0"/>
      <w:color w:val="auto"/>
      <w:kern w:val="0"/>
      <w:sz w:val="56"/>
      <w:szCs w:val="36"/>
      <w:lang w:eastAsia="en-US"/>
    </w:rPr>
  </w:style>
  <w:style w:type="paragraph" w:customStyle="1" w:styleId="Covertitle">
    <w:name w:val="Cover title"/>
    <w:basedOn w:val="KeySentenceInside"/>
    <w:next w:val="Coversubtitle"/>
    <w:rsid w:val="003A7FBC"/>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3A7FBC"/>
    <w:pPr>
      <w:framePr w:wrap="notBeside"/>
      <w:spacing w:before="180"/>
    </w:pPr>
    <w:rPr>
      <w:bCs/>
      <w:szCs w:val="64"/>
    </w:rPr>
  </w:style>
  <w:style w:type="paragraph" w:customStyle="1" w:styleId="AppendixNumberLong">
    <w:name w:val="Appendix Number (Long)"/>
    <w:basedOn w:val="Heading3"/>
    <w:next w:val="Heading3"/>
    <w:uiPriority w:val="99"/>
    <w:rsid w:val="003A7FBC"/>
    <w:pPr>
      <w:pageBreakBefore/>
      <w:numPr>
        <w:ilvl w:val="0"/>
        <w:numId w:val="0"/>
      </w:numPr>
      <w:tabs>
        <w:tab w:val="clear" w:pos="1701"/>
        <w:tab w:val="clear" w:pos="1985"/>
        <w:tab w:val="num" w:pos="0"/>
      </w:tabs>
      <w:kinsoku w:val="0"/>
      <w:overflowPunct w:val="0"/>
      <w:autoSpaceDE w:val="0"/>
      <w:autoSpaceDN w:val="0"/>
      <w:adjustRightInd w:val="0"/>
      <w:snapToGrid w:val="0"/>
      <w:spacing w:before="0" w:after="0" w:line="720" w:lineRule="atLeast"/>
    </w:pPr>
    <w:rPr>
      <w:snapToGrid w:val="0"/>
      <w:color w:val="363534" w:themeColor="text1"/>
      <w:sz w:val="56"/>
      <w:szCs w:val="72"/>
      <w:lang w:eastAsia="en-US"/>
    </w:rPr>
  </w:style>
  <w:style w:type="paragraph" w:customStyle="1" w:styleId="ChapterNumberLong">
    <w:name w:val="Chapter Number (Long)"/>
    <w:basedOn w:val="Heading1"/>
    <w:next w:val="Heading1"/>
    <w:uiPriority w:val="99"/>
    <w:rsid w:val="003A7FBC"/>
    <w:pPr>
      <w:keepNext w:val="0"/>
      <w:keepLines w:val="0"/>
      <w:pageBreakBefore/>
      <w:numPr>
        <w:numId w:val="0"/>
      </w:numPr>
      <w:tabs>
        <w:tab w:val="num" w:pos="0"/>
      </w:tabs>
      <w:kinsoku w:val="0"/>
      <w:overflowPunct w:val="0"/>
      <w:autoSpaceDE w:val="0"/>
      <w:autoSpaceDN w:val="0"/>
      <w:adjustRightInd w:val="0"/>
      <w:snapToGrid w:val="0"/>
      <w:spacing w:after="0" w:line="720" w:lineRule="atLeast"/>
    </w:pPr>
    <w:rPr>
      <w:rFonts w:asciiTheme="majorHAnsi" w:hAnsiTheme="majorHAnsi"/>
      <w:i/>
      <w:snapToGrid w:val="0"/>
      <w:color w:val="auto"/>
      <w:kern w:val="0"/>
      <w:sz w:val="56"/>
      <w:szCs w:val="72"/>
      <w:lang w:eastAsia="en-US"/>
    </w:rPr>
  </w:style>
  <w:style w:type="paragraph" w:customStyle="1" w:styleId="Footer-Even">
    <w:name w:val="Footer - Even"/>
    <w:basedOn w:val="Footer"/>
    <w:rsid w:val="003A7FBC"/>
    <w:pPr>
      <w:tabs>
        <w:tab w:val="right" w:pos="8220"/>
      </w:tabs>
      <w:kinsoku w:val="0"/>
      <w:overflowPunct w:val="0"/>
      <w:autoSpaceDE w:val="0"/>
      <w:autoSpaceDN w:val="0"/>
      <w:adjustRightInd w:val="0"/>
      <w:snapToGrid w:val="0"/>
      <w:spacing w:line="0" w:lineRule="atLeast"/>
    </w:pPr>
    <w:rPr>
      <w:rFonts w:ascii="Arial" w:hAnsi="Arial"/>
      <w:snapToGrid w:val="0"/>
      <w:sz w:val="19"/>
      <w:szCs w:val="18"/>
      <w:lang w:eastAsia="en-US"/>
    </w:rPr>
  </w:style>
  <w:style w:type="paragraph" w:customStyle="1" w:styleId="URL">
    <w:name w:val="URL"/>
    <w:basedOn w:val="PwCNormal"/>
    <w:next w:val="PwCNormal"/>
    <w:rsid w:val="003A7FBC"/>
    <w:pPr>
      <w:framePr w:wrap="around" w:vAnchor="page" w:hAnchor="page" w:x="1022" w:y="568"/>
      <w:spacing w:after="0"/>
    </w:pPr>
    <w:rPr>
      <w:rFonts w:eastAsia="+mn-ea"/>
      <w:snapToGrid/>
      <w:color w:val="FFFFFF"/>
      <w:sz w:val="36"/>
    </w:rPr>
  </w:style>
  <w:style w:type="paragraph" w:customStyle="1" w:styleId="Indent1">
    <w:name w:val="Indent 1"/>
    <w:basedOn w:val="Normal"/>
    <w:rsid w:val="003A7FBC"/>
    <w:pPr>
      <w:numPr>
        <w:ilvl w:val="1"/>
        <w:numId w:val="37"/>
      </w:numPr>
      <w:kinsoku w:val="0"/>
      <w:overflowPunct w:val="0"/>
      <w:autoSpaceDE w:val="0"/>
      <w:autoSpaceDN w:val="0"/>
      <w:adjustRightInd w:val="0"/>
      <w:snapToGrid w:val="0"/>
      <w:spacing w:before="100" w:after="100" w:line="240" w:lineRule="auto"/>
    </w:pPr>
    <w:rPr>
      <w:rFonts w:ascii="Georgia" w:hAnsi="Georgia" w:cs="Times New Roman"/>
      <w:snapToGrid w:val="0"/>
      <w:lang w:eastAsia="en-US"/>
    </w:rPr>
  </w:style>
  <w:style w:type="paragraph" w:customStyle="1" w:styleId="Indent2">
    <w:name w:val="Indent 2"/>
    <w:basedOn w:val="Indent1"/>
    <w:rsid w:val="003A7FBC"/>
    <w:pPr>
      <w:numPr>
        <w:ilvl w:val="2"/>
      </w:numPr>
    </w:pPr>
  </w:style>
  <w:style w:type="paragraph" w:customStyle="1" w:styleId="Indent3">
    <w:name w:val="Indent 3"/>
    <w:basedOn w:val="Indent2"/>
    <w:rsid w:val="003A7FBC"/>
    <w:pPr>
      <w:numPr>
        <w:ilvl w:val="3"/>
      </w:numPr>
    </w:pPr>
  </w:style>
  <w:style w:type="paragraph" w:customStyle="1" w:styleId="Indent5">
    <w:name w:val="Indent 5"/>
    <w:basedOn w:val="Indent4"/>
    <w:rsid w:val="003A7FBC"/>
    <w:pPr>
      <w:numPr>
        <w:ilvl w:val="5"/>
      </w:numPr>
    </w:pPr>
  </w:style>
  <w:style w:type="paragraph" w:customStyle="1" w:styleId="Indent6">
    <w:name w:val="Indent 6"/>
    <w:basedOn w:val="Indent5"/>
    <w:rsid w:val="003A7FBC"/>
    <w:pPr>
      <w:numPr>
        <w:ilvl w:val="6"/>
      </w:numPr>
    </w:pPr>
  </w:style>
  <w:style w:type="paragraph" w:customStyle="1" w:styleId="Indent7">
    <w:name w:val="Indent 7"/>
    <w:basedOn w:val="Indent6"/>
    <w:rsid w:val="003A7FBC"/>
    <w:pPr>
      <w:numPr>
        <w:ilvl w:val="7"/>
      </w:numPr>
    </w:pPr>
  </w:style>
  <w:style w:type="numbering" w:customStyle="1" w:styleId="Indents">
    <w:name w:val="Indents"/>
    <w:rsid w:val="003A7FBC"/>
    <w:pPr>
      <w:numPr>
        <w:numId w:val="16"/>
      </w:numPr>
    </w:pPr>
  </w:style>
  <w:style w:type="paragraph" w:customStyle="1" w:styleId="Copyright">
    <w:name w:val="Copyright"/>
    <w:basedOn w:val="Normal"/>
    <w:rsid w:val="003A7FBC"/>
    <w:pPr>
      <w:framePr w:w="7938" w:wrap="around" w:vAnchor="page" w:hAnchor="page" w:x="1022" w:y="15196"/>
      <w:kinsoku w:val="0"/>
      <w:overflowPunct w:val="0"/>
      <w:autoSpaceDE w:val="0"/>
      <w:autoSpaceDN w:val="0"/>
      <w:adjustRightInd w:val="0"/>
      <w:snapToGrid w:val="0"/>
      <w:spacing w:before="150" w:after="150" w:line="150" w:lineRule="atLeast"/>
      <w:ind w:right="816"/>
    </w:pPr>
    <w:rPr>
      <w:rFonts w:ascii="Arial" w:hAnsi="Arial"/>
      <w:snapToGrid w:val="0"/>
      <w:color w:val="FFFFFF"/>
      <w:sz w:val="16"/>
      <w:lang w:val="en-US" w:eastAsia="en-US"/>
    </w:rPr>
  </w:style>
  <w:style w:type="paragraph" w:customStyle="1" w:styleId="Header-Even">
    <w:name w:val="Header - Even"/>
    <w:basedOn w:val="Header"/>
    <w:rsid w:val="003A7FBC"/>
    <w:pPr>
      <w:tabs>
        <w:tab w:val="right" w:pos="8220"/>
      </w:tabs>
      <w:kinsoku w:val="0"/>
      <w:overflowPunct w:val="0"/>
      <w:autoSpaceDE w:val="0"/>
      <w:autoSpaceDN w:val="0"/>
      <w:adjustRightInd w:val="0"/>
      <w:snapToGrid w:val="0"/>
    </w:pPr>
    <w:rPr>
      <w:rFonts w:ascii="Arial" w:hAnsi="Arial"/>
      <w:snapToGrid w:val="0"/>
      <w:sz w:val="19"/>
      <w:szCs w:val="18"/>
      <w:lang w:eastAsia="en-US"/>
    </w:rPr>
  </w:style>
  <w:style w:type="paragraph" w:customStyle="1" w:styleId="PleaseNote">
    <w:name w:val="Please Note"/>
    <w:basedOn w:val="PrefaceTitle"/>
    <w:next w:val="PwCNormal"/>
    <w:rsid w:val="003A7FBC"/>
    <w:rPr>
      <w:iCs w:val="0"/>
    </w:rPr>
  </w:style>
  <w:style w:type="paragraph" w:customStyle="1" w:styleId="Indent4">
    <w:name w:val="Indent 4"/>
    <w:basedOn w:val="Indent3"/>
    <w:rsid w:val="003A7FBC"/>
    <w:pPr>
      <w:numPr>
        <w:ilvl w:val="4"/>
      </w:numPr>
    </w:pPr>
  </w:style>
  <w:style w:type="paragraph" w:customStyle="1" w:styleId="KeySentenceInside">
    <w:name w:val="Key Sentence Inside"/>
    <w:basedOn w:val="KeySentence"/>
    <w:rsid w:val="003A7FBC"/>
    <w:pPr>
      <w:framePr w:w="2296" w:wrap="notBeside" w:vAnchor="text" w:hAnchor="margin" w:x="-2521" w:y="1" w:anchorLock="1"/>
    </w:pPr>
  </w:style>
  <w:style w:type="paragraph" w:customStyle="1" w:styleId="ChapterNumberedList1">
    <w:name w:val="Chapter Numbered List 1"/>
    <w:basedOn w:val="PwCNormal"/>
    <w:uiPriority w:val="99"/>
    <w:rsid w:val="003A7FBC"/>
    <w:pPr>
      <w:numPr>
        <w:numId w:val="0"/>
      </w:numPr>
      <w:ind w:left="3632" w:hanging="454"/>
    </w:pPr>
  </w:style>
  <w:style w:type="paragraph" w:customStyle="1" w:styleId="ChapterNumberedList2">
    <w:name w:val="Chapter Numbered List 2"/>
    <w:basedOn w:val="ChapterNumberedList1"/>
    <w:uiPriority w:val="99"/>
    <w:rsid w:val="003A7FBC"/>
    <w:pPr>
      <w:ind w:left="4086"/>
    </w:pPr>
  </w:style>
  <w:style w:type="paragraph" w:customStyle="1" w:styleId="PwCNormal">
    <w:name w:val="PwC Normal"/>
    <w:basedOn w:val="Normal"/>
    <w:link w:val="PwCNormalChar"/>
    <w:rsid w:val="003A7FBC"/>
    <w:pPr>
      <w:numPr>
        <w:numId w:val="37"/>
      </w:numPr>
      <w:kinsoku w:val="0"/>
      <w:overflowPunct w:val="0"/>
      <w:autoSpaceDE w:val="0"/>
      <w:autoSpaceDN w:val="0"/>
      <w:adjustRightInd w:val="0"/>
      <w:snapToGrid w:val="0"/>
      <w:spacing w:before="120" w:after="120" w:line="240" w:lineRule="auto"/>
    </w:pPr>
    <w:rPr>
      <w:rFonts w:ascii="Georgia" w:hAnsi="Georgia"/>
      <w:snapToGrid w:val="0"/>
      <w:lang w:eastAsia="en-US"/>
    </w:rPr>
  </w:style>
  <w:style w:type="paragraph" w:customStyle="1" w:styleId="CoverDate">
    <w:name w:val="Cover Date"/>
    <w:basedOn w:val="Coversubtitle"/>
    <w:rsid w:val="003A7FBC"/>
    <w:pPr>
      <w:framePr w:wrap="notBeside"/>
    </w:pPr>
  </w:style>
  <w:style w:type="paragraph" w:customStyle="1" w:styleId="KeySentenceOutside">
    <w:name w:val="Key Sentence Outside"/>
    <w:basedOn w:val="KeySentence"/>
    <w:rsid w:val="003A7FBC"/>
    <w:pPr>
      <w:framePr w:w="2410" w:wrap="around" w:vAnchor="text" w:hAnchor="margin" w:x="7909" w:y="1" w:anchorLock="1"/>
    </w:pPr>
  </w:style>
  <w:style w:type="character" w:customStyle="1" w:styleId="PwCNormalChar">
    <w:name w:val="PwC Normal Char"/>
    <w:basedOn w:val="DefaultParagraphFont"/>
    <w:link w:val="PwCNormal"/>
    <w:rsid w:val="003A7FBC"/>
    <w:rPr>
      <w:rFonts w:ascii="Georgia" w:hAnsi="Georgia"/>
      <w:snapToGrid w:val="0"/>
      <w:color w:val="auto"/>
      <w:lang w:eastAsia="en-US"/>
    </w:rPr>
  </w:style>
  <w:style w:type="paragraph" w:customStyle="1" w:styleId="CREATISID">
    <w:name w:val="CREATISID"/>
    <w:basedOn w:val="PwCNormal"/>
    <w:unhideWhenUsed/>
    <w:rsid w:val="003A7FBC"/>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3A7FBC"/>
    <w:pPr>
      <w:numPr>
        <w:numId w:val="15"/>
      </w:numPr>
    </w:pPr>
  </w:style>
  <w:style w:type="paragraph" w:customStyle="1" w:styleId="Footer-Landscape">
    <w:name w:val="Footer - Landscape"/>
    <w:basedOn w:val="Footer"/>
    <w:rsid w:val="003A7FBC"/>
    <w:pPr>
      <w:tabs>
        <w:tab w:val="right" w:pos="14797"/>
      </w:tabs>
      <w:kinsoku w:val="0"/>
      <w:overflowPunct w:val="0"/>
      <w:autoSpaceDE w:val="0"/>
      <w:autoSpaceDN w:val="0"/>
      <w:adjustRightInd w:val="0"/>
      <w:snapToGrid w:val="0"/>
      <w:spacing w:line="0" w:lineRule="atLeast"/>
    </w:pPr>
    <w:rPr>
      <w:rFonts w:ascii="Arial" w:hAnsi="Arial"/>
      <w:snapToGrid w:val="0"/>
      <w:sz w:val="19"/>
      <w:szCs w:val="18"/>
      <w:lang w:eastAsia="en-US"/>
    </w:rPr>
  </w:style>
  <w:style w:type="paragraph" w:customStyle="1" w:styleId="TableBullet1Normal">
    <w:name w:val="Table Bullet 1 Normal"/>
    <w:basedOn w:val="TableTextNormal"/>
    <w:rsid w:val="003A7FBC"/>
    <w:pPr>
      <w:numPr>
        <w:numId w:val="19"/>
      </w:numPr>
      <w:spacing w:before="40" w:after="40"/>
    </w:pPr>
  </w:style>
  <w:style w:type="paragraph" w:customStyle="1" w:styleId="TableTextNormal">
    <w:name w:val="Table Text Normal"/>
    <w:basedOn w:val="Normal"/>
    <w:rsid w:val="003A7FBC"/>
    <w:pPr>
      <w:kinsoku w:val="0"/>
      <w:overflowPunct w:val="0"/>
      <w:autoSpaceDE w:val="0"/>
      <w:autoSpaceDN w:val="0"/>
      <w:adjustRightInd w:val="0"/>
      <w:snapToGrid w:val="0"/>
      <w:spacing w:before="80" w:after="80" w:line="240" w:lineRule="auto"/>
    </w:pPr>
    <w:rPr>
      <w:rFonts w:ascii="Georgia" w:hAnsi="Georgia"/>
      <w:snapToGrid w:val="0"/>
      <w:lang w:eastAsia="en-US"/>
    </w:rPr>
  </w:style>
  <w:style w:type="paragraph" w:customStyle="1" w:styleId="TableBullet1Small">
    <w:name w:val="Table Bullet 1 Small"/>
    <w:basedOn w:val="TableTextSmall"/>
    <w:rsid w:val="003A7FBC"/>
    <w:pPr>
      <w:numPr>
        <w:numId w:val="20"/>
      </w:numPr>
      <w:spacing w:before="20" w:after="20"/>
    </w:pPr>
  </w:style>
  <w:style w:type="paragraph" w:customStyle="1" w:styleId="TableTextSmall">
    <w:name w:val="Table Text Small"/>
    <w:basedOn w:val="Normal"/>
    <w:rsid w:val="003A7FBC"/>
    <w:pPr>
      <w:kinsoku w:val="0"/>
      <w:overflowPunct w:val="0"/>
      <w:autoSpaceDE w:val="0"/>
      <w:autoSpaceDN w:val="0"/>
      <w:adjustRightInd w:val="0"/>
      <w:snapToGrid w:val="0"/>
      <w:spacing w:before="40" w:after="40" w:line="240" w:lineRule="auto"/>
    </w:pPr>
    <w:rPr>
      <w:rFonts w:ascii="Arial" w:hAnsi="Arial"/>
      <w:snapToGrid w:val="0"/>
      <w:sz w:val="16"/>
      <w:szCs w:val="18"/>
      <w:lang w:eastAsia="en-US"/>
    </w:rPr>
  </w:style>
  <w:style w:type="paragraph" w:customStyle="1" w:styleId="TableBullet3Normal">
    <w:name w:val="Table Bullet 3 Normal"/>
    <w:basedOn w:val="TableBullet2Normal"/>
    <w:rsid w:val="003A7FBC"/>
    <w:pPr>
      <w:numPr>
        <w:ilvl w:val="2"/>
      </w:numPr>
      <w:tabs>
        <w:tab w:val="clear" w:pos="851"/>
        <w:tab w:val="num" w:pos="567"/>
      </w:tabs>
      <w:ind w:left="567" w:hanging="283"/>
    </w:pPr>
  </w:style>
  <w:style w:type="paragraph" w:customStyle="1" w:styleId="TableBullet3Small">
    <w:name w:val="Table Bullet 3 Small"/>
    <w:basedOn w:val="TableBullet2Small"/>
    <w:rsid w:val="003A7FBC"/>
    <w:pPr>
      <w:numPr>
        <w:ilvl w:val="2"/>
      </w:numPr>
    </w:pPr>
    <w:rPr>
      <w:szCs w:val="16"/>
    </w:rPr>
  </w:style>
  <w:style w:type="paragraph" w:customStyle="1" w:styleId="BlockText2">
    <w:name w:val="Block Text 2"/>
    <w:basedOn w:val="Normal"/>
    <w:qFormat/>
    <w:rsid w:val="003A7FBC"/>
    <w:pPr>
      <w:pBdr>
        <w:top w:val="single" w:sz="2" w:space="10" w:color="00B2A9" w:themeColor="text2"/>
        <w:left w:val="single" w:sz="2" w:space="10" w:color="00B2A9" w:themeColor="text2"/>
        <w:bottom w:val="single" w:sz="2" w:space="10" w:color="00B2A9" w:themeColor="text2"/>
        <w:right w:val="single" w:sz="2" w:space="10" w:color="00B2A9" w:themeColor="text2"/>
      </w:pBdr>
      <w:shd w:val="clear" w:color="auto" w:fill="00B2A9" w:themeFill="text2"/>
      <w:spacing w:after="240" w:line="240" w:lineRule="auto"/>
      <w:ind w:left="227" w:right="227"/>
    </w:pPr>
    <w:rPr>
      <w:rFonts w:ascii="Georgia" w:eastAsiaTheme="minorHAnsi" w:hAnsi="Georgia" w:cstheme="minorBidi"/>
      <w:i/>
      <w:color w:val="E5F7F6" w:themeColor="background2"/>
      <w:sz w:val="48"/>
      <w:szCs w:val="48"/>
      <w:lang w:val="en-GB" w:eastAsia="en-US"/>
    </w:rPr>
  </w:style>
  <w:style w:type="paragraph" w:customStyle="1" w:styleId="Appendix">
    <w:name w:val="Appendix"/>
    <w:basedOn w:val="Heading1"/>
    <w:next w:val="Normal"/>
    <w:uiPriority w:val="99"/>
    <w:qFormat/>
    <w:rsid w:val="003A7FBC"/>
    <w:pPr>
      <w:numPr>
        <w:numId w:val="24"/>
      </w:numPr>
      <w:spacing w:after="480" w:line="600" w:lineRule="atLeast"/>
    </w:pPr>
    <w:rPr>
      <w:rFonts w:asciiTheme="majorHAnsi" w:eastAsiaTheme="majorEastAsia" w:hAnsiTheme="majorHAnsi" w:cstheme="majorBidi"/>
      <w:i/>
      <w:color w:val="auto"/>
      <w:kern w:val="0"/>
      <w:sz w:val="56"/>
      <w:szCs w:val="28"/>
      <w:lang w:val="en-GB" w:eastAsia="en-US"/>
    </w:rPr>
  </w:style>
  <w:style w:type="numbering" w:customStyle="1" w:styleId="PwCAppendixList1">
    <w:name w:val="PwC Appendix List 1"/>
    <w:uiPriority w:val="99"/>
    <w:rsid w:val="003A7FBC"/>
    <w:pPr>
      <w:numPr>
        <w:numId w:val="23"/>
      </w:numPr>
    </w:pPr>
  </w:style>
  <w:style w:type="paragraph" w:customStyle="1" w:styleId="Majorheading">
    <w:name w:val="Major heading"/>
    <w:basedOn w:val="Normal"/>
    <w:next w:val="PwCNormal"/>
    <w:rsid w:val="003A7FBC"/>
    <w:pPr>
      <w:keepNext/>
      <w:keepLines/>
      <w:kinsoku w:val="0"/>
      <w:overflowPunct w:val="0"/>
      <w:autoSpaceDE w:val="0"/>
      <w:autoSpaceDN w:val="0"/>
      <w:adjustRightInd w:val="0"/>
      <w:snapToGrid w:val="0"/>
      <w:spacing w:before="240" w:after="40" w:line="240" w:lineRule="auto"/>
    </w:pPr>
    <w:rPr>
      <w:rFonts w:asciiTheme="majorHAnsi" w:hAnsiTheme="majorHAnsi"/>
      <w:b/>
      <w:i/>
      <w:snapToGrid w:val="0"/>
      <w:color w:val="00B2A9" w:themeColor="text2"/>
      <w:sz w:val="28"/>
      <w:szCs w:val="24"/>
      <w:lang w:eastAsia="en-US"/>
    </w:rPr>
  </w:style>
  <w:style w:type="numbering" w:customStyle="1" w:styleId="TableBulletNormalList">
    <w:name w:val="Table Bullet Normal List"/>
    <w:rsid w:val="003A7FBC"/>
    <w:pPr>
      <w:numPr>
        <w:numId w:val="18"/>
      </w:numPr>
    </w:pPr>
  </w:style>
  <w:style w:type="paragraph" w:customStyle="1" w:styleId="Disclaimer">
    <w:name w:val="Disclaimer"/>
    <w:basedOn w:val="Normal"/>
    <w:unhideWhenUsed/>
    <w:rsid w:val="003A7FBC"/>
    <w:pPr>
      <w:kinsoku w:val="0"/>
      <w:overflowPunct w:val="0"/>
      <w:autoSpaceDE w:val="0"/>
      <w:autoSpaceDN w:val="0"/>
      <w:adjustRightInd w:val="0"/>
      <w:snapToGrid w:val="0"/>
      <w:spacing w:after="140" w:line="240" w:lineRule="auto"/>
    </w:pPr>
    <w:rPr>
      <w:rFonts w:ascii="Arial" w:hAnsi="Arial"/>
      <w:snapToGrid w:val="0"/>
      <w:sz w:val="15"/>
      <w:lang w:eastAsia="en-US"/>
    </w:rPr>
  </w:style>
  <w:style w:type="paragraph" w:customStyle="1" w:styleId="Footer-LandscapeEven">
    <w:name w:val="Footer - Landscape Even"/>
    <w:basedOn w:val="Footer-Landscape"/>
    <w:rsid w:val="003A7FBC"/>
  </w:style>
  <w:style w:type="paragraph" w:customStyle="1" w:styleId="PwCNormal-Single">
    <w:name w:val="PwC Normal - Single"/>
    <w:basedOn w:val="PwCNormal"/>
    <w:rsid w:val="003A7FBC"/>
    <w:pPr>
      <w:numPr>
        <w:numId w:val="0"/>
      </w:numPr>
      <w:spacing w:after="0"/>
    </w:pPr>
  </w:style>
  <w:style w:type="numbering" w:customStyle="1" w:styleId="TableNumberdListNormal">
    <w:name w:val="Table Numberd List Normal"/>
    <w:uiPriority w:val="99"/>
    <w:rsid w:val="003A7FBC"/>
    <w:pPr>
      <w:numPr>
        <w:numId w:val="26"/>
      </w:numPr>
    </w:pPr>
  </w:style>
  <w:style w:type="numbering" w:customStyle="1" w:styleId="TableNumberedListSmall">
    <w:name w:val="Table Numbered List Small"/>
    <w:uiPriority w:val="99"/>
    <w:rsid w:val="003A7FBC"/>
    <w:pPr>
      <w:numPr>
        <w:numId w:val="28"/>
      </w:numPr>
    </w:pPr>
  </w:style>
  <w:style w:type="paragraph" w:customStyle="1" w:styleId="TableIndent2Normal">
    <w:name w:val="Table Indent 2 Normal"/>
    <w:basedOn w:val="TableIndent1Normal"/>
    <w:rsid w:val="003A7FBC"/>
    <w:pPr>
      <w:ind w:left="567"/>
    </w:pPr>
  </w:style>
  <w:style w:type="paragraph" w:customStyle="1" w:styleId="TableIndent2Small">
    <w:name w:val="Table Indent 2 Small"/>
    <w:basedOn w:val="TableIndent1Small"/>
    <w:rsid w:val="003A7FBC"/>
    <w:pPr>
      <w:ind w:left="567"/>
    </w:pPr>
    <w:rPr>
      <w:szCs w:val="16"/>
    </w:rPr>
  </w:style>
  <w:style w:type="paragraph" w:customStyle="1" w:styleId="KeySentence">
    <w:name w:val="Key Sentence"/>
    <w:basedOn w:val="Normal"/>
    <w:rsid w:val="003A7FBC"/>
    <w:pPr>
      <w:kinsoku w:val="0"/>
      <w:overflowPunct w:val="0"/>
      <w:autoSpaceDE w:val="0"/>
      <w:autoSpaceDN w:val="0"/>
      <w:adjustRightInd w:val="0"/>
      <w:snapToGrid w:val="0"/>
      <w:spacing w:after="160" w:line="260" w:lineRule="atLeast"/>
    </w:pPr>
    <w:rPr>
      <w:rFonts w:ascii="Georgia" w:hAnsi="Georgia"/>
      <w:i/>
      <w:snapToGrid w:val="0"/>
      <w:color w:val="00B2A9" w:themeColor="text2"/>
      <w:sz w:val="16"/>
      <w:szCs w:val="18"/>
      <w:lang w:eastAsia="en-US"/>
    </w:rPr>
  </w:style>
  <w:style w:type="numbering" w:customStyle="1" w:styleId="TableNumberedListS">
    <w:name w:val="Table Numbered List S"/>
    <w:rsid w:val="003A7FBC"/>
  </w:style>
  <w:style w:type="paragraph" w:customStyle="1" w:styleId="PrefaceTitle">
    <w:name w:val="Preface Title"/>
    <w:basedOn w:val="Heading2"/>
    <w:next w:val="PwCNormal"/>
    <w:rsid w:val="003A7FBC"/>
    <w:pPr>
      <w:pageBreakBefore/>
      <w:numPr>
        <w:ilvl w:val="0"/>
        <w:numId w:val="0"/>
      </w:numPr>
      <w:kinsoku w:val="0"/>
      <w:overflowPunct w:val="0"/>
      <w:autoSpaceDE w:val="0"/>
      <w:autoSpaceDN w:val="0"/>
      <w:adjustRightInd w:val="0"/>
      <w:snapToGrid w:val="0"/>
      <w:spacing w:after="480" w:line="600" w:lineRule="atLeast"/>
    </w:pPr>
    <w:rPr>
      <w:rFonts w:asciiTheme="majorHAnsi" w:hAnsiTheme="majorHAnsi"/>
      <w:snapToGrid w:val="0"/>
      <w:color w:val="363534" w:themeColor="text1"/>
      <w:kern w:val="0"/>
      <w:sz w:val="56"/>
      <w:szCs w:val="36"/>
      <w:lang w:eastAsia="en-US"/>
    </w:rPr>
  </w:style>
  <w:style w:type="paragraph" w:customStyle="1" w:styleId="Sources">
    <w:name w:val="Sources"/>
    <w:basedOn w:val="Normal"/>
    <w:next w:val="PwCNormal"/>
    <w:rsid w:val="003A7FBC"/>
    <w:pPr>
      <w:kinsoku w:val="0"/>
      <w:overflowPunct w:val="0"/>
      <w:autoSpaceDE w:val="0"/>
      <w:autoSpaceDN w:val="0"/>
      <w:adjustRightInd w:val="0"/>
      <w:snapToGrid w:val="0"/>
      <w:spacing w:before="80" w:after="240" w:line="180" w:lineRule="atLeast"/>
    </w:pPr>
    <w:rPr>
      <w:rFonts w:ascii="Georgia" w:hAnsi="Georgia"/>
      <w:snapToGrid w:val="0"/>
      <w:color w:val="00B2A9" w:themeColor="text2"/>
      <w:sz w:val="16"/>
      <w:lang w:eastAsia="en-US"/>
    </w:rPr>
  </w:style>
  <w:style w:type="paragraph" w:customStyle="1" w:styleId="Minorheading">
    <w:name w:val="Minor heading"/>
    <w:basedOn w:val="Majorheading"/>
    <w:next w:val="PwCNormal"/>
    <w:rsid w:val="003A7FBC"/>
    <w:pPr>
      <w:spacing w:line="180" w:lineRule="atLeast"/>
    </w:pPr>
    <w:rPr>
      <w:b w:val="0"/>
      <w:sz w:val="26"/>
    </w:rPr>
  </w:style>
  <w:style w:type="paragraph" w:customStyle="1" w:styleId="Minorheading2">
    <w:name w:val="Minor heading 2"/>
    <w:basedOn w:val="Minorheading"/>
    <w:next w:val="PwCNormal"/>
    <w:rsid w:val="003A7FBC"/>
    <w:pPr>
      <w:spacing w:after="120" w:line="240" w:lineRule="auto"/>
    </w:pPr>
    <w:rPr>
      <w:b/>
      <w:i w:val="0"/>
      <w:sz w:val="20"/>
    </w:rPr>
  </w:style>
  <w:style w:type="numbering" w:customStyle="1" w:styleId="PwCListNumbers1">
    <w:name w:val="PwC List Numbers 1"/>
    <w:uiPriority w:val="99"/>
    <w:rsid w:val="003A7FBC"/>
    <w:pPr>
      <w:numPr>
        <w:numId w:val="25"/>
      </w:numPr>
    </w:pPr>
  </w:style>
  <w:style w:type="paragraph" w:customStyle="1" w:styleId="BlockText3">
    <w:name w:val="Block Text 3"/>
    <w:basedOn w:val="BlockText"/>
    <w:qFormat/>
    <w:rsid w:val="003A7FBC"/>
    <w:pPr>
      <w:pBdr>
        <w:top w:val="single" w:sz="8" w:space="10" w:color="D2F1EF" w:themeColor="background2" w:themeShade="F2"/>
        <w:left w:val="single" w:sz="8" w:space="10" w:color="D2F1EF" w:themeColor="background2" w:themeShade="F2"/>
        <w:bottom w:val="single" w:sz="8" w:space="10" w:color="D2F1EF" w:themeColor="background2" w:themeShade="F2"/>
        <w:right w:val="single" w:sz="8" w:space="10" w:color="D2F1EF" w:themeColor="background2" w:themeShade="F2"/>
      </w:pBdr>
      <w:shd w:val="clear" w:color="auto" w:fill="D2F1EF" w:themeFill="background2" w:themeFillShade="F2"/>
      <w:spacing w:after="240" w:line="240" w:lineRule="auto"/>
      <w:ind w:left="227" w:right="227"/>
    </w:pPr>
    <w:rPr>
      <w:rFonts w:ascii="Georgia" w:hAnsi="Georgia"/>
      <w:b/>
      <w:color w:val="00B2A9" w:themeColor="accent1"/>
      <w:sz w:val="96"/>
      <w:lang w:val="en-GB" w:eastAsia="en-US"/>
    </w:rPr>
  </w:style>
  <w:style w:type="paragraph" w:customStyle="1" w:styleId="TableBullet2Normal">
    <w:name w:val="Table Bullet 2 Normal"/>
    <w:basedOn w:val="TableBullet1Normal"/>
    <w:rsid w:val="003A7FBC"/>
    <w:pPr>
      <w:numPr>
        <w:ilvl w:val="1"/>
      </w:numPr>
    </w:pPr>
  </w:style>
  <w:style w:type="paragraph" w:customStyle="1" w:styleId="TableBullet2Small">
    <w:name w:val="Table Bullet 2 Small"/>
    <w:basedOn w:val="TableBullet1Small"/>
    <w:rsid w:val="003A7FBC"/>
    <w:pPr>
      <w:numPr>
        <w:ilvl w:val="1"/>
      </w:numPr>
    </w:pPr>
  </w:style>
  <w:style w:type="paragraph" w:customStyle="1" w:styleId="TableIndent1Normal">
    <w:name w:val="Table Indent 1 Normal"/>
    <w:basedOn w:val="TableBullet1Normal"/>
    <w:rsid w:val="003A7FBC"/>
    <w:pPr>
      <w:numPr>
        <w:numId w:val="0"/>
      </w:numPr>
      <w:ind w:left="284"/>
    </w:pPr>
  </w:style>
  <w:style w:type="paragraph" w:customStyle="1" w:styleId="TableIndent1Small">
    <w:name w:val="Table Indent 1 Small"/>
    <w:basedOn w:val="TableBullet1Small"/>
    <w:rsid w:val="003A7FBC"/>
    <w:pPr>
      <w:numPr>
        <w:numId w:val="0"/>
      </w:numPr>
      <w:ind w:left="284"/>
    </w:pPr>
  </w:style>
  <w:style w:type="paragraph" w:customStyle="1" w:styleId="SubHeading">
    <w:name w:val="Sub Heading"/>
    <w:basedOn w:val="PwCNormal"/>
    <w:rsid w:val="003A7FBC"/>
    <w:pPr>
      <w:spacing w:after="480" w:line="600" w:lineRule="atLeast"/>
    </w:pPr>
    <w:rPr>
      <w:sz w:val="56"/>
    </w:rPr>
  </w:style>
  <w:style w:type="character" w:styleId="EndnoteReference">
    <w:name w:val="endnote reference"/>
    <w:basedOn w:val="DefaultParagraphFont"/>
    <w:semiHidden/>
    <w:unhideWhenUsed/>
    <w:rsid w:val="003A7FBC"/>
    <w:rPr>
      <w:rFonts w:ascii="Arial" w:hAnsi="Arial" w:cs="Arial"/>
      <w:sz w:val="21"/>
      <w:vertAlign w:val="superscript"/>
    </w:rPr>
  </w:style>
  <w:style w:type="paragraph" w:styleId="EndnoteText">
    <w:name w:val="endnote text"/>
    <w:basedOn w:val="FootnoteText"/>
    <w:link w:val="EndnoteTextChar"/>
    <w:semiHidden/>
    <w:unhideWhenUsed/>
    <w:rsid w:val="003A7FBC"/>
    <w:pPr>
      <w:kinsoku w:val="0"/>
      <w:overflowPunct w:val="0"/>
      <w:autoSpaceDE w:val="0"/>
      <w:autoSpaceDN w:val="0"/>
      <w:adjustRightInd w:val="0"/>
      <w:snapToGrid w:val="0"/>
      <w:spacing w:before="80" w:after="80" w:line="240" w:lineRule="auto"/>
      <w:ind w:left="227" w:hanging="227"/>
    </w:pPr>
    <w:rPr>
      <w:rFonts w:ascii="Georgia" w:hAnsi="Georgia"/>
      <w:snapToGrid w:val="0"/>
      <w:kern w:val="0"/>
      <w:lang w:eastAsia="en-US"/>
    </w:rPr>
  </w:style>
  <w:style w:type="character" w:customStyle="1" w:styleId="EndnoteTextChar">
    <w:name w:val="Endnote Text Char"/>
    <w:basedOn w:val="DefaultParagraphFont"/>
    <w:link w:val="EndnoteText"/>
    <w:semiHidden/>
    <w:rsid w:val="003A7FBC"/>
    <w:rPr>
      <w:rFonts w:ascii="Georgia" w:hAnsi="Georgia"/>
      <w:snapToGrid w:val="0"/>
      <w:color w:val="auto"/>
      <w:sz w:val="14"/>
      <w:lang w:eastAsia="en-US"/>
    </w:rPr>
  </w:style>
  <w:style w:type="paragraph" w:customStyle="1" w:styleId="Address">
    <w:name w:val="Address"/>
    <w:basedOn w:val="Normal"/>
    <w:qFormat/>
    <w:rsid w:val="003A7FBC"/>
    <w:pPr>
      <w:spacing w:line="200" w:lineRule="atLeast"/>
    </w:pPr>
    <w:rPr>
      <w:rFonts w:ascii="Georgia" w:eastAsiaTheme="minorHAnsi" w:hAnsi="Georgia" w:cstheme="minorBidi"/>
      <w:i/>
      <w:noProof/>
      <w:sz w:val="18"/>
      <w:szCs w:val="22"/>
      <w:lang w:val="en-GB" w:eastAsia="en-GB"/>
    </w:rPr>
  </w:style>
  <w:style w:type="paragraph" w:styleId="TOC9">
    <w:name w:val="toc 9"/>
    <w:basedOn w:val="TOC8"/>
    <w:next w:val="PwCNormal"/>
    <w:uiPriority w:val="39"/>
    <w:rsid w:val="003A7FBC"/>
    <w:pPr>
      <w:tabs>
        <w:tab w:val="clear" w:pos="9582"/>
        <w:tab w:val="left" w:pos="4253"/>
        <w:tab w:val="right" w:pos="8220"/>
      </w:tabs>
      <w:kinsoku w:val="0"/>
      <w:overflowPunct w:val="0"/>
      <w:autoSpaceDE w:val="0"/>
      <w:autoSpaceDN w:val="0"/>
      <w:adjustRightInd w:val="0"/>
      <w:snapToGrid w:val="0"/>
      <w:spacing w:before="240" w:after="240"/>
      <w:ind w:left="4253" w:hanging="851"/>
    </w:pPr>
    <w:rPr>
      <w:rFonts w:ascii="Georgia" w:hAnsi="Georgia"/>
      <w:b w:val="0"/>
      <w:snapToGrid w:val="0"/>
      <w:color w:val="auto"/>
      <w:lang w:eastAsia="en-US"/>
    </w:rPr>
  </w:style>
  <w:style w:type="paragraph" w:customStyle="1" w:styleId="Separator">
    <w:name w:val="Separator"/>
    <w:basedOn w:val="Normal"/>
    <w:semiHidden/>
    <w:rsid w:val="003A7FBC"/>
    <w:pPr>
      <w:kinsoku w:val="0"/>
      <w:overflowPunct w:val="0"/>
      <w:autoSpaceDE w:val="0"/>
      <w:autoSpaceDN w:val="0"/>
      <w:adjustRightInd w:val="0"/>
      <w:snapToGrid w:val="0"/>
      <w:spacing w:before="240" w:after="120" w:line="240" w:lineRule="auto"/>
    </w:pPr>
    <w:rPr>
      <w:rFonts w:ascii="Georgia" w:hAnsi="Georgia"/>
      <w:snapToGrid w:val="0"/>
      <w:sz w:val="16"/>
      <w:lang w:eastAsia="en-US"/>
    </w:rPr>
  </w:style>
  <w:style w:type="numbering" w:customStyle="1" w:styleId="TableNumberedListN">
    <w:name w:val="Table Numbered List N"/>
    <w:rsid w:val="003A7FBC"/>
  </w:style>
  <w:style w:type="paragraph" w:customStyle="1" w:styleId="TableColumnHeadingNormal">
    <w:name w:val="Table Column Heading Normal"/>
    <w:basedOn w:val="TableTextNormal"/>
    <w:rsid w:val="003A7FBC"/>
    <w:pPr>
      <w:keepNext/>
      <w:keepLines/>
    </w:pPr>
    <w:rPr>
      <w:b/>
      <w:color w:val="00B2A9" w:themeColor="text2"/>
    </w:rPr>
  </w:style>
  <w:style w:type="paragraph" w:customStyle="1" w:styleId="Tablecolumnhead">
    <w:name w:val="Table column head"/>
    <w:basedOn w:val="TableTextSmall"/>
    <w:next w:val="TableTextSmall"/>
    <w:rsid w:val="00414B82"/>
    <w:pPr>
      <w:keepNext/>
      <w:keepLines/>
    </w:pPr>
    <w:rPr>
      <w:b/>
      <w:color w:val="FFFFFF" w:themeColor="background1"/>
      <w:sz w:val="20"/>
      <w:szCs w:val="16"/>
    </w:rPr>
  </w:style>
  <w:style w:type="numbering" w:customStyle="1" w:styleId="TableBulletSmallList">
    <w:name w:val="Table Bullet Small List"/>
    <w:rsid w:val="003A7FBC"/>
    <w:pPr>
      <w:numPr>
        <w:numId w:val="17"/>
      </w:numPr>
    </w:pPr>
  </w:style>
  <w:style w:type="paragraph" w:customStyle="1" w:styleId="Header-Landscape">
    <w:name w:val="Header - Landscape"/>
    <w:basedOn w:val="Header"/>
    <w:rsid w:val="003A7FBC"/>
    <w:pPr>
      <w:tabs>
        <w:tab w:val="right" w:pos="8220"/>
      </w:tabs>
      <w:kinsoku w:val="0"/>
      <w:overflowPunct w:val="0"/>
      <w:autoSpaceDE w:val="0"/>
      <w:autoSpaceDN w:val="0"/>
      <w:adjustRightInd w:val="0"/>
      <w:snapToGrid w:val="0"/>
    </w:pPr>
    <w:rPr>
      <w:rFonts w:ascii="Arial" w:hAnsi="Arial"/>
      <w:snapToGrid w:val="0"/>
      <w:sz w:val="19"/>
      <w:szCs w:val="18"/>
      <w:lang w:eastAsia="en-US"/>
    </w:rPr>
  </w:style>
  <w:style w:type="paragraph" w:customStyle="1" w:styleId="Indent8">
    <w:name w:val="Indent 8"/>
    <w:basedOn w:val="Indent7"/>
    <w:rsid w:val="003A7FBC"/>
    <w:pPr>
      <w:numPr>
        <w:ilvl w:val="8"/>
      </w:numPr>
    </w:pPr>
  </w:style>
  <w:style w:type="paragraph" w:customStyle="1" w:styleId="Header-LandscapeEven">
    <w:name w:val="Header - Landscape Even"/>
    <w:basedOn w:val="Header-Landscape"/>
    <w:rsid w:val="003A7FBC"/>
    <w:pPr>
      <w:tabs>
        <w:tab w:val="right" w:pos="14661"/>
      </w:tabs>
    </w:pPr>
  </w:style>
  <w:style w:type="paragraph" w:customStyle="1" w:styleId="Footer-ToC">
    <w:name w:val="Footer - ToC"/>
    <w:basedOn w:val="Footer"/>
    <w:rsid w:val="003A7FBC"/>
    <w:pPr>
      <w:tabs>
        <w:tab w:val="right" w:pos="8220"/>
      </w:tabs>
      <w:kinsoku w:val="0"/>
      <w:overflowPunct w:val="0"/>
      <w:autoSpaceDE w:val="0"/>
      <w:autoSpaceDN w:val="0"/>
      <w:adjustRightInd w:val="0"/>
      <w:snapToGrid w:val="0"/>
      <w:spacing w:line="0" w:lineRule="atLeast"/>
    </w:pPr>
    <w:rPr>
      <w:rFonts w:ascii="Arial" w:hAnsi="Arial"/>
      <w:snapToGrid w:val="0"/>
      <w:sz w:val="19"/>
      <w:szCs w:val="18"/>
      <w:lang w:eastAsia="en-US"/>
    </w:rPr>
  </w:style>
  <w:style w:type="paragraph" w:customStyle="1" w:styleId="Footer-ToCEven">
    <w:name w:val="Footer - ToC Even"/>
    <w:basedOn w:val="Footer-ToC"/>
    <w:rsid w:val="003A7FBC"/>
  </w:style>
  <w:style w:type="table" w:customStyle="1" w:styleId="Tables-APBase">
    <w:name w:val="Tables - AP Base"/>
    <w:basedOn w:val="TableNormal"/>
    <w:rsid w:val="003A7FBC"/>
    <w:pPr>
      <w:spacing w:line="240" w:lineRule="auto"/>
    </w:pPr>
    <w:rPr>
      <w:rFonts w:ascii="Georgia" w:hAnsi="Georgia" w:cs="Times New Roman"/>
      <w:color w:val="auto"/>
    </w:rPr>
    <w:tblPr>
      <w:tblStyleRowBandSize w:val="1"/>
      <w:tblStyleColBandSize w:val="1"/>
      <w:tblBorders>
        <w:top w:val="single" w:sz="4" w:space="0" w:color="FFFFFF"/>
        <w:left w:val="single" w:sz="4" w:space="0" w:color="FFFFFF"/>
        <w:bottom w:val="single" w:sz="6" w:space="0" w:color="00B2A9" w:themeColor="text2"/>
        <w:right w:val="single" w:sz="4" w:space="0" w:color="FFFFFF"/>
        <w:insideH w:val="dotted" w:sz="8" w:space="0" w:color="00B2A9"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00B2A9" w:themeColor="text2"/>
          <w:bottom w:val="single" w:sz="4" w:space="0" w:color="00B2A9" w:themeColor="text2"/>
        </w:tcBorders>
      </w:tcPr>
    </w:tblStylePr>
    <w:tblStylePr w:type="lastRow">
      <w:rPr>
        <w:color w:val="auto"/>
      </w:rPr>
      <w:tblPr/>
      <w:tcPr>
        <w:tcBorders>
          <w:top w:val="single" w:sz="4" w:space="0" w:color="00B2A9"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3A7FBC"/>
  </w:style>
  <w:style w:type="paragraph" w:customStyle="1" w:styleId="ListBullet1">
    <w:name w:val="List Bullet 1"/>
    <w:basedOn w:val="Normal"/>
    <w:semiHidden/>
    <w:locked/>
    <w:rsid w:val="003A7FBC"/>
    <w:pPr>
      <w:tabs>
        <w:tab w:val="num" w:pos="720"/>
      </w:tabs>
      <w:kinsoku w:val="0"/>
      <w:overflowPunct w:val="0"/>
      <w:autoSpaceDE w:val="0"/>
      <w:autoSpaceDN w:val="0"/>
      <w:adjustRightInd w:val="0"/>
      <w:snapToGrid w:val="0"/>
      <w:spacing w:before="100" w:after="100" w:line="240" w:lineRule="auto"/>
      <w:ind w:left="720" w:hanging="720"/>
    </w:pPr>
    <w:rPr>
      <w:rFonts w:ascii="Georgia" w:hAnsi="Georgia"/>
      <w:snapToGrid w:val="0"/>
      <w:lang w:eastAsia="en-US"/>
    </w:rPr>
  </w:style>
  <w:style w:type="paragraph" w:styleId="ListBullet4">
    <w:name w:val="List Bullet 4"/>
    <w:basedOn w:val="ListBullet3"/>
    <w:unhideWhenUsed/>
    <w:rsid w:val="003A7FBC"/>
    <w:pPr>
      <w:numPr>
        <w:ilvl w:val="0"/>
        <w:numId w:val="0"/>
      </w:numPr>
      <w:tabs>
        <w:tab w:val="num" w:pos="1134"/>
      </w:tabs>
      <w:kinsoku w:val="0"/>
      <w:overflowPunct w:val="0"/>
      <w:autoSpaceDE w:val="0"/>
      <w:autoSpaceDN w:val="0"/>
      <w:adjustRightInd w:val="0"/>
      <w:snapToGrid w:val="0"/>
      <w:spacing w:line="240" w:lineRule="auto"/>
      <w:ind w:left="1136" w:hanging="284"/>
    </w:pPr>
    <w:rPr>
      <w:rFonts w:ascii="Georgia" w:hAnsi="Georgia"/>
      <w:snapToGrid w:val="0"/>
      <w:lang w:eastAsia="en-US"/>
    </w:rPr>
  </w:style>
  <w:style w:type="paragraph" w:customStyle="1" w:styleId="CVBullet1">
    <w:name w:val="CV Bullet 1"/>
    <w:basedOn w:val="CVText"/>
    <w:rsid w:val="003A7FBC"/>
    <w:pPr>
      <w:numPr>
        <w:numId w:val="22"/>
      </w:numPr>
      <w:ind w:left="0" w:firstLine="0"/>
    </w:pPr>
  </w:style>
  <w:style w:type="paragraph" w:customStyle="1" w:styleId="CVDetails">
    <w:name w:val="CV Details"/>
    <w:basedOn w:val="CVRoleTitle"/>
    <w:rsid w:val="003A7FBC"/>
    <w:pPr>
      <w:pBdr>
        <w:bottom w:val="none" w:sz="0" w:space="0" w:color="00457C"/>
      </w:pBdr>
      <w:spacing w:before="120" w:after="40"/>
    </w:pPr>
    <w:rPr>
      <w:i/>
      <w:color w:val="00B2A9" w:themeColor="text2"/>
      <w:sz w:val="14"/>
      <w:szCs w:val="24"/>
    </w:rPr>
  </w:style>
  <w:style w:type="paragraph" w:customStyle="1" w:styleId="CVHeading2">
    <w:name w:val="CV Heading 2"/>
    <w:basedOn w:val="CVHeading1"/>
    <w:next w:val="CVText"/>
    <w:rsid w:val="003A7FBC"/>
    <w:pPr>
      <w:keepNext/>
      <w:keepLines/>
      <w:pBdr>
        <w:bottom w:val="none" w:sz="0" w:space="0" w:color="00457C"/>
      </w:pBdr>
      <w:spacing w:before="120"/>
    </w:pPr>
    <w:rPr>
      <w:i/>
      <w:color w:val="00B2A9" w:themeColor="text2"/>
      <w:sz w:val="18"/>
      <w:szCs w:val="24"/>
    </w:rPr>
  </w:style>
  <w:style w:type="paragraph" w:customStyle="1" w:styleId="CVHeading1">
    <w:name w:val="CV Heading 1"/>
    <w:basedOn w:val="CVText"/>
    <w:next w:val="CVText"/>
    <w:rsid w:val="003A7FBC"/>
  </w:style>
  <w:style w:type="paragraph" w:customStyle="1" w:styleId="CVPhoto">
    <w:name w:val="CV Photo"/>
    <w:basedOn w:val="CVHeading2"/>
    <w:rsid w:val="003A7FBC"/>
    <w:rPr>
      <w:sz w:val="21"/>
    </w:rPr>
  </w:style>
  <w:style w:type="paragraph" w:customStyle="1" w:styleId="CVText">
    <w:name w:val="CV Text"/>
    <w:basedOn w:val="PwCNormal"/>
    <w:rsid w:val="003A7FBC"/>
    <w:pPr>
      <w:numPr>
        <w:numId w:val="0"/>
      </w:numPr>
      <w:spacing w:before="80" w:after="80"/>
    </w:pPr>
  </w:style>
  <w:style w:type="paragraph" w:customStyle="1" w:styleId="CVNamelarge">
    <w:name w:val="CV Name large"/>
    <w:basedOn w:val="CVText"/>
    <w:next w:val="CVRoleTitle"/>
    <w:rsid w:val="003A7FBC"/>
  </w:style>
  <w:style w:type="paragraph" w:customStyle="1" w:styleId="CVBullet2">
    <w:name w:val="CV Bullet 2"/>
    <w:basedOn w:val="CVBullet1"/>
    <w:rsid w:val="003A7FBC"/>
    <w:pPr>
      <w:numPr>
        <w:ilvl w:val="1"/>
      </w:numPr>
      <w:tabs>
        <w:tab w:val="num" w:pos="567"/>
      </w:tabs>
      <w:ind w:left="0" w:firstLine="0"/>
    </w:pPr>
  </w:style>
  <w:style w:type="numbering" w:customStyle="1" w:styleId="Style1">
    <w:name w:val="Style1"/>
    <w:uiPriority w:val="99"/>
    <w:rsid w:val="003A7FBC"/>
    <w:pPr>
      <w:numPr>
        <w:numId w:val="34"/>
      </w:numPr>
    </w:pPr>
  </w:style>
  <w:style w:type="numbering" w:customStyle="1" w:styleId="IndentList">
    <w:name w:val="IndentList"/>
    <w:basedOn w:val="NoList"/>
    <w:rsid w:val="003A7FBC"/>
    <w:pPr>
      <w:numPr>
        <w:numId w:val="39"/>
      </w:numPr>
    </w:pPr>
  </w:style>
  <w:style w:type="paragraph" w:customStyle="1" w:styleId="VersionControl">
    <w:name w:val="Version Control"/>
    <w:basedOn w:val="TOCtitle"/>
    <w:unhideWhenUsed/>
    <w:rsid w:val="003A7FBC"/>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A7FBC"/>
    <w:pPr>
      <w:framePr w:wrap="around"/>
    </w:pPr>
  </w:style>
  <w:style w:type="paragraph" w:customStyle="1" w:styleId="VersionTableText">
    <w:name w:val="Version Table Text"/>
    <w:basedOn w:val="VersionControl"/>
    <w:unhideWhenUsed/>
    <w:rsid w:val="003A7FBC"/>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3A7FBC"/>
    <w:tblPr/>
    <w:tcPr>
      <w:shd w:val="clear" w:color="auto" w:fill="auto"/>
    </w:tcPr>
    <w:tblStylePr w:type="firstRow">
      <w:pPr>
        <w:jc w:val="center"/>
      </w:pPr>
      <w:rPr>
        <w:rFonts w:asciiTheme="minorHAnsi" w:hAnsiTheme="minorHAnsi"/>
        <w:b/>
        <w:color w:val="E5F7F6" w:themeColor="background2"/>
      </w:rPr>
      <w:tblPr/>
      <w:trPr>
        <w:tblHeader/>
      </w:trPr>
      <w:tcPr>
        <w:tcBorders>
          <w:top w:val="single" w:sz="4" w:space="0" w:color="00B2A9" w:themeColor="text2"/>
          <w:bottom w:val="single" w:sz="4" w:space="0" w:color="00B2A9" w:themeColor="text2"/>
        </w:tcBorders>
        <w:shd w:val="clear" w:color="auto" w:fill="00B2A9" w:themeFill="text2"/>
        <w:vAlign w:val="bottom"/>
      </w:tcPr>
    </w:tblStylePr>
    <w:tblStylePr w:type="lastRow">
      <w:rPr>
        <w:color w:val="FFFFFF" w:themeColor="background1"/>
      </w:rPr>
      <w:tblPr/>
      <w:tcPr>
        <w:tcBorders>
          <w:top w:val="single" w:sz="4" w:space="0" w:color="00B2A9" w:themeColor="text2"/>
        </w:tcBorders>
        <w:shd w:val="clear" w:color="auto" w:fill="00B2A9" w:themeFill="text2"/>
      </w:tcPr>
    </w:tblStylePr>
    <w:tblStylePr w:type="firstCol">
      <w:tblPr/>
      <w:tcPr>
        <w:shd w:val="clear" w:color="auto" w:fill="E5F7F6" w:themeFill="background2"/>
      </w:tcPr>
    </w:tblStylePr>
    <w:tblStylePr w:type="lastCol">
      <w:tblPr/>
      <w:tcPr>
        <w:shd w:val="clear" w:color="auto" w:fill="E5F7F6" w:themeFill="background2"/>
      </w:tcPr>
    </w:tblStylePr>
    <w:tblStylePr w:type="band2Vert">
      <w:tblPr/>
      <w:tcPr>
        <w:shd w:val="clear" w:color="auto" w:fill="BCFFFB" w:themeFill="text2" w:themeFillTint="33"/>
      </w:tcPr>
    </w:tblStylePr>
    <w:tblStylePr w:type="band2Horz">
      <w:tblPr/>
      <w:tcPr>
        <w:shd w:val="clear" w:color="auto" w:fill="BCFFFB" w:themeFill="text2" w:themeFillTint="33"/>
      </w:tcPr>
    </w:tblStylePr>
    <w:tblStylePr w:type="nwCell">
      <w:pPr>
        <w:jc w:val="left"/>
      </w:pPr>
      <w:tblPr/>
      <w:tcPr>
        <w:shd w:val="clear" w:color="auto" w:fill="FFFFFF" w:themeFill="background1"/>
        <w:vAlign w:val="bottom"/>
      </w:tcPr>
    </w:tblStylePr>
  </w:style>
  <w:style w:type="paragraph" w:customStyle="1" w:styleId="Header-FirstPage">
    <w:name w:val="Header - First Page"/>
    <w:basedOn w:val="Header"/>
    <w:rsid w:val="003A7FBC"/>
    <w:pPr>
      <w:tabs>
        <w:tab w:val="right" w:pos="8220"/>
      </w:tabs>
      <w:kinsoku w:val="0"/>
      <w:overflowPunct w:val="0"/>
      <w:autoSpaceDE w:val="0"/>
      <w:autoSpaceDN w:val="0"/>
      <w:adjustRightInd w:val="0"/>
      <w:snapToGrid w:val="0"/>
    </w:pPr>
    <w:rPr>
      <w:rFonts w:ascii="Arial" w:hAnsi="Arial"/>
      <w:snapToGrid w:val="0"/>
      <w:sz w:val="19"/>
      <w:szCs w:val="18"/>
      <w:lang w:eastAsia="en-US"/>
    </w:rPr>
  </w:style>
  <w:style w:type="paragraph" w:customStyle="1" w:styleId="Appendicestitle">
    <w:name w:val="Appendices title"/>
    <w:basedOn w:val="TOCtitle"/>
    <w:qFormat/>
    <w:rsid w:val="003A7FBC"/>
    <w:pPr>
      <w:pageBreakBefore w:val="0"/>
    </w:pPr>
  </w:style>
  <w:style w:type="numbering" w:customStyle="1" w:styleId="CVBullets">
    <w:name w:val="CV Bullets"/>
    <w:uiPriority w:val="99"/>
    <w:rsid w:val="003A7FBC"/>
    <w:pPr>
      <w:numPr>
        <w:numId w:val="21"/>
      </w:numPr>
    </w:pPr>
  </w:style>
  <w:style w:type="paragraph" w:styleId="DocumentMap">
    <w:name w:val="Document Map"/>
    <w:basedOn w:val="Normal"/>
    <w:link w:val="DocumentMapChar"/>
    <w:semiHidden/>
    <w:rsid w:val="003A7FBC"/>
    <w:pPr>
      <w:kinsoku w:val="0"/>
      <w:overflowPunct w:val="0"/>
      <w:autoSpaceDE w:val="0"/>
      <w:autoSpaceDN w:val="0"/>
      <w:adjustRightInd w:val="0"/>
      <w:snapToGrid w:val="0"/>
      <w:spacing w:line="240" w:lineRule="auto"/>
    </w:pPr>
    <w:rPr>
      <w:rFonts w:ascii="Tahoma" w:hAnsi="Tahoma" w:cs="Tahoma"/>
      <w:snapToGrid w:val="0"/>
      <w:sz w:val="16"/>
      <w:szCs w:val="16"/>
      <w:lang w:eastAsia="en-US"/>
    </w:rPr>
  </w:style>
  <w:style w:type="character" w:customStyle="1" w:styleId="DocumentMapChar">
    <w:name w:val="Document Map Char"/>
    <w:basedOn w:val="DefaultParagraphFont"/>
    <w:link w:val="DocumentMap"/>
    <w:semiHidden/>
    <w:rsid w:val="003A7FBC"/>
    <w:rPr>
      <w:rFonts w:ascii="Tahoma" w:hAnsi="Tahoma" w:cs="Tahoma"/>
      <w:snapToGrid w:val="0"/>
      <w:color w:val="auto"/>
      <w:sz w:val="16"/>
      <w:szCs w:val="16"/>
      <w:lang w:eastAsia="en-US"/>
    </w:rPr>
  </w:style>
  <w:style w:type="table" w:styleId="TableGrid2">
    <w:name w:val="Table Grid 2"/>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7FBC"/>
    <w:pPr>
      <w:kinsoku w:val="0"/>
      <w:overflowPunct w:val="0"/>
      <w:autoSpaceDE w:val="0"/>
      <w:autoSpaceDN w:val="0"/>
      <w:adjustRightInd w:val="0"/>
      <w:snapToGrid w:val="0"/>
      <w:spacing w:line="240" w:lineRule="auto"/>
    </w:pPr>
    <w:rPr>
      <w:rFonts w:ascii="Georgia" w:hAnsi="Georgia"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3A7FBC"/>
    <w:pPr>
      <w:kinsoku w:val="0"/>
      <w:overflowPunct w:val="0"/>
      <w:autoSpaceDE w:val="0"/>
      <w:autoSpaceDN w:val="0"/>
      <w:adjustRightInd w:val="0"/>
      <w:snapToGrid w:val="0"/>
      <w:spacing w:line="240" w:lineRule="auto"/>
    </w:pPr>
    <w:rPr>
      <w:rFonts w:ascii="Georgia" w:hAnsi="Georgia"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rsid w:val="003A7FBC"/>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spacing w:line="240" w:lineRule="auto"/>
    </w:pPr>
    <w:rPr>
      <w:rFonts w:ascii="Consolas" w:hAnsi="Consolas"/>
      <w:snapToGrid w:val="0"/>
      <w:color w:val="auto"/>
      <w:lang w:eastAsia="en-US"/>
    </w:rPr>
  </w:style>
  <w:style w:type="character" w:customStyle="1" w:styleId="MacroTextChar">
    <w:name w:val="Macro Text Char"/>
    <w:basedOn w:val="DefaultParagraphFont"/>
    <w:link w:val="MacroText"/>
    <w:rsid w:val="003A7FBC"/>
    <w:rPr>
      <w:rFonts w:ascii="Consolas" w:hAnsi="Consolas"/>
      <w:snapToGrid w:val="0"/>
      <w:color w:val="auto"/>
      <w:lang w:eastAsia="en-US"/>
    </w:rPr>
  </w:style>
  <w:style w:type="paragraph" w:styleId="Bibliography">
    <w:name w:val="Bibliography"/>
    <w:basedOn w:val="Normal"/>
    <w:next w:val="Normal"/>
    <w:uiPriority w:val="37"/>
    <w:semiHidden/>
    <w:rsid w:val="003A7FBC"/>
    <w:pPr>
      <w:kinsoku w:val="0"/>
      <w:overflowPunct w:val="0"/>
      <w:autoSpaceDE w:val="0"/>
      <w:autoSpaceDN w:val="0"/>
      <w:adjustRightInd w:val="0"/>
      <w:snapToGrid w:val="0"/>
      <w:spacing w:line="240" w:lineRule="auto"/>
    </w:pPr>
    <w:rPr>
      <w:rFonts w:ascii="Georgia" w:hAnsi="Georgia"/>
      <w:snapToGrid w:val="0"/>
      <w:lang w:eastAsia="en-US"/>
    </w:rPr>
  </w:style>
  <w:style w:type="paragraph" w:styleId="BodyText2">
    <w:name w:val="Body Text 2"/>
    <w:basedOn w:val="Normal"/>
    <w:link w:val="BodyText2Char"/>
    <w:semiHidden/>
    <w:rsid w:val="003A7FBC"/>
    <w:pPr>
      <w:kinsoku w:val="0"/>
      <w:overflowPunct w:val="0"/>
      <w:autoSpaceDE w:val="0"/>
      <w:autoSpaceDN w:val="0"/>
      <w:adjustRightInd w:val="0"/>
      <w:snapToGrid w:val="0"/>
      <w:spacing w:after="120" w:line="480" w:lineRule="auto"/>
    </w:pPr>
    <w:rPr>
      <w:rFonts w:ascii="Georgia" w:hAnsi="Georgia"/>
      <w:snapToGrid w:val="0"/>
      <w:lang w:eastAsia="en-US"/>
    </w:rPr>
  </w:style>
  <w:style w:type="character" w:customStyle="1" w:styleId="BodyText2Char">
    <w:name w:val="Body Text 2 Char"/>
    <w:basedOn w:val="DefaultParagraphFont"/>
    <w:link w:val="BodyText2"/>
    <w:semiHidden/>
    <w:rsid w:val="003A7FBC"/>
    <w:rPr>
      <w:rFonts w:ascii="Georgia" w:hAnsi="Georgia"/>
      <w:snapToGrid w:val="0"/>
      <w:color w:val="auto"/>
      <w:lang w:eastAsia="en-US"/>
    </w:rPr>
  </w:style>
  <w:style w:type="paragraph" w:styleId="BodyText3">
    <w:name w:val="Body Text 3"/>
    <w:basedOn w:val="Normal"/>
    <w:link w:val="BodyText3Char"/>
    <w:semiHidden/>
    <w:rsid w:val="003A7FBC"/>
    <w:pPr>
      <w:kinsoku w:val="0"/>
      <w:overflowPunct w:val="0"/>
      <w:autoSpaceDE w:val="0"/>
      <w:autoSpaceDN w:val="0"/>
      <w:adjustRightInd w:val="0"/>
      <w:snapToGrid w:val="0"/>
      <w:spacing w:after="120" w:line="240" w:lineRule="auto"/>
    </w:pPr>
    <w:rPr>
      <w:rFonts w:ascii="Georgia" w:hAnsi="Georgia"/>
      <w:snapToGrid w:val="0"/>
      <w:sz w:val="16"/>
      <w:szCs w:val="16"/>
      <w:lang w:eastAsia="en-US"/>
    </w:rPr>
  </w:style>
  <w:style w:type="character" w:customStyle="1" w:styleId="BodyText3Char">
    <w:name w:val="Body Text 3 Char"/>
    <w:basedOn w:val="DefaultParagraphFont"/>
    <w:link w:val="BodyText3"/>
    <w:semiHidden/>
    <w:rsid w:val="003A7FBC"/>
    <w:rPr>
      <w:rFonts w:ascii="Georgia" w:hAnsi="Georgia"/>
      <w:snapToGrid w:val="0"/>
      <w:color w:val="auto"/>
      <w:sz w:val="16"/>
      <w:szCs w:val="16"/>
      <w:lang w:eastAsia="en-US"/>
    </w:rPr>
  </w:style>
  <w:style w:type="paragraph" w:styleId="BodyTextFirstIndent">
    <w:name w:val="Body Text First Indent"/>
    <w:basedOn w:val="BodyText"/>
    <w:link w:val="BodyTextFirstIndentChar"/>
    <w:rsid w:val="003A7FBC"/>
    <w:pPr>
      <w:kinsoku w:val="0"/>
      <w:overflowPunct w:val="0"/>
      <w:autoSpaceDE w:val="0"/>
      <w:autoSpaceDN w:val="0"/>
      <w:adjustRightInd w:val="0"/>
      <w:snapToGrid w:val="0"/>
      <w:spacing w:before="0" w:after="0" w:line="240" w:lineRule="auto"/>
      <w:ind w:firstLine="360"/>
    </w:pPr>
    <w:rPr>
      <w:rFonts w:ascii="Georgia" w:hAnsi="Georgia" w:cs="Arial"/>
      <w:snapToGrid w:val="0"/>
    </w:rPr>
  </w:style>
  <w:style w:type="character" w:customStyle="1" w:styleId="BodyTextFirstIndentChar">
    <w:name w:val="Body Text First Indent Char"/>
    <w:basedOn w:val="BodyTextChar"/>
    <w:link w:val="BodyTextFirstIndent"/>
    <w:rsid w:val="003A7FBC"/>
    <w:rPr>
      <w:rFonts w:ascii="Georgia" w:hAnsi="Georgia" w:cs="Times New Roman"/>
      <w:snapToGrid w:val="0"/>
      <w:color w:val="auto"/>
      <w:lang w:eastAsia="en-US"/>
    </w:rPr>
  </w:style>
  <w:style w:type="paragraph" w:styleId="BodyTextIndent">
    <w:name w:val="Body Text Indent"/>
    <w:basedOn w:val="Normal"/>
    <w:link w:val="BodyTextIndentChar"/>
    <w:semiHidden/>
    <w:rsid w:val="003A7FBC"/>
    <w:pPr>
      <w:kinsoku w:val="0"/>
      <w:overflowPunct w:val="0"/>
      <w:autoSpaceDE w:val="0"/>
      <w:autoSpaceDN w:val="0"/>
      <w:adjustRightInd w:val="0"/>
      <w:snapToGrid w:val="0"/>
      <w:spacing w:after="120" w:line="240" w:lineRule="auto"/>
      <w:ind w:left="283"/>
    </w:pPr>
    <w:rPr>
      <w:rFonts w:ascii="Georgia" w:hAnsi="Georgia"/>
      <w:snapToGrid w:val="0"/>
      <w:lang w:eastAsia="en-US"/>
    </w:rPr>
  </w:style>
  <w:style w:type="character" w:customStyle="1" w:styleId="BodyTextIndentChar">
    <w:name w:val="Body Text Indent Char"/>
    <w:basedOn w:val="DefaultParagraphFont"/>
    <w:link w:val="BodyTextIndent"/>
    <w:semiHidden/>
    <w:rsid w:val="003A7FBC"/>
    <w:rPr>
      <w:rFonts w:ascii="Georgia" w:hAnsi="Georgia"/>
      <w:snapToGrid w:val="0"/>
      <w:color w:val="auto"/>
      <w:lang w:eastAsia="en-US"/>
    </w:rPr>
  </w:style>
  <w:style w:type="paragraph" w:styleId="BodyTextFirstIndent2">
    <w:name w:val="Body Text First Indent 2"/>
    <w:basedOn w:val="BodyTextIndent"/>
    <w:link w:val="BodyTextFirstIndent2Char"/>
    <w:semiHidden/>
    <w:rsid w:val="003A7FBC"/>
    <w:pPr>
      <w:spacing w:after="0"/>
      <w:ind w:left="360" w:firstLine="360"/>
    </w:pPr>
  </w:style>
  <w:style w:type="character" w:customStyle="1" w:styleId="BodyTextFirstIndent2Char">
    <w:name w:val="Body Text First Indent 2 Char"/>
    <w:basedOn w:val="BodyTextIndentChar"/>
    <w:link w:val="BodyTextFirstIndent2"/>
    <w:semiHidden/>
    <w:rsid w:val="003A7FBC"/>
    <w:rPr>
      <w:rFonts w:ascii="Georgia" w:hAnsi="Georgia"/>
      <w:snapToGrid w:val="0"/>
      <w:color w:val="auto"/>
      <w:lang w:eastAsia="en-US"/>
    </w:rPr>
  </w:style>
  <w:style w:type="paragraph" w:styleId="BodyTextIndent2">
    <w:name w:val="Body Text Indent 2"/>
    <w:basedOn w:val="Normal"/>
    <w:link w:val="BodyTextIndent2Char"/>
    <w:semiHidden/>
    <w:rsid w:val="003A7FBC"/>
    <w:pPr>
      <w:kinsoku w:val="0"/>
      <w:overflowPunct w:val="0"/>
      <w:autoSpaceDE w:val="0"/>
      <w:autoSpaceDN w:val="0"/>
      <w:adjustRightInd w:val="0"/>
      <w:snapToGrid w:val="0"/>
      <w:spacing w:after="120" w:line="480" w:lineRule="auto"/>
      <w:ind w:left="283"/>
    </w:pPr>
    <w:rPr>
      <w:rFonts w:ascii="Georgia" w:hAnsi="Georgia"/>
      <w:snapToGrid w:val="0"/>
      <w:lang w:eastAsia="en-US"/>
    </w:rPr>
  </w:style>
  <w:style w:type="character" w:customStyle="1" w:styleId="BodyTextIndent2Char">
    <w:name w:val="Body Text Indent 2 Char"/>
    <w:basedOn w:val="DefaultParagraphFont"/>
    <w:link w:val="BodyTextIndent2"/>
    <w:semiHidden/>
    <w:rsid w:val="003A7FBC"/>
    <w:rPr>
      <w:rFonts w:ascii="Georgia" w:hAnsi="Georgia"/>
      <w:snapToGrid w:val="0"/>
      <w:color w:val="auto"/>
      <w:lang w:eastAsia="en-US"/>
    </w:rPr>
  </w:style>
  <w:style w:type="paragraph" w:styleId="BodyTextIndent3">
    <w:name w:val="Body Text Indent 3"/>
    <w:basedOn w:val="Normal"/>
    <w:link w:val="BodyTextIndent3Char"/>
    <w:semiHidden/>
    <w:rsid w:val="003A7FBC"/>
    <w:pPr>
      <w:kinsoku w:val="0"/>
      <w:overflowPunct w:val="0"/>
      <w:autoSpaceDE w:val="0"/>
      <w:autoSpaceDN w:val="0"/>
      <w:adjustRightInd w:val="0"/>
      <w:snapToGrid w:val="0"/>
      <w:spacing w:after="120" w:line="240" w:lineRule="auto"/>
      <w:ind w:left="283"/>
    </w:pPr>
    <w:rPr>
      <w:rFonts w:ascii="Georgia" w:hAnsi="Georgia"/>
      <w:snapToGrid w:val="0"/>
      <w:sz w:val="16"/>
      <w:szCs w:val="16"/>
      <w:lang w:eastAsia="en-US"/>
    </w:rPr>
  </w:style>
  <w:style w:type="character" w:customStyle="1" w:styleId="BodyTextIndent3Char">
    <w:name w:val="Body Text Indent 3 Char"/>
    <w:basedOn w:val="DefaultParagraphFont"/>
    <w:link w:val="BodyTextIndent3"/>
    <w:semiHidden/>
    <w:rsid w:val="003A7FBC"/>
    <w:rPr>
      <w:rFonts w:ascii="Georgia" w:hAnsi="Georgia"/>
      <w:snapToGrid w:val="0"/>
      <w:color w:val="auto"/>
      <w:sz w:val="16"/>
      <w:szCs w:val="16"/>
      <w:lang w:eastAsia="en-US"/>
    </w:rPr>
  </w:style>
  <w:style w:type="character" w:styleId="BookTitle">
    <w:name w:val="Book Title"/>
    <w:basedOn w:val="DefaultParagraphFont"/>
    <w:uiPriority w:val="33"/>
    <w:qFormat/>
    <w:rsid w:val="003A7FBC"/>
    <w:rPr>
      <w:rFonts w:ascii="Georgia" w:hAnsi="Georgia"/>
      <w:b/>
      <w:bCs/>
      <w:smallCaps/>
      <w:spacing w:val="5"/>
    </w:rPr>
  </w:style>
  <w:style w:type="paragraph" w:styleId="Closing">
    <w:name w:val="Closing"/>
    <w:basedOn w:val="Normal"/>
    <w:link w:val="ClosingChar"/>
    <w:semiHidden/>
    <w:unhideWhenUsed/>
    <w:rsid w:val="003A7FBC"/>
    <w:pPr>
      <w:kinsoku w:val="0"/>
      <w:overflowPunct w:val="0"/>
      <w:autoSpaceDE w:val="0"/>
      <w:autoSpaceDN w:val="0"/>
      <w:adjustRightInd w:val="0"/>
      <w:snapToGrid w:val="0"/>
      <w:spacing w:line="240" w:lineRule="auto"/>
      <w:ind w:left="4252"/>
    </w:pPr>
    <w:rPr>
      <w:rFonts w:ascii="Georgia" w:hAnsi="Georgia"/>
      <w:snapToGrid w:val="0"/>
      <w:lang w:eastAsia="en-US"/>
    </w:rPr>
  </w:style>
  <w:style w:type="character" w:customStyle="1" w:styleId="ClosingChar">
    <w:name w:val="Closing Char"/>
    <w:basedOn w:val="DefaultParagraphFont"/>
    <w:link w:val="Closing"/>
    <w:semiHidden/>
    <w:rsid w:val="003A7FBC"/>
    <w:rPr>
      <w:rFonts w:ascii="Georgia" w:hAnsi="Georgia"/>
      <w:snapToGrid w:val="0"/>
      <w:color w:val="auto"/>
      <w:lang w:eastAsia="en-US"/>
    </w:rPr>
  </w:style>
  <w:style w:type="paragraph" w:styleId="EnvelopeAddress">
    <w:name w:val="envelope address"/>
    <w:basedOn w:val="Normal"/>
    <w:semiHidden/>
    <w:unhideWhenUsed/>
    <w:rsid w:val="003A7FBC"/>
    <w:pPr>
      <w:framePr w:w="7920" w:h="1980" w:hRule="exact" w:hSpace="180" w:wrap="auto" w:hAnchor="page" w:xAlign="center" w:yAlign="bottom"/>
      <w:kinsoku w:val="0"/>
      <w:overflowPunct w:val="0"/>
      <w:autoSpaceDE w:val="0"/>
      <w:autoSpaceDN w:val="0"/>
      <w:adjustRightInd w:val="0"/>
      <w:snapToGrid w:val="0"/>
      <w:spacing w:line="240" w:lineRule="auto"/>
      <w:ind w:left="2880"/>
    </w:pPr>
    <w:rPr>
      <w:rFonts w:asciiTheme="majorHAnsi" w:eastAsiaTheme="majorEastAsia" w:hAnsiTheme="majorHAnsi" w:cstheme="majorBidi"/>
      <w:snapToGrid w:val="0"/>
      <w:sz w:val="24"/>
      <w:szCs w:val="24"/>
      <w:lang w:eastAsia="en-US"/>
    </w:rPr>
  </w:style>
  <w:style w:type="paragraph" w:styleId="EnvelopeReturn">
    <w:name w:val="envelope return"/>
    <w:basedOn w:val="Normal"/>
    <w:semiHidden/>
    <w:rsid w:val="003A7FBC"/>
    <w:pPr>
      <w:kinsoku w:val="0"/>
      <w:overflowPunct w:val="0"/>
      <w:autoSpaceDE w:val="0"/>
      <w:autoSpaceDN w:val="0"/>
      <w:adjustRightInd w:val="0"/>
      <w:snapToGrid w:val="0"/>
      <w:spacing w:line="240" w:lineRule="auto"/>
    </w:pPr>
    <w:rPr>
      <w:rFonts w:asciiTheme="majorHAnsi" w:eastAsiaTheme="majorEastAsia" w:hAnsiTheme="majorHAnsi" w:cstheme="majorBidi"/>
      <w:snapToGrid w:val="0"/>
      <w:lang w:eastAsia="en-US"/>
    </w:rPr>
  </w:style>
  <w:style w:type="paragraph" w:styleId="Index1">
    <w:name w:val="index 1"/>
    <w:basedOn w:val="Normal"/>
    <w:next w:val="Normal"/>
    <w:autoRedefine/>
    <w:semiHidden/>
    <w:unhideWhenUsed/>
    <w:rsid w:val="003A7FBC"/>
    <w:pPr>
      <w:spacing w:line="240" w:lineRule="auto"/>
      <w:ind w:left="200" w:hanging="200"/>
    </w:pPr>
  </w:style>
  <w:style w:type="paragraph" w:styleId="IndexHeading">
    <w:name w:val="index heading"/>
    <w:basedOn w:val="Normal"/>
    <w:next w:val="Normal"/>
    <w:semiHidden/>
    <w:rsid w:val="003A7FBC"/>
    <w:pPr>
      <w:kinsoku w:val="0"/>
      <w:overflowPunct w:val="0"/>
      <w:autoSpaceDE w:val="0"/>
      <w:autoSpaceDN w:val="0"/>
      <w:adjustRightInd w:val="0"/>
      <w:snapToGrid w:val="0"/>
      <w:spacing w:line="240" w:lineRule="auto"/>
    </w:pPr>
    <w:rPr>
      <w:rFonts w:asciiTheme="majorHAnsi" w:eastAsiaTheme="majorEastAsia" w:hAnsiTheme="majorHAnsi" w:cstheme="majorBidi"/>
      <w:b/>
      <w:bCs/>
      <w:snapToGrid w:val="0"/>
      <w:lang w:eastAsia="en-US"/>
    </w:rPr>
  </w:style>
  <w:style w:type="paragraph" w:customStyle="1" w:styleId="BlockTextClient">
    <w:name w:val="Block Text Client"/>
    <w:basedOn w:val="BlockText"/>
    <w:rsid w:val="003A7FBC"/>
    <w:pPr>
      <w:pBdr>
        <w:top w:val="none" w:sz="0" w:space="0" w:color="auto"/>
        <w:left w:val="none" w:sz="0" w:space="0" w:color="auto"/>
        <w:bottom w:val="none" w:sz="0" w:space="0" w:color="auto"/>
        <w:right w:val="none" w:sz="0" w:space="0" w:color="auto"/>
      </w:pBdr>
      <w:kinsoku w:val="0"/>
      <w:overflowPunct w:val="0"/>
      <w:autoSpaceDE w:val="0"/>
      <w:autoSpaceDN w:val="0"/>
      <w:adjustRightInd w:val="0"/>
      <w:snapToGrid w:val="0"/>
      <w:spacing w:line="240" w:lineRule="auto"/>
      <w:ind w:left="0" w:right="0"/>
    </w:pPr>
    <w:rPr>
      <w:rFonts w:ascii="Georgia" w:hAnsi="Georgia"/>
      <w:snapToGrid w:val="0"/>
      <w:color w:val="00B2A9" w:themeColor="accent1"/>
      <w:lang w:eastAsia="en-US"/>
    </w:rPr>
  </w:style>
  <w:style w:type="paragraph" w:customStyle="1" w:styleId="BlockTextPosition">
    <w:name w:val="Block Text Position"/>
    <w:basedOn w:val="BlockText"/>
    <w:rsid w:val="003A7FBC"/>
    <w:pPr>
      <w:pBdr>
        <w:top w:val="none" w:sz="0" w:space="0" w:color="auto"/>
        <w:left w:val="none" w:sz="0" w:space="0" w:color="auto"/>
        <w:bottom w:val="none" w:sz="0" w:space="0" w:color="auto"/>
        <w:right w:val="none" w:sz="0" w:space="0" w:color="auto"/>
      </w:pBdr>
      <w:kinsoku w:val="0"/>
      <w:overflowPunct w:val="0"/>
      <w:autoSpaceDE w:val="0"/>
      <w:autoSpaceDN w:val="0"/>
      <w:adjustRightInd w:val="0"/>
      <w:snapToGrid w:val="0"/>
      <w:spacing w:after="240" w:line="240" w:lineRule="auto"/>
      <w:ind w:left="0" w:right="0"/>
    </w:pPr>
    <w:rPr>
      <w:rFonts w:ascii="Georgia" w:hAnsi="Georgia"/>
      <w:i w:val="0"/>
      <w:snapToGrid w:val="0"/>
      <w:color w:val="00B2A9" w:themeColor="accent1"/>
      <w:lang w:eastAsia="en-US"/>
    </w:rPr>
  </w:style>
  <w:style w:type="paragraph" w:customStyle="1" w:styleId="BlockText2Client">
    <w:name w:val="Block Text 2 Client"/>
    <w:basedOn w:val="BlockText2"/>
    <w:rsid w:val="003A7FBC"/>
    <w:pPr>
      <w:spacing w:after="0"/>
    </w:pPr>
    <w:rPr>
      <w:sz w:val="20"/>
      <w:szCs w:val="20"/>
    </w:rPr>
  </w:style>
  <w:style w:type="paragraph" w:customStyle="1" w:styleId="BlockText2Position">
    <w:name w:val="Block Text 2 Position"/>
    <w:basedOn w:val="BlockText2"/>
    <w:rsid w:val="003A7FBC"/>
    <w:rPr>
      <w:i w:val="0"/>
      <w:sz w:val="20"/>
      <w:szCs w:val="20"/>
    </w:rPr>
  </w:style>
  <w:style w:type="character" w:styleId="LineNumber">
    <w:name w:val="line number"/>
    <w:basedOn w:val="DefaultParagraphFont"/>
    <w:semiHidden/>
    <w:rsid w:val="003A7FBC"/>
  </w:style>
  <w:style w:type="paragraph" w:styleId="ListBullet5">
    <w:name w:val="List Bullet 5"/>
    <w:basedOn w:val="ListBullet4"/>
    <w:unhideWhenUsed/>
    <w:rsid w:val="003A7FBC"/>
    <w:pPr>
      <w:tabs>
        <w:tab w:val="clear" w:pos="1134"/>
        <w:tab w:val="num" w:pos="1418"/>
      </w:tabs>
      <w:ind w:left="1420"/>
      <w:contextualSpacing/>
    </w:pPr>
  </w:style>
  <w:style w:type="paragraph" w:styleId="ListNumber4">
    <w:name w:val="List Number 4"/>
    <w:basedOn w:val="ListNumber3"/>
    <w:uiPriority w:val="13"/>
    <w:unhideWhenUsed/>
    <w:rsid w:val="003A7FBC"/>
    <w:pPr>
      <w:numPr>
        <w:ilvl w:val="0"/>
        <w:numId w:val="0"/>
      </w:numPr>
      <w:tabs>
        <w:tab w:val="num" w:pos="2268"/>
      </w:tabs>
      <w:kinsoku w:val="0"/>
      <w:overflowPunct w:val="0"/>
      <w:autoSpaceDE w:val="0"/>
      <w:autoSpaceDN w:val="0"/>
      <w:adjustRightInd w:val="0"/>
      <w:snapToGrid w:val="0"/>
      <w:spacing w:before="0" w:after="0" w:line="240" w:lineRule="auto"/>
      <w:ind w:left="2268" w:hanging="567"/>
      <w:contextualSpacing/>
    </w:pPr>
    <w:rPr>
      <w:rFonts w:ascii="Georgia" w:hAnsi="Georgia"/>
      <w:snapToGrid w:val="0"/>
      <w:lang w:eastAsia="en-US"/>
    </w:rPr>
  </w:style>
  <w:style w:type="paragraph" w:styleId="ListNumber5">
    <w:name w:val="List Number 5"/>
    <w:basedOn w:val="ListNumber4"/>
    <w:uiPriority w:val="13"/>
    <w:unhideWhenUsed/>
    <w:rsid w:val="003A7FBC"/>
    <w:pPr>
      <w:tabs>
        <w:tab w:val="clear" w:pos="2268"/>
        <w:tab w:val="num" w:pos="2835"/>
      </w:tabs>
      <w:ind w:left="2835"/>
    </w:pPr>
  </w:style>
  <w:style w:type="paragraph" w:styleId="MessageHeader">
    <w:name w:val="Message Header"/>
    <w:basedOn w:val="Normal"/>
    <w:link w:val="MessageHeaderChar"/>
    <w:semiHidden/>
    <w:rsid w:val="003A7FBC"/>
    <w:pPr>
      <w:pBdr>
        <w:top w:val="single" w:sz="6" w:space="1" w:color="auto"/>
        <w:left w:val="single" w:sz="6" w:space="1" w:color="auto"/>
        <w:bottom w:val="single" w:sz="6" w:space="1" w:color="auto"/>
        <w:right w:val="single" w:sz="6" w:space="1" w:color="auto"/>
      </w:pBdr>
      <w:shd w:val="pct20" w:color="auto" w:fill="auto"/>
      <w:kinsoku w:val="0"/>
      <w:overflowPunct w:val="0"/>
      <w:autoSpaceDE w:val="0"/>
      <w:autoSpaceDN w:val="0"/>
      <w:adjustRightInd w:val="0"/>
      <w:snapToGrid w:val="0"/>
      <w:spacing w:line="240" w:lineRule="auto"/>
      <w:ind w:left="1134" w:hanging="1134"/>
    </w:pPr>
    <w:rPr>
      <w:rFonts w:asciiTheme="majorHAnsi" w:eastAsiaTheme="majorEastAsia" w:hAnsiTheme="majorHAnsi" w:cstheme="majorBidi"/>
      <w:snapToGrid w:val="0"/>
      <w:sz w:val="24"/>
      <w:szCs w:val="24"/>
      <w:lang w:eastAsia="en-US"/>
    </w:rPr>
  </w:style>
  <w:style w:type="character" w:customStyle="1" w:styleId="MessageHeaderChar">
    <w:name w:val="Message Header Char"/>
    <w:basedOn w:val="DefaultParagraphFont"/>
    <w:link w:val="MessageHeader"/>
    <w:semiHidden/>
    <w:rsid w:val="003A7FBC"/>
    <w:rPr>
      <w:rFonts w:asciiTheme="majorHAnsi" w:eastAsiaTheme="majorEastAsia" w:hAnsiTheme="majorHAnsi" w:cstheme="majorBidi"/>
      <w:snapToGrid w:val="0"/>
      <w:color w:val="auto"/>
      <w:sz w:val="24"/>
      <w:szCs w:val="24"/>
      <w:shd w:val="pct20" w:color="auto" w:fill="auto"/>
      <w:lang w:eastAsia="en-US"/>
    </w:rPr>
  </w:style>
  <w:style w:type="paragraph" w:styleId="NormalIndent">
    <w:name w:val="Normal Indent"/>
    <w:basedOn w:val="Normal"/>
    <w:semiHidden/>
    <w:rsid w:val="003A7FBC"/>
    <w:pPr>
      <w:kinsoku w:val="0"/>
      <w:overflowPunct w:val="0"/>
      <w:autoSpaceDE w:val="0"/>
      <w:autoSpaceDN w:val="0"/>
      <w:adjustRightInd w:val="0"/>
      <w:snapToGrid w:val="0"/>
      <w:spacing w:line="240" w:lineRule="auto"/>
      <w:ind w:left="720"/>
    </w:pPr>
    <w:rPr>
      <w:rFonts w:ascii="Georgia" w:hAnsi="Georgia"/>
      <w:snapToGrid w:val="0"/>
      <w:lang w:eastAsia="en-US"/>
    </w:rPr>
  </w:style>
  <w:style w:type="paragraph" w:styleId="NoteHeading">
    <w:name w:val="Note Heading"/>
    <w:basedOn w:val="Normal"/>
    <w:next w:val="Normal"/>
    <w:link w:val="NoteHeadingChar"/>
    <w:semiHidden/>
    <w:unhideWhenUsed/>
    <w:rsid w:val="003A7FBC"/>
    <w:pPr>
      <w:kinsoku w:val="0"/>
      <w:overflowPunct w:val="0"/>
      <w:autoSpaceDE w:val="0"/>
      <w:autoSpaceDN w:val="0"/>
      <w:adjustRightInd w:val="0"/>
      <w:snapToGrid w:val="0"/>
      <w:spacing w:line="240" w:lineRule="auto"/>
    </w:pPr>
    <w:rPr>
      <w:rFonts w:ascii="Georgia" w:hAnsi="Georgia"/>
      <w:snapToGrid w:val="0"/>
      <w:lang w:eastAsia="en-US"/>
    </w:rPr>
  </w:style>
  <w:style w:type="character" w:customStyle="1" w:styleId="NoteHeadingChar">
    <w:name w:val="Note Heading Char"/>
    <w:basedOn w:val="DefaultParagraphFont"/>
    <w:link w:val="NoteHeading"/>
    <w:semiHidden/>
    <w:rsid w:val="003A7FBC"/>
    <w:rPr>
      <w:rFonts w:ascii="Georgia" w:hAnsi="Georgia"/>
      <w:snapToGrid w:val="0"/>
      <w:color w:val="auto"/>
      <w:lang w:eastAsia="en-US"/>
    </w:rPr>
  </w:style>
  <w:style w:type="paragraph" w:styleId="PlainText">
    <w:name w:val="Plain Text"/>
    <w:basedOn w:val="Normal"/>
    <w:link w:val="PlainTextChar"/>
    <w:semiHidden/>
    <w:rsid w:val="003A7FBC"/>
    <w:pPr>
      <w:kinsoku w:val="0"/>
      <w:overflowPunct w:val="0"/>
      <w:autoSpaceDE w:val="0"/>
      <w:autoSpaceDN w:val="0"/>
      <w:adjustRightInd w:val="0"/>
      <w:snapToGrid w:val="0"/>
      <w:spacing w:line="240" w:lineRule="auto"/>
    </w:pPr>
    <w:rPr>
      <w:rFonts w:ascii="Consolas" w:hAnsi="Consolas"/>
      <w:snapToGrid w:val="0"/>
      <w:lang w:eastAsia="en-US"/>
    </w:rPr>
  </w:style>
  <w:style w:type="character" w:customStyle="1" w:styleId="PlainTextChar">
    <w:name w:val="Plain Text Char"/>
    <w:basedOn w:val="DefaultParagraphFont"/>
    <w:link w:val="PlainText"/>
    <w:semiHidden/>
    <w:rsid w:val="003A7FBC"/>
    <w:rPr>
      <w:rFonts w:ascii="Consolas" w:hAnsi="Consolas"/>
      <w:snapToGrid w:val="0"/>
      <w:color w:val="auto"/>
      <w:lang w:eastAsia="en-US"/>
    </w:rPr>
  </w:style>
  <w:style w:type="paragraph" w:styleId="Salutation">
    <w:name w:val="Salutation"/>
    <w:basedOn w:val="Normal"/>
    <w:next w:val="Normal"/>
    <w:link w:val="SalutationChar"/>
    <w:unhideWhenUsed/>
    <w:rsid w:val="003A7FBC"/>
    <w:pPr>
      <w:kinsoku w:val="0"/>
      <w:overflowPunct w:val="0"/>
      <w:autoSpaceDE w:val="0"/>
      <w:autoSpaceDN w:val="0"/>
      <w:adjustRightInd w:val="0"/>
      <w:snapToGrid w:val="0"/>
      <w:spacing w:line="240" w:lineRule="auto"/>
    </w:pPr>
    <w:rPr>
      <w:rFonts w:ascii="Georgia" w:hAnsi="Georgia"/>
      <w:snapToGrid w:val="0"/>
      <w:lang w:eastAsia="en-US"/>
    </w:rPr>
  </w:style>
  <w:style w:type="character" w:customStyle="1" w:styleId="SalutationChar">
    <w:name w:val="Salutation Char"/>
    <w:basedOn w:val="DefaultParagraphFont"/>
    <w:link w:val="Salutation"/>
    <w:rsid w:val="003A7FBC"/>
    <w:rPr>
      <w:rFonts w:ascii="Georgia" w:hAnsi="Georgia"/>
      <w:snapToGrid w:val="0"/>
      <w:color w:val="auto"/>
      <w:lang w:eastAsia="en-US"/>
    </w:rPr>
  </w:style>
  <w:style w:type="paragraph" w:styleId="Signature">
    <w:name w:val="Signature"/>
    <w:basedOn w:val="Normal"/>
    <w:link w:val="SignatureChar"/>
    <w:semiHidden/>
    <w:rsid w:val="003A7FBC"/>
    <w:pPr>
      <w:kinsoku w:val="0"/>
      <w:overflowPunct w:val="0"/>
      <w:autoSpaceDE w:val="0"/>
      <w:autoSpaceDN w:val="0"/>
      <w:adjustRightInd w:val="0"/>
      <w:snapToGrid w:val="0"/>
      <w:spacing w:line="240" w:lineRule="auto"/>
      <w:ind w:left="4252"/>
    </w:pPr>
    <w:rPr>
      <w:rFonts w:ascii="Georgia" w:hAnsi="Georgia"/>
      <w:snapToGrid w:val="0"/>
      <w:lang w:eastAsia="en-US"/>
    </w:rPr>
  </w:style>
  <w:style w:type="character" w:customStyle="1" w:styleId="SignatureChar">
    <w:name w:val="Signature Char"/>
    <w:basedOn w:val="DefaultParagraphFont"/>
    <w:link w:val="Signature"/>
    <w:semiHidden/>
    <w:rsid w:val="003A7FBC"/>
    <w:rPr>
      <w:rFonts w:ascii="Georgia" w:hAnsi="Georgia"/>
      <w:snapToGrid w:val="0"/>
      <w:color w:val="auto"/>
      <w:lang w:eastAsia="en-US"/>
    </w:rPr>
  </w:style>
  <w:style w:type="paragraph" w:styleId="TableofAuthorities">
    <w:name w:val="table of authorities"/>
    <w:basedOn w:val="Normal"/>
    <w:next w:val="Normal"/>
    <w:semiHidden/>
    <w:unhideWhenUsed/>
    <w:rsid w:val="003A7FBC"/>
    <w:pPr>
      <w:kinsoku w:val="0"/>
      <w:overflowPunct w:val="0"/>
      <w:autoSpaceDE w:val="0"/>
      <w:autoSpaceDN w:val="0"/>
      <w:adjustRightInd w:val="0"/>
      <w:snapToGrid w:val="0"/>
      <w:spacing w:line="240" w:lineRule="auto"/>
      <w:ind w:left="210" w:hanging="210"/>
    </w:pPr>
    <w:rPr>
      <w:rFonts w:ascii="Georgia" w:hAnsi="Georgia"/>
      <w:snapToGrid w:val="0"/>
      <w:lang w:eastAsia="en-US"/>
    </w:rPr>
  </w:style>
  <w:style w:type="paragraph" w:styleId="TOAHeading">
    <w:name w:val="toa heading"/>
    <w:basedOn w:val="Normal"/>
    <w:next w:val="Normal"/>
    <w:semiHidden/>
    <w:unhideWhenUsed/>
    <w:rsid w:val="003A7FBC"/>
    <w:pPr>
      <w:kinsoku w:val="0"/>
      <w:overflowPunct w:val="0"/>
      <w:autoSpaceDE w:val="0"/>
      <w:autoSpaceDN w:val="0"/>
      <w:adjustRightInd w:val="0"/>
      <w:snapToGrid w:val="0"/>
      <w:spacing w:before="120" w:line="240" w:lineRule="auto"/>
    </w:pPr>
    <w:rPr>
      <w:rFonts w:asciiTheme="majorHAnsi" w:eastAsiaTheme="majorEastAsia" w:hAnsiTheme="majorHAnsi" w:cstheme="majorBidi"/>
      <w:b/>
      <w:bCs/>
      <w:snapToGrid w:val="0"/>
      <w:sz w:val="24"/>
      <w:szCs w:val="24"/>
      <w:lang w:eastAsia="en-US"/>
    </w:rPr>
  </w:style>
  <w:style w:type="paragraph" w:customStyle="1" w:styleId="CoverPanelFrame">
    <w:name w:val="Cover Panel Frame"/>
    <w:basedOn w:val="Coverpulloutframe"/>
    <w:rsid w:val="003A7FBC"/>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3A7FBC"/>
    <w:pPr>
      <w:framePr w:w="3119" w:h="1412" w:hRule="exact" w:wrap="around" w:vAnchor="page" w:hAnchor="page" w:x="1543" w:y="15299"/>
      <w:tabs>
        <w:tab w:val="center" w:pos="2551"/>
        <w:tab w:val="right" w:pos="7682"/>
      </w:tabs>
      <w:kinsoku w:val="0"/>
      <w:overflowPunct w:val="0"/>
      <w:autoSpaceDE w:val="0"/>
      <w:autoSpaceDN w:val="0"/>
      <w:adjustRightInd w:val="0"/>
      <w:snapToGrid w:val="0"/>
      <w:spacing w:line="0" w:lineRule="atLeast"/>
    </w:pPr>
    <w:rPr>
      <w:rFonts w:asciiTheme="majorHAnsi" w:hAnsiTheme="majorHAnsi"/>
      <w:noProof/>
      <w:sz w:val="18"/>
      <w:szCs w:val="32"/>
    </w:rPr>
  </w:style>
  <w:style w:type="paragraph" w:customStyle="1" w:styleId="FirstPagePanelFrame">
    <w:name w:val="First Page Panel Frame"/>
    <w:basedOn w:val="CoverPanelFrame"/>
    <w:rsid w:val="003A7FBC"/>
    <w:pPr>
      <w:framePr w:w="8334" w:h="227" w:hRule="exact" w:wrap="notBeside" w:y="-169"/>
      <w:pBdr>
        <w:top w:val="single" w:sz="6" w:space="1" w:color="00B2A9" w:themeColor="text2"/>
        <w:left w:val="single" w:sz="6" w:space="4" w:color="00B2A9" w:themeColor="text2"/>
      </w:pBdr>
    </w:pPr>
  </w:style>
  <w:style w:type="paragraph" w:customStyle="1" w:styleId="URLCover">
    <w:name w:val="URL Cover"/>
    <w:basedOn w:val="Normal"/>
    <w:rsid w:val="003A7FBC"/>
    <w:pPr>
      <w:kinsoku w:val="0"/>
      <w:overflowPunct w:val="0"/>
      <w:autoSpaceDE w:val="0"/>
      <w:autoSpaceDN w:val="0"/>
      <w:adjustRightInd w:val="0"/>
      <w:snapToGrid w:val="0"/>
      <w:spacing w:line="240" w:lineRule="auto"/>
    </w:pPr>
    <w:rPr>
      <w:rFonts w:ascii="Georgia" w:hAnsi="Georgia"/>
      <w:snapToGrid w:val="0"/>
      <w:sz w:val="19"/>
      <w:lang w:eastAsia="en-US"/>
    </w:rPr>
  </w:style>
  <w:style w:type="paragraph" w:customStyle="1" w:styleId="Coverpulloutframe">
    <w:name w:val="Cover pull out frame"/>
    <w:basedOn w:val="KeySentenceInside"/>
    <w:rsid w:val="003A7FBC"/>
    <w:pPr>
      <w:framePr w:w="2189" w:h="227" w:wrap="notBeside" w:vAnchor="page" w:hAnchor="page" w:x="908" w:y="8415"/>
      <w:pBdr>
        <w:top w:val="dotted" w:sz="8" w:space="1" w:color="00B2A9" w:themeColor="text2"/>
        <w:left w:val="dotted" w:sz="8" w:space="4" w:color="00B2A9" w:themeColor="text2"/>
      </w:pBdr>
      <w:spacing w:after="0" w:line="0" w:lineRule="atLeast"/>
    </w:pPr>
    <w:rPr>
      <w:color w:val="auto"/>
      <w:sz w:val="8"/>
      <w:lang w:val="en-GB"/>
    </w:rPr>
  </w:style>
  <w:style w:type="paragraph" w:customStyle="1" w:styleId="CoverOutcomeHeadline">
    <w:name w:val="Cover Outcome Headline"/>
    <w:basedOn w:val="PwCNormal"/>
    <w:rsid w:val="003A7FBC"/>
    <w:pPr>
      <w:spacing w:after="0" w:line="960" w:lineRule="atLeast"/>
      <w:ind w:right="1701"/>
    </w:pPr>
    <w:rPr>
      <w:b/>
      <w:i/>
      <w:color w:val="FFFFFF" w:themeColor="background1"/>
      <w:sz w:val="88"/>
      <w:szCs w:val="88"/>
      <w:lang w:val="en-GB"/>
    </w:rPr>
  </w:style>
  <w:style w:type="paragraph" w:customStyle="1" w:styleId="CoverOutcomeSubtitle">
    <w:name w:val="Cover Outcome Subtitle"/>
    <w:basedOn w:val="CoverOutcomeHeadline"/>
    <w:rsid w:val="003A7FBC"/>
    <w:rPr>
      <w:b w:val="0"/>
      <w:i w:val="0"/>
    </w:rPr>
  </w:style>
  <w:style w:type="paragraph" w:customStyle="1" w:styleId="LogoFixed">
    <w:name w:val="Logo Fixed"/>
    <w:basedOn w:val="LogoActivated"/>
    <w:rsid w:val="003A7FBC"/>
    <w:pPr>
      <w:framePr w:h="2733" w:hRule="exact" w:wrap="around" w:x="1322" w:y="14125"/>
    </w:pPr>
  </w:style>
  <w:style w:type="paragraph" w:customStyle="1" w:styleId="NumericCaption">
    <w:name w:val="Numeric Caption"/>
    <w:basedOn w:val="Caption"/>
    <w:rsid w:val="003A7FBC"/>
    <w:pPr>
      <w:keepLines/>
      <w:tabs>
        <w:tab w:val="left" w:pos="992"/>
      </w:tabs>
      <w:kinsoku w:val="0"/>
      <w:overflowPunct w:val="0"/>
      <w:autoSpaceDE w:val="0"/>
      <w:autoSpaceDN w:val="0"/>
      <w:adjustRightInd w:val="0"/>
      <w:snapToGrid w:val="0"/>
      <w:spacing w:before="240" w:after="120"/>
      <w:ind w:left="992" w:hanging="992"/>
    </w:pPr>
    <w:rPr>
      <w:rFonts w:ascii="Arial" w:hAnsi="Arial"/>
      <w:snapToGrid w:val="0"/>
      <w:color w:val="00B2A9" w:themeColor="text2"/>
      <w:szCs w:val="18"/>
      <w:lang w:eastAsia="en-US"/>
    </w:rPr>
  </w:style>
  <w:style w:type="paragraph" w:customStyle="1" w:styleId="NumericTableColumnHeadingNormal">
    <w:name w:val="Numeric Table Column Heading Normal"/>
    <w:basedOn w:val="TableColumnHeadingNormal"/>
    <w:rsid w:val="003A7FBC"/>
    <w:rPr>
      <w:rFonts w:ascii="Arial" w:hAnsi="Arial"/>
    </w:rPr>
  </w:style>
  <w:style w:type="paragraph" w:customStyle="1" w:styleId="NumericTableTextNormal">
    <w:name w:val="Numeric Table Text Normal"/>
    <w:basedOn w:val="TableTextNormal"/>
    <w:rsid w:val="003A7FBC"/>
    <w:rPr>
      <w:rFonts w:ascii="Arial" w:hAnsi="Arial"/>
    </w:rPr>
  </w:style>
  <w:style w:type="paragraph" w:customStyle="1" w:styleId="NumericSources">
    <w:name w:val="Numeric Sources"/>
    <w:basedOn w:val="Sources"/>
    <w:rsid w:val="003A7FBC"/>
    <w:rPr>
      <w:rFonts w:ascii="Arial" w:hAnsi="Arial"/>
    </w:rPr>
  </w:style>
  <w:style w:type="paragraph" w:customStyle="1" w:styleId="NumericTableColumnHeadingSmall">
    <w:name w:val="Numeric Table Column Heading Small"/>
    <w:basedOn w:val="NumericTableColumnHeadingNormal"/>
    <w:rsid w:val="003A7FBC"/>
    <w:rPr>
      <w:sz w:val="16"/>
      <w:szCs w:val="16"/>
    </w:rPr>
  </w:style>
  <w:style w:type="paragraph" w:customStyle="1" w:styleId="NumericTableTextSmall">
    <w:name w:val="Numeric Table Text Small"/>
    <w:basedOn w:val="NumericTableTextNormal"/>
    <w:rsid w:val="003A7FBC"/>
    <w:rPr>
      <w:sz w:val="16"/>
      <w:szCs w:val="16"/>
    </w:rPr>
  </w:style>
  <w:style w:type="paragraph" w:customStyle="1" w:styleId="NumericTableTextDecimalNormal">
    <w:name w:val="Numeric Table Text Decimal Normal"/>
    <w:basedOn w:val="NumericTableTextNormal"/>
    <w:rsid w:val="003A7FBC"/>
    <w:pPr>
      <w:tabs>
        <w:tab w:val="decimal" w:pos="1004"/>
      </w:tabs>
    </w:pPr>
  </w:style>
  <w:style w:type="paragraph" w:customStyle="1" w:styleId="NumericTableTextDecimalSmall">
    <w:name w:val="Numeric Table Text Decimal Small"/>
    <w:basedOn w:val="NumericTableTextDecimalNormal"/>
    <w:rsid w:val="003A7FBC"/>
    <w:rPr>
      <w:sz w:val="16"/>
      <w:szCs w:val="16"/>
    </w:rPr>
  </w:style>
  <w:style w:type="paragraph" w:customStyle="1" w:styleId="Heading2Nospacing">
    <w:name w:val="Heading 2 No spacing"/>
    <w:basedOn w:val="Heading2"/>
    <w:rsid w:val="003A7FBC"/>
    <w:pPr>
      <w:pageBreakBefore/>
      <w:tabs>
        <w:tab w:val="num" w:pos="850"/>
      </w:tabs>
      <w:kinsoku w:val="0"/>
      <w:overflowPunct w:val="0"/>
      <w:autoSpaceDE w:val="0"/>
      <w:autoSpaceDN w:val="0"/>
      <w:adjustRightInd w:val="0"/>
      <w:snapToGrid w:val="0"/>
      <w:spacing w:after="0" w:line="0" w:lineRule="atLeast"/>
      <w:ind w:left="851" w:hanging="851"/>
    </w:pPr>
    <w:rPr>
      <w:rFonts w:asciiTheme="majorHAnsi" w:hAnsiTheme="majorHAnsi"/>
      <w:snapToGrid w:val="0"/>
      <w:color w:val="363534" w:themeColor="text1"/>
      <w:kern w:val="0"/>
      <w:sz w:val="56"/>
      <w:szCs w:val="36"/>
      <w:lang w:eastAsia="en-US"/>
    </w:rPr>
  </w:style>
  <w:style w:type="paragraph" w:customStyle="1" w:styleId="TableNumberedList1">
    <w:name w:val="Table Numbered List 1"/>
    <w:basedOn w:val="TableTextNormal"/>
    <w:rsid w:val="003A7FBC"/>
    <w:pPr>
      <w:numPr>
        <w:numId w:val="27"/>
      </w:numPr>
    </w:pPr>
  </w:style>
  <w:style w:type="paragraph" w:customStyle="1" w:styleId="TableNumberedList2">
    <w:name w:val="Table Numbered List 2"/>
    <w:basedOn w:val="TableNumberedList1"/>
    <w:rsid w:val="003A7FBC"/>
    <w:pPr>
      <w:numPr>
        <w:ilvl w:val="1"/>
      </w:numPr>
      <w:spacing w:before="40" w:after="40"/>
    </w:pPr>
  </w:style>
  <w:style w:type="paragraph" w:customStyle="1" w:styleId="TableNumberedList3">
    <w:name w:val="Table Numbered List 3"/>
    <w:basedOn w:val="TableNumberedList2"/>
    <w:rsid w:val="003A7FBC"/>
    <w:pPr>
      <w:numPr>
        <w:ilvl w:val="2"/>
      </w:numPr>
    </w:pPr>
  </w:style>
  <w:style w:type="paragraph" w:customStyle="1" w:styleId="TableNumberedListSmall1">
    <w:name w:val="Table Numbered List Small 1"/>
    <w:basedOn w:val="TableTextSmall"/>
    <w:rsid w:val="003A7FBC"/>
    <w:pPr>
      <w:numPr>
        <w:numId w:val="29"/>
      </w:numPr>
    </w:pPr>
  </w:style>
  <w:style w:type="paragraph" w:customStyle="1" w:styleId="TableNumberedListSmall2">
    <w:name w:val="Table Numbered List Small 2"/>
    <w:basedOn w:val="TableNumberedListSmall1"/>
    <w:rsid w:val="003A7FBC"/>
    <w:pPr>
      <w:numPr>
        <w:ilvl w:val="1"/>
      </w:numPr>
    </w:pPr>
    <w:rPr>
      <w:szCs w:val="21"/>
    </w:rPr>
  </w:style>
  <w:style w:type="paragraph" w:customStyle="1" w:styleId="TableNumberedListSmall3">
    <w:name w:val="Table Numbered List Small 3"/>
    <w:basedOn w:val="TableNumberedListSmall2"/>
    <w:rsid w:val="003A7FBC"/>
    <w:pPr>
      <w:numPr>
        <w:ilvl w:val="2"/>
      </w:numPr>
    </w:pPr>
  </w:style>
  <w:style w:type="numbering" w:customStyle="1" w:styleId="ListNumberList">
    <w:name w:val="List Number List"/>
    <w:uiPriority w:val="99"/>
    <w:rsid w:val="003A7FBC"/>
    <w:pPr>
      <w:numPr>
        <w:numId w:val="30"/>
      </w:numPr>
    </w:pPr>
  </w:style>
  <w:style w:type="numbering" w:styleId="111111">
    <w:name w:val="Outline List 2"/>
    <w:basedOn w:val="NoList"/>
    <w:rsid w:val="003A7FBC"/>
    <w:pPr>
      <w:numPr>
        <w:numId w:val="31"/>
      </w:numPr>
    </w:pPr>
  </w:style>
  <w:style w:type="numbering" w:styleId="ArticleSection">
    <w:name w:val="Outline List 3"/>
    <w:basedOn w:val="NoList"/>
    <w:rsid w:val="003A7FBC"/>
    <w:pPr>
      <w:numPr>
        <w:numId w:val="32"/>
      </w:numPr>
    </w:pPr>
  </w:style>
  <w:style w:type="paragraph" w:customStyle="1" w:styleId="Minorheading3">
    <w:name w:val="Minor heading 3"/>
    <w:basedOn w:val="Minorheading2"/>
    <w:rsid w:val="003A7FBC"/>
    <w:pPr>
      <w:spacing w:before="120"/>
    </w:pPr>
    <w:rPr>
      <w:b w:val="0"/>
      <w:i/>
    </w:rPr>
  </w:style>
  <w:style w:type="table" w:customStyle="1" w:styleId="Tables-APLines">
    <w:name w:val="Tables - AP Lines"/>
    <w:basedOn w:val="TableNormal"/>
    <w:rsid w:val="003A7FBC"/>
    <w:pPr>
      <w:spacing w:line="240" w:lineRule="auto"/>
    </w:pPr>
    <w:rPr>
      <w:rFonts w:ascii="Georgia" w:hAnsi="Georgia" w:cs="Times New Roman"/>
      <w:color w:val="auto"/>
    </w:rPr>
    <w:tblPr>
      <w:tblStyleRowBandSize w:val="1"/>
      <w:tblStyleColBandSize w:val="1"/>
      <w:tblBorders>
        <w:insideH w:val="single" w:sz="4" w:space="0" w:color="00B2A9" w:themeColor="text2"/>
        <w:insideV w:val="single" w:sz="4" w:space="0" w:color="00B2A9"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3A7FBC"/>
    <w:pPr>
      <w:spacing w:line="227" w:lineRule="exact"/>
    </w:pPr>
    <w:rPr>
      <w:rFonts w:ascii="Georgia" w:hAnsi="Georgia" w:cs="Times New Roman"/>
      <w:color w:val="auto"/>
      <w:sz w:val="8"/>
    </w:rPr>
    <w:tblPr>
      <w:tblBorders>
        <w:top w:val="single" w:sz="8" w:space="0" w:color="00B2A9" w:themeColor="text2"/>
        <w:left w:val="single" w:sz="8" w:space="0" w:color="00B2A9"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3A7FBC"/>
    <w:tblPr>
      <w:tblBorders>
        <w:top w:val="dotted" w:sz="8" w:space="0" w:color="00B2A9" w:themeColor="text2"/>
        <w:left w:val="dotted" w:sz="8" w:space="0" w:color="00B2A9" w:themeColor="text2"/>
      </w:tblBorders>
    </w:tblPr>
    <w:tcPr>
      <w:shd w:val="clear" w:color="auto" w:fill="auto"/>
    </w:tcPr>
  </w:style>
  <w:style w:type="paragraph" w:customStyle="1" w:styleId="Bullet1">
    <w:name w:val="Bullet 1"/>
    <w:aliases w:val="FACS,MA Bullet 1,Alt.,b1,Bullet for no #'s,Bullet for no #'s Char,MA Bullet 1 Char,Alt. Char,Bullet,body,Bullet ...,body Char Char,body Char Char Char5,body Char Char Char Char,body Char Char Char Char Char Char Char Char,Bullet 1 Char1"/>
    <w:basedOn w:val="PwCNormal"/>
    <w:link w:val="Bullet1CharChar"/>
    <w:rsid w:val="003A7FBC"/>
    <w:pPr>
      <w:numPr>
        <w:numId w:val="36"/>
      </w:numPr>
      <w:spacing w:after="80"/>
    </w:pPr>
  </w:style>
  <w:style w:type="paragraph" w:customStyle="1" w:styleId="Bullet2">
    <w:name w:val="Bullet 2"/>
    <w:basedOn w:val="Bullet1"/>
    <w:uiPriority w:val="99"/>
    <w:rsid w:val="003A7FBC"/>
    <w:pPr>
      <w:numPr>
        <w:ilvl w:val="1"/>
      </w:numPr>
      <w:tabs>
        <w:tab w:val="clear" w:pos="567"/>
        <w:tab w:val="num" w:pos="926"/>
      </w:tabs>
      <w:ind w:left="567" w:hanging="283"/>
    </w:pPr>
  </w:style>
  <w:style w:type="paragraph" w:customStyle="1" w:styleId="Bullet3">
    <w:name w:val="Bullet 3"/>
    <w:basedOn w:val="Bullet2"/>
    <w:uiPriority w:val="99"/>
    <w:rsid w:val="003A7FBC"/>
    <w:pPr>
      <w:numPr>
        <w:ilvl w:val="2"/>
      </w:numPr>
      <w:tabs>
        <w:tab w:val="clear" w:pos="851"/>
        <w:tab w:val="num" w:pos="0"/>
        <w:tab w:val="num" w:pos="926"/>
      </w:tabs>
      <w:ind w:left="0" w:firstLine="0"/>
    </w:pPr>
  </w:style>
  <w:style w:type="paragraph" w:customStyle="1" w:styleId="Bullet4">
    <w:name w:val="Bullet 4"/>
    <w:basedOn w:val="Bullet3"/>
    <w:uiPriority w:val="99"/>
    <w:rsid w:val="003A7FBC"/>
    <w:pPr>
      <w:numPr>
        <w:ilvl w:val="3"/>
      </w:numPr>
      <w:tabs>
        <w:tab w:val="clear" w:pos="1134"/>
        <w:tab w:val="num" w:pos="0"/>
        <w:tab w:val="num" w:pos="926"/>
      </w:tabs>
      <w:ind w:left="0" w:hanging="5670"/>
    </w:pPr>
  </w:style>
  <w:style w:type="numbering" w:customStyle="1" w:styleId="Bullets">
    <w:name w:val="Bullets"/>
    <w:uiPriority w:val="99"/>
    <w:rsid w:val="003A7FBC"/>
    <w:pPr>
      <w:numPr>
        <w:numId w:val="33"/>
      </w:numPr>
    </w:pPr>
  </w:style>
  <w:style w:type="paragraph" w:customStyle="1" w:styleId="FirstPagePanelFrame-Contents">
    <w:name w:val="First Page Panel Frame - Contents"/>
    <w:basedOn w:val="FirstPagePanelFrame"/>
    <w:rsid w:val="003A7FBC"/>
    <w:pPr>
      <w:framePr w:wrap="notBeside"/>
    </w:pPr>
  </w:style>
  <w:style w:type="numbering" w:customStyle="1" w:styleId="ChapterNumberingList">
    <w:name w:val="Chapter Numbering List"/>
    <w:uiPriority w:val="99"/>
    <w:rsid w:val="003A7FBC"/>
    <w:pPr>
      <w:numPr>
        <w:numId w:val="35"/>
      </w:numPr>
    </w:pPr>
  </w:style>
  <w:style w:type="table" w:customStyle="1" w:styleId="LightList-Accent11">
    <w:name w:val="Light List - Accent 11"/>
    <w:basedOn w:val="TableNormal"/>
    <w:uiPriority w:val="61"/>
    <w:rsid w:val="003A7FBC"/>
    <w:pPr>
      <w:spacing w:line="240" w:lineRule="auto"/>
    </w:pPr>
    <w:rPr>
      <w:rFonts w:ascii="Georgia" w:hAnsi="Georgia" w:cs="Times New Roman"/>
      <w:color w:val="auto"/>
    </w:rPr>
    <w:tblPr>
      <w:tblStyleRowBandSize w:val="1"/>
      <w:tblStyleColBandSize w:val="1"/>
      <w:tblBorders>
        <w:top w:val="single" w:sz="8" w:space="0" w:color="00B2A9" w:themeColor="accent1"/>
        <w:left w:val="single" w:sz="8" w:space="0" w:color="00B2A9" w:themeColor="accent1"/>
        <w:bottom w:val="single" w:sz="8" w:space="0" w:color="00B2A9" w:themeColor="accent1"/>
        <w:right w:val="single" w:sz="8" w:space="0" w:color="00B2A9" w:themeColor="accent1"/>
      </w:tblBorders>
    </w:tblPr>
    <w:tblStylePr w:type="firstRow">
      <w:pPr>
        <w:spacing w:before="0" w:after="0" w:line="240" w:lineRule="auto"/>
      </w:pPr>
      <w:rPr>
        <w:b/>
        <w:bCs/>
        <w:color w:val="FFFFFF" w:themeColor="background1"/>
      </w:rPr>
      <w:tblPr/>
      <w:tcPr>
        <w:shd w:val="clear" w:color="auto" w:fill="00B2A9" w:themeFill="accent1"/>
      </w:tcPr>
    </w:tblStylePr>
    <w:tblStylePr w:type="lastRow">
      <w:pPr>
        <w:spacing w:before="0" w:after="0" w:line="240" w:lineRule="auto"/>
      </w:pPr>
      <w:rPr>
        <w:b/>
        <w:bCs/>
      </w:rPr>
      <w:tblPr/>
      <w:tcPr>
        <w:tcBorders>
          <w:top w:val="double" w:sz="6" w:space="0" w:color="00B2A9" w:themeColor="accent1"/>
          <w:left w:val="single" w:sz="8" w:space="0" w:color="00B2A9" w:themeColor="accent1"/>
          <w:bottom w:val="single" w:sz="8" w:space="0" w:color="00B2A9" w:themeColor="accent1"/>
          <w:right w:val="single" w:sz="8" w:space="0" w:color="00B2A9" w:themeColor="accent1"/>
        </w:tcBorders>
      </w:tcPr>
    </w:tblStylePr>
    <w:tblStylePr w:type="firstCol">
      <w:rPr>
        <w:b/>
        <w:bCs/>
      </w:rPr>
    </w:tblStylePr>
    <w:tblStylePr w:type="lastCol">
      <w:rPr>
        <w:b/>
        <w:bCs/>
      </w:rPr>
    </w:tblStylePr>
    <w:tblStylePr w:type="band1Vert">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tblStylePr w:type="band1Horz">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style>
  <w:style w:type="character" w:customStyle="1" w:styleId="apple-converted-space">
    <w:name w:val="apple-converted-space"/>
    <w:basedOn w:val="DefaultParagraphFont"/>
    <w:rsid w:val="003A7FBC"/>
  </w:style>
  <w:style w:type="paragraph" w:styleId="Revision">
    <w:name w:val="Revision"/>
    <w:hidden/>
    <w:uiPriority w:val="99"/>
    <w:semiHidden/>
    <w:rsid w:val="003A7FBC"/>
    <w:pPr>
      <w:spacing w:line="240" w:lineRule="auto"/>
    </w:pPr>
    <w:rPr>
      <w:rFonts w:ascii="Georgia" w:hAnsi="Georgia"/>
      <w:snapToGrid w:val="0"/>
      <w:color w:val="auto"/>
      <w:lang w:eastAsia="en-US"/>
    </w:rPr>
  </w:style>
  <w:style w:type="character" w:customStyle="1" w:styleId="Bullet1CharChar">
    <w:name w:val="Bullet 1 Char Char"/>
    <w:basedOn w:val="DefaultParagraphFont"/>
    <w:link w:val="Bullet1"/>
    <w:locked/>
    <w:rsid w:val="003A7FBC"/>
    <w:rPr>
      <w:rFonts w:ascii="Georgia" w:hAnsi="Georgia"/>
      <w:snapToGrid w:val="0"/>
      <w:color w:val="auto"/>
      <w:lang w:eastAsia="en-US"/>
    </w:rPr>
  </w:style>
  <w:style w:type="character" w:styleId="Emphasis">
    <w:name w:val="Emphasis"/>
    <w:basedOn w:val="DefaultParagraphFont"/>
    <w:uiPriority w:val="20"/>
    <w:qFormat/>
    <w:rsid w:val="003A7FBC"/>
    <w:rPr>
      <w:i/>
      <w:iCs/>
    </w:rPr>
  </w:style>
  <w:style w:type="paragraph" w:customStyle="1" w:styleId="TableParagraph">
    <w:name w:val="Table Paragraph"/>
    <w:basedOn w:val="Normal"/>
    <w:uiPriority w:val="1"/>
    <w:qFormat/>
    <w:rsid w:val="003A7FBC"/>
    <w:pPr>
      <w:widowControl w:val="0"/>
      <w:spacing w:line="240" w:lineRule="auto"/>
    </w:pPr>
    <w:rPr>
      <w:rFonts w:eastAsiaTheme="minorHAnsi" w:cstheme="minorBidi"/>
      <w:sz w:val="22"/>
      <w:szCs w:val="22"/>
      <w:lang w:val="en-US" w:eastAsia="en-US"/>
    </w:rPr>
  </w:style>
  <w:style w:type="paragraph" w:customStyle="1" w:styleId="StyleListBulletBefore12ptAfter12pt">
    <w:name w:val="Style List Bullet + Before:  12 pt After:  12 pt"/>
    <w:basedOn w:val="ListBullet"/>
    <w:rsid w:val="003A7FBC"/>
    <w:pPr>
      <w:tabs>
        <w:tab w:val="clear" w:pos="170"/>
        <w:tab w:val="num" w:pos="284"/>
      </w:tabs>
      <w:kinsoku w:val="0"/>
      <w:overflowPunct w:val="0"/>
      <w:autoSpaceDE w:val="0"/>
      <w:autoSpaceDN w:val="0"/>
      <w:adjustRightInd w:val="0"/>
      <w:snapToGrid w:val="0"/>
      <w:spacing w:before="60" w:line="240" w:lineRule="auto"/>
      <w:ind w:left="284" w:hanging="284"/>
    </w:pPr>
    <w:rPr>
      <w:rFonts w:ascii="Georgia" w:hAnsi="Georgia" w:cs="Times New Roman"/>
      <w:snapToGrid w:val="0"/>
      <w:lang w:eastAsia="en-US"/>
    </w:rPr>
  </w:style>
  <w:style w:type="paragraph" w:customStyle="1" w:styleId="StylePwCNormalCustomColorRGB222222">
    <w:name w:val="Style PwC Normal + Custom Color(RGB(222222))"/>
    <w:basedOn w:val="PwCNormal"/>
    <w:rsid w:val="003A7FBC"/>
    <w:rPr>
      <w:color w:val="161616"/>
    </w:rPr>
  </w:style>
  <w:style w:type="paragraph" w:customStyle="1" w:styleId="Pullout">
    <w:name w:val="_Pullout"/>
    <w:qFormat/>
    <w:rsid w:val="003A7FBC"/>
    <w:pPr>
      <w:spacing w:before="85" w:after="170" w:line="300" w:lineRule="atLeast"/>
    </w:pPr>
    <w:rPr>
      <w:rFonts w:ascii="Calibri" w:hAnsi="Calibri"/>
      <w:color w:val="228591"/>
      <w:sz w:val="24"/>
      <w:szCs w:val="24"/>
      <w:lang w:eastAsia="en-US"/>
    </w:rPr>
  </w:style>
  <w:style w:type="paragraph" w:customStyle="1" w:styleId="Tabletext">
    <w:name w:val="Table text"/>
    <w:basedOn w:val="BodyText"/>
    <w:link w:val="TabletextChar"/>
    <w:rsid w:val="00CB3019"/>
    <w:pPr>
      <w:autoSpaceDE w:val="0"/>
      <w:autoSpaceDN w:val="0"/>
      <w:adjustRightInd w:val="0"/>
      <w:spacing w:after="60" w:line="240" w:lineRule="auto"/>
    </w:pPr>
    <w:rPr>
      <w:rFonts w:ascii="Arial" w:hAnsi="Arial" w:cs="Arial"/>
      <w:lang w:val="en-GB" w:eastAsia="en-AU"/>
    </w:rPr>
  </w:style>
  <w:style w:type="character" w:customStyle="1" w:styleId="TabletextChar">
    <w:name w:val="Table text Char"/>
    <w:link w:val="Tabletext"/>
    <w:rsid w:val="00CB3019"/>
    <w:rPr>
      <w:rFonts w:ascii="Arial" w:hAnsi="Arial"/>
      <w:color w:val="auto"/>
      <w:lang w:val="en-GB"/>
    </w:rPr>
  </w:style>
  <w:style w:type="paragraph" w:customStyle="1" w:styleId="TableCellHeading">
    <w:name w:val="Table Cell Heading"/>
    <w:basedOn w:val="Tabletext"/>
    <w:uiPriority w:val="99"/>
    <w:qFormat/>
    <w:rsid w:val="003A7FBC"/>
    <w:pPr>
      <w:autoSpaceDE/>
      <w:autoSpaceDN/>
      <w:adjustRightInd/>
      <w:spacing w:after="120"/>
    </w:pPr>
    <w:rPr>
      <w:rFonts w:cs="Times New Roman"/>
      <w:b/>
      <w:bCs/>
      <w:szCs w:val="18"/>
    </w:rPr>
  </w:style>
  <w:style w:type="table" w:customStyle="1" w:styleId="Standard">
    <w:name w:val="Standard"/>
    <w:basedOn w:val="TableProfessional"/>
    <w:uiPriority w:val="99"/>
    <w:rsid w:val="003A7FBC"/>
    <w:rPr>
      <w:rFonts w:ascii="Arial" w:hAnsi="Arial"/>
      <w:lang w:val="en-US" w:eastAsia="ja-JP"/>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cPr>
    <w:tblStylePr w:type="firstRow">
      <w:rPr>
        <w:b/>
        <w:bCs/>
        <w:color w:val="auto"/>
      </w:rPr>
      <w:tblPr/>
      <w:tcPr>
        <w:tcBorders>
          <w:top w:val="nil"/>
          <w:left w:val="nil"/>
          <w:bottom w:val="nil"/>
          <w:right w:val="nil"/>
          <w:insideH w:val="nil"/>
          <w:insideV w:val="nil"/>
          <w:tl2br w:val="nil"/>
          <w:tr2bl w:val="nil"/>
        </w:tcBorders>
        <w:shd w:val="clear" w:color="auto" w:fill="000080"/>
      </w:tcPr>
    </w:tblStylePr>
  </w:style>
  <w:style w:type="table" w:styleId="TableProfessional">
    <w:name w:val="Table Professional"/>
    <w:basedOn w:val="TableNormal"/>
    <w:uiPriority w:val="99"/>
    <w:semiHidden/>
    <w:unhideWhenUsed/>
    <w:rsid w:val="003A7FBC"/>
    <w:pPr>
      <w:spacing w:line="240" w:lineRule="auto"/>
    </w:pPr>
    <w:rPr>
      <w:rFonts w:ascii="Times New Roman" w:eastAsiaTheme="minorEastAsia" w:hAnsi="Times New Roman" w:cstheme="minorBidi"/>
      <w:color w:val="auto"/>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arial">
    <w:name w:val="arial"/>
    <w:basedOn w:val="Normal"/>
    <w:rsid w:val="003A7FBC"/>
    <w:pPr>
      <w:spacing w:line="240" w:lineRule="auto"/>
    </w:pPr>
    <w:rPr>
      <w:rFonts w:ascii="Times New Roman" w:eastAsiaTheme="minorEastAsia" w:hAnsi="Times New Roman" w:cstheme="minorBidi"/>
      <w:sz w:val="22"/>
      <w:szCs w:val="24"/>
      <w:lang w:eastAsia="en-US"/>
    </w:rPr>
  </w:style>
  <w:style w:type="character" w:customStyle="1" w:styleId="BalloonTextChar">
    <w:name w:val="Balloon Text Char"/>
    <w:basedOn w:val="DefaultParagraphFont"/>
    <w:link w:val="BalloonText"/>
    <w:uiPriority w:val="99"/>
    <w:semiHidden/>
    <w:rsid w:val="003A7FBC"/>
    <w:rPr>
      <w:rFonts w:ascii="Tahoma" w:hAnsi="Tahoma" w:cs="Tahoma"/>
      <w:sz w:val="16"/>
      <w:szCs w:val="16"/>
    </w:rPr>
  </w:style>
  <w:style w:type="paragraph" w:customStyle="1" w:styleId="Default">
    <w:name w:val="Default"/>
    <w:rsid w:val="003A7FBC"/>
    <w:pPr>
      <w:autoSpaceDE w:val="0"/>
      <w:autoSpaceDN w:val="0"/>
      <w:adjustRightInd w:val="0"/>
      <w:spacing w:line="240" w:lineRule="auto"/>
    </w:pPr>
    <w:rPr>
      <w:rFonts w:ascii="HelveticaNeueLT Std Lt" w:hAnsi="HelveticaNeueLT Std Lt" w:cs="HelveticaNeueLT Std Lt"/>
      <w:color w:val="000000"/>
      <w:sz w:val="24"/>
      <w:szCs w:val="24"/>
    </w:rPr>
  </w:style>
  <w:style w:type="character" w:customStyle="1" w:styleId="A3">
    <w:name w:val="A3"/>
    <w:uiPriority w:val="99"/>
    <w:rsid w:val="003A7FBC"/>
    <w:rPr>
      <w:rFonts w:cs="HelveticaNeueLT Std Lt"/>
      <w:color w:val="000000"/>
      <w:sz w:val="36"/>
      <w:szCs w:val="36"/>
    </w:rPr>
  </w:style>
  <w:style w:type="table" w:customStyle="1" w:styleId="TableGrid10">
    <w:name w:val="Table Grid1"/>
    <w:basedOn w:val="TableNormal"/>
    <w:next w:val="TableGrid"/>
    <w:uiPriority w:val="59"/>
    <w:rsid w:val="003A7FBC"/>
    <w:pPr>
      <w:kinsoku w:val="0"/>
      <w:overflowPunct w:val="0"/>
      <w:autoSpaceDE w:val="0"/>
      <w:autoSpaceDN w:val="0"/>
      <w:adjustRightInd w:val="0"/>
      <w:snapToGrid w:val="0"/>
      <w:spacing w:line="240" w:lineRule="auto"/>
    </w:pPr>
    <w:rPr>
      <w:rFonts w:ascii="Georgia" w:hAnsi="Georgia"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rsid w:val="003A7FBC"/>
    <w:rPr>
      <w:color w:val="A32020"/>
      <w:u w:val="single"/>
    </w:rPr>
  </w:style>
  <w:style w:type="table" w:customStyle="1" w:styleId="Tables-APBase1">
    <w:name w:val="Tables - AP Base1"/>
    <w:basedOn w:val="TableNormal"/>
    <w:rsid w:val="003A7FBC"/>
    <w:pPr>
      <w:spacing w:line="240" w:lineRule="auto"/>
    </w:pPr>
    <w:rPr>
      <w:rFonts w:ascii="Georgia" w:hAnsi="Georgia" w:cs="Times New Roman"/>
      <w:color w:val="auto"/>
    </w:rPr>
    <w:tblPr>
      <w:tblStyleRowBandSize w:val="1"/>
      <w:tblStyleColBandSize w:val="1"/>
      <w:tblBorders>
        <w:top w:val="single" w:sz="4" w:space="0" w:color="FFFFFF"/>
        <w:left w:val="single" w:sz="4" w:space="0" w:color="FFFFFF"/>
        <w:bottom w:val="single" w:sz="6" w:space="0" w:color="A32020"/>
        <w:right w:val="single" w:sz="4" w:space="0" w:color="FFFFFF"/>
        <w:insideH w:val="dotted" w:sz="8" w:space="0" w:color="A32020"/>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bottom w:val="single" w:sz="4" w:space="0" w:color="A32020"/>
        </w:tcBorders>
      </w:tcPr>
    </w:tblStylePr>
    <w:tblStylePr w:type="lastRow">
      <w:rPr>
        <w:color w:val="auto"/>
      </w:rPr>
      <w:tblPr/>
      <w:tcPr>
        <w:tcBorders>
          <w:top w:val="single" w:sz="4" w:space="0" w:color="A32020"/>
        </w:tcBorders>
        <w:shd w:val="clear" w:color="auto" w:fill="auto"/>
      </w:tcPr>
    </w:tblStylePr>
    <w:tblStylePr w:type="nwCell">
      <w:pPr>
        <w:jc w:val="left"/>
      </w:pPr>
      <w:tblPr/>
      <w:tcPr>
        <w:vAlign w:val="bottom"/>
      </w:tcPr>
    </w:tblStylePr>
  </w:style>
  <w:style w:type="character" w:styleId="SubtleEmphasis">
    <w:name w:val="Subtle Emphasis"/>
    <w:basedOn w:val="DefaultParagraphFont"/>
    <w:uiPriority w:val="19"/>
    <w:qFormat/>
    <w:rsid w:val="003A7FBC"/>
    <w:rPr>
      <w:i/>
      <w:iCs/>
      <w:color w:val="9C9A98" w:themeColor="text1" w:themeTint="7F"/>
    </w:rPr>
  </w:style>
  <w:style w:type="paragraph" w:customStyle="1" w:styleId="Normalpre-dotpoint">
    <w:name w:val="Normal pre-dot point"/>
    <w:basedOn w:val="Normal"/>
    <w:qFormat/>
    <w:rsid w:val="00567948"/>
    <w:pPr>
      <w:spacing w:after="80"/>
    </w:pPr>
  </w:style>
  <w:style w:type="paragraph" w:customStyle="1" w:styleId="Dotpoint">
    <w:name w:val="Dot point"/>
    <w:basedOn w:val="Normal"/>
    <w:qFormat/>
    <w:rsid w:val="00567948"/>
    <w:pPr>
      <w:numPr>
        <w:numId w:val="58"/>
      </w:numPr>
      <w:kinsoku w:val="0"/>
      <w:overflowPunct w:val="0"/>
      <w:autoSpaceDE w:val="0"/>
      <w:autoSpaceDN w:val="0"/>
      <w:adjustRightInd w:val="0"/>
      <w:snapToGrid w:val="0"/>
      <w:spacing w:after="80"/>
    </w:pPr>
    <w:rPr>
      <w:rFonts w:cstheme="minorHAnsi"/>
    </w:rPr>
  </w:style>
  <w:style w:type="paragraph" w:customStyle="1" w:styleId="Dotpointlast">
    <w:name w:val="Dot point last"/>
    <w:basedOn w:val="Dotpoint"/>
    <w:next w:val="Normal"/>
    <w:qFormat/>
    <w:rsid w:val="00567948"/>
    <w:pPr>
      <w:spacing w:after="200"/>
    </w:pPr>
  </w:style>
  <w:style w:type="paragraph" w:customStyle="1" w:styleId="CQuestion">
    <w:name w:val="CQuestion"/>
    <w:basedOn w:val="Normal"/>
    <w:qFormat/>
    <w:rsid w:val="0032260B"/>
    <w:pPr>
      <w:pBdr>
        <w:top w:val="dotted" w:sz="8" w:space="6" w:color="FFFFFF" w:themeColor="background1"/>
        <w:left w:val="dotted" w:sz="8" w:space="4" w:color="FFFFFF" w:themeColor="background1"/>
        <w:bottom w:val="dotted" w:sz="8" w:space="6" w:color="FFFFFF" w:themeColor="background1"/>
        <w:right w:val="dotted" w:sz="8" w:space="4" w:color="FFFFFF" w:themeColor="background1"/>
      </w:pBdr>
      <w:shd w:val="clear" w:color="auto" w:fill="00B2A9" w:themeFill="accent1"/>
      <w:spacing w:line="240" w:lineRule="auto"/>
    </w:pPr>
    <w:rPr>
      <w:rFonts w:ascii="Arial" w:hAnsi="Arial"/>
      <w:color w:val="FFFFFF" w:themeColor="background1"/>
    </w:rPr>
  </w:style>
  <w:style w:type="table" w:styleId="MediumGrid3-Accent4">
    <w:name w:val="Medium Grid 3 Accent 4"/>
    <w:basedOn w:val="TableNormal"/>
    <w:uiPriority w:val="69"/>
    <w:rsid w:val="00BD16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4776488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creativecommons.org/licenses/by/4.0/"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delwp.vic.gov.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image" Target="media/image5.emf"/><Relationship Id="rId25" Type="http://schemas.openxmlformats.org/officeDocument/2006/relationships/footer" Target="footer5.xml"/><Relationship Id="rId33" Type="http://schemas.openxmlformats.org/officeDocument/2006/relationships/hyperlink" Target="http://www.austlii.edu.au/au/legis/vic/consol_act/ba199391/s3.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relayservice.com.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24" Type="http://schemas.openxmlformats.org/officeDocument/2006/relationships/header" Target="header3.xml"/><Relationship Id="rId32" Type="http://schemas.openxmlformats.org/officeDocument/2006/relationships/hyperlink" Target="http://www.austlii.edu.au/au/legis/vic/consol_act/ba199391/s3.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yperlink" Target="mailto:customer.service@delwp.vic.gov.au" TargetMode="Externa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vba.vic.gov.au/disputes-and-resolutions/complaints/building" TargetMode="External"/><Relationship Id="rId2" Type="http://schemas.openxmlformats.org/officeDocument/2006/relationships/hyperlink" Target="http://www.audit.vic.gov.au" TargetMode="External"/><Relationship Id="rId1" Type="http://schemas.openxmlformats.org/officeDocument/2006/relationships/hyperlink" Target="http://www.consumer.vic.gov.au/housing-and-accommodation/building-and-renovating/defects-delays-and-insolvency/disputes-defects-and-delays" TargetMode="External"/><Relationship Id="rId4" Type="http://schemas.openxmlformats.org/officeDocument/2006/relationships/hyperlink" Target="http://consumerlaw.gov.au/files/2016/05/ACL-Consumer-Survey-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76\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201547"/>
      </a:accent2>
      <a:accent3>
        <a:srgbClr val="66D1CB"/>
      </a:accent3>
      <a:accent4>
        <a:srgbClr val="797391"/>
      </a:accent4>
      <a:accent5>
        <a:srgbClr val="99E0DD"/>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6017-3BA2-4E50-B3D2-09D6384A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16</TotalTime>
  <Pages>41</Pages>
  <Words>17147</Words>
  <Characters>98774</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Title</vt:lpstr>
    </vt:vector>
  </TitlesOfParts>
  <Company>Get it Write!</Company>
  <LinksUpToDate>false</LinksUpToDate>
  <CharactersWithSpaces>115690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Laene D Matahaere (DELWP)</dc:creator>
  <cp:lastModifiedBy>KZ04</cp:lastModifiedBy>
  <cp:revision>6</cp:revision>
  <cp:lastPrinted>2017-05-16T06:48:00Z</cp:lastPrinted>
  <dcterms:created xsi:type="dcterms:W3CDTF">2017-05-15T03:21:00Z</dcterms:created>
  <dcterms:modified xsi:type="dcterms:W3CDTF">2017-05-16T06:48:00Z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