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76550" w14:textId="77777777" w:rsidR="00EC586D" w:rsidRPr="00C629A3" w:rsidRDefault="00EC586D">
      <w:pPr>
        <w:rPr>
          <w:rFonts w:ascii="Candara" w:hAnsi="Candara"/>
        </w:rPr>
      </w:pPr>
      <w:bookmarkStart w:id="0" w:name="_GoBack"/>
      <w:bookmarkEnd w:id="0"/>
    </w:p>
    <w:p w14:paraId="4FE66AD4" w14:textId="77777777" w:rsidR="003A2708" w:rsidRPr="00C629A3" w:rsidRDefault="003A2708">
      <w:pPr>
        <w:rPr>
          <w:rFonts w:ascii="Candara" w:hAnsi="Candara"/>
        </w:rPr>
      </w:pPr>
    </w:p>
    <w:p w14:paraId="559D2CC4" w14:textId="77777777" w:rsidR="003A2708" w:rsidRPr="00C629A3" w:rsidRDefault="003A2708">
      <w:pPr>
        <w:rPr>
          <w:rFonts w:ascii="Candara" w:hAnsi="Candara"/>
        </w:rPr>
      </w:pPr>
    </w:p>
    <w:p w14:paraId="09CB4EAC" w14:textId="77777777" w:rsidR="00695462" w:rsidRPr="00D70BDB" w:rsidRDefault="00D775AF" w:rsidP="00570918">
      <w:pPr>
        <w:pStyle w:val="Title"/>
        <w:rPr>
          <w:rFonts w:ascii="Candara" w:hAnsi="Candara"/>
          <w:sz w:val="48"/>
          <w:szCs w:val="48"/>
        </w:rPr>
      </w:pPr>
      <w:r>
        <w:rPr>
          <w:rFonts w:ascii="Candara" w:hAnsi="Candara"/>
          <w:sz w:val="48"/>
          <w:szCs w:val="48"/>
        </w:rPr>
        <w:t>f</w:t>
      </w:r>
      <w:r w:rsidR="00695462" w:rsidRPr="00D70BDB">
        <w:rPr>
          <w:rFonts w:ascii="Candara" w:hAnsi="Candara"/>
          <w:sz w:val="48"/>
          <w:szCs w:val="48"/>
        </w:rPr>
        <w:t>-factor Incentive Scheme</w:t>
      </w:r>
      <w:r w:rsidR="00570918" w:rsidRPr="00D70BDB">
        <w:rPr>
          <w:rFonts w:ascii="Candara" w:hAnsi="Candara"/>
          <w:sz w:val="48"/>
          <w:szCs w:val="48"/>
        </w:rPr>
        <w:t xml:space="preserve">: </w:t>
      </w:r>
    </w:p>
    <w:p w14:paraId="5795CC70" w14:textId="77777777" w:rsidR="003A2708" w:rsidRPr="00D70BDB" w:rsidRDefault="00570918" w:rsidP="00570918">
      <w:pPr>
        <w:pStyle w:val="Title"/>
        <w:rPr>
          <w:rFonts w:ascii="Candara" w:hAnsi="Candara"/>
          <w:sz w:val="48"/>
          <w:szCs w:val="48"/>
        </w:rPr>
      </w:pPr>
      <w:r w:rsidRPr="00D70BDB">
        <w:rPr>
          <w:rFonts w:ascii="Candara" w:hAnsi="Candara"/>
          <w:sz w:val="48"/>
          <w:szCs w:val="48"/>
        </w:rPr>
        <w:t>Regulatory Impact Statement</w:t>
      </w:r>
    </w:p>
    <w:p w14:paraId="28D0C81E" w14:textId="77777777" w:rsidR="00B25389" w:rsidRPr="00C629A3" w:rsidRDefault="00B25389">
      <w:pPr>
        <w:rPr>
          <w:rFonts w:ascii="Candara" w:hAnsi="Candara"/>
        </w:rPr>
      </w:pPr>
    </w:p>
    <w:p w14:paraId="6C9A0229" w14:textId="77777777" w:rsidR="00B25389" w:rsidRPr="00C629A3" w:rsidRDefault="00B25389">
      <w:pPr>
        <w:rPr>
          <w:rFonts w:ascii="Candara" w:hAnsi="Candara"/>
        </w:rPr>
      </w:pPr>
    </w:p>
    <w:p w14:paraId="6B51C1DF" w14:textId="77777777" w:rsidR="00B25389" w:rsidRPr="00C629A3" w:rsidRDefault="00B25389">
      <w:pPr>
        <w:rPr>
          <w:rFonts w:ascii="Candara" w:hAnsi="Candara"/>
        </w:rPr>
      </w:pPr>
    </w:p>
    <w:p w14:paraId="3A878644" w14:textId="77777777" w:rsidR="00B25389" w:rsidRPr="00C629A3" w:rsidRDefault="00B25389">
      <w:pPr>
        <w:rPr>
          <w:rFonts w:ascii="Candara" w:hAnsi="Candara"/>
        </w:rPr>
      </w:pPr>
    </w:p>
    <w:p w14:paraId="7C36BB16" w14:textId="77777777" w:rsidR="00B25389" w:rsidRPr="00C629A3" w:rsidRDefault="00B25389">
      <w:pPr>
        <w:rPr>
          <w:rFonts w:ascii="Candara" w:hAnsi="Candara"/>
        </w:rPr>
      </w:pPr>
    </w:p>
    <w:p w14:paraId="5AB439C5" w14:textId="77777777" w:rsidR="00B25389" w:rsidRPr="00C629A3" w:rsidRDefault="00B25389">
      <w:pPr>
        <w:rPr>
          <w:rFonts w:ascii="Candara" w:hAnsi="Candara"/>
        </w:rPr>
      </w:pPr>
    </w:p>
    <w:p w14:paraId="4F19214B" w14:textId="77777777" w:rsidR="00B25389" w:rsidRPr="00C629A3" w:rsidRDefault="00B25389">
      <w:pPr>
        <w:rPr>
          <w:rFonts w:ascii="Candara" w:hAnsi="Candara"/>
        </w:rPr>
      </w:pPr>
    </w:p>
    <w:p w14:paraId="121F1536" w14:textId="77777777" w:rsidR="00B25389" w:rsidRPr="00C629A3" w:rsidRDefault="00B25389">
      <w:pPr>
        <w:rPr>
          <w:rFonts w:ascii="Candara" w:hAnsi="Candara"/>
        </w:rPr>
      </w:pPr>
    </w:p>
    <w:p w14:paraId="4D7D7FB9" w14:textId="77777777" w:rsidR="00B25389" w:rsidRPr="00C629A3" w:rsidRDefault="00B25389">
      <w:pPr>
        <w:rPr>
          <w:rFonts w:ascii="Candara" w:hAnsi="Candara"/>
        </w:rPr>
      </w:pPr>
    </w:p>
    <w:p w14:paraId="6299C481" w14:textId="77777777" w:rsidR="00B25389" w:rsidRPr="00C629A3" w:rsidRDefault="00B25389">
      <w:pPr>
        <w:rPr>
          <w:rFonts w:ascii="Candara" w:hAnsi="Candara"/>
        </w:rPr>
      </w:pPr>
    </w:p>
    <w:p w14:paraId="40148312" w14:textId="77777777" w:rsidR="00B25389" w:rsidRPr="00C629A3" w:rsidRDefault="00B25389">
      <w:pPr>
        <w:rPr>
          <w:rFonts w:ascii="Candara" w:hAnsi="Candara"/>
        </w:rPr>
      </w:pPr>
    </w:p>
    <w:p w14:paraId="6DF52D31" w14:textId="77777777" w:rsidR="00B25389" w:rsidRPr="00C629A3" w:rsidRDefault="00B25389">
      <w:pPr>
        <w:rPr>
          <w:rFonts w:ascii="Candara" w:hAnsi="Candara"/>
        </w:rPr>
      </w:pPr>
    </w:p>
    <w:p w14:paraId="71D3A0F7" w14:textId="77777777" w:rsidR="00B25389" w:rsidRPr="00C629A3" w:rsidRDefault="00B25389">
      <w:pPr>
        <w:rPr>
          <w:rFonts w:ascii="Candara" w:hAnsi="Candara"/>
        </w:rPr>
      </w:pPr>
    </w:p>
    <w:p w14:paraId="5ED320C9" w14:textId="77777777" w:rsidR="00B25389" w:rsidRPr="00C629A3" w:rsidRDefault="00B25389">
      <w:pPr>
        <w:rPr>
          <w:rFonts w:ascii="Candara" w:hAnsi="Candara"/>
        </w:rPr>
      </w:pPr>
    </w:p>
    <w:p w14:paraId="649D9F00" w14:textId="77777777" w:rsidR="00B25389" w:rsidRPr="00C629A3" w:rsidRDefault="00B25389">
      <w:pPr>
        <w:rPr>
          <w:rFonts w:ascii="Candara" w:hAnsi="Candara"/>
        </w:rPr>
      </w:pPr>
    </w:p>
    <w:p w14:paraId="0DE9B6FE" w14:textId="77777777" w:rsidR="00B25389" w:rsidRPr="00C629A3" w:rsidRDefault="00B25389">
      <w:pPr>
        <w:rPr>
          <w:rFonts w:ascii="Candara" w:hAnsi="Candara"/>
        </w:rPr>
      </w:pPr>
    </w:p>
    <w:p w14:paraId="5A1DE8A4" w14:textId="77777777" w:rsidR="00B25389" w:rsidRPr="00C629A3" w:rsidRDefault="00B25389">
      <w:pPr>
        <w:rPr>
          <w:rFonts w:ascii="Candara" w:hAnsi="Candara"/>
        </w:rPr>
      </w:pPr>
    </w:p>
    <w:p w14:paraId="4872C886" w14:textId="0B40CE51" w:rsidR="009958D7" w:rsidRPr="00C629A3" w:rsidRDefault="00C71728" w:rsidP="00A151A2">
      <w:pPr>
        <w:jc w:val="center"/>
        <w:rPr>
          <w:rFonts w:ascii="Candara" w:hAnsi="Candara"/>
        </w:rPr>
      </w:pPr>
      <w:r>
        <w:rPr>
          <w:rFonts w:ascii="Candara" w:hAnsi="Candara"/>
        </w:rPr>
        <w:t>October</w:t>
      </w:r>
      <w:r w:rsidR="009B3507">
        <w:rPr>
          <w:rFonts w:ascii="Candara" w:hAnsi="Candara"/>
        </w:rPr>
        <w:t xml:space="preserve"> </w:t>
      </w:r>
      <w:r w:rsidR="009656CD" w:rsidRPr="00C629A3">
        <w:rPr>
          <w:rFonts w:ascii="Candara" w:hAnsi="Candara"/>
        </w:rPr>
        <w:t>2016</w:t>
      </w:r>
      <w:r w:rsidR="009958D7" w:rsidRPr="00C629A3">
        <w:rPr>
          <w:rFonts w:ascii="Candara" w:hAnsi="Candara"/>
        </w:rPr>
        <w:br w:type="page"/>
      </w:r>
    </w:p>
    <w:p w14:paraId="31CD7701" w14:textId="77777777" w:rsidR="00B25389" w:rsidRPr="00C629A3" w:rsidRDefault="00B25389">
      <w:pPr>
        <w:rPr>
          <w:rFonts w:ascii="Candara" w:eastAsiaTheme="majorEastAsia" w:hAnsi="Candara" w:cstheme="majorBidi"/>
          <w:b/>
          <w:bCs/>
          <w:color w:val="365F91" w:themeColor="accent1" w:themeShade="BF"/>
        </w:rPr>
      </w:pPr>
    </w:p>
    <w:sdt>
      <w:sdtPr>
        <w:rPr>
          <w:rFonts w:asciiTheme="minorHAnsi" w:eastAsiaTheme="minorHAnsi" w:hAnsiTheme="minorHAnsi" w:cstheme="minorBidi"/>
          <w:b w:val="0"/>
          <w:bCs w:val="0"/>
          <w:sz w:val="22"/>
          <w:szCs w:val="22"/>
          <w:lang w:val="en-AU" w:eastAsia="en-US"/>
        </w:rPr>
        <w:id w:val="855616800"/>
        <w:docPartObj>
          <w:docPartGallery w:val="Table of Contents"/>
          <w:docPartUnique/>
        </w:docPartObj>
      </w:sdtPr>
      <w:sdtEndPr>
        <w:rPr>
          <w:noProof/>
        </w:rPr>
      </w:sdtEndPr>
      <w:sdtContent>
        <w:p w14:paraId="10969E78" w14:textId="6245594D" w:rsidR="009132DA" w:rsidRDefault="009132DA">
          <w:pPr>
            <w:pStyle w:val="TOCHeading"/>
          </w:pPr>
          <w:r>
            <w:t>Table of Contents</w:t>
          </w:r>
        </w:p>
        <w:p w14:paraId="460F0155" w14:textId="77777777" w:rsidR="004B68A6" w:rsidRDefault="009132DA">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458675157" w:history="1">
            <w:r w:rsidR="004B68A6" w:rsidRPr="004424DC">
              <w:rPr>
                <w:rStyle w:val="Hyperlink"/>
                <w:noProof/>
              </w:rPr>
              <w:t>2.</w:t>
            </w:r>
            <w:r w:rsidR="004B68A6">
              <w:rPr>
                <w:rFonts w:eastAsiaTheme="minorEastAsia"/>
                <w:noProof/>
                <w:lang w:eastAsia="en-AU"/>
              </w:rPr>
              <w:tab/>
            </w:r>
            <w:r w:rsidR="004B68A6" w:rsidRPr="004424DC">
              <w:rPr>
                <w:rStyle w:val="Hyperlink"/>
                <w:noProof/>
              </w:rPr>
              <w:t>Summary</w:t>
            </w:r>
            <w:r w:rsidR="004B68A6">
              <w:rPr>
                <w:noProof/>
                <w:webHidden/>
              </w:rPr>
              <w:tab/>
            </w:r>
            <w:r w:rsidR="004B68A6">
              <w:rPr>
                <w:noProof/>
                <w:webHidden/>
              </w:rPr>
              <w:fldChar w:fldCharType="begin"/>
            </w:r>
            <w:r w:rsidR="004B68A6">
              <w:rPr>
                <w:noProof/>
                <w:webHidden/>
              </w:rPr>
              <w:instrText xml:space="preserve"> PAGEREF _Toc458675157 \h </w:instrText>
            </w:r>
            <w:r w:rsidR="004B68A6">
              <w:rPr>
                <w:noProof/>
                <w:webHidden/>
              </w:rPr>
            </w:r>
            <w:r w:rsidR="004B68A6">
              <w:rPr>
                <w:noProof/>
                <w:webHidden/>
              </w:rPr>
              <w:fldChar w:fldCharType="separate"/>
            </w:r>
            <w:r w:rsidR="004B68A6">
              <w:rPr>
                <w:noProof/>
                <w:webHidden/>
              </w:rPr>
              <w:t>5</w:t>
            </w:r>
            <w:r w:rsidR="004B68A6">
              <w:rPr>
                <w:noProof/>
                <w:webHidden/>
              </w:rPr>
              <w:fldChar w:fldCharType="end"/>
            </w:r>
          </w:hyperlink>
        </w:p>
        <w:p w14:paraId="48B2E422" w14:textId="77777777" w:rsidR="004B68A6" w:rsidRDefault="00703365">
          <w:pPr>
            <w:pStyle w:val="TOC1"/>
            <w:tabs>
              <w:tab w:val="left" w:pos="440"/>
              <w:tab w:val="right" w:leader="dot" w:pos="9016"/>
            </w:tabs>
            <w:rPr>
              <w:rFonts w:eastAsiaTheme="minorEastAsia"/>
              <w:noProof/>
              <w:lang w:eastAsia="en-AU"/>
            </w:rPr>
          </w:pPr>
          <w:hyperlink w:anchor="_Toc458675158" w:history="1">
            <w:r w:rsidR="004B68A6" w:rsidRPr="004424DC">
              <w:rPr>
                <w:rStyle w:val="Hyperlink"/>
                <w:noProof/>
              </w:rPr>
              <w:t>1.</w:t>
            </w:r>
            <w:r w:rsidR="004B68A6">
              <w:rPr>
                <w:rFonts w:eastAsiaTheme="minorEastAsia"/>
                <w:noProof/>
                <w:lang w:eastAsia="en-AU"/>
              </w:rPr>
              <w:tab/>
            </w:r>
            <w:r w:rsidR="004B68A6" w:rsidRPr="004424DC">
              <w:rPr>
                <w:rStyle w:val="Hyperlink"/>
                <w:noProof/>
              </w:rPr>
              <w:t>Nature and Extent of the Problem</w:t>
            </w:r>
            <w:r w:rsidR="004B68A6">
              <w:rPr>
                <w:noProof/>
                <w:webHidden/>
              </w:rPr>
              <w:tab/>
            </w:r>
            <w:r w:rsidR="004B68A6">
              <w:rPr>
                <w:noProof/>
                <w:webHidden/>
              </w:rPr>
              <w:fldChar w:fldCharType="begin"/>
            </w:r>
            <w:r w:rsidR="004B68A6">
              <w:rPr>
                <w:noProof/>
                <w:webHidden/>
              </w:rPr>
              <w:instrText xml:space="preserve"> PAGEREF _Toc458675158 \h </w:instrText>
            </w:r>
            <w:r w:rsidR="004B68A6">
              <w:rPr>
                <w:noProof/>
                <w:webHidden/>
              </w:rPr>
            </w:r>
            <w:r w:rsidR="004B68A6">
              <w:rPr>
                <w:noProof/>
                <w:webHidden/>
              </w:rPr>
              <w:fldChar w:fldCharType="separate"/>
            </w:r>
            <w:r w:rsidR="004B68A6">
              <w:rPr>
                <w:noProof/>
                <w:webHidden/>
              </w:rPr>
              <w:t>6</w:t>
            </w:r>
            <w:r w:rsidR="004B68A6">
              <w:rPr>
                <w:noProof/>
                <w:webHidden/>
              </w:rPr>
              <w:fldChar w:fldCharType="end"/>
            </w:r>
          </w:hyperlink>
        </w:p>
        <w:p w14:paraId="11E6C66B" w14:textId="77777777" w:rsidR="004B68A6" w:rsidRDefault="00703365">
          <w:pPr>
            <w:pStyle w:val="TOC2"/>
            <w:tabs>
              <w:tab w:val="left" w:pos="880"/>
              <w:tab w:val="right" w:leader="dot" w:pos="9016"/>
            </w:tabs>
            <w:rPr>
              <w:rFonts w:eastAsiaTheme="minorEastAsia"/>
              <w:noProof/>
              <w:lang w:eastAsia="en-AU"/>
            </w:rPr>
          </w:pPr>
          <w:hyperlink w:anchor="_Toc458675159" w:history="1">
            <w:r w:rsidR="004B68A6" w:rsidRPr="004424DC">
              <w:rPr>
                <w:rStyle w:val="Hyperlink"/>
                <w:noProof/>
              </w:rPr>
              <w:t>1.1.</w:t>
            </w:r>
            <w:r w:rsidR="004B68A6">
              <w:rPr>
                <w:rFonts w:eastAsiaTheme="minorEastAsia"/>
                <w:noProof/>
                <w:lang w:eastAsia="en-AU"/>
              </w:rPr>
              <w:tab/>
            </w:r>
            <w:r w:rsidR="004B68A6" w:rsidRPr="004424DC">
              <w:rPr>
                <w:rStyle w:val="Hyperlink"/>
                <w:noProof/>
              </w:rPr>
              <w:t>The problem of bushfire starts as a result of the electricity distribution network</w:t>
            </w:r>
            <w:r w:rsidR="004B68A6">
              <w:rPr>
                <w:noProof/>
                <w:webHidden/>
              </w:rPr>
              <w:tab/>
            </w:r>
            <w:r w:rsidR="004B68A6">
              <w:rPr>
                <w:noProof/>
                <w:webHidden/>
              </w:rPr>
              <w:fldChar w:fldCharType="begin"/>
            </w:r>
            <w:r w:rsidR="004B68A6">
              <w:rPr>
                <w:noProof/>
                <w:webHidden/>
              </w:rPr>
              <w:instrText xml:space="preserve"> PAGEREF _Toc458675159 \h </w:instrText>
            </w:r>
            <w:r w:rsidR="004B68A6">
              <w:rPr>
                <w:noProof/>
                <w:webHidden/>
              </w:rPr>
            </w:r>
            <w:r w:rsidR="004B68A6">
              <w:rPr>
                <w:noProof/>
                <w:webHidden/>
              </w:rPr>
              <w:fldChar w:fldCharType="separate"/>
            </w:r>
            <w:r w:rsidR="004B68A6">
              <w:rPr>
                <w:noProof/>
                <w:webHidden/>
              </w:rPr>
              <w:t>6</w:t>
            </w:r>
            <w:r w:rsidR="004B68A6">
              <w:rPr>
                <w:noProof/>
                <w:webHidden/>
              </w:rPr>
              <w:fldChar w:fldCharType="end"/>
            </w:r>
          </w:hyperlink>
        </w:p>
        <w:p w14:paraId="5D56B715" w14:textId="77777777" w:rsidR="004B68A6" w:rsidRDefault="00703365">
          <w:pPr>
            <w:pStyle w:val="TOC2"/>
            <w:tabs>
              <w:tab w:val="left" w:pos="880"/>
              <w:tab w:val="right" w:leader="dot" w:pos="9016"/>
            </w:tabs>
            <w:rPr>
              <w:rFonts w:eastAsiaTheme="minorEastAsia"/>
              <w:noProof/>
              <w:lang w:eastAsia="en-AU"/>
            </w:rPr>
          </w:pPr>
          <w:hyperlink w:anchor="_Toc458675160" w:history="1">
            <w:r w:rsidR="004B68A6" w:rsidRPr="004424DC">
              <w:rPr>
                <w:rStyle w:val="Hyperlink"/>
                <w:noProof/>
              </w:rPr>
              <w:t>1.2.</w:t>
            </w:r>
            <w:r w:rsidR="004B68A6">
              <w:rPr>
                <w:rFonts w:eastAsiaTheme="minorEastAsia"/>
                <w:noProof/>
                <w:lang w:eastAsia="en-AU"/>
              </w:rPr>
              <w:tab/>
            </w:r>
            <w:r w:rsidR="004B68A6" w:rsidRPr="004424DC">
              <w:rPr>
                <w:rStyle w:val="Hyperlink"/>
                <w:noProof/>
              </w:rPr>
              <w:t>Legal and Legislative mechanisms to reduce electricity network bushfire risk</w:t>
            </w:r>
            <w:r w:rsidR="004B68A6">
              <w:rPr>
                <w:noProof/>
                <w:webHidden/>
              </w:rPr>
              <w:tab/>
            </w:r>
            <w:r w:rsidR="004B68A6">
              <w:rPr>
                <w:noProof/>
                <w:webHidden/>
              </w:rPr>
              <w:fldChar w:fldCharType="begin"/>
            </w:r>
            <w:r w:rsidR="004B68A6">
              <w:rPr>
                <w:noProof/>
                <w:webHidden/>
              </w:rPr>
              <w:instrText xml:space="preserve"> PAGEREF _Toc458675160 \h </w:instrText>
            </w:r>
            <w:r w:rsidR="004B68A6">
              <w:rPr>
                <w:noProof/>
                <w:webHidden/>
              </w:rPr>
            </w:r>
            <w:r w:rsidR="004B68A6">
              <w:rPr>
                <w:noProof/>
                <w:webHidden/>
              </w:rPr>
              <w:fldChar w:fldCharType="separate"/>
            </w:r>
            <w:r w:rsidR="004B68A6">
              <w:rPr>
                <w:noProof/>
                <w:webHidden/>
              </w:rPr>
              <w:t>7</w:t>
            </w:r>
            <w:r w:rsidR="004B68A6">
              <w:rPr>
                <w:noProof/>
                <w:webHidden/>
              </w:rPr>
              <w:fldChar w:fldCharType="end"/>
            </w:r>
          </w:hyperlink>
        </w:p>
        <w:p w14:paraId="62BA9404" w14:textId="77777777" w:rsidR="004B68A6" w:rsidRDefault="00703365">
          <w:pPr>
            <w:pStyle w:val="TOC3"/>
            <w:tabs>
              <w:tab w:val="left" w:pos="1320"/>
              <w:tab w:val="right" w:leader="dot" w:pos="9016"/>
            </w:tabs>
            <w:rPr>
              <w:rFonts w:eastAsiaTheme="minorEastAsia"/>
              <w:noProof/>
              <w:lang w:eastAsia="en-AU"/>
            </w:rPr>
          </w:pPr>
          <w:hyperlink w:anchor="_Toc458675161" w:history="1">
            <w:r w:rsidR="004B68A6" w:rsidRPr="004424DC">
              <w:rPr>
                <w:rStyle w:val="Hyperlink"/>
                <w:noProof/>
              </w:rPr>
              <w:t>1.2.1.</w:t>
            </w:r>
            <w:r w:rsidR="004B68A6">
              <w:rPr>
                <w:rFonts w:eastAsiaTheme="minorEastAsia"/>
                <w:noProof/>
                <w:lang w:eastAsia="en-AU"/>
              </w:rPr>
              <w:tab/>
            </w:r>
            <w:r w:rsidR="004B68A6" w:rsidRPr="004424DC">
              <w:rPr>
                <w:rStyle w:val="Hyperlink"/>
                <w:noProof/>
              </w:rPr>
              <w:t>Common and Statute Law</w:t>
            </w:r>
            <w:r w:rsidR="004B68A6">
              <w:rPr>
                <w:noProof/>
                <w:webHidden/>
              </w:rPr>
              <w:tab/>
            </w:r>
            <w:r w:rsidR="004B68A6">
              <w:rPr>
                <w:noProof/>
                <w:webHidden/>
              </w:rPr>
              <w:fldChar w:fldCharType="begin"/>
            </w:r>
            <w:r w:rsidR="004B68A6">
              <w:rPr>
                <w:noProof/>
                <w:webHidden/>
              </w:rPr>
              <w:instrText xml:space="preserve"> PAGEREF _Toc458675161 \h </w:instrText>
            </w:r>
            <w:r w:rsidR="004B68A6">
              <w:rPr>
                <w:noProof/>
                <w:webHidden/>
              </w:rPr>
            </w:r>
            <w:r w:rsidR="004B68A6">
              <w:rPr>
                <w:noProof/>
                <w:webHidden/>
              </w:rPr>
              <w:fldChar w:fldCharType="separate"/>
            </w:r>
            <w:r w:rsidR="004B68A6">
              <w:rPr>
                <w:noProof/>
                <w:webHidden/>
              </w:rPr>
              <w:t>7</w:t>
            </w:r>
            <w:r w:rsidR="004B68A6">
              <w:rPr>
                <w:noProof/>
                <w:webHidden/>
              </w:rPr>
              <w:fldChar w:fldCharType="end"/>
            </w:r>
          </w:hyperlink>
        </w:p>
        <w:p w14:paraId="2ACD532B" w14:textId="77777777" w:rsidR="004B68A6" w:rsidRDefault="00703365">
          <w:pPr>
            <w:pStyle w:val="TOC3"/>
            <w:tabs>
              <w:tab w:val="left" w:pos="1320"/>
              <w:tab w:val="right" w:leader="dot" w:pos="9016"/>
            </w:tabs>
            <w:rPr>
              <w:rFonts w:eastAsiaTheme="minorEastAsia"/>
              <w:noProof/>
              <w:lang w:eastAsia="en-AU"/>
            </w:rPr>
          </w:pPr>
          <w:hyperlink w:anchor="_Toc458675162" w:history="1">
            <w:r w:rsidR="004B68A6" w:rsidRPr="004424DC">
              <w:rPr>
                <w:rStyle w:val="Hyperlink"/>
                <w:noProof/>
              </w:rPr>
              <w:t>1.2.2.</w:t>
            </w:r>
            <w:r w:rsidR="004B68A6">
              <w:rPr>
                <w:rFonts w:eastAsiaTheme="minorEastAsia"/>
                <w:noProof/>
                <w:lang w:eastAsia="en-AU"/>
              </w:rPr>
              <w:tab/>
            </w:r>
            <w:r w:rsidR="004B68A6" w:rsidRPr="004424DC">
              <w:rPr>
                <w:rStyle w:val="Hyperlink"/>
                <w:noProof/>
              </w:rPr>
              <w:t>Improved network protection assets</w:t>
            </w:r>
            <w:r w:rsidR="004B68A6">
              <w:rPr>
                <w:noProof/>
                <w:webHidden/>
              </w:rPr>
              <w:tab/>
            </w:r>
            <w:r w:rsidR="004B68A6">
              <w:rPr>
                <w:noProof/>
                <w:webHidden/>
              </w:rPr>
              <w:fldChar w:fldCharType="begin"/>
            </w:r>
            <w:r w:rsidR="004B68A6">
              <w:rPr>
                <w:noProof/>
                <w:webHidden/>
              </w:rPr>
              <w:instrText xml:space="preserve"> PAGEREF _Toc458675162 \h </w:instrText>
            </w:r>
            <w:r w:rsidR="004B68A6">
              <w:rPr>
                <w:noProof/>
                <w:webHidden/>
              </w:rPr>
            </w:r>
            <w:r w:rsidR="004B68A6">
              <w:rPr>
                <w:noProof/>
                <w:webHidden/>
              </w:rPr>
              <w:fldChar w:fldCharType="separate"/>
            </w:r>
            <w:r w:rsidR="004B68A6">
              <w:rPr>
                <w:noProof/>
                <w:webHidden/>
              </w:rPr>
              <w:t>7</w:t>
            </w:r>
            <w:r w:rsidR="004B68A6">
              <w:rPr>
                <w:noProof/>
                <w:webHidden/>
              </w:rPr>
              <w:fldChar w:fldCharType="end"/>
            </w:r>
          </w:hyperlink>
        </w:p>
        <w:p w14:paraId="21FC59D0" w14:textId="77777777" w:rsidR="004B68A6" w:rsidRDefault="00703365">
          <w:pPr>
            <w:pStyle w:val="TOC3"/>
            <w:tabs>
              <w:tab w:val="left" w:pos="1320"/>
              <w:tab w:val="right" w:leader="dot" w:pos="9016"/>
            </w:tabs>
            <w:rPr>
              <w:rFonts w:eastAsiaTheme="minorEastAsia"/>
              <w:noProof/>
              <w:lang w:eastAsia="en-AU"/>
            </w:rPr>
          </w:pPr>
          <w:hyperlink w:anchor="_Toc458675163" w:history="1">
            <w:r w:rsidR="004B68A6" w:rsidRPr="004424DC">
              <w:rPr>
                <w:rStyle w:val="Hyperlink"/>
                <w:noProof/>
              </w:rPr>
              <w:t>1.2.3.</w:t>
            </w:r>
            <w:r w:rsidR="004B68A6">
              <w:rPr>
                <w:rFonts w:eastAsiaTheme="minorEastAsia"/>
                <w:noProof/>
                <w:lang w:eastAsia="en-AU"/>
              </w:rPr>
              <w:tab/>
            </w:r>
            <w:r w:rsidR="004B68A6" w:rsidRPr="004424DC">
              <w:rPr>
                <w:rStyle w:val="Hyperlink"/>
                <w:noProof/>
              </w:rPr>
              <w:t>Further distributor safety obligations under Legislation</w:t>
            </w:r>
            <w:r w:rsidR="004B68A6">
              <w:rPr>
                <w:noProof/>
                <w:webHidden/>
              </w:rPr>
              <w:tab/>
            </w:r>
            <w:r w:rsidR="004B68A6">
              <w:rPr>
                <w:noProof/>
                <w:webHidden/>
              </w:rPr>
              <w:fldChar w:fldCharType="begin"/>
            </w:r>
            <w:r w:rsidR="004B68A6">
              <w:rPr>
                <w:noProof/>
                <w:webHidden/>
              </w:rPr>
              <w:instrText xml:space="preserve"> PAGEREF _Toc458675163 \h </w:instrText>
            </w:r>
            <w:r w:rsidR="004B68A6">
              <w:rPr>
                <w:noProof/>
                <w:webHidden/>
              </w:rPr>
            </w:r>
            <w:r w:rsidR="004B68A6">
              <w:rPr>
                <w:noProof/>
                <w:webHidden/>
              </w:rPr>
              <w:fldChar w:fldCharType="separate"/>
            </w:r>
            <w:r w:rsidR="004B68A6">
              <w:rPr>
                <w:noProof/>
                <w:webHidden/>
              </w:rPr>
              <w:t>7</w:t>
            </w:r>
            <w:r w:rsidR="004B68A6">
              <w:rPr>
                <w:noProof/>
                <w:webHidden/>
              </w:rPr>
              <w:fldChar w:fldCharType="end"/>
            </w:r>
          </w:hyperlink>
        </w:p>
        <w:p w14:paraId="690E3516" w14:textId="77777777" w:rsidR="004B68A6" w:rsidRDefault="00703365">
          <w:pPr>
            <w:pStyle w:val="TOC3"/>
            <w:tabs>
              <w:tab w:val="left" w:pos="1320"/>
              <w:tab w:val="right" w:leader="dot" w:pos="9016"/>
            </w:tabs>
            <w:rPr>
              <w:rFonts w:eastAsiaTheme="minorEastAsia"/>
              <w:noProof/>
              <w:lang w:eastAsia="en-AU"/>
            </w:rPr>
          </w:pPr>
          <w:hyperlink w:anchor="_Toc458675164" w:history="1">
            <w:r w:rsidR="004B68A6" w:rsidRPr="004424DC">
              <w:rPr>
                <w:rStyle w:val="Hyperlink"/>
                <w:noProof/>
              </w:rPr>
              <w:t>1.2.4.</w:t>
            </w:r>
            <w:r w:rsidR="004B68A6">
              <w:rPr>
                <w:rFonts w:eastAsiaTheme="minorEastAsia"/>
                <w:noProof/>
                <w:lang w:eastAsia="en-AU"/>
              </w:rPr>
              <w:tab/>
            </w:r>
            <w:r w:rsidR="004B68A6" w:rsidRPr="004424DC">
              <w:rPr>
                <w:rStyle w:val="Hyperlink"/>
                <w:noProof/>
              </w:rPr>
              <w:t>Electricity Safety Management Schemes and Bushfire Mitigation Plans</w:t>
            </w:r>
            <w:r w:rsidR="004B68A6">
              <w:rPr>
                <w:noProof/>
                <w:webHidden/>
              </w:rPr>
              <w:tab/>
            </w:r>
            <w:r w:rsidR="004B68A6">
              <w:rPr>
                <w:noProof/>
                <w:webHidden/>
              </w:rPr>
              <w:fldChar w:fldCharType="begin"/>
            </w:r>
            <w:r w:rsidR="004B68A6">
              <w:rPr>
                <w:noProof/>
                <w:webHidden/>
              </w:rPr>
              <w:instrText xml:space="preserve"> PAGEREF _Toc458675164 \h </w:instrText>
            </w:r>
            <w:r w:rsidR="004B68A6">
              <w:rPr>
                <w:noProof/>
                <w:webHidden/>
              </w:rPr>
            </w:r>
            <w:r w:rsidR="004B68A6">
              <w:rPr>
                <w:noProof/>
                <w:webHidden/>
              </w:rPr>
              <w:fldChar w:fldCharType="separate"/>
            </w:r>
            <w:r w:rsidR="004B68A6">
              <w:rPr>
                <w:noProof/>
                <w:webHidden/>
              </w:rPr>
              <w:t>8</w:t>
            </w:r>
            <w:r w:rsidR="004B68A6">
              <w:rPr>
                <w:noProof/>
                <w:webHidden/>
              </w:rPr>
              <w:fldChar w:fldCharType="end"/>
            </w:r>
          </w:hyperlink>
        </w:p>
        <w:p w14:paraId="6117737E" w14:textId="77777777" w:rsidR="004B68A6" w:rsidRDefault="00703365">
          <w:pPr>
            <w:pStyle w:val="TOC2"/>
            <w:tabs>
              <w:tab w:val="left" w:pos="880"/>
              <w:tab w:val="right" w:leader="dot" w:pos="9016"/>
            </w:tabs>
            <w:rPr>
              <w:rFonts w:eastAsiaTheme="minorEastAsia"/>
              <w:noProof/>
              <w:lang w:eastAsia="en-AU"/>
            </w:rPr>
          </w:pPr>
          <w:hyperlink w:anchor="_Toc458675165" w:history="1">
            <w:r w:rsidR="004B68A6" w:rsidRPr="004424DC">
              <w:rPr>
                <w:rStyle w:val="Hyperlink"/>
                <w:noProof/>
              </w:rPr>
              <w:t>1.3.</w:t>
            </w:r>
            <w:r w:rsidR="004B68A6">
              <w:rPr>
                <w:rFonts w:eastAsiaTheme="minorEastAsia"/>
                <w:noProof/>
                <w:lang w:eastAsia="en-AU"/>
              </w:rPr>
              <w:tab/>
            </w:r>
            <w:r w:rsidR="004B68A6" w:rsidRPr="004424DC">
              <w:rPr>
                <w:rStyle w:val="Hyperlink"/>
                <w:noProof/>
              </w:rPr>
              <w:t>Bushfires starting on electricity assets remain a problem</w:t>
            </w:r>
            <w:r w:rsidR="004B68A6">
              <w:rPr>
                <w:noProof/>
                <w:webHidden/>
              </w:rPr>
              <w:tab/>
            </w:r>
            <w:r w:rsidR="004B68A6">
              <w:rPr>
                <w:noProof/>
                <w:webHidden/>
              </w:rPr>
              <w:fldChar w:fldCharType="begin"/>
            </w:r>
            <w:r w:rsidR="004B68A6">
              <w:rPr>
                <w:noProof/>
                <w:webHidden/>
              </w:rPr>
              <w:instrText xml:space="preserve"> PAGEREF _Toc458675165 \h </w:instrText>
            </w:r>
            <w:r w:rsidR="004B68A6">
              <w:rPr>
                <w:noProof/>
                <w:webHidden/>
              </w:rPr>
            </w:r>
            <w:r w:rsidR="004B68A6">
              <w:rPr>
                <w:noProof/>
                <w:webHidden/>
              </w:rPr>
              <w:fldChar w:fldCharType="separate"/>
            </w:r>
            <w:r w:rsidR="004B68A6">
              <w:rPr>
                <w:noProof/>
                <w:webHidden/>
              </w:rPr>
              <w:t>8</w:t>
            </w:r>
            <w:r w:rsidR="004B68A6">
              <w:rPr>
                <w:noProof/>
                <w:webHidden/>
              </w:rPr>
              <w:fldChar w:fldCharType="end"/>
            </w:r>
          </w:hyperlink>
        </w:p>
        <w:p w14:paraId="5BB69531" w14:textId="77777777" w:rsidR="004B68A6" w:rsidRDefault="00703365">
          <w:pPr>
            <w:pStyle w:val="TOC3"/>
            <w:tabs>
              <w:tab w:val="left" w:pos="1320"/>
              <w:tab w:val="right" w:leader="dot" w:pos="9016"/>
            </w:tabs>
            <w:rPr>
              <w:rFonts w:eastAsiaTheme="minorEastAsia"/>
              <w:noProof/>
              <w:lang w:eastAsia="en-AU"/>
            </w:rPr>
          </w:pPr>
          <w:hyperlink w:anchor="_Toc458675166" w:history="1">
            <w:r w:rsidR="004B68A6" w:rsidRPr="004424DC">
              <w:rPr>
                <w:rStyle w:val="Hyperlink"/>
                <w:noProof/>
              </w:rPr>
              <w:t>1.3.1.</w:t>
            </w:r>
            <w:r w:rsidR="004B68A6">
              <w:rPr>
                <w:rFonts w:eastAsiaTheme="minorEastAsia"/>
                <w:noProof/>
                <w:lang w:eastAsia="en-AU"/>
              </w:rPr>
              <w:tab/>
            </w:r>
            <w:r w:rsidR="004B68A6" w:rsidRPr="004424DC">
              <w:rPr>
                <w:rStyle w:val="Hyperlink"/>
                <w:noProof/>
              </w:rPr>
              <w:t>Exogenous variables</w:t>
            </w:r>
            <w:r w:rsidR="004B68A6">
              <w:rPr>
                <w:noProof/>
                <w:webHidden/>
              </w:rPr>
              <w:tab/>
            </w:r>
            <w:r w:rsidR="004B68A6">
              <w:rPr>
                <w:noProof/>
                <w:webHidden/>
              </w:rPr>
              <w:fldChar w:fldCharType="begin"/>
            </w:r>
            <w:r w:rsidR="004B68A6">
              <w:rPr>
                <w:noProof/>
                <w:webHidden/>
              </w:rPr>
              <w:instrText xml:space="preserve"> PAGEREF _Toc458675166 \h </w:instrText>
            </w:r>
            <w:r w:rsidR="004B68A6">
              <w:rPr>
                <w:noProof/>
                <w:webHidden/>
              </w:rPr>
            </w:r>
            <w:r w:rsidR="004B68A6">
              <w:rPr>
                <w:noProof/>
                <w:webHidden/>
              </w:rPr>
              <w:fldChar w:fldCharType="separate"/>
            </w:r>
            <w:r w:rsidR="004B68A6">
              <w:rPr>
                <w:noProof/>
                <w:webHidden/>
              </w:rPr>
              <w:t>8</w:t>
            </w:r>
            <w:r w:rsidR="004B68A6">
              <w:rPr>
                <w:noProof/>
                <w:webHidden/>
              </w:rPr>
              <w:fldChar w:fldCharType="end"/>
            </w:r>
          </w:hyperlink>
        </w:p>
        <w:p w14:paraId="068672A3" w14:textId="77777777" w:rsidR="004B68A6" w:rsidRDefault="00703365">
          <w:pPr>
            <w:pStyle w:val="TOC3"/>
            <w:tabs>
              <w:tab w:val="left" w:pos="1320"/>
              <w:tab w:val="right" w:leader="dot" w:pos="9016"/>
            </w:tabs>
            <w:rPr>
              <w:rFonts w:eastAsiaTheme="minorEastAsia"/>
              <w:noProof/>
              <w:lang w:eastAsia="en-AU"/>
            </w:rPr>
          </w:pPr>
          <w:hyperlink w:anchor="_Toc458675167" w:history="1">
            <w:r w:rsidR="004B68A6" w:rsidRPr="004424DC">
              <w:rPr>
                <w:rStyle w:val="Hyperlink"/>
                <w:noProof/>
              </w:rPr>
              <w:t>1.3.2.</w:t>
            </w:r>
            <w:r w:rsidR="004B68A6">
              <w:rPr>
                <w:rFonts w:eastAsiaTheme="minorEastAsia"/>
                <w:noProof/>
                <w:lang w:eastAsia="en-AU"/>
              </w:rPr>
              <w:tab/>
            </w:r>
            <w:r w:rsidR="004B68A6" w:rsidRPr="004424DC">
              <w:rPr>
                <w:rStyle w:val="Hyperlink"/>
                <w:noProof/>
              </w:rPr>
              <w:t>Prohibitive costs of network fire elimination</w:t>
            </w:r>
            <w:r w:rsidR="004B68A6">
              <w:rPr>
                <w:noProof/>
                <w:webHidden/>
              </w:rPr>
              <w:tab/>
            </w:r>
            <w:r w:rsidR="004B68A6">
              <w:rPr>
                <w:noProof/>
                <w:webHidden/>
              </w:rPr>
              <w:fldChar w:fldCharType="begin"/>
            </w:r>
            <w:r w:rsidR="004B68A6">
              <w:rPr>
                <w:noProof/>
                <w:webHidden/>
              </w:rPr>
              <w:instrText xml:space="preserve"> PAGEREF _Toc458675167 \h </w:instrText>
            </w:r>
            <w:r w:rsidR="004B68A6">
              <w:rPr>
                <w:noProof/>
                <w:webHidden/>
              </w:rPr>
            </w:r>
            <w:r w:rsidR="004B68A6">
              <w:rPr>
                <w:noProof/>
                <w:webHidden/>
              </w:rPr>
              <w:fldChar w:fldCharType="separate"/>
            </w:r>
            <w:r w:rsidR="004B68A6">
              <w:rPr>
                <w:noProof/>
                <w:webHidden/>
              </w:rPr>
              <w:t>8</w:t>
            </w:r>
            <w:r w:rsidR="004B68A6">
              <w:rPr>
                <w:noProof/>
                <w:webHidden/>
              </w:rPr>
              <w:fldChar w:fldCharType="end"/>
            </w:r>
          </w:hyperlink>
        </w:p>
        <w:p w14:paraId="6EE89806" w14:textId="77777777" w:rsidR="004B68A6" w:rsidRDefault="00703365">
          <w:pPr>
            <w:pStyle w:val="TOC3"/>
            <w:tabs>
              <w:tab w:val="left" w:pos="1320"/>
              <w:tab w:val="right" w:leader="dot" w:pos="9016"/>
            </w:tabs>
            <w:rPr>
              <w:rFonts w:eastAsiaTheme="minorEastAsia"/>
              <w:noProof/>
              <w:lang w:eastAsia="en-AU"/>
            </w:rPr>
          </w:pPr>
          <w:hyperlink w:anchor="_Toc458675168" w:history="1">
            <w:r w:rsidR="004B68A6" w:rsidRPr="004424DC">
              <w:rPr>
                <w:rStyle w:val="Hyperlink"/>
                <w:noProof/>
              </w:rPr>
              <w:t>1.3.3.</w:t>
            </w:r>
            <w:r w:rsidR="004B68A6">
              <w:rPr>
                <w:rFonts w:eastAsiaTheme="minorEastAsia"/>
                <w:noProof/>
                <w:lang w:eastAsia="en-AU"/>
              </w:rPr>
              <w:tab/>
            </w:r>
            <w:r w:rsidR="004B68A6" w:rsidRPr="004424DC">
              <w:rPr>
                <w:rStyle w:val="Hyperlink"/>
                <w:noProof/>
              </w:rPr>
              <w:t>Imposed Costs on Others (Negative Externality)</w:t>
            </w:r>
            <w:r w:rsidR="004B68A6">
              <w:rPr>
                <w:noProof/>
                <w:webHidden/>
              </w:rPr>
              <w:tab/>
            </w:r>
            <w:r w:rsidR="004B68A6">
              <w:rPr>
                <w:noProof/>
                <w:webHidden/>
              </w:rPr>
              <w:fldChar w:fldCharType="begin"/>
            </w:r>
            <w:r w:rsidR="004B68A6">
              <w:rPr>
                <w:noProof/>
                <w:webHidden/>
              </w:rPr>
              <w:instrText xml:space="preserve"> PAGEREF _Toc458675168 \h </w:instrText>
            </w:r>
            <w:r w:rsidR="004B68A6">
              <w:rPr>
                <w:noProof/>
                <w:webHidden/>
              </w:rPr>
            </w:r>
            <w:r w:rsidR="004B68A6">
              <w:rPr>
                <w:noProof/>
                <w:webHidden/>
              </w:rPr>
              <w:fldChar w:fldCharType="separate"/>
            </w:r>
            <w:r w:rsidR="004B68A6">
              <w:rPr>
                <w:noProof/>
                <w:webHidden/>
              </w:rPr>
              <w:t>8</w:t>
            </w:r>
            <w:r w:rsidR="004B68A6">
              <w:rPr>
                <w:noProof/>
                <w:webHidden/>
              </w:rPr>
              <w:fldChar w:fldCharType="end"/>
            </w:r>
          </w:hyperlink>
        </w:p>
        <w:p w14:paraId="6C1D22F3" w14:textId="77777777" w:rsidR="004B68A6" w:rsidRDefault="00703365">
          <w:pPr>
            <w:pStyle w:val="TOC3"/>
            <w:tabs>
              <w:tab w:val="left" w:pos="1320"/>
              <w:tab w:val="right" w:leader="dot" w:pos="9016"/>
            </w:tabs>
            <w:rPr>
              <w:rFonts w:eastAsiaTheme="minorEastAsia"/>
              <w:noProof/>
              <w:lang w:eastAsia="en-AU"/>
            </w:rPr>
          </w:pPr>
          <w:hyperlink w:anchor="_Toc458675169" w:history="1">
            <w:r w:rsidR="004B68A6" w:rsidRPr="004424DC">
              <w:rPr>
                <w:rStyle w:val="Hyperlink"/>
                <w:noProof/>
              </w:rPr>
              <w:t>1.3.4.</w:t>
            </w:r>
            <w:r w:rsidR="004B68A6">
              <w:rPr>
                <w:rFonts w:eastAsiaTheme="minorEastAsia"/>
                <w:noProof/>
                <w:lang w:eastAsia="en-AU"/>
              </w:rPr>
              <w:tab/>
            </w:r>
            <w:r w:rsidR="004B68A6" w:rsidRPr="004424DC">
              <w:rPr>
                <w:rStyle w:val="Hyperlink"/>
                <w:noProof/>
              </w:rPr>
              <w:t>Use of Discretionary Capital</w:t>
            </w:r>
            <w:r w:rsidR="004B68A6">
              <w:rPr>
                <w:noProof/>
                <w:webHidden/>
              </w:rPr>
              <w:tab/>
            </w:r>
            <w:r w:rsidR="004B68A6">
              <w:rPr>
                <w:noProof/>
                <w:webHidden/>
              </w:rPr>
              <w:fldChar w:fldCharType="begin"/>
            </w:r>
            <w:r w:rsidR="004B68A6">
              <w:rPr>
                <w:noProof/>
                <w:webHidden/>
              </w:rPr>
              <w:instrText xml:space="preserve"> PAGEREF _Toc458675169 \h </w:instrText>
            </w:r>
            <w:r w:rsidR="004B68A6">
              <w:rPr>
                <w:noProof/>
                <w:webHidden/>
              </w:rPr>
            </w:r>
            <w:r w:rsidR="004B68A6">
              <w:rPr>
                <w:noProof/>
                <w:webHidden/>
              </w:rPr>
              <w:fldChar w:fldCharType="separate"/>
            </w:r>
            <w:r w:rsidR="004B68A6">
              <w:rPr>
                <w:noProof/>
                <w:webHidden/>
              </w:rPr>
              <w:t>9</w:t>
            </w:r>
            <w:r w:rsidR="004B68A6">
              <w:rPr>
                <w:noProof/>
                <w:webHidden/>
              </w:rPr>
              <w:fldChar w:fldCharType="end"/>
            </w:r>
          </w:hyperlink>
        </w:p>
        <w:p w14:paraId="34D2BF63" w14:textId="77777777" w:rsidR="004B68A6" w:rsidRDefault="00703365">
          <w:pPr>
            <w:pStyle w:val="TOC2"/>
            <w:tabs>
              <w:tab w:val="left" w:pos="880"/>
              <w:tab w:val="right" w:leader="dot" w:pos="9016"/>
            </w:tabs>
            <w:rPr>
              <w:rFonts w:eastAsiaTheme="minorEastAsia"/>
              <w:noProof/>
              <w:lang w:eastAsia="en-AU"/>
            </w:rPr>
          </w:pPr>
          <w:hyperlink w:anchor="_Toc458675170" w:history="1">
            <w:r w:rsidR="004B68A6" w:rsidRPr="004424DC">
              <w:rPr>
                <w:rStyle w:val="Hyperlink"/>
                <w:noProof/>
              </w:rPr>
              <w:t>1.4.</w:t>
            </w:r>
            <w:r w:rsidR="004B68A6">
              <w:rPr>
                <w:rFonts w:eastAsiaTheme="minorEastAsia"/>
                <w:noProof/>
                <w:lang w:eastAsia="en-AU"/>
              </w:rPr>
              <w:tab/>
            </w:r>
            <w:r w:rsidR="004B68A6" w:rsidRPr="004424DC">
              <w:rPr>
                <w:rStyle w:val="Hyperlink"/>
                <w:noProof/>
              </w:rPr>
              <w:t>The f-factor is one scheme to deal with the problem</w:t>
            </w:r>
            <w:r w:rsidR="004B68A6">
              <w:rPr>
                <w:noProof/>
                <w:webHidden/>
              </w:rPr>
              <w:tab/>
            </w:r>
            <w:r w:rsidR="004B68A6">
              <w:rPr>
                <w:noProof/>
                <w:webHidden/>
              </w:rPr>
              <w:fldChar w:fldCharType="begin"/>
            </w:r>
            <w:r w:rsidR="004B68A6">
              <w:rPr>
                <w:noProof/>
                <w:webHidden/>
              </w:rPr>
              <w:instrText xml:space="preserve"> PAGEREF _Toc458675170 \h </w:instrText>
            </w:r>
            <w:r w:rsidR="004B68A6">
              <w:rPr>
                <w:noProof/>
                <w:webHidden/>
              </w:rPr>
            </w:r>
            <w:r w:rsidR="004B68A6">
              <w:rPr>
                <w:noProof/>
                <w:webHidden/>
              </w:rPr>
              <w:fldChar w:fldCharType="separate"/>
            </w:r>
            <w:r w:rsidR="004B68A6">
              <w:rPr>
                <w:noProof/>
                <w:webHidden/>
              </w:rPr>
              <w:t>10</w:t>
            </w:r>
            <w:r w:rsidR="004B68A6">
              <w:rPr>
                <w:noProof/>
                <w:webHidden/>
              </w:rPr>
              <w:fldChar w:fldCharType="end"/>
            </w:r>
          </w:hyperlink>
        </w:p>
        <w:p w14:paraId="1404FD3A" w14:textId="77777777" w:rsidR="004B68A6" w:rsidRDefault="00703365">
          <w:pPr>
            <w:pStyle w:val="TOC2"/>
            <w:tabs>
              <w:tab w:val="left" w:pos="880"/>
              <w:tab w:val="right" w:leader="dot" w:pos="9016"/>
            </w:tabs>
            <w:rPr>
              <w:rFonts w:eastAsiaTheme="minorEastAsia"/>
              <w:noProof/>
              <w:lang w:eastAsia="en-AU"/>
            </w:rPr>
          </w:pPr>
          <w:hyperlink w:anchor="_Toc458675171" w:history="1">
            <w:r w:rsidR="004B68A6" w:rsidRPr="004424DC">
              <w:rPr>
                <w:rStyle w:val="Hyperlink"/>
                <w:noProof/>
              </w:rPr>
              <w:t>1.5.</w:t>
            </w:r>
            <w:r w:rsidR="004B68A6">
              <w:rPr>
                <w:rFonts w:eastAsiaTheme="minorEastAsia"/>
                <w:noProof/>
                <w:lang w:eastAsia="en-AU"/>
              </w:rPr>
              <w:tab/>
            </w:r>
            <w:r w:rsidR="004B68A6" w:rsidRPr="004424DC">
              <w:rPr>
                <w:rStyle w:val="Hyperlink"/>
                <w:noProof/>
              </w:rPr>
              <w:t>Limitations of the current f-factor</w:t>
            </w:r>
            <w:r w:rsidR="004B68A6">
              <w:rPr>
                <w:noProof/>
                <w:webHidden/>
              </w:rPr>
              <w:tab/>
            </w:r>
            <w:r w:rsidR="004B68A6">
              <w:rPr>
                <w:noProof/>
                <w:webHidden/>
              </w:rPr>
              <w:fldChar w:fldCharType="begin"/>
            </w:r>
            <w:r w:rsidR="004B68A6">
              <w:rPr>
                <w:noProof/>
                <w:webHidden/>
              </w:rPr>
              <w:instrText xml:space="preserve"> PAGEREF _Toc458675171 \h </w:instrText>
            </w:r>
            <w:r w:rsidR="004B68A6">
              <w:rPr>
                <w:noProof/>
                <w:webHidden/>
              </w:rPr>
            </w:r>
            <w:r w:rsidR="004B68A6">
              <w:rPr>
                <w:noProof/>
                <w:webHidden/>
              </w:rPr>
              <w:fldChar w:fldCharType="separate"/>
            </w:r>
            <w:r w:rsidR="004B68A6">
              <w:rPr>
                <w:noProof/>
                <w:webHidden/>
              </w:rPr>
              <w:t>11</w:t>
            </w:r>
            <w:r w:rsidR="004B68A6">
              <w:rPr>
                <w:noProof/>
                <w:webHidden/>
              </w:rPr>
              <w:fldChar w:fldCharType="end"/>
            </w:r>
          </w:hyperlink>
        </w:p>
        <w:p w14:paraId="1E735FC2" w14:textId="77777777" w:rsidR="004B68A6" w:rsidRDefault="00703365">
          <w:pPr>
            <w:pStyle w:val="TOC3"/>
            <w:tabs>
              <w:tab w:val="left" w:pos="1320"/>
              <w:tab w:val="right" w:leader="dot" w:pos="9016"/>
            </w:tabs>
            <w:rPr>
              <w:rFonts w:eastAsiaTheme="minorEastAsia"/>
              <w:noProof/>
              <w:lang w:eastAsia="en-AU"/>
            </w:rPr>
          </w:pPr>
          <w:hyperlink w:anchor="_Toc458675172" w:history="1">
            <w:r w:rsidR="004B68A6" w:rsidRPr="004424DC">
              <w:rPr>
                <w:rStyle w:val="Hyperlink"/>
                <w:noProof/>
              </w:rPr>
              <w:t>1.5.1.</w:t>
            </w:r>
            <w:r w:rsidR="004B68A6">
              <w:rPr>
                <w:rFonts w:eastAsiaTheme="minorEastAsia"/>
                <w:noProof/>
                <w:lang w:eastAsia="en-AU"/>
              </w:rPr>
              <w:tab/>
            </w:r>
            <w:r w:rsidR="004B68A6" w:rsidRPr="004424DC">
              <w:rPr>
                <w:rStyle w:val="Hyperlink"/>
                <w:noProof/>
              </w:rPr>
              <w:t>Weak Incentive</w:t>
            </w:r>
            <w:r w:rsidR="004B68A6">
              <w:rPr>
                <w:noProof/>
                <w:webHidden/>
              </w:rPr>
              <w:tab/>
            </w:r>
            <w:r w:rsidR="004B68A6">
              <w:rPr>
                <w:noProof/>
                <w:webHidden/>
              </w:rPr>
              <w:fldChar w:fldCharType="begin"/>
            </w:r>
            <w:r w:rsidR="004B68A6">
              <w:rPr>
                <w:noProof/>
                <w:webHidden/>
              </w:rPr>
              <w:instrText xml:space="preserve"> PAGEREF _Toc458675172 \h </w:instrText>
            </w:r>
            <w:r w:rsidR="004B68A6">
              <w:rPr>
                <w:noProof/>
                <w:webHidden/>
              </w:rPr>
            </w:r>
            <w:r w:rsidR="004B68A6">
              <w:rPr>
                <w:noProof/>
                <w:webHidden/>
              </w:rPr>
              <w:fldChar w:fldCharType="separate"/>
            </w:r>
            <w:r w:rsidR="004B68A6">
              <w:rPr>
                <w:noProof/>
                <w:webHidden/>
              </w:rPr>
              <w:t>11</w:t>
            </w:r>
            <w:r w:rsidR="004B68A6">
              <w:rPr>
                <w:noProof/>
                <w:webHidden/>
              </w:rPr>
              <w:fldChar w:fldCharType="end"/>
            </w:r>
          </w:hyperlink>
        </w:p>
        <w:p w14:paraId="4B2D461B" w14:textId="77777777" w:rsidR="004B68A6" w:rsidRDefault="00703365">
          <w:pPr>
            <w:pStyle w:val="TOC3"/>
            <w:tabs>
              <w:tab w:val="left" w:pos="1320"/>
              <w:tab w:val="right" w:leader="dot" w:pos="9016"/>
            </w:tabs>
            <w:rPr>
              <w:rFonts w:eastAsiaTheme="minorEastAsia"/>
              <w:noProof/>
              <w:lang w:eastAsia="en-AU"/>
            </w:rPr>
          </w:pPr>
          <w:hyperlink w:anchor="_Toc458675173" w:history="1">
            <w:r w:rsidR="004B68A6" w:rsidRPr="004424DC">
              <w:rPr>
                <w:rStyle w:val="Hyperlink"/>
                <w:noProof/>
              </w:rPr>
              <w:t>1.5.2.</w:t>
            </w:r>
            <w:r w:rsidR="004B68A6">
              <w:rPr>
                <w:rFonts w:eastAsiaTheme="minorEastAsia"/>
                <w:noProof/>
                <w:lang w:eastAsia="en-AU"/>
              </w:rPr>
              <w:tab/>
            </w:r>
            <w:r w:rsidR="004B68A6" w:rsidRPr="004424DC">
              <w:rPr>
                <w:rStyle w:val="Hyperlink"/>
                <w:noProof/>
              </w:rPr>
              <w:t>Failure to Target Ignitions of greatest risk – by Geography and Time</w:t>
            </w:r>
            <w:r w:rsidR="004B68A6">
              <w:rPr>
                <w:noProof/>
                <w:webHidden/>
              </w:rPr>
              <w:tab/>
            </w:r>
            <w:r w:rsidR="004B68A6">
              <w:rPr>
                <w:noProof/>
                <w:webHidden/>
              </w:rPr>
              <w:fldChar w:fldCharType="begin"/>
            </w:r>
            <w:r w:rsidR="004B68A6">
              <w:rPr>
                <w:noProof/>
                <w:webHidden/>
              </w:rPr>
              <w:instrText xml:space="preserve"> PAGEREF _Toc458675173 \h </w:instrText>
            </w:r>
            <w:r w:rsidR="004B68A6">
              <w:rPr>
                <w:noProof/>
                <w:webHidden/>
              </w:rPr>
            </w:r>
            <w:r w:rsidR="004B68A6">
              <w:rPr>
                <w:noProof/>
                <w:webHidden/>
              </w:rPr>
              <w:fldChar w:fldCharType="separate"/>
            </w:r>
            <w:r w:rsidR="004B68A6">
              <w:rPr>
                <w:noProof/>
                <w:webHidden/>
              </w:rPr>
              <w:t>11</w:t>
            </w:r>
            <w:r w:rsidR="004B68A6">
              <w:rPr>
                <w:noProof/>
                <w:webHidden/>
              </w:rPr>
              <w:fldChar w:fldCharType="end"/>
            </w:r>
          </w:hyperlink>
        </w:p>
        <w:p w14:paraId="22E74F3B" w14:textId="77777777" w:rsidR="004B68A6" w:rsidRDefault="00703365">
          <w:pPr>
            <w:pStyle w:val="TOC3"/>
            <w:tabs>
              <w:tab w:val="left" w:pos="1320"/>
              <w:tab w:val="right" w:leader="dot" w:pos="9016"/>
            </w:tabs>
            <w:rPr>
              <w:rFonts w:eastAsiaTheme="minorEastAsia"/>
              <w:noProof/>
              <w:lang w:eastAsia="en-AU"/>
            </w:rPr>
          </w:pPr>
          <w:hyperlink w:anchor="_Toc458675174" w:history="1">
            <w:r w:rsidR="004B68A6" w:rsidRPr="004424DC">
              <w:rPr>
                <w:rStyle w:val="Hyperlink"/>
                <w:noProof/>
              </w:rPr>
              <w:t>1.5.3.</w:t>
            </w:r>
            <w:r w:rsidR="004B68A6">
              <w:rPr>
                <w:rFonts w:eastAsiaTheme="minorEastAsia"/>
                <w:noProof/>
                <w:lang w:eastAsia="en-AU"/>
              </w:rPr>
              <w:tab/>
            </w:r>
            <w:r w:rsidR="004B68A6" w:rsidRPr="004424DC">
              <w:rPr>
                <w:rStyle w:val="Hyperlink"/>
                <w:noProof/>
              </w:rPr>
              <w:t>Failure to Incentivise Full Benefits from Mandated Assets</w:t>
            </w:r>
            <w:r w:rsidR="004B68A6">
              <w:rPr>
                <w:noProof/>
                <w:webHidden/>
              </w:rPr>
              <w:tab/>
            </w:r>
            <w:r w:rsidR="004B68A6">
              <w:rPr>
                <w:noProof/>
                <w:webHidden/>
              </w:rPr>
              <w:fldChar w:fldCharType="begin"/>
            </w:r>
            <w:r w:rsidR="004B68A6">
              <w:rPr>
                <w:noProof/>
                <w:webHidden/>
              </w:rPr>
              <w:instrText xml:space="preserve"> PAGEREF _Toc458675174 \h </w:instrText>
            </w:r>
            <w:r w:rsidR="004B68A6">
              <w:rPr>
                <w:noProof/>
                <w:webHidden/>
              </w:rPr>
            </w:r>
            <w:r w:rsidR="004B68A6">
              <w:rPr>
                <w:noProof/>
                <w:webHidden/>
              </w:rPr>
              <w:fldChar w:fldCharType="separate"/>
            </w:r>
            <w:r w:rsidR="004B68A6">
              <w:rPr>
                <w:noProof/>
                <w:webHidden/>
              </w:rPr>
              <w:t>13</w:t>
            </w:r>
            <w:r w:rsidR="004B68A6">
              <w:rPr>
                <w:noProof/>
                <w:webHidden/>
              </w:rPr>
              <w:fldChar w:fldCharType="end"/>
            </w:r>
          </w:hyperlink>
        </w:p>
        <w:p w14:paraId="1ED7409C" w14:textId="77777777" w:rsidR="004B68A6" w:rsidRDefault="00703365">
          <w:pPr>
            <w:pStyle w:val="TOC3"/>
            <w:tabs>
              <w:tab w:val="left" w:pos="1320"/>
              <w:tab w:val="right" w:leader="dot" w:pos="9016"/>
            </w:tabs>
            <w:rPr>
              <w:rFonts w:eastAsiaTheme="minorEastAsia"/>
              <w:noProof/>
              <w:lang w:eastAsia="en-AU"/>
            </w:rPr>
          </w:pPr>
          <w:hyperlink w:anchor="_Toc458675175" w:history="1">
            <w:r w:rsidR="004B68A6" w:rsidRPr="004424DC">
              <w:rPr>
                <w:rStyle w:val="Hyperlink"/>
                <w:noProof/>
              </w:rPr>
              <w:t>1.5.4.</w:t>
            </w:r>
            <w:r w:rsidR="004B68A6">
              <w:rPr>
                <w:rFonts w:eastAsiaTheme="minorEastAsia"/>
                <w:noProof/>
                <w:lang w:eastAsia="en-AU"/>
              </w:rPr>
              <w:tab/>
            </w:r>
            <w:r w:rsidR="004B68A6" w:rsidRPr="004424DC">
              <w:rPr>
                <w:rStyle w:val="Hyperlink"/>
                <w:noProof/>
              </w:rPr>
              <w:t>Windfall gains from operation of enhanced network protection devices</w:t>
            </w:r>
            <w:r w:rsidR="004B68A6">
              <w:rPr>
                <w:noProof/>
                <w:webHidden/>
              </w:rPr>
              <w:tab/>
            </w:r>
            <w:r w:rsidR="004B68A6">
              <w:rPr>
                <w:noProof/>
                <w:webHidden/>
              </w:rPr>
              <w:fldChar w:fldCharType="begin"/>
            </w:r>
            <w:r w:rsidR="004B68A6">
              <w:rPr>
                <w:noProof/>
                <w:webHidden/>
              </w:rPr>
              <w:instrText xml:space="preserve"> PAGEREF _Toc458675175 \h </w:instrText>
            </w:r>
            <w:r w:rsidR="004B68A6">
              <w:rPr>
                <w:noProof/>
                <w:webHidden/>
              </w:rPr>
            </w:r>
            <w:r w:rsidR="004B68A6">
              <w:rPr>
                <w:noProof/>
                <w:webHidden/>
              </w:rPr>
              <w:fldChar w:fldCharType="separate"/>
            </w:r>
            <w:r w:rsidR="004B68A6">
              <w:rPr>
                <w:noProof/>
                <w:webHidden/>
              </w:rPr>
              <w:t>14</w:t>
            </w:r>
            <w:r w:rsidR="004B68A6">
              <w:rPr>
                <w:noProof/>
                <w:webHidden/>
              </w:rPr>
              <w:fldChar w:fldCharType="end"/>
            </w:r>
          </w:hyperlink>
        </w:p>
        <w:p w14:paraId="42D660A9" w14:textId="77777777" w:rsidR="004B68A6" w:rsidRDefault="00703365">
          <w:pPr>
            <w:pStyle w:val="TOC3"/>
            <w:tabs>
              <w:tab w:val="left" w:pos="1320"/>
              <w:tab w:val="right" w:leader="dot" w:pos="9016"/>
            </w:tabs>
            <w:rPr>
              <w:rFonts w:eastAsiaTheme="minorEastAsia"/>
              <w:noProof/>
              <w:lang w:eastAsia="en-AU"/>
            </w:rPr>
          </w:pPr>
          <w:hyperlink w:anchor="_Toc458675176" w:history="1">
            <w:r w:rsidR="004B68A6" w:rsidRPr="004424DC">
              <w:rPr>
                <w:rStyle w:val="Hyperlink"/>
                <w:noProof/>
              </w:rPr>
              <w:t>1.5.5.</w:t>
            </w:r>
            <w:r w:rsidR="004B68A6">
              <w:rPr>
                <w:rFonts w:eastAsiaTheme="minorEastAsia"/>
                <w:noProof/>
                <w:lang w:eastAsia="en-AU"/>
              </w:rPr>
              <w:tab/>
            </w:r>
            <w:r w:rsidR="004B68A6" w:rsidRPr="004424DC">
              <w:rPr>
                <w:rStyle w:val="Hyperlink"/>
                <w:noProof/>
              </w:rPr>
              <w:t>Summary</w:t>
            </w:r>
            <w:r w:rsidR="004B68A6">
              <w:rPr>
                <w:noProof/>
                <w:webHidden/>
              </w:rPr>
              <w:tab/>
            </w:r>
            <w:r w:rsidR="004B68A6">
              <w:rPr>
                <w:noProof/>
                <w:webHidden/>
              </w:rPr>
              <w:fldChar w:fldCharType="begin"/>
            </w:r>
            <w:r w:rsidR="004B68A6">
              <w:rPr>
                <w:noProof/>
                <w:webHidden/>
              </w:rPr>
              <w:instrText xml:space="preserve"> PAGEREF _Toc458675176 \h </w:instrText>
            </w:r>
            <w:r w:rsidR="004B68A6">
              <w:rPr>
                <w:noProof/>
                <w:webHidden/>
              </w:rPr>
            </w:r>
            <w:r w:rsidR="004B68A6">
              <w:rPr>
                <w:noProof/>
                <w:webHidden/>
              </w:rPr>
              <w:fldChar w:fldCharType="separate"/>
            </w:r>
            <w:r w:rsidR="004B68A6">
              <w:rPr>
                <w:noProof/>
                <w:webHidden/>
              </w:rPr>
              <w:t>14</w:t>
            </w:r>
            <w:r w:rsidR="004B68A6">
              <w:rPr>
                <w:noProof/>
                <w:webHidden/>
              </w:rPr>
              <w:fldChar w:fldCharType="end"/>
            </w:r>
          </w:hyperlink>
        </w:p>
        <w:p w14:paraId="354711E1" w14:textId="77777777" w:rsidR="004B68A6" w:rsidRDefault="00703365">
          <w:pPr>
            <w:pStyle w:val="TOC1"/>
            <w:tabs>
              <w:tab w:val="left" w:pos="440"/>
              <w:tab w:val="right" w:leader="dot" w:pos="9016"/>
            </w:tabs>
            <w:rPr>
              <w:rFonts w:eastAsiaTheme="minorEastAsia"/>
              <w:noProof/>
              <w:lang w:eastAsia="en-AU"/>
            </w:rPr>
          </w:pPr>
          <w:hyperlink w:anchor="_Toc458675177" w:history="1">
            <w:r w:rsidR="004B68A6" w:rsidRPr="004424DC">
              <w:rPr>
                <w:rStyle w:val="Hyperlink"/>
                <w:noProof/>
              </w:rPr>
              <w:t>2.</w:t>
            </w:r>
            <w:r w:rsidR="004B68A6">
              <w:rPr>
                <w:rFonts w:eastAsiaTheme="minorEastAsia"/>
                <w:noProof/>
                <w:lang w:eastAsia="en-AU"/>
              </w:rPr>
              <w:tab/>
            </w:r>
            <w:r w:rsidR="004B68A6" w:rsidRPr="004424DC">
              <w:rPr>
                <w:rStyle w:val="Hyperlink"/>
                <w:noProof/>
              </w:rPr>
              <w:t>Objective</w:t>
            </w:r>
            <w:r w:rsidR="004B68A6">
              <w:rPr>
                <w:noProof/>
                <w:webHidden/>
              </w:rPr>
              <w:tab/>
            </w:r>
            <w:r w:rsidR="004B68A6">
              <w:rPr>
                <w:noProof/>
                <w:webHidden/>
              </w:rPr>
              <w:fldChar w:fldCharType="begin"/>
            </w:r>
            <w:r w:rsidR="004B68A6">
              <w:rPr>
                <w:noProof/>
                <w:webHidden/>
              </w:rPr>
              <w:instrText xml:space="preserve"> PAGEREF _Toc458675177 \h </w:instrText>
            </w:r>
            <w:r w:rsidR="004B68A6">
              <w:rPr>
                <w:noProof/>
                <w:webHidden/>
              </w:rPr>
            </w:r>
            <w:r w:rsidR="004B68A6">
              <w:rPr>
                <w:noProof/>
                <w:webHidden/>
              </w:rPr>
              <w:fldChar w:fldCharType="separate"/>
            </w:r>
            <w:r w:rsidR="004B68A6">
              <w:rPr>
                <w:noProof/>
                <w:webHidden/>
              </w:rPr>
              <w:t>15</w:t>
            </w:r>
            <w:r w:rsidR="004B68A6">
              <w:rPr>
                <w:noProof/>
                <w:webHidden/>
              </w:rPr>
              <w:fldChar w:fldCharType="end"/>
            </w:r>
          </w:hyperlink>
        </w:p>
        <w:p w14:paraId="0285C074" w14:textId="77777777" w:rsidR="004B68A6" w:rsidRDefault="00703365">
          <w:pPr>
            <w:pStyle w:val="TOC1"/>
            <w:tabs>
              <w:tab w:val="left" w:pos="440"/>
              <w:tab w:val="right" w:leader="dot" w:pos="9016"/>
            </w:tabs>
            <w:rPr>
              <w:rFonts w:eastAsiaTheme="minorEastAsia"/>
              <w:noProof/>
              <w:lang w:eastAsia="en-AU"/>
            </w:rPr>
          </w:pPr>
          <w:hyperlink w:anchor="_Toc458675178" w:history="1">
            <w:r w:rsidR="004B68A6" w:rsidRPr="004424DC">
              <w:rPr>
                <w:rStyle w:val="Hyperlink"/>
                <w:noProof/>
              </w:rPr>
              <w:t>3.</w:t>
            </w:r>
            <w:r w:rsidR="004B68A6">
              <w:rPr>
                <w:rFonts w:eastAsiaTheme="minorEastAsia"/>
                <w:noProof/>
                <w:lang w:eastAsia="en-AU"/>
              </w:rPr>
              <w:tab/>
            </w:r>
            <w:r w:rsidR="004B68A6" w:rsidRPr="004424DC">
              <w:rPr>
                <w:rStyle w:val="Hyperlink"/>
                <w:noProof/>
              </w:rPr>
              <w:t>Approaches, Options and Methods</w:t>
            </w:r>
            <w:r w:rsidR="004B68A6">
              <w:rPr>
                <w:noProof/>
                <w:webHidden/>
              </w:rPr>
              <w:tab/>
            </w:r>
            <w:r w:rsidR="004B68A6">
              <w:rPr>
                <w:noProof/>
                <w:webHidden/>
              </w:rPr>
              <w:fldChar w:fldCharType="begin"/>
            </w:r>
            <w:r w:rsidR="004B68A6">
              <w:rPr>
                <w:noProof/>
                <w:webHidden/>
              </w:rPr>
              <w:instrText xml:space="preserve"> PAGEREF _Toc458675178 \h </w:instrText>
            </w:r>
            <w:r w:rsidR="004B68A6">
              <w:rPr>
                <w:noProof/>
                <w:webHidden/>
              </w:rPr>
            </w:r>
            <w:r w:rsidR="004B68A6">
              <w:rPr>
                <w:noProof/>
                <w:webHidden/>
              </w:rPr>
              <w:fldChar w:fldCharType="separate"/>
            </w:r>
            <w:r w:rsidR="004B68A6">
              <w:rPr>
                <w:noProof/>
                <w:webHidden/>
              </w:rPr>
              <w:t>15</w:t>
            </w:r>
            <w:r w:rsidR="004B68A6">
              <w:rPr>
                <w:noProof/>
                <w:webHidden/>
              </w:rPr>
              <w:fldChar w:fldCharType="end"/>
            </w:r>
          </w:hyperlink>
        </w:p>
        <w:p w14:paraId="6034E234" w14:textId="77777777" w:rsidR="004B68A6" w:rsidRDefault="00703365">
          <w:pPr>
            <w:pStyle w:val="TOC2"/>
            <w:tabs>
              <w:tab w:val="left" w:pos="880"/>
              <w:tab w:val="right" w:leader="dot" w:pos="9016"/>
            </w:tabs>
            <w:rPr>
              <w:rFonts w:eastAsiaTheme="minorEastAsia"/>
              <w:noProof/>
              <w:lang w:eastAsia="en-AU"/>
            </w:rPr>
          </w:pPr>
          <w:hyperlink w:anchor="_Toc458675179" w:history="1">
            <w:r w:rsidR="004B68A6" w:rsidRPr="004424DC">
              <w:rPr>
                <w:rStyle w:val="Hyperlink"/>
                <w:noProof/>
              </w:rPr>
              <w:t>3.1.</w:t>
            </w:r>
            <w:r w:rsidR="004B68A6">
              <w:rPr>
                <w:rFonts w:eastAsiaTheme="minorEastAsia"/>
                <w:noProof/>
                <w:lang w:eastAsia="en-AU"/>
              </w:rPr>
              <w:tab/>
            </w:r>
            <w:r w:rsidR="004B68A6" w:rsidRPr="004424DC">
              <w:rPr>
                <w:rStyle w:val="Hyperlink"/>
                <w:noProof/>
              </w:rPr>
              <w:t>Which Approach Best Addresses the Problem?</w:t>
            </w:r>
            <w:r w:rsidR="004B68A6">
              <w:rPr>
                <w:noProof/>
                <w:webHidden/>
              </w:rPr>
              <w:tab/>
            </w:r>
            <w:r w:rsidR="004B68A6">
              <w:rPr>
                <w:noProof/>
                <w:webHidden/>
              </w:rPr>
              <w:fldChar w:fldCharType="begin"/>
            </w:r>
            <w:r w:rsidR="004B68A6">
              <w:rPr>
                <w:noProof/>
                <w:webHidden/>
              </w:rPr>
              <w:instrText xml:space="preserve"> PAGEREF _Toc458675179 \h </w:instrText>
            </w:r>
            <w:r w:rsidR="004B68A6">
              <w:rPr>
                <w:noProof/>
                <w:webHidden/>
              </w:rPr>
            </w:r>
            <w:r w:rsidR="004B68A6">
              <w:rPr>
                <w:noProof/>
                <w:webHidden/>
              </w:rPr>
              <w:fldChar w:fldCharType="separate"/>
            </w:r>
            <w:r w:rsidR="004B68A6">
              <w:rPr>
                <w:noProof/>
                <w:webHidden/>
              </w:rPr>
              <w:t>16</w:t>
            </w:r>
            <w:r w:rsidR="004B68A6">
              <w:rPr>
                <w:noProof/>
                <w:webHidden/>
              </w:rPr>
              <w:fldChar w:fldCharType="end"/>
            </w:r>
          </w:hyperlink>
        </w:p>
        <w:p w14:paraId="67D6CA58" w14:textId="77777777" w:rsidR="004B68A6" w:rsidRDefault="00703365">
          <w:pPr>
            <w:pStyle w:val="TOC2"/>
            <w:tabs>
              <w:tab w:val="left" w:pos="880"/>
              <w:tab w:val="right" w:leader="dot" w:pos="9016"/>
            </w:tabs>
            <w:rPr>
              <w:rFonts w:eastAsiaTheme="minorEastAsia"/>
              <w:noProof/>
              <w:lang w:eastAsia="en-AU"/>
            </w:rPr>
          </w:pPr>
          <w:hyperlink w:anchor="_Toc458675180" w:history="1">
            <w:r w:rsidR="004B68A6" w:rsidRPr="004424DC">
              <w:rPr>
                <w:rStyle w:val="Hyperlink"/>
                <w:noProof/>
              </w:rPr>
              <w:t>3.2.</w:t>
            </w:r>
            <w:r w:rsidR="004B68A6">
              <w:rPr>
                <w:rFonts w:eastAsiaTheme="minorEastAsia"/>
                <w:noProof/>
                <w:lang w:eastAsia="en-AU"/>
              </w:rPr>
              <w:tab/>
            </w:r>
            <w:r w:rsidR="004B68A6" w:rsidRPr="004424DC">
              <w:rPr>
                <w:rStyle w:val="Hyperlink"/>
                <w:noProof/>
              </w:rPr>
              <w:t>Which Form of Regulation Best Addresses the Problem?</w:t>
            </w:r>
            <w:r w:rsidR="004B68A6">
              <w:rPr>
                <w:noProof/>
                <w:webHidden/>
              </w:rPr>
              <w:tab/>
            </w:r>
            <w:r w:rsidR="004B68A6">
              <w:rPr>
                <w:noProof/>
                <w:webHidden/>
              </w:rPr>
              <w:fldChar w:fldCharType="begin"/>
            </w:r>
            <w:r w:rsidR="004B68A6">
              <w:rPr>
                <w:noProof/>
                <w:webHidden/>
              </w:rPr>
              <w:instrText xml:space="preserve"> PAGEREF _Toc458675180 \h </w:instrText>
            </w:r>
            <w:r w:rsidR="004B68A6">
              <w:rPr>
                <w:noProof/>
                <w:webHidden/>
              </w:rPr>
            </w:r>
            <w:r w:rsidR="004B68A6">
              <w:rPr>
                <w:noProof/>
                <w:webHidden/>
              </w:rPr>
              <w:fldChar w:fldCharType="separate"/>
            </w:r>
            <w:r w:rsidR="004B68A6">
              <w:rPr>
                <w:noProof/>
                <w:webHidden/>
              </w:rPr>
              <w:t>18</w:t>
            </w:r>
            <w:r w:rsidR="004B68A6">
              <w:rPr>
                <w:noProof/>
                <w:webHidden/>
              </w:rPr>
              <w:fldChar w:fldCharType="end"/>
            </w:r>
          </w:hyperlink>
        </w:p>
        <w:p w14:paraId="361D8090" w14:textId="77777777" w:rsidR="004B68A6" w:rsidRDefault="00703365">
          <w:pPr>
            <w:pStyle w:val="TOC2"/>
            <w:tabs>
              <w:tab w:val="left" w:pos="880"/>
              <w:tab w:val="right" w:leader="dot" w:pos="9016"/>
            </w:tabs>
            <w:rPr>
              <w:rFonts w:eastAsiaTheme="minorEastAsia"/>
              <w:noProof/>
              <w:lang w:eastAsia="en-AU"/>
            </w:rPr>
          </w:pPr>
          <w:hyperlink w:anchor="_Toc458675181" w:history="1">
            <w:r w:rsidR="004B68A6" w:rsidRPr="004424DC">
              <w:rPr>
                <w:rStyle w:val="Hyperlink"/>
                <w:noProof/>
              </w:rPr>
              <w:t>3.3.</w:t>
            </w:r>
            <w:r w:rsidR="004B68A6">
              <w:rPr>
                <w:rFonts w:eastAsiaTheme="minorEastAsia"/>
                <w:noProof/>
                <w:lang w:eastAsia="en-AU"/>
              </w:rPr>
              <w:tab/>
            </w:r>
            <w:r w:rsidR="004B68A6" w:rsidRPr="004424DC">
              <w:rPr>
                <w:rStyle w:val="Hyperlink"/>
                <w:noProof/>
              </w:rPr>
              <w:t>What type of Outcome-Based Approach?</w:t>
            </w:r>
            <w:r w:rsidR="004B68A6">
              <w:rPr>
                <w:noProof/>
                <w:webHidden/>
              </w:rPr>
              <w:tab/>
            </w:r>
            <w:r w:rsidR="004B68A6">
              <w:rPr>
                <w:noProof/>
                <w:webHidden/>
              </w:rPr>
              <w:fldChar w:fldCharType="begin"/>
            </w:r>
            <w:r w:rsidR="004B68A6">
              <w:rPr>
                <w:noProof/>
                <w:webHidden/>
              </w:rPr>
              <w:instrText xml:space="preserve"> PAGEREF _Toc458675181 \h </w:instrText>
            </w:r>
            <w:r w:rsidR="004B68A6">
              <w:rPr>
                <w:noProof/>
                <w:webHidden/>
              </w:rPr>
            </w:r>
            <w:r w:rsidR="004B68A6">
              <w:rPr>
                <w:noProof/>
                <w:webHidden/>
              </w:rPr>
              <w:fldChar w:fldCharType="separate"/>
            </w:r>
            <w:r w:rsidR="004B68A6">
              <w:rPr>
                <w:noProof/>
                <w:webHidden/>
              </w:rPr>
              <w:t>19</w:t>
            </w:r>
            <w:r w:rsidR="004B68A6">
              <w:rPr>
                <w:noProof/>
                <w:webHidden/>
              </w:rPr>
              <w:fldChar w:fldCharType="end"/>
            </w:r>
          </w:hyperlink>
        </w:p>
        <w:p w14:paraId="24D9F20D" w14:textId="77777777" w:rsidR="004B68A6" w:rsidRDefault="00703365">
          <w:pPr>
            <w:pStyle w:val="TOC2"/>
            <w:tabs>
              <w:tab w:val="left" w:pos="880"/>
              <w:tab w:val="right" w:leader="dot" w:pos="9016"/>
            </w:tabs>
            <w:rPr>
              <w:rFonts w:eastAsiaTheme="minorEastAsia"/>
              <w:noProof/>
              <w:lang w:eastAsia="en-AU"/>
            </w:rPr>
          </w:pPr>
          <w:hyperlink w:anchor="_Toc458675182" w:history="1">
            <w:r w:rsidR="004B68A6" w:rsidRPr="004424DC">
              <w:rPr>
                <w:rStyle w:val="Hyperlink"/>
                <w:noProof/>
              </w:rPr>
              <w:t>3.4.</w:t>
            </w:r>
            <w:r w:rsidR="004B68A6">
              <w:rPr>
                <w:rFonts w:eastAsiaTheme="minorEastAsia"/>
                <w:noProof/>
                <w:lang w:eastAsia="en-AU"/>
              </w:rPr>
              <w:tab/>
            </w:r>
            <w:r w:rsidR="004B68A6" w:rsidRPr="004424DC">
              <w:rPr>
                <w:rStyle w:val="Hyperlink"/>
                <w:noProof/>
              </w:rPr>
              <w:t>How Best to Ensure the Outcomes are Achieved?</w:t>
            </w:r>
            <w:r w:rsidR="004B68A6">
              <w:rPr>
                <w:noProof/>
                <w:webHidden/>
              </w:rPr>
              <w:tab/>
            </w:r>
            <w:r w:rsidR="004B68A6">
              <w:rPr>
                <w:noProof/>
                <w:webHidden/>
              </w:rPr>
              <w:fldChar w:fldCharType="begin"/>
            </w:r>
            <w:r w:rsidR="004B68A6">
              <w:rPr>
                <w:noProof/>
                <w:webHidden/>
              </w:rPr>
              <w:instrText xml:space="preserve"> PAGEREF _Toc458675182 \h </w:instrText>
            </w:r>
            <w:r w:rsidR="004B68A6">
              <w:rPr>
                <w:noProof/>
                <w:webHidden/>
              </w:rPr>
            </w:r>
            <w:r w:rsidR="004B68A6">
              <w:rPr>
                <w:noProof/>
                <w:webHidden/>
              </w:rPr>
              <w:fldChar w:fldCharType="separate"/>
            </w:r>
            <w:r w:rsidR="004B68A6">
              <w:rPr>
                <w:noProof/>
                <w:webHidden/>
              </w:rPr>
              <w:t>20</w:t>
            </w:r>
            <w:r w:rsidR="004B68A6">
              <w:rPr>
                <w:noProof/>
                <w:webHidden/>
              </w:rPr>
              <w:fldChar w:fldCharType="end"/>
            </w:r>
          </w:hyperlink>
        </w:p>
        <w:p w14:paraId="5827991D" w14:textId="77777777" w:rsidR="004B68A6" w:rsidRDefault="00703365">
          <w:pPr>
            <w:pStyle w:val="TOC2"/>
            <w:tabs>
              <w:tab w:val="left" w:pos="880"/>
              <w:tab w:val="right" w:leader="dot" w:pos="9016"/>
            </w:tabs>
            <w:rPr>
              <w:rFonts w:eastAsiaTheme="minorEastAsia"/>
              <w:noProof/>
              <w:lang w:eastAsia="en-AU"/>
            </w:rPr>
          </w:pPr>
          <w:hyperlink w:anchor="_Toc458675183" w:history="1">
            <w:r w:rsidR="004B68A6" w:rsidRPr="004424DC">
              <w:rPr>
                <w:rStyle w:val="Hyperlink"/>
                <w:noProof/>
              </w:rPr>
              <w:t>3.5.</w:t>
            </w:r>
            <w:r w:rsidR="004B68A6">
              <w:rPr>
                <w:rFonts w:eastAsiaTheme="minorEastAsia"/>
                <w:noProof/>
                <w:lang w:eastAsia="en-AU"/>
              </w:rPr>
              <w:tab/>
            </w:r>
            <w:r w:rsidR="004B68A6" w:rsidRPr="004424DC">
              <w:rPr>
                <w:rStyle w:val="Hyperlink"/>
                <w:noProof/>
              </w:rPr>
              <w:t>Efficient Pricing of Risk</w:t>
            </w:r>
            <w:r w:rsidR="004B68A6">
              <w:rPr>
                <w:noProof/>
                <w:webHidden/>
              </w:rPr>
              <w:tab/>
            </w:r>
            <w:r w:rsidR="004B68A6">
              <w:rPr>
                <w:noProof/>
                <w:webHidden/>
              </w:rPr>
              <w:fldChar w:fldCharType="begin"/>
            </w:r>
            <w:r w:rsidR="004B68A6">
              <w:rPr>
                <w:noProof/>
                <w:webHidden/>
              </w:rPr>
              <w:instrText xml:space="preserve"> PAGEREF _Toc458675183 \h </w:instrText>
            </w:r>
            <w:r w:rsidR="004B68A6">
              <w:rPr>
                <w:noProof/>
                <w:webHidden/>
              </w:rPr>
            </w:r>
            <w:r w:rsidR="004B68A6">
              <w:rPr>
                <w:noProof/>
                <w:webHidden/>
              </w:rPr>
              <w:fldChar w:fldCharType="separate"/>
            </w:r>
            <w:r w:rsidR="004B68A6">
              <w:rPr>
                <w:noProof/>
                <w:webHidden/>
              </w:rPr>
              <w:t>25</w:t>
            </w:r>
            <w:r w:rsidR="004B68A6">
              <w:rPr>
                <w:noProof/>
                <w:webHidden/>
              </w:rPr>
              <w:fldChar w:fldCharType="end"/>
            </w:r>
          </w:hyperlink>
        </w:p>
        <w:p w14:paraId="0229D6D0" w14:textId="77777777" w:rsidR="004B68A6" w:rsidRDefault="00703365">
          <w:pPr>
            <w:pStyle w:val="TOC1"/>
            <w:tabs>
              <w:tab w:val="left" w:pos="440"/>
              <w:tab w:val="right" w:leader="dot" w:pos="9016"/>
            </w:tabs>
            <w:rPr>
              <w:rFonts w:eastAsiaTheme="minorEastAsia"/>
              <w:noProof/>
              <w:lang w:eastAsia="en-AU"/>
            </w:rPr>
          </w:pPr>
          <w:hyperlink w:anchor="_Toc458675184" w:history="1">
            <w:r w:rsidR="004B68A6" w:rsidRPr="004424DC">
              <w:rPr>
                <w:rStyle w:val="Hyperlink"/>
                <w:noProof/>
              </w:rPr>
              <w:t>4.</w:t>
            </w:r>
            <w:r w:rsidR="004B68A6">
              <w:rPr>
                <w:rFonts w:eastAsiaTheme="minorEastAsia"/>
                <w:noProof/>
                <w:lang w:eastAsia="en-AU"/>
              </w:rPr>
              <w:tab/>
            </w:r>
            <w:r w:rsidR="004B68A6" w:rsidRPr="004424DC">
              <w:rPr>
                <w:rStyle w:val="Hyperlink"/>
                <w:noProof/>
              </w:rPr>
              <w:t>Preferred Option</w:t>
            </w:r>
            <w:r w:rsidR="004B68A6">
              <w:rPr>
                <w:noProof/>
                <w:webHidden/>
              </w:rPr>
              <w:tab/>
            </w:r>
            <w:r w:rsidR="004B68A6">
              <w:rPr>
                <w:noProof/>
                <w:webHidden/>
              </w:rPr>
              <w:fldChar w:fldCharType="begin"/>
            </w:r>
            <w:r w:rsidR="004B68A6">
              <w:rPr>
                <w:noProof/>
                <w:webHidden/>
              </w:rPr>
              <w:instrText xml:space="preserve"> PAGEREF _Toc458675184 \h </w:instrText>
            </w:r>
            <w:r w:rsidR="004B68A6">
              <w:rPr>
                <w:noProof/>
                <w:webHidden/>
              </w:rPr>
            </w:r>
            <w:r w:rsidR="004B68A6">
              <w:rPr>
                <w:noProof/>
                <w:webHidden/>
              </w:rPr>
              <w:fldChar w:fldCharType="separate"/>
            </w:r>
            <w:r w:rsidR="004B68A6">
              <w:rPr>
                <w:noProof/>
                <w:webHidden/>
              </w:rPr>
              <w:t>26</w:t>
            </w:r>
            <w:r w:rsidR="004B68A6">
              <w:rPr>
                <w:noProof/>
                <w:webHidden/>
              </w:rPr>
              <w:fldChar w:fldCharType="end"/>
            </w:r>
          </w:hyperlink>
        </w:p>
        <w:p w14:paraId="1A22A4E9" w14:textId="77777777" w:rsidR="004B68A6" w:rsidRDefault="00703365">
          <w:pPr>
            <w:pStyle w:val="TOC2"/>
            <w:tabs>
              <w:tab w:val="left" w:pos="880"/>
              <w:tab w:val="right" w:leader="dot" w:pos="9016"/>
            </w:tabs>
            <w:rPr>
              <w:rFonts w:eastAsiaTheme="minorEastAsia"/>
              <w:noProof/>
              <w:lang w:eastAsia="en-AU"/>
            </w:rPr>
          </w:pPr>
          <w:hyperlink w:anchor="_Toc458675185" w:history="1">
            <w:r w:rsidR="004B68A6" w:rsidRPr="004424DC">
              <w:rPr>
                <w:rStyle w:val="Hyperlink"/>
                <w:noProof/>
              </w:rPr>
              <w:t>4.1.</w:t>
            </w:r>
            <w:r w:rsidR="004B68A6">
              <w:rPr>
                <w:rFonts w:eastAsiaTheme="minorEastAsia"/>
                <w:noProof/>
                <w:lang w:eastAsia="en-AU"/>
              </w:rPr>
              <w:tab/>
            </w:r>
            <w:r w:rsidR="004B68A6" w:rsidRPr="004424DC">
              <w:rPr>
                <w:rStyle w:val="Hyperlink"/>
                <w:noProof/>
              </w:rPr>
              <w:t>Performance Measure</w:t>
            </w:r>
            <w:r w:rsidR="004B68A6">
              <w:rPr>
                <w:noProof/>
                <w:webHidden/>
              </w:rPr>
              <w:tab/>
            </w:r>
            <w:r w:rsidR="004B68A6">
              <w:rPr>
                <w:noProof/>
                <w:webHidden/>
              </w:rPr>
              <w:fldChar w:fldCharType="begin"/>
            </w:r>
            <w:r w:rsidR="004B68A6">
              <w:rPr>
                <w:noProof/>
                <w:webHidden/>
              </w:rPr>
              <w:instrText xml:space="preserve"> PAGEREF _Toc458675185 \h </w:instrText>
            </w:r>
            <w:r w:rsidR="004B68A6">
              <w:rPr>
                <w:noProof/>
                <w:webHidden/>
              </w:rPr>
            </w:r>
            <w:r w:rsidR="004B68A6">
              <w:rPr>
                <w:noProof/>
                <w:webHidden/>
              </w:rPr>
              <w:fldChar w:fldCharType="separate"/>
            </w:r>
            <w:r w:rsidR="004B68A6">
              <w:rPr>
                <w:noProof/>
                <w:webHidden/>
              </w:rPr>
              <w:t>27</w:t>
            </w:r>
            <w:r w:rsidR="004B68A6">
              <w:rPr>
                <w:noProof/>
                <w:webHidden/>
              </w:rPr>
              <w:fldChar w:fldCharType="end"/>
            </w:r>
          </w:hyperlink>
        </w:p>
        <w:p w14:paraId="3E1D2CBA" w14:textId="77777777" w:rsidR="004B68A6" w:rsidRDefault="00703365">
          <w:pPr>
            <w:pStyle w:val="TOC2"/>
            <w:tabs>
              <w:tab w:val="left" w:pos="880"/>
              <w:tab w:val="right" w:leader="dot" w:pos="9016"/>
            </w:tabs>
            <w:rPr>
              <w:rFonts w:eastAsiaTheme="minorEastAsia"/>
              <w:noProof/>
              <w:lang w:eastAsia="en-AU"/>
            </w:rPr>
          </w:pPr>
          <w:hyperlink w:anchor="_Toc458675186" w:history="1">
            <w:r w:rsidR="004B68A6" w:rsidRPr="004424DC">
              <w:rPr>
                <w:rStyle w:val="Hyperlink"/>
                <w:noProof/>
              </w:rPr>
              <w:t>4.2.</w:t>
            </w:r>
            <w:r w:rsidR="004B68A6">
              <w:rPr>
                <w:rFonts w:eastAsiaTheme="minorEastAsia"/>
                <w:noProof/>
                <w:lang w:eastAsia="en-AU"/>
              </w:rPr>
              <w:tab/>
            </w:r>
            <w:r w:rsidR="004B68A6" w:rsidRPr="004424DC">
              <w:rPr>
                <w:rStyle w:val="Hyperlink"/>
                <w:noProof/>
              </w:rPr>
              <w:t>Benchmark</w:t>
            </w:r>
            <w:r w:rsidR="004B68A6">
              <w:rPr>
                <w:noProof/>
                <w:webHidden/>
              </w:rPr>
              <w:tab/>
            </w:r>
            <w:r w:rsidR="004B68A6">
              <w:rPr>
                <w:noProof/>
                <w:webHidden/>
              </w:rPr>
              <w:fldChar w:fldCharType="begin"/>
            </w:r>
            <w:r w:rsidR="004B68A6">
              <w:rPr>
                <w:noProof/>
                <w:webHidden/>
              </w:rPr>
              <w:instrText xml:space="preserve"> PAGEREF _Toc458675186 \h </w:instrText>
            </w:r>
            <w:r w:rsidR="004B68A6">
              <w:rPr>
                <w:noProof/>
                <w:webHidden/>
              </w:rPr>
            </w:r>
            <w:r w:rsidR="004B68A6">
              <w:rPr>
                <w:noProof/>
                <w:webHidden/>
              </w:rPr>
              <w:fldChar w:fldCharType="separate"/>
            </w:r>
            <w:r w:rsidR="004B68A6">
              <w:rPr>
                <w:noProof/>
                <w:webHidden/>
              </w:rPr>
              <w:t>27</w:t>
            </w:r>
            <w:r w:rsidR="004B68A6">
              <w:rPr>
                <w:noProof/>
                <w:webHidden/>
              </w:rPr>
              <w:fldChar w:fldCharType="end"/>
            </w:r>
          </w:hyperlink>
        </w:p>
        <w:p w14:paraId="0049C141" w14:textId="77777777" w:rsidR="004B68A6" w:rsidRDefault="00703365">
          <w:pPr>
            <w:pStyle w:val="TOC2"/>
            <w:tabs>
              <w:tab w:val="left" w:pos="880"/>
              <w:tab w:val="right" w:leader="dot" w:pos="9016"/>
            </w:tabs>
            <w:rPr>
              <w:rFonts w:eastAsiaTheme="minorEastAsia"/>
              <w:noProof/>
              <w:lang w:eastAsia="en-AU"/>
            </w:rPr>
          </w:pPr>
          <w:hyperlink w:anchor="_Toc458675187" w:history="1">
            <w:r w:rsidR="004B68A6" w:rsidRPr="004424DC">
              <w:rPr>
                <w:rStyle w:val="Hyperlink"/>
                <w:noProof/>
              </w:rPr>
              <w:t>4.3.</w:t>
            </w:r>
            <w:r w:rsidR="004B68A6">
              <w:rPr>
                <w:rFonts w:eastAsiaTheme="minorEastAsia"/>
                <w:noProof/>
                <w:lang w:eastAsia="en-AU"/>
              </w:rPr>
              <w:tab/>
            </w:r>
            <w:r w:rsidR="004B68A6" w:rsidRPr="004424DC">
              <w:rPr>
                <w:rStyle w:val="Hyperlink"/>
                <w:noProof/>
              </w:rPr>
              <w:t>Incentive Rate</w:t>
            </w:r>
            <w:r w:rsidR="004B68A6">
              <w:rPr>
                <w:noProof/>
                <w:webHidden/>
              </w:rPr>
              <w:tab/>
            </w:r>
            <w:r w:rsidR="004B68A6">
              <w:rPr>
                <w:noProof/>
                <w:webHidden/>
              </w:rPr>
              <w:fldChar w:fldCharType="begin"/>
            </w:r>
            <w:r w:rsidR="004B68A6">
              <w:rPr>
                <w:noProof/>
                <w:webHidden/>
              </w:rPr>
              <w:instrText xml:space="preserve"> PAGEREF _Toc458675187 \h </w:instrText>
            </w:r>
            <w:r w:rsidR="004B68A6">
              <w:rPr>
                <w:noProof/>
                <w:webHidden/>
              </w:rPr>
            </w:r>
            <w:r w:rsidR="004B68A6">
              <w:rPr>
                <w:noProof/>
                <w:webHidden/>
              </w:rPr>
              <w:fldChar w:fldCharType="separate"/>
            </w:r>
            <w:r w:rsidR="004B68A6">
              <w:rPr>
                <w:noProof/>
                <w:webHidden/>
              </w:rPr>
              <w:t>27</w:t>
            </w:r>
            <w:r w:rsidR="004B68A6">
              <w:rPr>
                <w:noProof/>
                <w:webHidden/>
              </w:rPr>
              <w:fldChar w:fldCharType="end"/>
            </w:r>
          </w:hyperlink>
        </w:p>
        <w:p w14:paraId="28877A62" w14:textId="77777777" w:rsidR="004B68A6" w:rsidRDefault="00703365">
          <w:pPr>
            <w:pStyle w:val="TOC3"/>
            <w:tabs>
              <w:tab w:val="left" w:pos="1320"/>
              <w:tab w:val="right" w:leader="dot" w:pos="9016"/>
            </w:tabs>
            <w:rPr>
              <w:rFonts w:eastAsiaTheme="minorEastAsia"/>
              <w:noProof/>
              <w:lang w:eastAsia="en-AU"/>
            </w:rPr>
          </w:pPr>
          <w:hyperlink w:anchor="_Toc458675188" w:history="1">
            <w:r w:rsidR="004B68A6" w:rsidRPr="004424DC">
              <w:rPr>
                <w:rStyle w:val="Hyperlink"/>
                <w:noProof/>
              </w:rPr>
              <w:t>4.3.1.</w:t>
            </w:r>
            <w:r w:rsidR="004B68A6">
              <w:rPr>
                <w:rFonts w:eastAsiaTheme="minorEastAsia"/>
                <w:noProof/>
                <w:lang w:eastAsia="en-AU"/>
              </w:rPr>
              <w:tab/>
            </w:r>
            <w:r w:rsidR="004B68A6" w:rsidRPr="004424DC">
              <w:rPr>
                <w:rStyle w:val="Hyperlink"/>
                <w:noProof/>
              </w:rPr>
              <w:t>Financial Impact on Consumers and Businesses</w:t>
            </w:r>
            <w:r w:rsidR="004B68A6">
              <w:rPr>
                <w:noProof/>
                <w:webHidden/>
              </w:rPr>
              <w:tab/>
            </w:r>
            <w:r w:rsidR="004B68A6">
              <w:rPr>
                <w:noProof/>
                <w:webHidden/>
              </w:rPr>
              <w:fldChar w:fldCharType="begin"/>
            </w:r>
            <w:r w:rsidR="004B68A6">
              <w:rPr>
                <w:noProof/>
                <w:webHidden/>
              </w:rPr>
              <w:instrText xml:space="preserve"> PAGEREF _Toc458675188 \h </w:instrText>
            </w:r>
            <w:r w:rsidR="004B68A6">
              <w:rPr>
                <w:noProof/>
                <w:webHidden/>
              </w:rPr>
            </w:r>
            <w:r w:rsidR="004B68A6">
              <w:rPr>
                <w:noProof/>
                <w:webHidden/>
              </w:rPr>
              <w:fldChar w:fldCharType="separate"/>
            </w:r>
            <w:r w:rsidR="004B68A6">
              <w:rPr>
                <w:noProof/>
                <w:webHidden/>
              </w:rPr>
              <w:t>28</w:t>
            </w:r>
            <w:r w:rsidR="004B68A6">
              <w:rPr>
                <w:noProof/>
                <w:webHidden/>
              </w:rPr>
              <w:fldChar w:fldCharType="end"/>
            </w:r>
          </w:hyperlink>
        </w:p>
        <w:p w14:paraId="706EDC0A" w14:textId="77777777" w:rsidR="004B68A6" w:rsidRDefault="00703365">
          <w:pPr>
            <w:pStyle w:val="TOC3"/>
            <w:tabs>
              <w:tab w:val="left" w:pos="1320"/>
              <w:tab w:val="right" w:leader="dot" w:pos="9016"/>
            </w:tabs>
            <w:rPr>
              <w:rFonts w:eastAsiaTheme="minorEastAsia"/>
              <w:noProof/>
              <w:lang w:eastAsia="en-AU"/>
            </w:rPr>
          </w:pPr>
          <w:hyperlink w:anchor="_Toc458675189" w:history="1">
            <w:r w:rsidR="004B68A6" w:rsidRPr="004424DC">
              <w:rPr>
                <w:rStyle w:val="Hyperlink"/>
                <w:noProof/>
              </w:rPr>
              <w:t>4.3.2.</w:t>
            </w:r>
            <w:r w:rsidR="004B68A6">
              <w:rPr>
                <w:rFonts w:eastAsiaTheme="minorEastAsia"/>
                <w:noProof/>
                <w:lang w:eastAsia="en-AU"/>
              </w:rPr>
              <w:tab/>
            </w:r>
            <w:r w:rsidR="004B68A6" w:rsidRPr="004424DC">
              <w:rPr>
                <w:rStyle w:val="Hyperlink"/>
                <w:noProof/>
              </w:rPr>
              <w:t>Value of Individual Ignition</w:t>
            </w:r>
            <w:r w:rsidR="004B68A6">
              <w:rPr>
                <w:noProof/>
                <w:webHidden/>
              </w:rPr>
              <w:tab/>
            </w:r>
            <w:r w:rsidR="004B68A6">
              <w:rPr>
                <w:noProof/>
                <w:webHidden/>
              </w:rPr>
              <w:fldChar w:fldCharType="begin"/>
            </w:r>
            <w:r w:rsidR="004B68A6">
              <w:rPr>
                <w:noProof/>
                <w:webHidden/>
              </w:rPr>
              <w:instrText xml:space="preserve"> PAGEREF _Toc458675189 \h </w:instrText>
            </w:r>
            <w:r w:rsidR="004B68A6">
              <w:rPr>
                <w:noProof/>
                <w:webHidden/>
              </w:rPr>
            </w:r>
            <w:r w:rsidR="004B68A6">
              <w:rPr>
                <w:noProof/>
                <w:webHidden/>
              </w:rPr>
              <w:fldChar w:fldCharType="separate"/>
            </w:r>
            <w:r w:rsidR="004B68A6">
              <w:rPr>
                <w:noProof/>
                <w:webHidden/>
              </w:rPr>
              <w:t>31</w:t>
            </w:r>
            <w:r w:rsidR="004B68A6">
              <w:rPr>
                <w:noProof/>
                <w:webHidden/>
              </w:rPr>
              <w:fldChar w:fldCharType="end"/>
            </w:r>
          </w:hyperlink>
        </w:p>
        <w:p w14:paraId="67FC5D12" w14:textId="77777777" w:rsidR="004B68A6" w:rsidRDefault="00703365">
          <w:pPr>
            <w:pStyle w:val="TOC3"/>
            <w:tabs>
              <w:tab w:val="left" w:pos="1320"/>
              <w:tab w:val="right" w:leader="dot" w:pos="9016"/>
            </w:tabs>
            <w:rPr>
              <w:rFonts w:eastAsiaTheme="minorEastAsia"/>
              <w:noProof/>
              <w:lang w:eastAsia="en-AU"/>
            </w:rPr>
          </w:pPr>
          <w:hyperlink w:anchor="_Toc458675190" w:history="1">
            <w:r w:rsidR="004B68A6" w:rsidRPr="004424DC">
              <w:rPr>
                <w:rStyle w:val="Hyperlink"/>
                <w:noProof/>
              </w:rPr>
              <w:t>4.3.3.</w:t>
            </w:r>
            <w:r w:rsidR="004B68A6">
              <w:rPr>
                <w:rFonts w:eastAsiaTheme="minorEastAsia"/>
                <w:noProof/>
                <w:lang w:eastAsia="en-AU"/>
              </w:rPr>
              <w:tab/>
            </w:r>
            <w:r w:rsidR="004B68A6" w:rsidRPr="004424DC">
              <w:rPr>
                <w:rStyle w:val="Hyperlink"/>
                <w:noProof/>
              </w:rPr>
              <w:t>Provision of Increased Bushfire Safety and Localised Reliability Impacts</w:t>
            </w:r>
            <w:r w:rsidR="004B68A6">
              <w:rPr>
                <w:noProof/>
                <w:webHidden/>
              </w:rPr>
              <w:tab/>
            </w:r>
            <w:r w:rsidR="004B68A6">
              <w:rPr>
                <w:noProof/>
                <w:webHidden/>
              </w:rPr>
              <w:fldChar w:fldCharType="begin"/>
            </w:r>
            <w:r w:rsidR="004B68A6">
              <w:rPr>
                <w:noProof/>
                <w:webHidden/>
              </w:rPr>
              <w:instrText xml:space="preserve"> PAGEREF _Toc458675190 \h </w:instrText>
            </w:r>
            <w:r w:rsidR="004B68A6">
              <w:rPr>
                <w:noProof/>
                <w:webHidden/>
              </w:rPr>
            </w:r>
            <w:r w:rsidR="004B68A6">
              <w:rPr>
                <w:noProof/>
                <w:webHidden/>
              </w:rPr>
              <w:fldChar w:fldCharType="separate"/>
            </w:r>
            <w:r w:rsidR="004B68A6">
              <w:rPr>
                <w:noProof/>
                <w:webHidden/>
              </w:rPr>
              <w:t>32</w:t>
            </w:r>
            <w:r w:rsidR="004B68A6">
              <w:rPr>
                <w:noProof/>
                <w:webHidden/>
              </w:rPr>
              <w:fldChar w:fldCharType="end"/>
            </w:r>
          </w:hyperlink>
        </w:p>
        <w:p w14:paraId="578B7BE4" w14:textId="77777777" w:rsidR="004B68A6" w:rsidRDefault="00703365">
          <w:pPr>
            <w:pStyle w:val="TOC2"/>
            <w:tabs>
              <w:tab w:val="left" w:pos="880"/>
              <w:tab w:val="right" w:leader="dot" w:pos="9016"/>
            </w:tabs>
            <w:rPr>
              <w:rFonts w:eastAsiaTheme="minorEastAsia"/>
              <w:noProof/>
              <w:lang w:eastAsia="en-AU"/>
            </w:rPr>
          </w:pPr>
          <w:hyperlink w:anchor="_Toc458675191" w:history="1">
            <w:r w:rsidR="004B68A6" w:rsidRPr="004424DC">
              <w:rPr>
                <w:rStyle w:val="Hyperlink"/>
                <w:noProof/>
              </w:rPr>
              <w:t>4.4.</w:t>
            </w:r>
            <w:r w:rsidR="004B68A6">
              <w:rPr>
                <w:rFonts w:eastAsiaTheme="minorEastAsia"/>
                <w:noProof/>
                <w:lang w:eastAsia="en-AU"/>
              </w:rPr>
              <w:tab/>
            </w:r>
            <w:r w:rsidR="004B68A6" w:rsidRPr="004424DC">
              <w:rPr>
                <w:rStyle w:val="Hyperlink"/>
                <w:noProof/>
              </w:rPr>
              <w:t>What is a Suitable Incentive Rate?</w:t>
            </w:r>
            <w:r w:rsidR="004B68A6">
              <w:rPr>
                <w:noProof/>
                <w:webHidden/>
              </w:rPr>
              <w:tab/>
            </w:r>
            <w:r w:rsidR="004B68A6">
              <w:rPr>
                <w:noProof/>
                <w:webHidden/>
              </w:rPr>
              <w:fldChar w:fldCharType="begin"/>
            </w:r>
            <w:r w:rsidR="004B68A6">
              <w:rPr>
                <w:noProof/>
                <w:webHidden/>
              </w:rPr>
              <w:instrText xml:space="preserve"> PAGEREF _Toc458675191 \h </w:instrText>
            </w:r>
            <w:r w:rsidR="004B68A6">
              <w:rPr>
                <w:noProof/>
                <w:webHidden/>
              </w:rPr>
            </w:r>
            <w:r w:rsidR="004B68A6">
              <w:rPr>
                <w:noProof/>
                <w:webHidden/>
              </w:rPr>
              <w:fldChar w:fldCharType="separate"/>
            </w:r>
            <w:r w:rsidR="004B68A6">
              <w:rPr>
                <w:noProof/>
                <w:webHidden/>
              </w:rPr>
              <w:t>33</w:t>
            </w:r>
            <w:r w:rsidR="004B68A6">
              <w:rPr>
                <w:noProof/>
                <w:webHidden/>
              </w:rPr>
              <w:fldChar w:fldCharType="end"/>
            </w:r>
          </w:hyperlink>
        </w:p>
        <w:p w14:paraId="1D1CB970" w14:textId="77777777" w:rsidR="004B68A6" w:rsidRDefault="00703365">
          <w:pPr>
            <w:pStyle w:val="TOC2"/>
            <w:tabs>
              <w:tab w:val="left" w:pos="880"/>
              <w:tab w:val="right" w:leader="dot" w:pos="9016"/>
            </w:tabs>
            <w:rPr>
              <w:rFonts w:eastAsiaTheme="minorEastAsia"/>
              <w:noProof/>
              <w:lang w:eastAsia="en-AU"/>
            </w:rPr>
          </w:pPr>
          <w:hyperlink w:anchor="_Toc458675192" w:history="1">
            <w:r w:rsidR="004B68A6" w:rsidRPr="004424DC">
              <w:rPr>
                <w:rStyle w:val="Hyperlink"/>
                <w:noProof/>
              </w:rPr>
              <w:t>4.5.</w:t>
            </w:r>
            <w:r w:rsidR="004B68A6">
              <w:rPr>
                <w:rFonts w:eastAsiaTheme="minorEastAsia"/>
                <w:noProof/>
                <w:lang w:eastAsia="en-AU"/>
              </w:rPr>
              <w:tab/>
            </w:r>
            <w:r w:rsidR="004B68A6" w:rsidRPr="004424DC">
              <w:rPr>
                <w:rStyle w:val="Hyperlink"/>
                <w:noProof/>
              </w:rPr>
              <w:t>Conclusion</w:t>
            </w:r>
            <w:r w:rsidR="004B68A6">
              <w:rPr>
                <w:noProof/>
                <w:webHidden/>
              </w:rPr>
              <w:tab/>
            </w:r>
            <w:r w:rsidR="004B68A6">
              <w:rPr>
                <w:noProof/>
                <w:webHidden/>
              </w:rPr>
              <w:fldChar w:fldCharType="begin"/>
            </w:r>
            <w:r w:rsidR="004B68A6">
              <w:rPr>
                <w:noProof/>
                <w:webHidden/>
              </w:rPr>
              <w:instrText xml:space="preserve"> PAGEREF _Toc458675192 \h </w:instrText>
            </w:r>
            <w:r w:rsidR="004B68A6">
              <w:rPr>
                <w:noProof/>
                <w:webHidden/>
              </w:rPr>
            </w:r>
            <w:r w:rsidR="004B68A6">
              <w:rPr>
                <w:noProof/>
                <w:webHidden/>
              </w:rPr>
              <w:fldChar w:fldCharType="separate"/>
            </w:r>
            <w:r w:rsidR="004B68A6">
              <w:rPr>
                <w:noProof/>
                <w:webHidden/>
              </w:rPr>
              <w:t>33</w:t>
            </w:r>
            <w:r w:rsidR="004B68A6">
              <w:rPr>
                <w:noProof/>
                <w:webHidden/>
              </w:rPr>
              <w:fldChar w:fldCharType="end"/>
            </w:r>
          </w:hyperlink>
        </w:p>
        <w:p w14:paraId="7202CED5" w14:textId="77777777" w:rsidR="004B68A6" w:rsidRDefault="00703365">
          <w:pPr>
            <w:pStyle w:val="TOC1"/>
            <w:tabs>
              <w:tab w:val="left" w:pos="440"/>
              <w:tab w:val="right" w:leader="dot" w:pos="9016"/>
            </w:tabs>
            <w:rPr>
              <w:rFonts w:eastAsiaTheme="minorEastAsia"/>
              <w:noProof/>
              <w:lang w:eastAsia="en-AU"/>
            </w:rPr>
          </w:pPr>
          <w:hyperlink w:anchor="_Toc458675193" w:history="1">
            <w:r w:rsidR="004B68A6" w:rsidRPr="004424DC">
              <w:rPr>
                <w:rStyle w:val="Hyperlink"/>
                <w:noProof/>
              </w:rPr>
              <w:t>5.</w:t>
            </w:r>
            <w:r w:rsidR="004B68A6">
              <w:rPr>
                <w:rFonts w:eastAsiaTheme="minorEastAsia"/>
                <w:noProof/>
                <w:lang w:eastAsia="en-AU"/>
              </w:rPr>
              <w:tab/>
            </w:r>
            <w:r w:rsidR="004B68A6" w:rsidRPr="004424DC">
              <w:rPr>
                <w:rStyle w:val="Hyperlink"/>
                <w:noProof/>
              </w:rPr>
              <w:t>Cost Benefit Analysis</w:t>
            </w:r>
            <w:r w:rsidR="004B68A6">
              <w:rPr>
                <w:noProof/>
                <w:webHidden/>
              </w:rPr>
              <w:tab/>
            </w:r>
            <w:r w:rsidR="004B68A6">
              <w:rPr>
                <w:noProof/>
                <w:webHidden/>
              </w:rPr>
              <w:fldChar w:fldCharType="begin"/>
            </w:r>
            <w:r w:rsidR="004B68A6">
              <w:rPr>
                <w:noProof/>
                <w:webHidden/>
              </w:rPr>
              <w:instrText xml:space="preserve"> PAGEREF _Toc458675193 \h </w:instrText>
            </w:r>
            <w:r w:rsidR="004B68A6">
              <w:rPr>
                <w:noProof/>
                <w:webHidden/>
              </w:rPr>
            </w:r>
            <w:r w:rsidR="004B68A6">
              <w:rPr>
                <w:noProof/>
                <w:webHidden/>
              </w:rPr>
              <w:fldChar w:fldCharType="separate"/>
            </w:r>
            <w:r w:rsidR="004B68A6">
              <w:rPr>
                <w:noProof/>
                <w:webHidden/>
              </w:rPr>
              <w:t>34</w:t>
            </w:r>
            <w:r w:rsidR="004B68A6">
              <w:rPr>
                <w:noProof/>
                <w:webHidden/>
              </w:rPr>
              <w:fldChar w:fldCharType="end"/>
            </w:r>
          </w:hyperlink>
        </w:p>
        <w:p w14:paraId="70C5B6B7" w14:textId="77777777" w:rsidR="004B68A6" w:rsidRDefault="00703365">
          <w:pPr>
            <w:pStyle w:val="TOC2"/>
            <w:tabs>
              <w:tab w:val="left" w:pos="880"/>
              <w:tab w:val="right" w:leader="dot" w:pos="9016"/>
            </w:tabs>
            <w:rPr>
              <w:rFonts w:eastAsiaTheme="minorEastAsia"/>
              <w:noProof/>
              <w:lang w:eastAsia="en-AU"/>
            </w:rPr>
          </w:pPr>
          <w:hyperlink w:anchor="_Toc458675194" w:history="1">
            <w:r w:rsidR="004B68A6" w:rsidRPr="004424DC">
              <w:rPr>
                <w:rStyle w:val="Hyperlink"/>
                <w:noProof/>
              </w:rPr>
              <w:t>5.1.</w:t>
            </w:r>
            <w:r w:rsidR="004B68A6">
              <w:rPr>
                <w:rFonts w:eastAsiaTheme="minorEastAsia"/>
                <w:noProof/>
                <w:lang w:eastAsia="en-AU"/>
              </w:rPr>
              <w:tab/>
            </w:r>
            <w:r w:rsidR="004B68A6" w:rsidRPr="004424DC">
              <w:rPr>
                <w:rStyle w:val="Hyperlink"/>
                <w:noProof/>
              </w:rPr>
              <w:t>Costs</w:t>
            </w:r>
            <w:r w:rsidR="004B68A6">
              <w:rPr>
                <w:noProof/>
                <w:webHidden/>
              </w:rPr>
              <w:tab/>
            </w:r>
            <w:r w:rsidR="004B68A6">
              <w:rPr>
                <w:noProof/>
                <w:webHidden/>
              </w:rPr>
              <w:fldChar w:fldCharType="begin"/>
            </w:r>
            <w:r w:rsidR="004B68A6">
              <w:rPr>
                <w:noProof/>
                <w:webHidden/>
              </w:rPr>
              <w:instrText xml:space="preserve"> PAGEREF _Toc458675194 \h </w:instrText>
            </w:r>
            <w:r w:rsidR="004B68A6">
              <w:rPr>
                <w:noProof/>
                <w:webHidden/>
              </w:rPr>
            </w:r>
            <w:r w:rsidR="004B68A6">
              <w:rPr>
                <w:noProof/>
                <w:webHidden/>
              </w:rPr>
              <w:fldChar w:fldCharType="separate"/>
            </w:r>
            <w:r w:rsidR="004B68A6">
              <w:rPr>
                <w:noProof/>
                <w:webHidden/>
              </w:rPr>
              <w:t>34</w:t>
            </w:r>
            <w:r w:rsidR="004B68A6">
              <w:rPr>
                <w:noProof/>
                <w:webHidden/>
              </w:rPr>
              <w:fldChar w:fldCharType="end"/>
            </w:r>
          </w:hyperlink>
        </w:p>
        <w:p w14:paraId="6BFF758D" w14:textId="77777777" w:rsidR="004B68A6" w:rsidRDefault="00703365">
          <w:pPr>
            <w:pStyle w:val="TOC2"/>
            <w:tabs>
              <w:tab w:val="left" w:pos="880"/>
              <w:tab w:val="right" w:leader="dot" w:pos="9016"/>
            </w:tabs>
            <w:rPr>
              <w:rFonts w:eastAsiaTheme="minorEastAsia"/>
              <w:noProof/>
              <w:lang w:eastAsia="en-AU"/>
            </w:rPr>
          </w:pPr>
          <w:hyperlink w:anchor="_Toc458675195" w:history="1">
            <w:r w:rsidR="004B68A6" w:rsidRPr="004424DC">
              <w:rPr>
                <w:rStyle w:val="Hyperlink"/>
                <w:noProof/>
              </w:rPr>
              <w:t>5.2.</w:t>
            </w:r>
            <w:r w:rsidR="004B68A6">
              <w:rPr>
                <w:rFonts w:eastAsiaTheme="minorEastAsia"/>
                <w:noProof/>
                <w:lang w:eastAsia="en-AU"/>
              </w:rPr>
              <w:tab/>
            </w:r>
            <w:r w:rsidR="004B68A6" w:rsidRPr="004424DC">
              <w:rPr>
                <w:rStyle w:val="Hyperlink"/>
                <w:noProof/>
              </w:rPr>
              <w:t>Benefits</w:t>
            </w:r>
            <w:r w:rsidR="004B68A6">
              <w:rPr>
                <w:noProof/>
                <w:webHidden/>
              </w:rPr>
              <w:tab/>
            </w:r>
            <w:r w:rsidR="004B68A6">
              <w:rPr>
                <w:noProof/>
                <w:webHidden/>
              </w:rPr>
              <w:fldChar w:fldCharType="begin"/>
            </w:r>
            <w:r w:rsidR="004B68A6">
              <w:rPr>
                <w:noProof/>
                <w:webHidden/>
              </w:rPr>
              <w:instrText xml:space="preserve"> PAGEREF _Toc458675195 \h </w:instrText>
            </w:r>
            <w:r w:rsidR="004B68A6">
              <w:rPr>
                <w:noProof/>
                <w:webHidden/>
              </w:rPr>
            </w:r>
            <w:r w:rsidR="004B68A6">
              <w:rPr>
                <w:noProof/>
                <w:webHidden/>
              </w:rPr>
              <w:fldChar w:fldCharType="separate"/>
            </w:r>
            <w:r w:rsidR="004B68A6">
              <w:rPr>
                <w:noProof/>
                <w:webHidden/>
              </w:rPr>
              <w:t>35</w:t>
            </w:r>
            <w:r w:rsidR="004B68A6">
              <w:rPr>
                <w:noProof/>
                <w:webHidden/>
              </w:rPr>
              <w:fldChar w:fldCharType="end"/>
            </w:r>
          </w:hyperlink>
        </w:p>
        <w:p w14:paraId="424D91CB" w14:textId="77777777" w:rsidR="004B68A6" w:rsidRDefault="00703365">
          <w:pPr>
            <w:pStyle w:val="TOC2"/>
            <w:tabs>
              <w:tab w:val="left" w:pos="880"/>
              <w:tab w:val="right" w:leader="dot" w:pos="9016"/>
            </w:tabs>
            <w:rPr>
              <w:rFonts w:eastAsiaTheme="minorEastAsia"/>
              <w:noProof/>
              <w:lang w:eastAsia="en-AU"/>
            </w:rPr>
          </w:pPr>
          <w:hyperlink w:anchor="_Toc458675196" w:history="1">
            <w:r w:rsidR="004B68A6" w:rsidRPr="004424DC">
              <w:rPr>
                <w:rStyle w:val="Hyperlink"/>
                <w:noProof/>
              </w:rPr>
              <w:t>5.3.</w:t>
            </w:r>
            <w:r w:rsidR="004B68A6">
              <w:rPr>
                <w:rFonts w:eastAsiaTheme="minorEastAsia"/>
                <w:noProof/>
                <w:lang w:eastAsia="en-AU"/>
              </w:rPr>
              <w:tab/>
            </w:r>
            <w:r w:rsidR="004B68A6" w:rsidRPr="004424DC">
              <w:rPr>
                <w:rStyle w:val="Hyperlink"/>
                <w:noProof/>
              </w:rPr>
              <w:t>Break-Even Analysis</w:t>
            </w:r>
            <w:r w:rsidR="004B68A6">
              <w:rPr>
                <w:noProof/>
                <w:webHidden/>
              </w:rPr>
              <w:tab/>
            </w:r>
            <w:r w:rsidR="004B68A6">
              <w:rPr>
                <w:noProof/>
                <w:webHidden/>
              </w:rPr>
              <w:fldChar w:fldCharType="begin"/>
            </w:r>
            <w:r w:rsidR="004B68A6">
              <w:rPr>
                <w:noProof/>
                <w:webHidden/>
              </w:rPr>
              <w:instrText xml:space="preserve"> PAGEREF _Toc458675196 \h </w:instrText>
            </w:r>
            <w:r w:rsidR="004B68A6">
              <w:rPr>
                <w:noProof/>
                <w:webHidden/>
              </w:rPr>
            </w:r>
            <w:r w:rsidR="004B68A6">
              <w:rPr>
                <w:noProof/>
                <w:webHidden/>
              </w:rPr>
              <w:fldChar w:fldCharType="separate"/>
            </w:r>
            <w:r w:rsidR="004B68A6">
              <w:rPr>
                <w:noProof/>
                <w:webHidden/>
              </w:rPr>
              <w:t>35</w:t>
            </w:r>
            <w:r w:rsidR="004B68A6">
              <w:rPr>
                <w:noProof/>
                <w:webHidden/>
              </w:rPr>
              <w:fldChar w:fldCharType="end"/>
            </w:r>
          </w:hyperlink>
        </w:p>
        <w:p w14:paraId="34DEDE0E" w14:textId="77777777" w:rsidR="004B68A6" w:rsidRDefault="00703365">
          <w:pPr>
            <w:pStyle w:val="TOC2"/>
            <w:tabs>
              <w:tab w:val="left" w:pos="880"/>
              <w:tab w:val="right" w:leader="dot" w:pos="9016"/>
            </w:tabs>
            <w:rPr>
              <w:rFonts w:eastAsiaTheme="minorEastAsia"/>
              <w:noProof/>
              <w:lang w:eastAsia="en-AU"/>
            </w:rPr>
          </w:pPr>
          <w:hyperlink w:anchor="_Toc458675197" w:history="1">
            <w:r w:rsidR="004B68A6" w:rsidRPr="004424DC">
              <w:rPr>
                <w:rStyle w:val="Hyperlink"/>
                <w:noProof/>
              </w:rPr>
              <w:t>5.4.</w:t>
            </w:r>
            <w:r w:rsidR="004B68A6">
              <w:rPr>
                <w:rFonts w:eastAsiaTheme="minorEastAsia"/>
                <w:noProof/>
                <w:lang w:eastAsia="en-AU"/>
              </w:rPr>
              <w:tab/>
            </w:r>
            <w:r w:rsidR="004B68A6" w:rsidRPr="004424DC">
              <w:rPr>
                <w:rStyle w:val="Hyperlink"/>
                <w:noProof/>
              </w:rPr>
              <w:t>Conclusion</w:t>
            </w:r>
            <w:r w:rsidR="004B68A6">
              <w:rPr>
                <w:noProof/>
                <w:webHidden/>
              </w:rPr>
              <w:tab/>
            </w:r>
            <w:r w:rsidR="004B68A6">
              <w:rPr>
                <w:noProof/>
                <w:webHidden/>
              </w:rPr>
              <w:fldChar w:fldCharType="begin"/>
            </w:r>
            <w:r w:rsidR="004B68A6">
              <w:rPr>
                <w:noProof/>
                <w:webHidden/>
              </w:rPr>
              <w:instrText xml:space="preserve"> PAGEREF _Toc458675197 \h </w:instrText>
            </w:r>
            <w:r w:rsidR="004B68A6">
              <w:rPr>
                <w:noProof/>
                <w:webHidden/>
              </w:rPr>
            </w:r>
            <w:r w:rsidR="004B68A6">
              <w:rPr>
                <w:noProof/>
                <w:webHidden/>
              </w:rPr>
              <w:fldChar w:fldCharType="separate"/>
            </w:r>
            <w:r w:rsidR="004B68A6">
              <w:rPr>
                <w:noProof/>
                <w:webHidden/>
              </w:rPr>
              <w:t>37</w:t>
            </w:r>
            <w:r w:rsidR="004B68A6">
              <w:rPr>
                <w:noProof/>
                <w:webHidden/>
              </w:rPr>
              <w:fldChar w:fldCharType="end"/>
            </w:r>
          </w:hyperlink>
        </w:p>
        <w:p w14:paraId="64F99999" w14:textId="77777777" w:rsidR="004B68A6" w:rsidRDefault="00703365">
          <w:pPr>
            <w:pStyle w:val="TOC1"/>
            <w:tabs>
              <w:tab w:val="left" w:pos="440"/>
              <w:tab w:val="right" w:leader="dot" w:pos="9016"/>
            </w:tabs>
            <w:rPr>
              <w:rFonts w:eastAsiaTheme="minorEastAsia"/>
              <w:noProof/>
              <w:lang w:eastAsia="en-AU"/>
            </w:rPr>
          </w:pPr>
          <w:hyperlink w:anchor="_Toc458675198" w:history="1">
            <w:r w:rsidR="004B68A6" w:rsidRPr="004424DC">
              <w:rPr>
                <w:rStyle w:val="Hyperlink"/>
                <w:noProof/>
              </w:rPr>
              <w:t>6.</w:t>
            </w:r>
            <w:r w:rsidR="004B68A6">
              <w:rPr>
                <w:rFonts w:eastAsiaTheme="minorEastAsia"/>
                <w:noProof/>
                <w:lang w:eastAsia="en-AU"/>
              </w:rPr>
              <w:tab/>
            </w:r>
            <w:r w:rsidR="004B68A6" w:rsidRPr="004424DC">
              <w:rPr>
                <w:rStyle w:val="Hyperlink"/>
                <w:noProof/>
              </w:rPr>
              <w:t>Implementation Plan</w:t>
            </w:r>
            <w:r w:rsidR="004B68A6">
              <w:rPr>
                <w:noProof/>
                <w:webHidden/>
              </w:rPr>
              <w:tab/>
            </w:r>
            <w:r w:rsidR="004B68A6">
              <w:rPr>
                <w:noProof/>
                <w:webHidden/>
              </w:rPr>
              <w:fldChar w:fldCharType="begin"/>
            </w:r>
            <w:r w:rsidR="004B68A6">
              <w:rPr>
                <w:noProof/>
                <w:webHidden/>
              </w:rPr>
              <w:instrText xml:space="preserve"> PAGEREF _Toc458675198 \h </w:instrText>
            </w:r>
            <w:r w:rsidR="004B68A6">
              <w:rPr>
                <w:noProof/>
                <w:webHidden/>
              </w:rPr>
            </w:r>
            <w:r w:rsidR="004B68A6">
              <w:rPr>
                <w:noProof/>
                <w:webHidden/>
              </w:rPr>
              <w:fldChar w:fldCharType="separate"/>
            </w:r>
            <w:r w:rsidR="004B68A6">
              <w:rPr>
                <w:noProof/>
                <w:webHidden/>
              </w:rPr>
              <w:t>37</w:t>
            </w:r>
            <w:r w:rsidR="004B68A6">
              <w:rPr>
                <w:noProof/>
                <w:webHidden/>
              </w:rPr>
              <w:fldChar w:fldCharType="end"/>
            </w:r>
          </w:hyperlink>
        </w:p>
        <w:p w14:paraId="56866C9B" w14:textId="77777777" w:rsidR="004B68A6" w:rsidRDefault="00703365">
          <w:pPr>
            <w:pStyle w:val="TOC2"/>
            <w:tabs>
              <w:tab w:val="left" w:pos="880"/>
              <w:tab w:val="right" w:leader="dot" w:pos="9016"/>
            </w:tabs>
            <w:rPr>
              <w:rFonts w:eastAsiaTheme="minorEastAsia"/>
              <w:noProof/>
              <w:lang w:eastAsia="en-AU"/>
            </w:rPr>
          </w:pPr>
          <w:hyperlink w:anchor="_Toc458675199" w:history="1">
            <w:r w:rsidR="004B68A6" w:rsidRPr="004424DC">
              <w:rPr>
                <w:rStyle w:val="Hyperlink"/>
                <w:noProof/>
              </w:rPr>
              <w:t>6.1.</w:t>
            </w:r>
            <w:r w:rsidR="004B68A6">
              <w:rPr>
                <w:rFonts w:eastAsiaTheme="minorEastAsia"/>
                <w:noProof/>
                <w:lang w:eastAsia="en-AU"/>
              </w:rPr>
              <w:tab/>
            </w:r>
            <w:r w:rsidR="004B68A6" w:rsidRPr="004424DC">
              <w:rPr>
                <w:rStyle w:val="Hyperlink"/>
                <w:noProof/>
              </w:rPr>
              <w:t>Effective Communications of Requirement</w:t>
            </w:r>
            <w:r w:rsidR="004B68A6">
              <w:rPr>
                <w:noProof/>
                <w:webHidden/>
              </w:rPr>
              <w:tab/>
            </w:r>
            <w:r w:rsidR="004B68A6">
              <w:rPr>
                <w:noProof/>
                <w:webHidden/>
              </w:rPr>
              <w:fldChar w:fldCharType="begin"/>
            </w:r>
            <w:r w:rsidR="004B68A6">
              <w:rPr>
                <w:noProof/>
                <w:webHidden/>
              </w:rPr>
              <w:instrText xml:space="preserve"> PAGEREF _Toc458675199 \h </w:instrText>
            </w:r>
            <w:r w:rsidR="004B68A6">
              <w:rPr>
                <w:noProof/>
                <w:webHidden/>
              </w:rPr>
            </w:r>
            <w:r w:rsidR="004B68A6">
              <w:rPr>
                <w:noProof/>
                <w:webHidden/>
              </w:rPr>
              <w:fldChar w:fldCharType="separate"/>
            </w:r>
            <w:r w:rsidR="004B68A6">
              <w:rPr>
                <w:noProof/>
                <w:webHidden/>
              </w:rPr>
              <w:t>37</w:t>
            </w:r>
            <w:r w:rsidR="004B68A6">
              <w:rPr>
                <w:noProof/>
                <w:webHidden/>
              </w:rPr>
              <w:fldChar w:fldCharType="end"/>
            </w:r>
          </w:hyperlink>
        </w:p>
        <w:p w14:paraId="7E0150F8" w14:textId="77777777" w:rsidR="004B68A6" w:rsidRDefault="00703365">
          <w:pPr>
            <w:pStyle w:val="TOC2"/>
            <w:tabs>
              <w:tab w:val="left" w:pos="880"/>
              <w:tab w:val="right" w:leader="dot" w:pos="9016"/>
            </w:tabs>
            <w:rPr>
              <w:rFonts w:eastAsiaTheme="minorEastAsia"/>
              <w:noProof/>
              <w:lang w:eastAsia="en-AU"/>
            </w:rPr>
          </w:pPr>
          <w:hyperlink w:anchor="_Toc458675200" w:history="1">
            <w:r w:rsidR="004B68A6" w:rsidRPr="004424DC">
              <w:rPr>
                <w:rStyle w:val="Hyperlink"/>
                <w:noProof/>
              </w:rPr>
              <w:t>6.2.</w:t>
            </w:r>
            <w:r w:rsidR="004B68A6">
              <w:rPr>
                <w:rFonts w:eastAsiaTheme="minorEastAsia"/>
                <w:noProof/>
                <w:lang w:eastAsia="en-AU"/>
              </w:rPr>
              <w:tab/>
            </w:r>
            <w:r w:rsidR="004B68A6" w:rsidRPr="004424DC">
              <w:rPr>
                <w:rStyle w:val="Hyperlink"/>
                <w:noProof/>
              </w:rPr>
              <w:t>Transitional Arrangements</w:t>
            </w:r>
            <w:r w:rsidR="004B68A6">
              <w:rPr>
                <w:noProof/>
                <w:webHidden/>
              </w:rPr>
              <w:tab/>
            </w:r>
            <w:r w:rsidR="004B68A6">
              <w:rPr>
                <w:noProof/>
                <w:webHidden/>
              </w:rPr>
              <w:fldChar w:fldCharType="begin"/>
            </w:r>
            <w:r w:rsidR="004B68A6">
              <w:rPr>
                <w:noProof/>
                <w:webHidden/>
              </w:rPr>
              <w:instrText xml:space="preserve"> PAGEREF _Toc458675200 \h </w:instrText>
            </w:r>
            <w:r w:rsidR="004B68A6">
              <w:rPr>
                <w:noProof/>
                <w:webHidden/>
              </w:rPr>
            </w:r>
            <w:r w:rsidR="004B68A6">
              <w:rPr>
                <w:noProof/>
                <w:webHidden/>
              </w:rPr>
              <w:fldChar w:fldCharType="separate"/>
            </w:r>
            <w:r w:rsidR="004B68A6">
              <w:rPr>
                <w:noProof/>
                <w:webHidden/>
              </w:rPr>
              <w:t>38</w:t>
            </w:r>
            <w:r w:rsidR="004B68A6">
              <w:rPr>
                <w:noProof/>
                <w:webHidden/>
              </w:rPr>
              <w:fldChar w:fldCharType="end"/>
            </w:r>
          </w:hyperlink>
        </w:p>
        <w:p w14:paraId="138C320F" w14:textId="77777777" w:rsidR="004B68A6" w:rsidRDefault="00703365">
          <w:pPr>
            <w:pStyle w:val="TOC2"/>
            <w:tabs>
              <w:tab w:val="left" w:pos="880"/>
              <w:tab w:val="right" w:leader="dot" w:pos="9016"/>
            </w:tabs>
            <w:rPr>
              <w:rFonts w:eastAsiaTheme="minorEastAsia"/>
              <w:noProof/>
              <w:lang w:eastAsia="en-AU"/>
            </w:rPr>
          </w:pPr>
          <w:hyperlink w:anchor="_Toc458675201" w:history="1">
            <w:r w:rsidR="004B68A6" w:rsidRPr="004424DC">
              <w:rPr>
                <w:rStyle w:val="Hyperlink"/>
                <w:noProof/>
              </w:rPr>
              <w:t>6.3.</w:t>
            </w:r>
            <w:r w:rsidR="004B68A6">
              <w:rPr>
                <w:rFonts w:eastAsiaTheme="minorEastAsia"/>
                <w:noProof/>
                <w:lang w:eastAsia="en-AU"/>
              </w:rPr>
              <w:tab/>
            </w:r>
            <w:r w:rsidR="004B68A6" w:rsidRPr="004424DC">
              <w:rPr>
                <w:rStyle w:val="Hyperlink"/>
                <w:noProof/>
              </w:rPr>
              <w:t>Administration</w:t>
            </w:r>
            <w:r w:rsidR="004B68A6">
              <w:rPr>
                <w:noProof/>
                <w:webHidden/>
              </w:rPr>
              <w:tab/>
            </w:r>
            <w:r w:rsidR="004B68A6">
              <w:rPr>
                <w:noProof/>
                <w:webHidden/>
              </w:rPr>
              <w:fldChar w:fldCharType="begin"/>
            </w:r>
            <w:r w:rsidR="004B68A6">
              <w:rPr>
                <w:noProof/>
                <w:webHidden/>
              </w:rPr>
              <w:instrText xml:space="preserve"> PAGEREF _Toc458675201 \h </w:instrText>
            </w:r>
            <w:r w:rsidR="004B68A6">
              <w:rPr>
                <w:noProof/>
                <w:webHidden/>
              </w:rPr>
            </w:r>
            <w:r w:rsidR="004B68A6">
              <w:rPr>
                <w:noProof/>
                <w:webHidden/>
              </w:rPr>
              <w:fldChar w:fldCharType="separate"/>
            </w:r>
            <w:r w:rsidR="004B68A6">
              <w:rPr>
                <w:noProof/>
                <w:webHidden/>
              </w:rPr>
              <w:t>39</w:t>
            </w:r>
            <w:r w:rsidR="004B68A6">
              <w:rPr>
                <w:noProof/>
                <w:webHidden/>
              </w:rPr>
              <w:fldChar w:fldCharType="end"/>
            </w:r>
          </w:hyperlink>
        </w:p>
        <w:p w14:paraId="04691596" w14:textId="77777777" w:rsidR="004B68A6" w:rsidRDefault="00703365">
          <w:pPr>
            <w:pStyle w:val="TOC3"/>
            <w:tabs>
              <w:tab w:val="left" w:pos="1320"/>
              <w:tab w:val="right" w:leader="dot" w:pos="9016"/>
            </w:tabs>
            <w:rPr>
              <w:rFonts w:eastAsiaTheme="minorEastAsia"/>
              <w:noProof/>
              <w:lang w:eastAsia="en-AU"/>
            </w:rPr>
          </w:pPr>
          <w:hyperlink w:anchor="_Toc458675202" w:history="1">
            <w:r w:rsidR="004B68A6" w:rsidRPr="004424DC">
              <w:rPr>
                <w:rStyle w:val="Hyperlink"/>
                <w:noProof/>
              </w:rPr>
              <w:t>6.3.1.</w:t>
            </w:r>
            <w:r w:rsidR="004B68A6">
              <w:rPr>
                <w:rFonts w:eastAsiaTheme="minorEastAsia"/>
                <w:noProof/>
                <w:lang w:eastAsia="en-AU"/>
              </w:rPr>
              <w:tab/>
            </w:r>
            <w:r w:rsidR="004B68A6" w:rsidRPr="004424DC">
              <w:rPr>
                <w:rStyle w:val="Hyperlink"/>
                <w:noProof/>
              </w:rPr>
              <w:t>Role of the Department</w:t>
            </w:r>
            <w:r w:rsidR="004B68A6">
              <w:rPr>
                <w:noProof/>
                <w:webHidden/>
              </w:rPr>
              <w:tab/>
            </w:r>
            <w:r w:rsidR="004B68A6">
              <w:rPr>
                <w:noProof/>
                <w:webHidden/>
              </w:rPr>
              <w:fldChar w:fldCharType="begin"/>
            </w:r>
            <w:r w:rsidR="004B68A6">
              <w:rPr>
                <w:noProof/>
                <w:webHidden/>
              </w:rPr>
              <w:instrText xml:space="preserve"> PAGEREF _Toc458675202 \h </w:instrText>
            </w:r>
            <w:r w:rsidR="004B68A6">
              <w:rPr>
                <w:noProof/>
                <w:webHidden/>
              </w:rPr>
            </w:r>
            <w:r w:rsidR="004B68A6">
              <w:rPr>
                <w:noProof/>
                <w:webHidden/>
              </w:rPr>
              <w:fldChar w:fldCharType="separate"/>
            </w:r>
            <w:r w:rsidR="004B68A6">
              <w:rPr>
                <w:noProof/>
                <w:webHidden/>
              </w:rPr>
              <w:t>39</w:t>
            </w:r>
            <w:r w:rsidR="004B68A6">
              <w:rPr>
                <w:noProof/>
                <w:webHidden/>
              </w:rPr>
              <w:fldChar w:fldCharType="end"/>
            </w:r>
          </w:hyperlink>
        </w:p>
        <w:p w14:paraId="4E6DCE71" w14:textId="77777777" w:rsidR="004B68A6" w:rsidRDefault="00703365">
          <w:pPr>
            <w:pStyle w:val="TOC3"/>
            <w:tabs>
              <w:tab w:val="left" w:pos="1320"/>
              <w:tab w:val="right" w:leader="dot" w:pos="9016"/>
            </w:tabs>
            <w:rPr>
              <w:rFonts w:eastAsiaTheme="minorEastAsia"/>
              <w:noProof/>
              <w:lang w:eastAsia="en-AU"/>
            </w:rPr>
          </w:pPr>
          <w:hyperlink w:anchor="_Toc458675203" w:history="1">
            <w:r w:rsidR="004B68A6" w:rsidRPr="004424DC">
              <w:rPr>
                <w:rStyle w:val="Hyperlink"/>
                <w:noProof/>
              </w:rPr>
              <w:t>6.3.2.</w:t>
            </w:r>
            <w:r w:rsidR="004B68A6">
              <w:rPr>
                <w:rFonts w:eastAsiaTheme="minorEastAsia"/>
                <w:noProof/>
                <w:lang w:eastAsia="en-AU"/>
              </w:rPr>
              <w:tab/>
            </w:r>
            <w:r w:rsidR="004B68A6" w:rsidRPr="004424DC">
              <w:rPr>
                <w:rStyle w:val="Hyperlink"/>
                <w:noProof/>
              </w:rPr>
              <w:t>Role of Distribution Businesses</w:t>
            </w:r>
            <w:r w:rsidR="004B68A6">
              <w:rPr>
                <w:noProof/>
                <w:webHidden/>
              </w:rPr>
              <w:tab/>
            </w:r>
            <w:r w:rsidR="004B68A6">
              <w:rPr>
                <w:noProof/>
                <w:webHidden/>
              </w:rPr>
              <w:fldChar w:fldCharType="begin"/>
            </w:r>
            <w:r w:rsidR="004B68A6">
              <w:rPr>
                <w:noProof/>
                <w:webHidden/>
              </w:rPr>
              <w:instrText xml:space="preserve"> PAGEREF _Toc458675203 \h </w:instrText>
            </w:r>
            <w:r w:rsidR="004B68A6">
              <w:rPr>
                <w:noProof/>
                <w:webHidden/>
              </w:rPr>
            </w:r>
            <w:r w:rsidR="004B68A6">
              <w:rPr>
                <w:noProof/>
                <w:webHidden/>
              </w:rPr>
              <w:fldChar w:fldCharType="separate"/>
            </w:r>
            <w:r w:rsidR="004B68A6">
              <w:rPr>
                <w:noProof/>
                <w:webHidden/>
              </w:rPr>
              <w:t>39</w:t>
            </w:r>
            <w:r w:rsidR="004B68A6">
              <w:rPr>
                <w:noProof/>
                <w:webHidden/>
              </w:rPr>
              <w:fldChar w:fldCharType="end"/>
            </w:r>
          </w:hyperlink>
        </w:p>
        <w:p w14:paraId="6595B2AB" w14:textId="77777777" w:rsidR="004B68A6" w:rsidRDefault="00703365">
          <w:pPr>
            <w:pStyle w:val="TOC3"/>
            <w:tabs>
              <w:tab w:val="left" w:pos="1320"/>
              <w:tab w:val="right" w:leader="dot" w:pos="9016"/>
            </w:tabs>
            <w:rPr>
              <w:rFonts w:eastAsiaTheme="minorEastAsia"/>
              <w:noProof/>
              <w:lang w:eastAsia="en-AU"/>
            </w:rPr>
          </w:pPr>
          <w:hyperlink w:anchor="_Toc458675204" w:history="1">
            <w:r w:rsidR="004B68A6" w:rsidRPr="004424DC">
              <w:rPr>
                <w:rStyle w:val="Hyperlink"/>
                <w:noProof/>
              </w:rPr>
              <w:t>6.3.3.</w:t>
            </w:r>
            <w:r w:rsidR="004B68A6">
              <w:rPr>
                <w:rFonts w:eastAsiaTheme="minorEastAsia"/>
                <w:noProof/>
                <w:lang w:eastAsia="en-AU"/>
              </w:rPr>
              <w:tab/>
            </w:r>
            <w:r w:rsidR="004B68A6" w:rsidRPr="004424DC">
              <w:rPr>
                <w:rStyle w:val="Hyperlink"/>
                <w:noProof/>
              </w:rPr>
              <w:t>Role of Energy Safe Victoria</w:t>
            </w:r>
            <w:r w:rsidR="004B68A6">
              <w:rPr>
                <w:noProof/>
                <w:webHidden/>
              </w:rPr>
              <w:tab/>
            </w:r>
            <w:r w:rsidR="004B68A6">
              <w:rPr>
                <w:noProof/>
                <w:webHidden/>
              </w:rPr>
              <w:fldChar w:fldCharType="begin"/>
            </w:r>
            <w:r w:rsidR="004B68A6">
              <w:rPr>
                <w:noProof/>
                <w:webHidden/>
              </w:rPr>
              <w:instrText xml:space="preserve"> PAGEREF _Toc458675204 \h </w:instrText>
            </w:r>
            <w:r w:rsidR="004B68A6">
              <w:rPr>
                <w:noProof/>
                <w:webHidden/>
              </w:rPr>
            </w:r>
            <w:r w:rsidR="004B68A6">
              <w:rPr>
                <w:noProof/>
                <w:webHidden/>
              </w:rPr>
              <w:fldChar w:fldCharType="separate"/>
            </w:r>
            <w:r w:rsidR="004B68A6">
              <w:rPr>
                <w:noProof/>
                <w:webHidden/>
              </w:rPr>
              <w:t>40</w:t>
            </w:r>
            <w:r w:rsidR="004B68A6">
              <w:rPr>
                <w:noProof/>
                <w:webHidden/>
              </w:rPr>
              <w:fldChar w:fldCharType="end"/>
            </w:r>
          </w:hyperlink>
        </w:p>
        <w:p w14:paraId="3AF4405C" w14:textId="77777777" w:rsidR="004B68A6" w:rsidRDefault="00703365">
          <w:pPr>
            <w:pStyle w:val="TOC3"/>
            <w:tabs>
              <w:tab w:val="left" w:pos="1320"/>
              <w:tab w:val="right" w:leader="dot" w:pos="9016"/>
            </w:tabs>
            <w:rPr>
              <w:rFonts w:eastAsiaTheme="minorEastAsia"/>
              <w:noProof/>
              <w:lang w:eastAsia="en-AU"/>
            </w:rPr>
          </w:pPr>
          <w:hyperlink w:anchor="_Toc458675205" w:history="1">
            <w:r w:rsidR="004B68A6" w:rsidRPr="004424DC">
              <w:rPr>
                <w:rStyle w:val="Hyperlink"/>
                <w:noProof/>
              </w:rPr>
              <w:t>6.3.4.</w:t>
            </w:r>
            <w:r w:rsidR="004B68A6">
              <w:rPr>
                <w:rFonts w:eastAsiaTheme="minorEastAsia"/>
                <w:noProof/>
                <w:lang w:eastAsia="en-AU"/>
              </w:rPr>
              <w:tab/>
            </w:r>
            <w:r w:rsidR="004B68A6" w:rsidRPr="004424DC">
              <w:rPr>
                <w:rStyle w:val="Hyperlink"/>
                <w:noProof/>
              </w:rPr>
              <w:t>Role of the Australian Energy Regulator</w:t>
            </w:r>
            <w:r w:rsidR="004B68A6">
              <w:rPr>
                <w:noProof/>
                <w:webHidden/>
              </w:rPr>
              <w:tab/>
            </w:r>
            <w:r w:rsidR="004B68A6">
              <w:rPr>
                <w:noProof/>
                <w:webHidden/>
              </w:rPr>
              <w:fldChar w:fldCharType="begin"/>
            </w:r>
            <w:r w:rsidR="004B68A6">
              <w:rPr>
                <w:noProof/>
                <w:webHidden/>
              </w:rPr>
              <w:instrText xml:space="preserve"> PAGEREF _Toc458675205 \h </w:instrText>
            </w:r>
            <w:r w:rsidR="004B68A6">
              <w:rPr>
                <w:noProof/>
                <w:webHidden/>
              </w:rPr>
            </w:r>
            <w:r w:rsidR="004B68A6">
              <w:rPr>
                <w:noProof/>
                <w:webHidden/>
              </w:rPr>
              <w:fldChar w:fldCharType="separate"/>
            </w:r>
            <w:r w:rsidR="004B68A6">
              <w:rPr>
                <w:noProof/>
                <w:webHidden/>
              </w:rPr>
              <w:t>41</w:t>
            </w:r>
            <w:r w:rsidR="004B68A6">
              <w:rPr>
                <w:noProof/>
                <w:webHidden/>
              </w:rPr>
              <w:fldChar w:fldCharType="end"/>
            </w:r>
          </w:hyperlink>
        </w:p>
        <w:p w14:paraId="4755D506" w14:textId="77777777" w:rsidR="004B68A6" w:rsidRDefault="00703365">
          <w:pPr>
            <w:pStyle w:val="TOC2"/>
            <w:tabs>
              <w:tab w:val="left" w:pos="880"/>
              <w:tab w:val="right" w:leader="dot" w:pos="9016"/>
            </w:tabs>
            <w:rPr>
              <w:rFonts w:eastAsiaTheme="minorEastAsia"/>
              <w:noProof/>
              <w:lang w:eastAsia="en-AU"/>
            </w:rPr>
          </w:pPr>
          <w:hyperlink w:anchor="_Toc458675206" w:history="1">
            <w:r w:rsidR="004B68A6" w:rsidRPr="004424DC">
              <w:rPr>
                <w:rStyle w:val="Hyperlink"/>
                <w:noProof/>
              </w:rPr>
              <w:t>6.4.</w:t>
            </w:r>
            <w:r w:rsidR="004B68A6">
              <w:rPr>
                <w:rFonts w:eastAsiaTheme="minorEastAsia"/>
                <w:noProof/>
                <w:lang w:eastAsia="en-AU"/>
              </w:rPr>
              <w:tab/>
            </w:r>
            <w:r w:rsidR="004B68A6" w:rsidRPr="004424DC">
              <w:rPr>
                <w:rStyle w:val="Hyperlink"/>
                <w:noProof/>
              </w:rPr>
              <w:t>Enforcement Powers</w:t>
            </w:r>
            <w:r w:rsidR="004B68A6">
              <w:rPr>
                <w:noProof/>
                <w:webHidden/>
              </w:rPr>
              <w:tab/>
            </w:r>
            <w:r w:rsidR="004B68A6">
              <w:rPr>
                <w:noProof/>
                <w:webHidden/>
              </w:rPr>
              <w:fldChar w:fldCharType="begin"/>
            </w:r>
            <w:r w:rsidR="004B68A6">
              <w:rPr>
                <w:noProof/>
                <w:webHidden/>
              </w:rPr>
              <w:instrText xml:space="preserve"> PAGEREF _Toc458675206 \h </w:instrText>
            </w:r>
            <w:r w:rsidR="004B68A6">
              <w:rPr>
                <w:noProof/>
                <w:webHidden/>
              </w:rPr>
            </w:r>
            <w:r w:rsidR="004B68A6">
              <w:rPr>
                <w:noProof/>
                <w:webHidden/>
              </w:rPr>
              <w:fldChar w:fldCharType="separate"/>
            </w:r>
            <w:r w:rsidR="004B68A6">
              <w:rPr>
                <w:noProof/>
                <w:webHidden/>
              </w:rPr>
              <w:t>42</w:t>
            </w:r>
            <w:r w:rsidR="004B68A6">
              <w:rPr>
                <w:noProof/>
                <w:webHidden/>
              </w:rPr>
              <w:fldChar w:fldCharType="end"/>
            </w:r>
          </w:hyperlink>
        </w:p>
        <w:p w14:paraId="42DA2B95" w14:textId="77777777" w:rsidR="004B68A6" w:rsidRDefault="00703365">
          <w:pPr>
            <w:pStyle w:val="TOC3"/>
            <w:tabs>
              <w:tab w:val="left" w:pos="1320"/>
              <w:tab w:val="right" w:leader="dot" w:pos="9016"/>
            </w:tabs>
            <w:rPr>
              <w:rFonts w:eastAsiaTheme="minorEastAsia"/>
              <w:noProof/>
              <w:lang w:eastAsia="en-AU"/>
            </w:rPr>
          </w:pPr>
          <w:hyperlink w:anchor="_Toc458675207" w:history="1">
            <w:r w:rsidR="004B68A6" w:rsidRPr="004424DC">
              <w:rPr>
                <w:rStyle w:val="Hyperlink"/>
                <w:noProof/>
              </w:rPr>
              <w:t>6.4.1.</w:t>
            </w:r>
            <w:r w:rsidR="004B68A6">
              <w:rPr>
                <w:rFonts w:eastAsiaTheme="minorEastAsia"/>
                <w:noProof/>
                <w:lang w:eastAsia="en-AU"/>
              </w:rPr>
              <w:tab/>
            </w:r>
            <w:r w:rsidR="004B68A6" w:rsidRPr="004424DC">
              <w:rPr>
                <w:rStyle w:val="Hyperlink"/>
                <w:noProof/>
              </w:rPr>
              <w:t>The powers of the Australian Energy Regulator</w:t>
            </w:r>
            <w:r w:rsidR="004B68A6">
              <w:rPr>
                <w:noProof/>
                <w:webHidden/>
              </w:rPr>
              <w:tab/>
            </w:r>
            <w:r w:rsidR="004B68A6">
              <w:rPr>
                <w:noProof/>
                <w:webHidden/>
              </w:rPr>
              <w:fldChar w:fldCharType="begin"/>
            </w:r>
            <w:r w:rsidR="004B68A6">
              <w:rPr>
                <w:noProof/>
                <w:webHidden/>
              </w:rPr>
              <w:instrText xml:space="preserve"> PAGEREF _Toc458675207 \h </w:instrText>
            </w:r>
            <w:r w:rsidR="004B68A6">
              <w:rPr>
                <w:noProof/>
                <w:webHidden/>
              </w:rPr>
            </w:r>
            <w:r w:rsidR="004B68A6">
              <w:rPr>
                <w:noProof/>
                <w:webHidden/>
              </w:rPr>
              <w:fldChar w:fldCharType="separate"/>
            </w:r>
            <w:r w:rsidR="004B68A6">
              <w:rPr>
                <w:noProof/>
                <w:webHidden/>
              </w:rPr>
              <w:t>42</w:t>
            </w:r>
            <w:r w:rsidR="004B68A6">
              <w:rPr>
                <w:noProof/>
                <w:webHidden/>
              </w:rPr>
              <w:fldChar w:fldCharType="end"/>
            </w:r>
          </w:hyperlink>
        </w:p>
        <w:p w14:paraId="46C6DC41" w14:textId="77777777" w:rsidR="004B68A6" w:rsidRDefault="00703365">
          <w:pPr>
            <w:pStyle w:val="TOC3"/>
            <w:tabs>
              <w:tab w:val="left" w:pos="1320"/>
              <w:tab w:val="right" w:leader="dot" w:pos="9016"/>
            </w:tabs>
            <w:rPr>
              <w:rFonts w:eastAsiaTheme="minorEastAsia"/>
              <w:noProof/>
              <w:lang w:eastAsia="en-AU"/>
            </w:rPr>
          </w:pPr>
          <w:hyperlink w:anchor="_Toc458675208" w:history="1">
            <w:r w:rsidR="004B68A6" w:rsidRPr="004424DC">
              <w:rPr>
                <w:rStyle w:val="Hyperlink"/>
                <w:noProof/>
              </w:rPr>
              <w:t>6.4.2.</w:t>
            </w:r>
            <w:r w:rsidR="004B68A6">
              <w:rPr>
                <w:rFonts w:eastAsiaTheme="minorEastAsia"/>
                <w:noProof/>
                <w:lang w:eastAsia="en-AU"/>
              </w:rPr>
              <w:tab/>
            </w:r>
            <w:r w:rsidR="004B68A6" w:rsidRPr="004424DC">
              <w:rPr>
                <w:rStyle w:val="Hyperlink"/>
                <w:noProof/>
              </w:rPr>
              <w:t>Energy Safe Victoria’s powers</w:t>
            </w:r>
            <w:r w:rsidR="004B68A6">
              <w:rPr>
                <w:noProof/>
                <w:webHidden/>
              </w:rPr>
              <w:tab/>
            </w:r>
            <w:r w:rsidR="004B68A6">
              <w:rPr>
                <w:noProof/>
                <w:webHidden/>
              </w:rPr>
              <w:fldChar w:fldCharType="begin"/>
            </w:r>
            <w:r w:rsidR="004B68A6">
              <w:rPr>
                <w:noProof/>
                <w:webHidden/>
              </w:rPr>
              <w:instrText xml:space="preserve"> PAGEREF _Toc458675208 \h </w:instrText>
            </w:r>
            <w:r w:rsidR="004B68A6">
              <w:rPr>
                <w:noProof/>
                <w:webHidden/>
              </w:rPr>
            </w:r>
            <w:r w:rsidR="004B68A6">
              <w:rPr>
                <w:noProof/>
                <w:webHidden/>
              </w:rPr>
              <w:fldChar w:fldCharType="separate"/>
            </w:r>
            <w:r w:rsidR="004B68A6">
              <w:rPr>
                <w:noProof/>
                <w:webHidden/>
              </w:rPr>
              <w:t>42</w:t>
            </w:r>
            <w:r w:rsidR="004B68A6">
              <w:rPr>
                <w:noProof/>
                <w:webHidden/>
              </w:rPr>
              <w:fldChar w:fldCharType="end"/>
            </w:r>
          </w:hyperlink>
        </w:p>
        <w:p w14:paraId="55FC7D62" w14:textId="77777777" w:rsidR="004B68A6" w:rsidRDefault="00703365">
          <w:pPr>
            <w:pStyle w:val="TOC1"/>
            <w:tabs>
              <w:tab w:val="left" w:pos="440"/>
              <w:tab w:val="right" w:leader="dot" w:pos="9016"/>
            </w:tabs>
            <w:rPr>
              <w:rFonts w:eastAsiaTheme="minorEastAsia"/>
              <w:noProof/>
              <w:lang w:eastAsia="en-AU"/>
            </w:rPr>
          </w:pPr>
          <w:hyperlink w:anchor="_Toc458675209" w:history="1">
            <w:r w:rsidR="004B68A6" w:rsidRPr="004424DC">
              <w:rPr>
                <w:rStyle w:val="Hyperlink"/>
                <w:noProof/>
              </w:rPr>
              <w:t>7.</w:t>
            </w:r>
            <w:r w:rsidR="004B68A6">
              <w:rPr>
                <w:rFonts w:eastAsiaTheme="minorEastAsia"/>
                <w:noProof/>
                <w:lang w:eastAsia="en-AU"/>
              </w:rPr>
              <w:tab/>
            </w:r>
            <w:r w:rsidR="004B68A6" w:rsidRPr="004424DC">
              <w:rPr>
                <w:rStyle w:val="Hyperlink"/>
                <w:noProof/>
              </w:rPr>
              <w:t>Evaluation Strategy</w:t>
            </w:r>
            <w:r w:rsidR="004B68A6">
              <w:rPr>
                <w:noProof/>
                <w:webHidden/>
              </w:rPr>
              <w:tab/>
            </w:r>
            <w:r w:rsidR="004B68A6">
              <w:rPr>
                <w:noProof/>
                <w:webHidden/>
              </w:rPr>
              <w:fldChar w:fldCharType="begin"/>
            </w:r>
            <w:r w:rsidR="004B68A6">
              <w:rPr>
                <w:noProof/>
                <w:webHidden/>
              </w:rPr>
              <w:instrText xml:space="preserve"> PAGEREF _Toc458675209 \h </w:instrText>
            </w:r>
            <w:r w:rsidR="004B68A6">
              <w:rPr>
                <w:noProof/>
                <w:webHidden/>
              </w:rPr>
            </w:r>
            <w:r w:rsidR="004B68A6">
              <w:rPr>
                <w:noProof/>
                <w:webHidden/>
              </w:rPr>
              <w:fldChar w:fldCharType="separate"/>
            </w:r>
            <w:r w:rsidR="004B68A6">
              <w:rPr>
                <w:noProof/>
                <w:webHidden/>
              </w:rPr>
              <w:t>43</w:t>
            </w:r>
            <w:r w:rsidR="004B68A6">
              <w:rPr>
                <w:noProof/>
                <w:webHidden/>
              </w:rPr>
              <w:fldChar w:fldCharType="end"/>
            </w:r>
          </w:hyperlink>
        </w:p>
        <w:p w14:paraId="5262F549" w14:textId="77777777" w:rsidR="004B68A6" w:rsidRDefault="00703365">
          <w:pPr>
            <w:pStyle w:val="TOC2"/>
            <w:tabs>
              <w:tab w:val="left" w:pos="880"/>
              <w:tab w:val="right" w:leader="dot" w:pos="9016"/>
            </w:tabs>
            <w:rPr>
              <w:rFonts w:eastAsiaTheme="minorEastAsia"/>
              <w:noProof/>
              <w:lang w:eastAsia="en-AU"/>
            </w:rPr>
          </w:pPr>
          <w:hyperlink w:anchor="_Toc458675210" w:history="1">
            <w:r w:rsidR="004B68A6" w:rsidRPr="004424DC">
              <w:rPr>
                <w:rStyle w:val="Hyperlink"/>
                <w:noProof/>
              </w:rPr>
              <w:t>7.1.</w:t>
            </w:r>
            <w:r w:rsidR="004B68A6">
              <w:rPr>
                <w:rFonts w:eastAsiaTheme="minorEastAsia"/>
                <w:noProof/>
                <w:lang w:eastAsia="en-AU"/>
              </w:rPr>
              <w:tab/>
            </w:r>
            <w:r w:rsidR="004B68A6" w:rsidRPr="004424DC">
              <w:rPr>
                <w:rStyle w:val="Hyperlink"/>
                <w:noProof/>
              </w:rPr>
              <w:t>Evaluation Summary</w:t>
            </w:r>
            <w:r w:rsidR="004B68A6">
              <w:rPr>
                <w:noProof/>
                <w:webHidden/>
              </w:rPr>
              <w:tab/>
            </w:r>
            <w:r w:rsidR="004B68A6">
              <w:rPr>
                <w:noProof/>
                <w:webHidden/>
              </w:rPr>
              <w:fldChar w:fldCharType="begin"/>
            </w:r>
            <w:r w:rsidR="004B68A6">
              <w:rPr>
                <w:noProof/>
                <w:webHidden/>
              </w:rPr>
              <w:instrText xml:space="preserve"> PAGEREF _Toc458675210 \h </w:instrText>
            </w:r>
            <w:r w:rsidR="004B68A6">
              <w:rPr>
                <w:noProof/>
                <w:webHidden/>
              </w:rPr>
            </w:r>
            <w:r w:rsidR="004B68A6">
              <w:rPr>
                <w:noProof/>
                <w:webHidden/>
              </w:rPr>
              <w:fldChar w:fldCharType="separate"/>
            </w:r>
            <w:r w:rsidR="004B68A6">
              <w:rPr>
                <w:noProof/>
                <w:webHidden/>
              </w:rPr>
              <w:t>45</w:t>
            </w:r>
            <w:r w:rsidR="004B68A6">
              <w:rPr>
                <w:noProof/>
                <w:webHidden/>
              </w:rPr>
              <w:fldChar w:fldCharType="end"/>
            </w:r>
          </w:hyperlink>
        </w:p>
        <w:p w14:paraId="3968E5CF" w14:textId="77777777" w:rsidR="004B68A6" w:rsidRDefault="00703365">
          <w:pPr>
            <w:pStyle w:val="TOC1"/>
            <w:tabs>
              <w:tab w:val="left" w:pos="440"/>
              <w:tab w:val="right" w:leader="dot" w:pos="9016"/>
            </w:tabs>
            <w:rPr>
              <w:rFonts w:eastAsiaTheme="minorEastAsia"/>
              <w:noProof/>
              <w:lang w:eastAsia="en-AU"/>
            </w:rPr>
          </w:pPr>
          <w:hyperlink w:anchor="_Toc458675211" w:history="1">
            <w:r w:rsidR="004B68A6" w:rsidRPr="004424DC">
              <w:rPr>
                <w:rStyle w:val="Hyperlink"/>
                <w:noProof/>
              </w:rPr>
              <w:t>8.</w:t>
            </w:r>
            <w:r w:rsidR="004B68A6">
              <w:rPr>
                <w:rFonts w:eastAsiaTheme="minorEastAsia"/>
                <w:noProof/>
                <w:lang w:eastAsia="en-AU"/>
              </w:rPr>
              <w:tab/>
            </w:r>
            <w:r w:rsidR="004B68A6" w:rsidRPr="004424DC">
              <w:rPr>
                <w:rStyle w:val="Hyperlink"/>
                <w:noProof/>
              </w:rPr>
              <w:t>Consultation Undertaken</w:t>
            </w:r>
            <w:r w:rsidR="004B68A6">
              <w:rPr>
                <w:noProof/>
                <w:webHidden/>
              </w:rPr>
              <w:tab/>
            </w:r>
            <w:r w:rsidR="004B68A6">
              <w:rPr>
                <w:noProof/>
                <w:webHidden/>
              </w:rPr>
              <w:fldChar w:fldCharType="begin"/>
            </w:r>
            <w:r w:rsidR="004B68A6">
              <w:rPr>
                <w:noProof/>
                <w:webHidden/>
              </w:rPr>
              <w:instrText xml:space="preserve"> PAGEREF _Toc458675211 \h </w:instrText>
            </w:r>
            <w:r w:rsidR="004B68A6">
              <w:rPr>
                <w:noProof/>
                <w:webHidden/>
              </w:rPr>
            </w:r>
            <w:r w:rsidR="004B68A6">
              <w:rPr>
                <w:noProof/>
                <w:webHidden/>
              </w:rPr>
              <w:fldChar w:fldCharType="separate"/>
            </w:r>
            <w:r w:rsidR="004B68A6">
              <w:rPr>
                <w:noProof/>
                <w:webHidden/>
              </w:rPr>
              <w:t>48</w:t>
            </w:r>
            <w:r w:rsidR="004B68A6">
              <w:rPr>
                <w:noProof/>
                <w:webHidden/>
              </w:rPr>
              <w:fldChar w:fldCharType="end"/>
            </w:r>
          </w:hyperlink>
        </w:p>
        <w:p w14:paraId="08450C72" w14:textId="77777777" w:rsidR="004B68A6" w:rsidRDefault="00703365">
          <w:pPr>
            <w:pStyle w:val="TOC1"/>
            <w:tabs>
              <w:tab w:val="left" w:pos="440"/>
              <w:tab w:val="right" w:leader="dot" w:pos="9016"/>
            </w:tabs>
            <w:rPr>
              <w:rFonts w:eastAsiaTheme="minorEastAsia"/>
              <w:noProof/>
              <w:lang w:eastAsia="en-AU"/>
            </w:rPr>
          </w:pPr>
          <w:hyperlink w:anchor="_Toc458675212" w:history="1">
            <w:r w:rsidR="004B68A6" w:rsidRPr="004424DC">
              <w:rPr>
                <w:rStyle w:val="Hyperlink"/>
                <w:noProof/>
              </w:rPr>
              <w:t>9.</w:t>
            </w:r>
            <w:r w:rsidR="004B68A6">
              <w:rPr>
                <w:rFonts w:eastAsiaTheme="minorEastAsia"/>
                <w:noProof/>
                <w:lang w:eastAsia="en-AU"/>
              </w:rPr>
              <w:tab/>
            </w:r>
            <w:r w:rsidR="004B68A6" w:rsidRPr="004424DC">
              <w:rPr>
                <w:rStyle w:val="Hyperlink"/>
                <w:noProof/>
              </w:rPr>
              <w:t>Glossary</w:t>
            </w:r>
            <w:r w:rsidR="004B68A6">
              <w:rPr>
                <w:noProof/>
                <w:webHidden/>
              </w:rPr>
              <w:tab/>
            </w:r>
            <w:r w:rsidR="004B68A6">
              <w:rPr>
                <w:noProof/>
                <w:webHidden/>
              </w:rPr>
              <w:fldChar w:fldCharType="begin"/>
            </w:r>
            <w:r w:rsidR="004B68A6">
              <w:rPr>
                <w:noProof/>
                <w:webHidden/>
              </w:rPr>
              <w:instrText xml:space="preserve"> PAGEREF _Toc458675212 \h </w:instrText>
            </w:r>
            <w:r w:rsidR="004B68A6">
              <w:rPr>
                <w:noProof/>
                <w:webHidden/>
              </w:rPr>
            </w:r>
            <w:r w:rsidR="004B68A6">
              <w:rPr>
                <w:noProof/>
                <w:webHidden/>
              </w:rPr>
              <w:fldChar w:fldCharType="separate"/>
            </w:r>
            <w:r w:rsidR="004B68A6">
              <w:rPr>
                <w:noProof/>
                <w:webHidden/>
              </w:rPr>
              <w:t>49</w:t>
            </w:r>
            <w:r w:rsidR="004B68A6">
              <w:rPr>
                <w:noProof/>
                <w:webHidden/>
              </w:rPr>
              <w:fldChar w:fldCharType="end"/>
            </w:r>
          </w:hyperlink>
        </w:p>
        <w:p w14:paraId="5BFB2783" w14:textId="77777777" w:rsidR="004B68A6" w:rsidRDefault="00703365">
          <w:pPr>
            <w:pStyle w:val="TOC1"/>
            <w:tabs>
              <w:tab w:val="left" w:pos="660"/>
              <w:tab w:val="right" w:leader="dot" w:pos="9016"/>
            </w:tabs>
            <w:rPr>
              <w:rFonts w:eastAsiaTheme="minorEastAsia"/>
              <w:noProof/>
              <w:lang w:eastAsia="en-AU"/>
            </w:rPr>
          </w:pPr>
          <w:hyperlink w:anchor="_Toc458675213" w:history="1">
            <w:r w:rsidR="004B68A6" w:rsidRPr="004424DC">
              <w:rPr>
                <w:rStyle w:val="Hyperlink"/>
                <w:noProof/>
              </w:rPr>
              <w:t>10.</w:t>
            </w:r>
            <w:r w:rsidR="004B68A6">
              <w:rPr>
                <w:rFonts w:eastAsiaTheme="minorEastAsia"/>
                <w:noProof/>
                <w:lang w:eastAsia="en-AU"/>
              </w:rPr>
              <w:tab/>
            </w:r>
            <w:r w:rsidR="004B68A6" w:rsidRPr="004424DC">
              <w:rPr>
                <w:rStyle w:val="Hyperlink"/>
                <w:noProof/>
              </w:rPr>
              <w:t>Document Information</w:t>
            </w:r>
            <w:r w:rsidR="004B68A6">
              <w:rPr>
                <w:noProof/>
                <w:webHidden/>
              </w:rPr>
              <w:tab/>
            </w:r>
            <w:r w:rsidR="004B68A6">
              <w:rPr>
                <w:noProof/>
                <w:webHidden/>
              </w:rPr>
              <w:fldChar w:fldCharType="begin"/>
            </w:r>
            <w:r w:rsidR="004B68A6">
              <w:rPr>
                <w:noProof/>
                <w:webHidden/>
              </w:rPr>
              <w:instrText xml:space="preserve"> PAGEREF _Toc458675213 \h </w:instrText>
            </w:r>
            <w:r w:rsidR="004B68A6">
              <w:rPr>
                <w:noProof/>
                <w:webHidden/>
              </w:rPr>
            </w:r>
            <w:r w:rsidR="004B68A6">
              <w:rPr>
                <w:noProof/>
                <w:webHidden/>
              </w:rPr>
              <w:fldChar w:fldCharType="separate"/>
            </w:r>
            <w:r w:rsidR="004B68A6">
              <w:rPr>
                <w:noProof/>
                <w:webHidden/>
              </w:rPr>
              <w:t>50</w:t>
            </w:r>
            <w:r w:rsidR="004B68A6">
              <w:rPr>
                <w:noProof/>
                <w:webHidden/>
              </w:rPr>
              <w:fldChar w:fldCharType="end"/>
            </w:r>
          </w:hyperlink>
        </w:p>
        <w:p w14:paraId="4D27ABF9" w14:textId="77777777" w:rsidR="004B68A6" w:rsidRDefault="00703365">
          <w:pPr>
            <w:pStyle w:val="TOC1"/>
            <w:tabs>
              <w:tab w:val="right" w:leader="dot" w:pos="9016"/>
            </w:tabs>
            <w:rPr>
              <w:rFonts w:eastAsiaTheme="minorEastAsia"/>
              <w:noProof/>
              <w:lang w:eastAsia="en-AU"/>
            </w:rPr>
          </w:pPr>
          <w:hyperlink w:anchor="_Toc458675214" w:history="1">
            <w:r w:rsidR="004B68A6" w:rsidRPr="004424DC">
              <w:rPr>
                <w:rStyle w:val="Hyperlink"/>
                <w:noProof/>
              </w:rPr>
              <w:t>Appendix 1 – Background</w:t>
            </w:r>
            <w:r w:rsidR="004B68A6">
              <w:rPr>
                <w:noProof/>
                <w:webHidden/>
              </w:rPr>
              <w:tab/>
            </w:r>
            <w:r w:rsidR="004B68A6">
              <w:rPr>
                <w:noProof/>
                <w:webHidden/>
              </w:rPr>
              <w:fldChar w:fldCharType="begin"/>
            </w:r>
            <w:r w:rsidR="004B68A6">
              <w:rPr>
                <w:noProof/>
                <w:webHidden/>
              </w:rPr>
              <w:instrText xml:space="preserve"> PAGEREF _Toc458675214 \h </w:instrText>
            </w:r>
            <w:r w:rsidR="004B68A6">
              <w:rPr>
                <w:noProof/>
                <w:webHidden/>
              </w:rPr>
            </w:r>
            <w:r w:rsidR="004B68A6">
              <w:rPr>
                <w:noProof/>
                <w:webHidden/>
              </w:rPr>
              <w:fldChar w:fldCharType="separate"/>
            </w:r>
            <w:r w:rsidR="004B68A6">
              <w:rPr>
                <w:noProof/>
                <w:webHidden/>
              </w:rPr>
              <w:t>51</w:t>
            </w:r>
            <w:r w:rsidR="004B68A6">
              <w:rPr>
                <w:noProof/>
                <w:webHidden/>
              </w:rPr>
              <w:fldChar w:fldCharType="end"/>
            </w:r>
          </w:hyperlink>
        </w:p>
        <w:p w14:paraId="05FD5211" w14:textId="77777777" w:rsidR="004B68A6" w:rsidRDefault="00703365">
          <w:pPr>
            <w:pStyle w:val="TOC1"/>
            <w:tabs>
              <w:tab w:val="right" w:leader="dot" w:pos="9016"/>
            </w:tabs>
            <w:rPr>
              <w:rFonts w:eastAsiaTheme="minorEastAsia"/>
              <w:noProof/>
              <w:lang w:eastAsia="en-AU"/>
            </w:rPr>
          </w:pPr>
          <w:hyperlink w:anchor="_Toc458675215" w:history="1">
            <w:r w:rsidR="004B68A6" w:rsidRPr="004424DC">
              <w:rPr>
                <w:rStyle w:val="Hyperlink"/>
                <w:noProof/>
              </w:rPr>
              <w:t>Appendix 2 – IRU Methodology</w:t>
            </w:r>
            <w:r w:rsidR="004B68A6">
              <w:rPr>
                <w:noProof/>
                <w:webHidden/>
              </w:rPr>
              <w:tab/>
            </w:r>
            <w:r w:rsidR="004B68A6">
              <w:rPr>
                <w:noProof/>
                <w:webHidden/>
              </w:rPr>
              <w:fldChar w:fldCharType="begin"/>
            </w:r>
            <w:r w:rsidR="004B68A6">
              <w:rPr>
                <w:noProof/>
                <w:webHidden/>
              </w:rPr>
              <w:instrText xml:space="preserve"> PAGEREF _Toc458675215 \h </w:instrText>
            </w:r>
            <w:r w:rsidR="004B68A6">
              <w:rPr>
                <w:noProof/>
                <w:webHidden/>
              </w:rPr>
            </w:r>
            <w:r w:rsidR="004B68A6">
              <w:rPr>
                <w:noProof/>
                <w:webHidden/>
              </w:rPr>
              <w:fldChar w:fldCharType="separate"/>
            </w:r>
            <w:r w:rsidR="004B68A6">
              <w:rPr>
                <w:noProof/>
                <w:webHidden/>
              </w:rPr>
              <w:t>58</w:t>
            </w:r>
            <w:r w:rsidR="004B68A6">
              <w:rPr>
                <w:noProof/>
                <w:webHidden/>
              </w:rPr>
              <w:fldChar w:fldCharType="end"/>
            </w:r>
          </w:hyperlink>
        </w:p>
        <w:p w14:paraId="62420B26" w14:textId="77777777" w:rsidR="004B68A6" w:rsidRDefault="00703365">
          <w:pPr>
            <w:pStyle w:val="TOC1"/>
            <w:tabs>
              <w:tab w:val="right" w:leader="dot" w:pos="9016"/>
            </w:tabs>
            <w:rPr>
              <w:rFonts w:eastAsiaTheme="minorEastAsia"/>
              <w:noProof/>
              <w:lang w:eastAsia="en-AU"/>
            </w:rPr>
          </w:pPr>
          <w:hyperlink w:anchor="_Toc458675216" w:history="1">
            <w:r w:rsidR="004B68A6" w:rsidRPr="004424DC">
              <w:rPr>
                <w:rStyle w:val="Hyperlink"/>
                <w:noProof/>
              </w:rPr>
              <w:t>Appendix 3 – The Risk Reduction Model</w:t>
            </w:r>
            <w:r w:rsidR="004B68A6">
              <w:rPr>
                <w:noProof/>
                <w:webHidden/>
              </w:rPr>
              <w:tab/>
            </w:r>
            <w:r w:rsidR="004B68A6">
              <w:rPr>
                <w:noProof/>
                <w:webHidden/>
              </w:rPr>
              <w:fldChar w:fldCharType="begin"/>
            </w:r>
            <w:r w:rsidR="004B68A6">
              <w:rPr>
                <w:noProof/>
                <w:webHidden/>
              </w:rPr>
              <w:instrText xml:space="preserve"> PAGEREF _Toc458675216 \h </w:instrText>
            </w:r>
            <w:r w:rsidR="004B68A6">
              <w:rPr>
                <w:noProof/>
                <w:webHidden/>
              </w:rPr>
            </w:r>
            <w:r w:rsidR="004B68A6">
              <w:rPr>
                <w:noProof/>
                <w:webHidden/>
              </w:rPr>
              <w:fldChar w:fldCharType="separate"/>
            </w:r>
            <w:r w:rsidR="004B68A6">
              <w:rPr>
                <w:noProof/>
                <w:webHidden/>
              </w:rPr>
              <w:t>83</w:t>
            </w:r>
            <w:r w:rsidR="004B68A6">
              <w:rPr>
                <w:noProof/>
                <w:webHidden/>
              </w:rPr>
              <w:fldChar w:fldCharType="end"/>
            </w:r>
          </w:hyperlink>
        </w:p>
        <w:p w14:paraId="1AB29AC2" w14:textId="77777777" w:rsidR="004B68A6" w:rsidRDefault="00703365">
          <w:pPr>
            <w:pStyle w:val="TOC1"/>
            <w:tabs>
              <w:tab w:val="right" w:leader="dot" w:pos="9016"/>
            </w:tabs>
            <w:rPr>
              <w:rFonts w:eastAsiaTheme="minorEastAsia"/>
              <w:noProof/>
              <w:lang w:eastAsia="en-AU"/>
            </w:rPr>
          </w:pPr>
          <w:hyperlink w:anchor="_Toc458675217" w:history="1">
            <w:r w:rsidR="004B68A6" w:rsidRPr="004424DC">
              <w:rPr>
                <w:rStyle w:val="Hyperlink"/>
                <w:noProof/>
              </w:rPr>
              <w:t>Appendix 4 – Analysis to support Incentive Rate Determination</w:t>
            </w:r>
            <w:r w:rsidR="004B68A6">
              <w:rPr>
                <w:noProof/>
                <w:webHidden/>
              </w:rPr>
              <w:tab/>
            </w:r>
            <w:r w:rsidR="004B68A6">
              <w:rPr>
                <w:noProof/>
                <w:webHidden/>
              </w:rPr>
              <w:fldChar w:fldCharType="begin"/>
            </w:r>
            <w:r w:rsidR="004B68A6">
              <w:rPr>
                <w:noProof/>
                <w:webHidden/>
              </w:rPr>
              <w:instrText xml:space="preserve"> PAGEREF _Toc458675217 \h </w:instrText>
            </w:r>
            <w:r w:rsidR="004B68A6">
              <w:rPr>
                <w:noProof/>
                <w:webHidden/>
              </w:rPr>
            </w:r>
            <w:r w:rsidR="004B68A6">
              <w:rPr>
                <w:noProof/>
                <w:webHidden/>
              </w:rPr>
              <w:fldChar w:fldCharType="separate"/>
            </w:r>
            <w:r w:rsidR="004B68A6">
              <w:rPr>
                <w:noProof/>
                <w:webHidden/>
              </w:rPr>
              <w:t>86</w:t>
            </w:r>
            <w:r w:rsidR="004B68A6">
              <w:rPr>
                <w:noProof/>
                <w:webHidden/>
              </w:rPr>
              <w:fldChar w:fldCharType="end"/>
            </w:r>
          </w:hyperlink>
        </w:p>
        <w:p w14:paraId="50E7B1CF" w14:textId="77777777" w:rsidR="004B68A6" w:rsidRDefault="00703365">
          <w:pPr>
            <w:pStyle w:val="TOC1"/>
            <w:tabs>
              <w:tab w:val="right" w:leader="dot" w:pos="9016"/>
            </w:tabs>
            <w:rPr>
              <w:rFonts w:eastAsiaTheme="minorEastAsia"/>
              <w:noProof/>
              <w:lang w:eastAsia="en-AU"/>
            </w:rPr>
          </w:pPr>
          <w:hyperlink w:anchor="_Toc458675218" w:history="1">
            <w:r w:rsidR="004B68A6" w:rsidRPr="004424DC">
              <w:rPr>
                <w:rStyle w:val="Hyperlink"/>
                <w:noProof/>
              </w:rPr>
              <w:t>Appendix 5 – Asymmetric Method</w:t>
            </w:r>
            <w:r w:rsidR="004B68A6">
              <w:rPr>
                <w:noProof/>
                <w:webHidden/>
              </w:rPr>
              <w:tab/>
            </w:r>
            <w:r w:rsidR="004B68A6">
              <w:rPr>
                <w:noProof/>
                <w:webHidden/>
              </w:rPr>
              <w:fldChar w:fldCharType="begin"/>
            </w:r>
            <w:r w:rsidR="004B68A6">
              <w:rPr>
                <w:noProof/>
                <w:webHidden/>
              </w:rPr>
              <w:instrText xml:space="preserve"> PAGEREF _Toc458675218 \h </w:instrText>
            </w:r>
            <w:r w:rsidR="004B68A6">
              <w:rPr>
                <w:noProof/>
                <w:webHidden/>
              </w:rPr>
            </w:r>
            <w:r w:rsidR="004B68A6">
              <w:rPr>
                <w:noProof/>
                <w:webHidden/>
              </w:rPr>
              <w:fldChar w:fldCharType="separate"/>
            </w:r>
            <w:r w:rsidR="004B68A6">
              <w:rPr>
                <w:noProof/>
                <w:webHidden/>
              </w:rPr>
              <w:t>94</w:t>
            </w:r>
            <w:r w:rsidR="004B68A6">
              <w:rPr>
                <w:noProof/>
                <w:webHidden/>
              </w:rPr>
              <w:fldChar w:fldCharType="end"/>
            </w:r>
          </w:hyperlink>
        </w:p>
        <w:p w14:paraId="639D27EA" w14:textId="77777777" w:rsidR="004B68A6" w:rsidRDefault="00703365">
          <w:pPr>
            <w:pStyle w:val="TOC1"/>
            <w:tabs>
              <w:tab w:val="right" w:leader="dot" w:pos="9016"/>
            </w:tabs>
            <w:rPr>
              <w:rFonts w:eastAsiaTheme="minorEastAsia"/>
              <w:noProof/>
              <w:lang w:eastAsia="en-AU"/>
            </w:rPr>
          </w:pPr>
          <w:hyperlink w:anchor="_Toc458675219" w:history="1">
            <w:r w:rsidR="004B68A6" w:rsidRPr="004424DC">
              <w:rPr>
                <w:rStyle w:val="Hyperlink"/>
                <w:noProof/>
              </w:rPr>
              <w:t>Appendix 6 – Proposed Revised f-factor Order-in-Council</w:t>
            </w:r>
            <w:r w:rsidR="004B68A6">
              <w:rPr>
                <w:noProof/>
                <w:webHidden/>
              </w:rPr>
              <w:tab/>
            </w:r>
            <w:r w:rsidR="004B68A6">
              <w:rPr>
                <w:noProof/>
                <w:webHidden/>
              </w:rPr>
              <w:fldChar w:fldCharType="begin"/>
            </w:r>
            <w:r w:rsidR="004B68A6">
              <w:rPr>
                <w:noProof/>
                <w:webHidden/>
              </w:rPr>
              <w:instrText xml:space="preserve"> PAGEREF _Toc458675219 \h </w:instrText>
            </w:r>
            <w:r w:rsidR="004B68A6">
              <w:rPr>
                <w:noProof/>
                <w:webHidden/>
              </w:rPr>
            </w:r>
            <w:r w:rsidR="004B68A6">
              <w:rPr>
                <w:noProof/>
                <w:webHidden/>
              </w:rPr>
              <w:fldChar w:fldCharType="separate"/>
            </w:r>
            <w:r w:rsidR="004B68A6">
              <w:rPr>
                <w:noProof/>
                <w:webHidden/>
              </w:rPr>
              <w:t>97</w:t>
            </w:r>
            <w:r w:rsidR="004B68A6">
              <w:rPr>
                <w:noProof/>
                <w:webHidden/>
              </w:rPr>
              <w:fldChar w:fldCharType="end"/>
            </w:r>
          </w:hyperlink>
        </w:p>
        <w:p w14:paraId="7D4A0F5F" w14:textId="04D45ECC" w:rsidR="009132DA" w:rsidRDefault="009132DA">
          <w:r>
            <w:rPr>
              <w:b/>
              <w:bCs/>
              <w:noProof/>
            </w:rPr>
            <w:fldChar w:fldCharType="end"/>
          </w:r>
        </w:p>
      </w:sdtContent>
    </w:sdt>
    <w:p w14:paraId="0A97BBE9" w14:textId="77777777" w:rsidR="00B96D68" w:rsidRDefault="00B96D68" w:rsidP="003B1591">
      <w:pPr>
        <w:rPr>
          <w:rFonts w:ascii="Candara" w:eastAsiaTheme="majorEastAsia" w:hAnsi="Candara" w:cstheme="majorBidi"/>
        </w:rPr>
        <w:sectPr w:rsidR="00B96D68" w:rsidSect="003543A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EAEF19A" w14:textId="21F68D4E" w:rsidR="003B1591" w:rsidRDefault="003B1591" w:rsidP="003B1591">
      <w:pPr>
        <w:rPr>
          <w:rFonts w:ascii="Candara" w:eastAsiaTheme="majorEastAsia" w:hAnsi="Candara" w:cstheme="majorBidi"/>
        </w:rPr>
      </w:pPr>
    </w:p>
    <w:p w14:paraId="62A8ABF3" w14:textId="77777777" w:rsidR="00093F9A" w:rsidRDefault="00093F9A" w:rsidP="003B1591">
      <w:pPr>
        <w:rPr>
          <w:rFonts w:ascii="Candara" w:eastAsiaTheme="majorEastAsia" w:hAnsi="Candara" w:cstheme="majorBidi"/>
        </w:rPr>
      </w:pPr>
    </w:p>
    <w:p w14:paraId="7BD986DB" w14:textId="77777777" w:rsidR="00093F9A" w:rsidRDefault="00093F9A" w:rsidP="003B1591">
      <w:pPr>
        <w:rPr>
          <w:rFonts w:ascii="Candara" w:eastAsiaTheme="majorEastAsia" w:hAnsi="Candara" w:cstheme="majorBidi"/>
        </w:rPr>
      </w:pPr>
    </w:p>
    <w:p w14:paraId="631769E1" w14:textId="77777777" w:rsidR="00093F9A" w:rsidRDefault="00093F9A" w:rsidP="003B1591">
      <w:pPr>
        <w:rPr>
          <w:rFonts w:ascii="Candara" w:eastAsiaTheme="majorEastAsia" w:hAnsi="Candara" w:cstheme="majorBidi"/>
        </w:rPr>
      </w:pPr>
    </w:p>
    <w:p w14:paraId="1445D35A" w14:textId="77777777" w:rsidR="00093F9A" w:rsidRDefault="00093F9A" w:rsidP="003B1591">
      <w:pPr>
        <w:rPr>
          <w:rFonts w:ascii="Candara" w:eastAsiaTheme="majorEastAsia" w:hAnsi="Candara" w:cstheme="majorBidi"/>
        </w:rPr>
      </w:pPr>
    </w:p>
    <w:p w14:paraId="55C9EBC6" w14:textId="77777777" w:rsidR="00093F9A" w:rsidRDefault="00093F9A" w:rsidP="003B1591">
      <w:pPr>
        <w:rPr>
          <w:rFonts w:ascii="Candara" w:eastAsiaTheme="majorEastAsia" w:hAnsi="Candara" w:cstheme="majorBidi"/>
        </w:rPr>
      </w:pPr>
    </w:p>
    <w:p w14:paraId="3E670118" w14:textId="77777777" w:rsidR="00093F9A" w:rsidRDefault="00093F9A" w:rsidP="003B1591">
      <w:pPr>
        <w:rPr>
          <w:rFonts w:ascii="Candara" w:eastAsiaTheme="majorEastAsia" w:hAnsi="Candara" w:cstheme="majorBidi"/>
        </w:rPr>
      </w:pPr>
    </w:p>
    <w:p w14:paraId="10A1BA5B" w14:textId="77777777" w:rsidR="00093F9A" w:rsidRDefault="00093F9A" w:rsidP="003B1591">
      <w:pPr>
        <w:rPr>
          <w:rFonts w:ascii="Candara" w:eastAsiaTheme="majorEastAsia" w:hAnsi="Candara" w:cstheme="majorBidi"/>
        </w:rPr>
      </w:pPr>
    </w:p>
    <w:p w14:paraId="2776F739" w14:textId="77777777" w:rsidR="00093F9A" w:rsidRDefault="00093F9A" w:rsidP="003B1591">
      <w:pPr>
        <w:rPr>
          <w:rFonts w:ascii="Candara" w:eastAsiaTheme="majorEastAsia" w:hAnsi="Candara" w:cstheme="majorBidi"/>
        </w:rPr>
      </w:pPr>
    </w:p>
    <w:p w14:paraId="19F70819" w14:textId="77777777" w:rsidR="00093F9A" w:rsidRDefault="00093F9A" w:rsidP="003B1591">
      <w:pPr>
        <w:rPr>
          <w:rFonts w:ascii="Candara" w:eastAsiaTheme="majorEastAsia" w:hAnsi="Candara" w:cstheme="majorBidi"/>
        </w:rPr>
      </w:pPr>
    </w:p>
    <w:p w14:paraId="5A6F2BE6" w14:textId="77777777" w:rsidR="00093F9A" w:rsidRDefault="00093F9A" w:rsidP="003B1591">
      <w:pPr>
        <w:rPr>
          <w:rFonts w:ascii="Candara" w:eastAsiaTheme="majorEastAsia" w:hAnsi="Candara" w:cstheme="majorBidi"/>
        </w:rPr>
      </w:pPr>
    </w:p>
    <w:p w14:paraId="7A7A8504" w14:textId="77777777" w:rsidR="003B1591" w:rsidRPr="003B1591" w:rsidRDefault="003B1591" w:rsidP="003B1591">
      <w:pPr>
        <w:rPr>
          <w:rFonts w:ascii="Candara" w:eastAsiaTheme="majorEastAsia" w:hAnsi="Candara" w:cstheme="majorBidi"/>
        </w:rPr>
        <w:sectPr w:rsidR="003B1591" w:rsidRPr="003B1591" w:rsidSect="003543AF">
          <w:headerReference w:type="default" r:id="rId15"/>
          <w:pgSz w:w="11906" w:h="16838"/>
          <w:pgMar w:top="1440" w:right="1440" w:bottom="1440" w:left="1440" w:header="708" w:footer="708" w:gutter="0"/>
          <w:cols w:space="708"/>
          <w:docGrid w:linePitch="360"/>
        </w:sectPr>
      </w:pPr>
    </w:p>
    <w:p w14:paraId="15290582" w14:textId="5D3E0DF1" w:rsidR="009958D7" w:rsidRPr="00C629A3" w:rsidRDefault="009958D7">
      <w:pPr>
        <w:rPr>
          <w:rFonts w:ascii="Candara" w:eastAsiaTheme="majorEastAsia" w:hAnsi="Candara" w:cstheme="majorBidi"/>
          <w:b/>
          <w:bCs/>
          <w:color w:val="365F91" w:themeColor="accent1" w:themeShade="BF"/>
        </w:rPr>
      </w:pPr>
    </w:p>
    <w:p w14:paraId="61C4F8CF" w14:textId="77777777" w:rsidR="003A2708" w:rsidRPr="00C629A3" w:rsidRDefault="008D1938" w:rsidP="009F5994">
      <w:pPr>
        <w:pStyle w:val="Heading1"/>
        <w:rPr>
          <w:sz w:val="22"/>
          <w:szCs w:val="22"/>
        </w:rPr>
      </w:pPr>
      <w:bookmarkStart w:id="1" w:name="_Toc458675157"/>
      <w:r w:rsidRPr="00C629A3">
        <w:rPr>
          <w:sz w:val="22"/>
          <w:szCs w:val="22"/>
        </w:rPr>
        <w:t>Summary</w:t>
      </w:r>
      <w:bookmarkEnd w:id="1"/>
    </w:p>
    <w:p w14:paraId="5C8A10F6" w14:textId="77777777" w:rsidR="001A0A11" w:rsidRPr="00C629A3" w:rsidRDefault="001A0A11">
      <w:pPr>
        <w:rPr>
          <w:rFonts w:ascii="Candara" w:hAnsi="Candara"/>
        </w:rPr>
      </w:pPr>
    </w:p>
    <w:p w14:paraId="37B99F8F" w14:textId="60ADD6BC" w:rsidR="007660A8" w:rsidRDefault="007660A8" w:rsidP="003F1A50">
      <w:pPr>
        <w:rPr>
          <w:rFonts w:ascii="Candara" w:hAnsi="Candara"/>
        </w:rPr>
      </w:pPr>
      <w:r>
        <w:rPr>
          <w:rFonts w:ascii="Candara" w:hAnsi="Candara"/>
        </w:rPr>
        <w:t>The f-factor</w:t>
      </w:r>
      <w:r w:rsidR="00DD369E">
        <w:rPr>
          <w:rFonts w:ascii="Candara" w:hAnsi="Candara"/>
        </w:rPr>
        <w:t xml:space="preserve"> </w:t>
      </w:r>
      <w:r>
        <w:rPr>
          <w:rFonts w:ascii="Candara" w:hAnsi="Candara"/>
        </w:rPr>
        <w:t xml:space="preserve">is an existing regulatory instrument under the </w:t>
      </w:r>
      <w:r w:rsidRPr="00981E11">
        <w:rPr>
          <w:rFonts w:ascii="Candara" w:hAnsi="Candara"/>
          <w:i/>
        </w:rPr>
        <w:t>National Electricity (Victoria) Act 2005</w:t>
      </w:r>
      <w:r>
        <w:rPr>
          <w:rFonts w:ascii="Candara" w:hAnsi="Candara"/>
          <w:i/>
        </w:rPr>
        <w:t xml:space="preserve"> </w:t>
      </w:r>
      <w:r w:rsidRPr="00AD3011">
        <w:rPr>
          <w:rFonts w:ascii="Candara" w:hAnsi="Candara"/>
        </w:rPr>
        <w:t>which specifically provides Distribution Net</w:t>
      </w:r>
      <w:r w:rsidR="00987A37" w:rsidRPr="00AD3011">
        <w:rPr>
          <w:rFonts w:ascii="Candara" w:hAnsi="Candara"/>
        </w:rPr>
        <w:t xml:space="preserve">work Service Providers </w:t>
      </w:r>
      <w:r w:rsidR="009C27EF">
        <w:rPr>
          <w:rFonts w:ascii="Candara" w:hAnsi="Candara"/>
        </w:rPr>
        <w:t>(</w:t>
      </w:r>
      <w:r w:rsidR="009C27EF" w:rsidRPr="009C27EF">
        <w:rPr>
          <w:rFonts w:ascii="Candara" w:hAnsi="Candara"/>
        </w:rPr>
        <w:t>distribution businesses</w:t>
      </w:r>
      <w:r w:rsidR="009C27EF">
        <w:rPr>
          <w:rFonts w:ascii="Candara" w:hAnsi="Candara"/>
        </w:rPr>
        <w:t xml:space="preserve">) </w:t>
      </w:r>
      <w:r w:rsidR="00872774">
        <w:rPr>
          <w:rFonts w:ascii="Candara" w:hAnsi="Candara"/>
        </w:rPr>
        <w:t xml:space="preserve">with an </w:t>
      </w:r>
      <w:r w:rsidR="00987A37" w:rsidRPr="00AD3011">
        <w:rPr>
          <w:rFonts w:ascii="Candara" w:hAnsi="Candara"/>
        </w:rPr>
        <w:t>incentive</w:t>
      </w:r>
      <w:r w:rsidRPr="00AD3011">
        <w:rPr>
          <w:rFonts w:ascii="Candara" w:hAnsi="Candara"/>
        </w:rPr>
        <w:t xml:space="preserve"> to lower </w:t>
      </w:r>
      <w:r w:rsidR="00CB37B5">
        <w:rPr>
          <w:rFonts w:ascii="Candara" w:hAnsi="Candara"/>
        </w:rPr>
        <w:t xml:space="preserve">the number of </w:t>
      </w:r>
      <w:r w:rsidRPr="00AD3011">
        <w:rPr>
          <w:rFonts w:ascii="Candara" w:hAnsi="Candara"/>
        </w:rPr>
        <w:t>fire starts on their networks in Victoria</w:t>
      </w:r>
      <w:r>
        <w:rPr>
          <w:rFonts w:ascii="Candara" w:hAnsi="Candara"/>
          <w:i/>
        </w:rPr>
        <w:t>.</w:t>
      </w:r>
      <w:r>
        <w:rPr>
          <w:rFonts w:ascii="Candara" w:hAnsi="Candara"/>
        </w:rPr>
        <w:t xml:space="preserve"> </w:t>
      </w:r>
    </w:p>
    <w:p w14:paraId="672B03E5" w14:textId="07765984" w:rsidR="00AD3011" w:rsidRDefault="003F1A50" w:rsidP="003F1A50">
      <w:pPr>
        <w:rPr>
          <w:rFonts w:ascii="Candara" w:hAnsi="Candara"/>
        </w:rPr>
      </w:pPr>
      <w:r w:rsidRPr="00C629A3">
        <w:rPr>
          <w:rFonts w:ascii="Candara" w:hAnsi="Candara"/>
        </w:rPr>
        <w:t xml:space="preserve">The Victorian Government introduced the f-factor </w:t>
      </w:r>
      <w:r w:rsidR="00CB37B5">
        <w:rPr>
          <w:rFonts w:ascii="Candara" w:hAnsi="Candara"/>
        </w:rPr>
        <w:t xml:space="preserve">as one of several measures </w:t>
      </w:r>
      <w:r w:rsidRPr="00C629A3">
        <w:rPr>
          <w:rFonts w:ascii="Candara" w:hAnsi="Candara"/>
        </w:rPr>
        <w:t xml:space="preserve">in response to the 2009 Black Saturday bushfires. The objective of the f-factor is to </w:t>
      </w:r>
      <w:r w:rsidR="006F12CB" w:rsidRPr="00C629A3">
        <w:rPr>
          <w:rFonts w:ascii="Candara" w:hAnsi="Candara"/>
        </w:rPr>
        <w:t>reduce harm to human life and property by powerline-caused bushfires, without imposing additional costs on consumers.</w:t>
      </w:r>
      <w:r w:rsidRPr="00C629A3">
        <w:rPr>
          <w:rFonts w:ascii="Candara" w:hAnsi="Candara"/>
        </w:rPr>
        <w:t xml:space="preserve"> </w:t>
      </w:r>
      <w:r w:rsidR="00B424DE">
        <w:rPr>
          <w:rFonts w:ascii="Candara" w:hAnsi="Candara"/>
        </w:rPr>
        <w:t xml:space="preserve">The scheme commenced 1 January 2012. </w:t>
      </w:r>
    </w:p>
    <w:p w14:paraId="784144F3" w14:textId="6BC213D6" w:rsidR="003F1A50" w:rsidRPr="00C629A3" w:rsidRDefault="008006AB" w:rsidP="003F1A50">
      <w:pPr>
        <w:rPr>
          <w:rFonts w:ascii="Candara" w:hAnsi="Candara"/>
        </w:rPr>
      </w:pPr>
      <w:r w:rsidRPr="00C629A3">
        <w:rPr>
          <w:rFonts w:ascii="Candara" w:hAnsi="Candara"/>
        </w:rPr>
        <w:t xml:space="preserve">The f-factor is not intended to be the primary instrument by which the state delivers network bushfire safety improvement. Rather, it </w:t>
      </w:r>
      <w:r w:rsidR="006F12CB" w:rsidRPr="00C629A3">
        <w:rPr>
          <w:rFonts w:ascii="Candara" w:hAnsi="Candara"/>
        </w:rPr>
        <w:t xml:space="preserve">provides businesses with an incentive to </w:t>
      </w:r>
      <w:r w:rsidR="00CB37B5">
        <w:rPr>
          <w:rFonts w:ascii="Candara" w:hAnsi="Candara"/>
        </w:rPr>
        <w:t>enhance</w:t>
      </w:r>
      <w:r w:rsidR="006F12CB" w:rsidRPr="00C629A3">
        <w:rPr>
          <w:rFonts w:ascii="Candara" w:hAnsi="Candara"/>
        </w:rPr>
        <w:t xml:space="preserve"> safety outcomes from </w:t>
      </w:r>
      <w:r w:rsidR="00CB37B5">
        <w:rPr>
          <w:rFonts w:ascii="Candara" w:hAnsi="Candara"/>
        </w:rPr>
        <w:t xml:space="preserve">the optimal allocation of </w:t>
      </w:r>
      <w:r w:rsidR="006F12CB" w:rsidRPr="00C629A3">
        <w:rPr>
          <w:rFonts w:ascii="Candara" w:hAnsi="Candara"/>
        </w:rPr>
        <w:t xml:space="preserve">existing resources. </w:t>
      </w:r>
    </w:p>
    <w:p w14:paraId="7AFF1988" w14:textId="343BCB86" w:rsidR="003F1A50" w:rsidRPr="00C629A3" w:rsidRDefault="003F1A50" w:rsidP="003F1A50">
      <w:pPr>
        <w:rPr>
          <w:rFonts w:ascii="Candara" w:hAnsi="Candara"/>
        </w:rPr>
      </w:pPr>
      <w:r w:rsidRPr="00C629A3">
        <w:rPr>
          <w:rFonts w:ascii="Candara" w:hAnsi="Candara"/>
        </w:rPr>
        <w:t xml:space="preserve">The f-factor was modelled on the Service Target Performance Incentive Scheme </w:t>
      </w:r>
      <w:r w:rsidR="00AD3011">
        <w:rPr>
          <w:rFonts w:ascii="Candara" w:hAnsi="Candara"/>
        </w:rPr>
        <w:t>(STPIS). The STPIS</w:t>
      </w:r>
      <w:r w:rsidRPr="00C629A3">
        <w:rPr>
          <w:rFonts w:ascii="Candara" w:hAnsi="Candara"/>
        </w:rPr>
        <w:t xml:space="preserve"> </w:t>
      </w:r>
      <w:r w:rsidR="005C36EF" w:rsidRPr="00C629A3">
        <w:rPr>
          <w:rFonts w:ascii="Candara" w:hAnsi="Candara"/>
        </w:rPr>
        <w:t>sets a five-year supply reliability benchmark for each</w:t>
      </w:r>
      <w:r w:rsidR="009C27EF">
        <w:rPr>
          <w:rFonts w:ascii="Candara" w:hAnsi="Candara"/>
        </w:rPr>
        <w:t xml:space="preserve"> distribution</w:t>
      </w:r>
      <w:r w:rsidR="005C36EF" w:rsidRPr="00C629A3">
        <w:rPr>
          <w:rFonts w:ascii="Candara" w:hAnsi="Candara"/>
        </w:rPr>
        <w:t xml:space="preserve"> business and then </w:t>
      </w:r>
      <w:r w:rsidRPr="00C629A3">
        <w:rPr>
          <w:rFonts w:ascii="Candara" w:hAnsi="Candara"/>
        </w:rPr>
        <w:t xml:space="preserve">rewards or penalises </w:t>
      </w:r>
      <w:r w:rsidR="006F12CB" w:rsidRPr="00C629A3">
        <w:rPr>
          <w:rFonts w:ascii="Candara" w:hAnsi="Candara"/>
        </w:rPr>
        <w:t>them according to whether</w:t>
      </w:r>
      <w:r w:rsidR="005C36EF" w:rsidRPr="00C629A3">
        <w:rPr>
          <w:rFonts w:ascii="Candara" w:hAnsi="Candara"/>
        </w:rPr>
        <w:t xml:space="preserve"> they meet their benchmarks</w:t>
      </w:r>
      <w:r w:rsidR="00D45535" w:rsidRPr="00C629A3">
        <w:rPr>
          <w:rFonts w:ascii="Candara" w:hAnsi="Candara"/>
        </w:rPr>
        <w:t xml:space="preserve">. </w:t>
      </w:r>
      <w:r w:rsidR="005C36EF" w:rsidRPr="00C629A3">
        <w:rPr>
          <w:rFonts w:ascii="Candara" w:hAnsi="Candara"/>
        </w:rPr>
        <w:t>Th</w:t>
      </w:r>
      <w:r w:rsidR="006F12CB" w:rsidRPr="00C629A3">
        <w:rPr>
          <w:rFonts w:ascii="Candara" w:hAnsi="Candara"/>
        </w:rPr>
        <w:t>e STPIS</w:t>
      </w:r>
      <w:r w:rsidR="005C36EF" w:rsidRPr="00C629A3">
        <w:rPr>
          <w:rFonts w:ascii="Candara" w:hAnsi="Candara"/>
        </w:rPr>
        <w:t xml:space="preserve"> has </w:t>
      </w:r>
      <w:r w:rsidR="006F12CB" w:rsidRPr="00C629A3">
        <w:rPr>
          <w:rFonts w:ascii="Candara" w:hAnsi="Candara"/>
        </w:rPr>
        <w:t>created</w:t>
      </w:r>
      <w:r w:rsidR="00AD3011">
        <w:rPr>
          <w:rFonts w:ascii="Candara" w:hAnsi="Candara"/>
        </w:rPr>
        <w:t xml:space="preserve"> an </w:t>
      </w:r>
      <w:r w:rsidR="005C36EF" w:rsidRPr="00C629A3">
        <w:rPr>
          <w:rFonts w:ascii="Candara" w:hAnsi="Candara"/>
        </w:rPr>
        <w:t xml:space="preserve">incentive to improve reliability and </w:t>
      </w:r>
      <w:r w:rsidR="009C27EF">
        <w:rPr>
          <w:rFonts w:ascii="Candara" w:hAnsi="Candara"/>
        </w:rPr>
        <w:t xml:space="preserve">distribution </w:t>
      </w:r>
      <w:r w:rsidR="005C36EF" w:rsidRPr="00C629A3">
        <w:rPr>
          <w:rFonts w:ascii="Candara" w:hAnsi="Candara"/>
        </w:rPr>
        <w:t>business performance has improved accordingly. The f-factor</w:t>
      </w:r>
      <w:r w:rsidR="00FD4AF4" w:rsidRPr="00C629A3">
        <w:rPr>
          <w:rFonts w:ascii="Candara" w:hAnsi="Candara"/>
        </w:rPr>
        <w:t xml:space="preserve"> </w:t>
      </w:r>
      <w:r w:rsidR="005C36EF" w:rsidRPr="00C629A3">
        <w:rPr>
          <w:rFonts w:ascii="Candara" w:hAnsi="Candara"/>
        </w:rPr>
        <w:t>seeks to</w:t>
      </w:r>
      <w:r w:rsidR="00AD3011">
        <w:rPr>
          <w:rFonts w:ascii="Candara" w:hAnsi="Candara"/>
        </w:rPr>
        <w:t xml:space="preserve"> </w:t>
      </w:r>
      <w:r w:rsidR="00CB37B5">
        <w:rPr>
          <w:rFonts w:ascii="Candara" w:hAnsi="Candara"/>
        </w:rPr>
        <w:t>provide</w:t>
      </w:r>
      <w:r w:rsidR="00AD3011">
        <w:rPr>
          <w:rFonts w:ascii="Candara" w:hAnsi="Candara"/>
        </w:rPr>
        <w:t xml:space="preserve"> a similar incentive for</w:t>
      </w:r>
      <w:r w:rsidR="005C36EF" w:rsidRPr="00C629A3">
        <w:rPr>
          <w:rFonts w:ascii="Candara" w:hAnsi="Candara"/>
        </w:rPr>
        <w:t xml:space="preserve"> businesses to lower </w:t>
      </w:r>
      <w:r w:rsidR="00D069D4" w:rsidRPr="00C629A3">
        <w:rPr>
          <w:rFonts w:ascii="Candara" w:hAnsi="Candara"/>
        </w:rPr>
        <w:t>their bushfire</w:t>
      </w:r>
      <w:r w:rsidR="005C36EF" w:rsidRPr="00C629A3">
        <w:rPr>
          <w:rFonts w:ascii="Candara" w:hAnsi="Candara"/>
        </w:rPr>
        <w:t xml:space="preserve"> risk</w:t>
      </w:r>
      <w:r w:rsidR="00AD3011">
        <w:rPr>
          <w:rFonts w:ascii="Candara" w:hAnsi="Candara"/>
        </w:rPr>
        <w:t>.</w:t>
      </w:r>
      <w:r w:rsidR="005C36EF" w:rsidRPr="00C629A3">
        <w:rPr>
          <w:rFonts w:ascii="Candara" w:hAnsi="Candara"/>
        </w:rPr>
        <w:t xml:space="preserve"> </w:t>
      </w:r>
    </w:p>
    <w:p w14:paraId="3FA5F111" w14:textId="191DD02D" w:rsidR="00A00582" w:rsidRDefault="00CB37B5">
      <w:pPr>
        <w:rPr>
          <w:rFonts w:ascii="Candara" w:hAnsi="Candara"/>
        </w:rPr>
      </w:pPr>
      <w:r>
        <w:rPr>
          <w:rFonts w:ascii="Candara" w:hAnsi="Candara"/>
        </w:rPr>
        <w:t xml:space="preserve">A change to the f-factor has been devised because of inefficiencies inherent in the current scheme, such that </w:t>
      </w:r>
      <w:r w:rsidR="00A00582">
        <w:rPr>
          <w:rFonts w:ascii="Candara" w:hAnsi="Candara"/>
        </w:rPr>
        <w:t>incentives to improve saf</w:t>
      </w:r>
      <w:r w:rsidR="00556333">
        <w:rPr>
          <w:rFonts w:ascii="Candara" w:hAnsi="Candara"/>
        </w:rPr>
        <w:t>ety are equivalent for both low-risk and high-</w:t>
      </w:r>
      <w:r w:rsidR="00A00582">
        <w:rPr>
          <w:rFonts w:ascii="Candara" w:hAnsi="Candara"/>
        </w:rPr>
        <w:t>risk powerlines. That is,</w:t>
      </w:r>
      <w:r w:rsidR="00556333">
        <w:rPr>
          <w:rFonts w:ascii="Candara" w:hAnsi="Candara"/>
        </w:rPr>
        <w:t xml:space="preserve"> risk is treated as being as </w:t>
      </w:r>
      <w:r w:rsidR="00A00582">
        <w:rPr>
          <w:rFonts w:ascii="Candara" w:hAnsi="Candara"/>
        </w:rPr>
        <w:t>equal across the</w:t>
      </w:r>
      <w:r w:rsidR="00556333">
        <w:rPr>
          <w:rFonts w:ascii="Candara" w:hAnsi="Candara"/>
        </w:rPr>
        <w:t xml:space="preserve"> entire distribution network irrespective of genuine underlying risk differences. </w:t>
      </w:r>
      <w:r w:rsidR="00A00582">
        <w:rPr>
          <w:rFonts w:ascii="Candara" w:hAnsi="Candara"/>
        </w:rPr>
        <w:t xml:space="preserve"> </w:t>
      </w:r>
    </w:p>
    <w:p w14:paraId="27836EF8" w14:textId="5C1DE1C8" w:rsidR="001A0A11" w:rsidRPr="00C629A3" w:rsidRDefault="001A0A11">
      <w:pPr>
        <w:rPr>
          <w:rFonts w:ascii="Candara" w:hAnsi="Candara"/>
        </w:rPr>
      </w:pPr>
      <w:r w:rsidRPr="00C629A3">
        <w:rPr>
          <w:rFonts w:ascii="Candara" w:hAnsi="Candara"/>
        </w:rPr>
        <w:t>The follow</w:t>
      </w:r>
      <w:r w:rsidR="00090E7E">
        <w:rPr>
          <w:rFonts w:ascii="Candara" w:hAnsi="Candara"/>
        </w:rPr>
        <w:t>i</w:t>
      </w:r>
      <w:r w:rsidR="00CB37B5">
        <w:rPr>
          <w:rFonts w:ascii="Candara" w:hAnsi="Candara"/>
        </w:rPr>
        <w:t>ng regulatory impact statement has been</w:t>
      </w:r>
      <w:r w:rsidR="00090E7E">
        <w:rPr>
          <w:rFonts w:ascii="Candara" w:hAnsi="Candara"/>
        </w:rPr>
        <w:t xml:space="preserve"> </w:t>
      </w:r>
      <w:r w:rsidR="000A579E">
        <w:rPr>
          <w:rFonts w:ascii="Candara" w:hAnsi="Candara"/>
        </w:rPr>
        <w:t>prepared</w:t>
      </w:r>
      <w:r w:rsidRPr="00C629A3">
        <w:rPr>
          <w:rFonts w:ascii="Candara" w:hAnsi="Candara"/>
        </w:rPr>
        <w:t xml:space="preserve"> by the </w:t>
      </w:r>
      <w:r w:rsidRPr="005220C5">
        <w:rPr>
          <w:rFonts w:ascii="Candara" w:hAnsi="Candara"/>
        </w:rPr>
        <w:t xml:space="preserve">Department of </w:t>
      </w:r>
      <w:r w:rsidR="00240A8D">
        <w:rPr>
          <w:rFonts w:ascii="Candara" w:hAnsi="Candara"/>
        </w:rPr>
        <w:t>Environment, Land, Water and Planning</w:t>
      </w:r>
      <w:r w:rsidR="00AD3011" w:rsidRPr="005220C5">
        <w:rPr>
          <w:rFonts w:ascii="Candara" w:hAnsi="Candara"/>
        </w:rPr>
        <w:t xml:space="preserve"> </w:t>
      </w:r>
      <w:r w:rsidR="00240A8D">
        <w:rPr>
          <w:rFonts w:ascii="Candara" w:hAnsi="Candara"/>
        </w:rPr>
        <w:t>(DELWP</w:t>
      </w:r>
      <w:r w:rsidR="00AD3011" w:rsidRPr="005220C5">
        <w:rPr>
          <w:rFonts w:ascii="Candara" w:hAnsi="Candara"/>
        </w:rPr>
        <w:t>)</w:t>
      </w:r>
      <w:r w:rsidR="00AD3011">
        <w:rPr>
          <w:rFonts w:ascii="Candara" w:hAnsi="Candara"/>
        </w:rPr>
        <w:t xml:space="preserve">. It </w:t>
      </w:r>
      <w:r w:rsidR="00090E7E" w:rsidRPr="00C629A3">
        <w:rPr>
          <w:rFonts w:ascii="Candara" w:hAnsi="Candara"/>
        </w:rPr>
        <w:t xml:space="preserve">considers policy options </w:t>
      </w:r>
      <w:r w:rsidRPr="00C629A3">
        <w:rPr>
          <w:rFonts w:ascii="Candara" w:hAnsi="Candara"/>
        </w:rPr>
        <w:t xml:space="preserve">to revise the </w:t>
      </w:r>
      <w:r w:rsidR="00AD3011">
        <w:rPr>
          <w:rFonts w:ascii="Candara" w:hAnsi="Candara"/>
        </w:rPr>
        <w:t xml:space="preserve">existing f-factor scheme with a view to improving its efficiency. </w:t>
      </w:r>
      <w:r w:rsidRPr="00C629A3">
        <w:rPr>
          <w:rFonts w:ascii="Candara" w:hAnsi="Candara"/>
        </w:rPr>
        <w:t xml:space="preserve"> </w:t>
      </w:r>
    </w:p>
    <w:p w14:paraId="7844DD9B" w14:textId="77777777" w:rsidR="00413CFF" w:rsidRDefault="00C67F08" w:rsidP="001A0A11">
      <w:pPr>
        <w:rPr>
          <w:rFonts w:ascii="Candara" w:hAnsi="Candara"/>
        </w:rPr>
      </w:pPr>
      <w:r w:rsidRPr="00C629A3">
        <w:rPr>
          <w:rFonts w:ascii="Candara" w:hAnsi="Candara"/>
        </w:rPr>
        <w:t xml:space="preserve">Several options have been </w:t>
      </w:r>
      <w:r w:rsidR="00413CFF">
        <w:rPr>
          <w:rFonts w:ascii="Candara" w:hAnsi="Candara"/>
        </w:rPr>
        <w:t>considered, including:</w:t>
      </w:r>
    </w:p>
    <w:p w14:paraId="04F68863" w14:textId="359BB66A" w:rsidR="00244EBD" w:rsidRDefault="00413CFF" w:rsidP="00345278">
      <w:pPr>
        <w:pStyle w:val="ListParagraph"/>
        <w:numPr>
          <w:ilvl w:val="0"/>
          <w:numId w:val="24"/>
        </w:numPr>
        <w:rPr>
          <w:rFonts w:ascii="Candara" w:hAnsi="Candara"/>
        </w:rPr>
      </w:pPr>
      <w:r w:rsidRPr="00413CFF">
        <w:rPr>
          <w:rFonts w:ascii="Candara" w:hAnsi="Candara"/>
        </w:rPr>
        <w:t>abolishing the existing f-factor</w:t>
      </w:r>
      <w:r w:rsidR="00CB37B5">
        <w:rPr>
          <w:rFonts w:ascii="Candara" w:hAnsi="Candara"/>
        </w:rPr>
        <w:t xml:space="preserve"> and the associated</w:t>
      </w:r>
      <w:r w:rsidR="007660A8">
        <w:rPr>
          <w:rFonts w:ascii="Candara" w:hAnsi="Candara"/>
        </w:rPr>
        <w:t xml:space="preserve"> data collection obligations</w:t>
      </w:r>
      <w:r w:rsidR="00AD3011">
        <w:rPr>
          <w:rFonts w:ascii="Candara" w:hAnsi="Candara"/>
        </w:rPr>
        <w:t>;</w:t>
      </w:r>
    </w:p>
    <w:p w14:paraId="00DAE1DC" w14:textId="77777777" w:rsidR="00AD3011" w:rsidRPr="00AD3011" w:rsidRDefault="00AD3011" w:rsidP="00345278">
      <w:pPr>
        <w:pStyle w:val="ListParagraph"/>
        <w:numPr>
          <w:ilvl w:val="0"/>
          <w:numId w:val="24"/>
        </w:numPr>
        <w:rPr>
          <w:rFonts w:ascii="Candara" w:hAnsi="Candara"/>
        </w:rPr>
      </w:pPr>
      <w:r w:rsidRPr="00413CFF">
        <w:rPr>
          <w:rFonts w:ascii="Candara" w:hAnsi="Candara"/>
        </w:rPr>
        <w:t>retaining the current f-factor</w:t>
      </w:r>
      <w:r>
        <w:rPr>
          <w:rFonts w:ascii="Candara" w:hAnsi="Candara"/>
        </w:rPr>
        <w:t xml:space="preserve"> with no changes</w:t>
      </w:r>
      <w:r w:rsidRPr="00413CFF">
        <w:rPr>
          <w:rFonts w:ascii="Candara" w:hAnsi="Candara"/>
        </w:rPr>
        <w:t>;</w:t>
      </w:r>
    </w:p>
    <w:p w14:paraId="6817689F" w14:textId="6AFE6378" w:rsidR="00413CFF" w:rsidRPr="00413CFF" w:rsidRDefault="007660A8" w:rsidP="00345278">
      <w:pPr>
        <w:pStyle w:val="ListParagraph"/>
        <w:numPr>
          <w:ilvl w:val="0"/>
          <w:numId w:val="24"/>
        </w:numPr>
        <w:rPr>
          <w:rFonts w:ascii="Candara" w:hAnsi="Candara"/>
        </w:rPr>
      </w:pPr>
      <w:r>
        <w:rPr>
          <w:rFonts w:ascii="Candara" w:hAnsi="Candara"/>
        </w:rPr>
        <w:t>abolish</w:t>
      </w:r>
      <w:r w:rsidR="00C047CB">
        <w:rPr>
          <w:rFonts w:ascii="Candara" w:hAnsi="Candara"/>
        </w:rPr>
        <w:t>ing</w:t>
      </w:r>
      <w:r>
        <w:rPr>
          <w:rFonts w:ascii="Candara" w:hAnsi="Candara"/>
        </w:rPr>
        <w:t xml:space="preserve"> the incentive aspect of the existing f-factor </w:t>
      </w:r>
      <w:r w:rsidR="00987A37">
        <w:rPr>
          <w:rFonts w:ascii="Candara" w:hAnsi="Candara"/>
        </w:rPr>
        <w:t>but</w:t>
      </w:r>
      <w:r>
        <w:rPr>
          <w:rFonts w:ascii="Candara" w:hAnsi="Candara"/>
        </w:rPr>
        <w:t xml:space="preserve"> collect</w:t>
      </w:r>
      <w:r w:rsidR="00CB37B5">
        <w:rPr>
          <w:rFonts w:ascii="Candara" w:hAnsi="Candara"/>
        </w:rPr>
        <w:t>ing</w:t>
      </w:r>
      <w:r w:rsidR="00413CFF" w:rsidRPr="00413CFF">
        <w:rPr>
          <w:rFonts w:ascii="Candara" w:hAnsi="Candara"/>
        </w:rPr>
        <w:t xml:space="preserve"> more detailed ignitio</w:t>
      </w:r>
      <w:r w:rsidR="00AD3011">
        <w:rPr>
          <w:rFonts w:ascii="Candara" w:hAnsi="Candara"/>
        </w:rPr>
        <w:t>ns information (location</w:t>
      </w:r>
      <w:r w:rsidR="00413CFF" w:rsidRPr="00413CFF">
        <w:rPr>
          <w:rFonts w:ascii="Candara" w:hAnsi="Candara"/>
        </w:rPr>
        <w:t xml:space="preserve"> and </w:t>
      </w:r>
      <w:r w:rsidR="00B424DE">
        <w:rPr>
          <w:rFonts w:ascii="Candara" w:hAnsi="Candara"/>
        </w:rPr>
        <w:t xml:space="preserve">recorded </w:t>
      </w:r>
      <w:r w:rsidR="00AD3011">
        <w:rPr>
          <w:rFonts w:ascii="Candara" w:hAnsi="Candara"/>
        </w:rPr>
        <w:t>tim</w:t>
      </w:r>
      <w:r w:rsidR="00B424DE">
        <w:rPr>
          <w:rFonts w:ascii="Candara" w:hAnsi="Candara"/>
        </w:rPr>
        <w:t>e of fire starts</w:t>
      </w:r>
      <w:r w:rsidR="00413CFF" w:rsidRPr="00413CFF">
        <w:rPr>
          <w:rFonts w:ascii="Candara" w:hAnsi="Candara"/>
        </w:rPr>
        <w:t>)</w:t>
      </w:r>
      <w:r w:rsidR="00CB37B5">
        <w:rPr>
          <w:rFonts w:ascii="Candara" w:hAnsi="Candara"/>
        </w:rPr>
        <w:t xml:space="preserve"> but imposing</w:t>
      </w:r>
      <w:r w:rsidR="00244EBD">
        <w:rPr>
          <w:rFonts w:ascii="Candara" w:hAnsi="Candara"/>
        </w:rPr>
        <w:t xml:space="preserve"> no penalties</w:t>
      </w:r>
      <w:r w:rsidR="00413CFF" w:rsidRPr="00413CFF">
        <w:rPr>
          <w:rFonts w:ascii="Candara" w:hAnsi="Candara"/>
        </w:rPr>
        <w:t xml:space="preserve">; </w:t>
      </w:r>
    </w:p>
    <w:p w14:paraId="65158256" w14:textId="77777777" w:rsidR="00413CFF" w:rsidRDefault="00AD3011" w:rsidP="00345278">
      <w:pPr>
        <w:pStyle w:val="ListParagraph"/>
        <w:numPr>
          <w:ilvl w:val="0"/>
          <w:numId w:val="24"/>
        </w:numPr>
        <w:rPr>
          <w:rFonts w:ascii="Candara" w:hAnsi="Candara"/>
        </w:rPr>
      </w:pPr>
      <w:r>
        <w:rPr>
          <w:rFonts w:ascii="Candara" w:hAnsi="Candara"/>
        </w:rPr>
        <w:t>using the detailed ignitions information to weight the penalty for</w:t>
      </w:r>
      <w:r w:rsidR="00CA201B">
        <w:rPr>
          <w:rFonts w:ascii="Candara" w:hAnsi="Candara"/>
        </w:rPr>
        <w:t xml:space="preserve"> </w:t>
      </w:r>
      <w:r w:rsidR="00891608">
        <w:rPr>
          <w:rFonts w:ascii="Candara" w:hAnsi="Candara"/>
        </w:rPr>
        <w:t>each network fire by its bushfire risk</w:t>
      </w:r>
      <w:r w:rsidR="00715DB9">
        <w:rPr>
          <w:rFonts w:ascii="Candara" w:hAnsi="Candara"/>
        </w:rPr>
        <w:t>.</w:t>
      </w:r>
    </w:p>
    <w:p w14:paraId="05361C1A" w14:textId="7F0C909D" w:rsidR="00AA2ED2" w:rsidRDefault="003938C9" w:rsidP="00AA2ED2">
      <w:pPr>
        <w:rPr>
          <w:rFonts w:ascii="Candara" w:hAnsi="Candara"/>
        </w:rPr>
      </w:pPr>
      <w:r w:rsidRPr="00C629A3">
        <w:rPr>
          <w:rFonts w:ascii="Candara" w:hAnsi="Candara"/>
        </w:rPr>
        <w:t xml:space="preserve">The preferred </w:t>
      </w:r>
      <w:r w:rsidR="008667F4">
        <w:rPr>
          <w:rFonts w:ascii="Candara" w:hAnsi="Candara"/>
        </w:rPr>
        <w:t>f-factor design</w:t>
      </w:r>
      <w:r w:rsidR="00556333">
        <w:rPr>
          <w:rFonts w:ascii="Candara" w:hAnsi="Candara"/>
        </w:rPr>
        <w:t xml:space="preserve"> is</w:t>
      </w:r>
      <w:r w:rsidR="00A00582">
        <w:rPr>
          <w:rFonts w:ascii="Candara" w:hAnsi="Candara"/>
        </w:rPr>
        <w:t xml:space="preserve"> the fourth,</w:t>
      </w:r>
      <w:r w:rsidRPr="00C629A3">
        <w:rPr>
          <w:rFonts w:ascii="Candara" w:hAnsi="Candara"/>
        </w:rPr>
        <w:t xml:space="preserve"> </w:t>
      </w:r>
      <w:r w:rsidR="00556333">
        <w:rPr>
          <w:rFonts w:ascii="Candara" w:hAnsi="Candara"/>
        </w:rPr>
        <w:t xml:space="preserve">and </w:t>
      </w:r>
      <w:r w:rsidR="00AA2ED2">
        <w:rPr>
          <w:rFonts w:ascii="Candara" w:hAnsi="Candara"/>
        </w:rPr>
        <w:t>has the following features:</w:t>
      </w:r>
    </w:p>
    <w:p w14:paraId="07E0B26B" w14:textId="4A1DFF60" w:rsidR="00AA2ED2" w:rsidRPr="002B0351" w:rsidRDefault="00891608" w:rsidP="00345278">
      <w:pPr>
        <w:pStyle w:val="ListParagraph"/>
        <w:numPr>
          <w:ilvl w:val="0"/>
          <w:numId w:val="25"/>
        </w:numPr>
        <w:rPr>
          <w:rFonts w:ascii="Candara" w:hAnsi="Candara"/>
        </w:rPr>
      </w:pPr>
      <w:r>
        <w:rPr>
          <w:rFonts w:ascii="Candara" w:hAnsi="Candara"/>
        </w:rPr>
        <w:t>it applies penalty weightings based on timing and location</w:t>
      </w:r>
      <w:r w:rsidR="00A00582">
        <w:rPr>
          <w:rFonts w:ascii="Candara" w:hAnsi="Candara"/>
        </w:rPr>
        <w:t xml:space="preserve"> of powerline ignitions</w:t>
      </w:r>
      <w:r w:rsidR="002B0351">
        <w:rPr>
          <w:rFonts w:ascii="Candara" w:hAnsi="Candara"/>
        </w:rPr>
        <w:t>;</w:t>
      </w:r>
      <w:r w:rsidR="00244EBD" w:rsidRPr="002B0351">
        <w:rPr>
          <w:rFonts w:ascii="Candara" w:hAnsi="Candara"/>
        </w:rPr>
        <w:t xml:space="preserve"> </w:t>
      </w:r>
    </w:p>
    <w:p w14:paraId="52296359" w14:textId="087F8FBD" w:rsidR="00AA2ED2" w:rsidRPr="00891608" w:rsidRDefault="00891608" w:rsidP="00345278">
      <w:pPr>
        <w:pStyle w:val="ListParagraph"/>
        <w:numPr>
          <w:ilvl w:val="0"/>
          <w:numId w:val="25"/>
        </w:numPr>
        <w:rPr>
          <w:rFonts w:ascii="Candara" w:hAnsi="Candara"/>
        </w:rPr>
      </w:pPr>
      <w:r>
        <w:rPr>
          <w:rFonts w:ascii="Candara" w:hAnsi="Candara"/>
        </w:rPr>
        <w:lastRenderedPageBreak/>
        <w:t>i</w:t>
      </w:r>
      <w:r w:rsidR="002B0351" w:rsidRPr="002B0351">
        <w:rPr>
          <w:rFonts w:ascii="Candara" w:hAnsi="Candara"/>
        </w:rPr>
        <w:t>t is based on an averaged historical f</w:t>
      </w:r>
      <w:r w:rsidR="00240A8D">
        <w:rPr>
          <w:rFonts w:ascii="Candara" w:hAnsi="Candara"/>
        </w:rPr>
        <w:t>our</w:t>
      </w:r>
      <w:r w:rsidR="002B0351" w:rsidRPr="002B0351">
        <w:rPr>
          <w:rFonts w:ascii="Candara" w:hAnsi="Candara"/>
        </w:rPr>
        <w:t>-</w:t>
      </w:r>
      <w:r w:rsidR="00AA2ED2" w:rsidRPr="002B0351">
        <w:rPr>
          <w:rFonts w:ascii="Candara" w:hAnsi="Candara"/>
        </w:rPr>
        <w:t>year benc</w:t>
      </w:r>
      <w:r>
        <w:rPr>
          <w:rFonts w:ascii="Candara" w:hAnsi="Candara"/>
        </w:rPr>
        <w:t xml:space="preserve">hmark of </w:t>
      </w:r>
      <w:r w:rsidR="009C27EF">
        <w:rPr>
          <w:rFonts w:ascii="Candara" w:hAnsi="Candara"/>
        </w:rPr>
        <w:t xml:space="preserve">distribution </w:t>
      </w:r>
      <w:r>
        <w:rPr>
          <w:rFonts w:ascii="Candara" w:hAnsi="Candara"/>
        </w:rPr>
        <w:t>business</w:t>
      </w:r>
      <w:r w:rsidR="009C27EF">
        <w:rPr>
          <w:rFonts w:ascii="Candara" w:hAnsi="Candara"/>
        </w:rPr>
        <w:t xml:space="preserve"> network</w:t>
      </w:r>
      <w:r>
        <w:rPr>
          <w:rFonts w:ascii="Candara" w:hAnsi="Candara"/>
        </w:rPr>
        <w:t xml:space="preserve"> ignitions performance,</w:t>
      </w:r>
      <w:r w:rsidRPr="00891608">
        <w:rPr>
          <w:rFonts w:ascii="Candara" w:hAnsi="Candara"/>
        </w:rPr>
        <w:t xml:space="preserve"> </w:t>
      </w:r>
      <w:r>
        <w:rPr>
          <w:rFonts w:ascii="Candara" w:hAnsi="Candara"/>
        </w:rPr>
        <w:t>mak</w:t>
      </w:r>
      <w:r w:rsidR="002845C8">
        <w:rPr>
          <w:rFonts w:ascii="Candara" w:hAnsi="Candara"/>
        </w:rPr>
        <w:t xml:space="preserve">ing it cost neutral over the long term </w:t>
      </w:r>
      <w:r w:rsidR="002845C8" w:rsidRPr="002A127D">
        <w:rPr>
          <w:rFonts w:ascii="Candara" w:hAnsi="Candara"/>
        </w:rPr>
        <w:t xml:space="preserve">if network ignitions </w:t>
      </w:r>
      <w:r w:rsidR="001878B0">
        <w:rPr>
          <w:rFonts w:ascii="Candara" w:hAnsi="Candara"/>
        </w:rPr>
        <w:t>remain constant</w:t>
      </w:r>
      <w:r w:rsidR="002B0351">
        <w:rPr>
          <w:rFonts w:ascii="Candara" w:hAnsi="Candara"/>
        </w:rPr>
        <w:t>;</w:t>
      </w:r>
      <w:r w:rsidR="00C047CB">
        <w:rPr>
          <w:rFonts w:ascii="Candara" w:hAnsi="Candara"/>
        </w:rPr>
        <w:t xml:space="preserve"> and</w:t>
      </w:r>
    </w:p>
    <w:p w14:paraId="18D53B2E" w14:textId="16901396" w:rsidR="002B0351" w:rsidRPr="002B0351" w:rsidRDefault="00891608" w:rsidP="00345278">
      <w:pPr>
        <w:pStyle w:val="ListParagraph"/>
        <w:numPr>
          <w:ilvl w:val="0"/>
          <w:numId w:val="25"/>
        </w:numPr>
        <w:rPr>
          <w:rFonts w:ascii="Candara" w:hAnsi="Candara"/>
        </w:rPr>
      </w:pPr>
      <w:r>
        <w:rPr>
          <w:rFonts w:ascii="Candara" w:hAnsi="Candara"/>
        </w:rPr>
        <w:t>t</w:t>
      </w:r>
      <w:r w:rsidR="002B0351" w:rsidRPr="002B0351">
        <w:rPr>
          <w:rFonts w:ascii="Candara" w:hAnsi="Candara"/>
        </w:rPr>
        <w:t xml:space="preserve">he benchmarks will be decremented </w:t>
      </w:r>
      <w:r w:rsidR="00A00582">
        <w:rPr>
          <w:rFonts w:ascii="Candara" w:hAnsi="Candara"/>
        </w:rPr>
        <w:t xml:space="preserve">at set intervals </w:t>
      </w:r>
      <w:r w:rsidR="002B0351" w:rsidRPr="002B0351">
        <w:rPr>
          <w:rFonts w:ascii="Candara" w:hAnsi="Candara"/>
        </w:rPr>
        <w:t xml:space="preserve">to take account of </w:t>
      </w:r>
      <w:r w:rsidR="00A00582">
        <w:rPr>
          <w:rFonts w:ascii="Candara" w:hAnsi="Candara"/>
        </w:rPr>
        <w:t xml:space="preserve">new safety </w:t>
      </w:r>
      <w:r w:rsidR="002B0351" w:rsidRPr="002B0351">
        <w:rPr>
          <w:rFonts w:ascii="Candara" w:hAnsi="Candara"/>
        </w:rPr>
        <w:t>measures already paid for by consumers which are expected to deliver reductions in fire starts</w:t>
      </w:r>
      <w:r w:rsidR="002B0351">
        <w:rPr>
          <w:rFonts w:ascii="Candara" w:hAnsi="Candara"/>
        </w:rPr>
        <w:t>.</w:t>
      </w:r>
    </w:p>
    <w:p w14:paraId="474C1220" w14:textId="59E4C6D0" w:rsidR="002B0351" w:rsidRPr="002B0351" w:rsidRDefault="002B0351" w:rsidP="002B0351">
      <w:pPr>
        <w:rPr>
          <w:rFonts w:ascii="Candara" w:hAnsi="Candara"/>
        </w:rPr>
      </w:pPr>
      <w:r w:rsidRPr="002B0351">
        <w:rPr>
          <w:rFonts w:ascii="Candara" w:hAnsi="Candara"/>
        </w:rPr>
        <w:t xml:space="preserve">The </w:t>
      </w:r>
      <w:r w:rsidR="00A00582">
        <w:rPr>
          <w:rFonts w:ascii="Candara" w:hAnsi="Candara"/>
        </w:rPr>
        <w:t xml:space="preserve">preferred option </w:t>
      </w:r>
      <w:r w:rsidRPr="002B0351">
        <w:rPr>
          <w:rFonts w:ascii="Candara" w:hAnsi="Candara"/>
        </w:rPr>
        <w:t xml:space="preserve">is expected </w:t>
      </w:r>
      <w:r w:rsidR="00A00582">
        <w:rPr>
          <w:rFonts w:ascii="Candara" w:hAnsi="Candara"/>
        </w:rPr>
        <w:t xml:space="preserve">to incentivise </w:t>
      </w:r>
      <w:r w:rsidR="009C27EF">
        <w:rPr>
          <w:rFonts w:ascii="Candara" w:hAnsi="Candara"/>
        </w:rPr>
        <w:t xml:space="preserve">the distribution </w:t>
      </w:r>
      <w:r w:rsidRPr="002B0351">
        <w:rPr>
          <w:rFonts w:ascii="Candara" w:hAnsi="Candara"/>
        </w:rPr>
        <w:t xml:space="preserve">businesses </w:t>
      </w:r>
      <w:r w:rsidR="002845C8">
        <w:rPr>
          <w:rFonts w:ascii="Candara" w:hAnsi="Candara"/>
        </w:rPr>
        <w:t xml:space="preserve">to </w:t>
      </w:r>
      <w:r w:rsidR="002845C8" w:rsidRPr="002845C8">
        <w:rPr>
          <w:rFonts w:ascii="Candara" w:hAnsi="Candara"/>
        </w:rPr>
        <w:t xml:space="preserve">use </w:t>
      </w:r>
      <w:r w:rsidR="00A00582">
        <w:rPr>
          <w:rFonts w:ascii="Candara" w:hAnsi="Candara"/>
        </w:rPr>
        <w:t xml:space="preserve">finite </w:t>
      </w:r>
      <w:r w:rsidR="002845C8" w:rsidRPr="002845C8">
        <w:rPr>
          <w:rFonts w:ascii="Candara" w:hAnsi="Candara"/>
        </w:rPr>
        <w:t xml:space="preserve">existing funding </w:t>
      </w:r>
      <w:r w:rsidR="002845C8">
        <w:rPr>
          <w:rFonts w:ascii="Candara" w:hAnsi="Candara"/>
        </w:rPr>
        <w:t xml:space="preserve">to </w:t>
      </w:r>
      <w:r w:rsidRPr="00541083">
        <w:rPr>
          <w:rFonts w:ascii="Candara" w:hAnsi="Candara"/>
        </w:rPr>
        <w:t xml:space="preserve">focus </w:t>
      </w:r>
      <w:r>
        <w:rPr>
          <w:rFonts w:ascii="Candara" w:hAnsi="Candara"/>
        </w:rPr>
        <w:t>on</w:t>
      </w:r>
      <w:r w:rsidRPr="00541083">
        <w:rPr>
          <w:rFonts w:ascii="Candara" w:hAnsi="Candara"/>
        </w:rPr>
        <w:t xml:space="preserve"> ignitions occurring</w:t>
      </w:r>
      <w:r>
        <w:rPr>
          <w:rFonts w:ascii="Candara" w:hAnsi="Candara"/>
        </w:rPr>
        <w:t xml:space="preserve"> at time</w:t>
      </w:r>
      <w:r w:rsidR="00240A8D">
        <w:rPr>
          <w:rFonts w:ascii="Candara" w:hAnsi="Candara"/>
        </w:rPr>
        <w:t>s and in</w:t>
      </w:r>
      <w:r>
        <w:rPr>
          <w:rFonts w:ascii="Candara" w:hAnsi="Candara"/>
        </w:rPr>
        <w:t xml:space="preserve"> places</w:t>
      </w:r>
      <w:r w:rsidRPr="00541083">
        <w:rPr>
          <w:rFonts w:ascii="Candara" w:hAnsi="Candara"/>
        </w:rPr>
        <w:t xml:space="preserve"> of highest bushfire risk</w:t>
      </w:r>
      <w:r w:rsidR="002845C8">
        <w:rPr>
          <w:rFonts w:ascii="Candara" w:hAnsi="Candara"/>
        </w:rPr>
        <w:t xml:space="preserve">. This focus on </w:t>
      </w:r>
      <w:r w:rsidR="002845C8" w:rsidRPr="002845C8">
        <w:rPr>
          <w:rFonts w:ascii="Candara" w:hAnsi="Candara"/>
        </w:rPr>
        <w:t>ef</w:t>
      </w:r>
      <w:r w:rsidR="002845C8">
        <w:rPr>
          <w:rFonts w:ascii="Candara" w:hAnsi="Candara"/>
        </w:rPr>
        <w:t>ficient and targeted threat reduction is expected</w:t>
      </w:r>
      <w:r w:rsidR="002845C8" w:rsidRPr="002845C8">
        <w:rPr>
          <w:rFonts w:ascii="Candara" w:hAnsi="Candara"/>
        </w:rPr>
        <w:t xml:space="preserve"> </w:t>
      </w:r>
      <w:r w:rsidR="002845C8">
        <w:rPr>
          <w:rFonts w:ascii="Candara" w:hAnsi="Candara"/>
        </w:rPr>
        <w:t>to</w:t>
      </w:r>
      <w:r>
        <w:rPr>
          <w:rFonts w:ascii="Candara" w:hAnsi="Candara"/>
        </w:rPr>
        <w:t xml:space="preserve"> </w:t>
      </w:r>
      <w:r w:rsidR="002845C8">
        <w:rPr>
          <w:rFonts w:ascii="Candara" w:hAnsi="Candara"/>
        </w:rPr>
        <w:t>restrict</w:t>
      </w:r>
      <w:r>
        <w:rPr>
          <w:rFonts w:ascii="Candara" w:hAnsi="Candara"/>
        </w:rPr>
        <w:t xml:space="preserve"> additional cost </w:t>
      </w:r>
      <w:r w:rsidR="002845C8">
        <w:rPr>
          <w:rFonts w:ascii="Candara" w:hAnsi="Candara"/>
        </w:rPr>
        <w:t xml:space="preserve">impacts </w:t>
      </w:r>
      <w:r>
        <w:rPr>
          <w:rFonts w:ascii="Candara" w:hAnsi="Candara"/>
        </w:rPr>
        <w:t>on consumers</w:t>
      </w:r>
      <w:r w:rsidRPr="00541083">
        <w:rPr>
          <w:rFonts w:ascii="Candara" w:hAnsi="Candara"/>
        </w:rPr>
        <w:t>.</w:t>
      </w:r>
      <w:r w:rsidR="00C8591B">
        <w:rPr>
          <w:rFonts w:ascii="Candara" w:hAnsi="Candara"/>
        </w:rPr>
        <w:t xml:space="preserve"> </w:t>
      </w:r>
      <w:r w:rsidR="00556333">
        <w:rPr>
          <w:rFonts w:ascii="Candara" w:hAnsi="Candara"/>
        </w:rPr>
        <w:t>It is expected that c</w:t>
      </w:r>
      <w:r w:rsidR="002845C8">
        <w:rPr>
          <w:rFonts w:ascii="Candara" w:hAnsi="Candara"/>
        </w:rPr>
        <w:t xml:space="preserve">onsumers will only pay </w:t>
      </w:r>
      <w:r w:rsidR="00556333">
        <w:rPr>
          <w:rFonts w:ascii="Candara" w:hAnsi="Candara"/>
        </w:rPr>
        <w:t xml:space="preserve">through the scheme </w:t>
      </w:r>
      <w:r w:rsidR="002845C8">
        <w:rPr>
          <w:rFonts w:ascii="Candara" w:hAnsi="Candara"/>
        </w:rPr>
        <w:t>if they get the benefit</w:t>
      </w:r>
      <w:r w:rsidR="00556333">
        <w:rPr>
          <w:rFonts w:ascii="Candara" w:hAnsi="Candara"/>
        </w:rPr>
        <w:t xml:space="preserve"> of reduced network ignitions. </w:t>
      </w:r>
    </w:p>
    <w:p w14:paraId="22CD059A" w14:textId="39E2999C" w:rsidR="00101828" w:rsidRPr="00D52936" w:rsidRDefault="009C27EF" w:rsidP="00345278">
      <w:pPr>
        <w:pStyle w:val="Heading1"/>
        <w:numPr>
          <w:ilvl w:val="0"/>
          <w:numId w:val="26"/>
        </w:numPr>
        <w:rPr>
          <w:sz w:val="24"/>
          <w:szCs w:val="24"/>
        </w:rPr>
      </w:pPr>
      <w:bookmarkStart w:id="2" w:name="_Toc458675158"/>
      <w:r w:rsidRPr="00D52936">
        <w:rPr>
          <w:sz w:val="24"/>
          <w:szCs w:val="24"/>
        </w:rPr>
        <w:t>Nature and Extent of t</w:t>
      </w:r>
      <w:r w:rsidR="00E00EFB" w:rsidRPr="00D52936">
        <w:rPr>
          <w:sz w:val="24"/>
          <w:szCs w:val="24"/>
        </w:rPr>
        <w:t>he</w:t>
      </w:r>
      <w:r w:rsidR="003A2708" w:rsidRPr="00D52936">
        <w:rPr>
          <w:sz w:val="24"/>
          <w:szCs w:val="24"/>
        </w:rPr>
        <w:t xml:space="preserve"> Problem</w:t>
      </w:r>
      <w:bookmarkEnd w:id="2"/>
    </w:p>
    <w:p w14:paraId="2D58685B" w14:textId="1CC54A20" w:rsidR="00640446" w:rsidRPr="007B204D" w:rsidRDefault="00D52936" w:rsidP="007B204D">
      <w:pPr>
        <w:pStyle w:val="Heading2"/>
      </w:pPr>
      <w:bookmarkStart w:id="3" w:name="_Toc458675159"/>
      <w:r>
        <w:t xml:space="preserve">The </w:t>
      </w:r>
      <w:r w:rsidR="00640446" w:rsidRPr="007B204D">
        <w:t>problem of bushfire starts as a result of the electricity distribution network</w:t>
      </w:r>
      <w:bookmarkEnd w:id="3"/>
    </w:p>
    <w:p w14:paraId="2E5C9D25" w14:textId="77777777" w:rsidR="00101828" w:rsidRPr="00C629A3" w:rsidRDefault="00101828" w:rsidP="00101828">
      <w:pPr>
        <w:rPr>
          <w:rFonts w:ascii="Candara" w:hAnsi="Candara"/>
        </w:rPr>
      </w:pPr>
      <w:r w:rsidRPr="00C629A3">
        <w:rPr>
          <w:rFonts w:ascii="Candara" w:hAnsi="Candara"/>
        </w:rPr>
        <w:t xml:space="preserve">Victoria is one of the most bushfire-prone regions of the world. This is due to its geography, which promotes seasonal growth of vegetation, followed by brief periods of intense, dry heat in summer which ‘cures’ this vegetation. In conditions of abundant fuel, high temperatures, low humidity and high winds, a small spark can quickly grow to a conflagration which is essentially unstoppable. </w:t>
      </w:r>
    </w:p>
    <w:p w14:paraId="320550C3" w14:textId="77777777" w:rsidR="00101828" w:rsidRPr="00C629A3" w:rsidRDefault="00101828" w:rsidP="00101828">
      <w:pPr>
        <w:rPr>
          <w:rFonts w:ascii="Candara" w:hAnsi="Candara"/>
        </w:rPr>
      </w:pPr>
      <w:r w:rsidRPr="00C629A3">
        <w:rPr>
          <w:rFonts w:ascii="Candara" w:hAnsi="Candara"/>
        </w:rPr>
        <w:t>Electricity infrastructure has been linked to deadly bushfires in four years: 1969, 1977, 1983 and 2009.</w:t>
      </w:r>
      <w:r w:rsidR="0025577A">
        <w:rPr>
          <w:rStyle w:val="FootnoteReference"/>
          <w:rFonts w:ascii="Candara" w:hAnsi="Candara"/>
        </w:rPr>
        <w:footnoteReference w:id="1"/>
      </w:r>
      <w:r w:rsidRPr="00C629A3">
        <w:rPr>
          <w:rFonts w:ascii="Candara" w:hAnsi="Candara"/>
        </w:rPr>
        <w:t xml:space="preserve"> Electricity was not widely present in the Victorian landscape before the </w:t>
      </w:r>
      <w:r>
        <w:rPr>
          <w:rFonts w:ascii="Candara" w:hAnsi="Candara"/>
        </w:rPr>
        <w:t>State Electricity Commission of Victoria’s (SECV)</w:t>
      </w:r>
      <w:r w:rsidRPr="00C629A3">
        <w:rPr>
          <w:rFonts w:ascii="Candara" w:hAnsi="Candara"/>
        </w:rPr>
        <w:t xml:space="preserve"> rural electrification program was completed in the 1960s, and consequently has only been a factor in bushfire ignition since that time.</w:t>
      </w:r>
    </w:p>
    <w:p w14:paraId="2878C06D" w14:textId="4F12609E" w:rsidR="005220C5" w:rsidRDefault="00101828" w:rsidP="00101828">
      <w:pPr>
        <w:rPr>
          <w:rFonts w:ascii="Candara" w:hAnsi="Candara"/>
        </w:rPr>
      </w:pPr>
      <w:r w:rsidRPr="00C629A3">
        <w:rPr>
          <w:rFonts w:ascii="Candara" w:hAnsi="Candara"/>
        </w:rPr>
        <w:t>Inquiries were conducted in the wake of the catastrophic bushfires in these years, which showed the link to electricity assets. In general</w:t>
      </w:r>
      <w:r>
        <w:rPr>
          <w:rFonts w:ascii="Candara" w:hAnsi="Candara"/>
        </w:rPr>
        <w:t>,</w:t>
      </w:r>
      <w:r w:rsidRPr="00C629A3">
        <w:rPr>
          <w:rFonts w:ascii="Candara" w:hAnsi="Candara"/>
        </w:rPr>
        <w:t xml:space="preserve"> however</w:t>
      </w:r>
      <w:r>
        <w:rPr>
          <w:rFonts w:ascii="Candara" w:hAnsi="Candara"/>
        </w:rPr>
        <w:t>,</w:t>
      </w:r>
      <w:r w:rsidRPr="00C629A3">
        <w:rPr>
          <w:rFonts w:ascii="Candara" w:hAnsi="Candara"/>
        </w:rPr>
        <w:t xml:space="preserve"> data collection on bushfires and their causes has been poor until recently. For the period for which consistent and reliable data are available, electricity assets have caused an average of </w:t>
      </w:r>
      <w:r w:rsidR="00ED6857">
        <w:rPr>
          <w:rFonts w:ascii="Candara" w:hAnsi="Candara"/>
        </w:rPr>
        <w:t>793</w:t>
      </w:r>
      <w:r w:rsidRPr="00C629A3">
        <w:rPr>
          <w:rFonts w:ascii="Candara" w:hAnsi="Candara"/>
        </w:rPr>
        <w:t xml:space="preserve"> fires per annum, as illustrated below</w:t>
      </w:r>
      <w:r w:rsidRPr="00C629A3">
        <w:rPr>
          <w:rStyle w:val="FootnoteReference"/>
          <w:rFonts w:ascii="Candara" w:hAnsi="Candara"/>
        </w:rPr>
        <w:footnoteReference w:id="2"/>
      </w:r>
      <w:r w:rsidRPr="00C629A3">
        <w:rPr>
          <w:rFonts w:ascii="Candara" w:hAnsi="Candara"/>
        </w:rPr>
        <w:t>:</w:t>
      </w:r>
    </w:p>
    <w:p w14:paraId="7360BB1A" w14:textId="6A074D41" w:rsidR="005220C5" w:rsidRPr="00731CF2" w:rsidRDefault="003D0C6B" w:rsidP="00731CF2">
      <w:pPr>
        <w:autoSpaceDE w:val="0"/>
        <w:autoSpaceDN w:val="0"/>
        <w:adjustRightInd w:val="0"/>
        <w:spacing w:before="120" w:after="80"/>
        <w:rPr>
          <w:rFonts w:ascii="Candara" w:hAnsi="Candara" w:cs="Calibri"/>
          <w:sz w:val="21"/>
          <w:szCs w:val="21"/>
        </w:rPr>
      </w:pPr>
      <w:r>
        <w:rPr>
          <w:rStyle w:val="Heading6Char"/>
        </w:rPr>
        <w:t xml:space="preserve">Figure 1.1: Distribution network fire starts </w:t>
      </w:r>
    </w:p>
    <w:tbl>
      <w:tblPr>
        <w:tblStyle w:val="TableGrid"/>
        <w:tblW w:w="0" w:type="auto"/>
        <w:tblInd w:w="2251" w:type="dxa"/>
        <w:tblLook w:val="04A0" w:firstRow="1" w:lastRow="0" w:firstColumn="1" w:lastColumn="0" w:noHBand="0" w:noVBand="1"/>
      </w:tblPr>
      <w:tblGrid>
        <w:gridCol w:w="1246"/>
        <w:gridCol w:w="833"/>
        <w:gridCol w:w="725"/>
        <w:gridCol w:w="738"/>
        <w:gridCol w:w="738"/>
        <w:gridCol w:w="1002"/>
      </w:tblGrid>
      <w:tr w:rsidR="00ED6857" w:rsidRPr="00C629A3" w14:paraId="423DCC1F" w14:textId="77777777" w:rsidTr="00DF4694">
        <w:tc>
          <w:tcPr>
            <w:tcW w:w="1246" w:type="dxa"/>
            <w:shd w:val="clear" w:color="auto" w:fill="365F91" w:themeFill="accent1" w:themeFillShade="BF"/>
          </w:tcPr>
          <w:p w14:paraId="356D906C" w14:textId="77777777" w:rsidR="00ED6857" w:rsidRPr="009132DA" w:rsidRDefault="00ED6857" w:rsidP="00AC41C2">
            <w:pPr>
              <w:keepNext/>
              <w:rPr>
                <w:rFonts w:ascii="Candara" w:hAnsi="Candara"/>
                <w:b/>
                <w:color w:val="F2F2F2" w:themeColor="background1" w:themeShade="F2"/>
              </w:rPr>
            </w:pPr>
            <w:r w:rsidRPr="009132DA">
              <w:rPr>
                <w:rFonts w:ascii="Candara" w:hAnsi="Candara"/>
                <w:b/>
                <w:color w:val="F2F2F2" w:themeColor="background1" w:themeShade="F2"/>
              </w:rPr>
              <w:t>Year</w:t>
            </w:r>
          </w:p>
        </w:tc>
        <w:tc>
          <w:tcPr>
            <w:tcW w:w="833" w:type="dxa"/>
            <w:shd w:val="clear" w:color="auto" w:fill="365F91" w:themeFill="accent1" w:themeFillShade="BF"/>
          </w:tcPr>
          <w:p w14:paraId="474A4DAF" w14:textId="77777777" w:rsidR="00ED6857" w:rsidRPr="009132DA" w:rsidRDefault="00ED6857" w:rsidP="00AC41C2">
            <w:pPr>
              <w:keepNext/>
              <w:rPr>
                <w:rFonts w:ascii="Candara" w:hAnsi="Candara"/>
                <w:b/>
                <w:color w:val="F2F2F2" w:themeColor="background1" w:themeShade="F2"/>
              </w:rPr>
            </w:pPr>
            <w:r w:rsidRPr="009132DA">
              <w:rPr>
                <w:rFonts w:ascii="Candara" w:hAnsi="Candara"/>
                <w:b/>
                <w:color w:val="F2F2F2" w:themeColor="background1" w:themeShade="F2"/>
              </w:rPr>
              <w:t>2012</w:t>
            </w:r>
          </w:p>
        </w:tc>
        <w:tc>
          <w:tcPr>
            <w:tcW w:w="725" w:type="dxa"/>
            <w:shd w:val="clear" w:color="auto" w:fill="365F91" w:themeFill="accent1" w:themeFillShade="BF"/>
          </w:tcPr>
          <w:p w14:paraId="0893133C" w14:textId="77777777" w:rsidR="00ED6857" w:rsidRPr="009132DA" w:rsidRDefault="00ED6857" w:rsidP="00AC41C2">
            <w:pPr>
              <w:keepNext/>
              <w:rPr>
                <w:rFonts w:ascii="Candara" w:hAnsi="Candara"/>
                <w:b/>
                <w:color w:val="F2F2F2" w:themeColor="background1" w:themeShade="F2"/>
              </w:rPr>
            </w:pPr>
            <w:r w:rsidRPr="009132DA">
              <w:rPr>
                <w:rFonts w:ascii="Candara" w:hAnsi="Candara"/>
                <w:b/>
                <w:color w:val="F2F2F2" w:themeColor="background1" w:themeShade="F2"/>
              </w:rPr>
              <w:t>2013</w:t>
            </w:r>
          </w:p>
        </w:tc>
        <w:tc>
          <w:tcPr>
            <w:tcW w:w="738" w:type="dxa"/>
            <w:shd w:val="clear" w:color="auto" w:fill="365F91" w:themeFill="accent1" w:themeFillShade="BF"/>
          </w:tcPr>
          <w:p w14:paraId="76FCB2E4" w14:textId="54FE8847" w:rsidR="00ED6857" w:rsidRPr="009132DA" w:rsidRDefault="00ED6857" w:rsidP="00AC41C2">
            <w:pPr>
              <w:keepNext/>
              <w:rPr>
                <w:rFonts w:ascii="Candara" w:hAnsi="Candara"/>
                <w:b/>
                <w:color w:val="F2F2F2" w:themeColor="background1" w:themeShade="F2"/>
              </w:rPr>
            </w:pPr>
            <w:r w:rsidRPr="009132DA">
              <w:rPr>
                <w:rFonts w:ascii="Candara" w:hAnsi="Candara"/>
                <w:b/>
                <w:color w:val="F2F2F2" w:themeColor="background1" w:themeShade="F2"/>
              </w:rPr>
              <w:t>2014</w:t>
            </w:r>
          </w:p>
        </w:tc>
        <w:tc>
          <w:tcPr>
            <w:tcW w:w="738" w:type="dxa"/>
            <w:shd w:val="clear" w:color="auto" w:fill="365F91" w:themeFill="accent1" w:themeFillShade="BF"/>
          </w:tcPr>
          <w:p w14:paraId="0D55A46A" w14:textId="403C0345" w:rsidR="00ED6857" w:rsidRPr="009132DA" w:rsidRDefault="00ED6857" w:rsidP="00ED6857">
            <w:pPr>
              <w:keepNext/>
              <w:rPr>
                <w:rFonts w:ascii="Candara" w:hAnsi="Candara"/>
                <w:b/>
                <w:color w:val="F2F2F2" w:themeColor="background1" w:themeShade="F2"/>
              </w:rPr>
            </w:pPr>
            <w:r w:rsidRPr="009132DA">
              <w:rPr>
                <w:rFonts w:ascii="Candara" w:hAnsi="Candara"/>
                <w:b/>
                <w:color w:val="F2F2F2" w:themeColor="background1" w:themeShade="F2"/>
              </w:rPr>
              <w:t>201</w:t>
            </w:r>
            <w:r>
              <w:rPr>
                <w:rFonts w:ascii="Candara" w:hAnsi="Candara"/>
                <w:b/>
                <w:color w:val="F2F2F2" w:themeColor="background1" w:themeShade="F2"/>
              </w:rPr>
              <w:t>5</w:t>
            </w:r>
          </w:p>
        </w:tc>
        <w:tc>
          <w:tcPr>
            <w:tcW w:w="1002" w:type="dxa"/>
            <w:shd w:val="clear" w:color="auto" w:fill="365F91" w:themeFill="accent1" w:themeFillShade="BF"/>
          </w:tcPr>
          <w:p w14:paraId="29913227" w14:textId="4EDCA47D" w:rsidR="00ED6857" w:rsidRPr="009132DA" w:rsidRDefault="00ED6857" w:rsidP="00AC41C2">
            <w:pPr>
              <w:keepNext/>
              <w:rPr>
                <w:rFonts w:ascii="Candara" w:hAnsi="Candara"/>
                <w:b/>
                <w:color w:val="F2F2F2" w:themeColor="background1" w:themeShade="F2"/>
              </w:rPr>
            </w:pPr>
            <w:r w:rsidRPr="009132DA">
              <w:rPr>
                <w:rFonts w:ascii="Candara" w:hAnsi="Candara"/>
                <w:b/>
                <w:color w:val="F2F2F2" w:themeColor="background1" w:themeShade="F2"/>
              </w:rPr>
              <w:t>Average</w:t>
            </w:r>
          </w:p>
        </w:tc>
      </w:tr>
      <w:tr w:rsidR="00ED6857" w:rsidRPr="00C629A3" w14:paraId="5E7A03B2" w14:textId="77777777" w:rsidTr="00DF4694">
        <w:tc>
          <w:tcPr>
            <w:tcW w:w="1246" w:type="dxa"/>
          </w:tcPr>
          <w:p w14:paraId="57CCA5D0" w14:textId="77777777" w:rsidR="00ED6857" w:rsidRPr="00C629A3" w:rsidRDefault="00ED6857" w:rsidP="00AC41C2">
            <w:pPr>
              <w:keepNext/>
              <w:rPr>
                <w:rFonts w:ascii="Candara" w:hAnsi="Candara"/>
              </w:rPr>
            </w:pPr>
            <w:r w:rsidRPr="00C629A3">
              <w:rPr>
                <w:rFonts w:ascii="Candara" w:hAnsi="Candara"/>
              </w:rPr>
              <w:t>Fire starts</w:t>
            </w:r>
          </w:p>
        </w:tc>
        <w:tc>
          <w:tcPr>
            <w:tcW w:w="833" w:type="dxa"/>
          </w:tcPr>
          <w:p w14:paraId="6102139F" w14:textId="77777777" w:rsidR="00ED6857" w:rsidRPr="00C629A3" w:rsidRDefault="00ED6857" w:rsidP="00AC41C2">
            <w:pPr>
              <w:keepNext/>
              <w:rPr>
                <w:rFonts w:ascii="Candara" w:hAnsi="Candara"/>
              </w:rPr>
            </w:pPr>
            <w:r w:rsidRPr="00C629A3">
              <w:rPr>
                <w:rFonts w:ascii="Candara" w:hAnsi="Candara"/>
              </w:rPr>
              <w:t>638</w:t>
            </w:r>
          </w:p>
        </w:tc>
        <w:tc>
          <w:tcPr>
            <w:tcW w:w="725" w:type="dxa"/>
          </w:tcPr>
          <w:p w14:paraId="27B7ACA8" w14:textId="77777777" w:rsidR="00ED6857" w:rsidRPr="00C629A3" w:rsidRDefault="00ED6857" w:rsidP="00AC41C2">
            <w:pPr>
              <w:keepNext/>
              <w:rPr>
                <w:rFonts w:ascii="Candara" w:hAnsi="Candara"/>
              </w:rPr>
            </w:pPr>
            <w:r w:rsidRPr="00C629A3">
              <w:rPr>
                <w:rFonts w:ascii="Candara" w:hAnsi="Candara"/>
              </w:rPr>
              <w:t>925</w:t>
            </w:r>
          </w:p>
        </w:tc>
        <w:tc>
          <w:tcPr>
            <w:tcW w:w="738" w:type="dxa"/>
          </w:tcPr>
          <w:p w14:paraId="44649117" w14:textId="43BF00E8" w:rsidR="00ED6857" w:rsidRPr="00C629A3" w:rsidRDefault="00ED6857" w:rsidP="00AC41C2">
            <w:pPr>
              <w:keepNext/>
              <w:rPr>
                <w:rFonts w:ascii="Candara" w:hAnsi="Candara"/>
              </w:rPr>
            </w:pPr>
            <w:r w:rsidRPr="00C629A3">
              <w:rPr>
                <w:rFonts w:ascii="Candara" w:hAnsi="Candara"/>
              </w:rPr>
              <w:t>974</w:t>
            </w:r>
          </w:p>
        </w:tc>
        <w:tc>
          <w:tcPr>
            <w:tcW w:w="738" w:type="dxa"/>
          </w:tcPr>
          <w:p w14:paraId="4C67601A" w14:textId="6D3CA5EC" w:rsidR="00ED6857" w:rsidRPr="00C629A3" w:rsidRDefault="00ED6857" w:rsidP="00AC41C2">
            <w:pPr>
              <w:keepNext/>
              <w:rPr>
                <w:rFonts w:ascii="Candara" w:hAnsi="Candara"/>
              </w:rPr>
            </w:pPr>
            <w:r>
              <w:rPr>
                <w:rFonts w:ascii="Candara" w:hAnsi="Candara"/>
              </w:rPr>
              <w:t>635</w:t>
            </w:r>
          </w:p>
        </w:tc>
        <w:tc>
          <w:tcPr>
            <w:tcW w:w="1002" w:type="dxa"/>
          </w:tcPr>
          <w:p w14:paraId="34DEB2B1" w14:textId="32457D97" w:rsidR="00ED6857" w:rsidRPr="00C629A3" w:rsidRDefault="00ED6857" w:rsidP="00AC41C2">
            <w:pPr>
              <w:keepNext/>
              <w:rPr>
                <w:rFonts w:ascii="Candara" w:hAnsi="Candara"/>
              </w:rPr>
            </w:pPr>
            <w:r>
              <w:rPr>
                <w:rFonts w:ascii="Candara" w:hAnsi="Candara"/>
              </w:rPr>
              <w:t>793</w:t>
            </w:r>
          </w:p>
        </w:tc>
      </w:tr>
    </w:tbl>
    <w:p w14:paraId="36DF856F" w14:textId="77777777" w:rsidR="004A2AB4" w:rsidRPr="00C629A3" w:rsidRDefault="004A2AB4" w:rsidP="00101828">
      <w:pPr>
        <w:rPr>
          <w:rFonts w:ascii="Candara" w:hAnsi="Candara"/>
        </w:rPr>
      </w:pPr>
    </w:p>
    <w:p w14:paraId="5657848B" w14:textId="1317E956" w:rsidR="00101828" w:rsidRDefault="00101828" w:rsidP="009C45FB">
      <w:pPr>
        <w:rPr>
          <w:rFonts w:ascii="Candara" w:hAnsi="Candara"/>
        </w:rPr>
      </w:pPr>
      <w:r w:rsidRPr="00C629A3">
        <w:rPr>
          <w:rFonts w:ascii="Candara" w:hAnsi="Candara"/>
        </w:rPr>
        <w:t xml:space="preserve">These figures represent all fires in both urban and rural locations, not </w:t>
      </w:r>
      <w:r w:rsidR="00556333">
        <w:rPr>
          <w:rFonts w:ascii="Candara" w:hAnsi="Candara"/>
        </w:rPr>
        <w:t>all of</w:t>
      </w:r>
      <w:r w:rsidRPr="00C629A3">
        <w:rPr>
          <w:rFonts w:ascii="Candara" w:hAnsi="Candara"/>
        </w:rPr>
        <w:t xml:space="preserve"> which subsequently evolve into bushfires. However, in high risk conditions (defined by weather and ground fuel), </w:t>
      </w:r>
      <w:r w:rsidRPr="00C629A3">
        <w:rPr>
          <w:rFonts w:ascii="Candara" w:hAnsi="Candara"/>
        </w:rPr>
        <w:lastRenderedPageBreak/>
        <w:t>these fires have the potential to e</w:t>
      </w:r>
      <w:r w:rsidR="009C27EF">
        <w:rPr>
          <w:rFonts w:ascii="Candara" w:hAnsi="Candara"/>
        </w:rPr>
        <w:t xml:space="preserve">volve into bushfires. Further, </w:t>
      </w:r>
      <w:r w:rsidRPr="00C629A3">
        <w:rPr>
          <w:rFonts w:ascii="Candara" w:hAnsi="Candara"/>
        </w:rPr>
        <w:t>among those high consequence bushfires (i.e. those which cause fatalities), electricity assets are disproportionately represented as a cause</w:t>
      </w:r>
      <w:r w:rsidRPr="00C629A3">
        <w:rPr>
          <w:rStyle w:val="FootnoteReference"/>
          <w:rFonts w:ascii="Candara" w:hAnsi="Candara"/>
        </w:rPr>
        <w:footnoteReference w:id="3"/>
      </w:r>
      <w:r>
        <w:rPr>
          <w:rFonts w:ascii="Candara" w:hAnsi="Candara"/>
        </w:rPr>
        <w:t xml:space="preserve">. </w:t>
      </w:r>
    </w:p>
    <w:p w14:paraId="7AE97850" w14:textId="5E9CAFEF" w:rsidR="005220C5" w:rsidRDefault="00B424DE" w:rsidP="009C45FB">
      <w:pPr>
        <w:rPr>
          <w:rFonts w:ascii="Candara" w:hAnsi="Candara"/>
        </w:rPr>
      </w:pPr>
      <w:r>
        <w:rPr>
          <w:rFonts w:ascii="Candara" w:hAnsi="Candara"/>
        </w:rPr>
        <w:t>Following the 7 February 2009 Black Saturday</w:t>
      </w:r>
      <w:r w:rsidR="009A3B3B" w:rsidRPr="009A3B3B">
        <w:rPr>
          <w:rFonts w:ascii="Candara" w:hAnsi="Candara"/>
        </w:rPr>
        <w:t xml:space="preserve"> bushfires, the Victorian Bushfires Royal Commission (VBRC) identified powerlines as being the cause of five of the major fires that day, and responsible for 119 deaths. A sixth fire (Murrindindi) was not investigated by the VBRC as it was then under investigation by Victoria Police on suspicion of arson. Victoria Police subsequently concluded that arson was not the cause, and referred the matter to the Coroners Court for inquiry. On 27 November 2015</w:t>
      </w:r>
      <w:r w:rsidR="00E32A41">
        <w:rPr>
          <w:rFonts w:ascii="Candara" w:hAnsi="Candara"/>
        </w:rPr>
        <w:t>,</w:t>
      </w:r>
      <w:r w:rsidR="009A3B3B" w:rsidRPr="009A3B3B">
        <w:rPr>
          <w:rFonts w:ascii="Candara" w:hAnsi="Candara"/>
        </w:rPr>
        <w:t xml:space="preserve"> the Coroners Court found that this fire was also caused by electricity distribution assets, adding the loss of a further 40 lives to the total attributable to electricity distribution assets.</w:t>
      </w:r>
      <w:r w:rsidR="009A3B3B" w:rsidRPr="009A3B3B">
        <w:rPr>
          <w:rFonts w:ascii="Candara" w:hAnsi="Candara"/>
          <w:vertAlign w:val="superscript"/>
        </w:rPr>
        <w:footnoteReference w:id="4"/>
      </w:r>
      <w:r w:rsidR="00F52E84">
        <w:rPr>
          <w:rFonts w:ascii="Candara" w:hAnsi="Candara"/>
        </w:rPr>
        <w:t xml:space="preserve"> </w:t>
      </w:r>
    </w:p>
    <w:p w14:paraId="2A11522E" w14:textId="66086BF2" w:rsidR="00873F00" w:rsidRPr="007B204D" w:rsidRDefault="00527ECE" w:rsidP="007B204D">
      <w:pPr>
        <w:pStyle w:val="Heading2"/>
      </w:pPr>
      <w:bookmarkStart w:id="4" w:name="_Toc458675160"/>
      <w:r>
        <w:t xml:space="preserve">Legal and </w:t>
      </w:r>
      <w:r w:rsidR="007B204D">
        <w:t>Legislative m</w:t>
      </w:r>
      <w:r w:rsidR="00873F00" w:rsidRPr="007B204D">
        <w:t>echanisms</w:t>
      </w:r>
      <w:r w:rsidR="00F405FB" w:rsidRPr="007B204D">
        <w:t xml:space="preserve"> to reduce </w:t>
      </w:r>
      <w:r w:rsidR="001F1B79">
        <w:t xml:space="preserve">electricity network bushfire </w:t>
      </w:r>
      <w:r w:rsidR="00F405FB" w:rsidRPr="007B204D">
        <w:t>ris</w:t>
      </w:r>
      <w:r w:rsidR="001F1B79">
        <w:t>k</w:t>
      </w:r>
      <w:bookmarkEnd w:id="4"/>
    </w:p>
    <w:p w14:paraId="1AC9E323" w14:textId="1C09B54E" w:rsidR="00F405FB" w:rsidRPr="00D52936" w:rsidRDefault="00873F00" w:rsidP="009C45FB">
      <w:pPr>
        <w:rPr>
          <w:rFonts w:ascii="Candara" w:hAnsi="Candara"/>
        </w:rPr>
      </w:pPr>
      <w:r w:rsidRPr="00D52936">
        <w:rPr>
          <w:rFonts w:ascii="Candara" w:hAnsi="Candara"/>
        </w:rPr>
        <w:t xml:space="preserve">A range of mechanisms exist to deal with the </w:t>
      </w:r>
      <w:r w:rsidR="00E73467">
        <w:rPr>
          <w:rFonts w:ascii="Candara" w:hAnsi="Candara"/>
        </w:rPr>
        <w:t xml:space="preserve">general </w:t>
      </w:r>
      <w:r w:rsidRPr="00D52936">
        <w:rPr>
          <w:rFonts w:ascii="Candara" w:hAnsi="Candara"/>
        </w:rPr>
        <w:t>problem of bushfire starts</w:t>
      </w:r>
      <w:r w:rsidR="00F405FB" w:rsidRPr="00D52936">
        <w:rPr>
          <w:rFonts w:ascii="Candara" w:hAnsi="Candara"/>
        </w:rPr>
        <w:t xml:space="preserve"> from electricity networks</w:t>
      </w:r>
      <w:r w:rsidRPr="00D52936">
        <w:rPr>
          <w:rFonts w:ascii="Candara" w:hAnsi="Candara"/>
        </w:rPr>
        <w:t>.</w:t>
      </w:r>
      <w:r w:rsidR="008D5420" w:rsidRPr="00D52936">
        <w:rPr>
          <w:rFonts w:ascii="Candara" w:hAnsi="Candara"/>
        </w:rPr>
        <w:t xml:space="preserve"> </w:t>
      </w:r>
      <w:r w:rsidR="00D52936" w:rsidRPr="00D52936">
        <w:rPr>
          <w:rFonts w:ascii="Candara" w:hAnsi="Candara"/>
        </w:rPr>
        <w:t>These are:</w:t>
      </w:r>
    </w:p>
    <w:p w14:paraId="04ACAD91" w14:textId="20B9EBA7" w:rsidR="00527ECE" w:rsidRPr="0052680E" w:rsidRDefault="000869F7" w:rsidP="00BB41A4">
      <w:pPr>
        <w:pStyle w:val="Heading3"/>
        <w:numPr>
          <w:ilvl w:val="2"/>
          <w:numId w:val="36"/>
        </w:numPr>
      </w:pPr>
      <w:bookmarkStart w:id="5" w:name="_Toc458675161"/>
      <w:r w:rsidRPr="0052680E">
        <w:t xml:space="preserve">Common </w:t>
      </w:r>
      <w:r w:rsidR="00240A8D">
        <w:t xml:space="preserve">and Statute </w:t>
      </w:r>
      <w:r w:rsidRPr="0052680E">
        <w:t>Law</w:t>
      </w:r>
      <w:bookmarkEnd w:id="5"/>
      <w:r w:rsidRPr="0052680E">
        <w:t xml:space="preserve"> </w:t>
      </w:r>
    </w:p>
    <w:p w14:paraId="6F8B3551" w14:textId="3B8D7FFA" w:rsidR="00527ECE" w:rsidRPr="00D52936" w:rsidRDefault="000869F7" w:rsidP="00527ECE">
      <w:pPr>
        <w:rPr>
          <w:rFonts w:ascii="Candara" w:hAnsi="Candara"/>
        </w:rPr>
      </w:pPr>
      <w:r w:rsidRPr="00D52936">
        <w:rPr>
          <w:rFonts w:ascii="Candara" w:hAnsi="Candara"/>
        </w:rPr>
        <w:t xml:space="preserve">As corporate bodies operating within the State of Victoria, the distribution businesses are subject to common </w:t>
      </w:r>
      <w:r w:rsidR="00B424DE">
        <w:rPr>
          <w:rFonts w:ascii="Candara" w:hAnsi="Candara"/>
        </w:rPr>
        <w:t>and statute</w:t>
      </w:r>
      <w:r w:rsidR="00240A8D">
        <w:rPr>
          <w:rFonts w:ascii="Candara" w:hAnsi="Candara"/>
        </w:rPr>
        <w:t xml:space="preserve"> </w:t>
      </w:r>
      <w:r w:rsidRPr="00D52936">
        <w:rPr>
          <w:rFonts w:ascii="Candara" w:hAnsi="Candara"/>
        </w:rPr>
        <w:t>law. Accordingly, bushfires</w:t>
      </w:r>
      <w:r w:rsidR="001A3B48">
        <w:rPr>
          <w:rFonts w:ascii="Candara" w:hAnsi="Candara"/>
        </w:rPr>
        <w:t xml:space="preserve"> started by</w:t>
      </w:r>
      <w:r w:rsidRPr="00D52936">
        <w:rPr>
          <w:rFonts w:ascii="Candara" w:hAnsi="Candara"/>
        </w:rPr>
        <w:t xml:space="preserve"> networks </w:t>
      </w:r>
      <w:r w:rsidR="001B4366">
        <w:rPr>
          <w:rFonts w:ascii="Candara" w:hAnsi="Candara"/>
        </w:rPr>
        <w:t xml:space="preserve">may be </w:t>
      </w:r>
      <w:r w:rsidRPr="00D52936">
        <w:rPr>
          <w:rFonts w:ascii="Candara" w:hAnsi="Candara"/>
        </w:rPr>
        <w:t xml:space="preserve">the subject of </w:t>
      </w:r>
      <w:r w:rsidR="00974DA2">
        <w:rPr>
          <w:rFonts w:ascii="Candara" w:hAnsi="Candara"/>
        </w:rPr>
        <w:t xml:space="preserve">criminal and civil </w:t>
      </w:r>
      <w:r w:rsidR="005A6EE0">
        <w:rPr>
          <w:rFonts w:ascii="Candara" w:hAnsi="Candara"/>
        </w:rPr>
        <w:t>legal</w:t>
      </w:r>
      <w:r w:rsidRPr="00D52936">
        <w:rPr>
          <w:rFonts w:ascii="Candara" w:hAnsi="Candara"/>
        </w:rPr>
        <w:t xml:space="preserve"> actions</w:t>
      </w:r>
      <w:r w:rsidR="001B4366">
        <w:rPr>
          <w:rFonts w:ascii="Candara" w:hAnsi="Candara"/>
        </w:rPr>
        <w:t xml:space="preserve"> and </w:t>
      </w:r>
      <w:r w:rsidR="00556333">
        <w:rPr>
          <w:rFonts w:ascii="Candara" w:hAnsi="Candara"/>
        </w:rPr>
        <w:t>in recent years one distribution business been the subject of civil action</w:t>
      </w:r>
      <w:r w:rsidRPr="00D52936">
        <w:rPr>
          <w:rFonts w:ascii="Candara" w:hAnsi="Candara"/>
        </w:rPr>
        <w:t>.</w:t>
      </w:r>
      <w:r w:rsidR="00B424DE">
        <w:rPr>
          <w:rStyle w:val="FootnoteReference"/>
          <w:rFonts w:ascii="Candara" w:hAnsi="Candara"/>
        </w:rPr>
        <w:footnoteReference w:id="5"/>
      </w:r>
    </w:p>
    <w:p w14:paraId="352F4AFE" w14:textId="725CBEFF" w:rsidR="00527ECE" w:rsidRPr="0052680E" w:rsidRDefault="00527ECE" w:rsidP="00BB41A4">
      <w:pPr>
        <w:pStyle w:val="Heading3"/>
        <w:numPr>
          <w:ilvl w:val="2"/>
          <w:numId w:val="36"/>
        </w:numPr>
      </w:pPr>
      <w:bookmarkStart w:id="6" w:name="_Toc458675162"/>
      <w:r w:rsidRPr="0052680E">
        <w:t>Improved network protection assets</w:t>
      </w:r>
      <w:bookmarkEnd w:id="6"/>
    </w:p>
    <w:p w14:paraId="0F2B1136" w14:textId="1F89AE2B" w:rsidR="001A3B48" w:rsidRPr="00D52936" w:rsidRDefault="00527ECE" w:rsidP="00527ECE">
      <w:pPr>
        <w:rPr>
          <w:rFonts w:ascii="Candara" w:hAnsi="Candara"/>
        </w:rPr>
      </w:pPr>
      <w:r w:rsidRPr="00D52936">
        <w:rPr>
          <w:rFonts w:ascii="Candara" w:hAnsi="Candara"/>
        </w:rPr>
        <w:t xml:space="preserve">The </w:t>
      </w:r>
      <w:r w:rsidR="000869F7" w:rsidRPr="00D52936">
        <w:rPr>
          <w:rFonts w:ascii="Candara" w:hAnsi="Candara"/>
        </w:rPr>
        <w:t xml:space="preserve">commencement of the </w:t>
      </w:r>
      <w:r w:rsidR="000869F7" w:rsidRPr="00D52936">
        <w:rPr>
          <w:rFonts w:ascii="Candara" w:hAnsi="Candara"/>
          <w:i/>
        </w:rPr>
        <w:t xml:space="preserve">Electricity Safety (Bushfire Mitigation) </w:t>
      </w:r>
      <w:r w:rsidR="00290C47">
        <w:rPr>
          <w:rFonts w:ascii="Candara" w:hAnsi="Candara"/>
          <w:i/>
        </w:rPr>
        <w:t xml:space="preserve">Amendment </w:t>
      </w:r>
      <w:r w:rsidR="000869F7" w:rsidRPr="00D52936">
        <w:rPr>
          <w:rFonts w:ascii="Candara" w:hAnsi="Candara"/>
          <w:i/>
        </w:rPr>
        <w:t xml:space="preserve">Regulations 2016 </w:t>
      </w:r>
      <w:r w:rsidR="000869F7" w:rsidRPr="00D52936">
        <w:rPr>
          <w:rFonts w:ascii="Candara" w:hAnsi="Candara"/>
        </w:rPr>
        <w:t>has imposed an additional obligation on distribution b</w:t>
      </w:r>
      <w:r w:rsidR="005A6EE0">
        <w:rPr>
          <w:rFonts w:ascii="Candara" w:hAnsi="Candara"/>
        </w:rPr>
        <w:t>usinesses operating in Victoria</w:t>
      </w:r>
      <w:r w:rsidR="000869F7" w:rsidRPr="00D52936">
        <w:rPr>
          <w:rFonts w:ascii="Candara" w:hAnsi="Candara"/>
        </w:rPr>
        <w:t xml:space="preserve"> to install network fault detection and suppression devices and undertake powerline replacement in areas of greatest bushfire </w:t>
      </w:r>
      <w:r w:rsidR="00B424DE">
        <w:rPr>
          <w:rFonts w:ascii="Candara" w:hAnsi="Candara"/>
        </w:rPr>
        <w:t>risk</w:t>
      </w:r>
      <w:r w:rsidR="000869F7" w:rsidRPr="00D52936">
        <w:rPr>
          <w:rFonts w:ascii="Candara" w:hAnsi="Candara"/>
        </w:rPr>
        <w:t xml:space="preserve"> </w:t>
      </w:r>
      <w:r w:rsidR="00D52936" w:rsidRPr="00D52936">
        <w:rPr>
          <w:rFonts w:ascii="Candara" w:hAnsi="Candara"/>
        </w:rPr>
        <w:t xml:space="preserve">through </w:t>
      </w:r>
      <w:r w:rsidR="00711F29">
        <w:rPr>
          <w:rFonts w:ascii="Candara" w:hAnsi="Candara"/>
        </w:rPr>
        <w:t xml:space="preserve">the application of </w:t>
      </w:r>
      <w:r w:rsidR="00D52936" w:rsidRPr="00D52936">
        <w:rPr>
          <w:rFonts w:ascii="Candara" w:hAnsi="Candara"/>
        </w:rPr>
        <w:t xml:space="preserve">mandated operational performance standards and end-of-life asset replacement. </w:t>
      </w:r>
      <w:r w:rsidR="000869F7" w:rsidRPr="00D52936">
        <w:rPr>
          <w:rFonts w:ascii="Candara" w:hAnsi="Candara"/>
        </w:rPr>
        <w:t xml:space="preserve"> </w:t>
      </w:r>
    </w:p>
    <w:p w14:paraId="1BF42193" w14:textId="45F50863" w:rsidR="00527ECE" w:rsidRPr="0052680E" w:rsidRDefault="00D52936" w:rsidP="00BB41A4">
      <w:pPr>
        <w:pStyle w:val="Heading3"/>
        <w:numPr>
          <w:ilvl w:val="2"/>
          <w:numId w:val="36"/>
        </w:numPr>
      </w:pPr>
      <w:bookmarkStart w:id="7" w:name="_Toc458675163"/>
      <w:r w:rsidRPr="0052680E">
        <w:t>Further d</w:t>
      </w:r>
      <w:r w:rsidR="00527ECE" w:rsidRPr="0052680E">
        <w:t>istributor safety obligations under Legislation</w:t>
      </w:r>
      <w:bookmarkEnd w:id="7"/>
      <w:r w:rsidR="00527ECE" w:rsidRPr="0052680E">
        <w:t xml:space="preserve"> </w:t>
      </w:r>
    </w:p>
    <w:p w14:paraId="5394F529" w14:textId="6C2203F2" w:rsidR="00527ECE" w:rsidRPr="00D52936" w:rsidRDefault="00527ECE" w:rsidP="00527ECE">
      <w:pPr>
        <w:rPr>
          <w:rFonts w:ascii="Candara" w:hAnsi="Candara"/>
        </w:rPr>
      </w:pPr>
      <w:r w:rsidRPr="00D52936">
        <w:rPr>
          <w:rFonts w:ascii="Candara" w:hAnsi="Candara"/>
        </w:rPr>
        <w:t>Electricity distributors have regulated obligations to operate safe networks under the Electricit</w:t>
      </w:r>
      <w:r w:rsidR="00C31628">
        <w:rPr>
          <w:rFonts w:ascii="Candara" w:hAnsi="Candara"/>
        </w:rPr>
        <w:t>y Distribution C</w:t>
      </w:r>
      <w:r w:rsidR="00D52936" w:rsidRPr="00D52936">
        <w:rPr>
          <w:rFonts w:ascii="Candara" w:hAnsi="Candara"/>
        </w:rPr>
        <w:t xml:space="preserve">ode, </w:t>
      </w:r>
      <w:r w:rsidRPr="00D52936">
        <w:rPr>
          <w:rFonts w:ascii="Candara" w:hAnsi="Candara"/>
        </w:rPr>
        <w:t xml:space="preserve">the </w:t>
      </w:r>
      <w:r w:rsidRPr="00D52936">
        <w:rPr>
          <w:rFonts w:ascii="Candara" w:hAnsi="Candara"/>
          <w:i/>
        </w:rPr>
        <w:t>Electricity Safety Act 1998</w:t>
      </w:r>
      <w:r w:rsidR="00D52936" w:rsidRPr="00D52936">
        <w:rPr>
          <w:rFonts w:ascii="Candara" w:hAnsi="Candara"/>
        </w:rPr>
        <w:t xml:space="preserve">, and subordinate legislation </w:t>
      </w:r>
      <w:r w:rsidR="000869F7" w:rsidRPr="00D52936">
        <w:rPr>
          <w:rFonts w:ascii="Candara" w:hAnsi="Candara"/>
        </w:rPr>
        <w:t xml:space="preserve">(see </w:t>
      </w:r>
      <w:r w:rsidR="000869F7" w:rsidRPr="00D52936">
        <w:rPr>
          <w:rFonts w:ascii="Candara" w:hAnsi="Candara"/>
          <w:b/>
        </w:rPr>
        <w:t>Appendix 1)</w:t>
      </w:r>
      <w:r w:rsidR="000869F7" w:rsidRPr="00D52936">
        <w:rPr>
          <w:rFonts w:ascii="Candara" w:hAnsi="Candara"/>
        </w:rPr>
        <w:t xml:space="preserve">. </w:t>
      </w:r>
      <w:r w:rsidRPr="00D52936">
        <w:rPr>
          <w:rFonts w:ascii="Candara" w:hAnsi="Candara"/>
        </w:rPr>
        <w:t xml:space="preserve"> </w:t>
      </w:r>
    </w:p>
    <w:p w14:paraId="726C76F0" w14:textId="77777777" w:rsidR="00527ECE" w:rsidRPr="0052680E" w:rsidRDefault="00527ECE" w:rsidP="00BB41A4">
      <w:pPr>
        <w:pStyle w:val="Heading3"/>
        <w:numPr>
          <w:ilvl w:val="2"/>
          <w:numId w:val="36"/>
        </w:numPr>
      </w:pPr>
      <w:bookmarkStart w:id="8" w:name="_Toc458675164"/>
      <w:r w:rsidRPr="0052680E">
        <w:lastRenderedPageBreak/>
        <w:t>Electricity Safety Management Schemes and Bushfire Mitigation Plans</w:t>
      </w:r>
      <w:bookmarkEnd w:id="8"/>
    </w:p>
    <w:p w14:paraId="546B4320" w14:textId="4B65E832" w:rsidR="00EF524C" w:rsidRDefault="00527ECE" w:rsidP="009C45FB">
      <w:pPr>
        <w:rPr>
          <w:rFonts w:ascii="Candara" w:hAnsi="Candara"/>
        </w:rPr>
      </w:pPr>
      <w:r>
        <w:rPr>
          <w:rFonts w:ascii="Candara" w:hAnsi="Candara"/>
        </w:rPr>
        <w:t xml:space="preserve">Under section 113A of the </w:t>
      </w:r>
      <w:r w:rsidRPr="005A6EE0">
        <w:rPr>
          <w:rFonts w:ascii="Candara" w:hAnsi="Candara"/>
          <w:i/>
        </w:rPr>
        <w:t>Electricity Safety Act 1998</w:t>
      </w:r>
      <w:r>
        <w:rPr>
          <w:rFonts w:ascii="Candara" w:hAnsi="Candara"/>
        </w:rPr>
        <w:t>, distribution businesses must provide Bushfire Mitigation Plans (BMPs) in which they set out how they will manage the bushfire risk presen</w:t>
      </w:r>
      <w:r w:rsidR="00D52936">
        <w:rPr>
          <w:rFonts w:ascii="Candara" w:hAnsi="Candara"/>
        </w:rPr>
        <w:t xml:space="preserve">ted by their networks. These </w:t>
      </w:r>
      <w:r>
        <w:rPr>
          <w:rFonts w:ascii="Candara" w:hAnsi="Candara"/>
        </w:rPr>
        <w:t>plans, and the broader Electricity Safety Management Schemes (ESMS) of which BMPs are a part, must be accepted by E</w:t>
      </w:r>
      <w:r w:rsidR="00711F29">
        <w:rPr>
          <w:rFonts w:ascii="Candara" w:hAnsi="Candara"/>
        </w:rPr>
        <w:t xml:space="preserve">nergy Safe Victoria (ESV) </w:t>
      </w:r>
      <w:r>
        <w:rPr>
          <w:rFonts w:ascii="Candara" w:hAnsi="Candara"/>
        </w:rPr>
        <w:t>as a</w:t>
      </w:r>
      <w:r w:rsidR="00D52936">
        <w:rPr>
          <w:rFonts w:ascii="Candara" w:hAnsi="Candara"/>
        </w:rPr>
        <w:t xml:space="preserve"> condition of network operation.</w:t>
      </w:r>
      <w:r>
        <w:rPr>
          <w:rFonts w:ascii="Candara" w:hAnsi="Candara"/>
        </w:rPr>
        <w:t xml:space="preserve"> </w:t>
      </w:r>
    </w:p>
    <w:p w14:paraId="5621A707" w14:textId="09B3212F" w:rsidR="007B204D" w:rsidRPr="007B204D" w:rsidRDefault="00D52936" w:rsidP="007B204D">
      <w:pPr>
        <w:pStyle w:val="Heading2"/>
      </w:pPr>
      <w:bookmarkStart w:id="9" w:name="_Toc458675165"/>
      <w:r>
        <w:t>B</w:t>
      </w:r>
      <w:r w:rsidR="007B204D" w:rsidRPr="007B204D">
        <w:t>ushfires starting on electricity assets remain a problem</w:t>
      </w:r>
      <w:bookmarkEnd w:id="9"/>
    </w:p>
    <w:p w14:paraId="06329762" w14:textId="52FCCD86" w:rsidR="007B204D" w:rsidRDefault="00EF524C" w:rsidP="009C45FB">
      <w:pPr>
        <w:rPr>
          <w:rFonts w:ascii="Candara" w:hAnsi="Candara"/>
        </w:rPr>
      </w:pPr>
      <w:r>
        <w:rPr>
          <w:rFonts w:ascii="Candara" w:hAnsi="Candara"/>
        </w:rPr>
        <w:t xml:space="preserve">The above mechanisms to </w:t>
      </w:r>
      <w:r w:rsidR="00711F29">
        <w:rPr>
          <w:rFonts w:ascii="Candara" w:hAnsi="Candara"/>
        </w:rPr>
        <w:t>impose</w:t>
      </w:r>
      <w:r w:rsidR="005A6EE0">
        <w:rPr>
          <w:rFonts w:ascii="Candara" w:hAnsi="Candara"/>
        </w:rPr>
        <w:t xml:space="preserve"> legal and legislative</w:t>
      </w:r>
      <w:r>
        <w:rPr>
          <w:rFonts w:ascii="Candara" w:hAnsi="Candara"/>
        </w:rPr>
        <w:t xml:space="preserve"> </w:t>
      </w:r>
      <w:r w:rsidR="005A6EE0">
        <w:rPr>
          <w:rFonts w:ascii="Candara" w:hAnsi="Candara"/>
        </w:rPr>
        <w:t xml:space="preserve">obligations </w:t>
      </w:r>
      <w:r w:rsidR="00711F29">
        <w:rPr>
          <w:rFonts w:ascii="Candara" w:hAnsi="Candara"/>
        </w:rPr>
        <w:t xml:space="preserve">on distribution businesses </w:t>
      </w:r>
      <w:r w:rsidR="008E3F10">
        <w:rPr>
          <w:rFonts w:ascii="Candara" w:hAnsi="Candara"/>
        </w:rPr>
        <w:t xml:space="preserve">to </w:t>
      </w:r>
      <w:r w:rsidR="00711F29">
        <w:rPr>
          <w:rFonts w:ascii="Candara" w:hAnsi="Candara"/>
        </w:rPr>
        <w:t>maintain a safe system. Together they</w:t>
      </w:r>
      <w:r>
        <w:rPr>
          <w:rFonts w:ascii="Candara" w:hAnsi="Candara"/>
        </w:rPr>
        <w:t xml:space="preserve"> provide the primary means by which the bulk of network-related bushfire risk reduction may be achieved in Victoria. Despite these </w:t>
      </w:r>
      <w:r w:rsidR="00D52936">
        <w:rPr>
          <w:rFonts w:ascii="Candara" w:hAnsi="Candara"/>
        </w:rPr>
        <w:t>mechanisms,</w:t>
      </w:r>
      <w:r>
        <w:rPr>
          <w:rFonts w:ascii="Candara" w:hAnsi="Candara"/>
        </w:rPr>
        <w:t xml:space="preserve"> however,</w:t>
      </w:r>
      <w:r w:rsidR="00D52936">
        <w:rPr>
          <w:rFonts w:ascii="Candara" w:hAnsi="Candara"/>
        </w:rPr>
        <w:t xml:space="preserve"> </w:t>
      </w:r>
      <w:r w:rsidR="00711F29">
        <w:rPr>
          <w:rFonts w:ascii="Candara" w:hAnsi="Candara"/>
        </w:rPr>
        <w:t xml:space="preserve">there are </w:t>
      </w:r>
      <w:r w:rsidR="00D52936">
        <w:rPr>
          <w:rFonts w:ascii="Candara" w:hAnsi="Candara"/>
        </w:rPr>
        <w:t xml:space="preserve">a </w:t>
      </w:r>
      <w:r w:rsidR="00711F29">
        <w:rPr>
          <w:rFonts w:ascii="Candara" w:hAnsi="Candara"/>
        </w:rPr>
        <w:t>range of reasons why electricity assets continue to present</w:t>
      </w:r>
      <w:r w:rsidR="002C2C38">
        <w:rPr>
          <w:rFonts w:ascii="Candara" w:hAnsi="Candara"/>
        </w:rPr>
        <w:t xml:space="preserve"> a bushfire risk.</w:t>
      </w:r>
      <w:r w:rsidR="00D52936">
        <w:rPr>
          <w:rFonts w:ascii="Candara" w:hAnsi="Candara"/>
        </w:rPr>
        <w:t xml:space="preserve"> These reasons </w:t>
      </w:r>
      <w:r>
        <w:rPr>
          <w:rFonts w:ascii="Candara" w:hAnsi="Candara"/>
        </w:rPr>
        <w:t>are detailed</w:t>
      </w:r>
      <w:r w:rsidR="006827B1">
        <w:rPr>
          <w:rFonts w:ascii="Candara" w:hAnsi="Candara"/>
        </w:rPr>
        <w:t xml:space="preserve"> </w:t>
      </w:r>
      <w:r w:rsidR="00E6727A">
        <w:rPr>
          <w:rFonts w:ascii="Candara" w:hAnsi="Candara"/>
        </w:rPr>
        <w:t>below.</w:t>
      </w:r>
    </w:p>
    <w:p w14:paraId="5359941D" w14:textId="36D67AB8" w:rsidR="006827B1" w:rsidRDefault="006827B1" w:rsidP="00AA2F9F">
      <w:pPr>
        <w:pStyle w:val="Heading3"/>
      </w:pPr>
      <w:r>
        <w:t xml:space="preserve"> </w:t>
      </w:r>
      <w:bookmarkStart w:id="10" w:name="_Toc458675166"/>
      <w:r w:rsidR="00EF524C">
        <w:t>Exogenous variables</w:t>
      </w:r>
      <w:bookmarkEnd w:id="10"/>
      <w:r w:rsidR="00EF524C">
        <w:t xml:space="preserve"> </w:t>
      </w:r>
    </w:p>
    <w:p w14:paraId="16660E1A" w14:textId="7EEA11B7" w:rsidR="00EF524C" w:rsidRPr="005A6EE0" w:rsidRDefault="00711F29" w:rsidP="00EF524C">
      <w:pPr>
        <w:rPr>
          <w:rFonts w:ascii="Candara" w:hAnsi="Candara"/>
        </w:rPr>
      </w:pPr>
      <w:r>
        <w:rPr>
          <w:rFonts w:ascii="Candara" w:hAnsi="Candara"/>
        </w:rPr>
        <w:t>The operators of</w:t>
      </w:r>
      <w:r w:rsidR="00EF524C" w:rsidRPr="005A6EE0">
        <w:rPr>
          <w:rFonts w:ascii="Candara" w:hAnsi="Candara"/>
        </w:rPr>
        <w:t xml:space="preserve"> distribution networks in Victoria </w:t>
      </w:r>
      <w:r w:rsidR="009509BE">
        <w:rPr>
          <w:rFonts w:ascii="Candara" w:hAnsi="Candara"/>
        </w:rPr>
        <w:t xml:space="preserve">face </w:t>
      </w:r>
      <w:r w:rsidR="00EF524C" w:rsidRPr="005A6EE0">
        <w:rPr>
          <w:rFonts w:ascii="Candara" w:hAnsi="Candara"/>
        </w:rPr>
        <w:t xml:space="preserve">an inherent risk that vegetation and fauna interaction or extreme weather may interact with the network to start bushfires. </w:t>
      </w:r>
      <w:r w:rsidR="00017104" w:rsidRPr="005A6EE0">
        <w:rPr>
          <w:rFonts w:ascii="Candara" w:hAnsi="Candara"/>
        </w:rPr>
        <w:t>Legislat</w:t>
      </w:r>
      <w:r w:rsidR="00DF1BAC" w:rsidRPr="005A6EE0">
        <w:rPr>
          <w:rFonts w:ascii="Candara" w:hAnsi="Candara"/>
        </w:rPr>
        <w:t>ion cannot eliminate this risk</w:t>
      </w:r>
      <w:r w:rsidR="00017104" w:rsidRPr="005A6EE0">
        <w:rPr>
          <w:rFonts w:ascii="Candara" w:hAnsi="Candara"/>
        </w:rPr>
        <w:t xml:space="preserve">. </w:t>
      </w:r>
    </w:p>
    <w:p w14:paraId="2470BB03" w14:textId="132B8472" w:rsidR="00EF524C" w:rsidRDefault="00EF524C" w:rsidP="00AA2F9F">
      <w:pPr>
        <w:pStyle w:val="Heading3"/>
      </w:pPr>
      <w:bookmarkStart w:id="11" w:name="_Toc458675167"/>
      <w:r>
        <w:t>Prohibitive costs of network fire elimination</w:t>
      </w:r>
      <w:bookmarkEnd w:id="11"/>
    </w:p>
    <w:p w14:paraId="65647099" w14:textId="284A8FA4" w:rsidR="00EF524C" w:rsidRPr="005A6EE0" w:rsidRDefault="00EF524C" w:rsidP="00EF524C">
      <w:pPr>
        <w:rPr>
          <w:rFonts w:ascii="Candara" w:hAnsi="Candara"/>
        </w:rPr>
      </w:pPr>
      <w:r w:rsidRPr="005A6EE0">
        <w:rPr>
          <w:rFonts w:ascii="Candara" w:hAnsi="Candara"/>
        </w:rPr>
        <w:t>The risk of exogenous variables, asset faults and operational limitations could be virtually eliminated by undergrounding all non-urban powerlines at an estimated $40 billion</w:t>
      </w:r>
      <w:r w:rsidR="00017104" w:rsidRPr="005A6EE0">
        <w:rPr>
          <w:rFonts w:ascii="Candara" w:hAnsi="Candara"/>
        </w:rPr>
        <w:t xml:space="preserve"> (in 2011 dollars)</w:t>
      </w:r>
      <w:r w:rsidRPr="005A6EE0">
        <w:rPr>
          <w:rFonts w:ascii="Candara" w:hAnsi="Candara"/>
        </w:rPr>
        <w:t>.</w:t>
      </w:r>
      <w:r w:rsidR="00E6727A">
        <w:rPr>
          <w:rStyle w:val="FootnoteReference"/>
          <w:rFonts w:ascii="Candara" w:hAnsi="Candara"/>
        </w:rPr>
        <w:footnoteReference w:id="6"/>
      </w:r>
      <w:r w:rsidRPr="005A6EE0">
        <w:rPr>
          <w:rFonts w:ascii="Candara" w:hAnsi="Candara"/>
        </w:rPr>
        <w:t xml:space="preserve"> However, </w:t>
      </w:r>
      <w:r w:rsidR="009509BE">
        <w:rPr>
          <w:rFonts w:ascii="Candara" w:hAnsi="Candara"/>
        </w:rPr>
        <w:t>such an investment would impose a prohibitive cost on Victorian consumers</w:t>
      </w:r>
      <w:r w:rsidRPr="005A6EE0">
        <w:rPr>
          <w:rFonts w:ascii="Candara" w:hAnsi="Candara"/>
        </w:rPr>
        <w:t xml:space="preserve">. </w:t>
      </w:r>
    </w:p>
    <w:p w14:paraId="2017FAD9" w14:textId="77777777" w:rsidR="00AA2F9F" w:rsidRPr="00AA2F9F" w:rsidRDefault="00AA2F9F" w:rsidP="00AA2F9F">
      <w:pPr>
        <w:pStyle w:val="Heading3"/>
      </w:pPr>
      <w:bookmarkStart w:id="12" w:name="_Toc458675168"/>
      <w:r w:rsidRPr="00AA2F9F">
        <w:t>Imposed Costs on Others (Negative Externality)</w:t>
      </w:r>
      <w:bookmarkEnd w:id="12"/>
    </w:p>
    <w:p w14:paraId="1029BA6D" w14:textId="53AFBAEF" w:rsidR="00B424DE" w:rsidRDefault="00DF1BAC" w:rsidP="00AA2F9F">
      <w:pPr>
        <w:rPr>
          <w:rFonts w:ascii="Candara" w:hAnsi="Candara"/>
        </w:rPr>
      </w:pPr>
      <w:r>
        <w:rPr>
          <w:rFonts w:ascii="Candara" w:hAnsi="Candara"/>
        </w:rPr>
        <w:t>Under the current legislative energy framework, the</w:t>
      </w:r>
      <w:r w:rsidR="00AA2F9F">
        <w:rPr>
          <w:rFonts w:ascii="Candara" w:hAnsi="Candara"/>
        </w:rPr>
        <w:t xml:space="preserve"> cost of bushfires </w:t>
      </w:r>
      <w:r w:rsidR="00AA2F9F" w:rsidRPr="00C629A3">
        <w:rPr>
          <w:rFonts w:ascii="Candara" w:hAnsi="Candara"/>
        </w:rPr>
        <w:t>are not directly borne by distribution businesses. While these businesses do bear some cost (as a consequence of asset damage), the bulk of these costs arise from losses experienced by the broader community (life, houses, livestock, timber</w:t>
      </w:r>
      <w:r w:rsidR="001F1B79">
        <w:rPr>
          <w:rFonts w:ascii="Candara" w:hAnsi="Candara"/>
        </w:rPr>
        <w:t>,</w:t>
      </w:r>
      <w:r w:rsidR="00AA2F9F" w:rsidRPr="00C629A3">
        <w:rPr>
          <w:rFonts w:ascii="Candara" w:hAnsi="Candara"/>
        </w:rPr>
        <w:t xml:space="preserve"> etc).</w:t>
      </w:r>
      <w:r w:rsidR="00AA2F9F" w:rsidRPr="00C629A3">
        <w:rPr>
          <w:rStyle w:val="FootnoteReference"/>
          <w:rFonts w:ascii="Candara" w:hAnsi="Candara"/>
        </w:rPr>
        <w:footnoteReference w:id="7"/>
      </w:r>
      <w:r w:rsidR="00AA2F9F">
        <w:rPr>
          <w:rFonts w:ascii="Candara" w:hAnsi="Candara"/>
        </w:rPr>
        <w:t xml:space="preserve"> </w:t>
      </w:r>
    </w:p>
    <w:p w14:paraId="17A35791" w14:textId="77777777" w:rsidR="009509BE" w:rsidRDefault="009509BE" w:rsidP="00AA2F9F">
      <w:pPr>
        <w:rPr>
          <w:rFonts w:ascii="Candara" w:hAnsi="Candara"/>
        </w:rPr>
      </w:pPr>
    </w:p>
    <w:p w14:paraId="12E3A09F" w14:textId="77777777" w:rsidR="009132DA" w:rsidRDefault="009132DA" w:rsidP="00AA2F9F">
      <w:pPr>
        <w:rPr>
          <w:rFonts w:ascii="Candara" w:hAnsi="Candara"/>
        </w:rPr>
      </w:pPr>
    </w:p>
    <w:p w14:paraId="4195A43E" w14:textId="77777777" w:rsidR="009132DA" w:rsidRDefault="009132DA" w:rsidP="00AA2F9F">
      <w:pPr>
        <w:rPr>
          <w:rFonts w:ascii="Candara" w:hAnsi="Candara"/>
        </w:rPr>
      </w:pPr>
    </w:p>
    <w:p w14:paraId="24CAA602" w14:textId="77777777" w:rsidR="009132DA" w:rsidRDefault="009132DA" w:rsidP="00AA2F9F">
      <w:pPr>
        <w:rPr>
          <w:rFonts w:ascii="Candara" w:hAnsi="Candara"/>
        </w:rPr>
      </w:pPr>
    </w:p>
    <w:p w14:paraId="5EDEBBB4" w14:textId="1ABDE40D" w:rsidR="000C1C10" w:rsidRPr="000C1C10" w:rsidRDefault="000C1C10" w:rsidP="000C1C10">
      <w:pPr>
        <w:autoSpaceDE w:val="0"/>
        <w:autoSpaceDN w:val="0"/>
        <w:adjustRightInd w:val="0"/>
        <w:spacing w:before="120" w:after="80"/>
        <w:rPr>
          <w:rFonts w:ascii="Candara" w:hAnsi="Candara" w:cs="Calibri"/>
          <w:sz w:val="21"/>
          <w:szCs w:val="21"/>
        </w:rPr>
      </w:pPr>
      <w:r>
        <w:rPr>
          <w:rStyle w:val="Heading6Char"/>
        </w:rPr>
        <w:lastRenderedPageBreak/>
        <w:t xml:space="preserve">Figure 1.2: </w:t>
      </w:r>
      <w:r w:rsidR="00F3538A">
        <w:rPr>
          <w:rStyle w:val="Heading6Char"/>
        </w:rPr>
        <w:t xml:space="preserve">AusNet Services / </w:t>
      </w:r>
      <w:r>
        <w:rPr>
          <w:rStyle w:val="Heading6Char"/>
        </w:rPr>
        <w:t xml:space="preserve">SP AusNet Black Saturday Settlements </w:t>
      </w:r>
    </w:p>
    <w:tbl>
      <w:tblPr>
        <w:tblStyle w:val="TableGrid"/>
        <w:tblpPr w:leftFromText="180" w:rightFromText="180" w:vertAnchor="text" w:horzAnchor="margin" w:tblpXSpec="center" w:tblpY="289"/>
        <w:tblW w:w="0" w:type="auto"/>
        <w:tblLook w:val="04A0" w:firstRow="1" w:lastRow="0" w:firstColumn="1" w:lastColumn="0" w:noHBand="0" w:noVBand="1"/>
      </w:tblPr>
      <w:tblGrid>
        <w:gridCol w:w="1189"/>
        <w:gridCol w:w="1483"/>
        <w:gridCol w:w="2427"/>
      </w:tblGrid>
      <w:tr w:rsidR="000C1C10" w:rsidRPr="00C629A3" w14:paraId="2615289F" w14:textId="77777777" w:rsidTr="00F3538A">
        <w:tc>
          <w:tcPr>
            <w:tcW w:w="1189" w:type="dxa"/>
            <w:shd w:val="clear" w:color="auto" w:fill="365F91" w:themeFill="accent1" w:themeFillShade="BF"/>
          </w:tcPr>
          <w:p w14:paraId="287DCF3F" w14:textId="77777777" w:rsidR="000C1C10" w:rsidRPr="009132DA" w:rsidRDefault="000C1C10" w:rsidP="00F3538A">
            <w:pPr>
              <w:keepNext/>
              <w:rPr>
                <w:rFonts w:ascii="Candara" w:hAnsi="Candara"/>
                <w:b/>
                <w:color w:val="F2F2F2" w:themeColor="background1" w:themeShade="F2"/>
              </w:rPr>
            </w:pPr>
            <w:r w:rsidRPr="009132DA">
              <w:rPr>
                <w:rFonts w:ascii="Candara" w:hAnsi="Candara"/>
                <w:b/>
                <w:color w:val="F2F2F2" w:themeColor="background1" w:themeShade="F2"/>
              </w:rPr>
              <w:t>Company</w:t>
            </w:r>
          </w:p>
        </w:tc>
        <w:tc>
          <w:tcPr>
            <w:tcW w:w="1483" w:type="dxa"/>
            <w:shd w:val="clear" w:color="auto" w:fill="365F91" w:themeFill="accent1" w:themeFillShade="BF"/>
          </w:tcPr>
          <w:p w14:paraId="7D846333" w14:textId="77777777" w:rsidR="000C1C10" w:rsidRPr="009132DA" w:rsidRDefault="000C1C10" w:rsidP="00F3538A">
            <w:pPr>
              <w:keepNext/>
              <w:rPr>
                <w:rFonts w:ascii="Candara" w:hAnsi="Candara"/>
                <w:b/>
                <w:color w:val="F2F2F2" w:themeColor="background1" w:themeShade="F2"/>
              </w:rPr>
            </w:pPr>
            <w:r w:rsidRPr="009132DA">
              <w:rPr>
                <w:rFonts w:ascii="Candara" w:hAnsi="Candara"/>
                <w:b/>
                <w:color w:val="F2F2F2" w:themeColor="background1" w:themeShade="F2"/>
              </w:rPr>
              <w:t>Bushfire</w:t>
            </w:r>
          </w:p>
        </w:tc>
        <w:tc>
          <w:tcPr>
            <w:tcW w:w="2427" w:type="dxa"/>
            <w:shd w:val="clear" w:color="auto" w:fill="365F91" w:themeFill="accent1" w:themeFillShade="BF"/>
          </w:tcPr>
          <w:p w14:paraId="5ADE8806" w14:textId="77777777" w:rsidR="000C1C10" w:rsidRPr="009132DA" w:rsidRDefault="000C1C10" w:rsidP="00F3538A">
            <w:pPr>
              <w:keepNext/>
              <w:rPr>
                <w:rFonts w:ascii="Candara" w:hAnsi="Candara"/>
                <w:b/>
                <w:color w:val="F2F2F2" w:themeColor="background1" w:themeShade="F2"/>
              </w:rPr>
            </w:pPr>
            <w:r w:rsidRPr="009132DA">
              <w:rPr>
                <w:rFonts w:ascii="Candara" w:hAnsi="Candara"/>
                <w:b/>
                <w:color w:val="F2F2F2" w:themeColor="background1" w:themeShade="F2"/>
              </w:rPr>
              <w:t>Amount of settlement</w:t>
            </w:r>
            <w:r w:rsidRPr="009132DA">
              <w:rPr>
                <w:rStyle w:val="FootnoteReference"/>
                <w:rFonts w:ascii="Candara" w:hAnsi="Candara"/>
                <w:b/>
                <w:color w:val="F2F2F2" w:themeColor="background1" w:themeShade="F2"/>
              </w:rPr>
              <w:footnoteReference w:id="8"/>
            </w:r>
          </w:p>
        </w:tc>
      </w:tr>
      <w:tr w:rsidR="000C1C10" w:rsidRPr="00C629A3" w14:paraId="6ADAB8BB" w14:textId="77777777" w:rsidTr="00F3538A">
        <w:tc>
          <w:tcPr>
            <w:tcW w:w="1189" w:type="dxa"/>
          </w:tcPr>
          <w:p w14:paraId="14C41875" w14:textId="77777777" w:rsidR="000C1C10" w:rsidRPr="00C629A3" w:rsidRDefault="000C1C10" w:rsidP="00F3538A">
            <w:pPr>
              <w:keepNext/>
              <w:rPr>
                <w:rFonts w:ascii="Candara" w:hAnsi="Candara"/>
              </w:rPr>
            </w:pPr>
            <w:r w:rsidRPr="00C629A3">
              <w:rPr>
                <w:rFonts w:ascii="Candara" w:hAnsi="Candara"/>
              </w:rPr>
              <w:t>AusNet</w:t>
            </w:r>
            <w:r w:rsidRPr="00C629A3">
              <w:rPr>
                <w:rStyle w:val="FootnoteReference"/>
                <w:rFonts w:ascii="Candara" w:hAnsi="Candara"/>
              </w:rPr>
              <w:footnoteReference w:id="9"/>
            </w:r>
          </w:p>
        </w:tc>
        <w:tc>
          <w:tcPr>
            <w:tcW w:w="1483" w:type="dxa"/>
          </w:tcPr>
          <w:p w14:paraId="41EAF8ED" w14:textId="77777777" w:rsidR="000C1C10" w:rsidRPr="00C629A3" w:rsidRDefault="000C1C10" w:rsidP="00F3538A">
            <w:pPr>
              <w:keepNext/>
              <w:rPr>
                <w:rFonts w:ascii="Candara" w:hAnsi="Candara"/>
              </w:rPr>
            </w:pPr>
            <w:r w:rsidRPr="00C629A3">
              <w:rPr>
                <w:rFonts w:ascii="Candara" w:hAnsi="Candara"/>
              </w:rPr>
              <w:t>Beechworth</w:t>
            </w:r>
            <w:r w:rsidRPr="00C629A3">
              <w:rPr>
                <w:rStyle w:val="FootnoteReference"/>
                <w:rFonts w:ascii="Candara" w:hAnsi="Candara"/>
              </w:rPr>
              <w:footnoteReference w:id="10"/>
            </w:r>
          </w:p>
        </w:tc>
        <w:tc>
          <w:tcPr>
            <w:tcW w:w="2427" w:type="dxa"/>
          </w:tcPr>
          <w:p w14:paraId="6E5C6D51" w14:textId="77777777" w:rsidR="000C1C10" w:rsidRPr="00C629A3" w:rsidRDefault="000C1C10" w:rsidP="00F3538A">
            <w:pPr>
              <w:keepNext/>
              <w:rPr>
                <w:rFonts w:ascii="Candara" w:hAnsi="Candara"/>
              </w:rPr>
            </w:pPr>
            <w:r w:rsidRPr="00C629A3">
              <w:rPr>
                <w:rFonts w:ascii="Candara" w:hAnsi="Candara"/>
              </w:rPr>
              <w:t>$19.7 m</w:t>
            </w:r>
          </w:p>
        </w:tc>
      </w:tr>
      <w:tr w:rsidR="000C1C10" w:rsidRPr="00C629A3" w14:paraId="7454100B" w14:textId="77777777" w:rsidTr="00F3538A">
        <w:tc>
          <w:tcPr>
            <w:tcW w:w="1189" w:type="dxa"/>
          </w:tcPr>
          <w:p w14:paraId="63EDC4F5" w14:textId="77777777" w:rsidR="000C1C10" w:rsidRPr="00C629A3" w:rsidRDefault="000C1C10" w:rsidP="00F3538A">
            <w:pPr>
              <w:keepNext/>
              <w:rPr>
                <w:rFonts w:ascii="Candara" w:hAnsi="Candara"/>
              </w:rPr>
            </w:pPr>
            <w:r w:rsidRPr="00C629A3">
              <w:rPr>
                <w:rFonts w:ascii="Candara" w:hAnsi="Candara"/>
              </w:rPr>
              <w:t>AusNet</w:t>
            </w:r>
          </w:p>
        </w:tc>
        <w:tc>
          <w:tcPr>
            <w:tcW w:w="1483" w:type="dxa"/>
          </w:tcPr>
          <w:p w14:paraId="33A9E1EB" w14:textId="77777777" w:rsidR="000C1C10" w:rsidRPr="00C629A3" w:rsidRDefault="000C1C10" w:rsidP="00F3538A">
            <w:pPr>
              <w:keepNext/>
              <w:rPr>
                <w:rFonts w:ascii="Candara" w:hAnsi="Candara"/>
              </w:rPr>
            </w:pPr>
            <w:r w:rsidRPr="00C629A3">
              <w:rPr>
                <w:rFonts w:ascii="Candara" w:hAnsi="Candara"/>
              </w:rPr>
              <w:t>Murrindindi</w:t>
            </w:r>
            <w:r w:rsidRPr="00C629A3">
              <w:rPr>
                <w:rStyle w:val="FootnoteReference"/>
                <w:rFonts w:ascii="Candara" w:hAnsi="Candara"/>
              </w:rPr>
              <w:footnoteReference w:id="11"/>
            </w:r>
          </w:p>
        </w:tc>
        <w:tc>
          <w:tcPr>
            <w:tcW w:w="2427" w:type="dxa"/>
          </w:tcPr>
          <w:p w14:paraId="174CB1F7" w14:textId="77777777" w:rsidR="000C1C10" w:rsidRPr="00C629A3" w:rsidRDefault="000C1C10" w:rsidP="00F3538A">
            <w:pPr>
              <w:keepNext/>
              <w:rPr>
                <w:rFonts w:ascii="Candara" w:hAnsi="Candara"/>
              </w:rPr>
            </w:pPr>
            <w:r w:rsidRPr="00C629A3">
              <w:rPr>
                <w:rFonts w:ascii="Candara" w:hAnsi="Candara"/>
              </w:rPr>
              <w:t>$260.9 m</w:t>
            </w:r>
          </w:p>
        </w:tc>
      </w:tr>
      <w:tr w:rsidR="000C1C10" w:rsidRPr="00C629A3" w14:paraId="1701FD46" w14:textId="77777777" w:rsidTr="00F3538A">
        <w:tc>
          <w:tcPr>
            <w:tcW w:w="1189" w:type="dxa"/>
            <w:tcBorders>
              <w:bottom w:val="single" w:sz="4" w:space="0" w:color="auto"/>
            </w:tcBorders>
          </w:tcPr>
          <w:p w14:paraId="57F8627E" w14:textId="77777777" w:rsidR="000C1C10" w:rsidRPr="00C629A3" w:rsidRDefault="000C1C10" w:rsidP="00F3538A">
            <w:pPr>
              <w:keepNext/>
              <w:rPr>
                <w:rFonts w:ascii="Candara" w:hAnsi="Candara"/>
              </w:rPr>
            </w:pPr>
            <w:r w:rsidRPr="00C629A3">
              <w:rPr>
                <w:rFonts w:ascii="Candara" w:hAnsi="Candara"/>
              </w:rPr>
              <w:t>AusNet</w:t>
            </w:r>
          </w:p>
        </w:tc>
        <w:tc>
          <w:tcPr>
            <w:tcW w:w="1483" w:type="dxa"/>
            <w:tcBorders>
              <w:bottom w:val="single" w:sz="4" w:space="0" w:color="auto"/>
            </w:tcBorders>
          </w:tcPr>
          <w:p w14:paraId="6EE75636" w14:textId="77777777" w:rsidR="000C1C10" w:rsidRPr="00C629A3" w:rsidRDefault="000C1C10" w:rsidP="00F3538A">
            <w:pPr>
              <w:keepNext/>
              <w:rPr>
                <w:rFonts w:ascii="Candara" w:hAnsi="Candara"/>
              </w:rPr>
            </w:pPr>
            <w:r w:rsidRPr="00C629A3">
              <w:rPr>
                <w:rFonts w:ascii="Candara" w:hAnsi="Candara"/>
              </w:rPr>
              <w:t>Kilmore</w:t>
            </w:r>
            <w:r w:rsidRPr="00C629A3">
              <w:rPr>
                <w:rStyle w:val="FootnoteReference"/>
                <w:rFonts w:ascii="Candara" w:hAnsi="Candara"/>
              </w:rPr>
              <w:footnoteReference w:id="12"/>
            </w:r>
          </w:p>
        </w:tc>
        <w:tc>
          <w:tcPr>
            <w:tcW w:w="2427" w:type="dxa"/>
            <w:tcBorders>
              <w:bottom w:val="single" w:sz="4" w:space="0" w:color="auto"/>
            </w:tcBorders>
          </w:tcPr>
          <w:p w14:paraId="3BE338AC" w14:textId="77777777" w:rsidR="000C1C10" w:rsidRPr="00C629A3" w:rsidRDefault="000C1C10" w:rsidP="00F3538A">
            <w:pPr>
              <w:keepNext/>
              <w:rPr>
                <w:rFonts w:ascii="Candara" w:hAnsi="Candara"/>
              </w:rPr>
            </w:pPr>
            <w:r w:rsidRPr="00C629A3">
              <w:rPr>
                <w:rFonts w:ascii="Candara" w:hAnsi="Candara"/>
              </w:rPr>
              <w:t>$378.6 m</w:t>
            </w:r>
          </w:p>
        </w:tc>
      </w:tr>
      <w:tr w:rsidR="000C1C10" w:rsidRPr="00C629A3" w14:paraId="6530F5D0" w14:textId="77777777" w:rsidTr="00F3538A">
        <w:tc>
          <w:tcPr>
            <w:tcW w:w="1189" w:type="dxa"/>
            <w:shd w:val="clear" w:color="auto" w:fill="365F91" w:themeFill="accent1" w:themeFillShade="BF"/>
          </w:tcPr>
          <w:p w14:paraId="425E114A" w14:textId="77777777" w:rsidR="000C1C10" w:rsidRPr="009132DA" w:rsidRDefault="000C1C10" w:rsidP="00F3538A">
            <w:pPr>
              <w:keepNext/>
              <w:rPr>
                <w:rFonts w:ascii="Candara" w:hAnsi="Candara"/>
                <w:b/>
                <w:color w:val="F2F2F2" w:themeColor="background1" w:themeShade="F2"/>
              </w:rPr>
            </w:pPr>
            <w:r w:rsidRPr="009132DA">
              <w:rPr>
                <w:rFonts w:ascii="Candara" w:hAnsi="Candara"/>
                <w:b/>
                <w:color w:val="F2F2F2" w:themeColor="background1" w:themeShade="F2"/>
              </w:rPr>
              <w:t>TOTAL</w:t>
            </w:r>
          </w:p>
        </w:tc>
        <w:tc>
          <w:tcPr>
            <w:tcW w:w="1483" w:type="dxa"/>
            <w:shd w:val="clear" w:color="auto" w:fill="365F91" w:themeFill="accent1" w:themeFillShade="BF"/>
          </w:tcPr>
          <w:p w14:paraId="2DCA19D4" w14:textId="77777777" w:rsidR="000C1C10" w:rsidRPr="009132DA" w:rsidRDefault="000C1C10" w:rsidP="00F3538A">
            <w:pPr>
              <w:keepNext/>
              <w:rPr>
                <w:rFonts w:ascii="Candara" w:hAnsi="Candara"/>
                <w:b/>
                <w:color w:val="F2F2F2" w:themeColor="background1" w:themeShade="F2"/>
              </w:rPr>
            </w:pPr>
          </w:p>
        </w:tc>
        <w:tc>
          <w:tcPr>
            <w:tcW w:w="2427" w:type="dxa"/>
            <w:shd w:val="clear" w:color="auto" w:fill="365F91" w:themeFill="accent1" w:themeFillShade="BF"/>
          </w:tcPr>
          <w:p w14:paraId="3D4D9A9B" w14:textId="77777777" w:rsidR="000C1C10" w:rsidRPr="009132DA" w:rsidRDefault="000C1C10" w:rsidP="00F3538A">
            <w:pPr>
              <w:keepNext/>
              <w:rPr>
                <w:rFonts w:ascii="Candara" w:hAnsi="Candara"/>
                <w:b/>
                <w:color w:val="F2F2F2" w:themeColor="background1" w:themeShade="F2"/>
              </w:rPr>
            </w:pPr>
            <w:r w:rsidRPr="009132DA">
              <w:rPr>
                <w:rFonts w:ascii="Candara" w:hAnsi="Candara"/>
                <w:b/>
                <w:color w:val="F2F2F2" w:themeColor="background1" w:themeShade="F2"/>
              </w:rPr>
              <w:t>$659.2 m</w:t>
            </w:r>
          </w:p>
        </w:tc>
      </w:tr>
    </w:tbl>
    <w:p w14:paraId="4B4A4678" w14:textId="77777777" w:rsidR="005A6EE0" w:rsidRDefault="005A6EE0" w:rsidP="00AA2F9F">
      <w:pPr>
        <w:rPr>
          <w:rFonts w:ascii="Candara" w:hAnsi="Candara"/>
        </w:rPr>
      </w:pPr>
    </w:p>
    <w:p w14:paraId="7B7E46A7" w14:textId="77777777" w:rsidR="005A6EE0" w:rsidRDefault="005A6EE0" w:rsidP="00AA2F9F">
      <w:pPr>
        <w:rPr>
          <w:rFonts w:ascii="Candara" w:hAnsi="Candara"/>
        </w:rPr>
      </w:pPr>
    </w:p>
    <w:p w14:paraId="36696570" w14:textId="77777777" w:rsidR="005A6EE0" w:rsidRDefault="005A6EE0" w:rsidP="00AA2F9F">
      <w:pPr>
        <w:rPr>
          <w:rFonts w:ascii="Candara" w:hAnsi="Candara"/>
        </w:rPr>
      </w:pPr>
    </w:p>
    <w:p w14:paraId="3AA49D5C" w14:textId="77777777" w:rsidR="005A6EE0" w:rsidRDefault="005A6EE0" w:rsidP="00AA2F9F">
      <w:pPr>
        <w:rPr>
          <w:rFonts w:ascii="Candara" w:hAnsi="Candara"/>
        </w:rPr>
      </w:pPr>
    </w:p>
    <w:p w14:paraId="53B14C78" w14:textId="2C4ACD9E" w:rsidR="00AA2F9F" w:rsidRPr="00C629A3" w:rsidRDefault="00AA2F9F" w:rsidP="00AA2F9F">
      <w:pPr>
        <w:rPr>
          <w:rFonts w:ascii="Candara" w:hAnsi="Candara"/>
        </w:rPr>
      </w:pPr>
      <w:r w:rsidRPr="00C629A3">
        <w:rPr>
          <w:rFonts w:ascii="Candara" w:hAnsi="Candara"/>
        </w:rPr>
        <w:t>Distribution businesses have, and continue to, incur costs worth hundreds of millions of dollars per year to carry out the</w:t>
      </w:r>
      <w:r>
        <w:rPr>
          <w:rFonts w:ascii="Candara" w:hAnsi="Candara"/>
        </w:rPr>
        <w:t xml:space="preserve">ir regulatory obligations (see </w:t>
      </w:r>
      <w:r w:rsidRPr="00CF4842">
        <w:rPr>
          <w:rFonts w:ascii="Candara" w:hAnsi="Candara"/>
          <w:b/>
        </w:rPr>
        <w:t>Appendix 1</w:t>
      </w:r>
      <w:r>
        <w:rPr>
          <w:rFonts w:ascii="Candara" w:hAnsi="Candara"/>
        </w:rPr>
        <w:t>)</w:t>
      </w:r>
      <w:r w:rsidRPr="00C629A3">
        <w:rPr>
          <w:rFonts w:ascii="Candara" w:hAnsi="Candara"/>
        </w:rPr>
        <w:t>. In addition, businesses face costs arising from litigation due to bushfire. As an example, in the case of the B</w:t>
      </w:r>
      <w:r w:rsidR="00EB2CA2">
        <w:rPr>
          <w:rFonts w:ascii="Candara" w:hAnsi="Candara"/>
        </w:rPr>
        <w:t>lack Saturday bushfires, AusNet Service</w:t>
      </w:r>
      <w:r w:rsidRPr="00C629A3">
        <w:rPr>
          <w:rFonts w:ascii="Candara" w:hAnsi="Candara"/>
        </w:rPr>
        <w:t>s</w:t>
      </w:r>
      <w:r w:rsidR="00EB2CA2">
        <w:rPr>
          <w:rFonts w:ascii="Candara" w:hAnsi="Candara"/>
        </w:rPr>
        <w:t>’</w:t>
      </w:r>
      <w:r w:rsidRPr="00C629A3">
        <w:rPr>
          <w:rFonts w:ascii="Candara" w:hAnsi="Candara"/>
        </w:rPr>
        <w:t xml:space="preserve"> costs tota</w:t>
      </w:r>
      <w:r w:rsidR="00DC7C65">
        <w:rPr>
          <w:rFonts w:ascii="Candara" w:hAnsi="Candara"/>
        </w:rPr>
        <w:t>lled approximately $660 million.</w:t>
      </w:r>
      <w:r>
        <w:rPr>
          <w:rFonts w:ascii="Candara" w:hAnsi="Candara"/>
        </w:rPr>
        <w:t xml:space="preserve"> </w:t>
      </w:r>
    </w:p>
    <w:p w14:paraId="41D68813" w14:textId="6BE4B3B6" w:rsidR="006827B1" w:rsidRDefault="00AA2F9F" w:rsidP="00AA2F9F">
      <w:pPr>
        <w:rPr>
          <w:rFonts w:ascii="Candara" w:hAnsi="Candara"/>
        </w:rPr>
      </w:pPr>
      <w:r w:rsidRPr="00C629A3">
        <w:rPr>
          <w:rFonts w:ascii="Candara" w:hAnsi="Candara"/>
        </w:rPr>
        <w:t>These costs</w:t>
      </w:r>
      <w:r w:rsidR="009509BE">
        <w:rPr>
          <w:rFonts w:ascii="Candara" w:hAnsi="Candara"/>
        </w:rPr>
        <w:t xml:space="preserve"> are however not necessarily a sufficient </w:t>
      </w:r>
      <w:r w:rsidRPr="00C629A3">
        <w:rPr>
          <w:rFonts w:ascii="Candara" w:hAnsi="Candara"/>
        </w:rPr>
        <w:t xml:space="preserve">incentive for distribution businesses to make an optimal investment in minimising risk to third parties arising from bushfire. This is because distribution businesses are regulated monopolies, and efficient costs are </w:t>
      </w:r>
      <w:r w:rsidR="009509BE">
        <w:rPr>
          <w:rFonts w:ascii="Candara" w:hAnsi="Candara"/>
        </w:rPr>
        <w:t xml:space="preserve">recoverable </w:t>
      </w:r>
      <w:r w:rsidRPr="00C629A3">
        <w:rPr>
          <w:rFonts w:ascii="Candara" w:hAnsi="Candara"/>
        </w:rPr>
        <w:t>from consumers. Efficient costs comprise compliance w</w:t>
      </w:r>
      <w:r w:rsidR="001F1B79">
        <w:rPr>
          <w:rFonts w:ascii="Candara" w:hAnsi="Candara"/>
        </w:rPr>
        <w:t>ith regulatory obligations. This</w:t>
      </w:r>
      <w:r w:rsidRPr="00C629A3">
        <w:rPr>
          <w:rFonts w:ascii="Candara" w:hAnsi="Candara"/>
        </w:rPr>
        <w:t xml:space="preserve"> also include</w:t>
      </w:r>
      <w:r w:rsidR="001F1B79">
        <w:rPr>
          <w:rFonts w:ascii="Candara" w:hAnsi="Candara"/>
        </w:rPr>
        <w:t>s</w:t>
      </w:r>
      <w:r w:rsidRPr="00C629A3">
        <w:rPr>
          <w:rFonts w:ascii="Candara" w:hAnsi="Candara"/>
        </w:rPr>
        <w:t xml:space="preserve"> public indemnity insurance</w:t>
      </w:r>
      <w:r w:rsidR="001F1B79">
        <w:rPr>
          <w:rFonts w:ascii="Candara" w:hAnsi="Candara"/>
        </w:rPr>
        <w:t xml:space="preserve">. </w:t>
      </w:r>
      <w:r w:rsidRPr="00C629A3">
        <w:rPr>
          <w:rFonts w:ascii="Candara" w:hAnsi="Candara"/>
        </w:rPr>
        <w:t>In the case of the above litigation, parties reached a court-mediated settlement. The business’ insurers agreed to pay these costs. As subsequent increases in premiums constitute a legitimate cost of doing business, they may be recovered from consumers through the economic regulatory framework.</w:t>
      </w:r>
      <w:r>
        <w:rPr>
          <w:rFonts w:ascii="Candara" w:hAnsi="Candara"/>
        </w:rPr>
        <w:t xml:space="preserve"> </w:t>
      </w:r>
      <w:r w:rsidR="006827B1">
        <w:rPr>
          <w:rFonts w:ascii="Candara" w:hAnsi="Candara"/>
        </w:rPr>
        <w:t xml:space="preserve"> </w:t>
      </w:r>
    </w:p>
    <w:p w14:paraId="1FE218DA" w14:textId="49F79BA2" w:rsidR="00974DA2" w:rsidRPr="00C629A3" w:rsidRDefault="00DC5BB4" w:rsidP="00BB41A4">
      <w:pPr>
        <w:pStyle w:val="Heading3"/>
        <w:numPr>
          <w:ilvl w:val="2"/>
          <w:numId w:val="36"/>
        </w:numPr>
      </w:pPr>
      <w:r>
        <w:t xml:space="preserve"> </w:t>
      </w:r>
      <w:bookmarkStart w:id="13" w:name="_Toc458675169"/>
      <w:r>
        <w:t>U</w:t>
      </w:r>
      <w:r w:rsidR="00974DA2">
        <w:t>se of</w:t>
      </w:r>
      <w:r>
        <w:t xml:space="preserve"> Discretionary</w:t>
      </w:r>
      <w:r w:rsidR="00974DA2">
        <w:t xml:space="preserve"> C</w:t>
      </w:r>
      <w:r w:rsidR="00974DA2" w:rsidRPr="00C629A3">
        <w:t>apital</w:t>
      </w:r>
      <w:bookmarkEnd w:id="13"/>
    </w:p>
    <w:p w14:paraId="3FE032C5" w14:textId="02877331" w:rsidR="00974DA2" w:rsidRDefault="00B73B52" w:rsidP="00974DA2">
      <w:pPr>
        <w:rPr>
          <w:rFonts w:ascii="Candara" w:hAnsi="Candara"/>
        </w:rPr>
      </w:pPr>
      <w:r>
        <w:rPr>
          <w:rFonts w:ascii="Candara" w:hAnsi="Candara"/>
        </w:rPr>
        <w:t>D</w:t>
      </w:r>
      <w:r w:rsidR="00974DA2" w:rsidRPr="00C629A3">
        <w:rPr>
          <w:rFonts w:ascii="Candara" w:hAnsi="Candara"/>
        </w:rPr>
        <w:t xml:space="preserve">istribution </w:t>
      </w:r>
      <w:r w:rsidR="00974DA2">
        <w:rPr>
          <w:rFonts w:ascii="Candara" w:hAnsi="Candara"/>
        </w:rPr>
        <w:t>businesses</w:t>
      </w:r>
      <w:r w:rsidR="00974DA2" w:rsidRPr="00C629A3">
        <w:rPr>
          <w:rFonts w:ascii="Candara" w:hAnsi="Candara"/>
        </w:rPr>
        <w:t xml:space="preserve"> have discretion in how they spend available capital</w:t>
      </w:r>
      <w:r w:rsidR="00974DA2">
        <w:rPr>
          <w:rFonts w:ascii="Candara" w:hAnsi="Candara"/>
        </w:rPr>
        <w:t xml:space="preserve"> </w:t>
      </w:r>
      <w:r w:rsidR="008E3F10">
        <w:rPr>
          <w:rFonts w:ascii="Candara" w:hAnsi="Candara"/>
        </w:rPr>
        <w:t xml:space="preserve">funds </w:t>
      </w:r>
      <w:r w:rsidR="00974DA2" w:rsidRPr="00C629A3">
        <w:rPr>
          <w:rFonts w:ascii="Candara" w:hAnsi="Candara"/>
        </w:rPr>
        <w:t>for operational</w:t>
      </w:r>
      <w:r w:rsidR="00974DA2">
        <w:rPr>
          <w:rFonts w:ascii="Candara" w:hAnsi="Candara"/>
        </w:rPr>
        <w:t>, maintenance</w:t>
      </w:r>
      <w:r w:rsidR="00974DA2" w:rsidRPr="00C629A3">
        <w:rPr>
          <w:rFonts w:ascii="Candara" w:hAnsi="Candara"/>
        </w:rPr>
        <w:t xml:space="preserve"> an</w:t>
      </w:r>
      <w:r>
        <w:rPr>
          <w:rFonts w:ascii="Candara" w:hAnsi="Candara"/>
        </w:rPr>
        <w:t xml:space="preserve">d minor capital items, apart from the construction of mandated assets. </w:t>
      </w:r>
      <w:r w:rsidR="00974DA2">
        <w:rPr>
          <w:rFonts w:ascii="Candara" w:hAnsi="Candara"/>
        </w:rPr>
        <w:t xml:space="preserve"> </w:t>
      </w:r>
    </w:p>
    <w:p w14:paraId="170885A9" w14:textId="77777777" w:rsidR="00974DA2" w:rsidRDefault="00974DA2" w:rsidP="00974DA2">
      <w:pPr>
        <w:rPr>
          <w:rFonts w:ascii="Candara" w:hAnsi="Candara"/>
        </w:rPr>
      </w:pPr>
      <w:r>
        <w:rPr>
          <w:rFonts w:ascii="Candara" w:hAnsi="Candara"/>
        </w:rPr>
        <w:t>The ESV safety performance r</w:t>
      </w:r>
      <w:r w:rsidRPr="00C629A3">
        <w:rPr>
          <w:rFonts w:ascii="Candara" w:hAnsi="Candara"/>
        </w:rPr>
        <w:t>eports indicate a range of additional actions which businesses have self-nominated in pursuit of safety objectives</w:t>
      </w:r>
      <w:r w:rsidRPr="00C629A3">
        <w:rPr>
          <w:rStyle w:val="FootnoteReference"/>
          <w:rFonts w:ascii="Candara" w:hAnsi="Candara"/>
        </w:rPr>
        <w:footnoteReference w:id="13"/>
      </w:r>
      <w:r w:rsidRPr="00C629A3">
        <w:rPr>
          <w:rFonts w:ascii="Candara" w:hAnsi="Candara"/>
        </w:rPr>
        <w:t>:</w:t>
      </w:r>
    </w:p>
    <w:p w14:paraId="04C1E1A9" w14:textId="16006B4A" w:rsidR="000C1C10" w:rsidRPr="000C1C10" w:rsidRDefault="000C1C10" w:rsidP="000C1C10">
      <w:pPr>
        <w:autoSpaceDE w:val="0"/>
        <w:autoSpaceDN w:val="0"/>
        <w:adjustRightInd w:val="0"/>
        <w:spacing w:before="120" w:after="80"/>
        <w:rPr>
          <w:rFonts w:ascii="Candara" w:hAnsi="Candara" w:cs="Calibri"/>
          <w:sz w:val="21"/>
          <w:szCs w:val="21"/>
        </w:rPr>
      </w:pPr>
      <w:r>
        <w:rPr>
          <w:rStyle w:val="Heading6Char"/>
        </w:rPr>
        <w:t>Figure 1.3: Distribution businesses safety actions</w:t>
      </w:r>
    </w:p>
    <w:tbl>
      <w:tblPr>
        <w:tblStyle w:val="TableGrid"/>
        <w:tblW w:w="0" w:type="auto"/>
        <w:tblInd w:w="2210" w:type="dxa"/>
        <w:tblLook w:val="04A0" w:firstRow="1" w:lastRow="0" w:firstColumn="1" w:lastColumn="0" w:noHBand="0" w:noVBand="1"/>
      </w:tblPr>
      <w:tblGrid>
        <w:gridCol w:w="4621"/>
      </w:tblGrid>
      <w:tr w:rsidR="00974DA2" w:rsidRPr="00C629A3" w14:paraId="3BD188FF" w14:textId="77777777" w:rsidTr="00F3538A">
        <w:tc>
          <w:tcPr>
            <w:tcW w:w="4621" w:type="dxa"/>
            <w:shd w:val="clear" w:color="auto" w:fill="365F91" w:themeFill="accent1" w:themeFillShade="BF"/>
          </w:tcPr>
          <w:p w14:paraId="3CFC72EB" w14:textId="77777777" w:rsidR="00974DA2" w:rsidRPr="00C629A3" w:rsidRDefault="00974DA2" w:rsidP="006F717D">
            <w:pPr>
              <w:keepNext/>
              <w:rPr>
                <w:rFonts w:ascii="Candara" w:hAnsi="Candara"/>
                <w:b/>
              </w:rPr>
            </w:pPr>
            <w:r w:rsidRPr="009132DA">
              <w:rPr>
                <w:rFonts w:ascii="Candara" w:hAnsi="Candara"/>
                <w:b/>
                <w:color w:val="F2F2F2" w:themeColor="background1" w:themeShade="F2"/>
              </w:rPr>
              <w:t>Action</w:t>
            </w:r>
          </w:p>
        </w:tc>
      </w:tr>
      <w:tr w:rsidR="00974DA2" w:rsidRPr="00C629A3" w14:paraId="332B4428" w14:textId="77777777" w:rsidTr="00F3538A">
        <w:tc>
          <w:tcPr>
            <w:tcW w:w="4621" w:type="dxa"/>
          </w:tcPr>
          <w:p w14:paraId="7081807E" w14:textId="77777777" w:rsidR="00974DA2" w:rsidRPr="00C629A3" w:rsidRDefault="00974DA2" w:rsidP="006F717D">
            <w:pPr>
              <w:keepNext/>
              <w:rPr>
                <w:rFonts w:ascii="Candara" w:hAnsi="Candara"/>
              </w:rPr>
            </w:pPr>
            <w:r w:rsidRPr="00C629A3">
              <w:rPr>
                <w:rFonts w:ascii="Candara" w:hAnsi="Candara"/>
              </w:rPr>
              <w:t>Stake poles based on age and condition</w:t>
            </w:r>
          </w:p>
        </w:tc>
      </w:tr>
      <w:tr w:rsidR="00974DA2" w:rsidRPr="00C629A3" w14:paraId="144A4B8D" w14:textId="77777777" w:rsidTr="00F3538A">
        <w:tc>
          <w:tcPr>
            <w:tcW w:w="4621" w:type="dxa"/>
          </w:tcPr>
          <w:p w14:paraId="1DE2790B" w14:textId="77777777" w:rsidR="00974DA2" w:rsidRPr="00C629A3" w:rsidRDefault="00974DA2" w:rsidP="006F717D">
            <w:pPr>
              <w:keepNext/>
              <w:rPr>
                <w:rFonts w:ascii="Candara" w:hAnsi="Candara"/>
              </w:rPr>
            </w:pPr>
            <w:r w:rsidRPr="00C629A3">
              <w:rPr>
                <w:rFonts w:ascii="Candara" w:hAnsi="Candara"/>
              </w:rPr>
              <w:t>Pole top structure – surge diverter replacement</w:t>
            </w:r>
          </w:p>
        </w:tc>
      </w:tr>
      <w:tr w:rsidR="00974DA2" w:rsidRPr="00C629A3" w14:paraId="3CA85D24" w14:textId="77777777" w:rsidTr="00F3538A">
        <w:tc>
          <w:tcPr>
            <w:tcW w:w="4621" w:type="dxa"/>
          </w:tcPr>
          <w:p w14:paraId="01412EAD" w14:textId="77777777" w:rsidR="00974DA2" w:rsidRPr="00C629A3" w:rsidRDefault="00974DA2" w:rsidP="006F717D">
            <w:pPr>
              <w:keepNext/>
              <w:rPr>
                <w:rFonts w:ascii="Candara" w:hAnsi="Candara"/>
              </w:rPr>
            </w:pPr>
            <w:r w:rsidRPr="00C629A3">
              <w:rPr>
                <w:rFonts w:ascii="Candara" w:hAnsi="Candara"/>
              </w:rPr>
              <w:t>Replace crossarms</w:t>
            </w:r>
          </w:p>
        </w:tc>
      </w:tr>
      <w:tr w:rsidR="00974DA2" w:rsidRPr="00C629A3" w14:paraId="77B04A8E" w14:textId="77777777" w:rsidTr="00F3538A">
        <w:tc>
          <w:tcPr>
            <w:tcW w:w="4621" w:type="dxa"/>
          </w:tcPr>
          <w:p w14:paraId="220A140F" w14:textId="77777777" w:rsidR="00974DA2" w:rsidRPr="00C629A3" w:rsidRDefault="00974DA2" w:rsidP="006F717D">
            <w:pPr>
              <w:keepNext/>
              <w:rPr>
                <w:rFonts w:ascii="Candara" w:hAnsi="Candara"/>
              </w:rPr>
            </w:pPr>
            <w:r w:rsidRPr="00C629A3">
              <w:rPr>
                <w:rFonts w:ascii="Candara" w:hAnsi="Candara"/>
              </w:rPr>
              <w:t>Inspect, clean, tighten – pole top fire mitigation</w:t>
            </w:r>
          </w:p>
        </w:tc>
      </w:tr>
      <w:tr w:rsidR="00974DA2" w:rsidRPr="00C629A3" w14:paraId="5FA0054F" w14:textId="77777777" w:rsidTr="00F3538A">
        <w:tc>
          <w:tcPr>
            <w:tcW w:w="4621" w:type="dxa"/>
          </w:tcPr>
          <w:p w14:paraId="412911E3" w14:textId="77777777" w:rsidR="00974DA2" w:rsidRPr="00C629A3" w:rsidRDefault="00974DA2" w:rsidP="006F717D">
            <w:pPr>
              <w:keepNext/>
              <w:rPr>
                <w:rFonts w:ascii="Candara" w:hAnsi="Candara"/>
              </w:rPr>
            </w:pPr>
            <w:r w:rsidRPr="00C629A3">
              <w:rPr>
                <w:rFonts w:ascii="Candara" w:hAnsi="Candara"/>
              </w:rPr>
              <w:t>Replace insulators – pole top fire mitigation</w:t>
            </w:r>
          </w:p>
        </w:tc>
      </w:tr>
    </w:tbl>
    <w:p w14:paraId="18F88B5B" w14:textId="215ACB3C" w:rsidR="00974DA2" w:rsidRDefault="00974DA2" w:rsidP="00974DA2">
      <w:pPr>
        <w:spacing w:before="120"/>
        <w:rPr>
          <w:rFonts w:ascii="Candara" w:hAnsi="Candara"/>
        </w:rPr>
      </w:pPr>
      <w:r w:rsidRPr="00EB2CA2">
        <w:rPr>
          <w:rFonts w:ascii="Candara" w:hAnsi="Candara"/>
        </w:rPr>
        <w:t xml:space="preserve">As noted above, Bushfire Mitigation Plans provide a means for businesses to demonstrate to ESV how they will undertake capital improvements to improve network bushfire safety. The </w:t>
      </w:r>
      <w:r w:rsidRPr="00EB2CA2">
        <w:rPr>
          <w:rFonts w:ascii="Candara" w:hAnsi="Candara"/>
        </w:rPr>
        <w:lastRenderedPageBreak/>
        <w:t>effectiveness of BMPs, however, is limited as distribution businesses have significant discretion as to what risk reduction items are delivered. These plans</w:t>
      </w:r>
      <w:r w:rsidR="00B73B52">
        <w:rPr>
          <w:rFonts w:ascii="Candara" w:hAnsi="Candara"/>
        </w:rPr>
        <w:t xml:space="preserve"> are input in nature and</w:t>
      </w:r>
      <w:r w:rsidRPr="00EB2CA2">
        <w:rPr>
          <w:rFonts w:ascii="Candara" w:hAnsi="Candara"/>
        </w:rPr>
        <w:t xml:space="preserve"> do not presently enforce delivery of specific assets or operational</w:t>
      </w:r>
      <w:r>
        <w:rPr>
          <w:rFonts w:ascii="Candara" w:hAnsi="Candara"/>
        </w:rPr>
        <w:t xml:space="preserve"> practices, nor do they create an incentive to use discretionary capital.</w:t>
      </w:r>
      <w:r w:rsidRPr="00EB2CA2">
        <w:rPr>
          <w:rFonts w:ascii="Candara" w:hAnsi="Candara"/>
        </w:rPr>
        <w:t xml:space="preserve"> </w:t>
      </w:r>
    </w:p>
    <w:p w14:paraId="5A908B05" w14:textId="0C1D751C" w:rsidR="0007513A" w:rsidRPr="0007513A" w:rsidRDefault="0007513A" w:rsidP="0007513A">
      <w:pPr>
        <w:spacing w:before="120"/>
        <w:rPr>
          <w:rFonts w:ascii="Candara" w:hAnsi="Candara"/>
        </w:rPr>
      </w:pPr>
      <w:r>
        <w:rPr>
          <w:rFonts w:ascii="Candara" w:hAnsi="Candara"/>
        </w:rPr>
        <w:t>The current f-factor</w:t>
      </w:r>
      <w:r w:rsidRPr="0007513A">
        <w:rPr>
          <w:rFonts w:ascii="Candara" w:hAnsi="Candara"/>
        </w:rPr>
        <w:t xml:space="preserve"> also does little to encourage targeted investment of discretionary capital. This is because, as noted, the current f-factor encourages the distribution businesses to manage all fires equally, regardless of whether they occur in high risk areas during high bushfire-risk weather, or in low-risk fire areas in low bushfire-risk weather. To maintain or improve their total ignitions reduction performance, the businesses must spread their network operations and maintenance expenditure over their entire asset base.  This effectively incentivises them to make low cost investment in areas where fires are most concentrated regardless of the inherent risk of these fires. </w:t>
      </w:r>
    </w:p>
    <w:p w14:paraId="44E9DB58" w14:textId="63A46CBE" w:rsidR="0007513A" w:rsidRDefault="0007513A" w:rsidP="00974DA2">
      <w:pPr>
        <w:spacing w:before="120"/>
        <w:rPr>
          <w:rFonts w:ascii="Candara" w:hAnsi="Candara"/>
        </w:rPr>
      </w:pPr>
      <w:r w:rsidRPr="0007513A">
        <w:rPr>
          <w:rFonts w:ascii="Candara" w:hAnsi="Candara"/>
        </w:rPr>
        <w:t xml:space="preserve">As all fires are treated equally, what an efficient and prudent business will do to reduce f-factor liability does not necessarily equate to what it should do to reduce bushfire risk. There is no price information to guide the businesses as to where to invest limited capital to achieve maximum public benefit. </w:t>
      </w:r>
    </w:p>
    <w:p w14:paraId="4E1B6F42" w14:textId="23506EDA" w:rsidR="00F405FB" w:rsidRPr="007B204D" w:rsidRDefault="00F405FB" w:rsidP="007B204D">
      <w:pPr>
        <w:pStyle w:val="Heading2"/>
      </w:pPr>
      <w:bookmarkStart w:id="14" w:name="_Toc458675170"/>
      <w:r w:rsidRPr="007B204D">
        <w:t xml:space="preserve">The f-factor is one </w:t>
      </w:r>
      <w:r w:rsidR="007B204D">
        <w:t xml:space="preserve">scheme </w:t>
      </w:r>
      <w:r w:rsidRPr="007B204D">
        <w:t>to deal with the problem</w:t>
      </w:r>
      <w:bookmarkEnd w:id="14"/>
    </w:p>
    <w:p w14:paraId="501670DD" w14:textId="37F6CCFB" w:rsidR="00A34D96" w:rsidRPr="007B204D" w:rsidRDefault="009A3B3B" w:rsidP="007B204D">
      <w:pPr>
        <w:rPr>
          <w:rFonts w:ascii="Candara" w:hAnsi="Candara"/>
        </w:rPr>
      </w:pPr>
      <w:r>
        <w:rPr>
          <w:rFonts w:ascii="Candara" w:hAnsi="Candara"/>
        </w:rPr>
        <w:t>In response to the role electricity assets played in the Black Saturday fires, the State Government introduced an incentive scheme to reduce electricity network distribution network ignitions</w:t>
      </w:r>
      <w:r w:rsidR="00491F5C">
        <w:rPr>
          <w:rFonts w:ascii="Candara" w:hAnsi="Candara"/>
        </w:rPr>
        <w:t xml:space="preserve"> on 23 June 2011</w:t>
      </w:r>
      <w:r>
        <w:rPr>
          <w:rFonts w:ascii="Candara" w:hAnsi="Candara"/>
        </w:rPr>
        <w:t>. Known as the f-factor, the scheme followed the design</w:t>
      </w:r>
      <w:r w:rsidR="00491F5C">
        <w:rPr>
          <w:rFonts w:ascii="Candara" w:hAnsi="Candara"/>
        </w:rPr>
        <w:t xml:space="preserve"> of the Service Target</w:t>
      </w:r>
      <w:r>
        <w:rPr>
          <w:rFonts w:ascii="Candara" w:hAnsi="Candara"/>
        </w:rPr>
        <w:t xml:space="preserve"> </w:t>
      </w:r>
      <w:r w:rsidR="00491F5C">
        <w:rPr>
          <w:rFonts w:ascii="Candara" w:hAnsi="Candara"/>
        </w:rPr>
        <w:t>Performance Incentive Scheme (ST</w:t>
      </w:r>
      <w:r>
        <w:rPr>
          <w:rFonts w:ascii="Candara" w:hAnsi="Candara"/>
        </w:rPr>
        <w:t>P</w:t>
      </w:r>
      <w:r w:rsidR="00491F5C">
        <w:rPr>
          <w:rFonts w:ascii="Candara" w:hAnsi="Candara"/>
        </w:rPr>
        <w:t>I</w:t>
      </w:r>
      <w:r>
        <w:rPr>
          <w:rFonts w:ascii="Candara" w:hAnsi="Candara"/>
        </w:rPr>
        <w:t>S)</w:t>
      </w:r>
      <w:r w:rsidR="00AC41C2">
        <w:rPr>
          <w:rFonts w:ascii="Candara" w:hAnsi="Candara"/>
        </w:rPr>
        <w:t xml:space="preserve">, and placed an economic incentive on each distribution businesses whereby each year they would be either penalised or rewarded </w:t>
      </w:r>
      <w:r w:rsidR="00EB5C1E">
        <w:rPr>
          <w:rFonts w:ascii="Candara" w:hAnsi="Candara"/>
        </w:rPr>
        <w:t>$25,000</w:t>
      </w:r>
      <w:r w:rsidR="00AC41C2">
        <w:rPr>
          <w:rFonts w:ascii="Candara" w:hAnsi="Candara"/>
        </w:rPr>
        <w:t xml:space="preserve"> for every network ignition above or below their</w:t>
      </w:r>
      <w:r>
        <w:rPr>
          <w:rFonts w:ascii="Candara" w:hAnsi="Candara"/>
        </w:rPr>
        <w:t xml:space="preserve"> </w:t>
      </w:r>
      <w:r w:rsidR="00AC41C2">
        <w:rPr>
          <w:rFonts w:ascii="Candara" w:hAnsi="Candara"/>
        </w:rPr>
        <w:t xml:space="preserve">historical five-year </w:t>
      </w:r>
      <w:r>
        <w:rPr>
          <w:rFonts w:ascii="Candara" w:hAnsi="Candara"/>
        </w:rPr>
        <w:t>benchmark</w:t>
      </w:r>
      <w:r w:rsidR="00AC41C2">
        <w:rPr>
          <w:rFonts w:ascii="Candara" w:hAnsi="Candara"/>
        </w:rPr>
        <w:t xml:space="preserve"> of ignitions.</w:t>
      </w:r>
      <w:r w:rsidR="00DB73C2">
        <w:rPr>
          <w:rFonts w:ascii="Candara" w:hAnsi="Candara"/>
        </w:rPr>
        <w:t xml:space="preserve"> </w:t>
      </w:r>
      <w:r w:rsidR="00AC41C2">
        <w:rPr>
          <w:rFonts w:ascii="Candara" w:hAnsi="Candara"/>
        </w:rPr>
        <w:t xml:space="preserve">  </w:t>
      </w:r>
    </w:p>
    <w:p w14:paraId="7241D40A" w14:textId="303CE74D" w:rsidR="00A7694F" w:rsidRDefault="00AC41C2" w:rsidP="009C45FB">
      <w:pPr>
        <w:rPr>
          <w:rFonts w:ascii="Candara" w:hAnsi="Candara"/>
        </w:rPr>
      </w:pPr>
      <w:r>
        <w:rPr>
          <w:rFonts w:ascii="Candara" w:hAnsi="Candara"/>
        </w:rPr>
        <w:t>Importantly, by using a benchmark</w:t>
      </w:r>
      <w:r w:rsidR="00DB73C2">
        <w:rPr>
          <w:rFonts w:ascii="Candara" w:hAnsi="Candara"/>
        </w:rPr>
        <w:t xml:space="preserve"> based on historical averages</w:t>
      </w:r>
      <w:r>
        <w:rPr>
          <w:rFonts w:ascii="Candara" w:hAnsi="Candara"/>
        </w:rPr>
        <w:t xml:space="preserve">, the </w:t>
      </w:r>
      <w:r w:rsidR="00FB6EAD">
        <w:rPr>
          <w:rFonts w:ascii="Candara" w:hAnsi="Candara"/>
        </w:rPr>
        <w:t>current</w:t>
      </w:r>
      <w:r w:rsidR="00A34D96">
        <w:rPr>
          <w:rFonts w:ascii="Candara" w:hAnsi="Candara"/>
        </w:rPr>
        <w:t xml:space="preserve"> </w:t>
      </w:r>
      <w:r w:rsidR="00FB6EAD">
        <w:rPr>
          <w:rFonts w:ascii="Candara" w:hAnsi="Candara"/>
        </w:rPr>
        <w:t xml:space="preserve">f-factor </w:t>
      </w:r>
      <w:r>
        <w:rPr>
          <w:rFonts w:ascii="Candara" w:hAnsi="Candara"/>
        </w:rPr>
        <w:t xml:space="preserve">is designed to be cost neutral to consumers </w:t>
      </w:r>
      <w:r w:rsidR="00FB6EAD">
        <w:rPr>
          <w:rFonts w:ascii="Candara" w:hAnsi="Candara"/>
        </w:rPr>
        <w:t xml:space="preserve">and distribution businesses </w:t>
      </w:r>
      <w:r>
        <w:rPr>
          <w:rFonts w:ascii="Candara" w:hAnsi="Candara"/>
        </w:rPr>
        <w:t>over time</w:t>
      </w:r>
      <w:r w:rsidR="00DB73C2">
        <w:rPr>
          <w:rFonts w:ascii="Candara" w:hAnsi="Candara"/>
        </w:rPr>
        <w:t>. It also provides</w:t>
      </w:r>
      <w:r>
        <w:rPr>
          <w:rFonts w:ascii="Candara" w:hAnsi="Candara"/>
        </w:rPr>
        <w:t xml:space="preserve"> </w:t>
      </w:r>
      <w:r w:rsidR="00FB6EAD">
        <w:rPr>
          <w:rFonts w:ascii="Candara" w:hAnsi="Candara"/>
        </w:rPr>
        <w:t xml:space="preserve">a </w:t>
      </w:r>
      <w:r w:rsidR="00B73B52">
        <w:rPr>
          <w:rFonts w:ascii="Candara" w:hAnsi="Candara"/>
        </w:rPr>
        <w:t>direct</w:t>
      </w:r>
      <w:r>
        <w:rPr>
          <w:rFonts w:ascii="Candara" w:hAnsi="Candara"/>
        </w:rPr>
        <w:t xml:space="preserve"> incentive</w:t>
      </w:r>
      <w:r w:rsidR="00FB6EAD" w:rsidRPr="00FB6EAD">
        <w:rPr>
          <w:rFonts w:ascii="Candara" w:hAnsi="Candara"/>
        </w:rPr>
        <w:t xml:space="preserve"> </w:t>
      </w:r>
      <w:r w:rsidR="00DB73C2">
        <w:rPr>
          <w:rFonts w:ascii="Candara" w:hAnsi="Candara"/>
        </w:rPr>
        <w:t>for</w:t>
      </w:r>
      <w:r w:rsidR="00FB6EAD">
        <w:rPr>
          <w:rFonts w:ascii="Candara" w:hAnsi="Candara"/>
        </w:rPr>
        <w:t xml:space="preserve"> businesses</w:t>
      </w:r>
      <w:r>
        <w:rPr>
          <w:rFonts w:ascii="Candara" w:hAnsi="Candara"/>
        </w:rPr>
        <w:t xml:space="preserve"> to </w:t>
      </w:r>
      <w:r w:rsidR="00FB6EAD">
        <w:rPr>
          <w:rFonts w:ascii="Candara" w:hAnsi="Candara"/>
        </w:rPr>
        <w:t>undertake</w:t>
      </w:r>
      <w:r w:rsidR="00A34D96">
        <w:rPr>
          <w:rFonts w:ascii="Candara" w:hAnsi="Candara"/>
        </w:rPr>
        <w:t xml:space="preserve"> network safety improvements</w:t>
      </w:r>
      <w:r w:rsidR="00FB6EAD">
        <w:rPr>
          <w:rFonts w:ascii="Candara" w:hAnsi="Candara"/>
        </w:rPr>
        <w:t xml:space="preserve"> in order to reduce bushfire risk</w:t>
      </w:r>
      <w:r w:rsidR="00A34D96">
        <w:rPr>
          <w:rFonts w:ascii="Candara" w:hAnsi="Candara"/>
        </w:rPr>
        <w:t xml:space="preserve">. </w:t>
      </w:r>
      <w:r w:rsidR="005D60ED">
        <w:rPr>
          <w:rFonts w:ascii="Candara" w:hAnsi="Candara"/>
        </w:rPr>
        <w:t xml:space="preserve">The costs imposed on </w:t>
      </w:r>
      <w:r w:rsidR="00A34D96">
        <w:rPr>
          <w:rFonts w:ascii="Candara" w:hAnsi="Candara"/>
        </w:rPr>
        <w:t xml:space="preserve">distribution </w:t>
      </w:r>
      <w:r w:rsidR="005D60ED">
        <w:rPr>
          <w:rFonts w:ascii="Candara" w:hAnsi="Candara"/>
        </w:rPr>
        <w:t>businesses in the form of penalties in years where they exceed their ignitions benchmarks are balanced by the incentive payments they gain in years where they lower ignitions below their benchmarks. In this way</w:t>
      </w:r>
      <w:r w:rsidR="0025577A">
        <w:rPr>
          <w:rFonts w:ascii="Candara" w:hAnsi="Candara"/>
        </w:rPr>
        <w:t>,</w:t>
      </w:r>
      <w:r w:rsidR="00FB6EAD">
        <w:rPr>
          <w:rFonts w:ascii="Candara" w:hAnsi="Candara"/>
        </w:rPr>
        <w:t xml:space="preserve"> </w:t>
      </w:r>
      <w:r w:rsidR="005D60ED">
        <w:rPr>
          <w:rFonts w:ascii="Candara" w:hAnsi="Candara"/>
        </w:rPr>
        <w:t xml:space="preserve">consumers </w:t>
      </w:r>
      <w:r w:rsidR="005760B7">
        <w:rPr>
          <w:rFonts w:ascii="Candara" w:hAnsi="Candara"/>
        </w:rPr>
        <w:t>should</w:t>
      </w:r>
      <w:r w:rsidR="00FB6EAD">
        <w:rPr>
          <w:rFonts w:ascii="Candara" w:hAnsi="Candara"/>
        </w:rPr>
        <w:t xml:space="preserve"> </w:t>
      </w:r>
      <w:r w:rsidR="005D60ED">
        <w:rPr>
          <w:rFonts w:ascii="Candara" w:hAnsi="Candara"/>
        </w:rPr>
        <w:t>receive the benefit of the safety improvements for which they pay</w:t>
      </w:r>
      <w:r w:rsidR="0025577A">
        <w:rPr>
          <w:rFonts w:ascii="Candara" w:hAnsi="Candara"/>
        </w:rPr>
        <w:t xml:space="preserve"> and </w:t>
      </w:r>
      <w:r w:rsidR="00FB6EAD">
        <w:rPr>
          <w:rFonts w:ascii="Candara" w:hAnsi="Candara"/>
        </w:rPr>
        <w:t>be</w:t>
      </w:r>
      <w:r w:rsidR="0025577A">
        <w:rPr>
          <w:rFonts w:ascii="Candara" w:hAnsi="Candara"/>
        </w:rPr>
        <w:t xml:space="preserve"> provided with a measurable indication of progress in network </w:t>
      </w:r>
      <w:r w:rsidR="00FB6EAD">
        <w:rPr>
          <w:rFonts w:ascii="Candara" w:hAnsi="Candara"/>
        </w:rPr>
        <w:t>bush</w:t>
      </w:r>
      <w:r w:rsidR="0025577A">
        <w:rPr>
          <w:rFonts w:ascii="Candara" w:hAnsi="Candara"/>
        </w:rPr>
        <w:t xml:space="preserve">fire safety improvements. </w:t>
      </w:r>
      <w:r w:rsidR="00A34D96">
        <w:rPr>
          <w:rFonts w:ascii="Candara" w:hAnsi="Candara"/>
        </w:rPr>
        <w:t xml:space="preserve">It must be noted that </w:t>
      </w:r>
      <w:r w:rsidR="00FB6EAD">
        <w:rPr>
          <w:rFonts w:ascii="Candara" w:hAnsi="Candara"/>
        </w:rPr>
        <w:t xml:space="preserve">under the current scheme, </w:t>
      </w:r>
      <w:r w:rsidR="00A34D96">
        <w:rPr>
          <w:rFonts w:ascii="Candara" w:hAnsi="Candara"/>
        </w:rPr>
        <w:t>the balance of incentive payments to distribution businesses and consumers require</w:t>
      </w:r>
      <w:r w:rsidR="00FB6EAD">
        <w:rPr>
          <w:rFonts w:ascii="Candara" w:hAnsi="Candara"/>
        </w:rPr>
        <w:t>s</w:t>
      </w:r>
      <w:r w:rsidR="00A34D96">
        <w:rPr>
          <w:rFonts w:ascii="Candara" w:hAnsi="Candara"/>
        </w:rPr>
        <w:t xml:space="preserve"> more than one Electricity Determination Pricing Review</w:t>
      </w:r>
      <w:r w:rsidR="00FB6EAD">
        <w:rPr>
          <w:rFonts w:ascii="Candara" w:hAnsi="Candara"/>
        </w:rPr>
        <w:t xml:space="preserve"> (EDPR) period</w:t>
      </w:r>
      <w:r w:rsidR="00A34D96">
        <w:rPr>
          <w:rFonts w:ascii="Candara" w:hAnsi="Candara"/>
        </w:rPr>
        <w:t xml:space="preserve"> in order to achieve</w:t>
      </w:r>
      <w:r w:rsidR="00FB6EAD">
        <w:rPr>
          <w:rFonts w:ascii="Candara" w:hAnsi="Candara"/>
        </w:rPr>
        <w:t xml:space="preserve"> cost neutrality. </w:t>
      </w:r>
      <w:r w:rsidR="005760B7">
        <w:rPr>
          <w:rFonts w:ascii="Candara" w:hAnsi="Candara"/>
        </w:rPr>
        <w:t>This is because distribution b</w:t>
      </w:r>
      <w:r w:rsidR="00FB6EAD">
        <w:rPr>
          <w:rFonts w:ascii="Candara" w:hAnsi="Candara"/>
        </w:rPr>
        <w:t xml:space="preserve">usiness actions to reduce network ignition risk </w:t>
      </w:r>
      <w:r w:rsidR="00E0799F">
        <w:rPr>
          <w:rFonts w:ascii="Candara" w:hAnsi="Candara"/>
        </w:rPr>
        <w:t>exist</w:t>
      </w:r>
      <w:r w:rsidR="005760B7">
        <w:rPr>
          <w:rFonts w:ascii="Candara" w:hAnsi="Candara"/>
        </w:rPr>
        <w:t xml:space="preserve"> </w:t>
      </w:r>
      <w:r w:rsidR="00FB6EAD">
        <w:rPr>
          <w:rFonts w:ascii="Candara" w:hAnsi="Candara"/>
        </w:rPr>
        <w:t>in a</w:t>
      </w:r>
      <w:r w:rsidR="005760B7">
        <w:rPr>
          <w:rFonts w:ascii="Candara" w:hAnsi="Candara"/>
        </w:rPr>
        <w:t>n</w:t>
      </w:r>
      <w:r w:rsidR="00FB6EAD">
        <w:rPr>
          <w:rFonts w:ascii="Candara" w:hAnsi="Candara"/>
        </w:rPr>
        <w:t xml:space="preserve"> </w:t>
      </w:r>
      <w:r w:rsidR="005760B7">
        <w:rPr>
          <w:rFonts w:ascii="Candara" w:hAnsi="Candara"/>
        </w:rPr>
        <w:t xml:space="preserve">environment of </w:t>
      </w:r>
      <w:r w:rsidR="00FB6EAD">
        <w:rPr>
          <w:rFonts w:ascii="Candara" w:hAnsi="Candara"/>
        </w:rPr>
        <w:t>weather</w:t>
      </w:r>
      <w:r w:rsidR="005760B7">
        <w:rPr>
          <w:rFonts w:ascii="Candara" w:hAnsi="Candara"/>
        </w:rPr>
        <w:t xml:space="preserve"> and network asset condition</w:t>
      </w:r>
      <w:r w:rsidR="00FB6EAD">
        <w:rPr>
          <w:rFonts w:ascii="Candara" w:hAnsi="Candara"/>
        </w:rPr>
        <w:t xml:space="preserve"> w</w:t>
      </w:r>
      <w:r w:rsidR="005760B7">
        <w:rPr>
          <w:rFonts w:ascii="Candara" w:hAnsi="Candara"/>
        </w:rPr>
        <w:t xml:space="preserve">hich has </w:t>
      </w:r>
      <w:r w:rsidR="00E0799F">
        <w:rPr>
          <w:rFonts w:ascii="Candara" w:hAnsi="Candara"/>
        </w:rPr>
        <w:t>relative short-</w:t>
      </w:r>
      <w:r w:rsidR="005760B7">
        <w:rPr>
          <w:rFonts w:ascii="Candara" w:hAnsi="Candara"/>
        </w:rPr>
        <w:t>term volatility</w:t>
      </w:r>
      <w:r w:rsidR="00DB73C2">
        <w:rPr>
          <w:rFonts w:ascii="Candara" w:hAnsi="Candara"/>
        </w:rPr>
        <w:t>, the effects of which average out over the long term</w:t>
      </w:r>
      <w:r w:rsidR="00FB6EAD">
        <w:rPr>
          <w:rFonts w:ascii="Candara" w:hAnsi="Candara"/>
        </w:rPr>
        <w:t>.</w:t>
      </w:r>
      <w:r w:rsidR="005760B7">
        <w:rPr>
          <w:rFonts w:ascii="Candara" w:hAnsi="Candara"/>
        </w:rPr>
        <w:t xml:space="preserve"> Indeed, the symmetric nature of the current scheme was chosen to contain the risk of short-term volatility.</w:t>
      </w:r>
      <w:r w:rsidR="00DB73C2">
        <w:rPr>
          <w:rFonts w:ascii="Candara" w:hAnsi="Candara"/>
        </w:rPr>
        <w:t xml:space="preserve"> </w:t>
      </w:r>
    </w:p>
    <w:p w14:paraId="199A3CA4" w14:textId="0CADE04A" w:rsidR="006C177C" w:rsidRDefault="004D6A35" w:rsidP="001E486E">
      <w:pPr>
        <w:spacing w:after="120"/>
        <w:rPr>
          <w:rFonts w:ascii="Candara" w:hAnsi="Candara"/>
        </w:rPr>
      </w:pPr>
      <w:r>
        <w:rPr>
          <w:rFonts w:ascii="Candara" w:hAnsi="Candara"/>
        </w:rPr>
        <w:t>T</w:t>
      </w:r>
      <w:r w:rsidR="00A34D96" w:rsidRPr="00A34D96">
        <w:rPr>
          <w:rFonts w:ascii="Candara" w:hAnsi="Candara"/>
        </w:rPr>
        <w:t xml:space="preserve">he </w:t>
      </w:r>
      <w:r w:rsidR="00FB6EAD">
        <w:rPr>
          <w:rFonts w:ascii="Candara" w:hAnsi="Candara"/>
        </w:rPr>
        <w:t>current</w:t>
      </w:r>
      <w:r w:rsidR="00A34D96">
        <w:rPr>
          <w:rFonts w:ascii="Candara" w:hAnsi="Candara"/>
        </w:rPr>
        <w:t xml:space="preserve"> </w:t>
      </w:r>
      <w:r w:rsidR="00A7694F">
        <w:rPr>
          <w:rFonts w:ascii="Candara" w:hAnsi="Candara"/>
        </w:rPr>
        <w:t xml:space="preserve">f-factor </w:t>
      </w:r>
      <w:r w:rsidR="00A77173">
        <w:rPr>
          <w:rFonts w:ascii="Candara" w:hAnsi="Candara"/>
        </w:rPr>
        <w:t>is</w:t>
      </w:r>
      <w:r w:rsidR="00A34D96">
        <w:rPr>
          <w:rFonts w:ascii="Candara" w:hAnsi="Candara"/>
        </w:rPr>
        <w:t xml:space="preserve"> a</w:t>
      </w:r>
      <w:r w:rsidR="007A6408">
        <w:rPr>
          <w:rFonts w:ascii="Candara" w:hAnsi="Candara"/>
        </w:rPr>
        <w:t xml:space="preserve"> symmetric</w:t>
      </w:r>
      <w:r w:rsidR="00FB6EAD">
        <w:rPr>
          <w:rFonts w:ascii="Candara" w:hAnsi="Candara"/>
        </w:rPr>
        <w:t xml:space="preserve"> incentive scheme, which is</w:t>
      </w:r>
      <w:r w:rsidR="00E0799F">
        <w:rPr>
          <w:rFonts w:ascii="Candara" w:hAnsi="Candara"/>
        </w:rPr>
        <w:t xml:space="preserve"> consistent </w:t>
      </w:r>
      <w:r w:rsidR="0025577A">
        <w:rPr>
          <w:rFonts w:ascii="Candara" w:hAnsi="Candara"/>
        </w:rPr>
        <w:t>with</w:t>
      </w:r>
      <w:r w:rsidR="005D60ED">
        <w:rPr>
          <w:rFonts w:ascii="Candara" w:hAnsi="Candara"/>
        </w:rPr>
        <w:t xml:space="preserve"> the national economic regulatory energy framework to which Victoria is a party</w:t>
      </w:r>
      <w:r w:rsidR="00FB6EAD">
        <w:rPr>
          <w:rFonts w:ascii="Candara" w:hAnsi="Candara"/>
        </w:rPr>
        <w:t>. This framework</w:t>
      </w:r>
      <w:r w:rsidR="0025577A">
        <w:rPr>
          <w:rFonts w:ascii="Candara" w:hAnsi="Candara"/>
        </w:rPr>
        <w:t xml:space="preserve"> allows</w:t>
      </w:r>
      <w:r w:rsidR="005D60ED">
        <w:rPr>
          <w:rFonts w:ascii="Candara" w:hAnsi="Candara"/>
        </w:rPr>
        <w:t xml:space="preserve"> electricity </w:t>
      </w:r>
      <w:r w:rsidR="0025577A">
        <w:rPr>
          <w:rFonts w:ascii="Candara" w:hAnsi="Candara"/>
        </w:rPr>
        <w:t>distribution businesses to</w:t>
      </w:r>
      <w:r w:rsidR="005D60ED">
        <w:rPr>
          <w:rFonts w:ascii="Candara" w:hAnsi="Candara"/>
        </w:rPr>
        <w:t xml:space="preserve"> recover the reasonable costs of providing customer services, </w:t>
      </w:r>
      <w:r w:rsidR="005D60ED">
        <w:rPr>
          <w:rFonts w:ascii="Candara" w:hAnsi="Candara"/>
        </w:rPr>
        <w:lastRenderedPageBreak/>
        <w:t>and improvements on the network required to maintain and enhance this service</w:t>
      </w:r>
      <w:r w:rsidR="00E0799F">
        <w:rPr>
          <w:rFonts w:ascii="Candara" w:hAnsi="Candara"/>
        </w:rPr>
        <w:t xml:space="preserve"> (see </w:t>
      </w:r>
      <w:r w:rsidR="00E0799F" w:rsidRPr="00163F5E">
        <w:rPr>
          <w:rFonts w:ascii="Candara" w:hAnsi="Candara"/>
          <w:b/>
        </w:rPr>
        <w:t>Appendix 1</w:t>
      </w:r>
      <w:r w:rsidR="00E0799F">
        <w:rPr>
          <w:rFonts w:ascii="Candara" w:hAnsi="Candara"/>
        </w:rPr>
        <w:t>)</w:t>
      </w:r>
      <w:r w:rsidR="005D60ED">
        <w:rPr>
          <w:rFonts w:ascii="Candara" w:hAnsi="Candara"/>
        </w:rPr>
        <w:t>.</w:t>
      </w:r>
      <w:r w:rsidR="00176827">
        <w:rPr>
          <w:rFonts w:ascii="Candara" w:hAnsi="Candara"/>
        </w:rPr>
        <w:t xml:space="preserve"> </w:t>
      </w:r>
    </w:p>
    <w:p w14:paraId="4C67A14B" w14:textId="638750CF" w:rsidR="000951BB" w:rsidRDefault="007B204D" w:rsidP="00A7694F">
      <w:pPr>
        <w:pStyle w:val="Heading2"/>
        <w:spacing w:before="360"/>
        <w:ind w:left="788" w:hanging="431"/>
      </w:pPr>
      <w:bookmarkStart w:id="15" w:name="_Toc458675171"/>
      <w:r>
        <w:t>Limitations of the c</w:t>
      </w:r>
      <w:r w:rsidR="005760B7" w:rsidRPr="005760B7">
        <w:t>urrent f-factor</w:t>
      </w:r>
      <w:bookmarkEnd w:id="15"/>
    </w:p>
    <w:p w14:paraId="4969F840" w14:textId="77777777" w:rsidR="000951BB" w:rsidRPr="00113DF9" w:rsidRDefault="00974DA2" w:rsidP="00BB41A4">
      <w:pPr>
        <w:pStyle w:val="Heading3"/>
        <w:numPr>
          <w:ilvl w:val="2"/>
          <w:numId w:val="36"/>
        </w:numPr>
      </w:pPr>
      <w:bookmarkStart w:id="16" w:name="_Toc458675172"/>
      <w:r w:rsidRPr="00113DF9">
        <w:t>Weak Incentive</w:t>
      </w:r>
      <w:bookmarkEnd w:id="16"/>
    </w:p>
    <w:p w14:paraId="79E0CD70" w14:textId="559444DA" w:rsidR="00D207BC" w:rsidRPr="000951BB" w:rsidRDefault="00CF4842" w:rsidP="00A7694F">
      <w:pPr>
        <w:rPr>
          <w:rFonts w:ascii="Candara" w:hAnsi="Candara"/>
          <w:b/>
        </w:rPr>
      </w:pPr>
      <w:r w:rsidRPr="00CF4842">
        <w:rPr>
          <w:rFonts w:ascii="Candara" w:hAnsi="Candara"/>
        </w:rPr>
        <w:t>The State presently has a fire reduction scheme which, over the short term of its four year operation, has applied a weak incent</w:t>
      </w:r>
      <w:r>
        <w:rPr>
          <w:rFonts w:ascii="Candara" w:hAnsi="Candara"/>
        </w:rPr>
        <w:t>ive</w:t>
      </w:r>
      <w:r w:rsidR="00EB5C1E">
        <w:rPr>
          <w:rFonts w:ascii="Candara" w:hAnsi="Candara"/>
        </w:rPr>
        <w:t xml:space="preserve"> </w:t>
      </w:r>
      <w:r w:rsidR="006225AF">
        <w:rPr>
          <w:rFonts w:ascii="Candara" w:hAnsi="Candara"/>
        </w:rPr>
        <w:t>through</w:t>
      </w:r>
      <w:r w:rsidR="00EB5C1E">
        <w:rPr>
          <w:rFonts w:ascii="Candara" w:hAnsi="Candara"/>
        </w:rPr>
        <w:t xml:space="preserve"> an inflexible flat rate</w:t>
      </w:r>
      <w:r>
        <w:rPr>
          <w:rFonts w:ascii="Candara" w:hAnsi="Candara"/>
        </w:rPr>
        <w:t xml:space="preserve"> of </w:t>
      </w:r>
      <w:r w:rsidRPr="00CF4842">
        <w:rPr>
          <w:rFonts w:ascii="Candara" w:hAnsi="Candara"/>
        </w:rPr>
        <w:t xml:space="preserve">$25,000 for each ignition above </w:t>
      </w:r>
      <w:r>
        <w:rPr>
          <w:rFonts w:ascii="Candara" w:hAnsi="Candara"/>
        </w:rPr>
        <w:t>or below the</w:t>
      </w:r>
      <w:r w:rsidRPr="00CF4842">
        <w:rPr>
          <w:rFonts w:ascii="Candara" w:hAnsi="Candara"/>
        </w:rPr>
        <w:t xml:space="preserve"> </w:t>
      </w:r>
      <w:r>
        <w:rPr>
          <w:rFonts w:ascii="Candara" w:hAnsi="Candara"/>
        </w:rPr>
        <w:t xml:space="preserve">business’ performance </w:t>
      </w:r>
      <w:r w:rsidRPr="00CF4842">
        <w:rPr>
          <w:rFonts w:ascii="Candara" w:hAnsi="Candara"/>
        </w:rPr>
        <w:t>benchmark</w:t>
      </w:r>
      <w:r>
        <w:rPr>
          <w:rFonts w:ascii="Candara" w:hAnsi="Candara"/>
        </w:rPr>
        <w:t>s</w:t>
      </w:r>
      <w:r w:rsidRPr="00CF4842">
        <w:rPr>
          <w:rFonts w:ascii="Candara" w:hAnsi="Candara"/>
        </w:rPr>
        <w:t>. As all ignitions (winter and summer, urban and rural) are count</w:t>
      </w:r>
      <w:r>
        <w:rPr>
          <w:rFonts w:ascii="Candara" w:hAnsi="Candara"/>
        </w:rPr>
        <w:t xml:space="preserve">ed equally, the short-term incentive power of the current scheme </w:t>
      </w:r>
      <w:r w:rsidR="00777169">
        <w:rPr>
          <w:rFonts w:ascii="Candara" w:hAnsi="Candara"/>
        </w:rPr>
        <w:t>to reduce</w:t>
      </w:r>
      <w:r w:rsidRPr="00CF4842">
        <w:rPr>
          <w:rFonts w:ascii="Candara" w:hAnsi="Candara"/>
        </w:rPr>
        <w:t xml:space="preserve"> network ignitions ha</w:t>
      </w:r>
      <w:r>
        <w:rPr>
          <w:rFonts w:ascii="Candara" w:hAnsi="Candara"/>
        </w:rPr>
        <w:t>s been limited</w:t>
      </w:r>
      <w:r w:rsidR="00777169">
        <w:rPr>
          <w:rFonts w:ascii="Candara" w:hAnsi="Candara"/>
        </w:rPr>
        <w:t xml:space="preserve"> and has imposed a cost on consumers</w:t>
      </w:r>
      <w:r w:rsidRPr="00CF4842">
        <w:rPr>
          <w:rFonts w:ascii="Candara" w:hAnsi="Candara"/>
        </w:rPr>
        <w:t>.</w:t>
      </w:r>
      <w:r>
        <w:rPr>
          <w:rFonts w:ascii="Candara" w:hAnsi="Candara"/>
        </w:rPr>
        <w:t xml:space="preserve"> </w:t>
      </w:r>
    </w:p>
    <w:p w14:paraId="13F7B780" w14:textId="5BBA802B" w:rsidR="000951BB" w:rsidRPr="00113DF9" w:rsidRDefault="000951BB" w:rsidP="00BB41A4">
      <w:pPr>
        <w:pStyle w:val="Heading3"/>
        <w:numPr>
          <w:ilvl w:val="2"/>
          <w:numId w:val="36"/>
        </w:numPr>
      </w:pPr>
      <w:bookmarkStart w:id="17" w:name="_Toc458675173"/>
      <w:r w:rsidRPr="00113DF9">
        <w:t>Failure to Target Ignitions of greatest risk – by Geography and Time</w:t>
      </w:r>
      <w:bookmarkEnd w:id="17"/>
    </w:p>
    <w:p w14:paraId="017A504F" w14:textId="46EEB691" w:rsidR="000951BB" w:rsidRPr="00D207BC" w:rsidRDefault="00D207BC" w:rsidP="00D207BC">
      <w:pPr>
        <w:rPr>
          <w:rFonts w:ascii="Candara" w:hAnsi="Candara"/>
        </w:rPr>
      </w:pPr>
      <w:r w:rsidRPr="00D207BC">
        <w:rPr>
          <w:rFonts w:ascii="Candara" w:hAnsi="Candara"/>
        </w:rPr>
        <w:t xml:space="preserve">The current scheme treats the aggregate annual number of network ignitions as a proxy for bushfire danger. But by failing to </w:t>
      </w:r>
      <w:r w:rsidR="006225AF">
        <w:rPr>
          <w:rFonts w:ascii="Candara" w:hAnsi="Candara"/>
        </w:rPr>
        <w:t>distinguish between</w:t>
      </w:r>
      <w:r w:rsidRPr="00D207BC">
        <w:rPr>
          <w:rFonts w:ascii="Candara" w:hAnsi="Candara"/>
        </w:rPr>
        <w:t xml:space="preserve"> these ignitions </w:t>
      </w:r>
      <w:r w:rsidR="006225AF">
        <w:rPr>
          <w:rFonts w:ascii="Candara" w:hAnsi="Candara"/>
        </w:rPr>
        <w:t xml:space="preserve">on the basis of differences in </w:t>
      </w:r>
      <w:r w:rsidRPr="00D207BC">
        <w:rPr>
          <w:rFonts w:ascii="Candara" w:hAnsi="Candara"/>
        </w:rPr>
        <w:t xml:space="preserve">bushfire risk, the scheme has produced an inefficient incentive.  This has in turn, prevented the f-factor from contributing to the reduction of this ongoing risk to Victorians.  </w:t>
      </w:r>
    </w:p>
    <w:p w14:paraId="03093073" w14:textId="77777777" w:rsidR="00D27F61" w:rsidRPr="00D27F61" w:rsidRDefault="00D27F61" w:rsidP="00D27F61">
      <w:pPr>
        <w:rPr>
          <w:rFonts w:ascii="Candara" w:hAnsi="Candara"/>
        </w:rPr>
      </w:pPr>
      <w:r w:rsidRPr="00D27F61">
        <w:rPr>
          <w:rFonts w:ascii="Candara" w:hAnsi="Candara"/>
        </w:rPr>
        <w:t>The current f-factor has the advantage of communicating to businesses that all ignitions are of importance and does not exclude any ignition that may start a fire resulting in injury, or loss of life and property. It takes an “all hazards” risk management approach.</w:t>
      </w:r>
      <w:r w:rsidRPr="00D27F61">
        <w:rPr>
          <w:rFonts w:ascii="Candara" w:hAnsi="Candara"/>
          <w:vertAlign w:val="superscript"/>
        </w:rPr>
        <w:footnoteReference w:id="14"/>
      </w:r>
      <w:r w:rsidRPr="00D27F61">
        <w:rPr>
          <w:rFonts w:ascii="Candara" w:hAnsi="Candara"/>
        </w:rPr>
        <w:t xml:space="preserve">  </w:t>
      </w:r>
    </w:p>
    <w:p w14:paraId="6E73C312" w14:textId="33836E6B" w:rsidR="00D27F61" w:rsidRDefault="00D27F61" w:rsidP="00D27F61">
      <w:pPr>
        <w:rPr>
          <w:rFonts w:ascii="Candara" w:hAnsi="Candara"/>
        </w:rPr>
      </w:pPr>
      <w:r>
        <w:rPr>
          <w:rFonts w:ascii="Candara" w:hAnsi="Candara"/>
        </w:rPr>
        <w:t xml:space="preserve">In practice, </w:t>
      </w:r>
      <w:r w:rsidRPr="00D27F61">
        <w:rPr>
          <w:rFonts w:ascii="Candara" w:hAnsi="Candara"/>
        </w:rPr>
        <w:t xml:space="preserve">this approach has not been found to incentivise fire start reductions or demonstrably reduce bushfire risk. By treating all fires the same, including those of least concern, those in colder weather and in low bushfire risk areas (LBRAs), the scheme fails to drive targeted bushfire risk reduction in the places and times of greatest risk.  </w:t>
      </w:r>
    </w:p>
    <w:p w14:paraId="57F29E66" w14:textId="032EBB02" w:rsidR="008E3F10" w:rsidRDefault="00777169" w:rsidP="00D27F61">
      <w:pPr>
        <w:rPr>
          <w:rFonts w:ascii="Candara" w:hAnsi="Candara"/>
        </w:rPr>
      </w:pPr>
      <w:r>
        <w:rPr>
          <w:rFonts w:ascii="Candara" w:hAnsi="Candara"/>
        </w:rPr>
        <w:t>The table below shows distribution business ignitions performance s</w:t>
      </w:r>
      <w:r w:rsidR="00D27F61" w:rsidRPr="00C629A3">
        <w:rPr>
          <w:rFonts w:ascii="Candara" w:hAnsi="Candara"/>
        </w:rPr>
        <w:t xml:space="preserve">ince </w:t>
      </w:r>
      <w:r>
        <w:rPr>
          <w:rFonts w:ascii="Candara" w:hAnsi="Candara"/>
        </w:rPr>
        <w:t>the introduction of the current</w:t>
      </w:r>
      <w:r w:rsidR="00D27F61" w:rsidRPr="00C629A3">
        <w:rPr>
          <w:rFonts w:ascii="Candara" w:hAnsi="Candara"/>
        </w:rPr>
        <w:t xml:space="preserve"> </w:t>
      </w:r>
      <w:r>
        <w:rPr>
          <w:rFonts w:ascii="Candara" w:hAnsi="Candara"/>
        </w:rPr>
        <w:t>unweighted incentive scheme</w:t>
      </w:r>
      <w:r w:rsidR="00D27F61">
        <w:rPr>
          <w:rFonts w:ascii="Candara" w:hAnsi="Candara"/>
        </w:rPr>
        <w:t xml:space="preserve"> </w:t>
      </w:r>
      <w:r>
        <w:rPr>
          <w:rFonts w:ascii="Candara" w:hAnsi="Candara"/>
        </w:rPr>
        <w:t xml:space="preserve">on 22 December 2011. </w:t>
      </w:r>
      <w:r w:rsidR="00D27F61" w:rsidRPr="00C629A3">
        <w:rPr>
          <w:rFonts w:ascii="Candara" w:hAnsi="Candara"/>
        </w:rPr>
        <w:t xml:space="preserve"> </w:t>
      </w:r>
      <w:r w:rsidR="004F2195">
        <w:rPr>
          <w:rFonts w:ascii="Candara" w:hAnsi="Candara"/>
        </w:rPr>
        <w:t>The</w:t>
      </w:r>
      <w:r w:rsidR="006225AF">
        <w:rPr>
          <w:rFonts w:ascii="Candara" w:hAnsi="Candara"/>
        </w:rPr>
        <w:t xml:space="preserve"> reduction in </w:t>
      </w:r>
      <w:r w:rsidR="00D27F61" w:rsidRPr="00C629A3">
        <w:rPr>
          <w:rFonts w:ascii="Candara" w:hAnsi="Candara"/>
        </w:rPr>
        <w:t xml:space="preserve">the aggregate number of </w:t>
      </w:r>
      <w:r w:rsidR="00D27F61">
        <w:rPr>
          <w:rFonts w:ascii="Candara" w:hAnsi="Candara"/>
        </w:rPr>
        <w:t xml:space="preserve">network </w:t>
      </w:r>
      <w:r w:rsidR="00D27F61" w:rsidRPr="00C629A3">
        <w:rPr>
          <w:rFonts w:ascii="Candara" w:hAnsi="Candara"/>
        </w:rPr>
        <w:t xml:space="preserve">fire starts relative to </w:t>
      </w:r>
      <w:r w:rsidR="00D27F61">
        <w:rPr>
          <w:rFonts w:ascii="Candara" w:hAnsi="Candara"/>
        </w:rPr>
        <w:t xml:space="preserve">the annual average over 2006-10 </w:t>
      </w:r>
      <w:r w:rsidR="00AC3C36">
        <w:rPr>
          <w:rFonts w:ascii="Candara" w:hAnsi="Candara"/>
        </w:rPr>
        <w:t>has been</w:t>
      </w:r>
      <w:r w:rsidR="00D27F61" w:rsidRPr="00C629A3">
        <w:rPr>
          <w:rFonts w:ascii="Candara" w:hAnsi="Candara"/>
        </w:rPr>
        <w:t xml:space="preserve"> </w:t>
      </w:r>
      <w:r w:rsidR="006225AF">
        <w:rPr>
          <w:rFonts w:ascii="Candara" w:hAnsi="Candara"/>
        </w:rPr>
        <w:t>generally poor,</w:t>
      </w:r>
      <w:r w:rsidR="00D27F61" w:rsidRPr="00C629A3">
        <w:rPr>
          <w:rFonts w:ascii="Candara" w:hAnsi="Candara"/>
        </w:rPr>
        <w:t xml:space="preserve"> </w:t>
      </w:r>
      <w:r w:rsidR="006225AF">
        <w:rPr>
          <w:rFonts w:ascii="Candara" w:hAnsi="Candara"/>
        </w:rPr>
        <w:t>with</w:t>
      </w:r>
      <w:r w:rsidR="00D27F61" w:rsidRPr="00C629A3">
        <w:rPr>
          <w:rFonts w:ascii="Candara" w:hAnsi="Candara"/>
        </w:rPr>
        <w:t xml:space="preserve"> AusNet Services</w:t>
      </w:r>
      <w:r w:rsidR="006225AF">
        <w:rPr>
          <w:rFonts w:ascii="Candara" w:hAnsi="Candara"/>
        </w:rPr>
        <w:t xml:space="preserve"> showing the only consistent reduction</w:t>
      </w:r>
      <w:r w:rsidR="00D27F61" w:rsidRPr="00C629A3">
        <w:rPr>
          <w:rFonts w:ascii="Candara" w:hAnsi="Candara"/>
        </w:rPr>
        <w:t>.</w:t>
      </w:r>
      <w:r w:rsidR="004F2195">
        <w:rPr>
          <w:rFonts w:ascii="Candara" w:hAnsi="Candara"/>
        </w:rPr>
        <w:t xml:space="preserve"> </w:t>
      </w:r>
    </w:p>
    <w:p w14:paraId="41CD1D3B" w14:textId="49EEF5C1" w:rsidR="00143CAC" w:rsidRDefault="00143CAC" w:rsidP="00D27F61">
      <w:pPr>
        <w:rPr>
          <w:rFonts w:ascii="Candara" w:hAnsi="Candara"/>
        </w:rPr>
      </w:pPr>
    </w:p>
    <w:p w14:paraId="74E733C0" w14:textId="77777777" w:rsidR="00143CAC" w:rsidRDefault="00143CAC" w:rsidP="00D27F61">
      <w:pPr>
        <w:rPr>
          <w:rFonts w:ascii="Candara" w:hAnsi="Candara"/>
        </w:rPr>
      </w:pPr>
    </w:p>
    <w:p w14:paraId="64B94C5A" w14:textId="77777777" w:rsidR="00143CAC" w:rsidRDefault="00143CAC" w:rsidP="00D27F61">
      <w:pPr>
        <w:rPr>
          <w:rFonts w:ascii="Candara" w:hAnsi="Candara"/>
        </w:rPr>
      </w:pPr>
    </w:p>
    <w:p w14:paraId="33B2FF6C" w14:textId="77777777" w:rsidR="00143CAC" w:rsidRDefault="00143CAC" w:rsidP="00D27F61">
      <w:pPr>
        <w:rPr>
          <w:rFonts w:ascii="Candara" w:hAnsi="Candara"/>
        </w:rPr>
      </w:pPr>
    </w:p>
    <w:p w14:paraId="74FDAD32" w14:textId="77777777" w:rsidR="00143CAC" w:rsidRDefault="00143CAC" w:rsidP="00D27F61">
      <w:pPr>
        <w:rPr>
          <w:rFonts w:ascii="Candara" w:hAnsi="Candara"/>
        </w:rPr>
      </w:pPr>
    </w:p>
    <w:p w14:paraId="42EA44A2" w14:textId="08FD09BA" w:rsidR="00143CAC" w:rsidRPr="000C1C10" w:rsidRDefault="000C1C10" w:rsidP="000C1C10">
      <w:pPr>
        <w:autoSpaceDE w:val="0"/>
        <w:autoSpaceDN w:val="0"/>
        <w:adjustRightInd w:val="0"/>
        <w:spacing w:before="120" w:after="80"/>
        <w:rPr>
          <w:rFonts w:ascii="Candara" w:hAnsi="Candara" w:cs="Calibri"/>
          <w:sz w:val="21"/>
          <w:szCs w:val="21"/>
        </w:rPr>
      </w:pPr>
      <w:r>
        <w:rPr>
          <w:rStyle w:val="Heading6Char"/>
        </w:rPr>
        <w:lastRenderedPageBreak/>
        <w:t xml:space="preserve">Figure 1.4: Distribution network </w:t>
      </w:r>
      <w:r w:rsidR="00E70308">
        <w:rPr>
          <w:rStyle w:val="Heading6Char"/>
        </w:rPr>
        <w:t>performance under current f-factor</w:t>
      </w:r>
      <w:r>
        <w:rPr>
          <w:rStyle w:val="Heading6Char"/>
        </w:rPr>
        <w:t xml:space="preserve"> </w:t>
      </w:r>
    </w:p>
    <w:tbl>
      <w:tblPr>
        <w:tblStyle w:val="TableGrid"/>
        <w:tblW w:w="0" w:type="auto"/>
        <w:tblInd w:w="424" w:type="dxa"/>
        <w:tblLook w:val="04A0" w:firstRow="1" w:lastRow="0" w:firstColumn="1" w:lastColumn="0" w:noHBand="0" w:noVBand="1"/>
      </w:tblPr>
      <w:tblGrid>
        <w:gridCol w:w="1320"/>
        <w:gridCol w:w="1320"/>
        <w:gridCol w:w="1320"/>
        <w:gridCol w:w="1320"/>
        <w:gridCol w:w="1320"/>
        <w:gridCol w:w="1588"/>
      </w:tblGrid>
      <w:tr w:rsidR="00143CAC" w14:paraId="07A6BA61" w14:textId="77777777" w:rsidTr="006C727F">
        <w:tc>
          <w:tcPr>
            <w:tcW w:w="1320" w:type="dxa"/>
            <w:tcBorders>
              <w:bottom w:val="single" w:sz="4" w:space="0" w:color="auto"/>
              <w:right w:val="nil"/>
            </w:tcBorders>
            <w:shd w:val="clear" w:color="auto" w:fill="365F91" w:themeFill="accent1" w:themeFillShade="BF"/>
          </w:tcPr>
          <w:p w14:paraId="7071D7C9" w14:textId="77777777" w:rsidR="00143CAC" w:rsidRDefault="00143CAC" w:rsidP="00ED63E7">
            <w:pPr>
              <w:autoSpaceDE w:val="0"/>
              <w:autoSpaceDN w:val="0"/>
              <w:adjustRightInd w:val="0"/>
              <w:spacing w:before="120" w:after="80"/>
              <w:jc w:val="center"/>
              <w:rPr>
                <w:rFonts w:ascii="Candara" w:hAnsi="Candara"/>
              </w:rPr>
            </w:pPr>
            <w:r>
              <w:rPr>
                <w:rFonts w:ascii="Candara" w:hAnsi="Candara"/>
              </w:rPr>
              <w:br w:type="page"/>
            </w:r>
          </w:p>
        </w:tc>
        <w:tc>
          <w:tcPr>
            <w:tcW w:w="1320" w:type="dxa"/>
            <w:tcBorders>
              <w:left w:val="nil"/>
              <w:bottom w:val="single" w:sz="4" w:space="0" w:color="auto"/>
              <w:right w:val="nil"/>
            </w:tcBorders>
            <w:shd w:val="clear" w:color="auto" w:fill="365F91" w:themeFill="accent1" w:themeFillShade="BF"/>
          </w:tcPr>
          <w:p w14:paraId="5A7033B4" w14:textId="77777777" w:rsidR="00143CAC" w:rsidRPr="009132DA" w:rsidRDefault="00143CAC" w:rsidP="00ED63E7">
            <w:pPr>
              <w:autoSpaceDE w:val="0"/>
              <w:autoSpaceDN w:val="0"/>
              <w:adjustRightInd w:val="0"/>
              <w:spacing w:before="120" w:after="80"/>
              <w:jc w:val="center"/>
              <w:rPr>
                <w:rFonts w:ascii="Candara" w:hAnsi="Candara"/>
                <w:b/>
                <w:color w:val="F2F2F2" w:themeColor="background1" w:themeShade="F2"/>
              </w:rPr>
            </w:pPr>
            <w:r w:rsidRPr="009132DA">
              <w:rPr>
                <w:rFonts w:ascii="Candara" w:hAnsi="Candara"/>
                <w:b/>
                <w:color w:val="F2F2F2" w:themeColor="background1" w:themeShade="F2"/>
              </w:rPr>
              <w:t>Citipower</w:t>
            </w:r>
          </w:p>
        </w:tc>
        <w:tc>
          <w:tcPr>
            <w:tcW w:w="1320" w:type="dxa"/>
            <w:tcBorders>
              <w:left w:val="nil"/>
              <w:bottom w:val="single" w:sz="4" w:space="0" w:color="auto"/>
              <w:right w:val="nil"/>
            </w:tcBorders>
            <w:shd w:val="clear" w:color="auto" w:fill="365F91" w:themeFill="accent1" w:themeFillShade="BF"/>
          </w:tcPr>
          <w:p w14:paraId="1D7C59A2" w14:textId="77777777" w:rsidR="00143CAC" w:rsidRPr="009132DA" w:rsidRDefault="00143CAC" w:rsidP="00ED63E7">
            <w:pPr>
              <w:autoSpaceDE w:val="0"/>
              <w:autoSpaceDN w:val="0"/>
              <w:adjustRightInd w:val="0"/>
              <w:spacing w:before="120" w:after="80"/>
              <w:jc w:val="center"/>
              <w:rPr>
                <w:rFonts w:ascii="Candara" w:hAnsi="Candara"/>
                <w:b/>
                <w:color w:val="F2F2F2" w:themeColor="background1" w:themeShade="F2"/>
              </w:rPr>
            </w:pPr>
            <w:r w:rsidRPr="009132DA">
              <w:rPr>
                <w:rFonts w:ascii="Candara" w:hAnsi="Candara"/>
                <w:b/>
                <w:color w:val="F2F2F2" w:themeColor="background1" w:themeShade="F2"/>
              </w:rPr>
              <w:t>Powercor</w:t>
            </w:r>
          </w:p>
        </w:tc>
        <w:tc>
          <w:tcPr>
            <w:tcW w:w="1320" w:type="dxa"/>
            <w:tcBorders>
              <w:left w:val="nil"/>
              <w:bottom w:val="single" w:sz="4" w:space="0" w:color="auto"/>
              <w:right w:val="nil"/>
            </w:tcBorders>
            <w:shd w:val="clear" w:color="auto" w:fill="365F91" w:themeFill="accent1" w:themeFillShade="BF"/>
          </w:tcPr>
          <w:p w14:paraId="46875C24" w14:textId="77777777" w:rsidR="00143CAC" w:rsidRPr="009132DA" w:rsidRDefault="00143CAC" w:rsidP="00ED63E7">
            <w:pPr>
              <w:autoSpaceDE w:val="0"/>
              <w:autoSpaceDN w:val="0"/>
              <w:adjustRightInd w:val="0"/>
              <w:spacing w:before="120" w:after="80"/>
              <w:jc w:val="center"/>
              <w:rPr>
                <w:rFonts w:ascii="Candara" w:hAnsi="Candara"/>
                <w:b/>
                <w:color w:val="F2F2F2" w:themeColor="background1" w:themeShade="F2"/>
              </w:rPr>
            </w:pPr>
            <w:r w:rsidRPr="009132DA">
              <w:rPr>
                <w:rFonts w:ascii="Candara" w:hAnsi="Candara"/>
                <w:b/>
                <w:color w:val="F2F2F2" w:themeColor="background1" w:themeShade="F2"/>
              </w:rPr>
              <w:t>Jemena</w:t>
            </w:r>
          </w:p>
        </w:tc>
        <w:tc>
          <w:tcPr>
            <w:tcW w:w="1320" w:type="dxa"/>
            <w:tcBorders>
              <w:left w:val="nil"/>
              <w:bottom w:val="single" w:sz="4" w:space="0" w:color="auto"/>
              <w:right w:val="nil"/>
            </w:tcBorders>
            <w:shd w:val="clear" w:color="auto" w:fill="365F91" w:themeFill="accent1" w:themeFillShade="BF"/>
          </w:tcPr>
          <w:p w14:paraId="51E6A512" w14:textId="77777777" w:rsidR="00143CAC" w:rsidRPr="009132DA" w:rsidRDefault="00143CAC" w:rsidP="00ED63E7">
            <w:pPr>
              <w:autoSpaceDE w:val="0"/>
              <w:autoSpaceDN w:val="0"/>
              <w:adjustRightInd w:val="0"/>
              <w:spacing w:before="120" w:after="80"/>
              <w:jc w:val="center"/>
              <w:rPr>
                <w:rFonts w:ascii="Candara" w:hAnsi="Candara"/>
                <w:b/>
                <w:color w:val="F2F2F2" w:themeColor="background1" w:themeShade="F2"/>
              </w:rPr>
            </w:pPr>
            <w:r w:rsidRPr="009132DA">
              <w:rPr>
                <w:rFonts w:ascii="Candara" w:hAnsi="Candara"/>
                <w:b/>
                <w:color w:val="F2F2F2" w:themeColor="background1" w:themeShade="F2"/>
              </w:rPr>
              <w:t>AusNet</w:t>
            </w:r>
          </w:p>
        </w:tc>
        <w:tc>
          <w:tcPr>
            <w:tcW w:w="1588" w:type="dxa"/>
            <w:tcBorders>
              <w:left w:val="nil"/>
              <w:bottom w:val="single" w:sz="4" w:space="0" w:color="auto"/>
            </w:tcBorders>
            <w:shd w:val="clear" w:color="auto" w:fill="365F91" w:themeFill="accent1" w:themeFillShade="BF"/>
          </w:tcPr>
          <w:p w14:paraId="18579522" w14:textId="77777777" w:rsidR="00143CAC" w:rsidRPr="009132DA" w:rsidRDefault="00143CAC" w:rsidP="00ED63E7">
            <w:pPr>
              <w:autoSpaceDE w:val="0"/>
              <w:autoSpaceDN w:val="0"/>
              <w:adjustRightInd w:val="0"/>
              <w:spacing w:before="120" w:after="80"/>
              <w:jc w:val="center"/>
              <w:rPr>
                <w:rFonts w:ascii="Candara" w:hAnsi="Candara"/>
                <w:b/>
                <w:color w:val="F2F2F2" w:themeColor="background1" w:themeShade="F2"/>
              </w:rPr>
            </w:pPr>
            <w:r w:rsidRPr="009132DA">
              <w:rPr>
                <w:rFonts w:ascii="Candara" w:hAnsi="Candara"/>
                <w:b/>
                <w:color w:val="F2F2F2" w:themeColor="background1" w:themeShade="F2"/>
              </w:rPr>
              <w:t>United Energy</w:t>
            </w:r>
          </w:p>
        </w:tc>
      </w:tr>
      <w:tr w:rsidR="00143CAC" w14:paraId="25FC6B76" w14:textId="77777777" w:rsidTr="006C727F">
        <w:trPr>
          <w:trHeight w:val="340"/>
        </w:trPr>
        <w:tc>
          <w:tcPr>
            <w:tcW w:w="1320" w:type="dxa"/>
            <w:tcBorders>
              <w:bottom w:val="single" w:sz="4" w:space="0" w:color="BFBFBF" w:themeColor="background1" w:themeShade="BF"/>
            </w:tcBorders>
            <w:shd w:val="clear" w:color="auto" w:fill="365F91" w:themeFill="accent1" w:themeFillShade="BF"/>
          </w:tcPr>
          <w:p w14:paraId="2248C6C6" w14:textId="77777777" w:rsidR="00143CAC" w:rsidRPr="006C727F" w:rsidRDefault="00143CAC" w:rsidP="006C727F">
            <w:pPr>
              <w:autoSpaceDE w:val="0"/>
              <w:autoSpaceDN w:val="0"/>
              <w:adjustRightInd w:val="0"/>
              <w:jc w:val="center"/>
              <w:rPr>
                <w:rFonts w:ascii="Candara" w:hAnsi="Candara"/>
                <w:b/>
                <w:color w:val="F2F2F2" w:themeColor="background1" w:themeShade="F2"/>
              </w:rPr>
            </w:pPr>
            <w:r w:rsidRPr="006C727F">
              <w:rPr>
                <w:b/>
                <w:color w:val="F2F2F2" w:themeColor="background1" w:themeShade="F2"/>
              </w:rPr>
              <w:t>benchmark</w:t>
            </w:r>
          </w:p>
        </w:tc>
        <w:tc>
          <w:tcPr>
            <w:tcW w:w="1320" w:type="dxa"/>
            <w:shd w:val="clear" w:color="auto" w:fill="D9D9D9" w:themeFill="background1" w:themeFillShade="D9"/>
            <w:vAlign w:val="center"/>
          </w:tcPr>
          <w:p w14:paraId="5CFE61DC" w14:textId="77777777" w:rsidR="00143CAC" w:rsidRPr="00A55C9B" w:rsidRDefault="00143CAC" w:rsidP="00ED63E7">
            <w:pPr>
              <w:jc w:val="center"/>
            </w:pPr>
            <w:r w:rsidRPr="00A55C9B">
              <w:t>30.4</w:t>
            </w:r>
          </w:p>
        </w:tc>
        <w:tc>
          <w:tcPr>
            <w:tcW w:w="1320" w:type="dxa"/>
            <w:shd w:val="clear" w:color="auto" w:fill="D9D9D9" w:themeFill="background1" w:themeFillShade="D9"/>
            <w:vAlign w:val="center"/>
          </w:tcPr>
          <w:p w14:paraId="25FD1D26" w14:textId="77777777" w:rsidR="00143CAC" w:rsidRPr="00A55C9B" w:rsidRDefault="00143CAC" w:rsidP="00ED63E7">
            <w:pPr>
              <w:jc w:val="center"/>
            </w:pPr>
            <w:r w:rsidRPr="00A55C9B">
              <w:t>401.8</w:t>
            </w:r>
          </w:p>
        </w:tc>
        <w:tc>
          <w:tcPr>
            <w:tcW w:w="1320" w:type="dxa"/>
            <w:shd w:val="clear" w:color="auto" w:fill="D9D9D9" w:themeFill="background1" w:themeFillShade="D9"/>
            <w:vAlign w:val="center"/>
          </w:tcPr>
          <w:p w14:paraId="7A5407AE" w14:textId="77777777" w:rsidR="00143CAC" w:rsidRPr="00A55C9B" w:rsidRDefault="00143CAC" w:rsidP="00ED63E7">
            <w:pPr>
              <w:jc w:val="center"/>
            </w:pPr>
            <w:r w:rsidRPr="00A55C9B">
              <w:t>56.8</w:t>
            </w:r>
          </w:p>
        </w:tc>
        <w:tc>
          <w:tcPr>
            <w:tcW w:w="1320" w:type="dxa"/>
            <w:shd w:val="clear" w:color="auto" w:fill="D9D9D9" w:themeFill="background1" w:themeFillShade="D9"/>
            <w:vAlign w:val="center"/>
          </w:tcPr>
          <w:p w14:paraId="04B785FE" w14:textId="77777777" w:rsidR="00143CAC" w:rsidRPr="00A55C9B" w:rsidRDefault="00143CAC" w:rsidP="00ED63E7">
            <w:pPr>
              <w:jc w:val="center"/>
            </w:pPr>
            <w:r w:rsidRPr="00A55C9B">
              <w:t>256.8</w:t>
            </w:r>
          </w:p>
        </w:tc>
        <w:tc>
          <w:tcPr>
            <w:tcW w:w="1588" w:type="dxa"/>
            <w:shd w:val="clear" w:color="auto" w:fill="D9D9D9" w:themeFill="background1" w:themeFillShade="D9"/>
            <w:vAlign w:val="center"/>
          </w:tcPr>
          <w:p w14:paraId="0F9C046B" w14:textId="77777777" w:rsidR="00143CAC" w:rsidRPr="00A55C9B" w:rsidRDefault="00143CAC" w:rsidP="00ED63E7">
            <w:pPr>
              <w:jc w:val="center"/>
            </w:pPr>
            <w:r w:rsidRPr="00A55C9B">
              <w:t>124.2</w:t>
            </w:r>
          </w:p>
        </w:tc>
      </w:tr>
      <w:tr w:rsidR="00143CAC" w14:paraId="4EDD7CA4" w14:textId="77777777" w:rsidTr="006C727F">
        <w:tc>
          <w:tcPr>
            <w:tcW w:w="1320" w:type="dxa"/>
            <w:tcBorders>
              <w:top w:val="single" w:sz="4" w:space="0" w:color="BFBFBF" w:themeColor="background1" w:themeShade="BF"/>
              <w:bottom w:val="nil"/>
            </w:tcBorders>
            <w:shd w:val="clear" w:color="auto" w:fill="365F91" w:themeFill="accent1" w:themeFillShade="BF"/>
          </w:tcPr>
          <w:p w14:paraId="5FB35738" w14:textId="77777777" w:rsidR="00143CAC" w:rsidRPr="009132DA" w:rsidRDefault="00143CAC" w:rsidP="00ED63E7">
            <w:pPr>
              <w:jc w:val="center"/>
              <w:rPr>
                <w:b/>
                <w:color w:val="F2F2F2" w:themeColor="background1" w:themeShade="F2"/>
              </w:rPr>
            </w:pPr>
            <w:r w:rsidRPr="009132DA">
              <w:rPr>
                <w:b/>
                <w:color w:val="F2F2F2" w:themeColor="background1" w:themeShade="F2"/>
              </w:rPr>
              <w:t>2012</w:t>
            </w:r>
          </w:p>
          <w:p w14:paraId="7E25F8E0" w14:textId="77777777" w:rsidR="00143CAC" w:rsidRPr="009132DA" w:rsidRDefault="00143CAC"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Ignitions</w:t>
            </w:r>
          </w:p>
        </w:tc>
        <w:tc>
          <w:tcPr>
            <w:tcW w:w="1320" w:type="dxa"/>
            <w:vAlign w:val="center"/>
          </w:tcPr>
          <w:p w14:paraId="11C99B0B" w14:textId="77777777" w:rsidR="00143CAC" w:rsidRPr="00A55C9B" w:rsidRDefault="00143CAC" w:rsidP="00ED63E7">
            <w:pPr>
              <w:jc w:val="center"/>
            </w:pPr>
            <w:r w:rsidRPr="00A55C9B">
              <w:t>30</w:t>
            </w:r>
          </w:p>
        </w:tc>
        <w:tc>
          <w:tcPr>
            <w:tcW w:w="1320" w:type="dxa"/>
            <w:vAlign w:val="center"/>
          </w:tcPr>
          <w:p w14:paraId="7E4DBD99" w14:textId="77777777" w:rsidR="00143CAC" w:rsidRPr="00A55C9B" w:rsidRDefault="00143CAC" w:rsidP="00ED63E7">
            <w:pPr>
              <w:jc w:val="center"/>
            </w:pPr>
            <w:r w:rsidRPr="00A55C9B">
              <w:t>303</w:t>
            </w:r>
          </w:p>
        </w:tc>
        <w:tc>
          <w:tcPr>
            <w:tcW w:w="1320" w:type="dxa"/>
            <w:vAlign w:val="center"/>
          </w:tcPr>
          <w:p w14:paraId="076F972A" w14:textId="77777777" w:rsidR="00143CAC" w:rsidRPr="00A55C9B" w:rsidRDefault="00143CAC" w:rsidP="00ED63E7">
            <w:pPr>
              <w:jc w:val="center"/>
            </w:pPr>
            <w:r w:rsidRPr="00A55C9B">
              <w:t>42</w:t>
            </w:r>
          </w:p>
        </w:tc>
        <w:tc>
          <w:tcPr>
            <w:tcW w:w="1320" w:type="dxa"/>
            <w:vAlign w:val="center"/>
          </w:tcPr>
          <w:p w14:paraId="5F06CE0B" w14:textId="77777777" w:rsidR="00143CAC" w:rsidRPr="00A55C9B" w:rsidRDefault="00143CAC" w:rsidP="00ED63E7">
            <w:pPr>
              <w:jc w:val="center"/>
            </w:pPr>
            <w:r w:rsidRPr="00A55C9B">
              <w:t>178</w:t>
            </w:r>
          </w:p>
        </w:tc>
        <w:tc>
          <w:tcPr>
            <w:tcW w:w="1588" w:type="dxa"/>
            <w:vAlign w:val="center"/>
          </w:tcPr>
          <w:p w14:paraId="231B6725" w14:textId="77777777" w:rsidR="00143CAC" w:rsidRPr="00A55C9B" w:rsidRDefault="00143CAC" w:rsidP="00ED63E7">
            <w:pPr>
              <w:jc w:val="center"/>
            </w:pPr>
            <w:r w:rsidRPr="00A55C9B">
              <w:t>85</w:t>
            </w:r>
          </w:p>
        </w:tc>
      </w:tr>
      <w:tr w:rsidR="00143CAC" w14:paraId="757D480B" w14:textId="77777777" w:rsidTr="006C727F">
        <w:tc>
          <w:tcPr>
            <w:tcW w:w="1320" w:type="dxa"/>
            <w:tcBorders>
              <w:top w:val="nil"/>
              <w:bottom w:val="single" w:sz="4" w:space="0" w:color="BFBFBF" w:themeColor="background1" w:themeShade="BF"/>
            </w:tcBorders>
            <w:shd w:val="clear" w:color="auto" w:fill="365F91" w:themeFill="accent1" w:themeFillShade="BF"/>
          </w:tcPr>
          <w:p w14:paraId="2203779F" w14:textId="77777777" w:rsidR="00143CAC" w:rsidRPr="009132DA" w:rsidRDefault="00143CAC" w:rsidP="00ED63E7">
            <w:pPr>
              <w:jc w:val="center"/>
              <w:rPr>
                <w:b/>
                <w:color w:val="F2F2F2" w:themeColor="background1" w:themeShade="F2"/>
              </w:rPr>
            </w:pPr>
            <w:r w:rsidRPr="009132DA">
              <w:rPr>
                <w:b/>
                <w:color w:val="F2F2F2" w:themeColor="background1" w:themeShade="F2"/>
              </w:rPr>
              <w:t>% to</w:t>
            </w:r>
          </w:p>
          <w:p w14:paraId="7A10D2A5" w14:textId="77777777" w:rsidR="00143CAC" w:rsidRPr="009132DA" w:rsidRDefault="00143CAC" w:rsidP="00ED63E7">
            <w:pPr>
              <w:jc w:val="center"/>
              <w:rPr>
                <w:b/>
                <w:color w:val="F2F2F2" w:themeColor="background1" w:themeShade="F2"/>
              </w:rPr>
            </w:pPr>
            <w:r w:rsidRPr="009132DA">
              <w:rPr>
                <w:b/>
                <w:color w:val="F2F2F2" w:themeColor="background1" w:themeShade="F2"/>
              </w:rPr>
              <w:t>Benchmark</w:t>
            </w:r>
          </w:p>
        </w:tc>
        <w:tc>
          <w:tcPr>
            <w:tcW w:w="1320" w:type="dxa"/>
            <w:vAlign w:val="center"/>
          </w:tcPr>
          <w:p w14:paraId="726DF382" w14:textId="77777777" w:rsidR="00143CAC" w:rsidRPr="00A55C9B" w:rsidRDefault="00143CAC" w:rsidP="00ED63E7">
            <w:pPr>
              <w:jc w:val="center"/>
            </w:pPr>
            <w:r w:rsidRPr="00A55C9B">
              <w:t>-1.3%</w:t>
            </w:r>
          </w:p>
        </w:tc>
        <w:tc>
          <w:tcPr>
            <w:tcW w:w="1320" w:type="dxa"/>
            <w:vAlign w:val="center"/>
          </w:tcPr>
          <w:p w14:paraId="7F23ADE5" w14:textId="77777777" w:rsidR="00143CAC" w:rsidRPr="00A55C9B" w:rsidRDefault="00143CAC" w:rsidP="00ED63E7">
            <w:pPr>
              <w:jc w:val="center"/>
            </w:pPr>
            <w:r w:rsidRPr="00A55C9B">
              <w:t>-24.6%</w:t>
            </w:r>
          </w:p>
        </w:tc>
        <w:tc>
          <w:tcPr>
            <w:tcW w:w="1320" w:type="dxa"/>
            <w:vAlign w:val="center"/>
          </w:tcPr>
          <w:p w14:paraId="16D32B25" w14:textId="77777777" w:rsidR="00143CAC" w:rsidRPr="00A55C9B" w:rsidRDefault="00143CAC" w:rsidP="00ED63E7">
            <w:pPr>
              <w:jc w:val="center"/>
            </w:pPr>
            <w:r w:rsidRPr="00A55C9B">
              <w:t>-26.1%</w:t>
            </w:r>
          </w:p>
        </w:tc>
        <w:tc>
          <w:tcPr>
            <w:tcW w:w="1320" w:type="dxa"/>
            <w:vAlign w:val="center"/>
          </w:tcPr>
          <w:p w14:paraId="3E2AF525" w14:textId="77777777" w:rsidR="00143CAC" w:rsidRPr="00A55C9B" w:rsidRDefault="00143CAC" w:rsidP="00ED63E7">
            <w:pPr>
              <w:jc w:val="center"/>
            </w:pPr>
            <w:r w:rsidRPr="00A55C9B">
              <w:t>-30.7%</w:t>
            </w:r>
          </w:p>
        </w:tc>
        <w:tc>
          <w:tcPr>
            <w:tcW w:w="1588" w:type="dxa"/>
            <w:vAlign w:val="center"/>
          </w:tcPr>
          <w:p w14:paraId="110B69F5" w14:textId="77777777" w:rsidR="00143CAC" w:rsidRPr="00A55C9B" w:rsidRDefault="00143CAC" w:rsidP="00ED63E7">
            <w:pPr>
              <w:jc w:val="center"/>
            </w:pPr>
            <w:r w:rsidRPr="00A55C9B">
              <w:t>-31.6%</w:t>
            </w:r>
          </w:p>
        </w:tc>
      </w:tr>
      <w:tr w:rsidR="00143CAC" w14:paraId="77DBF139" w14:textId="77777777" w:rsidTr="006C727F">
        <w:tc>
          <w:tcPr>
            <w:tcW w:w="1320" w:type="dxa"/>
            <w:tcBorders>
              <w:top w:val="single" w:sz="4" w:space="0" w:color="BFBFBF" w:themeColor="background1" w:themeShade="BF"/>
              <w:bottom w:val="nil"/>
            </w:tcBorders>
            <w:shd w:val="clear" w:color="auto" w:fill="365F91" w:themeFill="accent1" w:themeFillShade="BF"/>
          </w:tcPr>
          <w:p w14:paraId="6241D4F1" w14:textId="77777777" w:rsidR="00143CAC" w:rsidRPr="009132DA" w:rsidRDefault="00143CAC" w:rsidP="00ED63E7">
            <w:pPr>
              <w:jc w:val="center"/>
              <w:rPr>
                <w:b/>
                <w:color w:val="F2F2F2" w:themeColor="background1" w:themeShade="F2"/>
              </w:rPr>
            </w:pPr>
            <w:r w:rsidRPr="009132DA">
              <w:rPr>
                <w:b/>
                <w:color w:val="F2F2F2" w:themeColor="background1" w:themeShade="F2"/>
              </w:rPr>
              <w:t>2013</w:t>
            </w:r>
          </w:p>
          <w:p w14:paraId="129300A3" w14:textId="77777777" w:rsidR="00143CAC" w:rsidRPr="009132DA" w:rsidRDefault="00143CAC"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Ignitions</w:t>
            </w:r>
          </w:p>
        </w:tc>
        <w:tc>
          <w:tcPr>
            <w:tcW w:w="1320" w:type="dxa"/>
            <w:vAlign w:val="center"/>
          </w:tcPr>
          <w:p w14:paraId="2C8C33F3" w14:textId="77777777" w:rsidR="00143CAC" w:rsidRPr="00A55C9B" w:rsidRDefault="00143CAC" w:rsidP="00ED63E7">
            <w:pPr>
              <w:jc w:val="center"/>
            </w:pPr>
            <w:r w:rsidRPr="00A55C9B">
              <w:t>33</w:t>
            </w:r>
          </w:p>
        </w:tc>
        <w:tc>
          <w:tcPr>
            <w:tcW w:w="1320" w:type="dxa"/>
            <w:vAlign w:val="center"/>
          </w:tcPr>
          <w:p w14:paraId="19B1B6BD" w14:textId="77777777" w:rsidR="00143CAC" w:rsidRPr="00A55C9B" w:rsidRDefault="00143CAC" w:rsidP="00ED63E7">
            <w:pPr>
              <w:jc w:val="center"/>
            </w:pPr>
            <w:r w:rsidRPr="00A55C9B">
              <w:t>498</w:t>
            </w:r>
          </w:p>
        </w:tc>
        <w:tc>
          <w:tcPr>
            <w:tcW w:w="1320" w:type="dxa"/>
            <w:vAlign w:val="center"/>
          </w:tcPr>
          <w:p w14:paraId="51BC32BF" w14:textId="77777777" w:rsidR="00143CAC" w:rsidRPr="00A55C9B" w:rsidRDefault="00143CAC" w:rsidP="00ED63E7">
            <w:pPr>
              <w:jc w:val="center"/>
            </w:pPr>
            <w:r w:rsidRPr="00A55C9B">
              <w:t>91</w:t>
            </w:r>
          </w:p>
        </w:tc>
        <w:tc>
          <w:tcPr>
            <w:tcW w:w="1320" w:type="dxa"/>
            <w:vAlign w:val="center"/>
          </w:tcPr>
          <w:p w14:paraId="3BF3AB2B" w14:textId="77777777" w:rsidR="00143CAC" w:rsidRPr="00A55C9B" w:rsidRDefault="00143CAC" w:rsidP="00ED63E7">
            <w:pPr>
              <w:jc w:val="center"/>
            </w:pPr>
            <w:r w:rsidRPr="00A55C9B">
              <w:t>176</w:t>
            </w:r>
          </w:p>
        </w:tc>
        <w:tc>
          <w:tcPr>
            <w:tcW w:w="1588" w:type="dxa"/>
            <w:vAlign w:val="center"/>
          </w:tcPr>
          <w:p w14:paraId="0DFA6C09" w14:textId="77777777" w:rsidR="00143CAC" w:rsidRPr="00A55C9B" w:rsidRDefault="00143CAC" w:rsidP="00ED63E7">
            <w:pPr>
              <w:jc w:val="center"/>
            </w:pPr>
            <w:r w:rsidRPr="00A55C9B">
              <w:t>127</w:t>
            </w:r>
          </w:p>
        </w:tc>
      </w:tr>
      <w:tr w:rsidR="00143CAC" w14:paraId="6DD5085C" w14:textId="77777777" w:rsidTr="006C727F">
        <w:tc>
          <w:tcPr>
            <w:tcW w:w="1320" w:type="dxa"/>
            <w:tcBorders>
              <w:top w:val="nil"/>
              <w:bottom w:val="single" w:sz="4" w:space="0" w:color="BFBFBF" w:themeColor="background1" w:themeShade="BF"/>
            </w:tcBorders>
            <w:shd w:val="clear" w:color="auto" w:fill="365F91" w:themeFill="accent1" w:themeFillShade="BF"/>
          </w:tcPr>
          <w:p w14:paraId="4BC2142A" w14:textId="77777777" w:rsidR="00143CAC" w:rsidRPr="009132DA" w:rsidRDefault="00143CAC" w:rsidP="00ED63E7">
            <w:pPr>
              <w:jc w:val="center"/>
              <w:rPr>
                <w:b/>
                <w:color w:val="F2F2F2" w:themeColor="background1" w:themeShade="F2"/>
              </w:rPr>
            </w:pPr>
            <w:r w:rsidRPr="009132DA">
              <w:rPr>
                <w:b/>
                <w:color w:val="F2F2F2" w:themeColor="background1" w:themeShade="F2"/>
              </w:rPr>
              <w:t>% to</w:t>
            </w:r>
          </w:p>
          <w:p w14:paraId="6F8C5DDB" w14:textId="77777777" w:rsidR="00143CAC" w:rsidRPr="009132DA" w:rsidRDefault="00143CAC"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Benchmark</w:t>
            </w:r>
          </w:p>
        </w:tc>
        <w:tc>
          <w:tcPr>
            <w:tcW w:w="1320" w:type="dxa"/>
            <w:vAlign w:val="center"/>
          </w:tcPr>
          <w:p w14:paraId="76F98926" w14:textId="77777777" w:rsidR="00143CAC" w:rsidRPr="00A55C9B" w:rsidRDefault="00143CAC" w:rsidP="00ED63E7">
            <w:pPr>
              <w:jc w:val="center"/>
            </w:pPr>
            <w:r w:rsidRPr="00A55C9B">
              <w:t>8.6%</w:t>
            </w:r>
          </w:p>
        </w:tc>
        <w:tc>
          <w:tcPr>
            <w:tcW w:w="1320" w:type="dxa"/>
            <w:vAlign w:val="center"/>
          </w:tcPr>
          <w:p w14:paraId="5E0F7AE7" w14:textId="77777777" w:rsidR="00143CAC" w:rsidRPr="00A55C9B" w:rsidRDefault="00143CAC" w:rsidP="00ED63E7">
            <w:pPr>
              <w:jc w:val="center"/>
            </w:pPr>
            <w:r w:rsidRPr="00A55C9B">
              <w:t>23.9%</w:t>
            </w:r>
          </w:p>
        </w:tc>
        <w:tc>
          <w:tcPr>
            <w:tcW w:w="1320" w:type="dxa"/>
            <w:vAlign w:val="center"/>
          </w:tcPr>
          <w:p w14:paraId="12EAD2C0" w14:textId="77777777" w:rsidR="00143CAC" w:rsidRPr="00A55C9B" w:rsidRDefault="00143CAC" w:rsidP="00ED63E7">
            <w:pPr>
              <w:jc w:val="center"/>
            </w:pPr>
            <w:r w:rsidRPr="00A55C9B">
              <w:t>60.2%</w:t>
            </w:r>
          </w:p>
        </w:tc>
        <w:tc>
          <w:tcPr>
            <w:tcW w:w="1320" w:type="dxa"/>
            <w:vAlign w:val="center"/>
          </w:tcPr>
          <w:p w14:paraId="55A3D9A1" w14:textId="77777777" w:rsidR="00143CAC" w:rsidRPr="00A55C9B" w:rsidRDefault="00143CAC" w:rsidP="00ED63E7">
            <w:pPr>
              <w:jc w:val="center"/>
            </w:pPr>
            <w:r w:rsidRPr="00A55C9B">
              <w:t>-31.5%</w:t>
            </w:r>
          </w:p>
        </w:tc>
        <w:tc>
          <w:tcPr>
            <w:tcW w:w="1588" w:type="dxa"/>
            <w:vAlign w:val="center"/>
          </w:tcPr>
          <w:p w14:paraId="09E0D314" w14:textId="77777777" w:rsidR="00143CAC" w:rsidRPr="00A55C9B" w:rsidRDefault="00143CAC" w:rsidP="00ED63E7">
            <w:pPr>
              <w:jc w:val="center"/>
            </w:pPr>
            <w:r w:rsidRPr="00A55C9B">
              <w:t>2.3%</w:t>
            </w:r>
          </w:p>
        </w:tc>
      </w:tr>
      <w:tr w:rsidR="00DD6FBB" w14:paraId="57597FE1" w14:textId="77777777" w:rsidTr="006C727F">
        <w:tc>
          <w:tcPr>
            <w:tcW w:w="1320" w:type="dxa"/>
            <w:tcBorders>
              <w:top w:val="single" w:sz="4" w:space="0" w:color="BFBFBF" w:themeColor="background1" w:themeShade="BF"/>
              <w:bottom w:val="nil"/>
            </w:tcBorders>
            <w:shd w:val="clear" w:color="auto" w:fill="365F91" w:themeFill="accent1" w:themeFillShade="BF"/>
          </w:tcPr>
          <w:p w14:paraId="447E0B08" w14:textId="77777777" w:rsidR="00DD6FBB" w:rsidRPr="009132DA" w:rsidRDefault="00DD6FBB" w:rsidP="00DF4694">
            <w:pPr>
              <w:jc w:val="center"/>
              <w:rPr>
                <w:b/>
                <w:color w:val="F2F2F2" w:themeColor="background1" w:themeShade="F2"/>
              </w:rPr>
            </w:pPr>
            <w:r w:rsidRPr="009132DA">
              <w:rPr>
                <w:b/>
                <w:color w:val="F2F2F2" w:themeColor="background1" w:themeShade="F2"/>
              </w:rPr>
              <w:t>2014</w:t>
            </w:r>
          </w:p>
          <w:p w14:paraId="327A1C3B" w14:textId="77777777" w:rsidR="00DD6FBB" w:rsidRPr="009132DA" w:rsidRDefault="00DD6FBB" w:rsidP="00DF4694">
            <w:pPr>
              <w:autoSpaceDE w:val="0"/>
              <w:autoSpaceDN w:val="0"/>
              <w:adjustRightInd w:val="0"/>
              <w:jc w:val="center"/>
              <w:rPr>
                <w:rFonts w:ascii="Candara" w:hAnsi="Candara"/>
                <w:color w:val="F2F2F2" w:themeColor="background1" w:themeShade="F2"/>
              </w:rPr>
            </w:pPr>
            <w:r w:rsidRPr="009132DA">
              <w:rPr>
                <w:b/>
                <w:color w:val="F2F2F2" w:themeColor="background1" w:themeShade="F2"/>
              </w:rPr>
              <w:t>Ignitions</w:t>
            </w:r>
          </w:p>
        </w:tc>
        <w:tc>
          <w:tcPr>
            <w:tcW w:w="1320" w:type="dxa"/>
            <w:vAlign w:val="center"/>
          </w:tcPr>
          <w:p w14:paraId="1199D39C" w14:textId="77777777" w:rsidR="00DD6FBB" w:rsidRPr="00A55C9B" w:rsidRDefault="00DD6FBB" w:rsidP="00DF4694">
            <w:pPr>
              <w:jc w:val="center"/>
            </w:pPr>
            <w:r w:rsidRPr="00A55C9B">
              <w:t>31</w:t>
            </w:r>
          </w:p>
        </w:tc>
        <w:tc>
          <w:tcPr>
            <w:tcW w:w="1320" w:type="dxa"/>
            <w:vAlign w:val="center"/>
          </w:tcPr>
          <w:p w14:paraId="5557C8C9" w14:textId="77777777" w:rsidR="00DD6FBB" w:rsidRPr="00A55C9B" w:rsidRDefault="00DD6FBB" w:rsidP="00DF4694">
            <w:pPr>
              <w:jc w:val="center"/>
            </w:pPr>
            <w:r w:rsidRPr="00A55C9B">
              <w:t>463</w:t>
            </w:r>
          </w:p>
        </w:tc>
        <w:tc>
          <w:tcPr>
            <w:tcW w:w="1320" w:type="dxa"/>
            <w:vAlign w:val="center"/>
          </w:tcPr>
          <w:p w14:paraId="23BE9AF1" w14:textId="77777777" w:rsidR="00DD6FBB" w:rsidRPr="00A55C9B" w:rsidRDefault="00DD6FBB" w:rsidP="00DF4694">
            <w:pPr>
              <w:jc w:val="center"/>
            </w:pPr>
            <w:r w:rsidRPr="00A55C9B">
              <w:t>84</w:t>
            </w:r>
          </w:p>
        </w:tc>
        <w:tc>
          <w:tcPr>
            <w:tcW w:w="1320" w:type="dxa"/>
            <w:vAlign w:val="center"/>
          </w:tcPr>
          <w:p w14:paraId="624AD3CF" w14:textId="77777777" w:rsidR="00DD6FBB" w:rsidRPr="00A55C9B" w:rsidRDefault="00DD6FBB" w:rsidP="00DF4694">
            <w:pPr>
              <w:jc w:val="center"/>
            </w:pPr>
            <w:r w:rsidRPr="00A55C9B">
              <w:t>182</w:t>
            </w:r>
          </w:p>
        </w:tc>
        <w:tc>
          <w:tcPr>
            <w:tcW w:w="1588" w:type="dxa"/>
            <w:vAlign w:val="center"/>
          </w:tcPr>
          <w:p w14:paraId="6BAC983E" w14:textId="77777777" w:rsidR="00DD6FBB" w:rsidRPr="00A55C9B" w:rsidRDefault="00DD6FBB" w:rsidP="00DF4694">
            <w:pPr>
              <w:jc w:val="center"/>
            </w:pPr>
            <w:r w:rsidRPr="00A55C9B">
              <w:t>214</w:t>
            </w:r>
          </w:p>
        </w:tc>
      </w:tr>
      <w:tr w:rsidR="00DD6FBB" w14:paraId="09927C03" w14:textId="77777777" w:rsidTr="006C727F">
        <w:tc>
          <w:tcPr>
            <w:tcW w:w="1320" w:type="dxa"/>
            <w:tcBorders>
              <w:top w:val="nil"/>
              <w:bottom w:val="single" w:sz="4" w:space="0" w:color="BFBFBF" w:themeColor="background1" w:themeShade="BF"/>
            </w:tcBorders>
            <w:shd w:val="clear" w:color="auto" w:fill="365F91" w:themeFill="accent1" w:themeFillShade="BF"/>
          </w:tcPr>
          <w:p w14:paraId="1F8BB03C" w14:textId="77777777" w:rsidR="00DD6FBB" w:rsidRPr="009132DA" w:rsidRDefault="00DD6FBB" w:rsidP="00DF4694">
            <w:pPr>
              <w:jc w:val="center"/>
              <w:rPr>
                <w:b/>
                <w:color w:val="F2F2F2" w:themeColor="background1" w:themeShade="F2"/>
              </w:rPr>
            </w:pPr>
            <w:r w:rsidRPr="009132DA">
              <w:rPr>
                <w:b/>
                <w:color w:val="F2F2F2" w:themeColor="background1" w:themeShade="F2"/>
              </w:rPr>
              <w:t>% to</w:t>
            </w:r>
          </w:p>
          <w:p w14:paraId="4CF4AAF0" w14:textId="77777777" w:rsidR="00DD6FBB" w:rsidRPr="009132DA" w:rsidRDefault="00DD6FBB" w:rsidP="00DF4694">
            <w:pPr>
              <w:autoSpaceDE w:val="0"/>
              <w:autoSpaceDN w:val="0"/>
              <w:adjustRightInd w:val="0"/>
              <w:jc w:val="center"/>
              <w:rPr>
                <w:rFonts w:ascii="Candara" w:hAnsi="Candara"/>
                <w:color w:val="F2F2F2" w:themeColor="background1" w:themeShade="F2"/>
              </w:rPr>
            </w:pPr>
            <w:r w:rsidRPr="009132DA">
              <w:rPr>
                <w:b/>
                <w:color w:val="F2F2F2" w:themeColor="background1" w:themeShade="F2"/>
              </w:rPr>
              <w:t>Benchmark</w:t>
            </w:r>
          </w:p>
        </w:tc>
        <w:tc>
          <w:tcPr>
            <w:tcW w:w="1320" w:type="dxa"/>
            <w:vAlign w:val="center"/>
          </w:tcPr>
          <w:p w14:paraId="614E9B6B" w14:textId="77777777" w:rsidR="00DD6FBB" w:rsidRPr="00A55C9B" w:rsidRDefault="00DD6FBB" w:rsidP="00DF4694">
            <w:pPr>
              <w:jc w:val="center"/>
            </w:pPr>
            <w:r w:rsidRPr="00A55C9B">
              <w:t>2.0%</w:t>
            </w:r>
          </w:p>
        </w:tc>
        <w:tc>
          <w:tcPr>
            <w:tcW w:w="1320" w:type="dxa"/>
            <w:vAlign w:val="center"/>
          </w:tcPr>
          <w:p w14:paraId="1FAD36BC" w14:textId="77777777" w:rsidR="00DD6FBB" w:rsidRPr="00A55C9B" w:rsidRDefault="00DD6FBB" w:rsidP="00DF4694">
            <w:pPr>
              <w:jc w:val="center"/>
            </w:pPr>
            <w:r w:rsidRPr="00A55C9B">
              <w:t>15.2%</w:t>
            </w:r>
          </w:p>
        </w:tc>
        <w:tc>
          <w:tcPr>
            <w:tcW w:w="1320" w:type="dxa"/>
            <w:vAlign w:val="center"/>
          </w:tcPr>
          <w:p w14:paraId="53197C20" w14:textId="77777777" w:rsidR="00DD6FBB" w:rsidRPr="00A55C9B" w:rsidRDefault="00DD6FBB" w:rsidP="00DF4694">
            <w:pPr>
              <w:jc w:val="center"/>
            </w:pPr>
            <w:r w:rsidRPr="00A55C9B">
              <w:t>47.9%</w:t>
            </w:r>
          </w:p>
        </w:tc>
        <w:tc>
          <w:tcPr>
            <w:tcW w:w="1320" w:type="dxa"/>
            <w:vAlign w:val="center"/>
          </w:tcPr>
          <w:p w14:paraId="13BBA973" w14:textId="77777777" w:rsidR="00DD6FBB" w:rsidRPr="00A55C9B" w:rsidRDefault="00DD6FBB" w:rsidP="00DF4694">
            <w:pPr>
              <w:jc w:val="center"/>
            </w:pPr>
            <w:r w:rsidRPr="00A55C9B">
              <w:t>-29.1%</w:t>
            </w:r>
          </w:p>
        </w:tc>
        <w:tc>
          <w:tcPr>
            <w:tcW w:w="1588" w:type="dxa"/>
            <w:vAlign w:val="center"/>
          </w:tcPr>
          <w:p w14:paraId="216061BE" w14:textId="77777777" w:rsidR="00DD6FBB" w:rsidRPr="00A55C9B" w:rsidRDefault="00DD6FBB" w:rsidP="00DF4694">
            <w:pPr>
              <w:jc w:val="center"/>
            </w:pPr>
            <w:r w:rsidRPr="00A55C9B">
              <w:t>72.3%</w:t>
            </w:r>
          </w:p>
        </w:tc>
      </w:tr>
      <w:tr w:rsidR="00DD6FBB" w14:paraId="5D024FED" w14:textId="77777777" w:rsidTr="006C727F">
        <w:tc>
          <w:tcPr>
            <w:tcW w:w="1320" w:type="dxa"/>
            <w:tcBorders>
              <w:top w:val="single" w:sz="4" w:space="0" w:color="BFBFBF" w:themeColor="background1" w:themeShade="BF"/>
              <w:bottom w:val="nil"/>
            </w:tcBorders>
            <w:shd w:val="clear" w:color="auto" w:fill="365F91" w:themeFill="accent1" w:themeFillShade="BF"/>
          </w:tcPr>
          <w:p w14:paraId="20AE9262" w14:textId="0E1D0D5F" w:rsidR="00DD6FBB" w:rsidRPr="009132DA" w:rsidRDefault="00DD6FBB" w:rsidP="00ED63E7">
            <w:pPr>
              <w:jc w:val="center"/>
              <w:rPr>
                <w:b/>
                <w:color w:val="F2F2F2" w:themeColor="background1" w:themeShade="F2"/>
              </w:rPr>
            </w:pPr>
            <w:r w:rsidRPr="009132DA">
              <w:rPr>
                <w:b/>
                <w:color w:val="F2F2F2" w:themeColor="background1" w:themeShade="F2"/>
              </w:rPr>
              <w:t>201</w:t>
            </w:r>
            <w:r>
              <w:rPr>
                <w:b/>
                <w:color w:val="F2F2F2" w:themeColor="background1" w:themeShade="F2"/>
              </w:rPr>
              <w:t>5</w:t>
            </w:r>
          </w:p>
          <w:p w14:paraId="64326EB9" w14:textId="77777777" w:rsidR="00DD6FBB" w:rsidRPr="009132DA" w:rsidRDefault="00DD6FBB"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Ignitions</w:t>
            </w:r>
          </w:p>
        </w:tc>
        <w:tc>
          <w:tcPr>
            <w:tcW w:w="1320" w:type="dxa"/>
            <w:vAlign w:val="center"/>
          </w:tcPr>
          <w:p w14:paraId="7DCEA717" w14:textId="5C074FAB" w:rsidR="00DD6FBB" w:rsidRPr="00A55C9B" w:rsidRDefault="00DD6FBB" w:rsidP="00ED63E7">
            <w:pPr>
              <w:jc w:val="center"/>
            </w:pPr>
            <w:r w:rsidRPr="00DD6FBB">
              <w:t>14</w:t>
            </w:r>
          </w:p>
        </w:tc>
        <w:tc>
          <w:tcPr>
            <w:tcW w:w="1320" w:type="dxa"/>
            <w:vAlign w:val="center"/>
          </w:tcPr>
          <w:p w14:paraId="7BED0F2B" w14:textId="492B68C4" w:rsidR="00DD6FBB" w:rsidRPr="00A55C9B" w:rsidRDefault="00DD6FBB" w:rsidP="00ED63E7">
            <w:pPr>
              <w:jc w:val="center"/>
            </w:pPr>
            <w:r w:rsidRPr="00DD6FBB">
              <w:t>345</w:t>
            </w:r>
          </w:p>
        </w:tc>
        <w:tc>
          <w:tcPr>
            <w:tcW w:w="1320" w:type="dxa"/>
            <w:vAlign w:val="center"/>
          </w:tcPr>
          <w:p w14:paraId="506BE187" w14:textId="57B75223" w:rsidR="00DD6FBB" w:rsidRPr="00A55C9B" w:rsidRDefault="00DD6FBB" w:rsidP="00ED63E7">
            <w:pPr>
              <w:jc w:val="center"/>
            </w:pPr>
            <w:r w:rsidRPr="00DD6FBB">
              <w:t>54</w:t>
            </w:r>
          </w:p>
        </w:tc>
        <w:tc>
          <w:tcPr>
            <w:tcW w:w="1320" w:type="dxa"/>
            <w:vAlign w:val="center"/>
          </w:tcPr>
          <w:p w14:paraId="55B7CA17" w14:textId="06817EF5" w:rsidR="00DD6FBB" w:rsidRPr="00A55C9B" w:rsidRDefault="00DD6FBB" w:rsidP="00ED63E7">
            <w:pPr>
              <w:jc w:val="center"/>
            </w:pPr>
            <w:r w:rsidRPr="00DD6FBB">
              <w:t>120</w:t>
            </w:r>
          </w:p>
        </w:tc>
        <w:tc>
          <w:tcPr>
            <w:tcW w:w="1588" w:type="dxa"/>
            <w:vAlign w:val="center"/>
          </w:tcPr>
          <w:p w14:paraId="06D0AA3A" w14:textId="0A35C836" w:rsidR="00DD6FBB" w:rsidRPr="00A55C9B" w:rsidRDefault="00DD6FBB" w:rsidP="00ED63E7">
            <w:pPr>
              <w:jc w:val="center"/>
            </w:pPr>
            <w:r w:rsidRPr="00DD6FBB">
              <w:t>102</w:t>
            </w:r>
          </w:p>
        </w:tc>
      </w:tr>
      <w:tr w:rsidR="00DD6FBB" w14:paraId="3E9380C3" w14:textId="77777777" w:rsidTr="006C727F">
        <w:tc>
          <w:tcPr>
            <w:tcW w:w="1320" w:type="dxa"/>
            <w:tcBorders>
              <w:top w:val="nil"/>
              <w:bottom w:val="single" w:sz="4" w:space="0" w:color="BFBFBF" w:themeColor="background1" w:themeShade="BF"/>
            </w:tcBorders>
            <w:shd w:val="clear" w:color="auto" w:fill="365F91" w:themeFill="accent1" w:themeFillShade="BF"/>
          </w:tcPr>
          <w:p w14:paraId="3CC117D5" w14:textId="77777777" w:rsidR="00DD6FBB" w:rsidRPr="009132DA" w:rsidRDefault="00DD6FBB" w:rsidP="00ED63E7">
            <w:pPr>
              <w:jc w:val="center"/>
              <w:rPr>
                <w:b/>
                <w:color w:val="F2F2F2" w:themeColor="background1" w:themeShade="F2"/>
              </w:rPr>
            </w:pPr>
            <w:r w:rsidRPr="009132DA">
              <w:rPr>
                <w:b/>
                <w:color w:val="F2F2F2" w:themeColor="background1" w:themeShade="F2"/>
              </w:rPr>
              <w:t>% to</w:t>
            </w:r>
          </w:p>
          <w:p w14:paraId="56BC0CF6" w14:textId="77777777" w:rsidR="00DD6FBB" w:rsidRPr="009132DA" w:rsidRDefault="00DD6FBB"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Benchmark</w:t>
            </w:r>
          </w:p>
        </w:tc>
        <w:tc>
          <w:tcPr>
            <w:tcW w:w="1320" w:type="dxa"/>
            <w:vAlign w:val="center"/>
          </w:tcPr>
          <w:p w14:paraId="074A1742" w14:textId="140A4BD0" w:rsidR="00DD6FBB" w:rsidRPr="00A55C9B" w:rsidRDefault="00DD6FBB" w:rsidP="00ED63E7">
            <w:pPr>
              <w:jc w:val="center"/>
            </w:pPr>
            <w:r w:rsidRPr="00DD6FBB">
              <w:rPr>
                <w:rFonts w:ascii="Calibri" w:eastAsia="Times New Roman" w:hAnsi="Calibri" w:cs="Times New Roman"/>
                <w:color w:val="000000"/>
                <w:lang w:eastAsia="en-AU"/>
              </w:rPr>
              <w:t>-53.9%</w:t>
            </w:r>
          </w:p>
        </w:tc>
        <w:tc>
          <w:tcPr>
            <w:tcW w:w="1320" w:type="dxa"/>
            <w:vAlign w:val="center"/>
          </w:tcPr>
          <w:p w14:paraId="406AE2F1" w14:textId="4A18B9F3" w:rsidR="00DD6FBB" w:rsidRPr="00A55C9B" w:rsidRDefault="00DD6FBB" w:rsidP="00ED63E7">
            <w:pPr>
              <w:jc w:val="center"/>
            </w:pPr>
            <w:r w:rsidRPr="00DD6FBB">
              <w:rPr>
                <w:rFonts w:ascii="Calibri" w:eastAsia="Times New Roman" w:hAnsi="Calibri" w:cs="Times New Roman"/>
                <w:color w:val="000000"/>
                <w:lang w:eastAsia="en-AU"/>
              </w:rPr>
              <w:t>-14.1%</w:t>
            </w:r>
          </w:p>
        </w:tc>
        <w:tc>
          <w:tcPr>
            <w:tcW w:w="1320" w:type="dxa"/>
            <w:vAlign w:val="center"/>
          </w:tcPr>
          <w:p w14:paraId="5F911895" w14:textId="3EC5BFD3" w:rsidR="00DD6FBB" w:rsidRPr="00A55C9B" w:rsidRDefault="00DD6FBB" w:rsidP="00ED63E7">
            <w:pPr>
              <w:jc w:val="center"/>
            </w:pPr>
            <w:r w:rsidRPr="00DD6FBB">
              <w:rPr>
                <w:rFonts w:ascii="Calibri" w:eastAsia="Times New Roman" w:hAnsi="Calibri" w:cs="Times New Roman"/>
                <w:color w:val="000000"/>
                <w:lang w:eastAsia="en-AU"/>
              </w:rPr>
              <w:t>-4.9%</w:t>
            </w:r>
          </w:p>
        </w:tc>
        <w:tc>
          <w:tcPr>
            <w:tcW w:w="1320" w:type="dxa"/>
            <w:vAlign w:val="center"/>
          </w:tcPr>
          <w:p w14:paraId="5C68EE95" w14:textId="5B2F7006" w:rsidR="00DD6FBB" w:rsidRPr="00A55C9B" w:rsidRDefault="00DD6FBB" w:rsidP="00ED63E7">
            <w:pPr>
              <w:jc w:val="center"/>
            </w:pPr>
            <w:r w:rsidRPr="00DD6FBB">
              <w:rPr>
                <w:rFonts w:ascii="Calibri" w:eastAsia="Times New Roman" w:hAnsi="Calibri" w:cs="Times New Roman"/>
                <w:color w:val="000000"/>
                <w:lang w:eastAsia="en-AU"/>
              </w:rPr>
              <w:t>-53.3%</w:t>
            </w:r>
          </w:p>
        </w:tc>
        <w:tc>
          <w:tcPr>
            <w:tcW w:w="1588" w:type="dxa"/>
            <w:vAlign w:val="center"/>
          </w:tcPr>
          <w:p w14:paraId="4095BDE5" w14:textId="29050FC6" w:rsidR="00DD6FBB" w:rsidRPr="00A55C9B" w:rsidRDefault="00DD6FBB" w:rsidP="00ED63E7">
            <w:pPr>
              <w:jc w:val="center"/>
            </w:pPr>
            <w:r w:rsidRPr="00DD6FBB">
              <w:rPr>
                <w:rFonts w:ascii="Calibri" w:eastAsia="Times New Roman" w:hAnsi="Calibri" w:cs="Times New Roman"/>
                <w:color w:val="000000"/>
                <w:lang w:eastAsia="en-AU"/>
              </w:rPr>
              <w:t>-17.9%</w:t>
            </w:r>
          </w:p>
        </w:tc>
      </w:tr>
      <w:tr w:rsidR="00DD6FBB" w14:paraId="03511F8E" w14:textId="77777777" w:rsidTr="006C727F">
        <w:tc>
          <w:tcPr>
            <w:tcW w:w="1320" w:type="dxa"/>
            <w:tcBorders>
              <w:top w:val="single" w:sz="4" w:space="0" w:color="BFBFBF" w:themeColor="background1" w:themeShade="BF"/>
              <w:bottom w:val="nil"/>
            </w:tcBorders>
            <w:shd w:val="clear" w:color="auto" w:fill="365F91" w:themeFill="accent1" w:themeFillShade="BF"/>
          </w:tcPr>
          <w:p w14:paraId="3BBF959A" w14:textId="77777777" w:rsidR="00DD6FBB" w:rsidRPr="009132DA" w:rsidRDefault="00DD6FBB"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Average annual Ignitions</w:t>
            </w:r>
          </w:p>
        </w:tc>
        <w:tc>
          <w:tcPr>
            <w:tcW w:w="1320" w:type="dxa"/>
            <w:vAlign w:val="center"/>
          </w:tcPr>
          <w:p w14:paraId="3FDB09D7" w14:textId="74334032" w:rsidR="00DD6FBB" w:rsidRPr="00A55C9B" w:rsidRDefault="00DD6FBB" w:rsidP="00ED63E7">
            <w:pPr>
              <w:jc w:val="center"/>
            </w:pPr>
            <w:r w:rsidRPr="00DD6FBB">
              <w:t>27.0</w:t>
            </w:r>
          </w:p>
        </w:tc>
        <w:tc>
          <w:tcPr>
            <w:tcW w:w="1320" w:type="dxa"/>
            <w:vAlign w:val="center"/>
          </w:tcPr>
          <w:p w14:paraId="51154F3A" w14:textId="4FF45FED" w:rsidR="00DD6FBB" w:rsidRPr="00A55C9B" w:rsidRDefault="00DD6FBB" w:rsidP="00ED63E7">
            <w:pPr>
              <w:jc w:val="center"/>
            </w:pPr>
            <w:r w:rsidRPr="00DD6FBB">
              <w:t>402.3</w:t>
            </w:r>
          </w:p>
        </w:tc>
        <w:tc>
          <w:tcPr>
            <w:tcW w:w="1320" w:type="dxa"/>
            <w:vAlign w:val="center"/>
          </w:tcPr>
          <w:p w14:paraId="398D40E8" w14:textId="3ED98319" w:rsidR="00DD6FBB" w:rsidRPr="00A55C9B" w:rsidRDefault="00DD6FBB" w:rsidP="00ED63E7">
            <w:pPr>
              <w:jc w:val="center"/>
            </w:pPr>
            <w:r w:rsidRPr="00DD6FBB">
              <w:t>67.8</w:t>
            </w:r>
          </w:p>
        </w:tc>
        <w:tc>
          <w:tcPr>
            <w:tcW w:w="1320" w:type="dxa"/>
            <w:vAlign w:val="center"/>
          </w:tcPr>
          <w:p w14:paraId="7AFFE024" w14:textId="10189B80" w:rsidR="00DD6FBB" w:rsidRPr="00A55C9B" w:rsidRDefault="00DD6FBB" w:rsidP="00ED63E7">
            <w:pPr>
              <w:jc w:val="center"/>
            </w:pPr>
            <w:r w:rsidRPr="00DD6FBB">
              <w:t>164.0</w:t>
            </w:r>
          </w:p>
        </w:tc>
        <w:tc>
          <w:tcPr>
            <w:tcW w:w="1588" w:type="dxa"/>
            <w:vAlign w:val="center"/>
          </w:tcPr>
          <w:p w14:paraId="4546B971" w14:textId="22F0C3E0" w:rsidR="00DD6FBB" w:rsidRPr="00A55C9B" w:rsidRDefault="00DD6FBB" w:rsidP="00ED63E7">
            <w:pPr>
              <w:jc w:val="center"/>
            </w:pPr>
            <w:r w:rsidRPr="00DD6FBB">
              <w:t>132.0</w:t>
            </w:r>
          </w:p>
        </w:tc>
      </w:tr>
      <w:tr w:rsidR="00DD6FBB" w14:paraId="11B1B0F2" w14:textId="77777777" w:rsidTr="00AD05EB">
        <w:tc>
          <w:tcPr>
            <w:tcW w:w="1320" w:type="dxa"/>
            <w:tcBorders>
              <w:top w:val="nil"/>
            </w:tcBorders>
            <w:shd w:val="clear" w:color="auto" w:fill="365F91" w:themeFill="accent1" w:themeFillShade="BF"/>
          </w:tcPr>
          <w:p w14:paraId="5A343FDC" w14:textId="77777777" w:rsidR="00DD6FBB" w:rsidRPr="009132DA" w:rsidRDefault="00DD6FBB" w:rsidP="00ED63E7">
            <w:pPr>
              <w:jc w:val="center"/>
              <w:rPr>
                <w:b/>
                <w:color w:val="F2F2F2" w:themeColor="background1" w:themeShade="F2"/>
              </w:rPr>
            </w:pPr>
            <w:r w:rsidRPr="009132DA">
              <w:rPr>
                <w:b/>
                <w:color w:val="F2F2F2" w:themeColor="background1" w:themeShade="F2"/>
              </w:rPr>
              <w:t>% to</w:t>
            </w:r>
          </w:p>
          <w:p w14:paraId="2182BA63" w14:textId="77777777" w:rsidR="00DD6FBB" w:rsidRPr="009132DA" w:rsidRDefault="00DD6FBB" w:rsidP="00ED63E7">
            <w:pPr>
              <w:autoSpaceDE w:val="0"/>
              <w:autoSpaceDN w:val="0"/>
              <w:adjustRightInd w:val="0"/>
              <w:jc w:val="center"/>
              <w:rPr>
                <w:rFonts w:ascii="Candara" w:hAnsi="Candara"/>
                <w:color w:val="F2F2F2" w:themeColor="background1" w:themeShade="F2"/>
              </w:rPr>
            </w:pPr>
            <w:r w:rsidRPr="009132DA">
              <w:rPr>
                <w:b/>
                <w:color w:val="F2F2F2" w:themeColor="background1" w:themeShade="F2"/>
              </w:rPr>
              <w:t>Benchmark</w:t>
            </w:r>
          </w:p>
        </w:tc>
        <w:tc>
          <w:tcPr>
            <w:tcW w:w="1320" w:type="dxa"/>
            <w:vAlign w:val="center"/>
          </w:tcPr>
          <w:p w14:paraId="2F351BD1" w14:textId="3FE2687F" w:rsidR="00DD6FBB" w:rsidRPr="00DD6FBB" w:rsidRDefault="00DD6FBB" w:rsidP="00ED63E7">
            <w:pPr>
              <w:jc w:val="center"/>
            </w:pPr>
            <w:r w:rsidRPr="00DD6FBB">
              <w:rPr>
                <w:rFonts w:ascii="Calibri" w:eastAsia="Times New Roman" w:hAnsi="Calibri" w:cs="Times New Roman"/>
                <w:color w:val="000000"/>
                <w:lang w:eastAsia="en-AU"/>
              </w:rPr>
              <w:t>-11.2%</w:t>
            </w:r>
          </w:p>
        </w:tc>
        <w:tc>
          <w:tcPr>
            <w:tcW w:w="1320" w:type="dxa"/>
            <w:vAlign w:val="center"/>
          </w:tcPr>
          <w:p w14:paraId="2378EF14" w14:textId="17F5364A" w:rsidR="00DD6FBB" w:rsidRPr="00DD6FBB" w:rsidRDefault="00DD6FBB" w:rsidP="00ED63E7">
            <w:pPr>
              <w:jc w:val="center"/>
            </w:pPr>
            <w:r w:rsidRPr="00DD6FBB">
              <w:rPr>
                <w:rFonts w:ascii="Calibri" w:eastAsia="Times New Roman" w:hAnsi="Calibri" w:cs="Times New Roman"/>
                <w:color w:val="000000"/>
                <w:lang w:eastAsia="en-AU"/>
              </w:rPr>
              <w:t>0.1%</w:t>
            </w:r>
          </w:p>
        </w:tc>
        <w:tc>
          <w:tcPr>
            <w:tcW w:w="1320" w:type="dxa"/>
            <w:vAlign w:val="center"/>
          </w:tcPr>
          <w:p w14:paraId="7178970C" w14:textId="1ECF8FB2" w:rsidR="00DD6FBB" w:rsidRPr="00DD6FBB" w:rsidRDefault="00DD6FBB" w:rsidP="00ED63E7">
            <w:pPr>
              <w:jc w:val="center"/>
            </w:pPr>
            <w:r w:rsidRPr="00DD6FBB">
              <w:rPr>
                <w:rFonts w:ascii="Calibri" w:eastAsia="Times New Roman" w:hAnsi="Calibri" w:cs="Times New Roman"/>
                <w:color w:val="000000"/>
                <w:lang w:eastAsia="en-AU"/>
              </w:rPr>
              <w:t>19.3%</w:t>
            </w:r>
          </w:p>
        </w:tc>
        <w:tc>
          <w:tcPr>
            <w:tcW w:w="1320" w:type="dxa"/>
            <w:vAlign w:val="center"/>
          </w:tcPr>
          <w:p w14:paraId="3A479DD2" w14:textId="743223CF" w:rsidR="00DD6FBB" w:rsidRPr="00DD6FBB" w:rsidRDefault="00DD6FBB" w:rsidP="00ED63E7">
            <w:pPr>
              <w:jc w:val="center"/>
            </w:pPr>
            <w:r w:rsidRPr="00DD6FBB">
              <w:rPr>
                <w:rFonts w:ascii="Calibri" w:eastAsia="Times New Roman" w:hAnsi="Calibri" w:cs="Times New Roman"/>
                <w:color w:val="000000"/>
                <w:lang w:eastAsia="en-AU"/>
              </w:rPr>
              <w:t>-36.1%</w:t>
            </w:r>
          </w:p>
        </w:tc>
        <w:tc>
          <w:tcPr>
            <w:tcW w:w="1588" w:type="dxa"/>
            <w:vAlign w:val="center"/>
          </w:tcPr>
          <w:p w14:paraId="687E61DF" w14:textId="5E435637" w:rsidR="00DD6FBB" w:rsidRPr="00DD6FBB" w:rsidRDefault="00DD6FBB" w:rsidP="00ED63E7">
            <w:pPr>
              <w:jc w:val="center"/>
            </w:pPr>
            <w:r w:rsidRPr="00DD6FBB">
              <w:rPr>
                <w:rFonts w:ascii="Calibri" w:eastAsia="Times New Roman" w:hAnsi="Calibri" w:cs="Times New Roman"/>
                <w:color w:val="000000"/>
                <w:lang w:eastAsia="en-AU"/>
              </w:rPr>
              <w:t>6.3%</w:t>
            </w:r>
          </w:p>
        </w:tc>
      </w:tr>
    </w:tbl>
    <w:p w14:paraId="3852447E" w14:textId="77777777" w:rsidR="00DD6FBB" w:rsidRDefault="00DD6FBB" w:rsidP="00D27F61">
      <w:pPr>
        <w:autoSpaceDE w:val="0"/>
        <w:autoSpaceDN w:val="0"/>
        <w:adjustRightInd w:val="0"/>
        <w:spacing w:before="120" w:after="80"/>
        <w:rPr>
          <w:rFonts w:ascii="Candara" w:hAnsi="Candara"/>
        </w:rPr>
      </w:pPr>
    </w:p>
    <w:p w14:paraId="2752B2DA" w14:textId="32C8F80C" w:rsidR="00D27F61" w:rsidRPr="00954193" w:rsidRDefault="00D27F61" w:rsidP="00D27F61">
      <w:pPr>
        <w:rPr>
          <w:rFonts w:ascii="Candara" w:hAnsi="Candara"/>
        </w:rPr>
      </w:pPr>
      <w:r w:rsidRPr="00954193">
        <w:rPr>
          <w:rFonts w:ascii="Candara" w:hAnsi="Candara"/>
        </w:rPr>
        <w:t>The current scheme therefore does not deliver optimal fire risk reduction.</w:t>
      </w:r>
      <w:r>
        <w:rPr>
          <w:rStyle w:val="FootnoteReference"/>
          <w:rFonts w:ascii="Candara" w:hAnsi="Candara"/>
        </w:rPr>
        <w:footnoteReference w:id="15"/>
      </w:r>
      <w:r w:rsidRPr="00954193">
        <w:rPr>
          <w:rFonts w:ascii="Candara" w:hAnsi="Candara"/>
        </w:rPr>
        <w:t xml:space="preserve"> Distribution businesses are required to allocate capital across a vast network rather than target the areas of most significance. This carries an additional risk that distribution businesses may receive payments for reducing their overall level of ignitions (including winter ignitions in urban areas) in a year when their assets start fires in summer, leading to damaging bushfires.</w:t>
      </w:r>
      <w:r w:rsidR="00AC3C36">
        <w:rPr>
          <w:rStyle w:val="FootnoteReference"/>
          <w:rFonts w:ascii="Candara" w:hAnsi="Candara"/>
        </w:rPr>
        <w:footnoteReference w:id="16"/>
      </w:r>
      <w:r w:rsidRPr="00954193">
        <w:rPr>
          <w:rFonts w:ascii="Candara" w:hAnsi="Candara"/>
        </w:rPr>
        <w:t xml:space="preserve"> </w:t>
      </w:r>
    </w:p>
    <w:p w14:paraId="651021A3" w14:textId="7371DE02" w:rsidR="00D27F61" w:rsidRPr="00D27F61" w:rsidRDefault="00D27F61" w:rsidP="00D27F61">
      <w:pPr>
        <w:rPr>
          <w:rFonts w:ascii="Candara" w:hAnsi="Candara"/>
        </w:rPr>
      </w:pPr>
      <w:r w:rsidRPr="00D27F61">
        <w:rPr>
          <w:rFonts w:ascii="Candara" w:hAnsi="Candara"/>
        </w:rPr>
        <w:t xml:space="preserve">Treating all areas as equal is also inconsistent with the targeted asset deployment approach </w:t>
      </w:r>
      <w:r w:rsidR="00DD04FC">
        <w:rPr>
          <w:rFonts w:ascii="Candara" w:hAnsi="Candara"/>
        </w:rPr>
        <w:t>required by the Government towards the implementation of</w:t>
      </w:r>
      <w:r w:rsidRPr="00D27F61">
        <w:rPr>
          <w:rFonts w:ascii="Candara" w:hAnsi="Candara"/>
        </w:rPr>
        <w:t xml:space="preserve"> Recommendations 27 and 32 of the VBRC. Nor does this approach align with the asset deployment recommendations from the Powerline Bushfire Safety Taskforce (PBST) and the prioritised asset rollout of the </w:t>
      </w:r>
      <w:r w:rsidR="00DC5942">
        <w:rPr>
          <w:rFonts w:ascii="Candara" w:hAnsi="Candara"/>
        </w:rPr>
        <w:t>Powerline Bushfire Safety Program (</w:t>
      </w:r>
      <w:r w:rsidRPr="00D27F61">
        <w:rPr>
          <w:rFonts w:ascii="Candara" w:hAnsi="Candara"/>
        </w:rPr>
        <w:t>PBSP</w:t>
      </w:r>
      <w:r w:rsidR="00DC5942">
        <w:rPr>
          <w:rFonts w:ascii="Candara" w:hAnsi="Candara"/>
        </w:rPr>
        <w:t>)</w:t>
      </w:r>
      <w:r w:rsidRPr="00D27F61">
        <w:rPr>
          <w:rFonts w:ascii="Candara" w:hAnsi="Candara"/>
        </w:rPr>
        <w:t>, which specifies a higher safety standard for asset deployment and operation in heightened bushfire risk areas of the network.</w:t>
      </w:r>
      <w:r w:rsidR="00AE63C4" w:rsidRPr="00AE63C4">
        <w:rPr>
          <w:rStyle w:val="FootnoteReference"/>
          <w:rFonts w:ascii="Candara" w:hAnsi="Candara"/>
        </w:rPr>
        <w:t xml:space="preserve"> </w:t>
      </w:r>
      <w:r w:rsidR="00AE63C4">
        <w:rPr>
          <w:rStyle w:val="FootnoteReference"/>
          <w:rFonts w:ascii="Candara" w:hAnsi="Candara"/>
        </w:rPr>
        <w:footnoteReference w:id="17"/>
      </w:r>
      <w:r w:rsidRPr="00D27F61">
        <w:rPr>
          <w:rFonts w:ascii="Candara" w:hAnsi="Candara"/>
        </w:rPr>
        <w:t xml:space="preserve">  </w:t>
      </w:r>
    </w:p>
    <w:p w14:paraId="02EE87AC" w14:textId="132A1CB7" w:rsidR="000951BB" w:rsidRDefault="00DD04FC" w:rsidP="00163F5E">
      <w:pPr>
        <w:rPr>
          <w:rFonts w:ascii="Candara" w:hAnsi="Candara"/>
        </w:rPr>
      </w:pPr>
      <w:r>
        <w:rPr>
          <w:rFonts w:ascii="Candara" w:hAnsi="Candara"/>
        </w:rPr>
        <w:lastRenderedPageBreak/>
        <w:t>Accordingly</w:t>
      </w:r>
      <w:r w:rsidR="00DC5942">
        <w:rPr>
          <w:rFonts w:ascii="Candara" w:hAnsi="Candara"/>
        </w:rPr>
        <w:t xml:space="preserve">, </w:t>
      </w:r>
      <w:r>
        <w:rPr>
          <w:rFonts w:ascii="Candara" w:hAnsi="Candara"/>
        </w:rPr>
        <w:t xml:space="preserve">at best </w:t>
      </w:r>
      <w:r w:rsidR="00DC5942">
        <w:rPr>
          <w:rFonts w:ascii="Candara" w:hAnsi="Candara"/>
        </w:rPr>
        <w:t>t</w:t>
      </w:r>
      <w:r w:rsidR="00954193">
        <w:rPr>
          <w:rFonts w:ascii="Candara" w:hAnsi="Candara"/>
        </w:rPr>
        <w:t xml:space="preserve">he current </w:t>
      </w:r>
      <w:r w:rsidR="00DC5942">
        <w:rPr>
          <w:rFonts w:ascii="Candara" w:hAnsi="Candara"/>
        </w:rPr>
        <w:t xml:space="preserve">f-factor </w:t>
      </w:r>
      <w:r w:rsidR="00954193">
        <w:rPr>
          <w:rFonts w:ascii="Candara" w:hAnsi="Candara"/>
        </w:rPr>
        <w:t>scheme ha</w:t>
      </w:r>
      <w:r w:rsidR="00DC5942">
        <w:rPr>
          <w:rFonts w:ascii="Candara" w:hAnsi="Candara"/>
        </w:rPr>
        <w:t xml:space="preserve">s provided an output for </w:t>
      </w:r>
      <w:r w:rsidR="00AE63C4">
        <w:rPr>
          <w:rFonts w:ascii="Candara" w:hAnsi="Candara"/>
        </w:rPr>
        <w:t xml:space="preserve">a </w:t>
      </w:r>
      <w:r w:rsidR="00974DA2">
        <w:rPr>
          <w:rFonts w:ascii="Candara" w:hAnsi="Candara"/>
        </w:rPr>
        <w:t xml:space="preserve"> bushfire risk </w:t>
      </w:r>
      <w:r w:rsidR="00DC5942">
        <w:rPr>
          <w:rFonts w:ascii="Candara" w:hAnsi="Candara"/>
        </w:rPr>
        <w:t xml:space="preserve">proxy as </w:t>
      </w:r>
      <w:r w:rsidR="00954193">
        <w:rPr>
          <w:rFonts w:ascii="Candara" w:hAnsi="Candara"/>
        </w:rPr>
        <w:t xml:space="preserve">posed by </w:t>
      </w:r>
      <w:r w:rsidR="00AE63C4">
        <w:rPr>
          <w:rFonts w:ascii="Candara" w:hAnsi="Candara"/>
        </w:rPr>
        <w:t>all</w:t>
      </w:r>
      <w:r w:rsidR="00954193">
        <w:rPr>
          <w:rFonts w:ascii="Candara" w:hAnsi="Candara"/>
        </w:rPr>
        <w:t xml:space="preserve"> networks ignitions across the Victorian distribution </w:t>
      </w:r>
      <w:r w:rsidR="00AE63C4">
        <w:rPr>
          <w:rFonts w:ascii="Candara" w:hAnsi="Candara"/>
        </w:rPr>
        <w:t>businesses. The scheme has not provided a su</w:t>
      </w:r>
      <w:r>
        <w:rPr>
          <w:rFonts w:ascii="Candara" w:hAnsi="Candara"/>
        </w:rPr>
        <w:t>fficient incentive to influence</w:t>
      </w:r>
      <w:r w:rsidR="00954193">
        <w:rPr>
          <w:rFonts w:ascii="Candara" w:hAnsi="Candara"/>
        </w:rPr>
        <w:t>.</w:t>
      </w:r>
    </w:p>
    <w:p w14:paraId="3B234FCD" w14:textId="4ADC26F7" w:rsidR="000951BB" w:rsidRPr="000951BB" w:rsidRDefault="000951BB" w:rsidP="00BB41A4">
      <w:pPr>
        <w:pStyle w:val="Heading3"/>
        <w:numPr>
          <w:ilvl w:val="2"/>
          <w:numId w:val="36"/>
        </w:numPr>
      </w:pPr>
      <w:bookmarkStart w:id="18" w:name="_Toc458675174"/>
      <w:r w:rsidRPr="000951BB">
        <w:t xml:space="preserve">Failure to </w:t>
      </w:r>
      <w:r w:rsidR="001B4366">
        <w:t>Incentivise</w:t>
      </w:r>
      <w:r w:rsidRPr="000951BB">
        <w:t xml:space="preserve"> </w:t>
      </w:r>
      <w:r w:rsidR="001B4366">
        <w:t xml:space="preserve">Full </w:t>
      </w:r>
      <w:r w:rsidRPr="000951BB">
        <w:t>Benefits from Mandated Assets</w:t>
      </w:r>
      <w:bookmarkEnd w:id="18"/>
    </w:p>
    <w:p w14:paraId="38962D15" w14:textId="2B8215BA" w:rsidR="000951BB" w:rsidRPr="000951BB" w:rsidRDefault="000951BB" w:rsidP="000951BB">
      <w:pPr>
        <w:rPr>
          <w:rFonts w:ascii="Candara" w:hAnsi="Candara"/>
        </w:rPr>
      </w:pPr>
      <w:r w:rsidRPr="000951BB">
        <w:rPr>
          <w:rFonts w:ascii="Candara" w:hAnsi="Candara"/>
        </w:rPr>
        <w:t xml:space="preserve">The f-factor </w:t>
      </w:r>
      <w:r w:rsidR="00DC5BB4">
        <w:rPr>
          <w:rFonts w:ascii="Candara" w:hAnsi="Candara"/>
        </w:rPr>
        <w:t>provides</w:t>
      </w:r>
      <w:r w:rsidRPr="000951BB">
        <w:rPr>
          <w:rFonts w:ascii="Candara" w:hAnsi="Candara"/>
        </w:rPr>
        <w:t xml:space="preserve"> an opportunity to incentivise the distribution businesses to extract the full bushfire risk reduction benefit from enhanced network protection devices.  </w:t>
      </w:r>
    </w:p>
    <w:p w14:paraId="744C461C" w14:textId="5121E1C5" w:rsidR="000951BB" w:rsidRPr="00C629A3" w:rsidRDefault="00290C47" w:rsidP="000951BB">
      <w:pPr>
        <w:rPr>
          <w:rFonts w:ascii="Candara" w:hAnsi="Candara"/>
        </w:rPr>
      </w:pPr>
      <w:r>
        <w:rPr>
          <w:rFonts w:ascii="Candara" w:hAnsi="Candara"/>
        </w:rPr>
        <w:t>T</w:t>
      </w:r>
      <w:r w:rsidR="000951BB" w:rsidRPr="00C629A3">
        <w:rPr>
          <w:rFonts w:ascii="Candara" w:hAnsi="Candara"/>
        </w:rPr>
        <w:t xml:space="preserve">he </w:t>
      </w:r>
      <w:r w:rsidR="000951BB" w:rsidRPr="009C27EF">
        <w:rPr>
          <w:rFonts w:ascii="Candara" w:hAnsi="Candara"/>
        </w:rPr>
        <w:t xml:space="preserve">distribution businesses </w:t>
      </w:r>
      <w:r w:rsidR="000951BB" w:rsidRPr="00C629A3">
        <w:rPr>
          <w:rFonts w:ascii="Candara" w:hAnsi="Candara"/>
        </w:rPr>
        <w:t>have commenced a</w:t>
      </w:r>
      <w:r w:rsidR="000951BB">
        <w:rPr>
          <w:rFonts w:ascii="Candara" w:hAnsi="Candara"/>
        </w:rPr>
        <w:t xml:space="preserve"> significant</w:t>
      </w:r>
      <w:r w:rsidR="000951BB" w:rsidRPr="00C629A3">
        <w:rPr>
          <w:rFonts w:ascii="Candara" w:hAnsi="Candara"/>
        </w:rPr>
        <w:t xml:space="preserve"> program of asset deployment with a view to reducing bushfire risk</w:t>
      </w:r>
      <w:r w:rsidR="000951BB">
        <w:rPr>
          <w:rFonts w:ascii="Candara" w:hAnsi="Candara"/>
        </w:rPr>
        <w:t xml:space="preserve"> following the commencement of the </w:t>
      </w:r>
      <w:r w:rsidR="000951BB" w:rsidRPr="001F1B79">
        <w:rPr>
          <w:rFonts w:ascii="Candara" w:hAnsi="Candara"/>
          <w:i/>
        </w:rPr>
        <w:t xml:space="preserve">Electricity Safety (Bushfire Mitigation) </w:t>
      </w:r>
      <w:r>
        <w:rPr>
          <w:rFonts w:ascii="Candara" w:hAnsi="Candara"/>
          <w:i/>
        </w:rPr>
        <w:t xml:space="preserve">Amendment </w:t>
      </w:r>
      <w:r w:rsidR="000951BB" w:rsidRPr="001F1B79">
        <w:rPr>
          <w:rFonts w:ascii="Candara" w:hAnsi="Candara"/>
          <w:i/>
        </w:rPr>
        <w:t>Regulations 2016</w:t>
      </w:r>
      <w:r w:rsidR="000951BB" w:rsidRPr="00C629A3">
        <w:rPr>
          <w:rFonts w:ascii="Candara" w:hAnsi="Candara"/>
        </w:rPr>
        <w:t>. This asset deploym</w:t>
      </w:r>
      <w:r w:rsidR="00DD04FC">
        <w:rPr>
          <w:rFonts w:ascii="Candara" w:hAnsi="Candara"/>
        </w:rPr>
        <w:t xml:space="preserve">ent is expected to lead to an estimated over </w:t>
      </w:r>
      <w:r w:rsidR="000951BB">
        <w:rPr>
          <w:rFonts w:ascii="Candara" w:hAnsi="Candara"/>
        </w:rPr>
        <w:t>6</w:t>
      </w:r>
      <w:r w:rsidR="00DD04FC">
        <w:rPr>
          <w:rFonts w:ascii="Candara" w:hAnsi="Candara"/>
        </w:rPr>
        <w:t>0 </w:t>
      </w:r>
      <w:r w:rsidR="000951BB">
        <w:rPr>
          <w:rFonts w:ascii="Candara" w:hAnsi="Candara"/>
        </w:rPr>
        <w:t>per cent</w:t>
      </w:r>
      <w:r w:rsidR="000951BB" w:rsidRPr="00C629A3">
        <w:rPr>
          <w:rFonts w:ascii="Candara" w:hAnsi="Candara"/>
        </w:rPr>
        <w:t xml:space="preserve"> decrease in the risk posed to the public by bushfires started by powerlines</w:t>
      </w:r>
      <w:r w:rsidR="00C5595A">
        <w:rPr>
          <w:rFonts w:ascii="Candara" w:hAnsi="Candara"/>
        </w:rPr>
        <w:t>.</w:t>
      </w:r>
      <w:r w:rsidR="000951BB" w:rsidRPr="00C629A3">
        <w:rPr>
          <w:rStyle w:val="FootnoteReference"/>
          <w:rFonts w:ascii="Candara" w:hAnsi="Candara"/>
        </w:rPr>
        <w:footnoteReference w:id="18"/>
      </w:r>
    </w:p>
    <w:p w14:paraId="2D2A84F4" w14:textId="77777777" w:rsidR="000951BB" w:rsidRDefault="000951BB" w:rsidP="000951BB">
      <w:pPr>
        <w:rPr>
          <w:rFonts w:ascii="Candara" w:hAnsi="Candara"/>
        </w:rPr>
      </w:pPr>
      <w:r>
        <w:rPr>
          <w:rFonts w:ascii="Candara" w:hAnsi="Candara"/>
        </w:rPr>
        <w:t>B</w:t>
      </w:r>
      <w:r w:rsidRPr="00C629A3">
        <w:rPr>
          <w:rFonts w:ascii="Candara" w:hAnsi="Candara"/>
        </w:rPr>
        <w:t xml:space="preserve">roadly speaking </w:t>
      </w:r>
      <w:r>
        <w:rPr>
          <w:rFonts w:ascii="Candara" w:hAnsi="Candara"/>
        </w:rPr>
        <w:t xml:space="preserve">there are </w:t>
      </w:r>
      <w:r w:rsidRPr="00C629A3">
        <w:rPr>
          <w:rFonts w:ascii="Candara" w:hAnsi="Candara"/>
        </w:rPr>
        <w:t>two different classes of assets: those which require active operation to deliver benefits; and those which do not:</w:t>
      </w:r>
    </w:p>
    <w:p w14:paraId="7F5DC7E6" w14:textId="12E3888A" w:rsidR="00A857DD" w:rsidRPr="00A857DD" w:rsidRDefault="00A857DD" w:rsidP="00A857DD">
      <w:pPr>
        <w:autoSpaceDE w:val="0"/>
        <w:autoSpaceDN w:val="0"/>
        <w:adjustRightInd w:val="0"/>
        <w:spacing w:before="120" w:after="80"/>
        <w:rPr>
          <w:rFonts w:ascii="Candara" w:hAnsi="Candara" w:cs="Calibri"/>
          <w:sz w:val="21"/>
          <w:szCs w:val="21"/>
        </w:rPr>
      </w:pPr>
      <w:r>
        <w:rPr>
          <w:rStyle w:val="Heading6Char"/>
        </w:rPr>
        <w:t xml:space="preserve">Figure 1.5: Distribution network asset classes  </w:t>
      </w:r>
    </w:p>
    <w:tbl>
      <w:tblPr>
        <w:tblStyle w:val="TableGrid"/>
        <w:tblW w:w="0" w:type="auto"/>
        <w:tblInd w:w="1062" w:type="dxa"/>
        <w:tblLook w:val="04A0" w:firstRow="1" w:lastRow="0" w:firstColumn="1" w:lastColumn="0" w:noHBand="0" w:noVBand="1"/>
      </w:tblPr>
      <w:tblGrid>
        <w:gridCol w:w="4621"/>
        <w:gridCol w:w="2291"/>
      </w:tblGrid>
      <w:tr w:rsidR="000951BB" w:rsidRPr="00C629A3" w14:paraId="6B991D27" w14:textId="77777777" w:rsidTr="009132DA">
        <w:tc>
          <w:tcPr>
            <w:tcW w:w="4621" w:type="dxa"/>
            <w:shd w:val="clear" w:color="auto" w:fill="365F91" w:themeFill="accent1" w:themeFillShade="BF"/>
          </w:tcPr>
          <w:p w14:paraId="533B43F4" w14:textId="77777777" w:rsidR="000951BB" w:rsidRPr="009132DA" w:rsidRDefault="000951BB" w:rsidP="006F717D">
            <w:pPr>
              <w:keepNext/>
              <w:rPr>
                <w:rFonts w:ascii="Candara" w:hAnsi="Candara"/>
                <w:b/>
                <w:color w:val="F2F2F2" w:themeColor="background1" w:themeShade="F2"/>
              </w:rPr>
            </w:pPr>
            <w:r w:rsidRPr="009132DA">
              <w:rPr>
                <w:rFonts w:ascii="Candara" w:hAnsi="Candara"/>
                <w:b/>
                <w:color w:val="F2F2F2" w:themeColor="background1" w:themeShade="F2"/>
              </w:rPr>
              <w:t>Asset</w:t>
            </w:r>
          </w:p>
        </w:tc>
        <w:tc>
          <w:tcPr>
            <w:tcW w:w="2291" w:type="dxa"/>
            <w:shd w:val="clear" w:color="auto" w:fill="365F91" w:themeFill="accent1" w:themeFillShade="BF"/>
          </w:tcPr>
          <w:p w14:paraId="23AAD424" w14:textId="77777777" w:rsidR="000951BB" w:rsidRPr="009132DA" w:rsidRDefault="000951BB" w:rsidP="006F717D">
            <w:pPr>
              <w:keepNext/>
              <w:jc w:val="center"/>
              <w:rPr>
                <w:rFonts w:ascii="Candara" w:hAnsi="Candara"/>
                <w:b/>
                <w:color w:val="F2F2F2" w:themeColor="background1" w:themeShade="F2"/>
              </w:rPr>
            </w:pPr>
            <w:r w:rsidRPr="009132DA">
              <w:rPr>
                <w:rFonts w:ascii="Candara" w:hAnsi="Candara"/>
                <w:b/>
                <w:color w:val="F2F2F2" w:themeColor="background1" w:themeShade="F2"/>
              </w:rPr>
              <w:t>Active operation required to deliver benefit?</w:t>
            </w:r>
          </w:p>
        </w:tc>
      </w:tr>
      <w:tr w:rsidR="000951BB" w:rsidRPr="00C629A3" w14:paraId="59E63C12" w14:textId="77777777" w:rsidTr="009132DA">
        <w:tc>
          <w:tcPr>
            <w:tcW w:w="4621" w:type="dxa"/>
          </w:tcPr>
          <w:p w14:paraId="6C004439" w14:textId="77777777" w:rsidR="000951BB" w:rsidRPr="00C629A3" w:rsidRDefault="000951BB" w:rsidP="006F717D">
            <w:pPr>
              <w:keepNext/>
              <w:rPr>
                <w:rFonts w:ascii="Candara" w:hAnsi="Candara"/>
              </w:rPr>
            </w:pPr>
            <w:r w:rsidRPr="00C629A3">
              <w:rPr>
                <w:rFonts w:ascii="Candara" w:hAnsi="Candara"/>
              </w:rPr>
              <w:t>Automatic circuit reclosers (ACRs)</w:t>
            </w:r>
          </w:p>
        </w:tc>
        <w:tc>
          <w:tcPr>
            <w:tcW w:w="2291" w:type="dxa"/>
          </w:tcPr>
          <w:p w14:paraId="61461D7D" w14:textId="77777777" w:rsidR="000951BB" w:rsidRPr="00C629A3" w:rsidRDefault="000951BB" w:rsidP="006F717D">
            <w:pPr>
              <w:keepNext/>
              <w:jc w:val="center"/>
              <w:rPr>
                <w:rFonts w:ascii="Candara" w:hAnsi="Candara"/>
              </w:rPr>
            </w:pPr>
            <w:r w:rsidRPr="00C629A3">
              <w:rPr>
                <w:rFonts w:ascii="Candara" w:hAnsi="Candara"/>
              </w:rPr>
              <w:t>Yes</w:t>
            </w:r>
          </w:p>
        </w:tc>
      </w:tr>
      <w:tr w:rsidR="000951BB" w:rsidRPr="00C629A3" w14:paraId="6EB283A0" w14:textId="77777777" w:rsidTr="009132DA">
        <w:tc>
          <w:tcPr>
            <w:tcW w:w="4621" w:type="dxa"/>
          </w:tcPr>
          <w:p w14:paraId="709B5B73" w14:textId="77777777" w:rsidR="000951BB" w:rsidRPr="00C629A3" w:rsidRDefault="000951BB" w:rsidP="006F717D">
            <w:pPr>
              <w:keepNext/>
              <w:rPr>
                <w:rFonts w:ascii="Candara" w:hAnsi="Candara"/>
              </w:rPr>
            </w:pPr>
            <w:r w:rsidRPr="00C629A3">
              <w:rPr>
                <w:rFonts w:ascii="Candara" w:hAnsi="Candara"/>
              </w:rPr>
              <w:t>Rapid earth fault current limiters (REFCLs)</w:t>
            </w:r>
          </w:p>
        </w:tc>
        <w:tc>
          <w:tcPr>
            <w:tcW w:w="2291" w:type="dxa"/>
          </w:tcPr>
          <w:p w14:paraId="13102D9C" w14:textId="77777777" w:rsidR="000951BB" w:rsidRPr="00C629A3" w:rsidRDefault="000951BB" w:rsidP="006F717D">
            <w:pPr>
              <w:keepNext/>
              <w:jc w:val="center"/>
              <w:rPr>
                <w:rFonts w:ascii="Candara" w:hAnsi="Candara"/>
              </w:rPr>
            </w:pPr>
            <w:r w:rsidRPr="00C629A3">
              <w:rPr>
                <w:rFonts w:ascii="Candara" w:hAnsi="Candara"/>
              </w:rPr>
              <w:t>Yes</w:t>
            </w:r>
          </w:p>
        </w:tc>
      </w:tr>
      <w:tr w:rsidR="000951BB" w:rsidRPr="00C629A3" w14:paraId="00AF0A2D" w14:textId="77777777" w:rsidTr="009132DA">
        <w:tc>
          <w:tcPr>
            <w:tcW w:w="4621" w:type="dxa"/>
          </w:tcPr>
          <w:p w14:paraId="517075AE" w14:textId="77777777" w:rsidR="000951BB" w:rsidRPr="00C629A3" w:rsidRDefault="000951BB" w:rsidP="006F717D">
            <w:pPr>
              <w:keepNext/>
              <w:rPr>
                <w:rFonts w:ascii="Candara" w:hAnsi="Candara"/>
              </w:rPr>
            </w:pPr>
            <w:r w:rsidRPr="00C629A3">
              <w:rPr>
                <w:rFonts w:ascii="Candara" w:hAnsi="Candara"/>
              </w:rPr>
              <w:t>Covered conductor</w:t>
            </w:r>
          </w:p>
        </w:tc>
        <w:tc>
          <w:tcPr>
            <w:tcW w:w="2291" w:type="dxa"/>
          </w:tcPr>
          <w:p w14:paraId="625F64E8" w14:textId="77777777" w:rsidR="000951BB" w:rsidRPr="00C629A3" w:rsidRDefault="000951BB" w:rsidP="006F717D">
            <w:pPr>
              <w:keepNext/>
              <w:jc w:val="center"/>
              <w:rPr>
                <w:rFonts w:ascii="Candara" w:hAnsi="Candara"/>
              </w:rPr>
            </w:pPr>
            <w:r w:rsidRPr="00C629A3">
              <w:rPr>
                <w:rFonts w:ascii="Candara" w:hAnsi="Candara"/>
              </w:rPr>
              <w:t>No</w:t>
            </w:r>
          </w:p>
        </w:tc>
      </w:tr>
      <w:tr w:rsidR="000951BB" w:rsidRPr="00C629A3" w14:paraId="2CFDCAC2" w14:textId="77777777" w:rsidTr="009132DA">
        <w:tc>
          <w:tcPr>
            <w:tcW w:w="4621" w:type="dxa"/>
          </w:tcPr>
          <w:p w14:paraId="5626176B" w14:textId="77777777" w:rsidR="000951BB" w:rsidRPr="00C629A3" w:rsidRDefault="000951BB" w:rsidP="006F717D">
            <w:pPr>
              <w:keepNext/>
              <w:rPr>
                <w:rFonts w:ascii="Candara" w:hAnsi="Candara"/>
              </w:rPr>
            </w:pPr>
            <w:r w:rsidRPr="00C629A3">
              <w:rPr>
                <w:rFonts w:ascii="Candara" w:hAnsi="Candara"/>
              </w:rPr>
              <w:t>Underground conductor</w:t>
            </w:r>
          </w:p>
        </w:tc>
        <w:tc>
          <w:tcPr>
            <w:tcW w:w="2291" w:type="dxa"/>
          </w:tcPr>
          <w:p w14:paraId="0E5D511F" w14:textId="77777777" w:rsidR="000951BB" w:rsidRPr="00C629A3" w:rsidRDefault="000951BB" w:rsidP="006F717D">
            <w:pPr>
              <w:keepNext/>
              <w:jc w:val="center"/>
              <w:rPr>
                <w:rFonts w:ascii="Candara" w:hAnsi="Candara"/>
              </w:rPr>
            </w:pPr>
            <w:r w:rsidRPr="00C629A3">
              <w:rPr>
                <w:rFonts w:ascii="Candara" w:hAnsi="Candara"/>
              </w:rPr>
              <w:t>No</w:t>
            </w:r>
          </w:p>
        </w:tc>
      </w:tr>
      <w:tr w:rsidR="000951BB" w:rsidRPr="00C629A3" w14:paraId="2D5DBDE1" w14:textId="77777777" w:rsidTr="009132DA">
        <w:tc>
          <w:tcPr>
            <w:tcW w:w="4621" w:type="dxa"/>
          </w:tcPr>
          <w:p w14:paraId="1F584CAB" w14:textId="77777777" w:rsidR="000951BB" w:rsidRPr="00C629A3" w:rsidRDefault="000951BB" w:rsidP="006F717D">
            <w:pPr>
              <w:keepNext/>
              <w:rPr>
                <w:rFonts w:ascii="Candara" w:hAnsi="Candara"/>
              </w:rPr>
            </w:pPr>
            <w:r w:rsidRPr="00C629A3">
              <w:rPr>
                <w:rFonts w:ascii="Candara" w:hAnsi="Candara"/>
              </w:rPr>
              <w:t>Vibration dampers</w:t>
            </w:r>
          </w:p>
        </w:tc>
        <w:tc>
          <w:tcPr>
            <w:tcW w:w="2291" w:type="dxa"/>
          </w:tcPr>
          <w:p w14:paraId="19820DF2" w14:textId="77777777" w:rsidR="000951BB" w:rsidRPr="00C629A3" w:rsidRDefault="000951BB" w:rsidP="006F717D">
            <w:pPr>
              <w:keepNext/>
              <w:jc w:val="center"/>
              <w:rPr>
                <w:rFonts w:ascii="Candara" w:hAnsi="Candara"/>
              </w:rPr>
            </w:pPr>
            <w:r w:rsidRPr="00C629A3">
              <w:rPr>
                <w:rFonts w:ascii="Candara" w:hAnsi="Candara"/>
              </w:rPr>
              <w:t>No</w:t>
            </w:r>
          </w:p>
        </w:tc>
      </w:tr>
      <w:tr w:rsidR="000951BB" w:rsidRPr="00C629A3" w14:paraId="4EE4320D" w14:textId="77777777" w:rsidTr="009132DA">
        <w:tc>
          <w:tcPr>
            <w:tcW w:w="4621" w:type="dxa"/>
          </w:tcPr>
          <w:p w14:paraId="004A26BA" w14:textId="77777777" w:rsidR="000951BB" w:rsidRPr="00C629A3" w:rsidRDefault="000951BB" w:rsidP="006F717D">
            <w:pPr>
              <w:keepNext/>
              <w:rPr>
                <w:rFonts w:ascii="Candara" w:hAnsi="Candara"/>
              </w:rPr>
            </w:pPr>
            <w:r w:rsidRPr="00C629A3">
              <w:rPr>
                <w:rFonts w:ascii="Candara" w:hAnsi="Candara"/>
              </w:rPr>
              <w:t>Spreaders (armour rods)</w:t>
            </w:r>
          </w:p>
        </w:tc>
        <w:tc>
          <w:tcPr>
            <w:tcW w:w="2291" w:type="dxa"/>
          </w:tcPr>
          <w:p w14:paraId="37BC53B6" w14:textId="77777777" w:rsidR="000951BB" w:rsidRPr="00C629A3" w:rsidRDefault="000951BB" w:rsidP="006F717D">
            <w:pPr>
              <w:keepNext/>
              <w:jc w:val="center"/>
              <w:rPr>
                <w:rFonts w:ascii="Candara" w:hAnsi="Candara"/>
              </w:rPr>
            </w:pPr>
            <w:r w:rsidRPr="00C629A3">
              <w:rPr>
                <w:rFonts w:ascii="Candara" w:hAnsi="Candara"/>
              </w:rPr>
              <w:t>No</w:t>
            </w:r>
          </w:p>
        </w:tc>
      </w:tr>
    </w:tbl>
    <w:p w14:paraId="23610925" w14:textId="39603D6E" w:rsidR="000951BB" w:rsidRPr="00C629A3" w:rsidRDefault="000951BB" w:rsidP="000951BB">
      <w:pPr>
        <w:rPr>
          <w:rFonts w:ascii="Candara" w:hAnsi="Candara"/>
        </w:rPr>
      </w:pPr>
    </w:p>
    <w:p w14:paraId="5CA8A3E9" w14:textId="77777777" w:rsidR="000951BB" w:rsidRPr="00C629A3" w:rsidRDefault="000951BB" w:rsidP="000951BB">
      <w:pPr>
        <w:rPr>
          <w:rFonts w:ascii="Candara" w:hAnsi="Candara"/>
        </w:rPr>
      </w:pPr>
      <w:r w:rsidRPr="00C629A3">
        <w:rPr>
          <w:rFonts w:ascii="Candara" w:hAnsi="Candara"/>
        </w:rPr>
        <w:t xml:space="preserve">Consequently, while </w:t>
      </w:r>
      <w:r w:rsidRPr="009C27EF">
        <w:rPr>
          <w:rFonts w:ascii="Candara" w:hAnsi="Candara"/>
        </w:rPr>
        <w:t xml:space="preserve">distribution businesses </w:t>
      </w:r>
      <w:r w:rsidRPr="00C629A3">
        <w:rPr>
          <w:rFonts w:ascii="Candara" w:hAnsi="Candara"/>
        </w:rPr>
        <w:t xml:space="preserve">face an obligation to install the above assets, they do not have an obligation to operate them to maximise bushfire risk reduction. </w:t>
      </w:r>
    </w:p>
    <w:p w14:paraId="4CA508D2" w14:textId="77777777" w:rsidR="000951BB" w:rsidRDefault="000951BB" w:rsidP="000951BB">
      <w:pPr>
        <w:rPr>
          <w:rFonts w:ascii="Candara" w:hAnsi="Candara"/>
        </w:rPr>
      </w:pPr>
      <w:r w:rsidRPr="00C629A3">
        <w:rPr>
          <w:rFonts w:ascii="Candara" w:hAnsi="Candara"/>
        </w:rPr>
        <w:lastRenderedPageBreak/>
        <w:t xml:space="preserve">One may assume that a </w:t>
      </w:r>
      <w:r>
        <w:rPr>
          <w:rFonts w:ascii="Candara" w:hAnsi="Candara"/>
        </w:rPr>
        <w:t xml:space="preserve">distribution </w:t>
      </w:r>
      <w:r w:rsidRPr="00C629A3">
        <w:rPr>
          <w:rFonts w:ascii="Candara" w:hAnsi="Candara"/>
        </w:rPr>
        <w:t>business will cho</w:t>
      </w:r>
      <w:r>
        <w:rPr>
          <w:rFonts w:ascii="Candara" w:hAnsi="Candara"/>
        </w:rPr>
        <w:t>o</w:t>
      </w:r>
      <w:r w:rsidRPr="00C629A3">
        <w:rPr>
          <w:rFonts w:ascii="Candara" w:hAnsi="Candara"/>
        </w:rPr>
        <w:t xml:space="preserve">se to operate an asset it already has so as to optimise potential safety benefits. However there are countervailing incentives a business faces: the first being to minimise operational costs; the second to minimise supply disruptions. Achieving higher reliability can, in some circumstances, come at the expense of safety. In addition, as noted </w:t>
      </w:r>
      <w:r>
        <w:rPr>
          <w:rFonts w:ascii="Candara" w:hAnsi="Candara"/>
        </w:rPr>
        <w:t xml:space="preserve">in </w:t>
      </w:r>
      <w:r w:rsidRPr="00EB2CA2">
        <w:rPr>
          <w:rFonts w:ascii="Candara" w:hAnsi="Candara"/>
          <w:b/>
        </w:rPr>
        <w:t>Appendix 1</w:t>
      </w:r>
      <w:r w:rsidRPr="00C629A3">
        <w:rPr>
          <w:rFonts w:ascii="Candara" w:hAnsi="Candara"/>
        </w:rPr>
        <w:t>, STPIS can potentially con</w:t>
      </w:r>
      <w:r>
        <w:rPr>
          <w:rFonts w:ascii="Candara" w:hAnsi="Candara"/>
        </w:rPr>
        <w:t>sume up to 5 per cent</w:t>
      </w:r>
      <w:r w:rsidRPr="00C629A3">
        <w:rPr>
          <w:rFonts w:ascii="Candara" w:hAnsi="Candara"/>
        </w:rPr>
        <w:t xml:space="preserve"> of a businesses’ annual revenue, making this incentive scheme non-trivial in dictating how </w:t>
      </w:r>
      <w:r>
        <w:rPr>
          <w:rFonts w:ascii="Candara" w:hAnsi="Candara"/>
        </w:rPr>
        <w:t xml:space="preserve">distribution </w:t>
      </w:r>
      <w:r w:rsidRPr="00F52CAA">
        <w:rPr>
          <w:rFonts w:ascii="Candara" w:hAnsi="Candara"/>
        </w:rPr>
        <w:t xml:space="preserve">businesses </w:t>
      </w:r>
      <w:r w:rsidRPr="00C629A3">
        <w:rPr>
          <w:rFonts w:ascii="Candara" w:hAnsi="Candara"/>
        </w:rPr>
        <w:t xml:space="preserve">allocate scarce resources. </w:t>
      </w:r>
    </w:p>
    <w:p w14:paraId="2C38BEE3" w14:textId="7B693A8B" w:rsidR="007F0EB3" w:rsidRDefault="007F0EB3" w:rsidP="007F0EB3">
      <w:pPr>
        <w:autoSpaceDE w:val="0"/>
        <w:autoSpaceDN w:val="0"/>
        <w:adjustRightInd w:val="0"/>
        <w:spacing w:before="120" w:after="80"/>
        <w:rPr>
          <w:rFonts w:ascii="Candara" w:hAnsi="Candara"/>
        </w:rPr>
      </w:pPr>
      <w:r w:rsidRPr="001447CE">
        <w:rPr>
          <w:rFonts w:ascii="Candara" w:hAnsi="Candara"/>
        </w:rPr>
        <w:t xml:space="preserve">The current </w:t>
      </w:r>
      <w:r>
        <w:rPr>
          <w:rFonts w:ascii="Candara" w:hAnsi="Candara"/>
        </w:rPr>
        <w:t xml:space="preserve">f-factor scheme </w:t>
      </w:r>
      <w:r w:rsidRPr="001447CE">
        <w:rPr>
          <w:rFonts w:ascii="Candara" w:hAnsi="Candara"/>
        </w:rPr>
        <w:t xml:space="preserve">supplies </w:t>
      </w:r>
      <w:r w:rsidR="00DC5BB4">
        <w:rPr>
          <w:rFonts w:ascii="Candara" w:hAnsi="Candara"/>
        </w:rPr>
        <w:t>little</w:t>
      </w:r>
      <w:r w:rsidRPr="001447CE">
        <w:rPr>
          <w:rFonts w:ascii="Candara" w:hAnsi="Candara"/>
        </w:rPr>
        <w:t xml:space="preserve"> incentive </w:t>
      </w:r>
      <w:r w:rsidR="00DC5BB4">
        <w:rPr>
          <w:rFonts w:ascii="Candara" w:hAnsi="Candara"/>
        </w:rPr>
        <w:t>for</w:t>
      </w:r>
      <w:r w:rsidRPr="001447CE">
        <w:rPr>
          <w:rFonts w:ascii="Candara" w:hAnsi="Candara"/>
        </w:rPr>
        <w:t xml:space="preserve"> distribution businesses to optimise and drive full benefit from the </w:t>
      </w:r>
      <w:r>
        <w:rPr>
          <w:rFonts w:ascii="Candara" w:hAnsi="Candara"/>
        </w:rPr>
        <w:t xml:space="preserve">mandated </w:t>
      </w:r>
      <w:r w:rsidRPr="001447CE">
        <w:rPr>
          <w:rFonts w:ascii="Candara" w:hAnsi="Candara"/>
        </w:rPr>
        <w:t>enhanced network protection technologies</w:t>
      </w:r>
      <w:r>
        <w:rPr>
          <w:rFonts w:ascii="Candara" w:hAnsi="Candara"/>
        </w:rPr>
        <w:t xml:space="preserve"> funded by Victorian consumers </w:t>
      </w:r>
      <w:r w:rsidRPr="001447CE">
        <w:rPr>
          <w:rFonts w:ascii="Candara" w:hAnsi="Candara"/>
        </w:rPr>
        <w:t xml:space="preserve">to reduce bushfire risk. Fires in these high </w:t>
      </w:r>
      <w:r w:rsidR="00B424DE">
        <w:rPr>
          <w:rFonts w:ascii="Candara" w:hAnsi="Candara"/>
        </w:rPr>
        <w:t>risk</w:t>
      </w:r>
      <w:r w:rsidRPr="001447CE">
        <w:rPr>
          <w:rFonts w:ascii="Candara" w:hAnsi="Candara"/>
        </w:rPr>
        <w:t xml:space="preserve"> areas will impose no greater penalty than those started in </w:t>
      </w:r>
      <w:r w:rsidR="00B424DE">
        <w:rPr>
          <w:rFonts w:ascii="Candara" w:hAnsi="Candara"/>
        </w:rPr>
        <w:t>low bushfire risk</w:t>
      </w:r>
      <w:r w:rsidRPr="001447CE">
        <w:rPr>
          <w:rFonts w:ascii="Candara" w:hAnsi="Candara"/>
        </w:rPr>
        <w:t xml:space="preserve"> areas. Arguably, this will distort the risk assessment businesses may make around when they choose to operate these devices and with what degree of sensitivity of network fault detection and suppression capability. This outcome would work against the full benefits realisation of installing these devices on the 22 kV network they are intended to protect.</w:t>
      </w:r>
      <w:r w:rsidR="00DC5BB4">
        <w:rPr>
          <w:rStyle w:val="FootnoteReference"/>
          <w:rFonts w:ascii="Candara" w:hAnsi="Candara"/>
        </w:rPr>
        <w:footnoteReference w:id="19"/>
      </w:r>
      <w:r w:rsidRPr="001447CE">
        <w:rPr>
          <w:rFonts w:ascii="Candara" w:hAnsi="Candara"/>
        </w:rPr>
        <w:t xml:space="preserve"> This is not intended to advocate a prescriptive optimal operation of assets, which regulators are often in a poor position to do, but to highlight a lack of proper incentive to businesses under the current scheme to use these assets for the maximum safety benefit for Victorians.</w:t>
      </w:r>
      <w:r w:rsidRPr="001447CE">
        <w:rPr>
          <w:rFonts w:ascii="Candara" w:hAnsi="Candara"/>
          <w:vertAlign w:val="superscript"/>
        </w:rPr>
        <w:footnoteReference w:id="20"/>
      </w:r>
      <w:r>
        <w:rPr>
          <w:rFonts w:ascii="Candara" w:hAnsi="Candara"/>
        </w:rPr>
        <w:t xml:space="preserve"> </w:t>
      </w:r>
    </w:p>
    <w:p w14:paraId="1A3D1D7A" w14:textId="12B4C2CA" w:rsidR="007F0EB3" w:rsidRDefault="007F0EB3" w:rsidP="00BB41A4">
      <w:pPr>
        <w:pStyle w:val="Heading3"/>
        <w:numPr>
          <w:ilvl w:val="2"/>
          <w:numId w:val="36"/>
        </w:numPr>
      </w:pPr>
      <w:bookmarkStart w:id="19" w:name="_Toc458675175"/>
      <w:r>
        <w:t>Windfall gains from operation of enhanced network protection devices</w:t>
      </w:r>
      <w:bookmarkEnd w:id="19"/>
    </w:p>
    <w:p w14:paraId="4CCCF1C9" w14:textId="1181A404" w:rsidR="000951BB" w:rsidRPr="00C629A3" w:rsidRDefault="007F0EB3" w:rsidP="000951BB">
      <w:pPr>
        <w:rPr>
          <w:rFonts w:ascii="Candara" w:hAnsi="Candara"/>
        </w:rPr>
      </w:pPr>
      <w:r>
        <w:rPr>
          <w:rFonts w:ascii="Candara" w:hAnsi="Candara"/>
        </w:rPr>
        <w:t>T</w:t>
      </w:r>
      <w:r w:rsidR="005525C1">
        <w:rPr>
          <w:rFonts w:ascii="Candara" w:hAnsi="Candara"/>
        </w:rPr>
        <w:t>he benchmark under the current scheme</w:t>
      </w:r>
      <w:r w:rsidR="000951BB">
        <w:rPr>
          <w:rFonts w:ascii="Candara" w:hAnsi="Candara"/>
        </w:rPr>
        <w:t xml:space="preserve"> </w:t>
      </w:r>
      <w:r w:rsidR="000D0734">
        <w:rPr>
          <w:rFonts w:ascii="Candara" w:hAnsi="Candara"/>
        </w:rPr>
        <w:t xml:space="preserve">design </w:t>
      </w:r>
      <w:r w:rsidR="000951BB">
        <w:rPr>
          <w:rFonts w:ascii="Candara" w:hAnsi="Candara"/>
        </w:rPr>
        <w:t xml:space="preserve">places </w:t>
      </w:r>
      <w:r w:rsidR="005525C1">
        <w:rPr>
          <w:rFonts w:ascii="Candara" w:hAnsi="Candara"/>
        </w:rPr>
        <w:t xml:space="preserve">the consumer in the position of paying twice for the benefits of </w:t>
      </w:r>
      <w:r w:rsidR="000D0734">
        <w:rPr>
          <w:rFonts w:ascii="Candara" w:hAnsi="Candara"/>
        </w:rPr>
        <w:t xml:space="preserve">new </w:t>
      </w:r>
      <w:r w:rsidR="005525C1">
        <w:rPr>
          <w:rFonts w:ascii="Candara" w:hAnsi="Candara"/>
        </w:rPr>
        <w:t>enhanced network protection technology</w:t>
      </w:r>
      <w:r w:rsidR="000D0734">
        <w:rPr>
          <w:rFonts w:ascii="Candara" w:hAnsi="Candara"/>
        </w:rPr>
        <w:t>,</w:t>
      </w:r>
      <w:r w:rsidR="0042416E">
        <w:rPr>
          <w:rFonts w:ascii="Candara" w:hAnsi="Candara"/>
        </w:rPr>
        <w:t xml:space="preserve"> as it is not adjusted to take account of the deployment and operation of this technology</w:t>
      </w:r>
      <w:r w:rsidR="005525C1">
        <w:rPr>
          <w:rFonts w:ascii="Candara" w:hAnsi="Candara"/>
        </w:rPr>
        <w:t xml:space="preserve">. </w:t>
      </w:r>
      <w:r w:rsidR="00C5595A">
        <w:rPr>
          <w:rFonts w:ascii="Candara" w:hAnsi="Candara"/>
        </w:rPr>
        <w:t>If the benchmarks are left unchanged, c</w:t>
      </w:r>
      <w:r w:rsidR="0042416E">
        <w:rPr>
          <w:rFonts w:ascii="Candara" w:hAnsi="Candara"/>
        </w:rPr>
        <w:t xml:space="preserve">onsumers </w:t>
      </w:r>
      <w:r w:rsidR="00C5595A">
        <w:rPr>
          <w:rFonts w:ascii="Candara" w:hAnsi="Candara"/>
        </w:rPr>
        <w:t xml:space="preserve">will </w:t>
      </w:r>
      <w:r w:rsidR="0042416E">
        <w:rPr>
          <w:rFonts w:ascii="Candara" w:hAnsi="Candara"/>
        </w:rPr>
        <w:t>pay o</w:t>
      </w:r>
      <w:r w:rsidR="005525C1">
        <w:rPr>
          <w:rFonts w:ascii="Candara" w:hAnsi="Candara"/>
        </w:rPr>
        <w:t xml:space="preserve">nce to install the devices, and </w:t>
      </w:r>
      <w:r w:rsidR="009C2077">
        <w:rPr>
          <w:rFonts w:ascii="Candara" w:hAnsi="Candara"/>
        </w:rPr>
        <w:t xml:space="preserve">again </w:t>
      </w:r>
      <w:r w:rsidR="00C5595A">
        <w:rPr>
          <w:rFonts w:ascii="Candara" w:hAnsi="Candara"/>
        </w:rPr>
        <w:t>when</w:t>
      </w:r>
      <w:r w:rsidR="009C2077">
        <w:rPr>
          <w:rFonts w:ascii="Candara" w:hAnsi="Candara"/>
        </w:rPr>
        <w:t xml:space="preserve"> ignitions</w:t>
      </w:r>
      <w:r w:rsidR="005525C1">
        <w:rPr>
          <w:rFonts w:ascii="Candara" w:hAnsi="Candara"/>
        </w:rPr>
        <w:t xml:space="preserve"> </w:t>
      </w:r>
      <w:r w:rsidR="00C5595A">
        <w:rPr>
          <w:rFonts w:ascii="Candara" w:hAnsi="Candara"/>
        </w:rPr>
        <w:t>are reduced</w:t>
      </w:r>
      <w:r w:rsidR="009C2077">
        <w:rPr>
          <w:rFonts w:ascii="Candara" w:hAnsi="Candara"/>
        </w:rPr>
        <w:t xml:space="preserve"> as a result of device</w:t>
      </w:r>
      <w:r w:rsidR="00C5595A">
        <w:rPr>
          <w:rFonts w:ascii="Candara" w:hAnsi="Candara"/>
        </w:rPr>
        <w:t xml:space="preserve"> operation</w:t>
      </w:r>
      <w:r w:rsidR="009C2077">
        <w:rPr>
          <w:rFonts w:ascii="Candara" w:hAnsi="Candara"/>
        </w:rPr>
        <w:t xml:space="preserve">. </w:t>
      </w:r>
    </w:p>
    <w:p w14:paraId="7F290D12" w14:textId="64D2E11C" w:rsidR="008E3F10" w:rsidRDefault="00C5595A" w:rsidP="00BB41A4">
      <w:pPr>
        <w:pStyle w:val="Heading3"/>
        <w:numPr>
          <w:ilvl w:val="2"/>
          <w:numId w:val="36"/>
        </w:numPr>
      </w:pPr>
      <w:bookmarkStart w:id="20" w:name="_Toc458675176"/>
      <w:r>
        <w:t>Summary</w:t>
      </w:r>
      <w:bookmarkEnd w:id="20"/>
    </w:p>
    <w:p w14:paraId="3E752897" w14:textId="33B061FE" w:rsidR="00D27F61" w:rsidRDefault="00D27F61" w:rsidP="004D2D0C">
      <w:pPr>
        <w:autoSpaceDE w:val="0"/>
        <w:autoSpaceDN w:val="0"/>
        <w:adjustRightInd w:val="0"/>
        <w:spacing w:before="120" w:after="80"/>
        <w:rPr>
          <w:rFonts w:ascii="Candara" w:hAnsi="Candara"/>
        </w:rPr>
      </w:pPr>
      <w:r>
        <w:rPr>
          <w:rFonts w:ascii="Candara" w:hAnsi="Candara"/>
        </w:rPr>
        <w:t xml:space="preserve">By revising the f-factor, it is expected that the weak incentive to reduce network ignitions </w:t>
      </w:r>
      <w:r w:rsidR="00C5595A">
        <w:rPr>
          <w:rFonts w:ascii="Candara" w:hAnsi="Candara"/>
        </w:rPr>
        <w:t xml:space="preserve">provided </w:t>
      </w:r>
      <w:r w:rsidR="00A13F96">
        <w:rPr>
          <w:rFonts w:ascii="Candara" w:hAnsi="Candara"/>
        </w:rPr>
        <w:t>by the current scheme will be  improved. A</w:t>
      </w:r>
      <w:r>
        <w:rPr>
          <w:rFonts w:ascii="Candara" w:hAnsi="Candara"/>
        </w:rPr>
        <w:t xml:space="preserve"> more efficient and targeted risk reduction incentive </w:t>
      </w:r>
      <w:r w:rsidR="000D0734">
        <w:rPr>
          <w:rFonts w:ascii="Candara" w:hAnsi="Candara"/>
        </w:rPr>
        <w:t>should incentivise investment and operational improvements to the riskiest areas of the state. A benchmark which reflects ignitions reductions from</w:t>
      </w:r>
      <w:r>
        <w:rPr>
          <w:rFonts w:ascii="Candara" w:hAnsi="Candara"/>
        </w:rPr>
        <w:t xml:space="preserve"> the introduction and operation of enhanced network fault suppression technologies. Fixing these problems will not eliminate fire starts or mandate the use of new protection technologies or strengthen other regulatory safety obligations placed on distribution business. However, a strengthened f-factor will go some way to improving the effectiveness of the broader safety regulatory framework by incentivising a more efficient ignition risk re</w:t>
      </w:r>
      <w:r w:rsidR="00A13F96">
        <w:rPr>
          <w:rFonts w:ascii="Candara" w:hAnsi="Candara"/>
        </w:rPr>
        <w:t xml:space="preserve">duction from the businesses.  </w:t>
      </w:r>
    </w:p>
    <w:p w14:paraId="5B64846A" w14:textId="77777777" w:rsidR="00F96F10" w:rsidRPr="00113DF9" w:rsidRDefault="000E4E1E" w:rsidP="00113DF9">
      <w:pPr>
        <w:pStyle w:val="Heading1"/>
        <w:numPr>
          <w:ilvl w:val="0"/>
          <w:numId w:val="26"/>
        </w:numPr>
        <w:rPr>
          <w:sz w:val="24"/>
          <w:szCs w:val="24"/>
        </w:rPr>
      </w:pPr>
      <w:bookmarkStart w:id="21" w:name="_Toc458675177"/>
      <w:r w:rsidRPr="00113DF9">
        <w:rPr>
          <w:sz w:val="24"/>
          <w:szCs w:val="24"/>
        </w:rPr>
        <w:lastRenderedPageBreak/>
        <w:t>Objective</w:t>
      </w:r>
      <w:bookmarkEnd w:id="21"/>
    </w:p>
    <w:p w14:paraId="3A38B3CB" w14:textId="3010894A" w:rsidR="005B64A2" w:rsidRPr="00C629A3" w:rsidRDefault="005B64A2" w:rsidP="00447EFE">
      <w:pPr>
        <w:rPr>
          <w:rFonts w:ascii="Candara" w:hAnsi="Candara"/>
        </w:rPr>
      </w:pPr>
      <w:r w:rsidRPr="00C629A3">
        <w:rPr>
          <w:rFonts w:ascii="Candara" w:hAnsi="Candara"/>
        </w:rPr>
        <w:t xml:space="preserve">The objective of the </w:t>
      </w:r>
      <w:r w:rsidR="00BE035D">
        <w:rPr>
          <w:rFonts w:ascii="Candara" w:hAnsi="Candara"/>
        </w:rPr>
        <w:t xml:space="preserve">revised </w:t>
      </w:r>
      <w:r w:rsidRPr="00C629A3">
        <w:rPr>
          <w:rFonts w:ascii="Candara" w:hAnsi="Candara"/>
        </w:rPr>
        <w:t xml:space="preserve">f-factor is to </w:t>
      </w:r>
      <w:r w:rsidR="00BE035D">
        <w:rPr>
          <w:rFonts w:ascii="Candara" w:hAnsi="Candara"/>
        </w:rPr>
        <w:t>drive a targeted reduction in those electricity network ign</w:t>
      </w:r>
      <w:r w:rsidR="00640DE5">
        <w:rPr>
          <w:rFonts w:ascii="Candara" w:hAnsi="Candara"/>
        </w:rPr>
        <w:t xml:space="preserve">itions that are most likely to </w:t>
      </w:r>
      <w:r w:rsidR="00BE035D">
        <w:rPr>
          <w:rFonts w:ascii="Candara" w:hAnsi="Candara"/>
        </w:rPr>
        <w:t>result in harm to</w:t>
      </w:r>
      <w:r w:rsidRPr="00C629A3">
        <w:rPr>
          <w:rFonts w:ascii="Candara" w:hAnsi="Candara"/>
        </w:rPr>
        <w:t xml:space="preserve"> human life and prop</w:t>
      </w:r>
      <w:r w:rsidR="00BE035D">
        <w:rPr>
          <w:rFonts w:ascii="Candara" w:hAnsi="Candara"/>
        </w:rPr>
        <w:t xml:space="preserve">erty. It is to incentivise </w:t>
      </w:r>
      <w:r w:rsidR="00020F7F">
        <w:rPr>
          <w:rFonts w:ascii="Candara" w:hAnsi="Candara"/>
        </w:rPr>
        <w:t xml:space="preserve">action that will achieve </w:t>
      </w:r>
      <w:r w:rsidR="00BE035D">
        <w:rPr>
          <w:rFonts w:ascii="Candara" w:hAnsi="Candara"/>
        </w:rPr>
        <w:t xml:space="preserve">the most efficient </w:t>
      </w:r>
      <w:r w:rsidR="00020F7F">
        <w:rPr>
          <w:rFonts w:ascii="Candara" w:hAnsi="Candara"/>
        </w:rPr>
        <w:t xml:space="preserve">and significant </w:t>
      </w:r>
      <w:r w:rsidR="00BE035D">
        <w:rPr>
          <w:rFonts w:ascii="Candara" w:hAnsi="Candara"/>
        </w:rPr>
        <w:t>reduction</w:t>
      </w:r>
      <w:r w:rsidRPr="00C629A3">
        <w:rPr>
          <w:rFonts w:ascii="Candara" w:hAnsi="Candara"/>
        </w:rPr>
        <w:t xml:space="preserve"> </w:t>
      </w:r>
      <w:r w:rsidR="00020F7F">
        <w:rPr>
          <w:rFonts w:ascii="Candara" w:hAnsi="Candara"/>
        </w:rPr>
        <w:t xml:space="preserve">in bushfire risk </w:t>
      </w:r>
      <w:r w:rsidRPr="00C629A3">
        <w:rPr>
          <w:rFonts w:ascii="Candara" w:hAnsi="Candara"/>
        </w:rPr>
        <w:t>without imposing further costs on consumers.</w:t>
      </w:r>
      <w:r w:rsidR="00020F7F">
        <w:rPr>
          <w:rFonts w:ascii="Candara" w:hAnsi="Candara"/>
        </w:rPr>
        <w:t xml:space="preserve"> </w:t>
      </w:r>
      <w:r w:rsidR="00F43640" w:rsidRPr="00C629A3">
        <w:rPr>
          <w:rFonts w:ascii="Candara" w:hAnsi="Candara"/>
        </w:rPr>
        <w:t xml:space="preserve"> </w:t>
      </w:r>
    </w:p>
    <w:p w14:paraId="07A32F82" w14:textId="6331FADE" w:rsidR="005A2E86" w:rsidRDefault="005A2E86" w:rsidP="00447EFE">
      <w:pPr>
        <w:rPr>
          <w:rFonts w:ascii="Candara" w:hAnsi="Candara"/>
        </w:rPr>
      </w:pPr>
      <w:r>
        <w:rPr>
          <w:rFonts w:ascii="Candara" w:hAnsi="Candara"/>
        </w:rPr>
        <w:t>The proposed scheme, like the current scheme, is not intended to be the primary mechanism to reduce the bushfire risk posed by distribution network ignitions</w:t>
      </w:r>
      <w:r w:rsidR="000F4001">
        <w:rPr>
          <w:rFonts w:ascii="Candara" w:hAnsi="Candara"/>
        </w:rPr>
        <w:t xml:space="preserve">. </w:t>
      </w:r>
      <w:r>
        <w:rPr>
          <w:rFonts w:ascii="Candara" w:hAnsi="Candara"/>
        </w:rPr>
        <w:t xml:space="preserve">This work remains the object of the mandated asset rollout under the </w:t>
      </w:r>
      <w:r w:rsidRPr="00D53233">
        <w:rPr>
          <w:rFonts w:ascii="Candara" w:hAnsi="Candara"/>
          <w:i/>
        </w:rPr>
        <w:t>Electricity Safety (Bushfire Mitigation) Regulations 2016</w:t>
      </w:r>
      <w:r>
        <w:rPr>
          <w:rFonts w:ascii="Candara" w:hAnsi="Candara"/>
        </w:rPr>
        <w:t xml:space="preserve">, and other legislative safety obligations. </w:t>
      </w:r>
      <w:r w:rsidR="000F4001">
        <w:rPr>
          <w:rFonts w:ascii="Candara" w:hAnsi="Candara"/>
        </w:rPr>
        <w:t xml:space="preserve">Nor can the f-factor by itself, </w:t>
      </w:r>
      <w:r w:rsidR="000F4001" w:rsidRPr="000F4001">
        <w:rPr>
          <w:rFonts w:ascii="Candara" w:hAnsi="Candara"/>
        </w:rPr>
        <w:t>promote a more robust use of BMPs and</w:t>
      </w:r>
      <w:r w:rsidR="000F4001">
        <w:rPr>
          <w:rFonts w:ascii="Candara" w:hAnsi="Candara"/>
        </w:rPr>
        <w:t xml:space="preserve"> ESMS or</w:t>
      </w:r>
      <w:r w:rsidR="000F4001" w:rsidRPr="000F4001">
        <w:rPr>
          <w:rFonts w:ascii="Candara" w:hAnsi="Candara"/>
        </w:rPr>
        <w:t xml:space="preserve"> incentivise the use of discretionary capital</w:t>
      </w:r>
      <w:r w:rsidR="000F4001">
        <w:rPr>
          <w:rFonts w:ascii="Candara" w:hAnsi="Candara"/>
        </w:rPr>
        <w:t xml:space="preserve"> or the mandated assets</w:t>
      </w:r>
      <w:r w:rsidR="000F4001" w:rsidRPr="000F4001">
        <w:rPr>
          <w:rFonts w:ascii="Candara" w:hAnsi="Candara"/>
        </w:rPr>
        <w:t xml:space="preserve">. </w:t>
      </w:r>
      <w:r>
        <w:rPr>
          <w:rFonts w:ascii="Candara" w:hAnsi="Candara"/>
        </w:rPr>
        <w:t>A correctly-targeted incentive scheme can and should, however, seek to enhance the risk reduction benefit of th</w:t>
      </w:r>
      <w:r w:rsidR="0045613E">
        <w:rPr>
          <w:rFonts w:ascii="Candara" w:hAnsi="Candara"/>
        </w:rPr>
        <w:t>e</w:t>
      </w:r>
      <w:r>
        <w:rPr>
          <w:rFonts w:ascii="Candara" w:hAnsi="Candara"/>
        </w:rPr>
        <w:t xml:space="preserve"> legislative bushfire risk reduction framework </w:t>
      </w:r>
      <w:r w:rsidR="00ED5E28">
        <w:rPr>
          <w:rFonts w:ascii="Candara" w:hAnsi="Candara"/>
        </w:rPr>
        <w:t>by pricing</w:t>
      </w:r>
      <w:r>
        <w:rPr>
          <w:rFonts w:ascii="Candara" w:hAnsi="Candara"/>
        </w:rPr>
        <w:t xml:space="preserve"> network ignit</w:t>
      </w:r>
      <w:r w:rsidR="00020F7F">
        <w:rPr>
          <w:rFonts w:ascii="Candara" w:hAnsi="Candara"/>
        </w:rPr>
        <w:t>ions in line with the risk exposure of the community</w:t>
      </w:r>
      <w:r>
        <w:rPr>
          <w:rFonts w:ascii="Candara" w:hAnsi="Candara"/>
        </w:rPr>
        <w:t xml:space="preserve">. </w:t>
      </w:r>
    </w:p>
    <w:p w14:paraId="2C56520E" w14:textId="4DB3A186" w:rsidR="00C45FEC" w:rsidRPr="00C629A3" w:rsidRDefault="00865B42" w:rsidP="00447EFE">
      <w:pPr>
        <w:rPr>
          <w:rFonts w:ascii="Candara" w:hAnsi="Candara"/>
        </w:rPr>
      </w:pPr>
      <w:r>
        <w:rPr>
          <w:rFonts w:ascii="Candara" w:hAnsi="Candara"/>
        </w:rPr>
        <w:t xml:space="preserve">To achieve this efficiency objective, the revised f-factor seeks to </w:t>
      </w:r>
      <w:r w:rsidR="00B76E70">
        <w:rPr>
          <w:rFonts w:ascii="Candara" w:hAnsi="Candara"/>
        </w:rPr>
        <w:t>incentivise</w:t>
      </w:r>
      <w:r>
        <w:rPr>
          <w:rFonts w:ascii="Candara" w:hAnsi="Candara"/>
        </w:rPr>
        <w:t xml:space="preserve"> better alignment between the bushfire risk reduction practices and priorities of the distribution businesses and the bushfire risk exposure of the Victorian Community posed by the distribution network. </w:t>
      </w:r>
    </w:p>
    <w:p w14:paraId="0696BEBA" w14:textId="7BE514FF" w:rsidR="00447EFE" w:rsidRPr="00C629A3" w:rsidRDefault="00447EFE" w:rsidP="00447EFE">
      <w:pPr>
        <w:rPr>
          <w:rFonts w:ascii="Candara" w:hAnsi="Candara"/>
        </w:rPr>
      </w:pPr>
      <w:r w:rsidRPr="00C629A3">
        <w:rPr>
          <w:rFonts w:ascii="Candara" w:hAnsi="Candara"/>
        </w:rPr>
        <w:t xml:space="preserve">The </w:t>
      </w:r>
      <w:r w:rsidR="009C27EF">
        <w:rPr>
          <w:rFonts w:ascii="Candara" w:hAnsi="Candara"/>
        </w:rPr>
        <w:t xml:space="preserve">revised </w:t>
      </w:r>
      <w:r w:rsidR="00C45FEC" w:rsidRPr="00C629A3">
        <w:rPr>
          <w:rFonts w:ascii="Candara" w:hAnsi="Candara"/>
        </w:rPr>
        <w:t>f-factor</w:t>
      </w:r>
      <w:r w:rsidRPr="00C629A3">
        <w:rPr>
          <w:rFonts w:ascii="Candara" w:hAnsi="Candara"/>
        </w:rPr>
        <w:t xml:space="preserve"> </w:t>
      </w:r>
      <w:r w:rsidR="009C27EF">
        <w:rPr>
          <w:rFonts w:ascii="Candara" w:hAnsi="Candara"/>
        </w:rPr>
        <w:t>will seek</w:t>
      </w:r>
      <w:r w:rsidRPr="00C629A3">
        <w:rPr>
          <w:rFonts w:ascii="Candara" w:hAnsi="Candara"/>
        </w:rPr>
        <w:t xml:space="preserve"> to incentivise </w:t>
      </w:r>
      <w:r w:rsidR="009C27EF">
        <w:rPr>
          <w:rFonts w:ascii="Candara" w:hAnsi="Candara"/>
        </w:rPr>
        <w:t>distribution businesses</w:t>
      </w:r>
      <w:r w:rsidRPr="00C629A3">
        <w:rPr>
          <w:rFonts w:ascii="Candara" w:hAnsi="Candara"/>
        </w:rPr>
        <w:t xml:space="preserve"> to </w:t>
      </w:r>
      <w:r w:rsidR="00B76E70">
        <w:rPr>
          <w:rFonts w:ascii="Candara" w:hAnsi="Candara"/>
        </w:rPr>
        <w:t xml:space="preserve">better </w:t>
      </w:r>
      <w:r w:rsidRPr="00C629A3">
        <w:rPr>
          <w:rFonts w:ascii="Candara" w:hAnsi="Candara"/>
        </w:rPr>
        <w:t xml:space="preserve">internalise the external cost of catastrophic bushfires started by electricity network ignitions. </w:t>
      </w:r>
    </w:p>
    <w:p w14:paraId="601F9EAA" w14:textId="77777777" w:rsidR="00447EFE" w:rsidRPr="00C629A3" w:rsidRDefault="009C27EF" w:rsidP="008E3F10">
      <w:pPr>
        <w:spacing w:after="120"/>
        <w:rPr>
          <w:rFonts w:ascii="Candara" w:hAnsi="Candara"/>
        </w:rPr>
      </w:pPr>
      <w:r>
        <w:rPr>
          <w:rFonts w:ascii="Candara" w:hAnsi="Candara"/>
        </w:rPr>
        <w:t>T</w:t>
      </w:r>
      <w:r w:rsidR="00D922F6">
        <w:rPr>
          <w:rFonts w:ascii="Candara" w:hAnsi="Candara"/>
        </w:rPr>
        <w:t xml:space="preserve">he </w:t>
      </w:r>
      <w:r>
        <w:rPr>
          <w:rFonts w:ascii="Candara" w:hAnsi="Candara"/>
        </w:rPr>
        <w:t xml:space="preserve">revised </w:t>
      </w:r>
      <w:r w:rsidR="00D922F6">
        <w:rPr>
          <w:rFonts w:ascii="Candara" w:hAnsi="Candara"/>
        </w:rPr>
        <w:t xml:space="preserve">f-factor </w:t>
      </w:r>
      <w:r>
        <w:rPr>
          <w:rFonts w:ascii="Candara" w:hAnsi="Candara"/>
        </w:rPr>
        <w:t>will require</w:t>
      </w:r>
      <w:r w:rsidR="00D922F6">
        <w:rPr>
          <w:rFonts w:ascii="Candara" w:hAnsi="Candara"/>
        </w:rPr>
        <w:t xml:space="preserve"> businesses to</w:t>
      </w:r>
      <w:r w:rsidR="00447EFE" w:rsidRPr="00C629A3">
        <w:rPr>
          <w:rFonts w:ascii="Candara" w:hAnsi="Candara"/>
        </w:rPr>
        <w:t xml:space="preserve">: </w:t>
      </w:r>
    </w:p>
    <w:p w14:paraId="3816C955" w14:textId="77777777" w:rsidR="00447EFE" w:rsidRPr="00C629A3" w:rsidRDefault="00447EFE" w:rsidP="00DA018C">
      <w:pPr>
        <w:numPr>
          <w:ilvl w:val="0"/>
          <w:numId w:val="7"/>
        </w:numPr>
        <w:contextualSpacing/>
        <w:rPr>
          <w:rFonts w:ascii="Candara" w:hAnsi="Candara"/>
        </w:rPr>
      </w:pPr>
      <w:r w:rsidRPr="00C629A3">
        <w:rPr>
          <w:rFonts w:ascii="Candara" w:hAnsi="Candara"/>
        </w:rPr>
        <w:t>reduce the likelihood of the subset of ignitions which present the greatest bushfire threat to Victorian communities</w:t>
      </w:r>
      <w:r w:rsidR="00D40E8D">
        <w:rPr>
          <w:rFonts w:ascii="Candara" w:hAnsi="Candara"/>
        </w:rPr>
        <w:t>;</w:t>
      </w:r>
      <w:r w:rsidR="004079FA" w:rsidRPr="00C629A3">
        <w:rPr>
          <w:rFonts w:ascii="Candara" w:hAnsi="Candara"/>
        </w:rPr>
        <w:t xml:space="preserve"> </w:t>
      </w:r>
    </w:p>
    <w:p w14:paraId="5D369918" w14:textId="77777777" w:rsidR="00447EFE" w:rsidRPr="00C629A3" w:rsidRDefault="00447EFE" w:rsidP="00DA018C">
      <w:pPr>
        <w:numPr>
          <w:ilvl w:val="0"/>
          <w:numId w:val="7"/>
        </w:numPr>
        <w:contextualSpacing/>
        <w:rPr>
          <w:rFonts w:ascii="Candara" w:hAnsi="Candara"/>
        </w:rPr>
      </w:pPr>
      <w:r w:rsidRPr="00C629A3">
        <w:rPr>
          <w:rFonts w:ascii="Candara" w:hAnsi="Candara"/>
        </w:rPr>
        <w:t xml:space="preserve">achieve an aggregate threat reduction over successive years of each </w:t>
      </w:r>
      <w:r w:rsidR="00D40E8D">
        <w:rPr>
          <w:rFonts w:ascii="Candara" w:hAnsi="Candara"/>
        </w:rPr>
        <w:t>EDPR period; and</w:t>
      </w:r>
      <w:r w:rsidRPr="00C629A3">
        <w:rPr>
          <w:rFonts w:ascii="Candara" w:hAnsi="Candara"/>
        </w:rPr>
        <w:t xml:space="preserve"> </w:t>
      </w:r>
    </w:p>
    <w:p w14:paraId="129C180C" w14:textId="77777777" w:rsidR="00447EFE" w:rsidRPr="00C629A3" w:rsidRDefault="00447EFE" w:rsidP="008E3F10">
      <w:pPr>
        <w:numPr>
          <w:ilvl w:val="0"/>
          <w:numId w:val="7"/>
        </w:numPr>
        <w:spacing w:after="0"/>
        <w:ind w:left="714" w:hanging="357"/>
        <w:contextualSpacing/>
        <w:rPr>
          <w:rFonts w:ascii="Candara" w:hAnsi="Candara"/>
        </w:rPr>
      </w:pPr>
      <w:r w:rsidRPr="00C629A3">
        <w:rPr>
          <w:rFonts w:ascii="Candara" w:hAnsi="Candara"/>
        </w:rPr>
        <w:t xml:space="preserve">efficiently focus </w:t>
      </w:r>
      <w:r w:rsidR="00F43640" w:rsidRPr="00C629A3">
        <w:rPr>
          <w:rFonts w:ascii="Candara" w:hAnsi="Candara"/>
        </w:rPr>
        <w:t>available</w:t>
      </w:r>
      <w:r w:rsidRPr="00C629A3">
        <w:rPr>
          <w:rFonts w:ascii="Candara" w:hAnsi="Candara"/>
        </w:rPr>
        <w:t xml:space="preserve"> resources to deliver the greatest bushfire safety benefit</w:t>
      </w:r>
      <w:r w:rsidR="00D40E8D">
        <w:rPr>
          <w:rFonts w:ascii="Candara" w:hAnsi="Candara"/>
        </w:rPr>
        <w:t>.</w:t>
      </w:r>
      <w:r w:rsidRPr="00C629A3">
        <w:rPr>
          <w:rFonts w:ascii="Candara" w:hAnsi="Candara"/>
        </w:rPr>
        <w:t xml:space="preserve"> </w:t>
      </w:r>
    </w:p>
    <w:p w14:paraId="09532E2C" w14:textId="3DF9DFB6" w:rsidR="000E4E1E" w:rsidRPr="00113DF9" w:rsidRDefault="005221DE" w:rsidP="00852BB2">
      <w:pPr>
        <w:pStyle w:val="Heading1"/>
        <w:numPr>
          <w:ilvl w:val="0"/>
          <w:numId w:val="26"/>
        </w:numPr>
        <w:rPr>
          <w:sz w:val="24"/>
          <w:szCs w:val="24"/>
        </w:rPr>
      </w:pPr>
      <w:bookmarkStart w:id="22" w:name="_Toc458675178"/>
      <w:r w:rsidRPr="00113DF9">
        <w:rPr>
          <w:sz w:val="24"/>
          <w:szCs w:val="24"/>
        </w:rPr>
        <w:t xml:space="preserve">Approaches, </w:t>
      </w:r>
      <w:r w:rsidR="003A2708" w:rsidRPr="00113DF9">
        <w:rPr>
          <w:sz w:val="24"/>
          <w:szCs w:val="24"/>
        </w:rPr>
        <w:t>Options</w:t>
      </w:r>
      <w:r w:rsidR="000E4E1E" w:rsidRPr="00113DF9">
        <w:rPr>
          <w:sz w:val="24"/>
          <w:szCs w:val="24"/>
        </w:rPr>
        <w:t xml:space="preserve"> </w:t>
      </w:r>
      <w:r w:rsidR="00BF4B22" w:rsidRPr="00113DF9">
        <w:rPr>
          <w:sz w:val="24"/>
          <w:szCs w:val="24"/>
        </w:rPr>
        <w:t>a</w:t>
      </w:r>
      <w:r w:rsidRPr="00113DF9">
        <w:rPr>
          <w:sz w:val="24"/>
          <w:szCs w:val="24"/>
        </w:rPr>
        <w:t xml:space="preserve">nd </w:t>
      </w:r>
      <w:r w:rsidR="001B7E32" w:rsidRPr="00113DF9">
        <w:rPr>
          <w:sz w:val="24"/>
          <w:szCs w:val="24"/>
        </w:rPr>
        <w:t>Methods</w:t>
      </w:r>
      <w:bookmarkEnd w:id="22"/>
    </w:p>
    <w:p w14:paraId="571F0F19" w14:textId="77777777" w:rsidR="00577A70" w:rsidRPr="00C629A3" w:rsidRDefault="005221DE" w:rsidP="00577A70">
      <w:pPr>
        <w:rPr>
          <w:rFonts w:ascii="Candara" w:hAnsi="Candara"/>
        </w:rPr>
      </w:pPr>
      <w:r w:rsidRPr="00C629A3">
        <w:rPr>
          <w:rFonts w:ascii="Candara" w:hAnsi="Candara"/>
        </w:rPr>
        <w:t xml:space="preserve">This section seeks to identify the preferred solution to the problems identified above by exploring alternatives. It does so by </w:t>
      </w:r>
      <w:r w:rsidR="00D922F6">
        <w:rPr>
          <w:rFonts w:ascii="Candara" w:hAnsi="Candara"/>
        </w:rPr>
        <w:t>answering the following</w:t>
      </w:r>
      <w:r w:rsidR="00577A70" w:rsidRPr="00C629A3">
        <w:rPr>
          <w:rFonts w:ascii="Candara" w:hAnsi="Candara"/>
        </w:rPr>
        <w:t xml:space="preserve"> questions:</w:t>
      </w:r>
    </w:p>
    <w:p w14:paraId="5D930600" w14:textId="77777777" w:rsidR="00577A70" w:rsidRPr="00C629A3" w:rsidRDefault="00577A70" w:rsidP="00DA018C">
      <w:pPr>
        <w:pStyle w:val="ListParagraph"/>
        <w:numPr>
          <w:ilvl w:val="0"/>
          <w:numId w:val="3"/>
        </w:numPr>
        <w:rPr>
          <w:rFonts w:ascii="Candara" w:hAnsi="Candara"/>
          <w:i/>
        </w:rPr>
      </w:pPr>
      <w:r w:rsidRPr="00C629A3">
        <w:rPr>
          <w:rFonts w:ascii="Candara" w:hAnsi="Candara"/>
          <w:i/>
        </w:rPr>
        <w:t>Is a regulatory or non-regulatory approach preferred?</w:t>
      </w:r>
    </w:p>
    <w:p w14:paraId="6C5A189F" w14:textId="77777777" w:rsidR="00577A70" w:rsidRPr="00C629A3" w:rsidRDefault="00577A70" w:rsidP="00DA018C">
      <w:pPr>
        <w:pStyle w:val="ListParagraph"/>
        <w:numPr>
          <w:ilvl w:val="0"/>
          <w:numId w:val="3"/>
        </w:numPr>
        <w:rPr>
          <w:rFonts w:ascii="Candara" w:hAnsi="Candara"/>
          <w:i/>
        </w:rPr>
      </w:pPr>
      <w:r w:rsidRPr="00C629A3">
        <w:rPr>
          <w:rFonts w:ascii="Candara" w:hAnsi="Candara"/>
          <w:i/>
        </w:rPr>
        <w:t>Would a prescriptive or outcome-based form of regulation be more effective?</w:t>
      </w:r>
    </w:p>
    <w:p w14:paraId="576F77CF" w14:textId="77777777" w:rsidR="00577A70" w:rsidRPr="00C629A3" w:rsidRDefault="00577A70" w:rsidP="00DA018C">
      <w:pPr>
        <w:pStyle w:val="ListParagraph"/>
        <w:numPr>
          <w:ilvl w:val="0"/>
          <w:numId w:val="3"/>
        </w:numPr>
        <w:rPr>
          <w:rFonts w:ascii="Candara" w:hAnsi="Candara"/>
          <w:i/>
        </w:rPr>
      </w:pPr>
      <w:r w:rsidRPr="00C629A3">
        <w:rPr>
          <w:rFonts w:ascii="Candara" w:hAnsi="Candara"/>
          <w:i/>
        </w:rPr>
        <w:t>What metrics would be most effectively employed in an outcome-based regulation?</w:t>
      </w:r>
    </w:p>
    <w:p w14:paraId="51E8DECE" w14:textId="693F5099" w:rsidR="008B7B4B" w:rsidRPr="0051585F" w:rsidRDefault="00577A70" w:rsidP="008E3F10">
      <w:pPr>
        <w:pStyle w:val="ListParagraph"/>
        <w:numPr>
          <w:ilvl w:val="0"/>
          <w:numId w:val="3"/>
        </w:numPr>
        <w:spacing w:after="0"/>
        <w:ind w:left="714" w:hanging="357"/>
        <w:rPr>
          <w:rFonts w:ascii="Candara" w:hAnsi="Candara"/>
          <w:i/>
        </w:rPr>
      </w:pPr>
      <w:r w:rsidRPr="00C629A3">
        <w:rPr>
          <w:rFonts w:ascii="Candara" w:hAnsi="Candara"/>
          <w:i/>
        </w:rPr>
        <w:t>How will financial risks arising from the scheme be managed?</w:t>
      </w:r>
    </w:p>
    <w:p w14:paraId="7D51A244" w14:textId="36083132" w:rsidR="00A857DD" w:rsidRDefault="00A857DD">
      <w:pPr>
        <w:rPr>
          <w:rFonts w:ascii="Candara" w:hAnsi="Candara"/>
        </w:rPr>
      </w:pPr>
      <w:r>
        <w:rPr>
          <w:rFonts w:ascii="Candara" w:hAnsi="Candara"/>
        </w:rPr>
        <w:br w:type="page"/>
      </w:r>
    </w:p>
    <w:p w14:paraId="5248F74B" w14:textId="3FCAFC25" w:rsidR="00D43DAB" w:rsidRDefault="00577A70" w:rsidP="008E3F10">
      <w:pPr>
        <w:rPr>
          <w:rFonts w:ascii="Candara" w:hAnsi="Candara"/>
        </w:rPr>
      </w:pPr>
      <w:r w:rsidRPr="00C629A3">
        <w:rPr>
          <w:rFonts w:ascii="Candara" w:hAnsi="Candara"/>
        </w:rPr>
        <w:lastRenderedPageBreak/>
        <w:t>These questions are repr</w:t>
      </w:r>
      <w:r w:rsidR="000F4001">
        <w:rPr>
          <w:rFonts w:ascii="Candara" w:hAnsi="Candara"/>
        </w:rPr>
        <w:t>esented diagrammatically below:</w:t>
      </w:r>
    </w:p>
    <w:p w14:paraId="1E7A6E25" w14:textId="5DB5D269" w:rsidR="003D0C6B" w:rsidRPr="008C512C" w:rsidRDefault="003D0C6B" w:rsidP="003D0C6B">
      <w:pPr>
        <w:autoSpaceDE w:val="0"/>
        <w:autoSpaceDN w:val="0"/>
        <w:adjustRightInd w:val="0"/>
        <w:spacing w:before="120" w:after="80"/>
        <w:rPr>
          <w:rFonts w:ascii="Candara" w:hAnsi="Candara" w:cs="Calibri"/>
          <w:sz w:val="21"/>
          <w:szCs w:val="21"/>
        </w:rPr>
      </w:pPr>
      <w:r>
        <w:rPr>
          <w:rStyle w:val="Heading6Char"/>
        </w:rPr>
        <w:t>Figure 3.1: Options Decision Tree</w:t>
      </w:r>
    </w:p>
    <w:p w14:paraId="2D1BB69F" w14:textId="7C056F1E" w:rsidR="000400B1" w:rsidRDefault="003D0C6B" w:rsidP="008E3F10">
      <w:pPr>
        <w:rPr>
          <w:rFonts w:ascii="Candara" w:hAnsi="Candara"/>
        </w:rPr>
      </w:pPr>
      <w:r w:rsidRPr="00C629A3">
        <w:rPr>
          <w:rFonts w:ascii="Candara" w:hAnsi="Candara"/>
          <w:noProof/>
          <w:lang w:eastAsia="en-AU"/>
        </w:rPr>
        <w:drawing>
          <wp:anchor distT="0" distB="0" distL="114300" distR="114300" simplePos="0" relativeHeight="251656192" behindDoc="0" locked="0" layoutInCell="1" allowOverlap="1" wp14:anchorId="47561079" wp14:editId="0973FF03">
            <wp:simplePos x="0" y="0"/>
            <wp:positionH relativeFrom="column">
              <wp:posOffset>737235</wp:posOffset>
            </wp:positionH>
            <wp:positionV relativeFrom="paragraph">
              <wp:posOffset>259080</wp:posOffset>
            </wp:positionV>
            <wp:extent cx="3604895" cy="49136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4895" cy="4913630"/>
                    </a:xfrm>
                    <a:prstGeom prst="rect">
                      <a:avLst/>
                    </a:prstGeom>
                    <a:noFill/>
                    <a:ln>
                      <a:noFill/>
                    </a:ln>
                  </pic:spPr>
                </pic:pic>
              </a:graphicData>
            </a:graphic>
            <wp14:sizeRelV relativeFrom="margin">
              <wp14:pctHeight>0</wp14:pctHeight>
            </wp14:sizeRelV>
          </wp:anchor>
        </w:drawing>
      </w:r>
    </w:p>
    <w:p w14:paraId="1B39BC9E" w14:textId="0ABC7C9E" w:rsidR="000400B1" w:rsidRDefault="000400B1" w:rsidP="008E3F10">
      <w:pPr>
        <w:rPr>
          <w:rFonts w:ascii="Candara" w:hAnsi="Candara"/>
        </w:rPr>
      </w:pPr>
    </w:p>
    <w:p w14:paraId="1105C9FD" w14:textId="77777777" w:rsidR="000400B1" w:rsidRDefault="000400B1" w:rsidP="008E3F10">
      <w:pPr>
        <w:rPr>
          <w:rFonts w:ascii="Candara" w:hAnsi="Candara"/>
        </w:rPr>
      </w:pPr>
    </w:p>
    <w:p w14:paraId="26229CCE" w14:textId="77777777" w:rsidR="000400B1" w:rsidRDefault="000400B1" w:rsidP="008E3F10">
      <w:pPr>
        <w:rPr>
          <w:rFonts w:ascii="Candara" w:hAnsi="Candara"/>
        </w:rPr>
      </w:pPr>
    </w:p>
    <w:p w14:paraId="18E65B46" w14:textId="77777777" w:rsidR="000400B1" w:rsidRDefault="000400B1" w:rsidP="008E3F10">
      <w:pPr>
        <w:rPr>
          <w:rFonts w:ascii="Candara" w:hAnsi="Candara"/>
        </w:rPr>
      </w:pPr>
    </w:p>
    <w:p w14:paraId="584852C0" w14:textId="77777777" w:rsidR="000400B1" w:rsidRDefault="000400B1" w:rsidP="008E3F10">
      <w:pPr>
        <w:rPr>
          <w:rFonts w:ascii="Candara" w:hAnsi="Candara"/>
        </w:rPr>
      </w:pPr>
    </w:p>
    <w:p w14:paraId="699B686D" w14:textId="77777777" w:rsidR="000400B1" w:rsidRDefault="000400B1" w:rsidP="008E3F10">
      <w:pPr>
        <w:rPr>
          <w:rFonts w:ascii="Candara" w:hAnsi="Candara"/>
        </w:rPr>
      </w:pPr>
    </w:p>
    <w:p w14:paraId="0A020993" w14:textId="77777777" w:rsidR="000400B1" w:rsidRDefault="000400B1" w:rsidP="008E3F10">
      <w:pPr>
        <w:rPr>
          <w:rFonts w:ascii="Candara" w:hAnsi="Candara"/>
        </w:rPr>
      </w:pPr>
    </w:p>
    <w:p w14:paraId="0B35F611" w14:textId="77777777" w:rsidR="000400B1" w:rsidRDefault="000400B1" w:rsidP="008E3F10">
      <w:pPr>
        <w:rPr>
          <w:rFonts w:ascii="Candara" w:hAnsi="Candara"/>
        </w:rPr>
      </w:pPr>
    </w:p>
    <w:p w14:paraId="302D9D5A" w14:textId="77777777" w:rsidR="000400B1" w:rsidRDefault="000400B1" w:rsidP="008E3F10">
      <w:pPr>
        <w:rPr>
          <w:rFonts w:ascii="Candara" w:hAnsi="Candara"/>
        </w:rPr>
      </w:pPr>
    </w:p>
    <w:p w14:paraId="60FA61DB" w14:textId="77777777" w:rsidR="000400B1" w:rsidRDefault="000400B1" w:rsidP="008E3F10">
      <w:pPr>
        <w:rPr>
          <w:rFonts w:ascii="Candara" w:hAnsi="Candara"/>
        </w:rPr>
      </w:pPr>
    </w:p>
    <w:p w14:paraId="0088F870" w14:textId="77777777" w:rsidR="000400B1" w:rsidRDefault="000400B1" w:rsidP="008E3F10">
      <w:pPr>
        <w:rPr>
          <w:rFonts w:ascii="Candara" w:hAnsi="Candara"/>
        </w:rPr>
      </w:pPr>
    </w:p>
    <w:p w14:paraId="21AF870E" w14:textId="77777777" w:rsidR="000400B1" w:rsidRDefault="000400B1" w:rsidP="008E3F10">
      <w:pPr>
        <w:rPr>
          <w:rFonts w:ascii="Candara" w:hAnsi="Candara"/>
        </w:rPr>
      </w:pPr>
    </w:p>
    <w:p w14:paraId="65DCD790" w14:textId="77777777" w:rsidR="000400B1" w:rsidRDefault="000400B1" w:rsidP="008E3F10">
      <w:pPr>
        <w:rPr>
          <w:rFonts w:ascii="Candara" w:hAnsi="Candara"/>
        </w:rPr>
      </w:pPr>
    </w:p>
    <w:p w14:paraId="64468C7C" w14:textId="77777777" w:rsidR="000400B1" w:rsidRDefault="000400B1" w:rsidP="008E3F10">
      <w:pPr>
        <w:rPr>
          <w:rFonts w:ascii="Candara" w:hAnsi="Candara"/>
        </w:rPr>
      </w:pPr>
    </w:p>
    <w:p w14:paraId="6937F16E" w14:textId="77777777" w:rsidR="003D0C6B" w:rsidRDefault="003D0C6B" w:rsidP="008E3F10">
      <w:pPr>
        <w:rPr>
          <w:rFonts w:ascii="Candara" w:hAnsi="Candara"/>
        </w:rPr>
      </w:pPr>
    </w:p>
    <w:p w14:paraId="2AD74BA8" w14:textId="77777777" w:rsidR="00752BE2" w:rsidRPr="00C629A3" w:rsidRDefault="00BF4B22" w:rsidP="009F5994">
      <w:pPr>
        <w:pStyle w:val="Heading2"/>
        <w:rPr>
          <w:sz w:val="22"/>
          <w:szCs w:val="22"/>
        </w:rPr>
      </w:pPr>
      <w:bookmarkStart w:id="23" w:name="_Toc453859562"/>
      <w:bookmarkStart w:id="24" w:name="_Toc453859636"/>
      <w:bookmarkStart w:id="25" w:name="_Toc458675179"/>
      <w:bookmarkEnd w:id="23"/>
      <w:bookmarkEnd w:id="24"/>
      <w:r>
        <w:rPr>
          <w:sz w:val="22"/>
          <w:szCs w:val="22"/>
        </w:rPr>
        <w:t>Which Approach Best Addresses t</w:t>
      </w:r>
      <w:r w:rsidR="00EE35B5">
        <w:rPr>
          <w:sz w:val="22"/>
          <w:szCs w:val="22"/>
        </w:rPr>
        <w:t>he P</w:t>
      </w:r>
      <w:r w:rsidR="00DF43C2" w:rsidRPr="00C629A3">
        <w:rPr>
          <w:sz w:val="22"/>
          <w:szCs w:val="22"/>
        </w:rPr>
        <w:t>roblem?</w:t>
      </w:r>
      <w:bookmarkEnd w:id="25"/>
    </w:p>
    <w:p w14:paraId="207E4187" w14:textId="77777777" w:rsidR="00DF43C2" w:rsidRPr="00C629A3" w:rsidRDefault="00DF43C2" w:rsidP="00DF43C2">
      <w:pPr>
        <w:rPr>
          <w:rFonts w:ascii="Candara" w:hAnsi="Candara"/>
        </w:rPr>
      </w:pPr>
      <w:r w:rsidRPr="00C629A3">
        <w:rPr>
          <w:rFonts w:ascii="Candara" w:hAnsi="Candara"/>
        </w:rPr>
        <w:t xml:space="preserve">At the broadest level, the problems identified in </w:t>
      </w:r>
      <w:r w:rsidR="00D922F6">
        <w:rPr>
          <w:rFonts w:ascii="Candara" w:hAnsi="Candara"/>
        </w:rPr>
        <w:t xml:space="preserve">the </w:t>
      </w:r>
      <w:r w:rsidRPr="00C629A3">
        <w:rPr>
          <w:rFonts w:ascii="Candara" w:hAnsi="Candara"/>
        </w:rPr>
        <w:t xml:space="preserve">above </w:t>
      </w:r>
      <w:r w:rsidR="00D922F6">
        <w:rPr>
          <w:rFonts w:ascii="Candara" w:hAnsi="Candara"/>
        </w:rPr>
        <w:t xml:space="preserve">diagram </w:t>
      </w:r>
      <w:r w:rsidRPr="00C629A3">
        <w:rPr>
          <w:rFonts w:ascii="Candara" w:hAnsi="Candara"/>
        </w:rPr>
        <w:t>can be addressed in three ways:</w:t>
      </w:r>
    </w:p>
    <w:p w14:paraId="26A49530" w14:textId="77777777" w:rsidR="00DF43C2" w:rsidRPr="00C629A3" w:rsidRDefault="00DF43C2" w:rsidP="00DA018C">
      <w:pPr>
        <w:pStyle w:val="ListParagraph"/>
        <w:numPr>
          <w:ilvl w:val="0"/>
          <w:numId w:val="6"/>
        </w:numPr>
        <w:rPr>
          <w:rFonts w:ascii="Candara" w:hAnsi="Candara"/>
        </w:rPr>
      </w:pPr>
      <w:r w:rsidRPr="00C629A3">
        <w:rPr>
          <w:rFonts w:ascii="Candara" w:hAnsi="Candara"/>
          <w:b/>
          <w:i/>
        </w:rPr>
        <w:t>Do nothing</w:t>
      </w:r>
      <w:r w:rsidRPr="00C629A3">
        <w:rPr>
          <w:rFonts w:ascii="Candara" w:hAnsi="Candara"/>
        </w:rPr>
        <w:t xml:space="preserve"> – allow existing incentives and drivers to dictate outcomes;</w:t>
      </w:r>
    </w:p>
    <w:p w14:paraId="12FC0E4F" w14:textId="77777777" w:rsidR="00DF43C2" w:rsidRPr="00C629A3" w:rsidRDefault="00DF43C2" w:rsidP="00DA018C">
      <w:pPr>
        <w:pStyle w:val="ListParagraph"/>
        <w:numPr>
          <w:ilvl w:val="0"/>
          <w:numId w:val="6"/>
        </w:numPr>
        <w:rPr>
          <w:rFonts w:ascii="Candara" w:hAnsi="Candara"/>
        </w:rPr>
      </w:pPr>
      <w:r w:rsidRPr="00C629A3">
        <w:rPr>
          <w:rFonts w:ascii="Candara" w:hAnsi="Candara"/>
          <w:b/>
          <w:i/>
        </w:rPr>
        <w:t>Non-regulatory approach</w:t>
      </w:r>
      <w:r w:rsidRPr="00C629A3">
        <w:rPr>
          <w:rFonts w:ascii="Candara" w:hAnsi="Candara"/>
        </w:rPr>
        <w:t xml:space="preserve"> – limit Government action to influence businesses without formal legal regulation</w:t>
      </w:r>
    </w:p>
    <w:p w14:paraId="6ABDA531" w14:textId="77777777" w:rsidR="00DF43C2" w:rsidRPr="00C629A3" w:rsidRDefault="00DF43C2" w:rsidP="00DA018C">
      <w:pPr>
        <w:pStyle w:val="ListParagraph"/>
        <w:numPr>
          <w:ilvl w:val="0"/>
          <w:numId w:val="6"/>
        </w:numPr>
        <w:rPr>
          <w:rFonts w:ascii="Candara" w:hAnsi="Candara"/>
        </w:rPr>
      </w:pPr>
      <w:r w:rsidRPr="00C629A3">
        <w:rPr>
          <w:rFonts w:ascii="Candara" w:hAnsi="Candara"/>
          <w:b/>
          <w:i/>
        </w:rPr>
        <w:t>Regulatory approach</w:t>
      </w:r>
      <w:r w:rsidRPr="00C629A3">
        <w:rPr>
          <w:rFonts w:ascii="Candara" w:hAnsi="Candara"/>
        </w:rPr>
        <w:t xml:space="preserve"> – Government to initiate legally binding and enforceable obligations</w:t>
      </w:r>
    </w:p>
    <w:p w14:paraId="0877475C" w14:textId="77777777" w:rsidR="00DF43C2" w:rsidRPr="00C629A3" w:rsidRDefault="00DF43C2" w:rsidP="00DF43C2">
      <w:pPr>
        <w:rPr>
          <w:rFonts w:ascii="Candara" w:hAnsi="Candara"/>
        </w:rPr>
      </w:pPr>
      <w:r w:rsidRPr="00C629A3">
        <w:rPr>
          <w:rFonts w:ascii="Candara" w:hAnsi="Candara"/>
        </w:rPr>
        <w:t>These are discussed below.</w:t>
      </w:r>
    </w:p>
    <w:p w14:paraId="62F93FE1" w14:textId="77777777" w:rsidR="000E4E1E" w:rsidRPr="00C629A3" w:rsidRDefault="000E4E1E" w:rsidP="009F5994">
      <w:pPr>
        <w:pStyle w:val="Heading4"/>
        <w:rPr>
          <w:sz w:val="22"/>
          <w:szCs w:val="22"/>
        </w:rPr>
      </w:pPr>
      <w:r w:rsidRPr="00C629A3">
        <w:rPr>
          <w:sz w:val="22"/>
          <w:szCs w:val="22"/>
        </w:rPr>
        <w:lastRenderedPageBreak/>
        <w:t>Do Nothing</w:t>
      </w:r>
    </w:p>
    <w:p w14:paraId="0F148211" w14:textId="77777777" w:rsidR="005537FE" w:rsidRPr="00C629A3" w:rsidRDefault="005537FE" w:rsidP="00043362">
      <w:pPr>
        <w:rPr>
          <w:rFonts w:ascii="Candara" w:hAnsi="Candara"/>
        </w:rPr>
      </w:pPr>
      <w:r w:rsidRPr="00C629A3">
        <w:rPr>
          <w:rFonts w:ascii="Candara" w:hAnsi="Candara"/>
        </w:rPr>
        <w:t>This option assumes there is no f-factor in place. As there is currently an f-factor scheme in operation, this would entail terminating the current scheme.</w:t>
      </w:r>
    </w:p>
    <w:p w14:paraId="20CE8C29" w14:textId="38FF6DEE" w:rsidR="00314AC5" w:rsidRPr="00C629A3" w:rsidRDefault="005537FE" w:rsidP="00043362">
      <w:pPr>
        <w:rPr>
          <w:rFonts w:ascii="Candara" w:hAnsi="Candara"/>
        </w:rPr>
      </w:pPr>
      <w:r w:rsidRPr="00C629A3">
        <w:rPr>
          <w:rFonts w:ascii="Candara" w:hAnsi="Candara"/>
        </w:rPr>
        <w:t>Under this option</w:t>
      </w:r>
      <w:r w:rsidR="006A4A7D">
        <w:rPr>
          <w:rFonts w:ascii="Candara" w:hAnsi="Candara"/>
        </w:rPr>
        <w:t>,</w:t>
      </w:r>
      <w:r w:rsidRPr="00C629A3">
        <w:rPr>
          <w:rFonts w:ascii="Candara" w:hAnsi="Candara"/>
        </w:rPr>
        <w:t xml:space="preserve"> businesses would continue to bear responsibility for</w:t>
      </w:r>
      <w:r w:rsidR="00B94FF6">
        <w:rPr>
          <w:rFonts w:ascii="Candara" w:hAnsi="Candara"/>
        </w:rPr>
        <w:t xml:space="preserve"> the</w:t>
      </w:r>
      <w:r w:rsidRPr="00C629A3">
        <w:rPr>
          <w:rFonts w:ascii="Candara" w:hAnsi="Candara"/>
        </w:rPr>
        <w:t xml:space="preserve"> deployment of assets consistent with regulatory responsibilities. They would continue to employ ultimate discretion as how best to internally allocate resources against competing priorities including normal scheduled maintenance, network augmentations, reliability, customer service and so forth.</w:t>
      </w:r>
    </w:p>
    <w:p w14:paraId="2EE3CD66" w14:textId="77777777" w:rsidR="00211A33" w:rsidRPr="00C629A3" w:rsidRDefault="00920391" w:rsidP="00043362">
      <w:pPr>
        <w:rPr>
          <w:rFonts w:ascii="Candara" w:hAnsi="Candara"/>
        </w:rPr>
      </w:pPr>
      <w:r w:rsidRPr="00C629A3">
        <w:rPr>
          <w:rFonts w:ascii="Candara" w:hAnsi="Candara"/>
        </w:rPr>
        <w:t>Businesses already</w:t>
      </w:r>
      <w:r w:rsidR="00211A33" w:rsidRPr="00C629A3">
        <w:rPr>
          <w:rFonts w:ascii="Candara" w:hAnsi="Candara"/>
        </w:rPr>
        <w:t xml:space="preserve"> collect detailed information on network ignitions, report to </w:t>
      </w:r>
      <w:r w:rsidR="00F52CAA">
        <w:rPr>
          <w:rFonts w:ascii="Candara" w:hAnsi="Candara"/>
        </w:rPr>
        <w:t>ESV</w:t>
      </w:r>
      <w:r w:rsidR="00211A33" w:rsidRPr="00C629A3">
        <w:rPr>
          <w:rFonts w:ascii="Candara" w:hAnsi="Candara"/>
        </w:rPr>
        <w:t xml:space="preserve"> on these instances and conduct maintenance and replacement works in response. In addition, </w:t>
      </w:r>
      <w:r w:rsidR="00115A89" w:rsidRPr="00C629A3">
        <w:rPr>
          <w:rFonts w:ascii="Candara" w:hAnsi="Candara"/>
        </w:rPr>
        <w:t>liability under common law remains for network ignitions resulting in loss of life and property</w:t>
      </w:r>
      <w:r w:rsidR="00211A33" w:rsidRPr="00C629A3">
        <w:rPr>
          <w:rFonts w:ascii="Candara" w:hAnsi="Candara"/>
        </w:rPr>
        <w:t xml:space="preserve">. </w:t>
      </w:r>
    </w:p>
    <w:p w14:paraId="744B86FC" w14:textId="77777777" w:rsidR="00115A89" w:rsidRPr="00C629A3" w:rsidRDefault="00211A33" w:rsidP="00043362">
      <w:pPr>
        <w:rPr>
          <w:rFonts w:ascii="Candara" w:hAnsi="Candara"/>
        </w:rPr>
      </w:pPr>
      <w:r w:rsidRPr="00C629A3">
        <w:rPr>
          <w:rFonts w:ascii="Candara" w:hAnsi="Candara"/>
        </w:rPr>
        <w:t>However, t</w:t>
      </w:r>
      <w:r w:rsidR="00115A89" w:rsidRPr="00C629A3">
        <w:rPr>
          <w:rFonts w:ascii="Candara" w:hAnsi="Candara"/>
        </w:rPr>
        <w:t xml:space="preserve">he absence of a scheme to drive targeted ignitions risk reduction leaves an incentive for the businesses to rely on insurance, spend retrospectively after </w:t>
      </w:r>
      <w:r w:rsidR="00AD0C91" w:rsidRPr="00C629A3">
        <w:rPr>
          <w:rFonts w:ascii="Candara" w:hAnsi="Candara"/>
        </w:rPr>
        <w:t>ignitions occur or spend only on problem areas of the network that are not necessarily aligned to relative bushfire risk</w:t>
      </w:r>
      <w:r w:rsidR="00115A89" w:rsidRPr="00C629A3">
        <w:rPr>
          <w:rFonts w:ascii="Candara" w:hAnsi="Candara"/>
        </w:rPr>
        <w:t xml:space="preserve">. </w:t>
      </w:r>
    </w:p>
    <w:p w14:paraId="108675F3" w14:textId="28E541D2" w:rsidR="00115A89" w:rsidRPr="00C629A3" w:rsidRDefault="00115A89" w:rsidP="00043362">
      <w:pPr>
        <w:rPr>
          <w:rFonts w:ascii="Candara" w:hAnsi="Candara"/>
        </w:rPr>
      </w:pPr>
      <w:r w:rsidRPr="00C629A3">
        <w:rPr>
          <w:rFonts w:ascii="Candara" w:hAnsi="Candara"/>
        </w:rPr>
        <w:t xml:space="preserve">The </w:t>
      </w:r>
      <w:r w:rsidR="00B94FF6">
        <w:rPr>
          <w:rFonts w:ascii="Candara" w:hAnsi="Candara"/>
        </w:rPr>
        <w:t>balance of reliability and safety is left imbalanced</w:t>
      </w:r>
      <w:r w:rsidRPr="00C629A3">
        <w:rPr>
          <w:rFonts w:ascii="Candara" w:hAnsi="Candara"/>
        </w:rPr>
        <w:t xml:space="preserve"> under this option, as </w:t>
      </w:r>
      <w:r w:rsidR="00B94FF6">
        <w:rPr>
          <w:rFonts w:ascii="Candara" w:hAnsi="Candara"/>
        </w:rPr>
        <w:t xml:space="preserve">distribution business </w:t>
      </w:r>
      <w:r w:rsidRPr="00C629A3">
        <w:rPr>
          <w:rFonts w:ascii="Candara" w:hAnsi="Candara"/>
        </w:rPr>
        <w:t xml:space="preserve">spending decisions </w:t>
      </w:r>
      <w:r w:rsidR="00597ED0" w:rsidRPr="00C629A3">
        <w:rPr>
          <w:rFonts w:ascii="Candara" w:hAnsi="Candara"/>
        </w:rPr>
        <w:t xml:space="preserve">are incentivised to </w:t>
      </w:r>
      <w:r w:rsidRPr="00C629A3">
        <w:rPr>
          <w:rFonts w:ascii="Candara" w:hAnsi="Candara"/>
        </w:rPr>
        <w:t xml:space="preserve">align to the STPIS rather than </w:t>
      </w:r>
      <w:r w:rsidR="00013356">
        <w:rPr>
          <w:rFonts w:ascii="Candara" w:hAnsi="Candara"/>
        </w:rPr>
        <w:t xml:space="preserve">bushfire </w:t>
      </w:r>
      <w:r w:rsidRPr="00C629A3">
        <w:rPr>
          <w:rFonts w:ascii="Candara" w:hAnsi="Candara"/>
        </w:rPr>
        <w:t xml:space="preserve">safety.   </w:t>
      </w:r>
    </w:p>
    <w:p w14:paraId="11679D42" w14:textId="77777777" w:rsidR="00AD0C91" w:rsidRPr="00C629A3" w:rsidRDefault="00AD0C91" w:rsidP="00043362">
      <w:pPr>
        <w:rPr>
          <w:rFonts w:ascii="Candara" w:hAnsi="Candara"/>
        </w:rPr>
      </w:pPr>
      <w:r w:rsidRPr="00C629A3">
        <w:rPr>
          <w:rFonts w:ascii="Candara" w:hAnsi="Candara"/>
        </w:rPr>
        <w:t xml:space="preserve">For these reasons, this option is not preferred. </w:t>
      </w:r>
    </w:p>
    <w:p w14:paraId="4F08A65F" w14:textId="77777777" w:rsidR="000E4E1E" w:rsidRPr="00C629A3" w:rsidRDefault="000E4E1E" w:rsidP="009F5994">
      <w:pPr>
        <w:pStyle w:val="Heading4"/>
        <w:rPr>
          <w:sz w:val="22"/>
          <w:szCs w:val="22"/>
        </w:rPr>
      </w:pPr>
      <w:r w:rsidRPr="00C629A3">
        <w:rPr>
          <w:sz w:val="22"/>
          <w:szCs w:val="22"/>
        </w:rPr>
        <w:t xml:space="preserve">Non-Regulatory </w:t>
      </w:r>
      <w:r w:rsidR="005221DE" w:rsidRPr="00C629A3">
        <w:rPr>
          <w:sz w:val="22"/>
          <w:szCs w:val="22"/>
        </w:rPr>
        <w:t>Approach</w:t>
      </w:r>
    </w:p>
    <w:p w14:paraId="19E36999" w14:textId="77777777" w:rsidR="0004016D" w:rsidRPr="00C629A3" w:rsidRDefault="0004016D" w:rsidP="00043362">
      <w:pPr>
        <w:rPr>
          <w:rFonts w:ascii="Candara" w:hAnsi="Candara"/>
        </w:rPr>
      </w:pPr>
      <w:r w:rsidRPr="00C629A3">
        <w:rPr>
          <w:rFonts w:ascii="Candara" w:hAnsi="Candara"/>
        </w:rPr>
        <w:t>One option to address the problems identified above would be to employ a non-regulatory approach</w:t>
      </w:r>
      <w:r w:rsidR="00597ED0" w:rsidRPr="00C629A3">
        <w:rPr>
          <w:rFonts w:ascii="Candara" w:hAnsi="Candara"/>
        </w:rPr>
        <w:t xml:space="preserve"> and seek to change business behaviour by other means</w:t>
      </w:r>
      <w:r w:rsidRPr="00C629A3">
        <w:rPr>
          <w:rFonts w:ascii="Candara" w:hAnsi="Candara"/>
        </w:rPr>
        <w:t>. The most evident non-regulatory approach would be to use information to incentivise businesses to more adequately address bushfire risk. There are two means whereby information could be used to influence behaviour. The first is the supply of information to businesses; the second is the supply of information about businesses to the general public.</w:t>
      </w:r>
    </w:p>
    <w:p w14:paraId="4456D950" w14:textId="77777777" w:rsidR="0004016D" w:rsidRPr="00C629A3" w:rsidRDefault="0004016D" w:rsidP="00043362">
      <w:pPr>
        <w:rPr>
          <w:rFonts w:ascii="Candara" w:hAnsi="Candara"/>
        </w:rPr>
      </w:pPr>
      <w:r w:rsidRPr="00C629A3">
        <w:rPr>
          <w:rFonts w:ascii="Candara" w:hAnsi="Candara"/>
        </w:rPr>
        <w:t>In the first case, Government could employ its significant investment in bushfire mapping and modelling to inform businesses of the relative bushfire risk of different network locations. This information can be easily shared with businesses.</w:t>
      </w:r>
    </w:p>
    <w:p w14:paraId="52DBBDE2" w14:textId="5D69A583" w:rsidR="0004016D" w:rsidRPr="00C629A3" w:rsidRDefault="0004016D" w:rsidP="00043362">
      <w:pPr>
        <w:rPr>
          <w:rFonts w:ascii="Candara" w:hAnsi="Candara"/>
        </w:rPr>
      </w:pPr>
      <w:r w:rsidRPr="00C629A3">
        <w:rPr>
          <w:rFonts w:ascii="Candara" w:hAnsi="Candara"/>
        </w:rPr>
        <w:t>In the second case, Government could publicly disclose the fire start data it collects from bu</w:t>
      </w:r>
      <w:r w:rsidR="00BF4B22">
        <w:rPr>
          <w:rFonts w:ascii="Candara" w:hAnsi="Candara"/>
        </w:rPr>
        <w:t>siness</w:t>
      </w:r>
      <w:r w:rsidR="00B94FF6">
        <w:rPr>
          <w:rFonts w:ascii="Candara" w:hAnsi="Candara"/>
        </w:rPr>
        <w:t xml:space="preserve">es on an annual basis. </w:t>
      </w:r>
      <w:r w:rsidRPr="00C629A3">
        <w:rPr>
          <w:rFonts w:ascii="Candara" w:hAnsi="Candara"/>
        </w:rPr>
        <w:t>This practice has in fact been in place for several years through ESV’s annual safety performance reports.</w:t>
      </w:r>
    </w:p>
    <w:p w14:paraId="53106F8D" w14:textId="77777777" w:rsidR="005729E3" w:rsidRPr="00C629A3" w:rsidRDefault="0004016D" w:rsidP="00043362">
      <w:pPr>
        <w:rPr>
          <w:rFonts w:ascii="Candara" w:hAnsi="Candara"/>
        </w:rPr>
      </w:pPr>
      <w:r w:rsidRPr="00C629A3">
        <w:rPr>
          <w:rFonts w:ascii="Candara" w:hAnsi="Candara"/>
        </w:rPr>
        <w:t xml:space="preserve">There are </w:t>
      </w:r>
      <w:r w:rsidR="005729E3" w:rsidRPr="00C629A3">
        <w:rPr>
          <w:rFonts w:ascii="Candara" w:hAnsi="Candara"/>
        </w:rPr>
        <w:t xml:space="preserve">however significant shortcomings to these approaches. Firstly, while Government can – and does – provide bushfire risk modelling information to businesses, this is not in itself a financial incentive. At the margins it may influence company behaviour, but only to the extent that countervailing incentives are not stronger. </w:t>
      </w:r>
    </w:p>
    <w:p w14:paraId="38945601" w14:textId="77777777" w:rsidR="002D5BAA" w:rsidRPr="00C629A3" w:rsidRDefault="005729E3" w:rsidP="00043362">
      <w:pPr>
        <w:rPr>
          <w:rFonts w:ascii="Candara" w:hAnsi="Candara"/>
        </w:rPr>
      </w:pPr>
      <w:r w:rsidRPr="00C629A3">
        <w:rPr>
          <w:rFonts w:ascii="Candara" w:hAnsi="Candara"/>
        </w:rPr>
        <w:t xml:space="preserve">Secondly, </w:t>
      </w:r>
      <w:r w:rsidR="0004016D" w:rsidRPr="00C629A3">
        <w:rPr>
          <w:rFonts w:ascii="Candara" w:hAnsi="Candara"/>
        </w:rPr>
        <w:t xml:space="preserve">electricity distribution businesses are </w:t>
      </w:r>
      <w:r w:rsidRPr="00C629A3">
        <w:rPr>
          <w:rFonts w:ascii="Candara" w:hAnsi="Candara"/>
        </w:rPr>
        <w:t xml:space="preserve">monopoly </w:t>
      </w:r>
      <w:r w:rsidR="000E4E1E" w:rsidRPr="00C629A3">
        <w:rPr>
          <w:rFonts w:ascii="Candara" w:hAnsi="Candara"/>
        </w:rPr>
        <w:t>essential service</w:t>
      </w:r>
      <w:r w:rsidRPr="00C629A3">
        <w:rPr>
          <w:rFonts w:ascii="Candara" w:hAnsi="Candara"/>
        </w:rPr>
        <w:t xml:space="preserve"> providers. A member of the public who finds their distributor has performed poorly in a safety performance report is not in a position to choose an alternative supplier, short of moving locations or going “off grid”. </w:t>
      </w:r>
      <w:r w:rsidRPr="00C629A3">
        <w:rPr>
          <w:rFonts w:ascii="Candara" w:hAnsi="Candara"/>
        </w:rPr>
        <w:lastRenderedPageBreak/>
        <w:t>Consequently the efficacy of information-only tools in shaping corporate behaviour are likely to be limited.</w:t>
      </w:r>
      <w:r w:rsidR="00597ED0" w:rsidRPr="00C629A3">
        <w:rPr>
          <w:rFonts w:ascii="Candara" w:hAnsi="Candara"/>
        </w:rPr>
        <w:t xml:space="preserve"> </w:t>
      </w:r>
    </w:p>
    <w:p w14:paraId="2DB43FC7" w14:textId="77777777" w:rsidR="005729E3" w:rsidRPr="00C629A3" w:rsidRDefault="005729E3" w:rsidP="00043362">
      <w:pPr>
        <w:rPr>
          <w:rFonts w:ascii="Candara" w:hAnsi="Candara"/>
        </w:rPr>
      </w:pPr>
      <w:r w:rsidRPr="00C629A3">
        <w:rPr>
          <w:rFonts w:ascii="Candara" w:hAnsi="Candara"/>
        </w:rPr>
        <w:t>For these reasons a non-regulatory option is not preferred.</w:t>
      </w:r>
    </w:p>
    <w:p w14:paraId="76FF7FD8" w14:textId="77777777" w:rsidR="008B5BC7" w:rsidRPr="00C629A3" w:rsidRDefault="00514973" w:rsidP="008B5BC7">
      <w:pPr>
        <w:pStyle w:val="Heading4"/>
        <w:rPr>
          <w:sz w:val="22"/>
          <w:szCs w:val="22"/>
        </w:rPr>
      </w:pPr>
      <w:r>
        <w:rPr>
          <w:sz w:val="22"/>
          <w:szCs w:val="22"/>
        </w:rPr>
        <w:t>Regulatory A</w:t>
      </w:r>
      <w:r w:rsidR="008B5BC7" w:rsidRPr="00C629A3">
        <w:rPr>
          <w:sz w:val="22"/>
          <w:szCs w:val="22"/>
        </w:rPr>
        <w:t>pproaches</w:t>
      </w:r>
    </w:p>
    <w:p w14:paraId="42D87768" w14:textId="77777777" w:rsidR="0063416A" w:rsidRPr="00C629A3" w:rsidRDefault="006A75AD" w:rsidP="0063416A">
      <w:pPr>
        <w:autoSpaceDE w:val="0"/>
        <w:autoSpaceDN w:val="0"/>
        <w:adjustRightInd w:val="0"/>
        <w:spacing w:before="120" w:after="80"/>
        <w:rPr>
          <w:rFonts w:ascii="Candara" w:hAnsi="Candara"/>
        </w:rPr>
      </w:pPr>
      <w:r w:rsidRPr="00C629A3">
        <w:rPr>
          <w:rFonts w:ascii="Candara" w:hAnsi="Candara"/>
        </w:rPr>
        <w:t xml:space="preserve">Under this </w:t>
      </w:r>
      <w:r w:rsidR="005221DE" w:rsidRPr="00C629A3">
        <w:rPr>
          <w:rFonts w:ascii="Candara" w:hAnsi="Candara"/>
        </w:rPr>
        <w:t>approach</w:t>
      </w:r>
      <w:r w:rsidRPr="00C629A3">
        <w:rPr>
          <w:rFonts w:ascii="Candara" w:hAnsi="Candara"/>
        </w:rPr>
        <w:t xml:space="preserve"> </w:t>
      </w:r>
      <w:r w:rsidR="00EC6280" w:rsidRPr="00C629A3">
        <w:rPr>
          <w:rFonts w:ascii="Candara" w:hAnsi="Candara"/>
        </w:rPr>
        <w:t xml:space="preserve">the </w:t>
      </w:r>
      <w:r w:rsidRPr="00C629A3">
        <w:rPr>
          <w:rFonts w:ascii="Candara" w:hAnsi="Candara"/>
        </w:rPr>
        <w:t xml:space="preserve">Government would institute a legally binding and enforceable obligation on </w:t>
      </w:r>
      <w:r w:rsidR="00F52CAA">
        <w:rPr>
          <w:rFonts w:ascii="Candara" w:hAnsi="Candara"/>
        </w:rPr>
        <w:t xml:space="preserve">distribution </w:t>
      </w:r>
      <w:r w:rsidR="00F52CAA" w:rsidRPr="00F52CAA">
        <w:rPr>
          <w:rFonts w:ascii="Candara" w:hAnsi="Candara"/>
        </w:rPr>
        <w:t xml:space="preserve">businesses </w:t>
      </w:r>
      <w:r w:rsidR="00597ED0" w:rsidRPr="00C629A3">
        <w:rPr>
          <w:rFonts w:ascii="Candara" w:hAnsi="Candara"/>
        </w:rPr>
        <w:t xml:space="preserve">through regulations. </w:t>
      </w:r>
    </w:p>
    <w:p w14:paraId="0569A707" w14:textId="77777777" w:rsidR="00A15F0E" w:rsidRPr="00C629A3" w:rsidRDefault="00A15F0E" w:rsidP="00A15F0E">
      <w:pPr>
        <w:autoSpaceDE w:val="0"/>
        <w:autoSpaceDN w:val="0"/>
        <w:adjustRightInd w:val="0"/>
        <w:spacing w:before="120" w:after="80"/>
        <w:rPr>
          <w:rFonts w:ascii="Candara" w:hAnsi="Candara"/>
        </w:rPr>
      </w:pPr>
      <w:r w:rsidRPr="00C629A3">
        <w:rPr>
          <w:rFonts w:ascii="Candara" w:hAnsi="Candara"/>
        </w:rPr>
        <w:t xml:space="preserve">The benefit of adopting a regulatory approach </w:t>
      </w:r>
      <w:r w:rsidR="000971AA" w:rsidRPr="00C629A3">
        <w:rPr>
          <w:rFonts w:ascii="Candara" w:hAnsi="Candara"/>
        </w:rPr>
        <w:t xml:space="preserve">is that business </w:t>
      </w:r>
      <w:r w:rsidRPr="00C629A3">
        <w:rPr>
          <w:rFonts w:ascii="Candara" w:hAnsi="Candara"/>
        </w:rPr>
        <w:t xml:space="preserve">performance against </w:t>
      </w:r>
      <w:r w:rsidR="00C1574C" w:rsidRPr="00C629A3">
        <w:rPr>
          <w:rFonts w:ascii="Candara" w:hAnsi="Candara"/>
        </w:rPr>
        <w:t>a</w:t>
      </w:r>
      <w:r w:rsidRPr="00C629A3">
        <w:rPr>
          <w:rFonts w:ascii="Candara" w:hAnsi="Candara"/>
        </w:rPr>
        <w:t xml:space="preserve"> targeted behaviour </w:t>
      </w:r>
      <w:r w:rsidR="000971AA" w:rsidRPr="00C629A3">
        <w:rPr>
          <w:rFonts w:ascii="Candara" w:hAnsi="Candara"/>
        </w:rPr>
        <w:t>is</w:t>
      </w:r>
      <w:r w:rsidRPr="00C629A3">
        <w:rPr>
          <w:rFonts w:ascii="Candara" w:hAnsi="Candara"/>
        </w:rPr>
        <w:t xml:space="preserve"> no longer </w:t>
      </w:r>
      <w:r w:rsidR="00783C60" w:rsidRPr="00C629A3">
        <w:rPr>
          <w:rFonts w:ascii="Candara" w:hAnsi="Candara"/>
        </w:rPr>
        <w:t xml:space="preserve">measured against </w:t>
      </w:r>
      <w:r w:rsidRPr="00C629A3">
        <w:rPr>
          <w:rFonts w:ascii="Candara" w:hAnsi="Candara"/>
        </w:rPr>
        <w:t>a discretionary goal</w:t>
      </w:r>
      <w:r w:rsidR="00783C60" w:rsidRPr="00C629A3">
        <w:rPr>
          <w:rFonts w:ascii="Candara" w:hAnsi="Candara"/>
        </w:rPr>
        <w:t xml:space="preserve"> or a set of recommendations</w:t>
      </w:r>
      <w:r w:rsidRPr="00C629A3">
        <w:rPr>
          <w:rFonts w:ascii="Candara" w:hAnsi="Candara"/>
        </w:rPr>
        <w:t>, but is instead non-avoidable</w:t>
      </w:r>
      <w:r w:rsidR="00783C60" w:rsidRPr="00C629A3">
        <w:rPr>
          <w:rFonts w:ascii="Candara" w:hAnsi="Candara"/>
        </w:rPr>
        <w:t xml:space="preserve">, </w:t>
      </w:r>
      <w:r w:rsidRPr="00C629A3">
        <w:rPr>
          <w:rFonts w:ascii="Candara" w:hAnsi="Candara"/>
        </w:rPr>
        <w:t xml:space="preserve">consequence </w:t>
      </w:r>
      <w:r w:rsidR="00783C60" w:rsidRPr="00C629A3">
        <w:rPr>
          <w:rFonts w:ascii="Candara" w:hAnsi="Candara"/>
        </w:rPr>
        <w:t xml:space="preserve">driven and continues as long as the </w:t>
      </w:r>
      <w:r w:rsidR="008C0F41">
        <w:rPr>
          <w:rFonts w:ascii="Candara" w:hAnsi="Candara"/>
        </w:rPr>
        <w:t>l</w:t>
      </w:r>
      <w:r w:rsidR="00D75675">
        <w:rPr>
          <w:rFonts w:ascii="Candara" w:hAnsi="Candara"/>
        </w:rPr>
        <w:t>egal</w:t>
      </w:r>
      <w:r w:rsidR="008C0F41">
        <w:rPr>
          <w:rFonts w:ascii="Candara" w:hAnsi="Candara"/>
        </w:rPr>
        <w:t xml:space="preserve"> instrument</w:t>
      </w:r>
      <w:r w:rsidR="00783C60" w:rsidRPr="00C629A3">
        <w:rPr>
          <w:rFonts w:ascii="Candara" w:hAnsi="Candara"/>
        </w:rPr>
        <w:t xml:space="preserve"> remains in place</w:t>
      </w:r>
      <w:r w:rsidRPr="00C629A3">
        <w:rPr>
          <w:rFonts w:ascii="Candara" w:hAnsi="Candara"/>
        </w:rPr>
        <w:t xml:space="preserve">. </w:t>
      </w:r>
    </w:p>
    <w:p w14:paraId="41396DA4" w14:textId="77777777" w:rsidR="00C1574C" w:rsidRPr="00C629A3" w:rsidRDefault="00C1574C" w:rsidP="008729EA">
      <w:pPr>
        <w:autoSpaceDE w:val="0"/>
        <w:autoSpaceDN w:val="0"/>
        <w:adjustRightInd w:val="0"/>
        <w:spacing w:before="120" w:after="80"/>
        <w:rPr>
          <w:rFonts w:ascii="Candara" w:hAnsi="Candara"/>
        </w:rPr>
      </w:pPr>
      <w:r w:rsidRPr="00C629A3">
        <w:rPr>
          <w:rFonts w:ascii="Candara" w:hAnsi="Candara"/>
        </w:rPr>
        <w:t xml:space="preserve">A regulatory approach will </w:t>
      </w:r>
      <w:r w:rsidR="000971AA" w:rsidRPr="00C629A3">
        <w:rPr>
          <w:rFonts w:ascii="Candara" w:hAnsi="Candara"/>
        </w:rPr>
        <w:t xml:space="preserve">therefore </w:t>
      </w:r>
      <w:r w:rsidR="0063416A" w:rsidRPr="00C629A3">
        <w:rPr>
          <w:rFonts w:ascii="Candara" w:hAnsi="Candara"/>
        </w:rPr>
        <w:t xml:space="preserve">provide a </w:t>
      </w:r>
      <w:r w:rsidRPr="00C629A3">
        <w:rPr>
          <w:rFonts w:ascii="Candara" w:hAnsi="Candara"/>
        </w:rPr>
        <w:t>drive</w:t>
      </w:r>
      <w:r w:rsidR="0063416A" w:rsidRPr="00C629A3">
        <w:rPr>
          <w:rFonts w:ascii="Candara" w:hAnsi="Candara"/>
        </w:rPr>
        <w:t>r for</w:t>
      </w:r>
      <w:r w:rsidRPr="00C629A3">
        <w:rPr>
          <w:rFonts w:ascii="Candara" w:hAnsi="Candara"/>
        </w:rPr>
        <w:t xml:space="preserve"> behavioural change in a targeted and active fashion by incentivising the business to internalise the risk to communities posed by network ignitions. </w:t>
      </w:r>
    </w:p>
    <w:p w14:paraId="53300BF6" w14:textId="77777777" w:rsidR="00002886" w:rsidRPr="00C629A3" w:rsidRDefault="00EC6280" w:rsidP="008729EA">
      <w:pPr>
        <w:autoSpaceDE w:val="0"/>
        <w:autoSpaceDN w:val="0"/>
        <w:adjustRightInd w:val="0"/>
        <w:spacing w:before="120" w:after="80"/>
        <w:rPr>
          <w:rFonts w:ascii="Candara" w:hAnsi="Candara"/>
        </w:rPr>
      </w:pPr>
      <w:r w:rsidRPr="00C629A3">
        <w:rPr>
          <w:rFonts w:ascii="Candara" w:hAnsi="Candara"/>
        </w:rPr>
        <w:t>For these reasons a regulatory</w:t>
      </w:r>
      <w:r w:rsidR="00002886" w:rsidRPr="00C629A3">
        <w:rPr>
          <w:rFonts w:ascii="Candara" w:hAnsi="Candara"/>
        </w:rPr>
        <w:t xml:space="preserve"> approach is preferred.</w:t>
      </w:r>
      <w:r w:rsidR="005419E6" w:rsidRPr="00C629A3">
        <w:rPr>
          <w:rFonts w:ascii="Candara" w:hAnsi="Candara"/>
        </w:rPr>
        <w:t xml:space="preserve"> </w:t>
      </w:r>
    </w:p>
    <w:p w14:paraId="7547BEF8" w14:textId="77777777" w:rsidR="00002886" w:rsidRPr="00C629A3" w:rsidRDefault="00BF4B22" w:rsidP="009F5994">
      <w:pPr>
        <w:pStyle w:val="Heading2"/>
        <w:rPr>
          <w:sz w:val="22"/>
          <w:szCs w:val="22"/>
        </w:rPr>
      </w:pPr>
      <w:bookmarkStart w:id="26" w:name="_Toc458675180"/>
      <w:r>
        <w:rPr>
          <w:sz w:val="22"/>
          <w:szCs w:val="22"/>
        </w:rPr>
        <w:t>Which Form o</w:t>
      </w:r>
      <w:r w:rsidR="004B077F" w:rsidRPr="00C629A3">
        <w:rPr>
          <w:sz w:val="22"/>
          <w:szCs w:val="22"/>
        </w:rPr>
        <w:t xml:space="preserve">f </w:t>
      </w:r>
      <w:r w:rsidR="00002886" w:rsidRPr="00C629A3">
        <w:rPr>
          <w:sz w:val="22"/>
          <w:szCs w:val="22"/>
        </w:rPr>
        <w:t>Regulat</w:t>
      </w:r>
      <w:r>
        <w:rPr>
          <w:sz w:val="22"/>
          <w:szCs w:val="22"/>
        </w:rPr>
        <w:t>ion Best Addresses t</w:t>
      </w:r>
      <w:r w:rsidR="004B077F" w:rsidRPr="00C629A3">
        <w:rPr>
          <w:sz w:val="22"/>
          <w:szCs w:val="22"/>
        </w:rPr>
        <w:t>he Problem?</w:t>
      </w:r>
      <w:bookmarkEnd w:id="26"/>
    </w:p>
    <w:p w14:paraId="5C7631CB" w14:textId="77777777" w:rsidR="007466DF" w:rsidRPr="00C629A3" w:rsidRDefault="007466DF" w:rsidP="008729EA">
      <w:pPr>
        <w:autoSpaceDE w:val="0"/>
        <w:autoSpaceDN w:val="0"/>
        <w:adjustRightInd w:val="0"/>
        <w:spacing w:before="120" w:after="80"/>
        <w:rPr>
          <w:rFonts w:ascii="Candara" w:hAnsi="Candara"/>
        </w:rPr>
      </w:pPr>
      <w:r w:rsidRPr="00C629A3">
        <w:rPr>
          <w:rFonts w:ascii="Candara" w:hAnsi="Candara"/>
        </w:rPr>
        <w:t xml:space="preserve">Two options are available to regulate </w:t>
      </w:r>
      <w:r w:rsidR="00CD0342">
        <w:rPr>
          <w:rFonts w:ascii="Candara" w:hAnsi="Candara"/>
        </w:rPr>
        <w:t xml:space="preserve">distribution </w:t>
      </w:r>
      <w:r w:rsidRPr="00C629A3">
        <w:rPr>
          <w:rFonts w:ascii="Candara" w:hAnsi="Candara"/>
        </w:rPr>
        <w:t>businesses: prescriptive regulation; and non-prescriptive, or outcomes-based regulation.</w:t>
      </w:r>
      <w:r w:rsidR="00002886" w:rsidRPr="00C629A3">
        <w:rPr>
          <w:rFonts w:ascii="Candara" w:hAnsi="Candara"/>
        </w:rPr>
        <w:t xml:space="preserve"> These are discussed below.</w:t>
      </w:r>
      <w:r w:rsidR="00A15F0E" w:rsidRPr="00C629A3">
        <w:rPr>
          <w:rFonts w:ascii="Candara" w:hAnsi="Candara"/>
        </w:rPr>
        <w:t xml:space="preserve"> </w:t>
      </w:r>
    </w:p>
    <w:p w14:paraId="3D6122C5" w14:textId="77777777" w:rsidR="00002886" w:rsidRPr="00C629A3" w:rsidRDefault="00EE35B5" w:rsidP="009F5994">
      <w:pPr>
        <w:pStyle w:val="Heading4"/>
        <w:rPr>
          <w:sz w:val="22"/>
          <w:szCs w:val="22"/>
        </w:rPr>
      </w:pPr>
      <w:r>
        <w:rPr>
          <w:sz w:val="22"/>
          <w:szCs w:val="22"/>
        </w:rPr>
        <w:t>Prescriptive R</w:t>
      </w:r>
      <w:r w:rsidR="007466DF" w:rsidRPr="00C629A3">
        <w:rPr>
          <w:sz w:val="22"/>
          <w:szCs w:val="22"/>
        </w:rPr>
        <w:t xml:space="preserve">egulation </w:t>
      </w:r>
    </w:p>
    <w:p w14:paraId="527FBA3B" w14:textId="77777777" w:rsidR="007466DF" w:rsidRPr="00C629A3" w:rsidRDefault="00E76C9C" w:rsidP="008729EA">
      <w:pPr>
        <w:autoSpaceDE w:val="0"/>
        <w:autoSpaceDN w:val="0"/>
        <w:adjustRightInd w:val="0"/>
        <w:spacing w:before="120" w:after="80"/>
        <w:rPr>
          <w:rFonts w:ascii="Candara" w:hAnsi="Candara"/>
        </w:rPr>
      </w:pPr>
      <w:r w:rsidRPr="00C629A3">
        <w:rPr>
          <w:rFonts w:ascii="Candara" w:hAnsi="Candara"/>
        </w:rPr>
        <w:t>Under this option the Government would</w:t>
      </w:r>
      <w:r w:rsidR="007466DF" w:rsidRPr="00C629A3">
        <w:rPr>
          <w:rFonts w:ascii="Candara" w:hAnsi="Candara"/>
        </w:rPr>
        <w:t xml:space="preserve"> state, to a highly granu</w:t>
      </w:r>
      <w:r w:rsidR="002E782A" w:rsidRPr="00C629A3">
        <w:rPr>
          <w:rFonts w:ascii="Candara" w:hAnsi="Candara"/>
        </w:rPr>
        <w:t xml:space="preserve">lar level, the precise actions </w:t>
      </w:r>
      <w:r w:rsidR="00CD0342">
        <w:rPr>
          <w:rFonts w:ascii="Candara" w:hAnsi="Candara"/>
        </w:rPr>
        <w:t xml:space="preserve">distribution </w:t>
      </w:r>
      <w:r w:rsidR="002E782A" w:rsidRPr="00C629A3">
        <w:rPr>
          <w:rFonts w:ascii="Candara" w:hAnsi="Candara"/>
        </w:rPr>
        <w:t>businesses</w:t>
      </w:r>
      <w:r w:rsidR="007466DF" w:rsidRPr="00C629A3">
        <w:rPr>
          <w:rFonts w:ascii="Candara" w:hAnsi="Candara"/>
        </w:rPr>
        <w:t xml:space="preserve"> should undertake to reduce the harm in question. </w:t>
      </w:r>
    </w:p>
    <w:p w14:paraId="09183B09" w14:textId="77777777" w:rsidR="00E76C9C" w:rsidRPr="00C629A3" w:rsidRDefault="001D2AC2" w:rsidP="00E76C9C">
      <w:pPr>
        <w:autoSpaceDE w:val="0"/>
        <w:autoSpaceDN w:val="0"/>
        <w:adjustRightInd w:val="0"/>
        <w:spacing w:before="120" w:after="80"/>
        <w:rPr>
          <w:rFonts w:ascii="Candara" w:hAnsi="Candara"/>
        </w:rPr>
      </w:pPr>
      <w:r w:rsidRPr="00C629A3">
        <w:rPr>
          <w:rFonts w:ascii="Candara" w:hAnsi="Candara"/>
        </w:rPr>
        <w:t xml:space="preserve">Government has used prescriptive regulation at points where there was little room for doubt about the technical measures needed to address a specific risk. </w:t>
      </w:r>
      <w:r w:rsidR="00E76C9C" w:rsidRPr="00C629A3">
        <w:rPr>
          <w:rFonts w:ascii="Candara" w:hAnsi="Candara"/>
        </w:rPr>
        <w:t xml:space="preserve">This has </w:t>
      </w:r>
      <w:r w:rsidR="008C0F41">
        <w:rPr>
          <w:rFonts w:ascii="Candara" w:hAnsi="Candara"/>
        </w:rPr>
        <w:t xml:space="preserve">been </w:t>
      </w:r>
      <w:r w:rsidR="00E76C9C" w:rsidRPr="00C629A3">
        <w:rPr>
          <w:rFonts w:ascii="Candara" w:hAnsi="Candara"/>
        </w:rPr>
        <w:t xml:space="preserve">done in respect of both indicating which assets to replace or install, and </w:t>
      </w:r>
      <w:r w:rsidR="008C0F41">
        <w:rPr>
          <w:rFonts w:ascii="Candara" w:hAnsi="Candara"/>
        </w:rPr>
        <w:t xml:space="preserve">indicating </w:t>
      </w:r>
      <w:r w:rsidR="00E76C9C" w:rsidRPr="00C629A3">
        <w:rPr>
          <w:rFonts w:ascii="Candara" w:hAnsi="Candara"/>
        </w:rPr>
        <w:t>how those assets should be operated.</w:t>
      </w:r>
      <w:r w:rsidR="008C0F41">
        <w:rPr>
          <w:rFonts w:ascii="Candara" w:hAnsi="Candara"/>
        </w:rPr>
        <w:t xml:space="preserve"> </w:t>
      </w:r>
    </w:p>
    <w:p w14:paraId="019D7455" w14:textId="77777777" w:rsidR="00E76C9C" w:rsidRPr="00C629A3" w:rsidRDefault="001D2AC2" w:rsidP="00E76C9C">
      <w:pPr>
        <w:autoSpaceDE w:val="0"/>
        <w:autoSpaceDN w:val="0"/>
        <w:adjustRightInd w:val="0"/>
        <w:spacing w:before="120" w:after="80"/>
        <w:rPr>
          <w:rFonts w:ascii="Candara" w:hAnsi="Candara"/>
        </w:rPr>
      </w:pPr>
      <w:r w:rsidRPr="00C629A3">
        <w:rPr>
          <w:rFonts w:ascii="Candara" w:hAnsi="Candara"/>
        </w:rPr>
        <w:t xml:space="preserve">For example, </w:t>
      </w:r>
      <w:r w:rsidR="00E76C9C" w:rsidRPr="00C629A3">
        <w:rPr>
          <w:rFonts w:ascii="Candara" w:hAnsi="Candara"/>
        </w:rPr>
        <w:t>in January 2012 Energy Safe Victoria issued directions in respect of the control groups</w:t>
      </w:r>
      <w:r w:rsidR="00E76C9C" w:rsidRPr="00C629A3">
        <w:rPr>
          <w:rStyle w:val="FootnoteReference"/>
          <w:rFonts w:ascii="Candara" w:hAnsi="Candara"/>
        </w:rPr>
        <w:footnoteReference w:id="21"/>
      </w:r>
      <w:r w:rsidR="00E76C9C" w:rsidRPr="00C629A3">
        <w:rPr>
          <w:rFonts w:ascii="Candara" w:hAnsi="Candara"/>
        </w:rPr>
        <w:t xml:space="preserve"> used on Automatic Circuit Reclosers (ACRs) on Singe Wire Earth Return (SWER) lines. The Government was in a p</w:t>
      </w:r>
      <w:r w:rsidR="00BF4B22">
        <w:rPr>
          <w:rFonts w:ascii="Candara" w:hAnsi="Candara"/>
        </w:rPr>
        <w:t xml:space="preserve">osition to issue the direction </w:t>
      </w:r>
      <w:r w:rsidR="00E76C9C" w:rsidRPr="00C629A3">
        <w:rPr>
          <w:rFonts w:ascii="Candara" w:hAnsi="Candara"/>
        </w:rPr>
        <w:t xml:space="preserve">given the research undertaken by the Powerline Bushfire Safety Taskforce on how best to employ these devices to reduce bushfire risk. </w:t>
      </w:r>
    </w:p>
    <w:p w14:paraId="481CC5AA" w14:textId="663AFC0D" w:rsidR="00E76C9C" w:rsidRPr="00C629A3" w:rsidRDefault="002A14FF" w:rsidP="00E76C9C">
      <w:pPr>
        <w:autoSpaceDE w:val="0"/>
        <w:autoSpaceDN w:val="0"/>
        <w:adjustRightInd w:val="0"/>
        <w:spacing w:before="120" w:after="80"/>
        <w:rPr>
          <w:rFonts w:ascii="Candara" w:hAnsi="Candara"/>
        </w:rPr>
      </w:pPr>
      <w:r>
        <w:rPr>
          <w:rFonts w:ascii="Candara" w:hAnsi="Candara"/>
        </w:rPr>
        <w:t>Similarly,</w:t>
      </w:r>
      <w:r w:rsidR="00375FA7">
        <w:rPr>
          <w:rFonts w:ascii="Candara" w:hAnsi="Candara"/>
        </w:rPr>
        <w:t xml:space="preserve"> the Government has introduced </w:t>
      </w:r>
      <w:r w:rsidR="00E76C9C" w:rsidRPr="00C629A3">
        <w:rPr>
          <w:rFonts w:ascii="Candara" w:hAnsi="Candara"/>
        </w:rPr>
        <w:t xml:space="preserve">the </w:t>
      </w:r>
      <w:r w:rsidR="00E76C9C" w:rsidRPr="00534964">
        <w:rPr>
          <w:rFonts w:ascii="Candara" w:hAnsi="Candara"/>
          <w:i/>
        </w:rPr>
        <w:t xml:space="preserve">Electricity Safety (Bushfire Mitigation) </w:t>
      </w:r>
      <w:r w:rsidR="00375FA7">
        <w:rPr>
          <w:rFonts w:ascii="Candara" w:hAnsi="Candara"/>
          <w:i/>
        </w:rPr>
        <w:t xml:space="preserve">Amendment </w:t>
      </w:r>
      <w:r w:rsidR="00E76C9C" w:rsidRPr="00534964">
        <w:rPr>
          <w:rFonts w:ascii="Candara" w:hAnsi="Candara"/>
          <w:i/>
        </w:rPr>
        <w:t xml:space="preserve">Regulations </w:t>
      </w:r>
      <w:r w:rsidR="00534964">
        <w:rPr>
          <w:rFonts w:ascii="Candara" w:hAnsi="Candara"/>
          <w:i/>
        </w:rPr>
        <w:t>2</w:t>
      </w:r>
      <w:r w:rsidR="00534964" w:rsidRPr="00534964">
        <w:rPr>
          <w:rFonts w:ascii="Candara" w:hAnsi="Candara"/>
          <w:i/>
        </w:rPr>
        <w:t>0</w:t>
      </w:r>
      <w:r w:rsidR="00534964">
        <w:rPr>
          <w:rFonts w:ascii="Candara" w:hAnsi="Candara"/>
          <w:i/>
        </w:rPr>
        <w:t>1</w:t>
      </w:r>
      <w:r w:rsidR="00375FA7">
        <w:rPr>
          <w:rFonts w:ascii="Candara" w:hAnsi="Candara"/>
          <w:i/>
        </w:rPr>
        <w:t>6</w:t>
      </w:r>
      <w:r w:rsidR="00534964">
        <w:rPr>
          <w:rFonts w:ascii="Candara" w:hAnsi="Candara"/>
        </w:rPr>
        <w:t xml:space="preserve"> </w:t>
      </w:r>
      <w:r w:rsidR="00E76C9C" w:rsidRPr="00C629A3">
        <w:rPr>
          <w:rFonts w:ascii="Candara" w:hAnsi="Candara"/>
        </w:rPr>
        <w:t>which require networks to achieve specific standards o</w:t>
      </w:r>
      <w:r w:rsidR="008C2A5C">
        <w:rPr>
          <w:rFonts w:ascii="Candara" w:hAnsi="Candara"/>
        </w:rPr>
        <w:t xml:space="preserve">f fault detection and response </w:t>
      </w:r>
      <w:r w:rsidR="00E76C9C" w:rsidRPr="00C629A3">
        <w:rPr>
          <w:rFonts w:ascii="Candara" w:hAnsi="Candara"/>
        </w:rPr>
        <w:t>achievable through the installation of Rapid Earth Fault Current Limiters (REFCLs). On</w:t>
      </w:r>
      <w:r w:rsidR="008C0F41">
        <w:rPr>
          <w:rFonts w:ascii="Candara" w:hAnsi="Candara"/>
        </w:rPr>
        <w:t xml:space="preserve">ce </w:t>
      </w:r>
      <w:r w:rsidR="008C0F41">
        <w:rPr>
          <w:rFonts w:ascii="Candara" w:hAnsi="Candara"/>
        </w:rPr>
        <w:lastRenderedPageBreak/>
        <w:t xml:space="preserve">again, this step followed </w:t>
      </w:r>
      <w:r w:rsidR="008C0F41" w:rsidRPr="00C629A3">
        <w:rPr>
          <w:rFonts w:ascii="Candara" w:hAnsi="Candara"/>
        </w:rPr>
        <w:t xml:space="preserve">over 2,000 separate technology tests </w:t>
      </w:r>
      <w:r w:rsidR="008C0F41">
        <w:rPr>
          <w:rFonts w:ascii="Candara" w:hAnsi="Candara"/>
        </w:rPr>
        <w:t xml:space="preserve">supported by </w:t>
      </w:r>
      <w:r w:rsidR="008C0F41" w:rsidRPr="00C629A3">
        <w:rPr>
          <w:rFonts w:ascii="Candara" w:hAnsi="Candara"/>
        </w:rPr>
        <w:t xml:space="preserve">$5.5 million </w:t>
      </w:r>
      <w:r w:rsidR="008C0F41">
        <w:rPr>
          <w:rFonts w:ascii="Candara" w:hAnsi="Candara"/>
        </w:rPr>
        <w:t>of Victorian Government investment</w:t>
      </w:r>
      <w:r w:rsidR="00E76C9C" w:rsidRPr="00C629A3">
        <w:rPr>
          <w:rFonts w:ascii="Candara" w:hAnsi="Candara"/>
        </w:rPr>
        <w:t>.</w:t>
      </w:r>
      <w:r w:rsidR="001C0AA3">
        <w:rPr>
          <w:rStyle w:val="FootnoteReference"/>
          <w:rFonts w:ascii="Candara" w:hAnsi="Candara"/>
        </w:rPr>
        <w:footnoteReference w:id="22"/>
      </w:r>
      <w:r w:rsidR="00E76C9C" w:rsidRPr="00C629A3">
        <w:rPr>
          <w:rFonts w:ascii="Candara" w:hAnsi="Candara"/>
        </w:rPr>
        <w:t xml:space="preserve"> </w:t>
      </w:r>
    </w:p>
    <w:p w14:paraId="12D7E5C3" w14:textId="77777777" w:rsidR="00912DA9" w:rsidRPr="00C629A3" w:rsidRDefault="00E76C9C" w:rsidP="00E76C9C">
      <w:pPr>
        <w:autoSpaceDE w:val="0"/>
        <w:autoSpaceDN w:val="0"/>
        <w:adjustRightInd w:val="0"/>
        <w:spacing w:before="120" w:after="80"/>
        <w:rPr>
          <w:rFonts w:ascii="Candara" w:hAnsi="Candara"/>
        </w:rPr>
      </w:pPr>
      <w:r w:rsidRPr="00C629A3">
        <w:rPr>
          <w:rFonts w:ascii="Candara" w:hAnsi="Candara"/>
        </w:rPr>
        <w:t>I</w:t>
      </w:r>
      <w:r w:rsidR="008F2689">
        <w:rPr>
          <w:rFonts w:ascii="Candara" w:hAnsi="Candara"/>
        </w:rPr>
        <w:t xml:space="preserve">t is difficult for </w:t>
      </w:r>
      <w:r w:rsidRPr="00C629A3">
        <w:rPr>
          <w:rFonts w:ascii="Candara" w:hAnsi="Candara"/>
        </w:rPr>
        <w:t xml:space="preserve">Government </w:t>
      </w:r>
      <w:r w:rsidR="008F2689">
        <w:rPr>
          <w:rFonts w:ascii="Candara" w:hAnsi="Candara"/>
        </w:rPr>
        <w:t xml:space="preserve">to maintain </w:t>
      </w:r>
      <w:r w:rsidR="00D922F6">
        <w:rPr>
          <w:rFonts w:ascii="Candara" w:hAnsi="Candara"/>
        </w:rPr>
        <w:t>adequate</w:t>
      </w:r>
      <w:r w:rsidRPr="00C629A3">
        <w:rPr>
          <w:rFonts w:ascii="Candara" w:hAnsi="Candara"/>
        </w:rPr>
        <w:t xml:space="preserve"> information to inform a prescriptive regulatory approa</w:t>
      </w:r>
      <w:r w:rsidR="00912DA9" w:rsidRPr="00C629A3">
        <w:rPr>
          <w:rFonts w:ascii="Candara" w:hAnsi="Candara"/>
        </w:rPr>
        <w:t>ch</w:t>
      </w:r>
      <w:r w:rsidR="00232592">
        <w:rPr>
          <w:rFonts w:ascii="Candara" w:hAnsi="Candara"/>
        </w:rPr>
        <w:t xml:space="preserve"> to electricity network operations</w:t>
      </w:r>
      <w:r w:rsidR="00912DA9" w:rsidRPr="00C629A3">
        <w:rPr>
          <w:rFonts w:ascii="Candara" w:hAnsi="Candara"/>
        </w:rPr>
        <w:t xml:space="preserve">. </w:t>
      </w:r>
      <w:r w:rsidRPr="00C629A3">
        <w:rPr>
          <w:rFonts w:ascii="Candara" w:hAnsi="Candara"/>
        </w:rPr>
        <w:t xml:space="preserve">The </w:t>
      </w:r>
      <w:r w:rsidR="008F2689">
        <w:rPr>
          <w:rFonts w:ascii="Candara" w:hAnsi="Candara"/>
        </w:rPr>
        <w:t xml:space="preserve">difficulty </w:t>
      </w:r>
      <w:r w:rsidRPr="00C629A3">
        <w:rPr>
          <w:rFonts w:ascii="Candara" w:hAnsi="Candara"/>
        </w:rPr>
        <w:t xml:space="preserve">is worsened by the continuing technological changes which are affecting the electricity industry. </w:t>
      </w:r>
      <w:r w:rsidR="00912DA9" w:rsidRPr="00C629A3">
        <w:rPr>
          <w:rFonts w:ascii="Candara" w:hAnsi="Candara"/>
        </w:rPr>
        <w:t xml:space="preserve">Government would need to make a considerable and ongoing investment to be in a position to prescribe best technical solutions to safe </w:t>
      </w:r>
      <w:r w:rsidR="00232592">
        <w:rPr>
          <w:rFonts w:ascii="Candara" w:hAnsi="Candara"/>
        </w:rPr>
        <w:t>operation</w:t>
      </w:r>
      <w:r w:rsidR="00912DA9" w:rsidRPr="00C629A3">
        <w:rPr>
          <w:rFonts w:ascii="Candara" w:hAnsi="Candara"/>
        </w:rPr>
        <w:t xml:space="preserve"> of electricity assets.  </w:t>
      </w:r>
    </w:p>
    <w:p w14:paraId="3D87D73E" w14:textId="77777777" w:rsidR="00E76C9C" w:rsidRPr="00C629A3" w:rsidRDefault="00912DA9" w:rsidP="00447EFE">
      <w:pPr>
        <w:autoSpaceDE w:val="0"/>
        <w:autoSpaceDN w:val="0"/>
        <w:adjustRightInd w:val="0"/>
        <w:spacing w:before="120" w:after="80"/>
        <w:rPr>
          <w:rFonts w:ascii="Candara" w:hAnsi="Candara"/>
        </w:rPr>
      </w:pPr>
      <w:r w:rsidRPr="00C629A3">
        <w:rPr>
          <w:rFonts w:ascii="Candara" w:hAnsi="Candara"/>
        </w:rPr>
        <w:t>Consequently further use of prescriptive regulation is not preferred.</w:t>
      </w:r>
    </w:p>
    <w:p w14:paraId="1F594AC1" w14:textId="77777777" w:rsidR="00002886" w:rsidRPr="00C629A3" w:rsidRDefault="00EE35B5" w:rsidP="009F5994">
      <w:pPr>
        <w:pStyle w:val="Heading4"/>
        <w:rPr>
          <w:sz w:val="22"/>
          <w:szCs w:val="22"/>
        </w:rPr>
      </w:pPr>
      <w:r>
        <w:rPr>
          <w:sz w:val="22"/>
          <w:szCs w:val="22"/>
        </w:rPr>
        <w:t>Outcomes-Based R</w:t>
      </w:r>
      <w:r w:rsidR="00470114" w:rsidRPr="00C629A3">
        <w:rPr>
          <w:sz w:val="22"/>
          <w:szCs w:val="22"/>
        </w:rPr>
        <w:t xml:space="preserve">egulation </w:t>
      </w:r>
    </w:p>
    <w:p w14:paraId="3F9590CD" w14:textId="77777777" w:rsidR="00FA3742" w:rsidRPr="00C629A3" w:rsidRDefault="00FA3742" w:rsidP="00574D14">
      <w:pPr>
        <w:autoSpaceDE w:val="0"/>
        <w:autoSpaceDN w:val="0"/>
        <w:adjustRightInd w:val="0"/>
        <w:spacing w:before="120" w:after="80"/>
        <w:rPr>
          <w:rFonts w:ascii="Candara" w:hAnsi="Candara"/>
        </w:rPr>
      </w:pPr>
      <w:r w:rsidRPr="00C629A3">
        <w:rPr>
          <w:rFonts w:ascii="Candara" w:hAnsi="Candara"/>
        </w:rPr>
        <w:t xml:space="preserve">Outcomes-based regulation mandates that a party (for example, the </w:t>
      </w:r>
      <w:r w:rsidR="00646ED2">
        <w:rPr>
          <w:rFonts w:ascii="Candara" w:hAnsi="Candara"/>
        </w:rPr>
        <w:t>distribution businesses</w:t>
      </w:r>
      <w:r w:rsidR="00912DA9" w:rsidRPr="00C629A3">
        <w:rPr>
          <w:rFonts w:ascii="Candara" w:hAnsi="Candara"/>
        </w:rPr>
        <w:t xml:space="preserve">) </w:t>
      </w:r>
      <w:r w:rsidRPr="00C629A3">
        <w:rPr>
          <w:rFonts w:ascii="Candara" w:hAnsi="Candara"/>
        </w:rPr>
        <w:t xml:space="preserve">deliver a result (for example, reduce the bushfire risk posed by the distribution network) but it does not specify how this result must be delivered. </w:t>
      </w:r>
    </w:p>
    <w:p w14:paraId="67E0D546" w14:textId="77777777" w:rsidR="000E1FAC" w:rsidRPr="00C629A3" w:rsidRDefault="00FA3742" w:rsidP="000E1FAC">
      <w:pPr>
        <w:autoSpaceDE w:val="0"/>
        <w:autoSpaceDN w:val="0"/>
        <w:adjustRightInd w:val="0"/>
        <w:spacing w:before="120" w:after="80"/>
        <w:rPr>
          <w:rFonts w:ascii="Candara" w:hAnsi="Candara"/>
        </w:rPr>
      </w:pPr>
      <w:r w:rsidRPr="00C629A3">
        <w:rPr>
          <w:rFonts w:ascii="Candara" w:hAnsi="Candara"/>
        </w:rPr>
        <w:t xml:space="preserve">To adopt this option </w:t>
      </w:r>
      <w:r w:rsidR="00470114" w:rsidRPr="00C629A3">
        <w:rPr>
          <w:rFonts w:ascii="Candara" w:hAnsi="Candara"/>
        </w:rPr>
        <w:t xml:space="preserve">the Government </w:t>
      </w:r>
      <w:r w:rsidRPr="00C629A3">
        <w:rPr>
          <w:rFonts w:ascii="Candara" w:hAnsi="Candara"/>
        </w:rPr>
        <w:t>would set</w:t>
      </w:r>
      <w:r w:rsidR="00470114" w:rsidRPr="00C629A3">
        <w:rPr>
          <w:rFonts w:ascii="Candara" w:hAnsi="Candara"/>
        </w:rPr>
        <w:t xml:space="preserve"> a broadly-framed requirement to achieve a desired outcome, while leaving the regulated parties the discretion to determine ho</w:t>
      </w:r>
      <w:r w:rsidR="005419E6" w:rsidRPr="00C629A3">
        <w:rPr>
          <w:rFonts w:ascii="Candara" w:hAnsi="Candara"/>
        </w:rPr>
        <w:t xml:space="preserve">w this would best be achieved. </w:t>
      </w:r>
    </w:p>
    <w:p w14:paraId="3762BF3D" w14:textId="33B9493A" w:rsidR="00390BC5" w:rsidRPr="00C629A3" w:rsidRDefault="000E1FAC" w:rsidP="008729EA">
      <w:pPr>
        <w:autoSpaceDE w:val="0"/>
        <w:autoSpaceDN w:val="0"/>
        <w:adjustRightInd w:val="0"/>
        <w:spacing w:before="120" w:after="80"/>
        <w:rPr>
          <w:rFonts w:ascii="Candara" w:hAnsi="Candara"/>
        </w:rPr>
      </w:pPr>
      <w:r w:rsidRPr="00C629A3">
        <w:rPr>
          <w:rFonts w:ascii="Candara" w:hAnsi="Candara"/>
        </w:rPr>
        <w:t xml:space="preserve">Risk ownership for each response to this stated outcome is appropriately left with the businesses and is not transferred to the Government. </w:t>
      </w:r>
      <w:r w:rsidR="00390BC5" w:rsidRPr="00C629A3">
        <w:rPr>
          <w:rFonts w:ascii="Candara" w:hAnsi="Candara"/>
        </w:rPr>
        <w:t>This</w:t>
      </w:r>
      <w:r w:rsidR="008C2A5C">
        <w:rPr>
          <w:rFonts w:ascii="Candara" w:hAnsi="Candara"/>
        </w:rPr>
        <w:t xml:space="preserve"> approach does not require the S</w:t>
      </w:r>
      <w:r w:rsidR="00390BC5" w:rsidRPr="00C629A3">
        <w:rPr>
          <w:rFonts w:ascii="Candara" w:hAnsi="Candara"/>
        </w:rPr>
        <w:t xml:space="preserve">tate to mandate how network technology is used or how and when operational practices should be undertaken. </w:t>
      </w:r>
      <w:r w:rsidR="00232278" w:rsidRPr="00C629A3">
        <w:rPr>
          <w:rFonts w:ascii="Candara" w:hAnsi="Candara"/>
        </w:rPr>
        <w:t xml:space="preserve">As noted above, the </w:t>
      </w:r>
      <w:r w:rsidR="00646ED2">
        <w:rPr>
          <w:rFonts w:ascii="Candara" w:hAnsi="Candara"/>
        </w:rPr>
        <w:t>distribution businesses</w:t>
      </w:r>
      <w:r w:rsidR="00232278" w:rsidRPr="00C629A3">
        <w:rPr>
          <w:rFonts w:ascii="Candara" w:hAnsi="Candara"/>
        </w:rPr>
        <w:t xml:space="preserve"> </w:t>
      </w:r>
      <w:r w:rsidR="00390BC5" w:rsidRPr="00C629A3">
        <w:rPr>
          <w:rFonts w:ascii="Candara" w:hAnsi="Candara"/>
        </w:rPr>
        <w:t xml:space="preserve">are best placed to make these operational and maintenance decisions as they </w:t>
      </w:r>
      <w:r w:rsidR="00232278" w:rsidRPr="00C629A3">
        <w:rPr>
          <w:rFonts w:ascii="Candara" w:hAnsi="Candara"/>
        </w:rPr>
        <w:t xml:space="preserve">hold the best knowledge of </w:t>
      </w:r>
      <w:r w:rsidR="00390BC5" w:rsidRPr="00C629A3">
        <w:rPr>
          <w:rFonts w:ascii="Candara" w:hAnsi="Candara"/>
        </w:rPr>
        <w:t xml:space="preserve">how </w:t>
      </w:r>
      <w:r w:rsidR="00232278" w:rsidRPr="00C629A3">
        <w:rPr>
          <w:rFonts w:ascii="Candara" w:hAnsi="Candara"/>
        </w:rPr>
        <w:t>their network</w:t>
      </w:r>
      <w:r w:rsidR="00103AA9" w:rsidRPr="00C629A3">
        <w:rPr>
          <w:rFonts w:ascii="Candara" w:hAnsi="Candara"/>
        </w:rPr>
        <w:t>s function as a whole</w:t>
      </w:r>
      <w:r w:rsidR="00232278" w:rsidRPr="00C629A3">
        <w:rPr>
          <w:rFonts w:ascii="Candara" w:hAnsi="Candara"/>
        </w:rPr>
        <w:t xml:space="preserve"> and how individual assets operate and fail. </w:t>
      </w:r>
    </w:p>
    <w:p w14:paraId="624F54B6" w14:textId="77777777" w:rsidR="00A51611" w:rsidRPr="00C629A3" w:rsidRDefault="00D922F6" w:rsidP="008729EA">
      <w:pPr>
        <w:autoSpaceDE w:val="0"/>
        <w:autoSpaceDN w:val="0"/>
        <w:adjustRightInd w:val="0"/>
        <w:spacing w:before="120" w:after="80"/>
        <w:rPr>
          <w:rFonts w:ascii="Candara" w:hAnsi="Candara"/>
        </w:rPr>
      </w:pPr>
      <w:r>
        <w:rPr>
          <w:rFonts w:ascii="Candara" w:hAnsi="Candara"/>
        </w:rPr>
        <w:t>A</w:t>
      </w:r>
      <w:r w:rsidR="00390BC5" w:rsidRPr="00C629A3">
        <w:rPr>
          <w:rFonts w:ascii="Candara" w:hAnsi="Candara"/>
        </w:rPr>
        <w:t>n</w:t>
      </w:r>
      <w:r w:rsidR="00103AA9" w:rsidRPr="00C629A3">
        <w:rPr>
          <w:rFonts w:ascii="Candara" w:hAnsi="Candara"/>
        </w:rPr>
        <w:t xml:space="preserve"> </w:t>
      </w:r>
      <w:r w:rsidR="00232278" w:rsidRPr="00C629A3">
        <w:rPr>
          <w:rFonts w:ascii="Candara" w:hAnsi="Candara"/>
        </w:rPr>
        <w:t>o</w:t>
      </w:r>
      <w:r w:rsidR="00103AA9" w:rsidRPr="00C629A3">
        <w:rPr>
          <w:rFonts w:ascii="Candara" w:hAnsi="Candara"/>
        </w:rPr>
        <w:t xml:space="preserve">utcomes-based </w:t>
      </w:r>
      <w:r w:rsidR="00232278" w:rsidRPr="00C629A3">
        <w:rPr>
          <w:rFonts w:ascii="Candara" w:hAnsi="Candara"/>
        </w:rPr>
        <w:t xml:space="preserve">financial incentive </w:t>
      </w:r>
      <w:r w:rsidR="008C2A5C">
        <w:rPr>
          <w:rFonts w:ascii="Candara" w:hAnsi="Candara"/>
        </w:rPr>
        <w:t>allows the S</w:t>
      </w:r>
      <w:r w:rsidR="00390BC5" w:rsidRPr="00C629A3">
        <w:rPr>
          <w:rFonts w:ascii="Candara" w:hAnsi="Candara"/>
        </w:rPr>
        <w:t xml:space="preserve">tate to target the </w:t>
      </w:r>
      <w:r w:rsidR="00CD0342">
        <w:rPr>
          <w:rFonts w:ascii="Candara" w:hAnsi="Candara"/>
        </w:rPr>
        <w:t xml:space="preserve">distribution </w:t>
      </w:r>
      <w:r w:rsidR="00390BC5" w:rsidRPr="00C629A3">
        <w:rPr>
          <w:rFonts w:ascii="Candara" w:hAnsi="Candara"/>
        </w:rPr>
        <w:t>businesses’ attention on</w:t>
      </w:r>
      <w:r w:rsidR="00103AA9" w:rsidRPr="00C629A3">
        <w:rPr>
          <w:rFonts w:ascii="Candara" w:hAnsi="Candara"/>
        </w:rPr>
        <w:t xml:space="preserve"> the times and places of the network</w:t>
      </w:r>
      <w:r w:rsidR="00390BC5" w:rsidRPr="00C629A3">
        <w:rPr>
          <w:rFonts w:ascii="Candara" w:hAnsi="Candara"/>
        </w:rPr>
        <w:t xml:space="preserve"> of greatest bushfire risk. </w:t>
      </w:r>
    </w:p>
    <w:p w14:paraId="1871A3E2" w14:textId="77777777" w:rsidR="000E1FAC" w:rsidRPr="00C629A3" w:rsidRDefault="00534964" w:rsidP="008729EA">
      <w:pPr>
        <w:autoSpaceDE w:val="0"/>
        <w:autoSpaceDN w:val="0"/>
        <w:adjustRightInd w:val="0"/>
        <w:spacing w:before="120" w:after="80"/>
        <w:rPr>
          <w:rFonts w:ascii="Candara" w:hAnsi="Candara"/>
        </w:rPr>
      </w:pPr>
      <w:r>
        <w:rPr>
          <w:rFonts w:ascii="Candara" w:hAnsi="Candara"/>
        </w:rPr>
        <w:t>An outcome-based</w:t>
      </w:r>
      <w:r w:rsidR="00A51611" w:rsidRPr="00C629A3">
        <w:rPr>
          <w:rFonts w:ascii="Candara" w:hAnsi="Candara"/>
        </w:rPr>
        <w:t xml:space="preserve"> approach has been </w:t>
      </w:r>
      <w:r>
        <w:rPr>
          <w:rFonts w:ascii="Candara" w:hAnsi="Candara"/>
        </w:rPr>
        <w:t xml:space="preserve">previously </w:t>
      </w:r>
      <w:r w:rsidR="00A51611" w:rsidRPr="00C629A3">
        <w:rPr>
          <w:rFonts w:ascii="Candara" w:hAnsi="Candara"/>
        </w:rPr>
        <w:t xml:space="preserve">adopted </w:t>
      </w:r>
      <w:r w:rsidR="00D922F6">
        <w:rPr>
          <w:rFonts w:ascii="Candara" w:hAnsi="Candara"/>
        </w:rPr>
        <w:t>because</w:t>
      </w:r>
      <w:r w:rsidR="00A51611" w:rsidRPr="00C629A3">
        <w:rPr>
          <w:rFonts w:ascii="Candara" w:hAnsi="Candara"/>
        </w:rPr>
        <w:t xml:space="preserve"> </w:t>
      </w:r>
      <w:r w:rsidR="00CD0342">
        <w:rPr>
          <w:rFonts w:ascii="Candara" w:hAnsi="Candara"/>
        </w:rPr>
        <w:t xml:space="preserve">distribution </w:t>
      </w:r>
      <w:r w:rsidR="00A51611" w:rsidRPr="00C629A3">
        <w:rPr>
          <w:rFonts w:ascii="Candara" w:hAnsi="Candara"/>
        </w:rPr>
        <w:t xml:space="preserve">businesses are best placed to know what technical decisions are required. </w:t>
      </w:r>
      <w:r w:rsidR="00CD0342">
        <w:rPr>
          <w:rFonts w:ascii="Candara" w:hAnsi="Candara"/>
        </w:rPr>
        <w:t>Distribution b</w:t>
      </w:r>
      <w:r w:rsidR="008146DC" w:rsidRPr="00C629A3">
        <w:rPr>
          <w:rFonts w:ascii="Candara" w:hAnsi="Candara"/>
        </w:rPr>
        <w:t>usinesses are required to submi</w:t>
      </w:r>
      <w:r w:rsidR="00CD0342">
        <w:rPr>
          <w:rFonts w:ascii="Candara" w:hAnsi="Candara"/>
        </w:rPr>
        <w:t>t Bushfire Mitigation P</w:t>
      </w:r>
      <w:r w:rsidR="008146DC" w:rsidRPr="00C629A3">
        <w:rPr>
          <w:rFonts w:ascii="Candara" w:hAnsi="Candara"/>
        </w:rPr>
        <w:t xml:space="preserve">lans to ESV for approval under the </w:t>
      </w:r>
      <w:r w:rsidR="008146DC" w:rsidRPr="00C629A3">
        <w:rPr>
          <w:rFonts w:ascii="Candara" w:hAnsi="Candara"/>
          <w:i/>
        </w:rPr>
        <w:t>Electricity Safety Act 1998 (Vic)</w:t>
      </w:r>
      <w:r w:rsidR="008146DC" w:rsidRPr="00C629A3">
        <w:rPr>
          <w:rFonts w:ascii="Candara" w:hAnsi="Candara"/>
        </w:rPr>
        <w:t xml:space="preserve">. The </w:t>
      </w:r>
      <w:r w:rsidR="0080383F" w:rsidRPr="00C629A3">
        <w:rPr>
          <w:rFonts w:ascii="Candara" w:hAnsi="Candara"/>
        </w:rPr>
        <w:t>Act specifies what the</w:t>
      </w:r>
      <w:r w:rsidR="008146DC" w:rsidRPr="00C629A3">
        <w:rPr>
          <w:rFonts w:ascii="Candara" w:hAnsi="Candara"/>
        </w:rPr>
        <w:t xml:space="preserve"> plans must</w:t>
      </w:r>
      <w:r w:rsidR="0080383F" w:rsidRPr="00C629A3">
        <w:rPr>
          <w:rFonts w:ascii="Candara" w:hAnsi="Candara"/>
        </w:rPr>
        <w:t xml:space="preserve"> broadly</w:t>
      </w:r>
      <w:r w:rsidR="008146DC" w:rsidRPr="00C629A3">
        <w:rPr>
          <w:rFonts w:ascii="Candara" w:hAnsi="Candara"/>
        </w:rPr>
        <w:t xml:space="preserve"> </w:t>
      </w:r>
      <w:r w:rsidR="0080383F" w:rsidRPr="00C629A3">
        <w:rPr>
          <w:rFonts w:ascii="Candara" w:hAnsi="Candara"/>
        </w:rPr>
        <w:t>cover, leaving the</w:t>
      </w:r>
      <w:r w:rsidR="008146DC" w:rsidRPr="00C629A3">
        <w:rPr>
          <w:rFonts w:ascii="Candara" w:hAnsi="Candara"/>
        </w:rPr>
        <w:t xml:space="preserve"> </w:t>
      </w:r>
      <w:r w:rsidR="0080383F" w:rsidRPr="00C629A3">
        <w:rPr>
          <w:rFonts w:ascii="Candara" w:hAnsi="Candara"/>
        </w:rPr>
        <w:t xml:space="preserve">businesses to identify </w:t>
      </w:r>
      <w:r w:rsidR="008146DC" w:rsidRPr="00C629A3">
        <w:rPr>
          <w:rFonts w:ascii="Candara" w:hAnsi="Candara"/>
        </w:rPr>
        <w:t xml:space="preserve"> </w:t>
      </w:r>
      <w:r w:rsidR="0080383F" w:rsidRPr="00C629A3">
        <w:rPr>
          <w:rFonts w:ascii="Candara" w:hAnsi="Candara"/>
        </w:rPr>
        <w:t>the a</w:t>
      </w:r>
      <w:r w:rsidR="008525E7" w:rsidRPr="00C629A3">
        <w:rPr>
          <w:rFonts w:ascii="Candara" w:hAnsi="Candara"/>
        </w:rPr>
        <w:t xml:space="preserve">ctions businesses must undertake </w:t>
      </w:r>
      <w:r w:rsidR="008146DC" w:rsidRPr="00C629A3">
        <w:rPr>
          <w:rFonts w:ascii="Candara" w:hAnsi="Candara"/>
        </w:rPr>
        <w:t xml:space="preserve">to deliver the outcome of reduced bushfire risk. </w:t>
      </w:r>
    </w:p>
    <w:p w14:paraId="5AA8DFCE" w14:textId="77777777" w:rsidR="00470114" w:rsidRPr="00C629A3" w:rsidRDefault="00470114" w:rsidP="008729EA">
      <w:pPr>
        <w:autoSpaceDE w:val="0"/>
        <w:autoSpaceDN w:val="0"/>
        <w:adjustRightInd w:val="0"/>
        <w:spacing w:before="120" w:after="80"/>
        <w:rPr>
          <w:rFonts w:ascii="Candara" w:hAnsi="Candara"/>
        </w:rPr>
      </w:pPr>
      <w:r w:rsidRPr="00C629A3">
        <w:rPr>
          <w:rFonts w:ascii="Candara" w:hAnsi="Candara"/>
        </w:rPr>
        <w:t>Consequently an outcomes-based regulatory approach is preferred.</w:t>
      </w:r>
      <w:r w:rsidR="0080383F" w:rsidRPr="00C629A3">
        <w:rPr>
          <w:rFonts w:ascii="Candara" w:hAnsi="Candara"/>
        </w:rPr>
        <w:t xml:space="preserve"> </w:t>
      </w:r>
    </w:p>
    <w:p w14:paraId="64BBF1F5" w14:textId="7C56D74D" w:rsidR="0067223E" w:rsidRDefault="0067223E" w:rsidP="009F5994">
      <w:pPr>
        <w:pStyle w:val="Heading2"/>
        <w:rPr>
          <w:sz w:val="22"/>
          <w:szCs w:val="22"/>
        </w:rPr>
      </w:pPr>
      <w:bookmarkStart w:id="27" w:name="_Toc458675181"/>
      <w:r>
        <w:rPr>
          <w:sz w:val="22"/>
          <w:szCs w:val="22"/>
        </w:rPr>
        <w:t>What type of Outcome-Based Approach?</w:t>
      </w:r>
      <w:bookmarkEnd w:id="27"/>
    </w:p>
    <w:p w14:paraId="5D446E7A" w14:textId="236F7486" w:rsidR="006A4A7D" w:rsidRDefault="006A4A7D" w:rsidP="00574D14">
      <w:pPr>
        <w:autoSpaceDE w:val="0"/>
        <w:autoSpaceDN w:val="0"/>
        <w:adjustRightInd w:val="0"/>
        <w:spacing w:before="120" w:after="80"/>
        <w:rPr>
          <w:rFonts w:ascii="Candara" w:hAnsi="Candara"/>
        </w:rPr>
      </w:pPr>
      <w:r>
        <w:rPr>
          <w:rFonts w:ascii="Candara" w:hAnsi="Candara"/>
        </w:rPr>
        <w:t>The Government could consider a range of</w:t>
      </w:r>
      <w:r w:rsidR="0059715A">
        <w:rPr>
          <w:rFonts w:ascii="Candara" w:hAnsi="Candara"/>
        </w:rPr>
        <w:t xml:space="preserve"> approaches to achieve the outcome of reduced </w:t>
      </w:r>
      <w:r w:rsidR="000E4CD9">
        <w:rPr>
          <w:rFonts w:ascii="Candara" w:hAnsi="Candara"/>
        </w:rPr>
        <w:t xml:space="preserve">harm from </w:t>
      </w:r>
      <w:r w:rsidR="0059715A">
        <w:rPr>
          <w:rFonts w:ascii="Candara" w:hAnsi="Candara"/>
        </w:rPr>
        <w:t>bu</w:t>
      </w:r>
      <w:r w:rsidR="000E4CD9">
        <w:rPr>
          <w:rFonts w:ascii="Candara" w:hAnsi="Candara"/>
        </w:rPr>
        <w:t>shfires started by</w:t>
      </w:r>
      <w:r w:rsidR="0059715A">
        <w:rPr>
          <w:rFonts w:ascii="Candara" w:hAnsi="Candara"/>
        </w:rPr>
        <w:t xml:space="preserve"> electricity assets</w:t>
      </w:r>
      <w:r>
        <w:rPr>
          <w:rFonts w:ascii="Candara" w:hAnsi="Candara"/>
        </w:rPr>
        <w:t xml:space="preserve">. </w:t>
      </w:r>
      <w:r w:rsidR="0059715A">
        <w:rPr>
          <w:rFonts w:ascii="Candara" w:hAnsi="Candara"/>
        </w:rPr>
        <w:t>But what would be required is a suitable metric that best approximates this outcome. Such approaches</w:t>
      </w:r>
      <w:r w:rsidR="000244A0">
        <w:rPr>
          <w:rFonts w:ascii="Candara" w:hAnsi="Candara"/>
        </w:rPr>
        <w:t xml:space="preserve"> could include</w:t>
      </w:r>
      <w:r w:rsidR="0059715A">
        <w:rPr>
          <w:rFonts w:ascii="Candara" w:hAnsi="Candara"/>
        </w:rPr>
        <w:t xml:space="preserve"> measuring</w:t>
      </w:r>
      <w:r w:rsidR="000244A0">
        <w:rPr>
          <w:rFonts w:ascii="Candara" w:hAnsi="Candara"/>
        </w:rPr>
        <w:t>:</w:t>
      </w:r>
    </w:p>
    <w:p w14:paraId="50E0A79E" w14:textId="176FBAE4" w:rsidR="0059715A" w:rsidRDefault="0059715A" w:rsidP="00BB41A4">
      <w:pPr>
        <w:pStyle w:val="ListParagraph"/>
        <w:numPr>
          <w:ilvl w:val="0"/>
          <w:numId w:val="35"/>
        </w:numPr>
        <w:rPr>
          <w:rFonts w:ascii="Candara" w:hAnsi="Candara"/>
        </w:rPr>
      </w:pPr>
      <w:r>
        <w:rPr>
          <w:rFonts w:ascii="Candara" w:hAnsi="Candara"/>
        </w:rPr>
        <w:t>the frequency of bushfires from electricity asset ignitions;</w:t>
      </w:r>
    </w:p>
    <w:p w14:paraId="2F365F82" w14:textId="57378D41" w:rsidR="0059715A" w:rsidRPr="000244A0" w:rsidRDefault="0059715A" w:rsidP="00BB41A4">
      <w:pPr>
        <w:pStyle w:val="ListParagraph"/>
        <w:numPr>
          <w:ilvl w:val="0"/>
          <w:numId w:val="35"/>
        </w:numPr>
        <w:rPr>
          <w:rFonts w:ascii="Candara" w:hAnsi="Candara"/>
        </w:rPr>
      </w:pPr>
      <w:r>
        <w:rPr>
          <w:rFonts w:ascii="Candara" w:hAnsi="Candara"/>
        </w:rPr>
        <w:lastRenderedPageBreak/>
        <w:t>the damage done by ignitions of different types;</w:t>
      </w:r>
    </w:p>
    <w:p w14:paraId="34393310" w14:textId="3CC385A9" w:rsidR="000244A0" w:rsidRDefault="0059715A" w:rsidP="00BB41A4">
      <w:pPr>
        <w:pStyle w:val="ListParagraph"/>
        <w:numPr>
          <w:ilvl w:val="0"/>
          <w:numId w:val="35"/>
        </w:numPr>
        <w:rPr>
          <w:rFonts w:ascii="Candara" w:hAnsi="Candara"/>
        </w:rPr>
      </w:pPr>
      <w:r>
        <w:rPr>
          <w:rFonts w:ascii="Candara" w:hAnsi="Candara"/>
        </w:rPr>
        <w:t>fault-levels on the distribution network by frequency and timing;</w:t>
      </w:r>
    </w:p>
    <w:p w14:paraId="25357178" w14:textId="4ECD4764" w:rsidR="000244A0" w:rsidRDefault="000244A0" w:rsidP="0067223E">
      <w:pPr>
        <w:rPr>
          <w:rFonts w:ascii="Candara" w:hAnsi="Candara"/>
        </w:rPr>
      </w:pPr>
      <w:r>
        <w:rPr>
          <w:rFonts w:ascii="Candara" w:hAnsi="Candara"/>
        </w:rPr>
        <w:t>Th</w:t>
      </w:r>
      <w:r w:rsidR="0059715A">
        <w:rPr>
          <w:rFonts w:ascii="Candara" w:hAnsi="Candara"/>
        </w:rPr>
        <w:t xml:space="preserve">e difficulty of these approaches is that it is hard to see how they can be used to </w:t>
      </w:r>
      <w:r w:rsidR="000E4CD9">
        <w:rPr>
          <w:rFonts w:ascii="Candara" w:hAnsi="Candara"/>
        </w:rPr>
        <w:t>develop a scheme to prov</w:t>
      </w:r>
      <w:r w:rsidR="00574D14">
        <w:rPr>
          <w:rFonts w:ascii="Candara" w:hAnsi="Candara"/>
        </w:rPr>
        <w:t>ide the outcome of reduced harm,</w:t>
      </w:r>
      <w:r w:rsidR="000E4CD9">
        <w:rPr>
          <w:rFonts w:ascii="Candara" w:hAnsi="Candara"/>
        </w:rPr>
        <w:t xml:space="preserve"> or risk of harm</w:t>
      </w:r>
      <w:r w:rsidR="00574D14">
        <w:rPr>
          <w:rFonts w:ascii="Candara" w:hAnsi="Candara"/>
        </w:rPr>
        <w:t>,</w:t>
      </w:r>
      <w:r w:rsidR="000E4CD9">
        <w:rPr>
          <w:rFonts w:ascii="Candara" w:hAnsi="Candara"/>
        </w:rPr>
        <w:t xml:space="preserve"> from network-started bushfires. This </w:t>
      </w:r>
      <w:r w:rsidR="00574D14">
        <w:rPr>
          <w:rFonts w:ascii="Candara" w:hAnsi="Candara"/>
        </w:rPr>
        <w:t xml:space="preserve">is because these </w:t>
      </w:r>
      <w:r w:rsidR="0059715A">
        <w:rPr>
          <w:rFonts w:ascii="Candara" w:hAnsi="Candara"/>
        </w:rPr>
        <w:t>metric</w:t>
      </w:r>
      <w:r w:rsidR="000E4CD9">
        <w:rPr>
          <w:rFonts w:ascii="Candara" w:hAnsi="Candara"/>
        </w:rPr>
        <w:t>s</w:t>
      </w:r>
      <w:r w:rsidR="0059715A">
        <w:rPr>
          <w:rFonts w:ascii="Candara" w:hAnsi="Candara"/>
        </w:rPr>
        <w:t xml:space="preserve"> </w:t>
      </w:r>
      <w:r w:rsidR="000E4CD9">
        <w:rPr>
          <w:rFonts w:ascii="Candara" w:hAnsi="Candara"/>
        </w:rPr>
        <w:t>are</w:t>
      </w:r>
      <w:r w:rsidR="0059715A">
        <w:rPr>
          <w:rFonts w:ascii="Candara" w:hAnsi="Candara"/>
        </w:rPr>
        <w:t xml:space="preserve"> </w:t>
      </w:r>
      <w:r w:rsidR="00574D14">
        <w:rPr>
          <w:rFonts w:ascii="Candara" w:hAnsi="Candara"/>
        </w:rPr>
        <w:t xml:space="preserve">either </w:t>
      </w:r>
      <w:r w:rsidR="0059715A">
        <w:rPr>
          <w:rFonts w:ascii="Candara" w:hAnsi="Candara"/>
        </w:rPr>
        <w:t>statistically infrequent</w:t>
      </w:r>
      <w:r w:rsidR="00880146">
        <w:rPr>
          <w:rFonts w:ascii="Candara" w:hAnsi="Candara"/>
        </w:rPr>
        <w:t xml:space="preserve">, </w:t>
      </w:r>
      <w:r w:rsidR="000E4CD9">
        <w:rPr>
          <w:rFonts w:ascii="Candara" w:hAnsi="Candara"/>
        </w:rPr>
        <w:t>and so would require unreasonable timeframe to trace progress</w:t>
      </w:r>
      <w:r w:rsidR="0059715A">
        <w:rPr>
          <w:rFonts w:ascii="Candara" w:hAnsi="Candara"/>
        </w:rPr>
        <w:t xml:space="preserve">, </w:t>
      </w:r>
      <w:r w:rsidR="000E4CD9">
        <w:rPr>
          <w:rFonts w:ascii="Candara" w:hAnsi="Candara"/>
        </w:rPr>
        <w:t xml:space="preserve">or </w:t>
      </w:r>
      <w:r w:rsidR="00880146" w:rsidRPr="00880146">
        <w:rPr>
          <w:rFonts w:ascii="Candara" w:hAnsi="Candara"/>
        </w:rPr>
        <w:t xml:space="preserve">assume every fault causes a fire </w:t>
      </w:r>
      <w:r w:rsidR="00880146">
        <w:rPr>
          <w:rFonts w:ascii="Candara" w:hAnsi="Candara"/>
        </w:rPr>
        <w:t>or ignore the possibility that any network ignition</w:t>
      </w:r>
      <w:r w:rsidR="000E4CD9" w:rsidRPr="000E4CD9">
        <w:rPr>
          <w:rFonts w:ascii="Candara" w:hAnsi="Candara"/>
        </w:rPr>
        <w:t xml:space="preserve"> could start a fir</w:t>
      </w:r>
      <w:r w:rsidR="000E4CD9">
        <w:rPr>
          <w:rFonts w:ascii="Candara" w:hAnsi="Candara"/>
        </w:rPr>
        <w:t xml:space="preserve">e given the right </w:t>
      </w:r>
      <w:r w:rsidR="00880146">
        <w:rPr>
          <w:rFonts w:ascii="Candara" w:hAnsi="Candara"/>
        </w:rPr>
        <w:t xml:space="preserve">environmental </w:t>
      </w:r>
      <w:r w:rsidR="000E4CD9">
        <w:rPr>
          <w:rFonts w:ascii="Candara" w:hAnsi="Candara"/>
        </w:rPr>
        <w:t>circumstances.</w:t>
      </w:r>
      <w:r w:rsidR="00880146">
        <w:rPr>
          <w:rFonts w:ascii="Candara" w:hAnsi="Candara"/>
        </w:rPr>
        <w:t xml:space="preserve"> </w:t>
      </w:r>
    </w:p>
    <w:p w14:paraId="211B7F12" w14:textId="63290F69" w:rsidR="0067223E" w:rsidRDefault="000449DB" w:rsidP="0067223E">
      <w:pPr>
        <w:rPr>
          <w:rFonts w:ascii="Candara" w:hAnsi="Candara"/>
        </w:rPr>
      </w:pPr>
      <w:r>
        <w:rPr>
          <w:rFonts w:ascii="Candara" w:hAnsi="Candara"/>
        </w:rPr>
        <w:t>The outcome based approach that</w:t>
      </w:r>
      <w:r w:rsidR="006A4A7D">
        <w:rPr>
          <w:rFonts w:ascii="Candara" w:hAnsi="Candara"/>
        </w:rPr>
        <w:t xml:space="preserve"> is most likely to be effect</w:t>
      </w:r>
      <w:r>
        <w:rPr>
          <w:rFonts w:ascii="Candara" w:hAnsi="Candara"/>
        </w:rPr>
        <w:t xml:space="preserve">ive is one </w:t>
      </w:r>
      <w:r w:rsidR="006A4A7D">
        <w:rPr>
          <w:rFonts w:ascii="Candara" w:hAnsi="Candara"/>
        </w:rPr>
        <w:t xml:space="preserve">which </w:t>
      </w:r>
      <w:r w:rsidR="000E4CD9">
        <w:rPr>
          <w:rFonts w:ascii="Candara" w:hAnsi="Candara"/>
        </w:rPr>
        <w:t xml:space="preserve">applies a measurable and reasonable metric to proxy bushfire risk from electricity assets </w:t>
      </w:r>
      <w:r>
        <w:rPr>
          <w:rFonts w:ascii="Candara" w:hAnsi="Candara"/>
        </w:rPr>
        <w:t>and finds a reas</w:t>
      </w:r>
      <w:r w:rsidR="000E4CD9">
        <w:rPr>
          <w:rFonts w:ascii="Candara" w:hAnsi="Candara"/>
        </w:rPr>
        <w:t>onable way of incentivising an improved safety</w:t>
      </w:r>
      <w:r>
        <w:rPr>
          <w:rFonts w:ascii="Candara" w:hAnsi="Candara"/>
        </w:rPr>
        <w:t xml:space="preserve"> outcome that </w:t>
      </w:r>
      <w:r w:rsidR="006A4A7D">
        <w:rPr>
          <w:rFonts w:ascii="Candara" w:hAnsi="Candara"/>
        </w:rPr>
        <w:t xml:space="preserve">is </w:t>
      </w:r>
      <w:r w:rsidR="000E4CD9">
        <w:rPr>
          <w:rFonts w:ascii="Candara" w:hAnsi="Candara"/>
        </w:rPr>
        <w:t xml:space="preserve">actionable by a specific party, and is </w:t>
      </w:r>
      <w:r w:rsidR="001A7A1D">
        <w:rPr>
          <w:rFonts w:ascii="Candara" w:hAnsi="Candara"/>
        </w:rPr>
        <w:t>able to be validated</w:t>
      </w:r>
      <w:r w:rsidR="006A4A7D">
        <w:rPr>
          <w:rFonts w:ascii="Candara" w:hAnsi="Candara"/>
        </w:rPr>
        <w:t>,</w:t>
      </w:r>
      <w:r w:rsidR="0067223E" w:rsidRPr="00B40295">
        <w:rPr>
          <w:rFonts w:ascii="Candara" w:hAnsi="Candara"/>
        </w:rPr>
        <w:t xml:space="preserve"> </w:t>
      </w:r>
      <w:r w:rsidR="0067223E">
        <w:rPr>
          <w:rFonts w:ascii="Candara" w:hAnsi="Candara"/>
        </w:rPr>
        <w:t xml:space="preserve">longitudinal </w:t>
      </w:r>
      <w:r w:rsidR="0067223E" w:rsidRPr="00B40295">
        <w:rPr>
          <w:rFonts w:ascii="Candara" w:hAnsi="Candara"/>
        </w:rPr>
        <w:t>and granular.</w:t>
      </w:r>
      <w:r w:rsidR="0067223E">
        <w:rPr>
          <w:rFonts w:ascii="Candara" w:hAnsi="Candara"/>
        </w:rPr>
        <w:t xml:space="preserve"> </w:t>
      </w:r>
    </w:p>
    <w:p w14:paraId="173D9B46" w14:textId="2EAF6F0C" w:rsidR="0067223E" w:rsidRDefault="000E4CD9" w:rsidP="0067223E">
      <w:pPr>
        <w:rPr>
          <w:rFonts w:ascii="Candara" w:hAnsi="Candara"/>
        </w:rPr>
      </w:pPr>
      <w:r>
        <w:rPr>
          <w:rFonts w:ascii="Candara" w:hAnsi="Candara"/>
        </w:rPr>
        <w:t>N</w:t>
      </w:r>
      <w:r w:rsidR="0067223E">
        <w:rPr>
          <w:rFonts w:ascii="Candara" w:hAnsi="Candara"/>
        </w:rPr>
        <w:t>etwork ignitio</w:t>
      </w:r>
      <w:r w:rsidR="000449DB">
        <w:rPr>
          <w:rFonts w:ascii="Candara" w:hAnsi="Candara"/>
        </w:rPr>
        <w:t>ns provide</w:t>
      </w:r>
      <w:r w:rsidR="0067223E">
        <w:rPr>
          <w:rFonts w:ascii="Candara" w:hAnsi="Candara"/>
        </w:rPr>
        <w:t xml:space="preserve"> </w:t>
      </w:r>
      <w:r>
        <w:rPr>
          <w:rFonts w:ascii="Candara" w:hAnsi="Candara"/>
        </w:rPr>
        <w:t>the best</w:t>
      </w:r>
      <w:r w:rsidR="000449DB">
        <w:rPr>
          <w:rFonts w:ascii="Candara" w:hAnsi="Candara"/>
        </w:rPr>
        <w:t xml:space="preserve"> proxy for the bushfire danger</w:t>
      </w:r>
      <w:r>
        <w:rPr>
          <w:rFonts w:ascii="Candara" w:hAnsi="Candara"/>
        </w:rPr>
        <w:t xml:space="preserve"> posed by </w:t>
      </w:r>
      <w:r w:rsidR="00574D14">
        <w:rPr>
          <w:rFonts w:ascii="Candara" w:hAnsi="Candara"/>
        </w:rPr>
        <w:t>electricity distribution system</w:t>
      </w:r>
      <w:r>
        <w:rPr>
          <w:rFonts w:ascii="Candara" w:hAnsi="Candara"/>
        </w:rPr>
        <w:t xml:space="preserve"> assets as it is these faults that contribute to bushfires</w:t>
      </w:r>
      <w:r w:rsidR="0067223E">
        <w:rPr>
          <w:rFonts w:ascii="Candara" w:hAnsi="Candara"/>
        </w:rPr>
        <w:t xml:space="preserve">. </w:t>
      </w:r>
      <w:r w:rsidR="000449DB">
        <w:rPr>
          <w:rFonts w:ascii="Candara" w:hAnsi="Candara"/>
        </w:rPr>
        <w:t xml:space="preserve"> The historical records of network ignitions from each distribution business show</w:t>
      </w:r>
      <w:r>
        <w:rPr>
          <w:rFonts w:ascii="Candara" w:hAnsi="Candara"/>
        </w:rPr>
        <w:t xml:space="preserve"> both a long-</w:t>
      </w:r>
      <w:r w:rsidR="000449DB" w:rsidRPr="00B40295">
        <w:rPr>
          <w:rFonts w:ascii="Candara" w:hAnsi="Candara"/>
        </w:rPr>
        <w:t>term picture</w:t>
      </w:r>
      <w:r w:rsidR="000449DB">
        <w:rPr>
          <w:rFonts w:ascii="Candara" w:hAnsi="Candara"/>
        </w:rPr>
        <w:t xml:space="preserve"> and </w:t>
      </w:r>
      <w:r w:rsidR="00574D14">
        <w:rPr>
          <w:rFonts w:ascii="Candara" w:hAnsi="Candara"/>
        </w:rPr>
        <w:t xml:space="preserve">can be used to </w:t>
      </w:r>
      <w:r w:rsidR="000449DB">
        <w:rPr>
          <w:rFonts w:ascii="Candara" w:hAnsi="Candara"/>
        </w:rPr>
        <w:t>highlight distribution business safety performance</w:t>
      </w:r>
      <w:r w:rsidR="000449DB" w:rsidRPr="00B40295">
        <w:rPr>
          <w:rFonts w:ascii="Candara" w:hAnsi="Candara"/>
        </w:rPr>
        <w:t xml:space="preserve"> at times of greatest </w:t>
      </w:r>
      <w:r>
        <w:rPr>
          <w:rFonts w:ascii="Candara" w:hAnsi="Candara"/>
        </w:rPr>
        <w:t xml:space="preserve">fire </w:t>
      </w:r>
      <w:r w:rsidR="000449DB" w:rsidRPr="00B40295">
        <w:rPr>
          <w:rFonts w:ascii="Candara" w:hAnsi="Candara"/>
        </w:rPr>
        <w:t>risk</w:t>
      </w:r>
      <w:r w:rsidR="00574D14">
        <w:rPr>
          <w:rFonts w:ascii="Candara" w:hAnsi="Candara"/>
        </w:rPr>
        <w:t xml:space="preserve">. These records can also be used to </w:t>
      </w:r>
      <w:r w:rsidR="000449DB">
        <w:rPr>
          <w:rFonts w:ascii="Candara" w:hAnsi="Candara"/>
        </w:rPr>
        <w:t>show</w:t>
      </w:r>
      <w:r w:rsidR="000449DB" w:rsidRPr="00B40295">
        <w:rPr>
          <w:rFonts w:ascii="Candara" w:hAnsi="Candara"/>
        </w:rPr>
        <w:t xml:space="preserve"> performance on parts of the distribution network which pose the greatest bushfire risk to the Victorian community</w:t>
      </w:r>
      <w:r w:rsidR="000449DB">
        <w:rPr>
          <w:rFonts w:ascii="Candara" w:hAnsi="Candara"/>
        </w:rPr>
        <w:t>.</w:t>
      </w:r>
      <w:r>
        <w:rPr>
          <w:rFonts w:ascii="Candara" w:hAnsi="Candara"/>
        </w:rPr>
        <w:t xml:space="preserve"> Accordingly, the </w:t>
      </w:r>
      <w:r w:rsidR="00574D14">
        <w:rPr>
          <w:rFonts w:ascii="Candara" w:hAnsi="Candara"/>
        </w:rPr>
        <w:t xml:space="preserve">bushfire </w:t>
      </w:r>
      <w:r>
        <w:rPr>
          <w:rFonts w:ascii="Candara" w:hAnsi="Candara"/>
        </w:rPr>
        <w:t xml:space="preserve">safety improvement outcome is achievable and measurable over fire seasons and the EDPR period, satisfying businesses, regulators and the community. </w:t>
      </w:r>
    </w:p>
    <w:p w14:paraId="1D6C4649" w14:textId="3E23F0C1" w:rsidR="000449DB" w:rsidRDefault="00097D26" w:rsidP="0067223E">
      <w:pPr>
        <w:rPr>
          <w:rFonts w:ascii="Candara" w:hAnsi="Candara"/>
        </w:rPr>
      </w:pPr>
      <w:r>
        <w:rPr>
          <w:rFonts w:ascii="Candara" w:hAnsi="Candara"/>
        </w:rPr>
        <w:t>For these reasons, a revised and targeted f-factor is the preferred outcome-based approach.</w:t>
      </w:r>
    </w:p>
    <w:p w14:paraId="1B9EBF59" w14:textId="77777777" w:rsidR="00470114" w:rsidRPr="00C629A3" w:rsidRDefault="00EE35B5" w:rsidP="009F5994">
      <w:pPr>
        <w:pStyle w:val="Heading2"/>
        <w:rPr>
          <w:sz w:val="22"/>
          <w:szCs w:val="22"/>
        </w:rPr>
      </w:pPr>
      <w:bookmarkStart w:id="28" w:name="_Toc458675182"/>
      <w:r>
        <w:rPr>
          <w:sz w:val="22"/>
          <w:szCs w:val="22"/>
        </w:rPr>
        <w:t>H</w:t>
      </w:r>
      <w:r w:rsidR="00BF4B22">
        <w:rPr>
          <w:sz w:val="22"/>
          <w:szCs w:val="22"/>
        </w:rPr>
        <w:t>ow Best to Ensure the Outcomes a</w:t>
      </w:r>
      <w:r w:rsidR="004B077F" w:rsidRPr="00C629A3">
        <w:rPr>
          <w:sz w:val="22"/>
          <w:szCs w:val="22"/>
        </w:rPr>
        <w:t>re Achieved?</w:t>
      </w:r>
      <w:bookmarkEnd w:id="28"/>
    </w:p>
    <w:p w14:paraId="341F872F" w14:textId="77777777" w:rsidR="00470114" w:rsidRPr="00C629A3" w:rsidRDefault="00D922F6" w:rsidP="008729EA">
      <w:pPr>
        <w:autoSpaceDE w:val="0"/>
        <w:autoSpaceDN w:val="0"/>
        <w:adjustRightInd w:val="0"/>
        <w:spacing w:before="120" w:after="80"/>
        <w:rPr>
          <w:rFonts w:ascii="Candara" w:hAnsi="Candara"/>
        </w:rPr>
      </w:pPr>
      <w:r>
        <w:rPr>
          <w:rFonts w:ascii="Candara" w:hAnsi="Candara"/>
        </w:rPr>
        <w:t>A</w:t>
      </w:r>
      <w:r w:rsidR="00470114" w:rsidRPr="00C629A3">
        <w:rPr>
          <w:rFonts w:ascii="Candara" w:hAnsi="Candara"/>
        </w:rPr>
        <w:t xml:space="preserve">n outcomes-based </w:t>
      </w:r>
      <w:r w:rsidR="00534964">
        <w:rPr>
          <w:rFonts w:ascii="Candara" w:hAnsi="Candara"/>
        </w:rPr>
        <w:t>approach</w:t>
      </w:r>
      <w:r w:rsidR="00470114" w:rsidRPr="00C629A3">
        <w:rPr>
          <w:rFonts w:ascii="Candara" w:hAnsi="Candara"/>
        </w:rPr>
        <w:t xml:space="preserve"> could:</w:t>
      </w:r>
    </w:p>
    <w:p w14:paraId="3891E559" w14:textId="77777777" w:rsidR="00470114" w:rsidRPr="00C629A3" w:rsidRDefault="00470114" w:rsidP="00DA018C">
      <w:pPr>
        <w:pStyle w:val="ListParagraph"/>
        <w:numPr>
          <w:ilvl w:val="0"/>
          <w:numId w:val="5"/>
        </w:numPr>
        <w:autoSpaceDE w:val="0"/>
        <w:autoSpaceDN w:val="0"/>
        <w:adjustRightInd w:val="0"/>
        <w:spacing w:before="120" w:after="80"/>
        <w:rPr>
          <w:rFonts w:ascii="Candara" w:hAnsi="Candara"/>
        </w:rPr>
      </w:pPr>
      <w:r w:rsidRPr="00C629A3">
        <w:rPr>
          <w:rFonts w:ascii="Candara" w:hAnsi="Candara"/>
        </w:rPr>
        <w:t>Apply a uniform costing to all fires;</w:t>
      </w:r>
      <w:r w:rsidR="00D922F6">
        <w:rPr>
          <w:rFonts w:ascii="Candara" w:hAnsi="Candara"/>
        </w:rPr>
        <w:t xml:space="preserve"> or</w:t>
      </w:r>
    </w:p>
    <w:p w14:paraId="501867EA" w14:textId="77777777" w:rsidR="00470114" w:rsidRPr="00C629A3" w:rsidRDefault="00470114" w:rsidP="00DA018C">
      <w:pPr>
        <w:pStyle w:val="ListParagraph"/>
        <w:numPr>
          <w:ilvl w:val="0"/>
          <w:numId w:val="5"/>
        </w:numPr>
        <w:autoSpaceDE w:val="0"/>
        <w:autoSpaceDN w:val="0"/>
        <w:adjustRightInd w:val="0"/>
        <w:spacing w:before="120" w:after="80"/>
        <w:rPr>
          <w:rFonts w:ascii="Candara" w:hAnsi="Candara"/>
        </w:rPr>
      </w:pPr>
      <w:r w:rsidRPr="00C629A3">
        <w:rPr>
          <w:rFonts w:ascii="Candara" w:hAnsi="Candara"/>
        </w:rPr>
        <w:t>Weight fires according to the relative risk they pose.</w:t>
      </w:r>
    </w:p>
    <w:p w14:paraId="53575B04" w14:textId="77777777" w:rsidR="00280F7B" w:rsidRPr="00C629A3" w:rsidRDefault="00470114" w:rsidP="008729EA">
      <w:pPr>
        <w:autoSpaceDE w:val="0"/>
        <w:autoSpaceDN w:val="0"/>
        <w:adjustRightInd w:val="0"/>
        <w:spacing w:before="120" w:after="80"/>
        <w:rPr>
          <w:rFonts w:ascii="Candara" w:hAnsi="Candara"/>
        </w:rPr>
      </w:pPr>
      <w:r w:rsidRPr="00C629A3">
        <w:rPr>
          <w:rFonts w:ascii="Candara" w:hAnsi="Candara"/>
        </w:rPr>
        <w:t>These approach</w:t>
      </w:r>
      <w:r w:rsidR="00D922F6">
        <w:rPr>
          <w:rFonts w:ascii="Candara" w:hAnsi="Candara"/>
        </w:rPr>
        <w:t>es</w:t>
      </w:r>
      <w:r w:rsidRPr="00C629A3">
        <w:rPr>
          <w:rFonts w:ascii="Candara" w:hAnsi="Candara"/>
        </w:rPr>
        <w:t xml:space="preserve"> are discussed below</w:t>
      </w:r>
      <w:r w:rsidR="00314AC5" w:rsidRPr="00C629A3">
        <w:rPr>
          <w:rFonts w:ascii="Candara" w:hAnsi="Candara"/>
        </w:rPr>
        <w:t xml:space="preserve">. </w:t>
      </w:r>
      <w:r w:rsidRPr="00C629A3">
        <w:rPr>
          <w:rFonts w:ascii="Candara" w:hAnsi="Candara"/>
        </w:rPr>
        <w:t xml:space="preserve"> </w:t>
      </w:r>
    </w:p>
    <w:p w14:paraId="594B8E94" w14:textId="77777777" w:rsidR="003A2708" w:rsidRPr="00C629A3" w:rsidRDefault="00470114" w:rsidP="009F5994">
      <w:pPr>
        <w:pStyle w:val="Heading4"/>
        <w:rPr>
          <w:sz w:val="22"/>
          <w:szCs w:val="22"/>
        </w:rPr>
      </w:pPr>
      <w:r w:rsidRPr="00C629A3">
        <w:rPr>
          <w:sz w:val="22"/>
          <w:szCs w:val="22"/>
        </w:rPr>
        <w:t>U</w:t>
      </w:r>
      <w:r w:rsidR="00BF4B22">
        <w:rPr>
          <w:sz w:val="22"/>
          <w:szCs w:val="22"/>
        </w:rPr>
        <w:t>niform Treatment o</w:t>
      </w:r>
      <w:r w:rsidR="00EE35B5">
        <w:rPr>
          <w:sz w:val="22"/>
          <w:szCs w:val="22"/>
        </w:rPr>
        <w:t>f All F</w:t>
      </w:r>
      <w:r w:rsidR="00280F7B" w:rsidRPr="00C629A3">
        <w:rPr>
          <w:sz w:val="22"/>
          <w:szCs w:val="22"/>
        </w:rPr>
        <w:t>ires</w:t>
      </w:r>
    </w:p>
    <w:p w14:paraId="42A9B3B5" w14:textId="704CF7B4" w:rsidR="00447EFE" w:rsidRPr="00C629A3" w:rsidRDefault="00447EFE" w:rsidP="00447EFE">
      <w:pPr>
        <w:autoSpaceDE w:val="0"/>
        <w:autoSpaceDN w:val="0"/>
        <w:adjustRightInd w:val="0"/>
        <w:spacing w:before="120" w:after="80"/>
        <w:rPr>
          <w:rFonts w:ascii="Candara" w:hAnsi="Candara"/>
        </w:rPr>
      </w:pPr>
      <w:r w:rsidRPr="00C629A3">
        <w:rPr>
          <w:rFonts w:ascii="Candara" w:hAnsi="Candara"/>
        </w:rPr>
        <w:t xml:space="preserve">The first option available is to weight all distribution network fire starts equally, irrespective of relative bushfire risk. This approach treats the aggregate annual number of all distribution network ignitions as a proxy for </w:t>
      </w:r>
      <w:r w:rsidR="00C629A3" w:rsidRPr="00C629A3">
        <w:rPr>
          <w:rFonts w:ascii="Candara" w:hAnsi="Candara"/>
        </w:rPr>
        <w:t>harm</w:t>
      </w:r>
      <w:r w:rsidRPr="00C629A3">
        <w:rPr>
          <w:rFonts w:ascii="Candara" w:hAnsi="Candara"/>
        </w:rPr>
        <w:t xml:space="preserve">. It provides financial incentives to distribution businesses to minimise this </w:t>
      </w:r>
      <w:r w:rsidR="00C629A3" w:rsidRPr="00C629A3">
        <w:rPr>
          <w:rFonts w:ascii="Candara" w:hAnsi="Candara"/>
        </w:rPr>
        <w:t>harm</w:t>
      </w:r>
      <w:r w:rsidRPr="00C629A3">
        <w:rPr>
          <w:rFonts w:ascii="Candara" w:hAnsi="Candara"/>
        </w:rPr>
        <w:t xml:space="preserve"> by reducing the total number of asset fire starts on their networks. </w:t>
      </w:r>
      <w:r w:rsidR="00785FA7">
        <w:rPr>
          <w:rFonts w:ascii="Candara" w:hAnsi="Candara"/>
        </w:rPr>
        <w:t>T</w:t>
      </w:r>
      <w:r w:rsidR="004D2D0C">
        <w:rPr>
          <w:rFonts w:ascii="Candara" w:hAnsi="Candara"/>
        </w:rPr>
        <w:t>his is in effect the current scheme and is not preferred for the reasons set ou</w:t>
      </w:r>
      <w:r w:rsidR="0099091D">
        <w:rPr>
          <w:rFonts w:ascii="Candara" w:hAnsi="Candara"/>
        </w:rPr>
        <w:t>t in section 1</w:t>
      </w:r>
      <w:r w:rsidR="004151DA">
        <w:rPr>
          <w:rFonts w:ascii="Candara" w:hAnsi="Candara"/>
        </w:rPr>
        <w:t>.5</w:t>
      </w:r>
      <w:r w:rsidR="0099091D">
        <w:rPr>
          <w:rFonts w:ascii="Candara" w:hAnsi="Candara"/>
        </w:rPr>
        <w:t xml:space="preserve"> above.</w:t>
      </w:r>
    </w:p>
    <w:p w14:paraId="3AB3CE52" w14:textId="77777777" w:rsidR="0067404F" w:rsidRPr="00C629A3" w:rsidRDefault="00470114" w:rsidP="009F5994">
      <w:pPr>
        <w:pStyle w:val="Heading4"/>
        <w:rPr>
          <w:sz w:val="22"/>
          <w:szCs w:val="22"/>
        </w:rPr>
      </w:pPr>
      <w:r w:rsidRPr="00C629A3">
        <w:rPr>
          <w:sz w:val="22"/>
          <w:szCs w:val="22"/>
        </w:rPr>
        <w:t>W</w:t>
      </w:r>
      <w:r w:rsidR="00EE35B5">
        <w:rPr>
          <w:sz w:val="22"/>
          <w:szCs w:val="22"/>
        </w:rPr>
        <w:t>eight F</w:t>
      </w:r>
      <w:r w:rsidR="00C153A3" w:rsidRPr="00C629A3">
        <w:rPr>
          <w:sz w:val="22"/>
          <w:szCs w:val="22"/>
        </w:rPr>
        <w:t>ire</w:t>
      </w:r>
      <w:r w:rsidRPr="00C629A3">
        <w:rPr>
          <w:sz w:val="22"/>
          <w:szCs w:val="22"/>
        </w:rPr>
        <w:t>s</w:t>
      </w:r>
      <w:r w:rsidR="00E5261B">
        <w:rPr>
          <w:sz w:val="22"/>
          <w:szCs w:val="22"/>
        </w:rPr>
        <w:t xml:space="preserve"> b</w:t>
      </w:r>
      <w:r w:rsidR="00C153A3" w:rsidRPr="00C629A3">
        <w:rPr>
          <w:sz w:val="22"/>
          <w:szCs w:val="22"/>
        </w:rPr>
        <w:t xml:space="preserve">y </w:t>
      </w:r>
      <w:r w:rsidR="00E5261B">
        <w:rPr>
          <w:sz w:val="22"/>
          <w:szCs w:val="22"/>
        </w:rPr>
        <w:t>The Risk t</w:t>
      </w:r>
      <w:r w:rsidR="00EE35B5">
        <w:rPr>
          <w:sz w:val="22"/>
          <w:szCs w:val="22"/>
        </w:rPr>
        <w:t>hey P</w:t>
      </w:r>
      <w:r w:rsidRPr="00C629A3">
        <w:rPr>
          <w:sz w:val="22"/>
          <w:szCs w:val="22"/>
        </w:rPr>
        <w:t xml:space="preserve">ose </w:t>
      </w:r>
    </w:p>
    <w:p w14:paraId="1EFEE267" w14:textId="31F51ADF" w:rsidR="001773AA" w:rsidRPr="00C629A3" w:rsidRDefault="0067404F" w:rsidP="00447EFE">
      <w:pPr>
        <w:autoSpaceDE w:val="0"/>
        <w:autoSpaceDN w:val="0"/>
        <w:adjustRightInd w:val="0"/>
        <w:spacing w:before="120" w:after="80"/>
        <w:rPr>
          <w:rFonts w:ascii="Candara" w:hAnsi="Candara" w:cs="Calibri"/>
        </w:rPr>
      </w:pPr>
      <w:r w:rsidRPr="00C629A3">
        <w:rPr>
          <w:rFonts w:ascii="Candara" w:hAnsi="Candara" w:cs="Calibri"/>
        </w:rPr>
        <w:t xml:space="preserve">This </w:t>
      </w:r>
      <w:r w:rsidR="00470114" w:rsidRPr="00C629A3">
        <w:rPr>
          <w:rFonts w:ascii="Candara" w:hAnsi="Candara" w:cs="Calibri"/>
        </w:rPr>
        <w:t xml:space="preserve">approach recognises that not all fires are of equal concern. </w:t>
      </w:r>
      <w:r w:rsidR="00A568DD">
        <w:rPr>
          <w:rFonts w:ascii="Candara" w:hAnsi="Candara" w:cs="Calibri"/>
        </w:rPr>
        <w:t>The</w:t>
      </w:r>
      <w:r w:rsidR="001773AA" w:rsidRPr="00C629A3">
        <w:rPr>
          <w:rFonts w:ascii="Candara" w:hAnsi="Candara" w:cs="Calibri"/>
        </w:rPr>
        <w:t xml:space="preserve"> location and timing </w:t>
      </w:r>
      <w:r w:rsidR="00A568DD">
        <w:rPr>
          <w:rFonts w:ascii="Candara" w:hAnsi="Candara" w:cs="Calibri"/>
        </w:rPr>
        <w:t xml:space="preserve">of network ignitions </w:t>
      </w:r>
      <w:r w:rsidR="001773AA" w:rsidRPr="00C629A3">
        <w:rPr>
          <w:rFonts w:ascii="Candara" w:hAnsi="Candara" w:cs="Calibri"/>
        </w:rPr>
        <w:t>directly influence the risk to human life and property. However</w:t>
      </w:r>
      <w:r w:rsidR="000C3661">
        <w:rPr>
          <w:rFonts w:ascii="Candara" w:hAnsi="Candara" w:cs="Calibri"/>
        </w:rPr>
        <w:t>,</w:t>
      </w:r>
      <w:r w:rsidR="001773AA" w:rsidRPr="00C629A3">
        <w:rPr>
          <w:rFonts w:ascii="Candara" w:hAnsi="Candara" w:cs="Calibri"/>
        </w:rPr>
        <w:t xml:space="preserve"> each additional </w:t>
      </w:r>
      <w:r w:rsidR="001773AA" w:rsidRPr="00C629A3">
        <w:rPr>
          <w:rFonts w:ascii="Candara" w:hAnsi="Candara" w:cs="Calibri"/>
        </w:rPr>
        <w:lastRenderedPageBreak/>
        <w:t>data field employed by the scheme will add to complexity – and administrative costs – for both businesses and regulators. The test must be whether additional safety gains warrant such administrative costs.</w:t>
      </w:r>
    </w:p>
    <w:p w14:paraId="6DB85E99" w14:textId="0FD8D20B" w:rsidR="008B7B4B" w:rsidRPr="00C629A3" w:rsidRDefault="001773AA" w:rsidP="00447EFE">
      <w:pPr>
        <w:autoSpaceDE w:val="0"/>
        <w:autoSpaceDN w:val="0"/>
        <w:adjustRightInd w:val="0"/>
        <w:spacing w:before="120" w:after="80"/>
        <w:rPr>
          <w:rFonts w:ascii="Candara" w:hAnsi="Candara" w:cs="Calibri"/>
        </w:rPr>
      </w:pPr>
      <w:r w:rsidRPr="00C629A3">
        <w:rPr>
          <w:rFonts w:ascii="Candara" w:hAnsi="Candara" w:cs="Calibri"/>
        </w:rPr>
        <w:t>Consequently there are two broad approaches to weighting fires:</w:t>
      </w:r>
    </w:p>
    <w:p w14:paraId="452D2F2E" w14:textId="77777777" w:rsidR="001773AA" w:rsidRPr="00C629A3" w:rsidRDefault="001773AA" w:rsidP="00345278">
      <w:pPr>
        <w:pStyle w:val="ListParagraph"/>
        <w:numPr>
          <w:ilvl w:val="0"/>
          <w:numId w:val="17"/>
        </w:numPr>
        <w:autoSpaceDE w:val="0"/>
        <w:autoSpaceDN w:val="0"/>
        <w:adjustRightInd w:val="0"/>
        <w:spacing w:before="120" w:after="80"/>
        <w:rPr>
          <w:rFonts w:ascii="Candara" w:hAnsi="Candara" w:cs="Calibri"/>
        </w:rPr>
      </w:pPr>
      <w:r w:rsidRPr="00C629A3">
        <w:rPr>
          <w:rFonts w:ascii="Candara" w:hAnsi="Candara" w:cs="Calibri"/>
        </w:rPr>
        <w:t>Simplified; or</w:t>
      </w:r>
    </w:p>
    <w:p w14:paraId="7177C4E2" w14:textId="77777777" w:rsidR="001773AA" w:rsidRPr="00C629A3" w:rsidRDefault="001773AA" w:rsidP="00345278">
      <w:pPr>
        <w:pStyle w:val="ListParagraph"/>
        <w:numPr>
          <w:ilvl w:val="0"/>
          <w:numId w:val="17"/>
        </w:numPr>
        <w:autoSpaceDE w:val="0"/>
        <w:autoSpaceDN w:val="0"/>
        <w:adjustRightInd w:val="0"/>
        <w:spacing w:before="120" w:after="80"/>
        <w:rPr>
          <w:rFonts w:ascii="Candara" w:hAnsi="Candara" w:cs="Calibri"/>
        </w:rPr>
      </w:pPr>
      <w:r w:rsidRPr="00C629A3">
        <w:rPr>
          <w:rFonts w:ascii="Candara" w:hAnsi="Candara" w:cs="Calibri"/>
        </w:rPr>
        <w:t>Detailed.</w:t>
      </w:r>
    </w:p>
    <w:p w14:paraId="1AC915C1" w14:textId="77777777" w:rsidR="001773AA" w:rsidRPr="00C629A3" w:rsidRDefault="001773AA" w:rsidP="00447EFE">
      <w:pPr>
        <w:autoSpaceDE w:val="0"/>
        <w:autoSpaceDN w:val="0"/>
        <w:adjustRightInd w:val="0"/>
        <w:spacing w:before="120" w:after="80"/>
        <w:rPr>
          <w:rFonts w:ascii="Candara" w:hAnsi="Candara" w:cs="Calibri"/>
        </w:rPr>
      </w:pPr>
      <w:r w:rsidRPr="00C629A3">
        <w:rPr>
          <w:rFonts w:ascii="Candara" w:hAnsi="Candara" w:cs="Calibri"/>
        </w:rPr>
        <w:t>These are explored further below.</w:t>
      </w:r>
    </w:p>
    <w:p w14:paraId="2F544623" w14:textId="77777777" w:rsidR="00447EFE" w:rsidRPr="00C629A3" w:rsidRDefault="00EE35B5" w:rsidP="001773AA">
      <w:pPr>
        <w:rPr>
          <w:rFonts w:ascii="Candara" w:hAnsi="Candara"/>
          <w:b/>
          <w:i/>
        </w:rPr>
      </w:pPr>
      <w:r>
        <w:rPr>
          <w:rFonts w:ascii="Candara" w:hAnsi="Candara"/>
          <w:b/>
          <w:i/>
        </w:rPr>
        <w:t>Simplified W</w:t>
      </w:r>
      <w:r w:rsidR="00200922" w:rsidRPr="00C629A3">
        <w:rPr>
          <w:rFonts w:ascii="Candara" w:hAnsi="Candara"/>
          <w:b/>
          <w:i/>
        </w:rPr>
        <w:t>eighting</w:t>
      </w:r>
    </w:p>
    <w:p w14:paraId="4F1368F5" w14:textId="77777777" w:rsidR="001709BC" w:rsidRPr="00C629A3" w:rsidRDefault="00200922" w:rsidP="00447EFE">
      <w:pPr>
        <w:autoSpaceDE w:val="0"/>
        <w:autoSpaceDN w:val="0"/>
        <w:adjustRightInd w:val="0"/>
        <w:spacing w:before="120" w:after="80"/>
        <w:rPr>
          <w:rFonts w:ascii="Candara" w:hAnsi="Candara" w:cs="Calibri"/>
        </w:rPr>
      </w:pPr>
      <w:r w:rsidRPr="00C629A3">
        <w:rPr>
          <w:rFonts w:ascii="Candara" w:hAnsi="Candara" w:cs="Calibri"/>
        </w:rPr>
        <w:t xml:space="preserve">Under this option weightings would be applied to </w:t>
      </w:r>
      <w:r w:rsidR="00A2386F" w:rsidRPr="00C629A3">
        <w:rPr>
          <w:rFonts w:ascii="Candara" w:hAnsi="Candara" w:cs="Calibri"/>
        </w:rPr>
        <w:t xml:space="preserve">a </w:t>
      </w:r>
      <w:r w:rsidRPr="00C629A3">
        <w:rPr>
          <w:rFonts w:ascii="Candara" w:hAnsi="Candara" w:cs="Calibri"/>
        </w:rPr>
        <w:t xml:space="preserve">subset of </w:t>
      </w:r>
      <w:r w:rsidR="00FF245C" w:rsidRPr="00C629A3">
        <w:rPr>
          <w:rFonts w:ascii="Candara" w:hAnsi="Candara" w:cs="Calibri"/>
        </w:rPr>
        <w:t>factors</w:t>
      </w:r>
      <w:r w:rsidRPr="00C629A3">
        <w:rPr>
          <w:rFonts w:ascii="Candara" w:hAnsi="Candara" w:cs="Calibri"/>
        </w:rPr>
        <w:t xml:space="preserve"> which have the greatest influence on powerline bushfire risk</w:t>
      </w:r>
      <w:r w:rsidR="001709BC" w:rsidRPr="00C629A3">
        <w:rPr>
          <w:rFonts w:ascii="Candara" w:hAnsi="Candara" w:cs="Calibri"/>
        </w:rPr>
        <w:t xml:space="preserve"> . These are:</w:t>
      </w:r>
    </w:p>
    <w:p w14:paraId="36AE5A58" w14:textId="77777777" w:rsidR="001709BC" w:rsidRPr="00C629A3" w:rsidRDefault="001709BC" w:rsidP="00345278">
      <w:pPr>
        <w:pStyle w:val="ListParagraph"/>
        <w:numPr>
          <w:ilvl w:val="0"/>
          <w:numId w:val="18"/>
        </w:numPr>
        <w:autoSpaceDE w:val="0"/>
        <w:autoSpaceDN w:val="0"/>
        <w:adjustRightInd w:val="0"/>
        <w:spacing w:before="120" w:after="80"/>
        <w:rPr>
          <w:rFonts w:ascii="Candara" w:hAnsi="Candara" w:cs="Calibri"/>
        </w:rPr>
      </w:pPr>
      <w:r w:rsidRPr="00C629A3">
        <w:rPr>
          <w:rFonts w:ascii="Candara" w:hAnsi="Candara" w:cs="Calibri"/>
        </w:rPr>
        <w:t>Time of year; and</w:t>
      </w:r>
    </w:p>
    <w:p w14:paraId="79096971" w14:textId="1523B58E" w:rsidR="0099091D" w:rsidRPr="00EF3C86" w:rsidRDefault="001709BC" w:rsidP="00345278">
      <w:pPr>
        <w:pStyle w:val="ListParagraph"/>
        <w:numPr>
          <w:ilvl w:val="0"/>
          <w:numId w:val="18"/>
        </w:numPr>
        <w:autoSpaceDE w:val="0"/>
        <w:autoSpaceDN w:val="0"/>
        <w:adjustRightInd w:val="0"/>
        <w:spacing w:before="120" w:after="80"/>
        <w:rPr>
          <w:rFonts w:ascii="Candara" w:hAnsi="Candara" w:cs="Calibri"/>
        </w:rPr>
      </w:pPr>
      <w:r w:rsidRPr="00C629A3">
        <w:rPr>
          <w:rFonts w:ascii="Candara" w:hAnsi="Candara" w:cs="Calibri"/>
        </w:rPr>
        <w:t>Location.</w:t>
      </w:r>
    </w:p>
    <w:p w14:paraId="1AF80C49" w14:textId="77777777" w:rsidR="001709BC" w:rsidRDefault="00216C0D" w:rsidP="00447EFE">
      <w:pPr>
        <w:autoSpaceDE w:val="0"/>
        <w:autoSpaceDN w:val="0"/>
        <w:adjustRightInd w:val="0"/>
        <w:spacing w:before="120" w:after="80"/>
        <w:rPr>
          <w:rFonts w:ascii="Candara" w:hAnsi="Candara" w:cs="Calibri"/>
        </w:rPr>
      </w:pPr>
      <w:r w:rsidRPr="00C629A3">
        <w:rPr>
          <w:rFonts w:ascii="Candara" w:hAnsi="Candara" w:cs="Calibri"/>
        </w:rPr>
        <w:t>T</w:t>
      </w:r>
      <w:r w:rsidR="001709BC" w:rsidRPr="00C629A3">
        <w:rPr>
          <w:rFonts w:ascii="Candara" w:hAnsi="Candara" w:cs="Calibri"/>
        </w:rPr>
        <w:t>his would yield a simplified regime of differentiated fire start penalties as illustrated below:</w:t>
      </w:r>
    </w:p>
    <w:p w14:paraId="594C8F62" w14:textId="77777777" w:rsidR="003D0C6B" w:rsidRDefault="003D0C6B" w:rsidP="00447EFE">
      <w:pPr>
        <w:autoSpaceDE w:val="0"/>
        <w:autoSpaceDN w:val="0"/>
        <w:adjustRightInd w:val="0"/>
        <w:spacing w:before="120" w:after="80"/>
        <w:rPr>
          <w:rFonts w:ascii="Candara" w:hAnsi="Candara" w:cs="Calibri"/>
        </w:rPr>
      </w:pPr>
    </w:p>
    <w:p w14:paraId="362E3FD5" w14:textId="1689DB58" w:rsidR="003D0C6B" w:rsidRPr="008C512C" w:rsidRDefault="003D0C6B" w:rsidP="003D0C6B">
      <w:pPr>
        <w:autoSpaceDE w:val="0"/>
        <w:autoSpaceDN w:val="0"/>
        <w:adjustRightInd w:val="0"/>
        <w:spacing w:before="120" w:after="80"/>
        <w:rPr>
          <w:rFonts w:ascii="Candara" w:hAnsi="Candara" w:cs="Calibri"/>
          <w:sz w:val="21"/>
          <w:szCs w:val="21"/>
        </w:rPr>
      </w:pPr>
      <w:r>
        <w:rPr>
          <w:rStyle w:val="Heading6Char"/>
        </w:rPr>
        <w:t>Figure 3.2: Simplified Ignitions Weighting Model</w:t>
      </w:r>
    </w:p>
    <w:p w14:paraId="69257F36" w14:textId="77777777" w:rsidR="003D0C6B" w:rsidRPr="00C629A3" w:rsidRDefault="003D0C6B" w:rsidP="00447EFE">
      <w:pPr>
        <w:autoSpaceDE w:val="0"/>
        <w:autoSpaceDN w:val="0"/>
        <w:adjustRightInd w:val="0"/>
        <w:spacing w:before="120" w:after="80"/>
        <w:rPr>
          <w:rFonts w:ascii="Candara" w:hAnsi="Candara" w:cs="Calibri"/>
        </w:rPr>
      </w:pPr>
    </w:p>
    <w:tbl>
      <w:tblPr>
        <w:tblStyle w:val="TableGrid"/>
        <w:tblW w:w="0" w:type="auto"/>
        <w:tblInd w:w="1413" w:type="dxa"/>
        <w:tblLook w:val="04A0" w:firstRow="1" w:lastRow="0" w:firstColumn="1" w:lastColumn="0" w:noHBand="0" w:noVBand="1"/>
      </w:tblPr>
      <w:tblGrid>
        <w:gridCol w:w="1418"/>
        <w:gridCol w:w="1842"/>
        <w:gridCol w:w="1843"/>
      </w:tblGrid>
      <w:tr w:rsidR="009132DA" w:rsidRPr="009132DA" w14:paraId="68D00F1A" w14:textId="77777777" w:rsidTr="009132DA">
        <w:tc>
          <w:tcPr>
            <w:tcW w:w="1418" w:type="dxa"/>
            <w:tcBorders>
              <w:top w:val="nil"/>
              <w:left w:val="nil"/>
              <w:bottom w:val="single" w:sz="4" w:space="0" w:color="auto"/>
              <w:right w:val="single" w:sz="4" w:space="0" w:color="auto"/>
            </w:tcBorders>
          </w:tcPr>
          <w:p w14:paraId="38FBFBE0" w14:textId="77777777" w:rsidR="001709BC" w:rsidRPr="00C629A3" w:rsidRDefault="001709BC" w:rsidP="00447EFE">
            <w:pPr>
              <w:autoSpaceDE w:val="0"/>
              <w:autoSpaceDN w:val="0"/>
              <w:adjustRightInd w:val="0"/>
              <w:spacing w:before="120" w:after="80"/>
              <w:rPr>
                <w:rFonts w:ascii="Candara" w:hAnsi="Candara" w:cs="Calibri"/>
              </w:rPr>
            </w:pPr>
          </w:p>
        </w:tc>
        <w:tc>
          <w:tcPr>
            <w:tcW w:w="3685" w:type="dxa"/>
            <w:gridSpan w:val="2"/>
            <w:tcBorders>
              <w:left w:val="single" w:sz="4" w:space="0" w:color="auto"/>
            </w:tcBorders>
            <w:shd w:val="clear" w:color="auto" w:fill="365F91" w:themeFill="accent1" w:themeFillShade="BF"/>
          </w:tcPr>
          <w:p w14:paraId="35FA926C" w14:textId="77777777" w:rsidR="001709BC" w:rsidRPr="009132DA" w:rsidRDefault="001709BC" w:rsidP="001709BC">
            <w:pPr>
              <w:autoSpaceDE w:val="0"/>
              <w:autoSpaceDN w:val="0"/>
              <w:adjustRightInd w:val="0"/>
              <w:spacing w:before="120" w:after="80"/>
              <w:jc w:val="center"/>
              <w:rPr>
                <w:rFonts w:ascii="Candara" w:hAnsi="Candara" w:cs="Calibri"/>
                <w:b/>
                <w:color w:val="F2F2F2" w:themeColor="background1" w:themeShade="F2"/>
              </w:rPr>
            </w:pPr>
            <w:r w:rsidRPr="009132DA">
              <w:rPr>
                <w:rFonts w:ascii="Candara" w:hAnsi="Candara" w:cs="Calibri"/>
                <w:b/>
                <w:color w:val="F2F2F2" w:themeColor="background1" w:themeShade="F2"/>
              </w:rPr>
              <w:t>Time</w:t>
            </w:r>
          </w:p>
        </w:tc>
      </w:tr>
      <w:tr w:rsidR="009132DA" w:rsidRPr="009132DA" w14:paraId="3E73EFA7" w14:textId="77777777" w:rsidTr="009132DA">
        <w:tc>
          <w:tcPr>
            <w:tcW w:w="1418" w:type="dxa"/>
            <w:tcBorders>
              <w:top w:val="single" w:sz="4" w:space="0" w:color="auto"/>
            </w:tcBorders>
            <w:shd w:val="clear" w:color="auto" w:fill="365F91" w:themeFill="accent1" w:themeFillShade="BF"/>
          </w:tcPr>
          <w:p w14:paraId="10E0386F" w14:textId="77777777" w:rsidR="001709BC" w:rsidRPr="009132DA" w:rsidRDefault="001709BC" w:rsidP="00447EFE">
            <w:pPr>
              <w:autoSpaceDE w:val="0"/>
              <w:autoSpaceDN w:val="0"/>
              <w:adjustRightInd w:val="0"/>
              <w:spacing w:before="120" w:after="80"/>
              <w:rPr>
                <w:rFonts w:ascii="Candara" w:hAnsi="Candara" w:cs="Calibri"/>
                <w:b/>
                <w:color w:val="F2F2F2" w:themeColor="background1" w:themeShade="F2"/>
              </w:rPr>
            </w:pPr>
            <w:r w:rsidRPr="009132DA">
              <w:rPr>
                <w:rFonts w:ascii="Candara" w:hAnsi="Candara" w:cs="Calibri"/>
                <w:b/>
                <w:color w:val="F2F2F2" w:themeColor="background1" w:themeShade="F2"/>
              </w:rPr>
              <w:t>Location</w:t>
            </w:r>
          </w:p>
        </w:tc>
        <w:tc>
          <w:tcPr>
            <w:tcW w:w="1842" w:type="dxa"/>
            <w:shd w:val="clear" w:color="auto" w:fill="365F91" w:themeFill="accent1" w:themeFillShade="BF"/>
          </w:tcPr>
          <w:p w14:paraId="04E1A197" w14:textId="77777777" w:rsidR="001709BC" w:rsidRPr="009132DA" w:rsidRDefault="001709BC" w:rsidP="00447EFE">
            <w:pPr>
              <w:autoSpaceDE w:val="0"/>
              <w:autoSpaceDN w:val="0"/>
              <w:adjustRightInd w:val="0"/>
              <w:spacing w:before="120" w:after="80"/>
              <w:rPr>
                <w:rFonts w:ascii="Candara" w:hAnsi="Candara" w:cs="Calibri"/>
                <w:b/>
                <w:color w:val="F2F2F2" w:themeColor="background1" w:themeShade="F2"/>
              </w:rPr>
            </w:pPr>
            <w:r w:rsidRPr="009132DA">
              <w:rPr>
                <w:rFonts w:ascii="Candara" w:hAnsi="Candara" w:cs="Calibri"/>
                <w:b/>
                <w:color w:val="F2F2F2" w:themeColor="background1" w:themeShade="F2"/>
              </w:rPr>
              <w:t>Low Risk</w:t>
            </w:r>
          </w:p>
        </w:tc>
        <w:tc>
          <w:tcPr>
            <w:tcW w:w="1843" w:type="dxa"/>
            <w:shd w:val="clear" w:color="auto" w:fill="365F91" w:themeFill="accent1" w:themeFillShade="BF"/>
          </w:tcPr>
          <w:p w14:paraId="5F00D839" w14:textId="77777777" w:rsidR="001709BC" w:rsidRPr="009132DA" w:rsidRDefault="001709BC" w:rsidP="00447EFE">
            <w:pPr>
              <w:autoSpaceDE w:val="0"/>
              <w:autoSpaceDN w:val="0"/>
              <w:adjustRightInd w:val="0"/>
              <w:spacing w:before="120" w:after="80"/>
              <w:rPr>
                <w:rFonts w:ascii="Candara" w:hAnsi="Candara" w:cs="Calibri"/>
                <w:b/>
                <w:color w:val="F2F2F2" w:themeColor="background1" w:themeShade="F2"/>
              </w:rPr>
            </w:pPr>
            <w:r w:rsidRPr="009132DA">
              <w:rPr>
                <w:rFonts w:ascii="Candara" w:hAnsi="Candara" w:cs="Calibri"/>
                <w:b/>
                <w:color w:val="F2F2F2" w:themeColor="background1" w:themeShade="F2"/>
              </w:rPr>
              <w:t>High Risk</w:t>
            </w:r>
          </w:p>
        </w:tc>
      </w:tr>
      <w:tr w:rsidR="001709BC" w:rsidRPr="00C629A3" w14:paraId="4C5E4397" w14:textId="77777777" w:rsidTr="009132DA">
        <w:tc>
          <w:tcPr>
            <w:tcW w:w="1418" w:type="dxa"/>
            <w:shd w:val="clear" w:color="auto" w:fill="365F91" w:themeFill="accent1" w:themeFillShade="BF"/>
          </w:tcPr>
          <w:p w14:paraId="00BDB78F" w14:textId="77777777" w:rsidR="001709BC" w:rsidRPr="009132DA" w:rsidRDefault="001709BC" w:rsidP="00447EFE">
            <w:pPr>
              <w:autoSpaceDE w:val="0"/>
              <w:autoSpaceDN w:val="0"/>
              <w:adjustRightInd w:val="0"/>
              <w:spacing w:before="120" w:after="80"/>
              <w:rPr>
                <w:rFonts w:ascii="Candara" w:hAnsi="Candara" w:cs="Calibri"/>
                <w:b/>
                <w:color w:val="F2F2F2" w:themeColor="background1" w:themeShade="F2"/>
              </w:rPr>
            </w:pPr>
            <w:r w:rsidRPr="009132DA">
              <w:rPr>
                <w:rFonts w:ascii="Candara" w:hAnsi="Candara" w:cs="Calibri"/>
                <w:b/>
                <w:color w:val="F2F2F2" w:themeColor="background1" w:themeShade="F2"/>
              </w:rPr>
              <w:t>Low Risk</w:t>
            </w:r>
          </w:p>
        </w:tc>
        <w:tc>
          <w:tcPr>
            <w:tcW w:w="1842" w:type="dxa"/>
          </w:tcPr>
          <w:p w14:paraId="09378CEB" w14:textId="77777777" w:rsidR="001709BC" w:rsidRPr="00C629A3" w:rsidRDefault="001709BC" w:rsidP="00447EFE">
            <w:pPr>
              <w:autoSpaceDE w:val="0"/>
              <w:autoSpaceDN w:val="0"/>
              <w:adjustRightInd w:val="0"/>
              <w:spacing w:before="120" w:after="80"/>
              <w:rPr>
                <w:rFonts w:ascii="Candara" w:hAnsi="Candara" w:cs="Calibri"/>
              </w:rPr>
            </w:pPr>
            <w:r w:rsidRPr="00C629A3">
              <w:rPr>
                <w:rFonts w:ascii="Candara" w:hAnsi="Candara" w:cs="Calibri"/>
              </w:rPr>
              <w:t>Lowest priority</w:t>
            </w:r>
          </w:p>
        </w:tc>
        <w:tc>
          <w:tcPr>
            <w:tcW w:w="1843" w:type="dxa"/>
          </w:tcPr>
          <w:p w14:paraId="3325CE0B" w14:textId="77777777" w:rsidR="001709BC" w:rsidRPr="00C629A3" w:rsidRDefault="00216C0D" w:rsidP="00447EFE">
            <w:pPr>
              <w:autoSpaceDE w:val="0"/>
              <w:autoSpaceDN w:val="0"/>
              <w:adjustRightInd w:val="0"/>
              <w:spacing w:before="120" w:after="80"/>
              <w:rPr>
                <w:rFonts w:ascii="Candara" w:hAnsi="Candara" w:cs="Calibri"/>
              </w:rPr>
            </w:pPr>
            <w:r w:rsidRPr="00C629A3">
              <w:rPr>
                <w:rFonts w:ascii="Candara" w:hAnsi="Candara" w:cs="Calibri"/>
              </w:rPr>
              <w:t>Medium priority</w:t>
            </w:r>
          </w:p>
        </w:tc>
      </w:tr>
      <w:tr w:rsidR="001709BC" w:rsidRPr="00C629A3" w14:paraId="0CC7D702" w14:textId="77777777" w:rsidTr="009132DA">
        <w:tc>
          <w:tcPr>
            <w:tcW w:w="1418" w:type="dxa"/>
            <w:shd w:val="clear" w:color="auto" w:fill="365F91" w:themeFill="accent1" w:themeFillShade="BF"/>
          </w:tcPr>
          <w:p w14:paraId="5753D3E7" w14:textId="77777777" w:rsidR="001709BC" w:rsidRPr="009132DA" w:rsidRDefault="001709BC" w:rsidP="00447EFE">
            <w:pPr>
              <w:autoSpaceDE w:val="0"/>
              <w:autoSpaceDN w:val="0"/>
              <w:adjustRightInd w:val="0"/>
              <w:spacing w:before="120" w:after="80"/>
              <w:rPr>
                <w:rFonts w:ascii="Candara" w:hAnsi="Candara" w:cs="Calibri"/>
                <w:b/>
                <w:color w:val="F2F2F2" w:themeColor="background1" w:themeShade="F2"/>
              </w:rPr>
            </w:pPr>
            <w:r w:rsidRPr="009132DA">
              <w:rPr>
                <w:rFonts w:ascii="Candara" w:hAnsi="Candara" w:cs="Calibri"/>
                <w:b/>
                <w:color w:val="F2F2F2" w:themeColor="background1" w:themeShade="F2"/>
              </w:rPr>
              <w:t>High Risk</w:t>
            </w:r>
          </w:p>
        </w:tc>
        <w:tc>
          <w:tcPr>
            <w:tcW w:w="1842" w:type="dxa"/>
          </w:tcPr>
          <w:p w14:paraId="45F5378F" w14:textId="77777777" w:rsidR="001709BC" w:rsidRPr="00D75675" w:rsidRDefault="00D75675" w:rsidP="00447EFE">
            <w:pPr>
              <w:autoSpaceDE w:val="0"/>
              <w:autoSpaceDN w:val="0"/>
              <w:adjustRightInd w:val="0"/>
              <w:spacing w:before="120" w:after="80"/>
              <w:rPr>
                <w:rFonts w:ascii="Candara" w:hAnsi="Candara" w:cs="Calibri"/>
                <w:sz w:val="24"/>
                <w:szCs w:val="24"/>
              </w:rPr>
            </w:pPr>
            <w:r>
              <w:rPr>
                <w:rFonts w:ascii="Candara" w:hAnsi="Candara" w:cs="Calibri"/>
              </w:rPr>
              <w:t xml:space="preserve">Medium </w:t>
            </w:r>
            <w:r w:rsidR="00216C0D" w:rsidRPr="00D75675">
              <w:rPr>
                <w:rFonts w:ascii="Candara" w:hAnsi="Candara" w:cs="Calibri"/>
              </w:rPr>
              <w:t>priority</w:t>
            </w:r>
          </w:p>
        </w:tc>
        <w:tc>
          <w:tcPr>
            <w:tcW w:w="1843" w:type="dxa"/>
          </w:tcPr>
          <w:p w14:paraId="6B613F57" w14:textId="77777777" w:rsidR="001709BC" w:rsidRPr="00C629A3" w:rsidRDefault="001709BC" w:rsidP="00447EFE">
            <w:pPr>
              <w:autoSpaceDE w:val="0"/>
              <w:autoSpaceDN w:val="0"/>
              <w:adjustRightInd w:val="0"/>
              <w:spacing w:before="120" w:after="80"/>
              <w:rPr>
                <w:rFonts w:ascii="Candara" w:hAnsi="Candara" w:cs="Calibri"/>
              </w:rPr>
            </w:pPr>
            <w:r w:rsidRPr="00C629A3">
              <w:rPr>
                <w:rFonts w:ascii="Candara" w:hAnsi="Candara" w:cs="Calibri"/>
              </w:rPr>
              <w:t>Highest priority</w:t>
            </w:r>
          </w:p>
        </w:tc>
      </w:tr>
    </w:tbl>
    <w:p w14:paraId="1D9FF261" w14:textId="77777777" w:rsidR="005D393E" w:rsidRDefault="005D393E" w:rsidP="00447EFE">
      <w:pPr>
        <w:autoSpaceDE w:val="0"/>
        <w:autoSpaceDN w:val="0"/>
        <w:adjustRightInd w:val="0"/>
        <w:spacing w:before="120" w:after="80"/>
        <w:rPr>
          <w:rFonts w:ascii="Candara" w:hAnsi="Candara" w:cs="Calibri"/>
        </w:rPr>
      </w:pPr>
    </w:p>
    <w:p w14:paraId="69901881" w14:textId="77777777" w:rsidR="009F2663" w:rsidRPr="00C629A3" w:rsidRDefault="00216C0D" w:rsidP="00447EFE">
      <w:pPr>
        <w:autoSpaceDE w:val="0"/>
        <w:autoSpaceDN w:val="0"/>
        <w:adjustRightInd w:val="0"/>
        <w:spacing w:before="120" w:after="80"/>
        <w:rPr>
          <w:rFonts w:ascii="Candara" w:hAnsi="Candara" w:cs="Calibri"/>
        </w:rPr>
      </w:pPr>
      <w:r w:rsidRPr="00C629A3">
        <w:rPr>
          <w:rFonts w:ascii="Candara" w:hAnsi="Candara" w:cs="Calibri"/>
        </w:rPr>
        <w:t>Specifically, high risk locations would be those currently assigned the status “Hazardous Bushfire Risk Area (HBRA)</w:t>
      </w:r>
      <w:r w:rsidRPr="00C629A3">
        <w:rPr>
          <w:rStyle w:val="FootnoteReference"/>
          <w:rFonts w:ascii="Candara" w:hAnsi="Candara" w:cs="Calibri"/>
        </w:rPr>
        <w:footnoteReference w:id="23"/>
      </w:r>
      <w:r w:rsidRPr="00C629A3">
        <w:rPr>
          <w:rFonts w:ascii="Candara" w:hAnsi="Candara" w:cs="Calibri"/>
        </w:rPr>
        <w:t xml:space="preserve">. Low risk locations comprise all other areas. </w:t>
      </w:r>
      <w:r w:rsidR="00A63A2A" w:rsidRPr="00C629A3">
        <w:rPr>
          <w:rFonts w:ascii="Candara" w:hAnsi="Candara" w:cs="Calibri"/>
        </w:rPr>
        <w:t>H</w:t>
      </w:r>
      <w:r w:rsidRPr="00C629A3">
        <w:rPr>
          <w:rFonts w:ascii="Candara" w:hAnsi="Candara" w:cs="Calibri"/>
        </w:rPr>
        <w:t xml:space="preserve">igh risk </w:t>
      </w:r>
      <w:r w:rsidR="00A63A2A" w:rsidRPr="00C629A3">
        <w:rPr>
          <w:rFonts w:ascii="Candara" w:hAnsi="Candara" w:cs="Calibri"/>
        </w:rPr>
        <w:t xml:space="preserve">times of the year </w:t>
      </w:r>
      <w:r w:rsidRPr="00C629A3">
        <w:rPr>
          <w:rFonts w:ascii="Candara" w:hAnsi="Candara" w:cs="Calibri"/>
        </w:rPr>
        <w:t xml:space="preserve">would be </w:t>
      </w:r>
      <w:r w:rsidR="00A63A2A" w:rsidRPr="00C629A3">
        <w:rPr>
          <w:rFonts w:ascii="Candara" w:hAnsi="Candara" w:cs="Calibri"/>
        </w:rPr>
        <w:t xml:space="preserve">restricted to </w:t>
      </w:r>
      <w:r w:rsidRPr="00C629A3">
        <w:rPr>
          <w:rFonts w:ascii="Candara" w:hAnsi="Candara" w:cs="Calibri"/>
        </w:rPr>
        <w:t xml:space="preserve">the </w:t>
      </w:r>
      <w:r w:rsidR="00447EFE" w:rsidRPr="00C629A3">
        <w:rPr>
          <w:rFonts w:ascii="Candara" w:hAnsi="Candara" w:cs="Calibri"/>
        </w:rPr>
        <w:t>Specified Bushfire Risk Period (SBRP)</w:t>
      </w:r>
      <w:r w:rsidRPr="00C629A3">
        <w:rPr>
          <w:rFonts w:ascii="Candara" w:hAnsi="Candara" w:cs="Calibri"/>
        </w:rPr>
        <w:t xml:space="preserve"> which e</w:t>
      </w:r>
      <w:r w:rsidR="000E5877" w:rsidRPr="00C629A3">
        <w:rPr>
          <w:rFonts w:ascii="Candara" w:hAnsi="Candara" w:cs="Calibri"/>
        </w:rPr>
        <w:t xml:space="preserve">xtends </w:t>
      </w:r>
      <w:r w:rsidR="00447EFE" w:rsidRPr="00C629A3">
        <w:rPr>
          <w:rFonts w:ascii="Candara" w:hAnsi="Candara" w:cs="Calibri"/>
        </w:rPr>
        <w:t>from 1 November to 31 March</w:t>
      </w:r>
      <w:r w:rsidRPr="00C629A3">
        <w:rPr>
          <w:rStyle w:val="FootnoteReference"/>
          <w:rFonts w:ascii="Candara" w:hAnsi="Candara" w:cs="Calibri"/>
        </w:rPr>
        <w:footnoteReference w:id="24"/>
      </w:r>
      <w:r w:rsidR="00265A8A" w:rsidRPr="00C629A3">
        <w:rPr>
          <w:rFonts w:ascii="Candara" w:hAnsi="Candara" w:cs="Calibri"/>
        </w:rPr>
        <w:t xml:space="preserve">.  </w:t>
      </w:r>
      <w:r w:rsidR="009F2663" w:rsidRPr="00C629A3">
        <w:rPr>
          <w:rFonts w:ascii="Candara" w:hAnsi="Candara" w:cs="Calibri"/>
        </w:rPr>
        <w:t xml:space="preserve"> </w:t>
      </w:r>
    </w:p>
    <w:p w14:paraId="605F1C51" w14:textId="77777777" w:rsidR="009F2663" w:rsidRPr="00C629A3" w:rsidRDefault="009F2663" w:rsidP="00447EFE">
      <w:pPr>
        <w:autoSpaceDE w:val="0"/>
        <w:autoSpaceDN w:val="0"/>
        <w:adjustRightInd w:val="0"/>
        <w:spacing w:before="120" w:after="80"/>
        <w:rPr>
          <w:rFonts w:ascii="Candara" w:hAnsi="Candara" w:cs="Calibri"/>
        </w:rPr>
      </w:pPr>
      <w:r w:rsidRPr="00C629A3">
        <w:rPr>
          <w:rFonts w:ascii="Candara" w:hAnsi="Candara" w:cs="Calibri"/>
        </w:rPr>
        <w:t>This option has the benefit of being administratively simple</w:t>
      </w:r>
      <w:r w:rsidR="000C3661">
        <w:rPr>
          <w:rFonts w:ascii="Candara" w:hAnsi="Candara" w:cs="Calibri"/>
        </w:rPr>
        <w:t>. It also</w:t>
      </w:r>
      <w:r w:rsidRPr="00C629A3">
        <w:rPr>
          <w:rFonts w:ascii="Candara" w:hAnsi="Candara" w:cs="Calibri"/>
        </w:rPr>
        <w:t xml:space="preserve"> leverag</w:t>
      </w:r>
      <w:r w:rsidR="000C3661">
        <w:rPr>
          <w:rFonts w:ascii="Candara" w:hAnsi="Candara" w:cs="Calibri"/>
        </w:rPr>
        <w:t>es</w:t>
      </w:r>
      <w:r w:rsidRPr="00C629A3">
        <w:rPr>
          <w:rFonts w:ascii="Candara" w:hAnsi="Candara" w:cs="Calibri"/>
        </w:rPr>
        <w:t xml:space="preserve"> established regulated and accepted definitions of higher bushfire areas and times of risk. </w:t>
      </w:r>
      <w:r w:rsidR="003A4B82" w:rsidRPr="00C629A3">
        <w:rPr>
          <w:rFonts w:ascii="Candara" w:hAnsi="Candara" w:cs="Calibri"/>
        </w:rPr>
        <w:t xml:space="preserve"> </w:t>
      </w:r>
    </w:p>
    <w:p w14:paraId="4776FDE6" w14:textId="7A147776" w:rsidR="00A35468" w:rsidRDefault="009F2663" w:rsidP="00447EFE">
      <w:pPr>
        <w:autoSpaceDE w:val="0"/>
        <w:autoSpaceDN w:val="0"/>
        <w:adjustRightInd w:val="0"/>
        <w:spacing w:before="120" w:after="80"/>
        <w:rPr>
          <w:rFonts w:ascii="Candara" w:hAnsi="Candara" w:cs="Calibri"/>
        </w:rPr>
      </w:pPr>
      <w:r w:rsidRPr="00C629A3">
        <w:rPr>
          <w:rFonts w:ascii="Candara" w:hAnsi="Candara" w:cs="Calibri"/>
        </w:rPr>
        <w:t xml:space="preserve">However, </w:t>
      </w:r>
      <w:r w:rsidR="00A321C6" w:rsidRPr="00C629A3">
        <w:rPr>
          <w:rFonts w:ascii="Candara" w:hAnsi="Candara" w:cs="Calibri"/>
        </w:rPr>
        <w:t xml:space="preserve">this option does not </w:t>
      </w:r>
      <w:r w:rsidR="00A63A2A" w:rsidRPr="00C629A3">
        <w:rPr>
          <w:rFonts w:ascii="Candara" w:hAnsi="Candara" w:cs="Calibri"/>
        </w:rPr>
        <w:t xml:space="preserve">sufficiently </w:t>
      </w:r>
      <w:r w:rsidR="00A321C6" w:rsidRPr="00C629A3">
        <w:rPr>
          <w:rFonts w:ascii="Candara" w:hAnsi="Candara" w:cs="Calibri"/>
        </w:rPr>
        <w:t xml:space="preserve">differentiate between risk categories </w:t>
      </w:r>
      <w:r w:rsidR="00A63A2A" w:rsidRPr="00C629A3">
        <w:rPr>
          <w:rFonts w:ascii="Candara" w:hAnsi="Candara" w:cs="Calibri"/>
        </w:rPr>
        <w:t>to</w:t>
      </w:r>
      <w:r w:rsidR="00A321C6" w:rsidRPr="00C629A3">
        <w:rPr>
          <w:rFonts w:ascii="Candara" w:hAnsi="Candara" w:cs="Calibri"/>
        </w:rPr>
        <w:t xml:space="preserve"> guide </w:t>
      </w:r>
      <w:r w:rsidR="00A63A2A" w:rsidRPr="00C629A3">
        <w:rPr>
          <w:rFonts w:ascii="Candara" w:hAnsi="Candara" w:cs="Calibri"/>
        </w:rPr>
        <w:t xml:space="preserve">and incentivise </w:t>
      </w:r>
      <w:r w:rsidR="0015780A" w:rsidRPr="00C629A3">
        <w:rPr>
          <w:rFonts w:ascii="Candara" w:hAnsi="Candara" w:cs="Calibri"/>
        </w:rPr>
        <w:t>d</w:t>
      </w:r>
      <w:r w:rsidR="00842729" w:rsidRPr="00C629A3">
        <w:rPr>
          <w:rFonts w:ascii="Candara" w:hAnsi="Candara" w:cs="Calibri"/>
        </w:rPr>
        <w:t>istribution business</w:t>
      </w:r>
      <w:r w:rsidR="0015780A" w:rsidRPr="00C629A3">
        <w:rPr>
          <w:rFonts w:ascii="Candara" w:hAnsi="Candara" w:cs="Calibri"/>
        </w:rPr>
        <w:t xml:space="preserve">es </w:t>
      </w:r>
      <w:r w:rsidRPr="00C629A3">
        <w:rPr>
          <w:rFonts w:ascii="Candara" w:hAnsi="Candara" w:cs="Calibri"/>
        </w:rPr>
        <w:t xml:space="preserve">to </w:t>
      </w:r>
      <w:r w:rsidR="00A321C6" w:rsidRPr="00C629A3">
        <w:rPr>
          <w:rFonts w:ascii="Candara" w:hAnsi="Candara" w:cs="Calibri"/>
        </w:rPr>
        <w:t xml:space="preserve">make </w:t>
      </w:r>
      <w:r w:rsidR="00BF64DA" w:rsidRPr="00C629A3">
        <w:rPr>
          <w:rFonts w:ascii="Candara" w:hAnsi="Candara" w:cs="Calibri"/>
        </w:rPr>
        <w:t>optimal</w:t>
      </w:r>
      <w:r w:rsidR="0015780A" w:rsidRPr="00C629A3">
        <w:rPr>
          <w:rFonts w:ascii="Candara" w:hAnsi="Candara" w:cs="Calibri"/>
        </w:rPr>
        <w:t xml:space="preserve"> </w:t>
      </w:r>
      <w:r w:rsidR="00842729" w:rsidRPr="00C629A3">
        <w:rPr>
          <w:rFonts w:ascii="Candara" w:hAnsi="Candara" w:cs="Calibri"/>
        </w:rPr>
        <w:t>investme</w:t>
      </w:r>
      <w:r w:rsidR="0015780A" w:rsidRPr="00C629A3">
        <w:rPr>
          <w:rFonts w:ascii="Candara" w:hAnsi="Candara" w:cs="Calibri"/>
        </w:rPr>
        <w:t xml:space="preserve">nt decisions </w:t>
      </w:r>
      <w:r w:rsidR="00BF64DA" w:rsidRPr="00C629A3">
        <w:rPr>
          <w:rFonts w:ascii="Candara" w:hAnsi="Candara" w:cs="Calibri"/>
        </w:rPr>
        <w:t>o</w:t>
      </w:r>
      <w:r w:rsidRPr="00C629A3">
        <w:rPr>
          <w:rFonts w:ascii="Candara" w:hAnsi="Candara" w:cs="Calibri"/>
        </w:rPr>
        <w:t>r extract</w:t>
      </w:r>
      <w:r w:rsidR="00BF64DA" w:rsidRPr="00C629A3">
        <w:rPr>
          <w:rFonts w:ascii="Candara" w:hAnsi="Candara" w:cs="Calibri"/>
        </w:rPr>
        <w:t xml:space="preserve"> full value from the operation of </w:t>
      </w:r>
      <w:r w:rsidRPr="00C629A3">
        <w:rPr>
          <w:rFonts w:ascii="Candara" w:hAnsi="Candara" w:cs="Calibri"/>
        </w:rPr>
        <w:t xml:space="preserve">deployed </w:t>
      </w:r>
      <w:r w:rsidR="00A321C6" w:rsidRPr="00C629A3">
        <w:rPr>
          <w:rFonts w:ascii="Candara" w:hAnsi="Candara" w:cs="Calibri"/>
        </w:rPr>
        <w:t xml:space="preserve">active </w:t>
      </w:r>
      <w:r w:rsidR="00BF64DA" w:rsidRPr="00C629A3">
        <w:rPr>
          <w:rFonts w:ascii="Candara" w:hAnsi="Candara" w:cs="Calibri"/>
        </w:rPr>
        <w:t>assets</w:t>
      </w:r>
      <w:r w:rsidR="00A321C6" w:rsidRPr="00C629A3">
        <w:rPr>
          <w:rFonts w:ascii="Candara" w:hAnsi="Candara" w:cs="Calibri"/>
        </w:rPr>
        <w:t xml:space="preserve"> such as </w:t>
      </w:r>
      <w:r w:rsidR="00CF12F9">
        <w:rPr>
          <w:rFonts w:ascii="Candara" w:hAnsi="Candara" w:cs="Calibri"/>
        </w:rPr>
        <w:t xml:space="preserve">new remotely-adjustable </w:t>
      </w:r>
      <w:r w:rsidR="00A321C6" w:rsidRPr="00C629A3">
        <w:rPr>
          <w:rFonts w:ascii="Candara" w:hAnsi="Candara" w:cs="Calibri"/>
        </w:rPr>
        <w:t>A</w:t>
      </w:r>
      <w:r w:rsidR="00CF12F9">
        <w:rPr>
          <w:rFonts w:ascii="Candara" w:hAnsi="Candara" w:cs="Calibri"/>
        </w:rPr>
        <w:t xml:space="preserve">utomatic </w:t>
      </w:r>
      <w:r w:rsidR="00A321C6" w:rsidRPr="00C629A3">
        <w:rPr>
          <w:rFonts w:ascii="Candara" w:hAnsi="Candara" w:cs="Calibri"/>
        </w:rPr>
        <w:t>C</w:t>
      </w:r>
      <w:r w:rsidR="00CF12F9">
        <w:rPr>
          <w:rFonts w:ascii="Candara" w:hAnsi="Candara" w:cs="Calibri"/>
        </w:rPr>
        <w:t xml:space="preserve">ircuit </w:t>
      </w:r>
      <w:r w:rsidR="00A321C6" w:rsidRPr="00C629A3">
        <w:rPr>
          <w:rFonts w:ascii="Candara" w:hAnsi="Candara" w:cs="Calibri"/>
        </w:rPr>
        <w:t>R</w:t>
      </w:r>
      <w:r w:rsidR="00CF12F9">
        <w:rPr>
          <w:rFonts w:ascii="Candara" w:hAnsi="Candara" w:cs="Calibri"/>
        </w:rPr>
        <w:t>ecloser</w:t>
      </w:r>
      <w:r w:rsidR="00A321C6" w:rsidRPr="00C629A3">
        <w:rPr>
          <w:rFonts w:ascii="Candara" w:hAnsi="Candara" w:cs="Calibri"/>
        </w:rPr>
        <w:t>s and R</w:t>
      </w:r>
      <w:r w:rsidR="00CF12F9">
        <w:rPr>
          <w:rFonts w:ascii="Candara" w:hAnsi="Candara" w:cs="Calibri"/>
        </w:rPr>
        <w:t xml:space="preserve">apid </w:t>
      </w:r>
      <w:r w:rsidR="00A321C6" w:rsidRPr="00C629A3">
        <w:rPr>
          <w:rFonts w:ascii="Candara" w:hAnsi="Candara" w:cs="Calibri"/>
        </w:rPr>
        <w:t>E</w:t>
      </w:r>
      <w:r w:rsidR="00CF12F9">
        <w:rPr>
          <w:rFonts w:ascii="Candara" w:hAnsi="Candara" w:cs="Calibri"/>
        </w:rPr>
        <w:t xml:space="preserve">arth </w:t>
      </w:r>
      <w:r w:rsidR="00A321C6" w:rsidRPr="00C629A3">
        <w:rPr>
          <w:rFonts w:ascii="Candara" w:hAnsi="Candara" w:cs="Calibri"/>
        </w:rPr>
        <w:t>F</w:t>
      </w:r>
      <w:r w:rsidR="00CF12F9">
        <w:rPr>
          <w:rFonts w:ascii="Candara" w:hAnsi="Candara" w:cs="Calibri"/>
        </w:rPr>
        <w:t xml:space="preserve">ault </w:t>
      </w:r>
      <w:r w:rsidR="00A321C6" w:rsidRPr="00C629A3">
        <w:rPr>
          <w:rFonts w:ascii="Candara" w:hAnsi="Candara" w:cs="Calibri"/>
        </w:rPr>
        <w:t>C</w:t>
      </w:r>
      <w:r w:rsidR="00CF12F9">
        <w:rPr>
          <w:rFonts w:ascii="Candara" w:hAnsi="Candara" w:cs="Calibri"/>
        </w:rPr>
        <w:t xml:space="preserve">urrent </w:t>
      </w:r>
      <w:r w:rsidR="00A321C6" w:rsidRPr="00C629A3">
        <w:rPr>
          <w:rFonts w:ascii="Candara" w:hAnsi="Candara" w:cs="Calibri"/>
        </w:rPr>
        <w:t>L</w:t>
      </w:r>
      <w:r w:rsidR="00CF12F9">
        <w:rPr>
          <w:rFonts w:ascii="Candara" w:hAnsi="Candara" w:cs="Calibri"/>
        </w:rPr>
        <w:t>imiter</w:t>
      </w:r>
      <w:r w:rsidR="00A321C6" w:rsidRPr="00C629A3">
        <w:rPr>
          <w:rFonts w:ascii="Candara" w:hAnsi="Candara" w:cs="Calibri"/>
        </w:rPr>
        <w:t>s</w:t>
      </w:r>
      <w:r w:rsidRPr="00C629A3">
        <w:rPr>
          <w:rFonts w:ascii="Candara" w:hAnsi="Candara" w:cs="Calibri"/>
        </w:rPr>
        <w:t>.</w:t>
      </w:r>
      <w:r w:rsidR="005D393E">
        <w:rPr>
          <w:rStyle w:val="FootnoteReference"/>
          <w:rFonts w:ascii="Candara" w:hAnsi="Candara" w:cs="Calibri"/>
        </w:rPr>
        <w:footnoteReference w:id="25"/>
      </w:r>
      <w:r w:rsidRPr="00C629A3">
        <w:rPr>
          <w:rFonts w:ascii="Candara" w:hAnsi="Candara" w:cs="Calibri"/>
        </w:rPr>
        <w:t xml:space="preserve"> </w:t>
      </w:r>
      <w:r w:rsidR="00BF64DA" w:rsidRPr="00C629A3">
        <w:rPr>
          <w:rFonts w:ascii="Candara" w:hAnsi="Candara" w:cs="Calibri"/>
        </w:rPr>
        <w:t xml:space="preserve"> </w:t>
      </w:r>
      <w:r w:rsidR="00A63A2A" w:rsidRPr="00C629A3">
        <w:rPr>
          <w:rFonts w:ascii="Candara" w:hAnsi="Candara" w:cs="Calibri"/>
        </w:rPr>
        <w:t xml:space="preserve">Instead this option would dissipate effort </w:t>
      </w:r>
      <w:r w:rsidR="00980837" w:rsidRPr="00C629A3">
        <w:rPr>
          <w:rFonts w:ascii="Candara" w:hAnsi="Candara" w:cs="Calibri"/>
        </w:rPr>
        <w:lastRenderedPageBreak/>
        <w:t>over</w:t>
      </w:r>
      <w:r w:rsidR="00A63A2A" w:rsidRPr="00C629A3">
        <w:rPr>
          <w:rFonts w:ascii="Candara" w:hAnsi="Candara" w:cs="Calibri"/>
        </w:rPr>
        <w:t xml:space="preserve"> too large a section of the network</w:t>
      </w:r>
      <w:r w:rsidR="00980837" w:rsidRPr="00C629A3">
        <w:rPr>
          <w:rFonts w:ascii="Candara" w:hAnsi="Candara" w:cs="Calibri"/>
        </w:rPr>
        <w:t>,</w:t>
      </w:r>
      <w:r w:rsidR="00C629A3" w:rsidRPr="00C629A3">
        <w:rPr>
          <w:rFonts w:ascii="Candara" w:hAnsi="Candara" w:cs="Calibri"/>
        </w:rPr>
        <w:t xml:space="preserve"> </w:t>
      </w:r>
      <w:r w:rsidR="00980837" w:rsidRPr="00C629A3">
        <w:rPr>
          <w:rFonts w:ascii="Candara" w:hAnsi="Candara" w:cs="Calibri"/>
        </w:rPr>
        <w:t xml:space="preserve">and </w:t>
      </w:r>
      <w:r w:rsidR="00A63A2A" w:rsidRPr="00C629A3">
        <w:rPr>
          <w:rFonts w:ascii="Candara" w:hAnsi="Candara" w:cs="Calibri"/>
        </w:rPr>
        <w:t>over too great</w:t>
      </w:r>
      <w:r w:rsidR="00980837" w:rsidRPr="00C629A3">
        <w:rPr>
          <w:rFonts w:ascii="Candara" w:hAnsi="Candara" w:cs="Calibri"/>
        </w:rPr>
        <w:t xml:space="preserve"> a period of time, to meaningfully address times and locations of highest risk</w:t>
      </w:r>
      <w:r w:rsidR="00A63A2A" w:rsidRPr="00C629A3">
        <w:rPr>
          <w:rFonts w:ascii="Candara" w:hAnsi="Candara" w:cs="Calibri"/>
        </w:rPr>
        <w:t>.  A mor</w:t>
      </w:r>
      <w:r w:rsidR="00ED1616" w:rsidRPr="00C629A3">
        <w:rPr>
          <w:rFonts w:ascii="Candara" w:hAnsi="Candara" w:cs="Calibri"/>
        </w:rPr>
        <w:t xml:space="preserve">e detailed approach is required. </w:t>
      </w:r>
    </w:p>
    <w:p w14:paraId="7E37D8FB" w14:textId="77777777" w:rsidR="00A857DD" w:rsidRPr="00C629A3" w:rsidRDefault="00A857DD" w:rsidP="00447EFE">
      <w:pPr>
        <w:autoSpaceDE w:val="0"/>
        <w:autoSpaceDN w:val="0"/>
        <w:adjustRightInd w:val="0"/>
        <w:spacing w:before="120" w:after="80"/>
        <w:rPr>
          <w:rFonts w:ascii="Candara" w:hAnsi="Candara" w:cs="Calibri"/>
        </w:rPr>
      </w:pPr>
    </w:p>
    <w:p w14:paraId="5418EAC3" w14:textId="77777777" w:rsidR="00C41EA4" w:rsidRPr="00C629A3" w:rsidRDefault="00EE35B5" w:rsidP="001773AA">
      <w:pPr>
        <w:rPr>
          <w:rFonts w:ascii="Candara" w:hAnsi="Candara"/>
          <w:b/>
          <w:i/>
        </w:rPr>
      </w:pPr>
      <w:r>
        <w:rPr>
          <w:rFonts w:ascii="Candara" w:hAnsi="Candara"/>
          <w:b/>
          <w:i/>
        </w:rPr>
        <w:t>Detailed W</w:t>
      </w:r>
      <w:r w:rsidR="00C41EA4" w:rsidRPr="00C629A3">
        <w:rPr>
          <w:rFonts w:ascii="Candara" w:hAnsi="Candara"/>
          <w:b/>
          <w:i/>
        </w:rPr>
        <w:t>eight</w:t>
      </w:r>
      <w:r w:rsidR="00200922" w:rsidRPr="00C629A3">
        <w:rPr>
          <w:rFonts w:ascii="Candara" w:hAnsi="Candara"/>
          <w:b/>
          <w:i/>
        </w:rPr>
        <w:t>ing</w:t>
      </w:r>
    </w:p>
    <w:p w14:paraId="62463DB2" w14:textId="0BFEA918" w:rsidR="00D835FD" w:rsidRDefault="003A4B82" w:rsidP="00090E7E">
      <w:pPr>
        <w:autoSpaceDE w:val="0"/>
        <w:autoSpaceDN w:val="0"/>
        <w:adjustRightInd w:val="0"/>
        <w:spacing w:before="120" w:after="80"/>
        <w:rPr>
          <w:rFonts w:ascii="Candara" w:hAnsi="Candara" w:cs="Calibri"/>
        </w:rPr>
      </w:pPr>
      <w:r w:rsidRPr="00C629A3">
        <w:rPr>
          <w:rFonts w:ascii="Candara" w:hAnsi="Candara" w:cs="Calibri"/>
        </w:rPr>
        <w:t xml:space="preserve">Under this option weightings would be applied to </w:t>
      </w:r>
      <w:r w:rsidRPr="00C629A3">
        <w:rPr>
          <w:rFonts w:ascii="Candara" w:hAnsi="Candara" w:cs="Calibri"/>
          <w:i/>
        </w:rPr>
        <w:t xml:space="preserve">all </w:t>
      </w:r>
      <w:r w:rsidR="001773AA" w:rsidRPr="00C629A3">
        <w:rPr>
          <w:rFonts w:ascii="Candara" w:hAnsi="Candara" w:cs="Calibri"/>
        </w:rPr>
        <w:t>factors</w:t>
      </w:r>
      <w:r w:rsidR="009504F9" w:rsidRPr="00C629A3">
        <w:rPr>
          <w:rFonts w:ascii="Candara" w:hAnsi="Candara" w:cs="Calibri"/>
        </w:rPr>
        <w:t xml:space="preserve"> that </w:t>
      </w:r>
      <w:r w:rsidRPr="00C629A3">
        <w:rPr>
          <w:rFonts w:ascii="Candara" w:hAnsi="Candara" w:cs="Calibri"/>
        </w:rPr>
        <w:t>influence the harm associated with powerline</w:t>
      </w:r>
      <w:r w:rsidR="00D1067C" w:rsidRPr="00C629A3">
        <w:rPr>
          <w:rFonts w:ascii="Candara" w:hAnsi="Candara" w:cs="Calibri"/>
        </w:rPr>
        <w:t xml:space="preserve"> bushfires</w:t>
      </w:r>
      <w:r w:rsidR="00200922" w:rsidRPr="00C629A3">
        <w:rPr>
          <w:rFonts w:ascii="Candara" w:hAnsi="Candara" w:cs="Calibri"/>
        </w:rPr>
        <w:t>.</w:t>
      </w:r>
      <w:r w:rsidR="00D1067C" w:rsidRPr="00C629A3">
        <w:rPr>
          <w:rFonts w:ascii="Candara" w:hAnsi="Candara" w:cs="Calibri"/>
        </w:rPr>
        <w:t xml:space="preserve"> </w:t>
      </w:r>
    </w:p>
    <w:p w14:paraId="3CA64F47" w14:textId="77777777" w:rsidR="00090E7E" w:rsidRPr="0099091D" w:rsidRDefault="00090E7E" w:rsidP="00090E7E">
      <w:pPr>
        <w:autoSpaceDE w:val="0"/>
        <w:autoSpaceDN w:val="0"/>
        <w:adjustRightInd w:val="0"/>
        <w:spacing w:before="120" w:after="80"/>
        <w:rPr>
          <w:rFonts w:ascii="Candara" w:hAnsi="Candara"/>
        </w:rPr>
      </w:pPr>
      <w:r w:rsidRPr="0099091D">
        <w:rPr>
          <w:rFonts w:ascii="Candara" w:hAnsi="Candara" w:cs="Calibri"/>
        </w:rPr>
        <w:t xml:space="preserve">The performance measure proposed </w:t>
      </w:r>
      <w:r w:rsidRPr="0099091D">
        <w:rPr>
          <w:rFonts w:ascii="Candara" w:hAnsi="Candara"/>
        </w:rPr>
        <w:t>would weight each fire start by:</w:t>
      </w:r>
    </w:p>
    <w:p w14:paraId="533C25D7" w14:textId="77777777" w:rsidR="00090E7E" w:rsidRPr="0099091D" w:rsidRDefault="00090E7E" w:rsidP="00345278">
      <w:pPr>
        <w:numPr>
          <w:ilvl w:val="0"/>
          <w:numId w:val="21"/>
        </w:numPr>
        <w:autoSpaceDE w:val="0"/>
        <w:autoSpaceDN w:val="0"/>
        <w:adjustRightInd w:val="0"/>
        <w:spacing w:before="120" w:after="80"/>
        <w:contextualSpacing/>
        <w:rPr>
          <w:rFonts w:ascii="Candara" w:hAnsi="Candara"/>
        </w:rPr>
      </w:pPr>
      <w:r w:rsidRPr="0099091D">
        <w:rPr>
          <w:rFonts w:ascii="Candara" w:hAnsi="Candara"/>
        </w:rPr>
        <w:t>Location/geography of the fire start (G)</w:t>
      </w:r>
      <w:r w:rsidR="00015513" w:rsidRPr="0099091D">
        <w:rPr>
          <w:rFonts w:ascii="Candara" w:hAnsi="Candara"/>
        </w:rPr>
        <w:t>; and</w:t>
      </w:r>
    </w:p>
    <w:p w14:paraId="45849B25" w14:textId="77777777" w:rsidR="00090E7E" w:rsidRPr="0099091D" w:rsidRDefault="00090E7E" w:rsidP="00345278">
      <w:pPr>
        <w:numPr>
          <w:ilvl w:val="0"/>
          <w:numId w:val="21"/>
        </w:numPr>
        <w:autoSpaceDE w:val="0"/>
        <w:autoSpaceDN w:val="0"/>
        <w:adjustRightInd w:val="0"/>
        <w:spacing w:before="120" w:after="80"/>
        <w:contextualSpacing/>
        <w:rPr>
          <w:rFonts w:ascii="Candara" w:hAnsi="Candara"/>
        </w:rPr>
      </w:pPr>
      <w:r w:rsidRPr="0099091D">
        <w:rPr>
          <w:rFonts w:ascii="Candara" w:hAnsi="Candara"/>
        </w:rPr>
        <w:t>The Fire Danger Rating at the time of the fire start (T)</w:t>
      </w:r>
      <w:r w:rsidR="00015513" w:rsidRPr="0099091D">
        <w:rPr>
          <w:rFonts w:ascii="Candara" w:hAnsi="Candara"/>
        </w:rPr>
        <w:t>.</w:t>
      </w:r>
    </w:p>
    <w:p w14:paraId="0B40C5D1" w14:textId="77777777" w:rsidR="00090E7E" w:rsidRPr="0099091D" w:rsidRDefault="00090E7E" w:rsidP="00090E7E">
      <w:pPr>
        <w:autoSpaceDE w:val="0"/>
        <w:autoSpaceDN w:val="0"/>
        <w:adjustRightInd w:val="0"/>
        <w:spacing w:before="120" w:after="80"/>
        <w:rPr>
          <w:rFonts w:ascii="Candara" w:hAnsi="Candara" w:cs="Calibri"/>
        </w:rPr>
      </w:pPr>
      <w:r w:rsidRPr="0099091D">
        <w:rPr>
          <w:rFonts w:ascii="Candara" w:hAnsi="Candara"/>
        </w:rPr>
        <w:t>Each fire start would accrue a quantum of the performance measure Ignition Risk Unit (IRU).</w:t>
      </w:r>
    </w:p>
    <w:p w14:paraId="69C7A041" w14:textId="5A7B0EE1" w:rsidR="0099091D" w:rsidRDefault="00090E7E" w:rsidP="00090E7E">
      <w:pPr>
        <w:autoSpaceDE w:val="0"/>
        <w:autoSpaceDN w:val="0"/>
        <w:adjustRightInd w:val="0"/>
        <w:spacing w:before="120" w:after="80"/>
        <w:rPr>
          <w:rFonts w:ascii="Candara" w:hAnsi="Candara" w:cs="Calibri"/>
        </w:rPr>
      </w:pPr>
      <w:r w:rsidRPr="0099091D">
        <w:rPr>
          <w:rFonts w:ascii="Candara" w:hAnsi="Candara" w:cs="Calibri"/>
          <w:b/>
        </w:rPr>
        <w:t>IRU</w:t>
      </w:r>
      <w:r w:rsidRPr="0099091D">
        <w:rPr>
          <w:rFonts w:ascii="Candara" w:hAnsi="Candara" w:cs="Calibri"/>
        </w:rPr>
        <w:t xml:space="preserve"> =  </w:t>
      </w:r>
      <w:r w:rsidRPr="0099091D">
        <w:rPr>
          <w:rFonts w:ascii="Candara" w:hAnsi="Candara" w:cs="Calibri"/>
          <w:b/>
        </w:rPr>
        <w:t>G</w:t>
      </w:r>
      <w:r w:rsidRPr="0099091D">
        <w:rPr>
          <w:rFonts w:ascii="Candara" w:hAnsi="Candara" w:cs="Calibri"/>
        </w:rPr>
        <w:t xml:space="preserve"> (Geography) x</w:t>
      </w:r>
      <w:r w:rsidRPr="0099091D">
        <w:rPr>
          <w:rFonts w:ascii="Candara" w:hAnsi="Candara" w:cs="Calibri"/>
          <w:b/>
        </w:rPr>
        <w:t xml:space="preserve"> T</w:t>
      </w:r>
      <w:r w:rsidR="00EF3C86">
        <w:rPr>
          <w:rFonts w:ascii="Candara" w:hAnsi="Candara" w:cs="Calibri"/>
        </w:rPr>
        <w:t xml:space="preserve"> (Time: Fire Danger Rating). </w:t>
      </w:r>
    </w:p>
    <w:p w14:paraId="26D00BD2" w14:textId="77777777" w:rsidR="00090E7E" w:rsidRDefault="00090E7E" w:rsidP="00090E7E">
      <w:pPr>
        <w:autoSpaceDE w:val="0"/>
        <w:autoSpaceDN w:val="0"/>
        <w:adjustRightInd w:val="0"/>
        <w:spacing w:before="120" w:after="80"/>
        <w:rPr>
          <w:rFonts w:ascii="Candara" w:hAnsi="Candara" w:cs="Calibri"/>
        </w:rPr>
      </w:pPr>
      <w:r w:rsidRPr="0099091D">
        <w:rPr>
          <w:rFonts w:ascii="Candara" w:hAnsi="Candara" w:cs="Calibri"/>
        </w:rPr>
        <w:t>The weightings reflect community risk as follows:</w:t>
      </w:r>
    </w:p>
    <w:p w14:paraId="65D5A244" w14:textId="77777777" w:rsidR="007C694E" w:rsidRDefault="007C694E" w:rsidP="00090E7E">
      <w:pPr>
        <w:autoSpaceDE w:val="0"/>
        <w:autoSpaceDN w:val="0"/>
        <w:adjustRightInd w:val="0"/>
        <w:spacing w:before="120" w:after="80"/>
        <w:rPr>
          <w:rFonts w:ascii="Candara" w:hAnsi="Candara" w:cs="Calibri"/>
        </w:rPr>
      </w:pPr>
    </w:p>
    <w:p w14:paraId="1BA56E15" w14:textId="40C82552" w:rsidR="007C694E" w:rsidRPr="00576382" w:rsidRDefault="007C694E" w:rsidP="007C694E">
      <w:pPr>
        <w:autoSpaceDE w:val="0"/>
        <w:autoSpaceDN w:val="0"/>
        <w:adjustRightInd w:val="0"/>
        <w:spacing w:before="120" w:after="80"/>
        <w:rPr>
          <w:rFonts w:ascii="Candara" w:hAnsi="Candara" w:cs="Calibri"/>
          <w:sz w:val="21"/>
          <w:szCs w:val="21"/>
        </w:rPr>
      </w:pPr>
      <w:r>
        <w:rPr>
          <w:rStyle w:val="Heading6Char"/>
        </w:rPr>
        <w:t xml:space="preserve">Figure 3.3: </w:t>
      </w:r>
      <w:r w:rsidR="003D0C6B">
        <w:rPr>
          <w:rStyle w:val="Heading6Char"/>
        </w:rPr>
        <w:t>Bushfire Risk Weighting Metrics</w:t>
      </w:r>
      <w:r>
        <w:rPr>
          <w:rFonts w:ascii="Candara" w:hAnsi="Candara" w:cs="Calibri"/>
          <w:sz w:val="21"/>
          <w:szCs w:val="21"/>
        </w:rPr>
        <w:t xml:space="preserve">  </w:t>
      </w:r>
    </w:p>
    <w:p w14:paraId="4FBEED62" w14:textId="77777777" w:rsidR="007C694E" w:rsidRPr="0099091D" w:rsidRDefault="007C694E" w:rsidP="00090E7E">
      <w:pPr>
        <w:autoSpaceDE w:val="0"/>
        <w:autoSpaceDN w:val="0"/>
        <w:adjustRightInd w:val="0"/>
        <w:spacing w:before="120" w:after="80"/>
        <w:rPr>
          <w:rFonts w:ascii="Candara" w:hAnsi="Candara" w:cs="Calibri"/>
        </w:rPr>
      </w:pPr>
    </w:p>
    <w:tbl>
      <w:tblPr>
        <w:tblStyle w:val="TableGrid"/>
        <w:tblW w:w="0" w:type="auto"/>
        <w:tblInd w:w="2188" w:type="dxa"/>
        <w:tblLook w:val="04A0" w:firstRow="1" w:lastRow="0" w:firstColumn="1" w:lastColumn="0" w:noHBand="0" w:noVBand="1"/>
      </w:tblPr>
      <w:tblGrid>
        <w:gridCol w:w="911"/>
        <w:gridCol w:w="818"/>
        <w:gridCol w:w="1843"/>
      </w:tblGrid>
      <w:tr w:rsidR="00403699" w14:paraId="61FEC76B" w14:textId="77777777" w:rsidTr="00C9017C">
        <w:tc>
          <w:tcPr>
            <w:tcW w:w="911" w:type="dxa"/>
            <w:tcBorders>
              <w:bottom w:val="single" w:sz="4" w:space="0" w:color="auto"/>
            </w:tcBorders>
            <w:shd w:val="clear" w:color="auto" w:fill="365F91" w:themeFill="accent1" w:themeFillShade="BF"/>
          </w:tcPr>
          <w:p w14:paraId="16625075" w14:textId="77777777" w:rsidR="00403699" w:rsidRPr="00C9017C" w:rsidRDefault="0014744A" w:rsidP="0014744A">
            <w:pPr>
              <w:autoSpaceDE w:val="0"/>
              <w:autoSpaceDN w:val="0"/>
              <w:adjustRightInd w:val="0"/>
              <w:spacing w:before="120" w:after="80"/>
              <w:jc w:val="center"/>
              <w:rPr>
                <w:rFonts w:ascii="Candara" w:hAnsi="Candara" w:cs="Calibri"/>
                <w:b/>
                <w:color w:val="F2F2F2" w:themeColor="background1" w:themeShade="F2"/>
                <w:sz w:val="21"/>
                <w:szCs w:val="21"/>
              </w:rPr>
            </w:pPr>
            <w:r w:rsidRPr="00C9017C">
              <w:rPr>
                <w:rFonts w:ascii="Candara" w:hAnsi="Candara" w:cs="Calibri"/>
                <w:b/>
                <w:color w:val="F2F2F2" w:themeColor="background1" w:themeShade="F2"/>
                <w:sz w:val="21"/>
                <w:szCs w:val="21"/>
              </w:rPr>
              <w:t>Metric</w:t>
            </w:r>
          </w:p>
        </w:tc>
        <w:tc>
          <w:tcPr>
            <w:tcW w:w="818" w:type="dxa"/>
            <w:shd w:val="clear" w:color="auto" w:fill="365F91" w:themeFill="accent1" w:themeFillShade="BF"/>
          </w:tcPr>
          <w:p w14:paraId="54B551D3" w14:textId="77777777" w:rsidR="00403699" w:rsidRPr="00C9017C" w:rsidRDefault="0014744A" w:rsidP="0014744A">
            <w:pPr>
              <w:autoSpaceDE w:val="0"/>
              <w:autoSpaceDN w:val="0"/>
              <w:adjustRightInd w:val="0"/>
              <w:spacing w:before="120" w:after="80"/>
              <w:jc w:val="center"/>
              <w:rPr>
                <w:rFonts w:ascii="Candara" w:hAnsi="Candara" w:cs="Calibri"/>
                <w:b/>
                <w:color w:val="F2F2F2" w:themeColor="background1" w:themeShade="F2"/>
                <w:sz w:val="21"/>
                <w:szCs w:val="21"/>
              </w:rPr>
            </w:pPr>
            <w:r w:rsidRPr="00C9017C">
              <w:rPr>
                <w:rFonts w:ascii="Candara" w:hAnsi="Candara" w:cs="Calibri"/>
                <w:b/>
                <w:color w:val="F2F2F2" w:themeColor="background1" w:themeShade="F2"/>
                <w:sz w:val="21"/>
                <w:szCs w:val="21"/>
              </w:rPr>
              <w:t>Value</w:t>
            </w:r>
          </w:p>
        </w:tc>
        <w:tc>
          <w:tcPr>
            <w:tcW w:w="1843" w:type="dxa"/>
            <w:shd w:val="clear" w:color="auto" w:fill="365F91" w:themeFill="accent1" w:themeFillShade="BF"/>
          </w:tcPr>
          <w:p w14:paraId="4B10E3C5" w14:textId="77777777" w:rsidR="00403699" w:rsidRPr="00C9017C" w:rsidRDefault="0014744A" w:rsidP="0014744A">
            <w:pPr>
              <w:autoSpaceDE w:val="0"/>
              <w:autoSpaceDN w:val="0"/>
              <w:adjustRightInd w:val="0"/>
              <w:spacing w:before="120" w:after="80"/>
              <w:jc w:val="center"/>
              <w:rPr>
                <w:rFonts w:ascii="Candara" w:hAnsi="Candara" w:cs="Calibri"/>
                <w:b/>
                <w:color w:val="F2F2F2" w:themeColor="background1" w:themeShade="F2"/>
                <w:sz w:val="21"/>
                <w:szCs w:val="21"/>
              </w:rPr>
            </w:pPr>
            <w:r w:rsidRPr="00C9017C">
              <w:rPr>
                <w:rFonts w:ascii="Candara" w:hAnsi="Candara" w:cs="Calibri"/>
                <w:b/>
                <w:color w:val="F2F2F2" w:themeColor="background1" w:themeShade="F2"/>
                <w:sz w:val="21"/>
                <w:szCs w:val="21"/>
              </w:rPr>
              <w:t>What</w:t>
            </w:r>
          </w:p>
        </w:tc>
      </w:tr>
      <w:tr w:rsidR="00816FF3" w14:paraId="3CFCEFCE" w14:textId="77777777" w:rsidTr="00C9017C">
        <w:tc>
          <w:tcPr>
            <w:tcW w:w="911" w:type="dxa"/>
            <w:vMerge w:val="restart"/>
            <w:shd w:val="clear" w:color="auto" w:fill="365F91" w:themeFill="accent1" w:themeFillShade="BF"/>
            <w:vAlign w:val="center"/>
          </w:tcPr>
          <w:p w14:paraId="06353F52" w14:textId="77777777" w:rsidR="00816FF3" w:rsidRPr="00C9017C" w:rsidRDefault="00816FF3" w:rsidP="00816FF3">
            <w:pPr>
              <w:autoSpaceDE w:val="0"/>
              <w:autoSpaceDN w:val="0"/>
              <w:adjustRightInd w:val="0"/>
              <w:spacing w:before="120" w:after="80"/>
              <w:jc w:val="center"/>
              <w:rPr>
                <w:rFonts w:ascii="Candara" w:hAnsi="Candara" w:cs="Calibri"/>
                <w:b/>
                <w:color w:val="F2F2F2" w:themeColor="background1" w:themeShade="F2"/>
                <w:sz w:val="21"/>
                <w:szCs w:val="21"/>
              </w:rPr>
            </w:pPr>
            <w:r w:rsidRPr="00C9017C">
              <w:rPr>
                <w:rFonts w:ascii="Candara" w:hAnsi="Candara" w:cs="Calibri"/>
                <w:b/>
                <w:color w:val="F2F2F2" w:themeColor="background1" w:themeShade="F2"/>
                <w:sz w:val="21"/>
                <w:szCs w:val="21"/>
              </w:rPr>
              <w:t>G</w:t>
            </w:r>
          </w:p>
        </w:tc>
        <w:tc>
          <w:tcPr>
            <w:tcW w:w="818" w:type="dxa"/>
          </w:tcPr>
          <w:p w14:paraId="43CAF266" w14:textId="77777777" w:rsidR="00816FF3" w:rsidRDefault="00AF1978"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0.2</w:t>
            </w:r>
          </w:p>
        </w:tc>
        <w:tc>
          <w:tcPr>
            <w:tcW w:w="1843" w:type="dxa"/>
          </w:tcPr>
          <w:p w14:paraId="5BC20314" w14:textId="77777777" w:rsidR="00816FF3" w:rsidRDefault="00816FF3" w:rsidP="009C0969">
            <w:pPr>
              <w:autoSpaceDE w:val="0"/>
              <w:autoSpaceDN w:val="0"/>
              <w:adjustRightInd w:val="0"/>
              <w:spacing w:before="120" w:after="80"/>
              <w:rPr>
                <w:rFonts w:ascii="Candara" w:hAnsi="Candara" w:cs="Calibri"/>
                <w:sz w:val="21"/>
                <w:szCs w:val="21"/>
              </w:rPr>
            </w:pPr>
            <w:r>
              <w:rPr>
                <w:rFonts w:ascii="Candara" w:hAnsi="Candara" w:cs="Calibri"/>
                <w:sz w:val="21"/>
                <w:szCs w:val="21"/>
              </w:rPr>
              <w:t>Low</w:t>
            </w:r>
          </w:p>
        </w:tc>
      </w:tr>
      <w:tr w:rsidR="00816FF3" w14:paraId="2DCBD444" w14:textId="77777777" w:rsidTr="00C9017C">
        <w:tc>
          <w:tcPr>
            <w:tcW w:w="911" w:type="dxa"/>
            <w:vMerge/>
            <w:shd w:val="clear" w:color="auto" w:fill="365F91" w:themeFill="accent1" w:themeFillShade="BF"/>
            <w:vAlign w:val="center"/>
          </w:tcPr>
          <w:p w14:paraId="4E888DFF" w14:textId="77777777" w:rsidR="00816FF3" w:rsidRPr="00C9017C" w:rsidRDefault="00816FF3" w:rsidP="00816FF3">
            <w:pPr>
              <w:autoSpaceDE w:val="0"/>
              <w:autoSpaceDN w:val="0"/>
              <w:adjustRightInd w:val="0"/>
              <w:spacing w:before="120" w:after="80"/>
              <w:jc w:val="center"/>
              <w:rPr>
                <w:rFonts w:ascii="Candara" w:hAnsi="Candara" w:cs="Calibri"/>
                <w:b/>
                <w:color w:val="F2F2F2" w:themeColor="background1" w:themeShade="F2"/>
                <w:sz w:val="21"/>
                <w:szCs w:val="21"/>
              </w:rPr>
            </w:pPr>
          </w:p>
        </w:tc>
        <w:tc>
          <w:tcPr>
            <w:tcW w:w="818" w:type="dxa"/>
          </w:tcPr>
          <w:p w14:paraId="67BC5982"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1</w:t>
            </w:r>
            <w:r w:rsidR="00AF1978">
              <w:rPr>
                <w:rFonts w:ascii="Candara" w:hAnsi="Candara" w:cs="Calibri"/>
                <w:sz w:val="21"/>
                <w:szCs w:val="21"/>
              </w:rPr>
              <w:t>.0</w:t>
            </w:r>
          </w:p>
        </w:tc>
        <w:tc>
          <w:tcPr>
            <w:tcW w:w="1843" w:type="dxa"/>
          </w:tcPr>
          <w:p w14:paraId="3FC2C351" w14:textId="77777777" w:rsidR="00816FF3" w:rsidRDefault="00816FF3" w:rsidP="009C0969">
            <w:pPr>
              <w:autoSpaceDE w:val="0"/>
              <w:autoSpaceDN w:val="0"/>
              <w:adjustRightInd w:val="0"/>
              <w:spacing w:before="120" w:after="80"/>
              <w:rPr>
                <w:rFonts w:ascii="Candara" w:hAnsi="Candara" w:cs="Calibri"/>
                <w:sz w:val="21"/>
                <w:szCs w:val="21"/>
              </w:rPr>
            </w:pPr>
            <w:r>
              <w:rPr>
                <w:rFonts w:ascii="Candara" w:hAnsi="Candara" w:cs="Calibri"/>
                <w:sz w:val="21"/>
                <w:szCs w:val="21"/>
              </w:rPr>
              <w:t>High</w:t>
            </w:r>
          </w:p>
        </w:tc>
      </w:tr>
      <w:tr w:rsidR="00816FF3" w14:paraId="10A6D62A" w14:textId="77777777" w:rsidTr="00C9017C">
        <w:tc>
          <w:tcPr>
            <w:tcW w:w="911" w:type="dxa"/>
            <w:vMerge/>
            <w:shd w:val="clear" w:color="auto" w:fill="365F91" w:themeFill="accent1" w:themeFillShade="BF"/>
            <w:vAlign w:val="center"/>
          </w:tcPr>
          <w:p w14:paraId="7F9B065F" w14:textId="77777777" w:rsidR="00816FF3" w:rsidRPr="00C9017C" w:rsidRDefault="00816FF3" w:rsidP="00816FF3">
            <w:pPr>
              <w:autoSpaceDE w:val="0"/>
              <w:autoSpaceDN w:val="0"/>
              <w:adjustRightInd w:val="0"/>
              <w:spacing w:before="120" w:after="80"/>
              <w:jc w:val="center"/>
              <w:rPr>
                <w:rFonts w:ascii="Candara" w:hAnsi="Candara" w:cs="Calibri"/>
                <w:b/>
                <w:color w:val="F2F2F2" w:themeColor="background1" w:themeShade="F2"/>
                <w:sz w:val="21"/>
                <w:szCs w:val="21"/>
              </w:rPr>
            </w:pPr>
          </w:p>
        </w:tc>
        <w:tc>
          <w:tcPr>
            <w:tcW w:w="818" w:type="dxa"/>
          </w:tcPr>
          <w:p w14:paraId="79506A43" w14:textId="77777777" w:rsidR="00816FF3" w:rsidRDefault="00AF1978"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4.6</w:t>
            </w:r>
          </w:p>
        </w:tc>
        <w:tc>
          <w:tcPr>
            <w:tcW w:w="1843" w:type="dxa"/>
          </w:tcPr>
          <w:p w14:paraId="1D098101" w14:textId="77777777" w:rsidR="00816FF3" w:rsidRDefault="00816FF3" w:rsidP="009C0969">
            <w:pPr>
              <w:autoSpaceDE w:val="0"/>
              <w:autoSpaceDN w:val="0"/>
              <w:adjustRightInd w:val="0"/>
              <w:spacing w:before="120" w:after="80"/>
              <w:rPr>
                <w:rFonts w:ascii="Candara" w:hAnsi="Candara" w:cs="Calibri"/>
                <w:sz w:val="21"/>
                <w:szCs w:val="21"/>
              </w:rPr>
            </w:pPr>
            <w:r>
              <w:rPr>
                <w:rFonts w:ascii="Candara" w:hAnsi="Candara" w:cs="Calibri"/>
                <w:sz w:val="21"/>
                <w:szCs w:val="21"/>
              </w:rPr>
              <w:t>Severe</w:t>
            </w:r>
          </w:p>
        </w:tc>
      </w:tr>
      <w:tr w:rsidR="00816FF3" w14:paraId="0D029D57" w14:textId="77777777" w:rsidTr="00C9017C">
        <w:tc>
          <w:tcPr>
            <w:tcW w:w="911" w:type="dxa"/>
            <w:vMerge/>
            <w:shd w:val="clear" w:color="auto" w:fill="365F91" w:themeFill="accent1" w:themeFillShade="BF"/>
            <w:vAlign w:val="center"/>
          </w:tcPr>
          <w:p w14:paraId="6B72B1B7" w14:textId="77777777" w:rsidR="00816FF3" w:rsidRPr="00C9017C" w:rsidRDefault="00816FF3" w:rsidP="00816FF3">
            <w:pPr>
              <w:autoSpaceDE w:val="0"/>
              <w:autoSpaceDN w:val="0"/>
              <w:adjustRightInd w:val="0"/>
              <w:spacing w:before="120" w:after="80"/>
              <w:jc w:val="center"/>
              <w:rPr>
                <w:rFonts w:ascii="Candara" w:hAnsi="Candara" w:cs="Calibri"/>
                <w:b/>
                <w:color w:val="F2F2F2" w:themeColor="background1" w:themeShade="F2"/>
                <w:sz w:val="21"/>
                <w:szCs w:val="21"/>
              </w:rPr>
            </w:pPr>
          </w:p>
        </w:tc>
        <w:tc>
          <w:tcPr>
            <w:tcW w:w="818" w:type="dxa"/>
          </w:tcPr>
          <w:p w14:paraId="2A18BCFB" w14:textId="77777777" w:rsidR="00816FF3" w:rsidRDefault="00AF1978"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19.8</w:t>
            </w:r>
          </w:p>
        </w:tc>
        <w:tc>
          <w:tcPr>
            <w:tcW w:w="1843" w:type="dxa"/>
          </w:tcPr>
          <w:p w14:paraId="1216BAA2" w14:textId="77777777" w:rsidR="00816FF3" w:rsidRDefault="00816FF3" w:rsidP="009C0969">
            <w:pPr>
              <w:autoSpaceDE w:val="0"/>
              <w:autoSpaceDN w:val="0"/>
              <w:adjustRightInd w:val="0"/>
              <w:spacing w:before="120" w:after="80"/>
              <w:rPr>
                <w:rFonts w:ascii="Candara" w:hAnsi="Candara" w:cs="Calibri"/>
                <w:sz w:val="21"/>
                <w:szCs w:val="21"/>
              </w:rPr>
            </w:pPr>
            <w:r>
              <w:rPr>
                <w:rFonts w:ascii="Candara" w:hAnsi="Candara" w:cs="Calibri"/>
                <w:sz w:val="21"/>
                <w:szCs w:val="21"/>
              </w:rPr>
              <w:t>Extreme</w:t>
            </w:r>
          </w:p>
        </w:tc>
      </w:tr>
      <w:tr w:rsidR="00816FF3" w14:paraId="3AFDA40A" w14:textId="77777777" w:rsidTr="00C9017C">
        <w:tc>
          <w:tcPr>
            <w:tcW w:w="911" w:type="dxa"/>
            <w:vMerge w:val="restart"/>
            <w:shd w:val="clear" w:color="auto" w:fill="365F91" w:themeFill="accent1" w:themeFillShade="BF"/>
            <w:vAlign w:val="center"/>
          </w:tcPr>
          <w:p w14:paraId="385AC6D5" w14:textId="77777777" w:rsidR="00816FF3" w:rsidRPr="00C9017C" w:rsidRDefault="00816FF3" w:rsidP="00816FF3">
            <w:pPr>
              <w:autoSpaceDE w:val="0"/>
              <w:autoSpaceDN w:val="0"/>
              <w:adjustRightInd w:val="0"/>
              <w:spacing w:before="120" w:after="80"/>
              <w:jc w:val="center"/>
              <w:rPr>
                <w:rFonts w:ascii="Candara" w:hAnsi="Candara" w:cs="Calibri"/>
                <w:b/>
                <w:color w:val="F2F2F2" w:themeColor="background1" w:themeShade="F2"/>
                <w:sz w:val="21"/>
                <w:szCs w:val="21"/>
              </w:rPr>
            </w:pPr>
            <w:r w:rsidRPr="00C9017C">
              <w:rPr>
                <w:rFonts w:ascii="Candara" w:hAnsi="Candara" w:cs="Calibri"/>
                <w:b/>
                <w:color w:val="F2F2F2" w:themeColor="background1" w:themeShade="F2"/>
                <w:sz w:val="21"/>
                <w:szCs w:val="21"/>
              </w:rPr>
              <w:t>T</w:t>
            </w:r>
          </w:p>
        </w:tc>
        <w:tc>
          <w:tcPr>
            <w:tcW w:w="818" w:type="dxa"/>
          </w:tcPr>
          <w:p w14:paraId="0D8AA403"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0.1</w:t>
            </w:r>
          </w:p>
        </w:tc>
        <w:tc>
          <w:tcPr>
            <w:tcW w:w="1843" w:type="dxa"/>
          </w:tcPr>
          <w:p w14:paraId="1AC2B745"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No forecast</w:t>
            </w:r>
          </w:p>
        </w:tc>
      </w:tr>
      <w:tr w:rsidR="00816FF3" w14:paraId="529FA96F" w14:textId="77777777" w:rsidTr="00C9017C">
        <w:tc>
          <w:tcPr>
            <w:tcW w:w="911" w:type="dxa"/>
            <w:vMerge/>
            <w:shd w:val="clear" w:color="auto" w:fill="365F91" w:themeFill="accent1" w:themeFillShade="BF"/>
          </w:tcPr>
          <w:p w14:paraId="2F8AE289"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7E215F82"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0.2</w:t>
            </w:r>
          </w:p>
        </w:tc>
        <w:tc>
          <w:tcPr>
            <w:tcW w:w="1843" w:type="dxa"/>
          </w:tcPr>
          <w:p w14:paraId="6159F1D7"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Low-moderate</w:t>
            </w:r>
          </w:p>
        </w:tc>
      </w:tr>
      <w:tr w:rsidR="00816FF3" w14:paraId="74CE37ED" w14:textId="77777777" w:rsidTr="00C9017C">
        <w:tc>
          <w:tcPr>
            <w:tcW w:w="911" w:type="dxa"/>
            <w:vMerge/>
            <w:shd w:val="clear" w:color="auto" w:fill="365F91" w:themeFill="accent1" w:themeFillShade="BF"/>
          </w:tcPr>
          <w:p w14:paraId="5233E97B"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2C90EB93"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0.5</w:t>
            </w:r>
          </w:p>
        </w:tc>
        <w:tc>
          <w:tcPr>
            <w:tcW w:w="1843" w:type="dxa"/>
          </w:tcPr>
          <w:p w14:paraId="4EAA42B7"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High</w:t>
            </w:r>
          </w:p>
        </w:tc>
      </w:tr>
      <w:tr w:rsidR="00816FF3" w14:paraId="52066A19" w14:textId="77777777" w:rsidTr="00C9017C">
        <w:tc>
          <w:tcPr>
            <w:tcW w:w="911" w:type="dxa"/>
            <w:vMerge/>
            <w:shd w:val="clear" w:color="auto" w:fill="365F91" w:themeFill="accent1" w:themeFillShade="BF"/>
          </w:tcPr>
          <w:p w14:paraId="264469F3"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29A143A7"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1</w:t>
            </w:r>
            <w:r w:rsidR="00AF1978">
              <w:rPr>
                <w:rFonts w:ascii="Candara" w:hAnsi="Candara" w:cs="Calibri"/>
                <w:sz w:val="21"/>
                <w:szCs w:val="21"/>
              </w:rPr>
              <w:t>.0</w:t>
            </w:r>
          </w:p>
        </w:tc>
        <w:tc>
          <w:tcPr>
            <w:tcW w:w="1843" w:type="dxa"/>
          </w:tcPr>
          <w:p w14:paraId="2AAD363C"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Very high</w:t>
            </w:r>
          </w:p>
        </w:tc>
      </w:tr>
      <w:tr w:rsidR="00816FF3" w14:paraId="020D5EF3" w14:textId="77777777" w:rsidTr="00C9017C">
        <w:tc>
          <w:tcPr>
            <w:tcW w:w="911" w:type="dxa"/>
            <w:vMerge/>
            <w:shd w:val="clear" w:color="auto" w:fill="365F91" w:themeFill="accent1" w:themeFillShade="BF"/>
          </w:tcPr>
          <w:p w14:paraId="5B2113CD"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1F018DB2"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2</w:t>
            </w:r>
            <w:r w:rsidR="00AF1978">
              <w:rPr>
                <w:rFonts w:ascii="Candara" w:hAnsi="Candara" w:cs="Calibri"/>
                <w:sz w:val="21"/>
                <w:szCs w:val="21"/>
              </w:rPr>
              <w:t>.0</w:t>
            </w:r>
          </w:p>
        </w:tc>
        <w:tc>
          <w:tcPr>
            <w:tcW w:w="1843" w:type="dxa"/>
          </w:tcPr>
          <w:p w14:paraId="19A5A08F"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Severe</w:t>
            </w:r>
          </w:p>
        </w:tc>
      </w:tr>
      <w:tr w:rsidR="00816FF3" w14:paraId="7597835D" w14:textId="77777777" w:rsidTr="00C9017C">
        <w:tc>
          <w:tcPr>
            <w:tcW w:w="911" w:type="dxa"/>
            <w:vMerge/>
            <w:shd w:val="clear" w:color="auto" w:fill="365F91" w:themeFill="accent1" w:themeFillShade="BF"/>
          </w:tcPr>
          <w:p w14:paraId="56005150"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653C5D61" w14:textId="77777777" w:rsidR="00816FF3" w:rsidRDefault="00816FF3" w:rsidP="0014744A">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3</w:t>
            </w:r>
            <w:r w:rsidR="00AF1978">
              <w:rPr>
                <w:rFonts w:ascii="Candara" w:hAnsi="Candara" w:cs="Calibri"/>
                <w:sz w:val="21"/>
                <w:szCs w:val="21"/>
              </w:rPr>
              <w:t>.5</w:t>
            </w:r>
          </w:p>
        </w:tc>
        <w:tc>
          <w:tcPr>
            <w:tcW w:w="1843" w:type="dxa"/>
          </w:tcPr>
          <w:p w14:paraId="57D7319F" w14:textId="77777777" w:rsidR="00816FF3" w:rsidRDefault="00816FF3" w:rsidP="00090E7E">
            <w:pPr>
              <w:autoSpaceDE w:val="0"/>
              <w:autoSpaceDN w:val="0"/>
              <w:adjustRightInd w:val="0"/>
              <w:spacing w:before="120" w:after="80"/>
              <w:rPr>
                <w:rFonts w:ascii="Candara" w:hAnsi="Candara" w:cs="Calibri"/>
                <w:sz w:val="21"/>
                <w:szCs w:val="21"/>
              </w:rPr>
            </w:pPr>
            <w:r>
              <w:rPr>
                <w:rFonts w:ascii="Candara" w:hAnsi="Candara" w:cs="Calibri"/>
                <w:sz w:val="21"/>
                <w:szCs w:val="21"/>
              </w:rPr>
              <w:t>Extreme</w:t>
            </w:r>
          </w:p>
        </w:tc>
      </w:tr>
      <w:tr w:rsidR="00816FF3" w14:paraId="195C347D" w14:textId="77777777" w:rsidTr="00C9017C">
        <w:tc>
          <w:tcPr>
            <w:tcW w:w="911" w:type="dxa"/>
            <w:vMerge/>
            <w:shd w:val="clear" w:color="auto" w:fill="365F91" w:themeFill="accent1" w:themeFillShade="BF"/>
          </w:tcPr>
          <w:p w14:paraId="5097887C" w14:textId="77777777" w:rsidR="00816FF3" w:rsidRPr="0014744A" w:rsidRDefault="00816FF3" w:rsidP="0014744A">
            <w:pPr>
              <w:autoSpaceDE w:val="0"/>
              <w:autoSpaceDN w:val="0"/>
              <w:adjustRightInd w:val="0"/>
              <w:spacing w:before="120" w:after="80"/>
              <w:jc w:val="center"/>
              <w:rPr>
                <w:rFonts w:ascii="Candara" w:hAnsi="Candara" w:cs="Calibri"/>
                <w:sz w:val="21"/>
                <w:szCs w:val="21"/>
              </w:rPr>
            </w:pPr>
          </w:p>
        </w:tc>
        <w:tc>
          <w:tcPr>
            <w:tcW w:w="818" w:type="dxa"/>
          </w:tcPr>
          <w:p w14:paraId="605BE712" w14:textId="77777777" w:rsidR="00816FF3" w:rsidRDefault="00816FF3" w:rsidP="003122AC">
            <w:pPr>
              <w:autoSpaceDE w:val="0"/>
              <w:autoSpaceDN w:val="0"/>
              <w:adjustRightInd w:val="0"/>
              <w:spacing w:before="120" w:after="80"/>
              <w:jc w:val="center"/>
              <w:rPr>
                <w:rFonts w:ascii="Candara" w:hAnsi="Candara" w:cs="Calibri"/>
                <w:sz w:val="21"/>
                <w:szCs w:val="21"/>
              </w:rPr>
            </w:pPr>
            <w:r>
              <w:rPr>
                <w:rFonts w:ascii="Candara" w:hAnsi="Candara" w:cs="Calibri"/>
                <w:sz w:val="21"/>
                <w:szCs w:val="21"/>
              </w:rPr>
              <w:t>5</w:t>
            </w:r>
            <w:r w:rsidR="00AF1978">
              <w:rPr>
                <w:rFonts w:ascii="Candara" w:hAnsi="Candara" w:cs="Calibri"/>
                <w:sz w:val="21"/>
                <w:szCs w:val="21"/>
              </w:rPr>
              <w:t>.0</w:t>
            </w:r>
          </w:p>
        </w:tc>
        <w:tc>
          <w:tcPr>
            <w:tcW w:w="1843" w:type="dxa"/>
          </w:tcPr>
          <w:p w14:paraId="40BC7834" w14:textId="77777777" w:rsidR="00816FF3" w:rsidRDefault="00816FF3" w:rsidP="003122AC">
            <w:pPr>
              <w:autoSpaceDE w:val="0"/>
              <w:autoSpaceDN w:val="0"/>
              <w:adjustRightInd w:val="0"/>
              <w:spacing w:before="120" w:after="80"/>
              <w:rPr>
                <w:rFonts w:ascii="Candara" w:hAnsi="Candara" w:cs="Calibri"/>
                <w:sz w:val="21"/>
                <w:szCs w:val="21"/>
              </w:rPr>
            </w:pPr>
            <w:r>
              <w:rPr>
                <w:rFonts w:ascii="Candara" w:hAnsi="Candara" w:cs="Calibri"/>
                <w:sz w:val="21"/>
                <w:szCs w:val="21"/>
              </w:rPr>
              <w:t>Code Red</w:t>
            </w:r>
          </w:p>
        </w:tc>
      </w:tr>
    </w:tbl>
    <w:p w14:paraId="015671D6" w14:textId="77777777" w:rsidR="00090E7E" w:rsidRPr="008C512C" w:rsidRDefault="00090E7E" w:rsidP="00090E7E">
      <w:pPr>
        <w:autoSpaceDE w:val="0"/>
        <w:autoSpaceDN w:val="0"/>
        <w:adjustRightInd w:val="0"/>
        <w:spacing w:before="120" w:after="80"/>
        <w:rPr>
          <w:rFonts w:ascii="Candara" w:hAnsi="Candara" w:cs="Calibri"/>
          <w:sz w:val="21"/>
          <w:szCs w:val="21"/>
        </w:rPr>
      </w:pPr>
    </w:p>
    <w:p w14:paraId="7C039015" w14:textId="71E87F03" w:rsidR="00576382" w:rsidRDefault="00090E7E" w:rsidP="00090E7E">
      <w:pPr>
        <w:autoSpaceDE w:val="0"/>
        <w:autoSpaceDN w:val="0"/>
        <w:adjustRightInd w:val="0"/>
        <w:spacing w:before="120" w:after="80"/>
        <w:rPr>
          <w:rFonts w:ascii="Candara" w:hAnsi="Candara" w:cs="Calibri"/>
        </w:rPr>
      </w:pPr>
      <w:r w:rsidRPr="0099091D">
        <w:rPr>
          <w:rFonts w:ascii="Candara" w:hAnsi="Candara" w:cs="Calibri"/>
        </w:rPr>
        <w:t>The “</w:t>
      </w:r>
      <w:r w:rsidRPr="0099091D">
        <w:rPr>
          <w:rFonts w:ascii="Candara" w:hAnsi="Candara" w:cs="Calibri"/>
          <w:b/>
        </w:rPr>
        <w:t>G</w:t>
      </w:r>
      <w:r w:rsidR="00061467" w:rsidRPr="0099091D">
        <w:rPr>
          <w:rFonts w:ascii="Candara" w:hAnsi="Candara" w:cs="Calibri"/>
        </w:rPr>
        <w:t>” metric is consistent with</w:t>
      </w:r>
      <w:r w:rsidRPr="0099091D">
        <w:rPr>
          <w:rFonts w:ascii="Candara" w:hAnsi="Candara" w:cs="Calibri"/>
        </w:rPr>
        <w:t xml:space="preserve"> areas</w:t>
      </w:r>
      <w:r w:rsidR="00061467" w:rsidRPr="0099091D">
        <w:rPr>
          <w:rFonts w:ascii="Candara" w:hAnsi="Candara" w:cs="Calibri"/>
        </w:rPr>
        <w:t xml:space="preserve"> </w:t>
      </w:r>
      <w:r w:rsidRPr="0099091D">
        <w:rPr>
          <w:rFonts w:ascii="Candara" w:hAnsi="Candara" w:cs="Calibri"/>
        </w:rPr>
        <w:t>regulated under the</w:t>
      </w:r>
      <w:r w:rsidR="00061467" w:rsidRPr="0099091D">
        <w:rPr>
          <w:rFonts w:ascii="Candara" w:hAnsi="Candara" w:cs="Calibri"/>
        </w:rPr>
        <w:t xml:space="preserve"> </w:t>
      </w:r>
      <w:r w:rsidR="008C2A5C" w:rsidRPr="0099091D">
        <w:rPr>
          <w:rFonts w:ascii="Candara" w:hAnsi="Candara" w:cs="Calibri"/>
          <w:i/>
        </w:rPr>
        <w:t>Electricity Safety (</w:t>
      </w:r>
      <w:r w:rsidRPr="0099091D">
        <w:rPr>
          <w:rFonts w:ascii="Candara" w:hAnsi="Candara" w:cs="Calibri"/>
          <w:i/>
        </w:rPr>
        <w:t>Bush</w:t>
      </w:r>
      <w:r w:rsidR="008C2A5C" w:rsidRPr="0099091D">
        <w:rPr>
          <w:rFonts w:ascii="Candara" w:hAnsi="Candara" w:cs="Calibri"/>
          <w:i/>
        </w:rPr>
        <w:t xml:space="preserve">fire Mitigation) </w:t>
      </w:r>
      <w:r w:rsidR="000F72DD">
        <w:rPr>
          <w:rFonts w:ascii="Candara" w:hAnsi="Candara" w:cs="Calibri"/>
          <w:i/>
        </w:rPr>
        <w:t xml:space="preserve">Amendment </w:t>
      </w:r>
      <w:r w:rsidR="008C2A5C" w:rsidRPr="0099091D">
        <w:rPr>
          <w:rFonts w:ascii="Candara" w:hAnsi="Candara" w:cs="Calibri"/>
          <w:i/>
        </w:rPr>
        <w:t>Regulations</w:t>
      </w:r>
      <w:r w:rsidRPr="0099091D">
        <w:rPr>
          <w:rFonts w:ascii="Candara" w:hAnsi="Candara" w:cs="Calibri"/>
          <w:i/>
        </w:rPr>
        <w:t xml:space="preserve"> </w:t>
      </w:r>
      <w:r w:rsidR="00061467" w:rsidRPr="0099091D">
        <w:rPr>
          <w:rFonts w:ascii="Candara" w:hAnsi="Candara" w:cs="Calibri"/>
          <w:i/>
        </w:rPr>
        <w:t xml:space="preserve">2016 </w:t>
      </w:r>
      <w:r w:rsidRPr="0099091D">
        <w:rPr>
          <w:rFonts w:ascii="Candara" w:hAnsi="Candara" w:cs="Calibri"/>
        </w:rPr>
        <w:t xml:space="preserve">which are driven by  the high bushfire risk areas of Victoria, as </w:t>
      </w:r>
      <w:r w:rsidR="005F0026">
        <w:rPr>
          <w:rFonts w:ascii="Candara" w:hAnsi="Candara" w:cs="Calibri"/>
        </w:rPr>
        <w:t xml:space="preserve">illustrated </w:t>
      </w:r>
      <w:r w:rsidRPr="0099091D">
        <w:rPr>
          <w:rFonts w:ascii="Candara" w:hAnsi="Candara" w:cs="Calibri"/>
        </w:rPr>
        <w:t xml:space="preserve">below: </w:t>
      </w:r>
    </w:p>
    <w:p w14:paraId="5FAF95FF" w14:textId="77777777" w:rsidR="00576382" w:rsidRDefault="00576382" w:rsidP="00090E7E">
      <w:pPr>
        <w:autoSpaceDE w:val="0"/>
        <w:autoSpaceDN w:val="0"/>
        <w:adjustRightInd w:val="0"/>
        <w:spacing w:before="120" w:after="80"/>
        <w:rPr>
          <w:rFonts w:ascii="Candara" w:hAnsi="Candara" w:cs="Calibri"/>
        </w:rPr>
      </w:pPr>
    </w:p>
    <w:p w14:paraId="6E1A493A" w14:textId="1A957046" w:rsidR="00576382" w:rsidRPr="00576382" w:rsidRDefault="007256B3" w:rsidP="00090E7E">
      <w:pPr>
        <w:autoSpaceDE w:val="0"/>
        <w:autoSpaceDN w:val="0"/>
        <w:adjustRightInd w:val="0"/>
        <w:spacing w:before="120" w:after="80"/>
        <w:rPr>
          <w:rFonts w:ascii="Candara" w:hAnsi="Candara" w:cs="Calibri"/>
          <w:sz w:val="21"/>
          <w:szCs w:val="21"/>
        </w:rPr>
      </w:pPr>
      <w:r>
        <w:rPr>
          <w:rFonts w:ascii="Candara" w:eastAsia="Times New Roman" w:hAnsi="Candara" w:cs="Times New Roman"/>
          <w:i/>
          <w:noProof/>
          <w:lang w:eastAsia="en-AU"/>
        </w:rPr>
        <w:drawing>
          <wp:anchor distT="0" distB="0" distL="114300" distR="114300" simplePos="0" relativeHeight="251747328" behindDoc="0" locked="0" layoutInCell="1" allowOverlap="1" wp14:anchorId="08EFDEB4" wp14:editId="7200FE59">
            <wp:simplePos x="0" y="0"/>
            <wp:positionH relativeFrom="column">
              <wp:posOffset>29210</wp:posOffset>
            </wp:positionH>
            <wp:positionV relativeFrom="paragraph">
              <wp:posOffset>259080</wp:posOffset>
            </wp:positionV>
            <wp:extent cx="5231765" cy="3156585"/>
            <wp:effectExtent l="0" t="0" r="698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tor map - all levels - V4 (final - severe includes swer).jpg"/>
                    <pic:cNvPicPr/>
                  </pic:nvPicPr>
                  <pic:blipFill rotWithShape="1">
                    <a:blip r:embed="rId17" cstate="print">
                      <a:extLst>
                        <a:ext uri="{28A0092B-C50C-407E-A947-70E740481C1C}">
                          <a14:useLocalDpi xmlns:a14="http://schemas.microsoft.com/office/drawing/2010/main" val="0"/>
                        </a:ext>
                      </a:extLst>
                    </a:blip>
                    <a:srcRect l="5644" t="16703" r="5431" b="7377"/>
                    <a:stretch/>
                  </pic:blipFill>
                  <pic:spPr bwMode="auto">
                    <a:xfrm>
                      <a:off x="0" y="0"/>
                      <a:ext cx="5231765"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94E">
        <w:rPr>
          <w:rStyle w:val="Heading6Char"/>
        </w:rPr>
        <w:t>Figure 3.4</w:t>
      </w:r>
      <w:r w:rsidR="00576382">
        <w:rPr>
          <w:rStyle w:val="Heading6Char"/>
        </w:rPr>
        <w:t>: Bushfire Risk Areas</w:t>
      </w:r>
      <w:r w:rsidR="00576382">
        <w:rPr>
          <w:rFonts w:ascii="Candara" w:hAnsi="Candara" w:cs="Calibri"/>
          <w:sz w:val="21"/>
          <w:szCs w:val="21"/>
        </w:rPr>
        <w:t xml:space="preserve"> </w:t>
      </w:r>
      <w:r w:rsidR="005F0026" w:rsidRPr="005F0026">
        <w:rPr>
          <w:rStyle w:val="Heading6Char"/>
        </w:rPr>
        <w:t>for G Metric</w:t>
      </w:r>
      <w:r w:rsidR="00576382">
        <w:rPr>
          <w:rFonts w:ascii="Candara" w:hAnsi="Candara" w:cs="Calibri"/>
          <w:sz w:val="21"/>
          <w:szCs w:val="21"/>
        </w:rPr>
        <w:t xml:space="preserve"> </w:t>
      </w:r>
    </w:p>
    <w:p w14:paraId="3955BFFE" w14:textId="4C8161E5" w:rsidR="00576382" w:rsidRDefault="00576382" w:rsidP="00090E7E">
      <w:pPr>
        <w:autoSpaceDE w:val="0"/>
        <w:autoSpaceDN w:val="0"/>
        <w:adjustRightInd w:val="0"/>
        <w:spacing w:before="120" w:after="80"/>
        <w:rPr>
          <w:rFonts w:ascii="Candara" w:hAnsi="Candara" w:cs="Calibri"/>
        </w:rPr>
      </w:pPr>
    </w:p>
    <w:p w14:paraId="29B332AA" w14:textId="115D7B11" w:rsidR="00576382" w:rsidRDefault="00576382" w:rsidP="00090E7E">
      <w:pPr>
        <w:autoSpaceDE w:val="0"/>
        <w:autoSpaceDN w:val="0"/>
        <w:adjustRightInd w:val="0"/>
        <w:spacing w:before="120" w:after="80"/>
        <w:rPr>
          <w:rFonts w:ascii="Candara" w:hAnsi="Candara" w:cs="Calibri"/>
        </w:rPr>
      </w:pPr>
    </w:p>
    <w:p w14:paraId="5AAB70DC" w14:textId="77777777" w:rsidR="00576382" w:rsidRDefault="00576382" w:rsidP="00090E7E">
      <w:pPr>
        <w:autoSpaceDE w:val="0"/>
        <w:autoSpaceDN w:val="0"/>
        <w:adjustRightInd w:val="0"/>
        <w:spacing w:before="120" w:after="80"/>
        <w:rPr>
          <w:rFonts w:ascii="Candara" w:hAnsi="Candara" w:cs="Calibri"/>
        </w:rPr>
      </w:pPr>
    </w:p>
    <w:p w14:paraId="7E157E3C" w14:textId="77777777" w:rsidR="00576382" w:rsidRDefault="00576382" w:rsidP="00090E7E">
      <w:pPr>
        <w:autoSpaceDE w:val="0"/>
        <w:autoSpaceDN w:val="0"/>
        <w:adjustRightInd w:val="0"/>
        <w:spacing w:before="120" w:after="80"/>
        <w:rPr>
          <w:rFonts w:ascii="Candara" w:hAnsi="Candara" w:cs="Calibri"/>
        </w:rPr>
      </w:pPr>
    </w:p>
    <w:p w14:paraId="1998CD98" w14:textId="77777777" w:rsidR="00576382" w:rsidRDefault="00576382" w:rsidP="00090E7E">
      <w:pPr>
        <w:autoSpaceDE w:val="0"/>
        <w:autoSpaceDN w:val="0"/>
        <w:adjustRightInd w:val="0"/>
        <w:spacing w:before="120" w:after="80"/>
        <w:rPr>
          <w:rFonts w:ascii="Candara" w:hAnsi="Candara" w:cs="Calibri"/>
        </w:rPr>
      </w:pPr>
    </w:p>
    <w:p w14:paraId="11EC53CB" w14:textId="77777777" w:rsidR="00576382" w:rsidRDefault="00576382" w:rsidP="00090E7E">
      <w:pPr>
        <w:autoSpaceDE w:val="0"/>
        <w:autoSpaceDN w:val="0"/>
        <w:adjustRightInd w:val="0"/>
        <w:spacing w:before="120" w:after="80"/>
        <w:rPr>
          <w:rFonts w:ascii="Candara" w:hAnsi="Candara" w:cs="Calibri"/>
        </w:rPr>
      </w:pPr>
    </w:p>
    <w:p w14:paraId="1613F532" w14:textId="77777777" w:rsidR="00576382" w:rsidRDefault="00576382" w:rsidP="00090E7E">
      <w:pPr>
        <w:autoSpaceDE w:val="0"/>
        <w:autoSpaceDN w:val="0"/>
        <w:adjustRightInd w:val="0"/>
        <w:spacing w:before="120" w:after="80"/>
        <w:rPr>
          <w:rFonts w:ascii="Candara" w:hAnsi="Candara" w:cs="Calibri"/>
        </w:rPr>
      </w:pPr>
    </w:p>
    <w:p w14:paraId="16B242C1" w14:textId="77777777" w:rsidR="00576382" w:rsidRPr="0099091D" w:rsidRDefault="00576382" w:rsidP="00090E7E">
      <w:pPr>
        <w:autoSpaceDE w:val="0"/>
        <w:autoSpaceDN w:val="0"/>
        <w:adjustRightInd w:val="0"/>
        <w:spacing w:before="120" w:after="80"/>
        <w:rPr>
          <w:rFonts w:ascii="Candara" w:hAnsi="Candara" w:cs="Calibri"/>
        </w:rPr>
      </w:pPr>
    </w:p>
    <w:p w14:paraId="4BC30CF3" w14:textId="2E66527B" w:rsidR="00090E7E" w:rsidRDefault="009C626E" w:rsidP="00090E7E">
      <w:pPr>
        <w:autoSpaceDE w:val="0"/>
        <w:autoSpaceDN w:val="0"/>
        <w:adjustRightInd w:val="0"/>
        <w:spacing w:before="120" w:after="80"/>
        <w:rPr>
          <w:rFonts w:ascii="Candara" w:hAnsi="Candara" w:cs="Calibri"/>
          <w:noProof/>
          <w:sz w:val="21"/>
          <w:szCs w:val="21"/>
          <w:lang w:eastAsia="en-AU"/>
        </w:rPr>
      </w:pPr>
      <w:r>
        <w:rPr>
          <w:rFonts w:ascii="Candara" w:hAnsi="Candara" w:cs="Calibri"/>
          <w:noProof/>
          <w:sz w:val="21"/>
          <w:szCs w:val="21"/>
          <w:lang w:eastAsia="en-AU"/>
        </w:rPr>
        <mc:AlternateContent>
          <mc:Choice Requires="wps">
            <w:drawing>
              <wp:anchor distT="0" distB="0" distL="114300" distR="114300" simplePos="0" relativeHeight="251678720" behindDoc="0" locked="0" layoutInCell="1" allowOverlap="1" wp14:anchorId="068AFE8E" wp14:editId="32B8734A">
                <wp:simplePos x="0" y="0"/>
                <wp:positionH relativeFrom="column">
                  <wp:posOffset>2204884</wp:posOffset>
                </wp:positionH>
                <wp:positionV relativeFrom="paragraph">
                  <wp:posOffset>68560</wp:posOffset>
                </wp:positionV>
                <wp:extent cx="2079522" cy="855406"/>
                <wp:effectExtent l="0" t="0" r="16510" b="20955"/>
                <wp:wrapNone/>
                <wp:docPr id="31" name="Rectangle 31"/>
                <wp:cNvGraphicFramePr/>
                <a:graphic xmlns:a="http://schemas.openxmlformats.org/drawingml/2006/main">
                  <a:graphicData uri="http://schemas.microsoft.com/office/word/2010/wordprocessingShape">
                    <wps:wsp>
                      <wps:cNvSpPr/>
                      <wps:spPr>
                        <a:xfrm>
                          <a:off x="0" y="0"/>
                          <a:ext cx="2079522" cy="8554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26" style="position:absolute;margin-left:173.6pt;margin-top:5.4pt;width:163.75pt;height:67.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" fillcolor="white [3212]" strokecolor="white [3212]" strokeweight="2pt"/>
            </w:pict>
          </mc:Fallback>
        </mc:AlternateContent>
      </w:r>
    </w:p>
    <w:p w14:paraId="26771393" w14:textId="545C0B32" w:rsidR="00576382" w:rsidRDefault="00576382" w:rsidP="00090E7E">
      <w:pPr>
        <w:autoSpaceDE w:val="0"/>
        <w:autoSpaceDN w:val="0"/>
        <w:adjustRightInd w:val="0"/>
        <w:spacing w:before="120" w:after="80"/>
        <w:rPr>
          <w:rFonts w:ascii="Candara" w:hAnsi="Candara" w:cs="Calibri"/>
          <w:noProof/>
          <w:sz w:val="21"/>
          <w:szCs w:val="21"/>
          <w:lang w:eastAsia="en-AU"/>
        </w:rPr>
      </w:pPr>
    </w:p>
    <w:p w14:paraId="4136AE8B" w14:textId="5B0CEFF5" w:rsidR="00576382" w:rsidRPr="008C512C" w:rsidRDefault="00576382" w:rsidP="00090E7E">
      <w:pPr>
        <w:autoSpaceDE w:val="0"/>
        <w:autoSpaceDN w:val="0"/>
        <w:adjustRightInd w:val="0"/>
        <w:spacing w:before="120" w:after="80"/>
        <w:rPr>
          <w:rFonts w:ascii="Candara" w:hAnsi="Candara" w:cs="Calibri"/>
          <w:sz w:val="21"/>
          <w:szCs w:val="21"/>
        </w:rPr>
      </w:pPr>
    </w:p>
    <w:p w14:paraId="14D4A151" w14:textId="77777777" w:rsidR="00090E7E" w:rsidRPr="008C512C" w:rsidRDefault="00090E7E" w:rsidP="00090E7E">
      <w:pPr>
        <w:autoSpaceDE w:val="0"/>
        <w:autoSpaceDN w:val="0"/>
        <w:adjustRightInd w:val="0"/>
        <w:spacing w:before="120" w:after="80"/>
        <w:rPr>
          <w:rFonts w:ascii="Candara" w:hAnsi="Candara" w:cs="Calibri"/>
          <w:sz w:val="21"/>
          <w:szCs w:val="21"/>
        </w:rPr>
      </w:pPr>
    </w:p>
    <w:p w14:paraId="1CF1662D" w14:textId="12A2B5A7" w:rsidR="00576382" w:rsidRDefault="00090E7E" w:rsidP="00090E7E">
      <w:pPr>
        <w:autoSpaceDE w:val="0"/>
        <w:autoSpaceDN w:val="0"/>
        <w:adjustRightInd w:val="0"/>
        <w:spacing w:before="120" w:after="80"/>
        <w:rPr>
          <w:rFonts w:ascii="Candara" w:hAnsi="Candara" w:cs="Calibri"/>
          <w:sz w:val="21"/>
          <w:szCs w:val="21"/>
        </w:rPr>
      </w:pPr>
      <w:r w:rsidRPr="008C512C">
        <w:rPr>
          <w:rFonts w:ascii="Candara" w:hAnsi="Candara" w:cs="Calibri"/>
          <w:sz w:val="21"/>
          <w:szCs w:val="21"/>
        </w:rPr>
        <w:t>The “</w:t>
      </w:r>
      <w:r w:rsidR="0014744A" w:rsidRPr="00247BC4">
        <w:rPr>
          <w:rFonts w:ascii="Candara" w:hAnsi="Candara" w:cs="Calibri"/>
          <w:b/>
          <w:sz w:val="21"/>
          <w:szCs w:val="21"/>
        </w:rPr>
        <w:t>T</w:t>
      </w:r>
      <w:r w:rsidRPr="008C512C">
        <w:rPr>
          <w:rFonts w:ascii="Candara" w:hAnsi="Candara" w:cs="Calibri"/>
          <w:sz w:val="21"/>
          <w:szCs w:val="21"/>
        </w:rPr>
        <w:t>” metric is based on the Victorian Fire Dang</w:t>
      </w:r>
      <w:r w:rsidR="00247BC4">
        <w:rPr>
          <w:rFonts w:ascii="Candara" w:hAnsi="Candara" w:cs="Calibri"/>
          <w:sz w:val="21"/>
          <w:szCs w:val="21"/>
        </w:rPr>
        <w:t>er Ratings as illustrated below</w:t>
      </w:r>
      <w:r w:rsidR="00576382">
        <w:rPr>
          <w:rFonts w:ascii="Candara" w:hAnsi="Candara" w:cs="Calibri"/>
          <w:sz w:val="21"/>
          <w:szCs w:val="21"/>
        </w:rPr>
        <w:t xml:space="preserve">: </w:t>
      </w:r>
    </w:p>
    <w:p w14:paraId="3C3D6E80" w14:textId="329496C6" w:rsidR="00090E7E" w:rsidRPr="008C512C" w:rsidRDefault="007C694E" w:rsidP="00090E7E">
      <w:pPr>
        <w:autoSpaceDE w:val="0"/>
        <w:autoSpaceDN w:val="0"/>
        <w:adjustRightInd w:val="0"/>
        <w:spacing w:before="120" w:after="80"/>
        <w:rPr>
          <w:rFonts w:ascii="Candara" w:hAnsi="Candara" w:cs="Calibri"/>
          <w:sz w:val="21"/>
          <w:szCs w:val="21"/>
        </w:rPr>
      </w:pPr>
      <w:r>
        <w:rPr>
          <w:rStyle w:val="Heading6Char"/>
        </w:rPr>
        <w:t>Figure 3.5</w:t>
      </w:r>
      <w:r w:rsidR="00576382">
        <w:rPr>
          <w:rStyle w:val="Heading6Char"/>
        </w:rPr>
        <w:t>: BOM Fire Danger Ratings</w:t>
      </w:r>
      <w:r w:rsidR="005F0026">
        <w:rPr>
          <w:rStyle w:val="Heading6Char"/>
        </w:rPr>
        <w:t xml:space="preserve"> for T metric</w:t>
      </w:r>
      <w:r w:rsidR="005F0026">
        <w:rPr>
          <w:rStyle w:val="FootnoteReference"/>
          <w:rFonts w:asciiTheme="majorHAnsi" w:eastAsiaTheme="majorEastAsia" w:hAnsiTheme="majorHAnsi" w:cstheme="majorBidi"/>
          <w:i/>
          <w:iCs/>
          <w:color w:val="243F60" w:themeColor="accent1" w:themeShade="7F"/>
        </w:rPr>
        <w:footnoteReference w:id="26"/>
      </w:r>
      <w:r w:rsidR="00090E7E" w:rsidRPr="008C512C">
        <w:rPr>
          <w:rFonts w:ascii="Candara" w:hAnsi="Candara" w:cs="Calibri"/>
          <w:sz w:val="21"/>
          <w:szCs w:val="21"/>
        </w:rPr>
        <w:t xml:space="preserve">  </w:t>
      </w:r>
    </w:p>
    <w:p w14:paraId="1BC508AF" w14:textId="2684601B" w:rsidR="00090E7E" w:rsidRPr="008C512C" w:rsidRDefault="00576382" w:rsidP="00090E7E">
      <w:pPr>
        <w:autoSpaceDE w:val="0"/>
        <w:autoSpaceDN w:val="0"/>
        <w:adjustRightInd w:val="0"/>
        <w:spacing w:before="120" w:after="80"/>
        <w:rPr>
          <w:rFonts w:ascii="Candara" w:hAnsi="Candara" w:cs="Calibri"/>
          <w:sz w:val="21"/>
          <w:szCs w:val="21"/>
        </w:rPr>
      </w:pPr>
      <w:r>
        <w:rPr>
          <w:rFonts w:ascii="Candara" w:hAnsi="Candara" w:cs="Calibri"/>
          <w:noProof/>
          <w:sz w:val="21"/>
          <w:szCs w:val="21"/>
          <w:lang w:eastAsia="en-AU"/>
        </w:rPr>
        <w:t xml:space="preserve">                                          </w:t>
      </w:r>
      <w:r w:rsidR="00090E7E" w:rsidRPr="008C512C">
        <w:rPr>
          <w:rFonts w:ascii="Candara" w:hAnsi="Candara" w:cs="Calibri"/>
          <w:noProof/>
          <w:sz w:val="21"/>
          <w:szCs w:val="21"/>
          <w:lang w:eastAsia="en-AU"/>
        </w:rPr>
        <w:drawing>
          <wp:inline distT="0" distB="0" distL="0" distR="0" wp14:anchorId="7D5CBE83" wp14:editId="692BA85C">
            <wp:extent cx="2853055" cy="1731010"/>
            <wp:effectExtent l="0" t="0" r="4445" b="2540"/>
            <wp:docPr id="26" name="Picture 2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8"/>
                    <a:stretch>
                      <a:fillRect/>
                    </a:stretch>
                  </pic:blipFill>
                  <pic:spPr>
                    <a:xfrm>
                      <a:off x="0" y="0"/>
                      <a:ext cx="2853055" cy="1731010"/>
                    </a:xfrm>
                    <a:prstGeom prst="rect">
                      <a:avLst/>
                    </a:prstGeom>
                  </pic:spPr>
                </pic:pic>
              </a:graphicData>
            </a:graphic>
          </wp:inline>
        </w:drawing>
      </w:r>
    </w:p>
    <w:p w14:paraId="70EACF6D" w14:textId="77777777" w:rsidR="00090E7E" w:rsidRPr="008C512C" w:rsidRDefault="00090E7E" w:rsidP="00090E7E">
      <w:pPr>
        <w:autoSpaceDE w:val="0"/>
        <w:autoSpaceDN w:val="0"/>
        <w:adjustRightInd w:val="0"/>
        <w:spacing w:before="120" w:after="80"/>
        <w:rPr>
          <w:rFonts w:ascii="Candara" w:hAnsi="Candara" w:cs="Calibri"/>
          <w:sz w:val="21"/>
          <w:szCs w:val="21"/>
        </w:rPr>
      </w:pPr>
    </w:p>
    <w:p w14:paraId="7B248F17" w14:textId="4FB76228" w:rsidR="00090E7E" w:rsidRPr="0099091D" w:rsidRDefault="00090E7E" w:rsidP="00090E7E">
      <w:pPr>
        <w:autoSpaceDE w:val="0"/>
        <w:autoSpaceDN w:val="0"/>
        <w:adjustRightInd w:val="0"/>
        <w:spacing w:before="120" w:after="80"/>
        <w:rPr>
          <w:rFonts w:ascii="Candara" w:hAnsi="Candara" w:cs="Calibri"/>
        </w:rPr>
      </w:pPr>
      <w:r w:rsidRPr="0099091D">
        <w:rPr>
          <w:rFonts w:ascii="Candara" w:hAnsi="Candara" w:cs="Calibri"/>
        </w:rPr>
        <w:t xml:space="preserve">The basis for the relative weightings is given in </w:t>
      </w:r>
      <w:r w:rsidR="00646545" w:rsidRPr="0099091D">
        <w:rPr>
          <w:rFonts w:ascii="Candara" w:hAnsi="Candara" w:cs="Calibri"/>
          <w:b/>
        </w:rPr>
        <w:t>Appendix 2</w:t>
      </w:r>
      <w:r w:rsidRPr="0099091D">
        <w:rPr>
          <w:rFonts w:ascii="Candara" w:hAnsi="Candara" w:cs="Calibri"/>
          <w:b/>
        </w:rPr>
        <w:t>.</w:t>
      </w:r>
    </w:p>
    <w:p w14:paraId="4492675B" w14:textId="7D1B85BD" w:rsidR="008C2A5C" w:rsidRPr="008C2A5C" w:rsidRDefault="000C3661" w:rsidP="008C2A5C">
      <w:pPr>
        <w:autoSpaceDE w:val="0"/>
        <w:autoSpaceDN w:val="0"/>
        <w:adjustRightInd w:val="0"/>
        <w:spacing w:before="120" w:after="80"/>
        <w:rPr>
          <w:rFonts w:ascii="Candara" w:hAnsi="Candara" w:cs="Calibri"/>
        </w:rPr>
      </w:pPr>
      <w:r>
        <w:rPr>
          <w:rFonts w:ascii="Candara" w:hAnsi="Candara" w:cs="Calibri"/>
        </w:rPr>
        <w:t>The administrative burden of this approach</w:t>
      </w:r>
      <w:r w:rsidR="008C2A5C" w:rsidRPr="008C2A5C">
        <w:rPr>
          <w:rFonts w:ascii="Candara" w:hAnsi="Candara" w:cs="Calibri"/>
        </w:rPr>
        <w:t xml:space="preserve"> will be minimal as the distribution businesses already </w:t>
      </w:r>
      <w:r>
        <w:rPr>
          <w:rFonts w:ascii="Candara" w:hAnsi="Candara" w:cs="Calibri"/>
        </w:rPr>
        <w:t xml:space="preserve">collect </w:t>
      </w:r>
      <w:r w:rsidR="008C2A5C" w:rsidRPr="008C2A5C">
        <w:rPr>
          <w:rFonts w:ascii="Candara" w:hAnsi="Candara" w:cs="Calibri"/>
        </w:rPr>
        <w:t>th</w:t>
      </w:r>
      <w:r w:rsidR="0095005B">
        <w:rPr>
          <w:rFonts w:ascii="Candara" w:hAnsi="Candara" w:cs="Calibri"/>
        </w:rPr>
        <w:t>e following</w:t>
      </w:r>
      <w:r w:rsidR="008C2A5C" w:rsidRPr="008C2A5C">
        <w:rPr>
          <w:rFonts w:ascii="Candara" w:hAnsi="Candara" w:cs="Calibri"/>
        </w:rPr>
        <w:t xml:space="preserve"> information</w:t>
      </w:r>
      <w:r w:rsidR="005F0026">
        <w:rPr>
          <w:rFonts w:ascii="Candara" w:hAnsi="Candara" w:cs="Calibri"/>
        </w:rPr>
        <w:t xml:space="preserve"> about each ignition on a powerline</w:t>
      </w:r>
      <w:r w:rsidR="008C2A5C" w:rsidRPr="008C2A5C">
        <w:rPr>
          <w:rFonts w:ascii="Candara" w:hAnsi="Candara" w:cs="Calibri"/>
        </w:rPr>
        <w:t>: location down to the level of nearest pole (each pole has a unique identification num</w:t>
      </w:r>
      <w:r w:rsidR="00015513">
        <w:rPr>
          <w:rFonts w:ascii="Candara" w:hAnsi="Candara" w:cs="Calibri"/>
        </w:rPr>
        <w:t xml:space="preserve">ber), fire type and cause, and </w:t>
      </w:r>
      <w:r w:rsidR="008C2A5C" w:rsidRPr="008C2A5C">
        <w:rPr>
          <w:rFonts w:ascii="Candara" w:hAnsi="Candara" w:cs="Calibri"/>
        </w:rPr>
        <w:t>fire danger rating</w:t>
      </w:r>
      <w:r w:rsidR="00015513">
        <w:rPr>
          <w:rFonts w:ascii="Candara" w:hAnsi="Candara" w:cs="Calibri"/>
        </w:rPr>
        <w:t xml:space="preserve">s on the day of each ignition. </w:t>
      </w:r>
    </w:p>
    <w:p w14:paraId="3F93ED98" w14:textId="41C62A3E" w:rsidR="008C2A5C" w:rsidRDefault="005F0026" w:rsidP="008C2A5C">
      <w:pPr>
        <w:autoSpaceDE w:val="0"/>
        <w:autoSpaceDN w:val="0"/>
        <w:adjustRightInd w:val="0"/>
        <w:spacing w:before="120" w:after="80"/>
        <w:rPr>
          <w:rFonts w:ascii="Candara" w:hAnsi="Candara" w:cs="Calibri"/>
        </w:rPr>
      </w:pPr>
      <w:r>
        <w:rPr>
          <w:rFonts w:ascii="Candara" w:hAnsi="Candara" w:cs="Calibri"/>
        </w:rPr>
        <w:lastRenderedPageBreak/>
        <w:t>The proposed</w:t>
      </w:r>
      <w:r w:rsidR="008C2A5C" w:rsidRPr="008C2A5C">
        <w:rPr>
          <w:rFonts w:ascii="Candara" w:hAnsi="Candara" w:cs="Calibri"/>
        </w:rPr>
        <w:t xml:space="preserve"> weightings more closely align the incentive measure with the bushfire risk associated with each fire start. Most fire starts do not impose a significant bushfire risk and the graph below sh</w:t>
      </w:r>
      <w:r w:rsidR="00BF4B22">
        <w:rPr>
          <w:rFonts w:ascii="Candara" w:hAnsi="Candara" w:cs="Calibri"/>
        </w:rPr>
        <w:t xml:space="preserve">ows the number of </w:t>
      </w:r>
      <w:r w:rsidR="00BF4B22" w:rsidRPr="008B7B4B">
        <w:rPr>
          <w:rFonts w:ascii="Candara" w:hAnsi="Candara" w:cs="Calibri"/>
        </w:rPr>
        <w:t xml:space="preserve">2012 to </w:t>
      </w:r>
      <w:r w:rsidR="005F5FF4">
        <w:rPr>
          <w:rFonts w:ascii="Candara" w:hAnsi="Candara" w:cs="Calibri"/>
        </w:rPr>
        <w:t>2015</w:t>
      </w:r>
      <w:r w:rsidR="00BF4B22">
        <w:rPr>
          <w:rFonts w:ascii="Candara" w:hAnsi="Candara" w:cs="Calibri"/>
        </w:rPr>
        <w:t xml:space="preserve"> </w:t>
      </w:r>
      <w:r w:rsidR="008C2A5C" w:rsidRPr="008C2A5C">
        <w:rPr>
          <w:rFonts w:ascii="Candara" w:hAnsi="Candara" w:cs="Calibri"/>
        </w:rPr>
        <w:t>fire starts with a IRU score higher than the IRU scale on the horizontal axis.</w:t>
      </w:r>
    </w:p>
    <w:p w14:paraId="12BE2597" w14:textId="77777777" w:rsidR="00A857DD" w:rsidRDefault="00A857DD" w:rsidP="008C2A5C">
      <w:pPr>
        <w:autoSpaceDE w:val="0"/>
        <w:autoSpaceDN w:val="0"/>
        <w:adjustRightInd w:val="0"/>
        <w:spacing w:before="120" w:after="80"/>
        <w:rPr>
          <w:rFonts w:ascii="Candara" w:hAnsi="Candara" w:cs="Calibri"/>
        </w:rPr>
      </w:pPr>
    </w:p>
    <w:p w14:paraId="290EAA66" w14:textId="4EDDE66A" w:rsidR="00DB48BF" w:rsidRPr="00A857DD" w:rsidRDefault="00A857DD" w:rsidP="008C2A5C">
      <w:pPr>
        <w:autoSpaceDE w:val="0"/>
        <w:autoSpaceDN w:val="0"/>
        <w:adjustRightInd w:val="0"/>
        <w:spacing w:before="120" w:after="80"/>
        <w:rPr>
          <w:rFonts w:ascii="Candara" w:hAnsi="Candara" w:cs="Calibri"/>
          <w:sz w:val="21"/>
          <w:szCs w:val="21"/>
        </w:rPr>
      </w:pPr>
      <w:r>
        <w:rPr>
          <w:rStyle w:val="Heading6Char"/>
        </w:rPr>
        <w:t>Figure 3.</w:t>
      </w:r>
      <w:r w:rsidR="004E63E9">
        <w:rPr>
          <w:rStyle w:val="Heading6Char"/>
        </w:rPr>
        <w:t>6</w:t>
      </w:r>
      <w:r>
        <w:rPr>
          <w:rStyle w:val="Heading6Char"/>
        </w:rPr>
        <w:t xml:space="preserve">: </w:t>
      </w:r>
      <w:r w:rsidR="004E63E9">
        <w:rPr>
          <w:rStyle w:val="Heading6Char"/>
        </w:rPr>
        <w:t xml:space="preserve">Number of network ignitions </w:t>
      </w:r>
      <w:r w:rsidR="005F5FF4">
        <w:rPr>
          <w:rStyle w:val="Heading6Char"/>
        </w:rPr>
        <w:t>greater than or equal to a given</w:t>
      </w:r>
      <w:r w:rsidR="004E63E9">
        <w:rPr>
          <w:rStyle w:val="Heading6Char"/>
        </w:rPr>
        <w:t xml:space="preserve"> IRU value </w:t>
      </w:r>
      <w:r>
        <w:rPr>
          <w:rStyle w:val="Heading6Char"/>
        </w:rPr>
        <w:t xml:space="preserve"> </w:t>
      </w:r>
    </w:p>
    <w:p w14:paraId="6E709CD3" w14:textId="1656B7D0" w:rsidR="005F5FF4" w:rsidRDefault="005F5FF4" w:rsidP="008C2A5C">
      <w:pPr>
        <w:autoSpaceDE w:val="0"/>
        <w:autoSpaceDN w:val="0"/>
        <w:adjustRightInd w:val="0"/>
        <w:spacing w:before="120" w:after="80"/>
        <w:rPr>
          <w:rFonts w:ascii="Candara" w:hAnsi="Candara" w:cs="Calibri"/>
        </w:rPr>
      </w:pPr>
      <w:r w:rsidRPr="005F5FF4">
        <w:rPr>
          <w:noProof/>
          <w:lang w:eastAsia="en-AU"/>
        </w:rPr>
        <w:drawing>
          <wp:inline distT="0" distB="0" distL="0" distR="0" wp14:anchorId="57B4CA1D" wp14:editId="4AE6C064">
            <wp:extent cx="5743899" cy="35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899" cy="3582000"/>
                    </a:xfrm>
                    <a:prstGeom prst="rect">
                      <a:avLst/>
                    </a:prstGeom>
                    <a:noFill/>
                    <a:ln>
                      <a:noFill/>
                    </a:ln>
                  </pic:spPr>
                </pic:pic>
              </a:graphicData>
            </a:graphic>
          </wp:inline>
        </w:drawing>
      </w:r>
    </w:p>
    <w:p w14:paraId="47499A6F" w14:textId="5D95CF2D" w:rsidR="008C2A5C" w:rsidRDefault="008C2A5C" w:rsidP="008C2A5C">
      <w:pPr>
        <w:autoSpaceDE w:val="0"/>
        <w:autoSpaceDN w:val="0"/>
        <w:adjustRightInd w:val="0"/>
        <w:spacing w:before="120" w:after="80"/>
        <w:rPr>
          <w:rFonts w:ascii="Candara" w:hAnsi="Candara" w:cs="Calibri"/>
          <w:sz w:val="18"/>
          <w:szCs w:val="18"/>
        </w:rPr>
      </w:pPr>
      <w:r w:rsidRPr="008D5263">
        <w:rPr>
          <w:rFonts w:ascii="Candara" w:hAnsi="Candara" w:cs="Calibri"/>
          <w:b/>
          <w:sz w:val="18"/>
          <w:szCs w:val="18"/>
        </w:rPr>
        <w:t xml:space="preserve">Note: </w:t>
      </w:r>
      <w:r w:rsidRPr="008D5263">
        <w:rPr>
          <w:rFonts w:ascii="Candara" w:hAnsi="Candara" w:cs="Calibri"/>
          <w:sz w:val="18"/>
          <w:szCs w:val="18"/>
        </w:rPr>
        <w:t xml:space="preserve">The curve for fire starts under a </w:t>
      </w:r>
      <w:r w:rsidRPr="008D5263">
        <w:rPr>
          <w:rFonts w:ascii="Candara" w:hAnsi="Candara" w:cs="Calibri"/>
          <w:b/>
          <w:sz w:val="18"/>
          <w:szCs w:val="18"/>
        </w:rPr>
        <w:t xml:space="preserve">weighted </w:t>
      </w:r>
      <w:r w:rsidRPr="008D5263">
        <w:rPr>
          <w:rFonts w:ascii="Candara" w:hAnsi="Candara" w:cs="Calibri"/>
          <w:sz w:val="18"/>
          <w:szCs w:val="18"/>
        </w:rPr>
        <w:t>scheme show</w:t>
      </w:r>
      <w:r w:rsidR="000C3661">
        <w:rPr>
          <w:rFonts w:ascii="Candara" w:hAnsi="Candara" w:cs="Calibri"/>
          <w:sz w:val="18"/>
          <w:szCs w:val="18"/>
        </w:rPr>
        <w:t>s</w:t>
      </w:r>
      <w:r w:rsidRPr="008D5263">
        <w:rPr>
          <w:rFonts w:ascii="Candara" w:hAnsi="Candara" w:cs="Calibri"/>
          <w:sz w:val="18"/>
          <w:szCs w:val="18"/>
        </w:rPr>
        <w:t xml:space="preserve"> the number of historical fire starts (2012 – 201</w:t>
      </w:r>
      <w:r w:rsidR="005F5FF4">
        <w:rPr>
          <w:rFonts w:ascii="Candara" w:hAnsi="Candara" w:cs="Calibri"/>
          <w:sz w:val="18"/>
          <w:szCs w:val="18"/>
        </w:rPr>
        <w:t>5</w:t>
      </w:r>
      <w:r w:rsidRPr="008D5263">
        <w:rPr>
          <w:rFonts w:ascii="Candara" w:hAnsi="Candara" w:cs="Calibri"/>
          <w:sz w:val="18"/>
          <w:szCs w:val="18"/>
        </w:rPr>
        <w:t>) that are greater than or equal to each given IRU score.</w:t>
      </w:r>
      <w:r w:rsidR="00AC205D">
        <w:rPr>
          <w:rFonts w:ascii="Candara" w:hAnsi="Candara" w:cs="Calibri"/>
          <w:sz w:val="18"/>
          <w:szCs w:val="18"/>
        </w:rPr>
        <w:t xml:space="preserve"> IRU values for the analysis above are </w:t>
      </w:r>
      <w:r w:rsidR="00AC205D" w:rsidRPr="00AC205D">
        <w:rPr>
          <w:rFonts w:ascii="Candara" w:hAnsi="Candara" w:cs="Calibri"/>
          <w:b/>
          <w:sz w:val="18"/>
          <w:szCs w:val="18"/>
        </w:rPr>
        <w:t>G</w:t>
      </w:r>
      <w:r w:rsidR="00AC205D">
        <w:rPr>
          <w:rFonts w:ascii="Candara" w:hAnsi="Candara" w:cs="Calibri"/>
          <w:sz w:val="18"/>
          <w:szCs w:val="18"/>
        </w:rPr>
        <w:t xml:space="preserve"> (1) x </w:t>
      </w:r>
      <w:r w:rsidR="00AC205D" w:rsidRPr="00AC205D">
        <w:rPr>
          <w:rFonts w:ascii="Candara" w:hAnsi="Candara" w:cs="Calibri"/>
          <w:b/>
          <w:sz w:val="18"/>
          <w:szCs w:val="18"/>
        </w:rPr>
        <w:t xml:space="preserve">T </w:t>
      </w:r>
      <w:r w:rsidR="00AC205D">
        <w:rPr>
          <w:rFonts w:ascii="Candara" w:hAnsi="Candara" w:cs="Calibri"/>
          <w:sz w:val="18"/>
          <w:szCs w:val="18"/>
        </w:rPr>
        <w:t xml:space="preserve">(1) = 1. </w:t>
      </w:r>
    </w:p>
    <w:p w14:paraId="6DB65D01" w14:textId="6730B537" w:rsidR="008D5263" w:rsidRPr="008D5263" w:rsidRDefault="008D5263" w:rsidP="008D5263">
      <w:pPr>
        <w:autoSpaceDE w:val="0"/>
        <w:autoSpaceDN w:val="0"/>
        <w:adjustRightInd w:val="0"/>
        <w:spacing w:before="120" w:after="80"/>
        <w:rPr>
          <w:rFonts w:ascii="Candara" w:hAnsi="Candara" w:cs="Calibri"/>
        </w:rPr>
      </w:pPr>
      <w:r w:rsidRPr="008D5263">
        <w:rPr>
          <w:rFonts w:ascii="Candara" w:hAnsi="Candara" w:cs="Calibri"/>
        </w:rPr>
        <w:t>Based on the 2012 to 201</w:t>
      </w:r>
      <w:r w:rsidR="005F5FF4">
        <w:rPr>
          <w:rFonts w:ascii="Candara" w:hAnsi="Candara" w:cs="Calibri"/>
        </w:rPr>
        <w:t>5</w:t>
      </w:r>
      <w:r w:rsidRPr="008D5263">
        <w:rPr>
          <w:rFonts w:ascii="Candara" w:hAnsi="Candara" w:cs="Calibri"/>
        </w:rPr>
        <w:t xml:space="preserve"> fire start history, if distribution businesses were to successfully prevent the </w:t>
      </w:r>
      <w:r w:rsidR="005F5FF4">
        <w:rPr>
          <w:rFonts w:ascii="Candara" w:hAnsi="Candara" w:cs="Calibri"/>
        </w:rPr>
        <w:t>16.1</w:t>
      </w:r>
      <w:r>
        <w:rPr>
          <w:rFonts w:ascii="Candara" w:hAnsi="Candara" w:cs="Calibri"/>
        </w:rPr>
        <w:t xml:space="preserve"> per cent</w:t>
      </w:r>
      <w:r w:rsidRPr="008D5263">
        <w:rPr>
          <w:rFonts w:ascii="Candara" w:hAnsi="Candara" w:cs="Calibri"/>
        </w:rPr>
        <w:t xml:space="preserve"> of ignitions with an IRU score greater than 1, the total IRU score across th</w:t>
      </w:r>
      <w:r>
        <w:rPr>
          <w:rFonts w:ascii="Candara" w:hAnsi="Candara" w:cs="Calibri"/>
        </w:rPr>
        <w:t xml:space="preserve">e industry would reduce by </w:t>
      </w:r>
      <w:r w:rsidR="005F5FF4">
        <w:rPr>
          <w:rFonts w:ascii="Candara" w:hAnsi="Candara" w:cs="Calibri"/>
        </w:rPr>
        <w:t>77.1</w:t>
      </w:r>
      <w:r>
        <w:rPr>
          <w:rFonts w:ascii="Candara" w:hAnsi="Candara" w:cs="Calibri"/>
        </w:rPr>
        <w:t xml:space="preserve"> per cent</w:t>
      </w:r>
      <w:r w:rsidRPr="008D5263">
        <w:rPr>
          <w:rFonts w:ascii="Candara" w:hAnsi="Candara" w:cs="Calibri"/>
        </w:rPr>
        <w:t>.</w:t>
      </w:r>
    </w:p>
    <w:p w14:paraId="081AD08D" w14:textId="7C13D97D" w:rsidR="008D5263" w:rsidRPr="008D5263" w:rsidRDefault="008D5263" w:rsidP="008D5263">
      <w:pPr>
        <w:autoSpaceDE w:val="0"/>
        <w:autoSpaceDN w:val="0"/>
        <w:adjustRightInd w:val="0"/>
        <w:spacing w:before="120" w:after="80"/>
        <w:rPr>
          <w:rFonts w:ascii="Candara" w:hAnsi="Candara" w:cs="Calibri"/>
        </w:rPr>
      </w:pPr>
      <w:r w:rsidRPr="008D5263">
        <w:rPr>
          <w:rFonts w:ascii="Candara" w:hAnsi="Candara" w:cs="Calibri"/>
        </w:rPr>
        <w:t xml:space="preserve">Further details on the </w:t>
      </w:r>
      <w:r w:rsidR="0078642A">
        <w:rPr>
          <w:rFonts w:ascii="Candara" w:hAnsi="Candara" w:cs="Calibri"/>
        </w:rPr>
        <w:t>development of the weighted</w:t>
      </w:r>
      <w:r w:rsidRPr="008D5263">
        <w:rPr>
          <w:rFonts w:ascii="Candara" w:hAnsi="Candara" w:cs="Calibri"/>
        </w:rPr>
        <w:t xml:space="preserve"> measure</w:t>
      </w:r>
      <w:r w:rsidR="0078642A">
        <w:rPr>
          <w:rFonts w:ascii="Candara" w:hAnsi="Candara" w:cs="Calibri"/>
        </w:rPr>
        <w:t>s</w:t>
      </w:r>
      <w:r w:rsidRPr="008D5263">
        <w:rPr>
          <w:rFonts w:ascii="Candara" w:hAnsi="Candara" w:cs="Calibri"/>
        </w:rPr>
        <w:t xml:space="preserve"> are </w:t>
      </w:r>
      <w:r w:rsidR="0078642A">
        <w:rPr>
          <w:rFonts w:ascii="Candara" w:hAnsi="Candara" w:cs="Calibri"/>
        </w:rPr>
        <w:t xml:space="preserve">provided </w:t>
      </w:r>
      <w:r w:rsidRPr="008D5263">
        <w:rPr>
          <w:rFonts w:ascii="Candara" w:hAnsi="Candara" w:cs="Calibri"/>
        </w:rPr>
        <w:t xml:space="preserve">in </w:t>
      </w:r>
      <w:r w:rsidR="0069102E" w:rsidRPr="00A77173">
        <w:rPr>
          <w:rFonts w:ascii="Candara" w:hAnsi="Candara" w:cs="Calibri"/>
          <w:b/>
        </w:rPr>
        <w:t>Appendix 2</w:t>
      </w:r>
      <w:r w:rsidRPr="008D5263">
        <w:rPr>
          <w:rFonts w:ascii="Candara" w:hAnsi="Candara" w:cs="Calibri"/>
        </w:rPr>
        <w:t>.</w:t>
      </w:r>
    </w:p>
    <w:p w14:paraId="07BF54F8" w14:textId="07C1033F" w:rsidR="008D5263" w:rsidRPr="008D5263" w:rsidRDefault="008D5263" w:rsidP="008D5263">
      <w:pPr>
        <w:autoSpaceDE w:val="0"/>
        <w:autoSpaceDN w:val="0"/>
        <w:adjustRightInd w:val="0"/>
        <w:spacing w:before="120" w:after="80"/>
        <w:rPr>
          <w:rFonts w:ascii="Candara" w:hAnsi="Candara" w:cs="Calibri"/>
        </w:rPr>
      </w:pPr>
      <w:r w:rsidRPr="008D5263">
        <w:rPr>
          <w:rFonts w:ascii="Candara" w:hAnsi="Candara" w:cs="Calibri"/>
        </w:rPr>
        <w:t>The weighted scheme functions to focus business investment at those risk factors associated with the highest bushfire risk, consistent with the priorities of the Victorian Bushfires Royal Commission 2009 and supported by the Victorian Government</w:t>
      </w:r>
      <w:r w:rsidR="000C3661">
        <w:rPr>
          <w:rFonts w:ascii="Candara" w:hAnsi="Candara" w:cs="Calibri"/>
        </w:rPr>
        <w:t>.</w:t>
      </w:r>
    </w:p>
    <w:p w14:paraId="522B53DB" w14:textId="12A64AF3" w:rsidR="008D5263" w:rsidRPr="008D5263" w:rsidRDefault="008D5263" w:rsidP="008D5263">
      <w:pPr>
        <w:autoSpaceDE w:val="0"/>
        <w:autoSpaceDN w:val="0"/>
        <w:adjustRightInd w:val="0"/>
        <w:spacing w:before="120" w:after="80"/>
        <w:rPr>
          <w:rFonts w:ascii="Candara" w:hAnsi="Candara" w:cs="Calibri"/>
        </w:rPr>
      </w:pPr>
      <w:r w:rsidRPr="008D5263">
        <w:rPr>
          <w:rFonts w:ascii="Candara" w:hAnsi="Candara" w:cs="Calibri"/>
        </w:rPr>
        <w:t xml:space="preserve">The </w:t>
      </w:r>
      <w:r w:rsidR="000C3661">
        <w:rPr>
          <w:rFonts w:ascii="Candara" w:hAnsi="Candara" w:cs="Calibri"/>
        </w:rPr>
        <w:t>objective</w:t>
      </w:r>
      <w:r w:rsidRPr="008D5263">
        <w:rPr>
          <w:rFonts w:ascii="Candara" w:hAnsi="Candara" w:cs="Calibri"/>
        </w:rPr>
        <w:t xml:space="preserve"> of adopting these we</w:t>
      </w:r>
      <w:r w:rsidR="000C3661">
        <w:rPr>
          <w:rFonts w:ascii="Candara" w:hAnsi="Candara" w:cs="Calibri"/>
        </w:rPr>
        <w:t xml:space="preserve">ighted metrics </w:t>
      </w:r>
      <w:r w:rsidR="00C97533">
        <w:rPr>
          <w:rFonts w:ascii="Candara" w:hAnsi="Candara" w:cs="Calibri"/>
        </w:rPr>
        <w:t>in</w:t>
      </w:r>
      <w:r w:rsidR="000C3661">
        <w:rPr>
          <w:rFonts w:ascii="Candara" w:hAnsi="Candara" w:cs="Calibri"/>
        </w:rPr>
        <w:t>to the f-factor is</w:t>
      </w:r>
      <w:r w:rsidRPr="008D5263">
        <w:rPr>
          <w:rFonts w:ascii="Candara" w:hAnsi="Candara" w:cs="Calibri"/>
        </w:rPr>
        <w:t xml:space="preserve"> to leverage a greater safety benefit from the existing funding supplied to distribution businesses. That is, to reduce bushfire danger at no additional cost to consumers, as shown schematically below. </w:t>
      </w:r>
    </w:p>
    <w:p w14:paraId="633CE760" w14:textId="77777777" w:rsidR="008C2A5C" w:rsidRDefault="008C2A5C" w:rsidP="008C2A5C">
      <w:pPr>
        <w:autoSpaceDE w:val="0"/>
        <w:autoSpaceDN w:val="0"/>
        <w:adjustRightInd w:val="0"/>
        <w:spacing w:before="120" w:after="80"/>
        <w:rPr>
          <w:rFonts w:ascii="Candara" w:hAnsi="Candara" w:cs="Calibri"/>
        </w:rPr>
      </w:pPr>
    </w:p>
    <w:p w14:paraId="2A3F0C72" w14:textId="77777777" w:rsidR="004E63E9" w:rsidRDefault="004E63E9" w:rsidP="008C2A5C">
      <w:pPr>
        <w:autoSpaceDE w:val="0"/>
        <w:autoSpaceDN w:val="0"/>
        <w:adjustRightInd w:val="0"/>
        <w:spacing w:before="120" w:after="80"/>
        <w:rPr>
          <w:rFonts w:ascii="Candara" w:hAnsi="Candara" w:cs="Calibri"/>
        </w:rPr>
      </w:pPr>
    </w:p>
    <w:p w14:paraId="4FCD3D51" w14:textId="77777777" w:rsidR="004E63E9" w:rsidRDefault="004E63E9" w:rsidP="008C2A5C">
      <w:pPr>
        <w:autoSpaceDE w:val="0"/>
        <w:autoSpaceDN w:val="0"/>
        <w:adjustRightInd w:val="0"/>
        <w:spacing w:before="120" w:after="80"/>
        <w:rPr>
          <w:rFonts w:ascii="Candara" w:hAnsi="Candara" w:cs="Calibri"/>
        </w:rPr>
      </w:pPr>
    </w:p>
    <w:p w14:paraId="0FB62658" w14:textId="77777777" w:rsidR="004E63E9" w:rsidRDefault="004E63E9" w:rsidP="008C2A5C">
      <w:pPr>
        <w:autoSpaceDE w:val="0"/>
        <w:autoSpaceDN w:val="0"/>
        <w:adjustRightInd w:val="0"/>
        <w:spacing w:before="120" w:after="80"/>
        <w:rPr>
          <w:rFonts w:ascii="Candara" w:hAnsi="Candara" w:cs="Calibri"/>
        </w:rPr>
      </w:pPr>
    </w:p>
    <w:p w14:paraId="59E9B03F" w14:textId="77777777" w:rsidR="004E63E9" w:rsidRDefault="004E63E9" w:rsidP="008C2A5C">
      <w:pPr>
        <w:autoSpaceDE w:val="0"/>
        <w:autoSpaceDN w:val="0"/>
        <w:adjustRightInd w:val="0"/>
        <w:spacing w:before="120" w:after="80"/>
        <w:rPr>
          <w:rFonts w:ascii="Candara" w:hAnsi="Candara" w:cs="Calibri"/>
        </w:rPr>
      </w:pPr>
    </w:p>
    <w:p w14:paraId="751B3627" w14:textId="678B4D26" w:rsidR="004E63E9" w:rsidRPr="004E63E9" w:rsidRDefault="004E63E9" w:rsidP="008C2A5C">
      <w:pPr>
        <w:autoSpaceDE w:val="0"/>
        <w:autoSpaceDN w:val="0"/>
        <w:adjustRightInd w:val="0"/>
        <w:spacing w:before="120" w:after="80"/>
        <w:rPr>
          <w:rFonts w:ascii="Candara" w:hAnsi="Candara" w:cs="Calibri"/>
          <w:sz w:val="21"/>
          <w:szCs w:val="21"/>
        </w:rPr>
      </w:pPr>
      <w:r>
        <w:rPr>
          <w:rStyle w:val="Heading6Char"/>
        </w:rPr>
        <w:t xml:space="preserve">Figure 3.7: </w:t>
      </w:r>
      <w:r w:rsidR="008C1234">
        <w:rPr>
          <w:rStyle w:val="Heading6Char"/>
        </w:rPr>
        <w:t>Risk benefits comparison of targeted and untargeted f-factor options</w:t>
      </w:r>
      <w:r>
        <w:rPr>
          <w:rStyle w:val="Heading6Char"/>
        </w:rPr>
        <w:t xml:space="preserve">  </w:t>
      </w:r>
    </w:p>
    <w:p w14:paraId="32854084" w14:textId="77777777" w:rsidR="008C2A5C" w:rsidRPr="008C2A5C" w:rsidRDefault="00F4388C" w:rsidP="008C2A5C">
      <w:pPr>
        <w:autoSpaceDE w:val="0"/>
        <w:autoSpaceDN w:val="0"/>
        <w:adjustRightInd w:val="0"/>
        <w:spacing w:before="120" w:after="80"/>
        <w:rPr>
          <w:rFonts w:ascii="Candara" w:hAnsi="Candara" w:cs="Calibri"/>
        </w:rPr>
      </w:pPr>
      <w:r w:rsidRPr="00B027C4">
        <w:rPr>
          <w:noProof/>
          <w:lang w:eastAsia="en-AU"/>
        </w:rPr>
        <w:drawing>
          <wp:inline distT="0" distB="0" distL="0" distR="0" wp14:anchorId="288F0E45" wp14:editId="116F968C">
            <wp:extent cx="5731510" cy="343176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431763"/>
                    </a:xfrm>
                    <a:prstGeom prst="rect">
                      <a:avLst/>
                    </a:prstGeom>
                    <a:noFill/>
                    <a:ln>
                      <a:noFill/>
                    </a:ln>
                  </pic:spPr>
                </pic:pic>
              </a:graphicData>
            </a:graphic>
          </wp:inline>
        </w:drawing>
      </w:r>
    </w:p>
    <w:p w14:paraId="45BAD96D" w14:textId="77777777" w:rsidR="00A77173" w:rsidRDefault="00A77173" w:rsidP="008729EA">
      <w:pPr>
        <w:autoSpaceDE w:val="0"/>
        <w:autoSpaceDN w:val="0"/>
        <w:adjustRightInd w:val="0"/>
        <w:spacing w:before="120" w:after="80"/>
        <w:rPr>
          <w:rFonts w:ascii="Candara" w:hAnsi="Candara" w:cs="Calibri"/>
        </w:rPr>
      </w:pPr>
    </w:p>
    <w:p w14:paraId="1846C05F" w14:textId="77777777" w:rsidR="00CA1D63" w:rsidRPr="00C629A3" w:rsidRDefault="002A6F47" w:rsidP="008729EA">
      <w:pPr>
        <w:autoSpaceDE w:val="0"/>
        <w:autoSpaceDN w:val="0"/>
        <w:adjustRightInd w:val="0"/>
        <w:spacing w:before="120" w:after="80"/>
        <w:rPr>
          <w:rFonts w:ascii="Candara" w:hAnsi="Candara" w:cs="Calibri"/>
        </w:rPr>
      </w:pPr>
      <w:r w:rsidRPr="00C629A3">
        <w:rPr>
          <w:rFonts w:ascii="Candara" w:hAnsi="Candara" w:cs="Calibri"/>
        </w:rPr>
        <w:t>T</w:t>
      </w:r>
      <w:r w:rsidR="003A4B82" w:rsidRPr="00C629A3">
        <w:rPr>
          <w:rFonts w:ascii="Candara" w:hAnsi="Candara" w:cs="Calibri"/>
        </w:rPr>
        <w:t xml:space="preserve">his option better aligns financial incentives with the actual harms which the scheme seeks to minimise. </w:t>
      </w:r>
      <w:r w:rsidR="00CA1D63" w:rsidRPr="00C629A3">
        <w:rPr>
          <w:rFonts w:ascii="Candara" w:hAnsi="Candara" w:cs="Calibri"/>
        </w:rPr>
        <w:t xml:space="preserve">Consequently </w:t>
      </w:r>
      <w:r w:rsidR="003A4B82" w:rsidRPr="00C629A3">
        <w:rPr>
          <w:rFonts w:ascii="Candara" w:hAnsi="Candara" w:cs="Calibri"/>
        </w:rPr>
        <w:t>this option is preferred</w:t>
      </w:r>
      <w:r w:rsidR="00CA1D63" w:rsidRPr="00C629A3">
        <w:rPr>
          <w:rFonts w:ascii="Candara" w:hAnsi="Candara" w:cs="Calibri"/>
        </w:rPr>
        <w:t>.</w:t>
      </w:r>
    </w:p>
    <w:p w14:paraId="6D4EAD4A" w14:textId="77777777" w:rsidR="00C153A3" w:rsidRPr="00C629A3" w:rsidRDefault="00205981" w:rsidP="009F5994">
      <w:pPr>
        <w:pStyle w:val="Heading2"/>
        <w:rPr>
          <w:sz w:val="22"/>
          <w:szCs w:val="22"/>
        </w:rPr>
      </w:pPr>
      <w:bookmarkStart w:id="29" w:name="_Toc458675183"/>
      <w:r>
        <w:rPr>
          <w:sz w:val="22"/>
          <w:szCs w:val="22"/>
        </w:rPr>
        <w:t xml:space="preserve">Efficient Pricing </w:t>
      </w:r>
      <w:r w:rsidR="00BF4B22">
        <w:rPr>
          <w:sz w:val="22"/>
          <w:szCs w:val="22"/>
        </w:rPr>
        <w:t>o</w:t>
      </w:r>
      <w:r w:rsidR="00123891" w:rsidRPr="00C629A3">
        <w:rPr>
          <w:sz w:val="22"/>
          <w:szCs w:val="22"/>
        </w:rPr>
        <w:t>f R</w:t>
      </w:r>
      <w:r w:rsidR="00CA1D63" w:rsidRPr="00C629A3">
        <w:rPr>
          <w:sz w:val="22"/>
          <w:szCs w:val="22"/>
        </w:rPr>
        <w:t>isk</w:t>
      </w:r>
      <w:bookmarkEnd w:id="29"/>
    </w:p>
    <w:p w14:paraId="7E5AD33C" w14:textId="5724F17F" w:rsidR="00CA6020" w:rsidRPr="00C629A3" w:rsidRDefault="0078642A" w:rsidP="006468A3">
      <w:pPr>
        <w:autoSpaceDE w:val="0"/>
        <w:autoSpaceDN w:val="0"/>
        <w:adjustRightInd w:val="0"/>
        <w:spacing w:before="120" w:after="80"/>
        <w:rPr>
          <w:rFonts w:ascii="Candara" w:hAnsi="Candara" w:cs="Calibri"/>
        </w:rPr>
      </w:pPr>
      <w:r>
        <w:rPr>
          <w:rFonts w:ascii="Candara" w:hAnsi="Candara" w:cs="Calibri"/>
        </w:rPr>
        <w:t>T</w:t>
      </w:r>
      <w:r w:rsidR="00CA6020" w:rsidRPr="00C629A3">
        <w:rPr>
          <w:rFonts w:ascii="Candara" w:hAnsi="Candara" w:cs="Calibri"/>
        </w:rPr>
        <w:t xml:space="preserve">he proposed f-factor scheme </w:t>
      </w:r>
      <w:r>
        <w:rPr>
          <w:rFonts w:ascii="Candara" w:hAnsi="Candara" w:cs="Calibri"/>
        </w:rPr>
        <w:t>provides price signals to</w:t>
      </w:r>
      <w:r w:rsidR="00CA6020" w:rsidRPr="00C629A3">
        <w:rPr>
          <w:rFonts w:ascii="Candara" w:hAnsi="Candara" w:cs="Calibri"/>
        </w:rPr>
        <w:t xml:space="preserve"> electricity distribution businesses to </w:t>
      </w:r>
      <w:r>
        <w:rPr>
          <w:rFonts w:ascii="Candara" w:hAnsi="Candara" w:cs="Calibri"/>
        </w:rPr>
        <w:t>inform their investment and operational planning activities</w:t>
      </w:r>
      <w:r w:rsidR="00CA6020" w:rsidRPr="00C629A3">
        <w:rPr>
          <w:rFonts w:ascii="Candara" w:hAnsi="Candara" w:cs="Calibri"/>
        </w:rPr>
        <w:t xml:space="preserve">. This </w:t>
      </w:r>
      <w:r w:rsidR="000C3661">
        <w:rPr>
          <w:rFonts w:ascii="Candara" w:hAnsi="Candara" w:cs="Calibri"/>
        </w:rPr>
        <w:t>aligns with</w:t>
      </w:r>
      <w:r w:rsidR="00CA6020" w:rsidRPr="00C629A3">
        <w:rPr>
          <w:rFonts w:ascii="Candara" w:hAnsi="Candara" w:cs="Calibri"/>
        </w:rPr>
        <w:t xml:space="preserve"> the objective of the initiative.</w:t>
      </w:r>
      <w:r w:rsidR="00EB1D13">
        <w:rPr>
          <w:rFonts w:ascii="Candara" w:hAnsi="Candara" w:cs="Calibri"/>
        </w:rPr>
        <w:t xml:space="preserve"> </w:t>
      </w:r>
    </w:p>
    <w:p w14:paraId="7D669F9A" w14:textId="77777777" w:rsidR="00D4582C" w:rsidRPr="00C629A3" w:rsidRDefault="00CA6020" w:rsidP="006468A3">
      <w:pPr>
        <w:autoSpaceDE w:val="0"/>
        <w:autoSpaceDN w:val="0"/>
        <w:adjustRightInd w:val="0"/>
        <w:spacing w:before="120" w:after="80"/>
        <w:rPr>
          <w:rFonts w:ascii="Candara" w:hAnsi="Candara" w:cs="Calibri"/>
        </w:rPr>
      </w:pPr>
      <w:r w:rsidRPr="00C629A3">
        <w:rPr>
          <w:rFonts w:ascii="Candara" w:hAnsi="Candara" w:cs="Calibri"/>
        </w:rPr>
        <w:t>The risks to human life and property from powerline bushfire</w:t>
      </w:r>
      <w:r w:rsidR="007C4953">
        <w:rPr>
          <w:rFonts w:ascii="Candara" w:hAnsi="Candara" w:cs="Calibri"/>
        </w:rPr>
        <w:t>s</w:t>
      </w:r>
      <w:r w:rsidRPr="00C629A3">
        <w:rPr>
          <w:rFonts w:ascii="Candara" w:hAnsi="Candara" w:cs="Calibri"/>
        </w:rPr>
        <w:t xml:space="preserve"> are however not fully in the control of the businesses. Exogenous variables remain.</w:t>
      </w:r>
      <w:r w:rsidR="007649B2" w:rsidRPr="00C629A3">
        <w:rPr>
          <w:rFonts w:ascii="Candara" w:hAnsi="Candara" w:cs="Calibri"/>
        </w:rPr>
        <w:t xml:space="preserve"> </w:t>
      </w:r>
      <w:r w:rsidR="00646545">
        <w:rPr>
          <w:rFonts w:ascii="Candara" w:hAnsi="Candara" w:cs="Calibri"/>
        </w:rPr>
        <w:t>Distribution b</w:t>
      </w:r>
      <w:r w:rsidR="007649B2" w:rsidRPr="00C629A3">
        <w:rPr>
          <w:rFonts w:ascii="Candara" w:hAnsi="Candara" w:cs="Calibri"/>
        </w:rPr>
        <w:t xml:space="preserve">usinesses’ exposure to this risk will </w:t>
      </w:r>
      <w:r w:rsidR="00D4582C" w:rsidRPr="00C629A3">
        <w:rPr>
          <w:rFonts w:ascii="Candara" w:hAnsi="Candara" w:cs="Calibri"/>
        </w:rPr>
        <w:t xml:space="preserve">lead to costs, which will ultimately impact on consumers. </w:t>
      </w:r>
      <w:r w:rsidR="00123891" w:rsidRPr="00C629A3">
        <w:rPr>
          <w:rFonts w:ascii="Candara" w:hAnsi="Candara" w:cs="Calibri"/>
        </w:rPr>
        <w:t xml:space="preserve">It is therefore important that the f-factor scheme ensure the most efficient pricing of these risks. </w:t>
      </w:r>
      <w:r w:rsidR="00D4582C" w:rsidRPr="00C629A3">
        <w:rPr>
          <w:rFonts w:ascii="Candara" w:hAnsi="Candara" w:cs="Calibri"/>
        </w:rPr>
        <w:t xml:space="preserve">There are two different ways </w:t>
      </w:r>
      <w:r w:rsidR="00123891" w:rsidRPr="00C629A3">
        <w:rPr>
          <w:rFonts w:ascii="Candara" w:hAnsi="Candara" w:cs="Calibri"/>
        </w:rPr>
        <w:t>to do so</w:t>
      </w:r>
      <w:r w:rsidR="00D4582C" w:rsidRPr="00C629A3">
        <w:rPr>
          <w:rFonts w:ascii="Candara" w:hAnsi="Candara" w:cs="Calibri"/>
        </w:rPr>
        <w:t>:</w:t>
      </w:r>
    </w:p>
    <w:p w14:paraId="6505CC0E" w14:textId="77777777" w:rsidR="00D4582C" w:rsidRPr="00C629A3" w:rsidRDefault="00D4582C" w:rsidP="00345278">
      <w:pPr>
        <w:pStyle w:val="ListParagraph"/>
        <w:numPr>
          <w:ilvl w:val="0"/>
          <w:numId w:val="19"/>
        </w:numPr>
        <w:autoSpaceDE w:val="0"/>
        <w:autoSpaceDN w:val="0"/>
        <w:adjustRightInd w:val="0"/>
        <w:spacing w:before="120" w:after="80"/>
        <w:rPr>
          <w:rFonts w:ascii="Candara" w:hAnsi="Candara" w:cs="Calibri"/>
        </w:rPr>
      </w:pPr>
      <w:r w:rsidRPr="00C629A3">
        <w:rPr>
          <w:rFonts w:ascii="Candara" w:hAnsi="Candara" w:cs="Calibri"/>
        </w:rPr>
        <w:t>A</w:t>
      </w:r>
      <w:r w:rsidR="00123891" w:rsidRPr="00C629A3">
        <w:rPr>
          <w:rFonts w:ascii="Candara" w:hAnsi="Candara" w:cs="Calibri"/>
        </w:rPr>
        <w:t xml:space="preserve">dopt an </w:t>
      </w:r>
      <w:r w:rsidR="001C62B1">
        <w:rPr>
          <w:rFonts w:ascii="Candara" w:hAnsi="Candara" w:cs="Calibri"/>
        </w:rPr>
        <w:t>a</w:t>
      </w:r>
      <w:r w:rsidRPr="00C629A3">
        <w:rPr>
          <w:rFonts w:ascii="Candara" w:hAnsi="Candara" w:cs="Calibri"/>
        </w:rPr>
        <w:t>symmetric or “penalty only” regime; or</w:t>
      </w:r>
    </w:p>
    <w:p w14:paraId="2A7231B1" w14:textId="77777777" w:rsidR="007D565E" w:rsidRPr="007D565E" w:rsidRDefault="00123891" w:rsidP="00345278">
      <w:pPr>
        <w:pStyle w:val="ListParagraph"/>
        <w:numPr>
          <w:ilvl w:val="0"/>
          <w:numId w:val="19"/>
        </w:numPr>
        <w:autoSpaceDE w:val="0"/>
        <w:autoSpaceDN w:val="0"/>
        <w:adjustRightInd w:val="0"/>
        <w:spacing w:before="120" w:after="80"/>
        <w:rPr>
          <w:rFonts w:ascii="Candara" w:hAnsi="Candara" w:cs="Calibri"/>
        </w:rPr>
      </w:pPr>
      <w:r w:rsidRPr="00C629A3">
        <w:rPr>
          <w:rFonts w:ascii="Candara" w:hAnsi="Candara" w:cs="Calibri"/>
        </w:rPr>
        <w:t>Adopt a s</w:t>
      </w:r>
      <w:r w:rsidR="00D4582C" w:rsidRPr="00C629A3">
        <w:rPr>
          <w:rFonts w:ascii="Candara" w:hAnsi="Candara" w:cs="Calibri"/>
        </w:rPr>
        <w:t>ymmetric regime.</w:t>
      </w:r>
    </w:p>
    <w:p w14:paraId="79E92FC2" w14:textId="77777777" w:rsidR="0069102E" w:rsidRDefault="007D565E" w:rsidP="006468A3">
      <w:pPr>
        <w:autoSpaceDE w:val="0"/>
        <w:autoSpaceDN w:val="0"/>
        <w:adjustRightInd w:val="0"/>
        <w:spacing w:before="120" w:after="80"/>
        <w:rPr>
          <w:rFonts w:ascii="Candara" w:hAnsi="Candara" w:cs="Calibri"/>
        </w:rPr>
      </w:pPr>
      <w:r>
        <w:rPr>
          <w:rFonts w:ascii="Candara" w:hAnsi="Candara" w:cs="Calibri"/>
        </w:rPr>
        <w:t>The two approaches</w:t>
      </w:r>
      <w:r w:rsidR="00D81F5E">
        <w:rPr>
          <w:rFonts w:ascii="Candara" w:hAnsi="Candara" w:cs="Calibri"/>
        </w:rPr>
        <w:t xml:space="preserve"> are discussed below</w:t>
      </w:r>
      <w:r w:rsidR="0069102E">
        <w:rPr>
          <w:rFonts w:ascii="Candara" w:hAnsi="Candara" w:cs="Calibri"/>
        </w:rPr>
        <w:t xml:space="preserve">. </w:t>
      </w:r>
    </w:p>
    <w:p w14:paraId="01DA2B3A" w14:textId="77777777" w:rsidR="00627AD6" w:rsidRPr="00D75675" w:rsidRDefault="00F21EAD" w:rsidP="00D75675">
      <w:pPr>
        <w:pStyle w:val="Heading4"/>
        <w:rPr>
          <w:sz w:val="22"/>
          <w:szCs w:val="22"/>
        </w:rPr>
      </w:pPr>
      <w:r w:rsidRPr="00C629A3">
        <w:rPr>
          <w:sz w:val="22"/>
          <w:szCs w:val="22"/>
        </w:rPr>
        <w:t>As</w:t>
      </w:r>
      <w:r w:rsidR="001F43D3" w:rsidRPr="00C629A3">
        <w:rPr>
          <w:sz w:val="22"/>
          <w:szCs w:val="22"/>
        </w:rPr>
        <w:t>ymmetric</w:t>
      </w:r>
      <w:r w:rsidR="00C967E0" w:rsidRPr="00C629A3">
        <w:rPr>
          <w:sz w:val="22"/>
          <w:szCs w:val="22"/>
        </w:rPr>
        <w:t xml:space="preserve"> </w:t>
      </w:r>
      <w:r w:rsidR="00205981">
        <w:rPr>
          <w:sz w:val="22"/>
          <w:szCs w:val="22"/>
        </w:rPr>
        <w:t>M</w:t>
      </w:r>
      <w:r w:rsidR="004B077F" w:rsidRPr="00C629A3">
        <w:rPr>
          <w:sz w:val="22"/>
          <w:szCs w:val="22"/>
        </w:rPr>
        <w:t>ethod</w:t>
      </w:r>
    </w:p>
    <w:p w14:paraId="50CFB749" w14:textId="10DBA7D2" w:rsidR="00C97533" w:rsidRDefault="00C97533" w:rsidP="00BE41FA">
      <w:pPr>
        <w:autoSpaceDE w:val="0"/>
        <w:autoSpaceDN w:val="0"/>
        <w:adjustRightInd w:val="0"/>
        <w:spacing w:before="120" w:after="80"/>
        <w:rPr>
          <w:rFonts w:ascii="Candara" w:hAnsi="Candara" w:cs="Calibri"/>
        </w:rPr>
      </w:pPr>
      <w:r>
        <w:rPr>
          <w:rFonts w:ascii="Candara" w:hAnsi="Candara" w:cs="Calibri"/>
        </w:rPr>
        <w:t xml:space="preserve">Under an  asymmetric regime, businesses would not receive payment to reduce their ignitions but would instead simply pay for every fire on their networks. </w:t>
      </w:r>
    </w:p>
    <w:p w14:paraId="29B90C64" w14:textId="4BB745E2" w:rsidR="00BE41FA" w:rsidRPr="0099091D" w:rsidRDefault="00BE41FA" w:rsidP="00BE41FA">
      <w:pPr>
        <w:autoSpaceDE w:val="0"/>
        <w:autoSpaceDN w:val="0"/>
        <w:adjustRightInd w:val="0"/>
        <w:spacing w:before="120" w:after="80"/>
        <w:rPr>
          <w:rFonts w:ascii="Candara" w:hAnsi="Candara" w:cs="Calibri"/>
        </w:rPr>
      </w:pPr>
      <w:r w:rsidRPr="0099091D">
        <w:rPr>
          <w:rFonts w:ascii="Candara" w:hAnsi="Candara" w:cs="Calibri"/>
        </w:rPr>
        <w:lastRenderedPageBreak/>
        <w:t>An asymmetric regime has not been found to be an appropriate mechanism for the f-factor.</w:t>
      </w:r>
    </w:p>
    <w:p w14:paraId="3B1D1446" w14:textId="3F518BAC" w:rsidR="00BE41FA" w:rsidRPr="0099091D" w:rsidRDefault="00BE41FA" w:rsidP="00BE41FA">
      <w:pPr>
        <w:autoSpaceDE w:val="0"/>
        <w:autoSpaceDN w:val="0"/>
        <w:adjustRightInd w:val="0"/>
        <w:spacing w:before="120" w:after="80"/>
        <w:rPr>
          <w:rFonts w:ascii="Candara" w:hAnsi="Candara" w:cs="Calibri"/>
        </w:rPr>
      </w:pPr>
      <w:r w:rsidRPr="0099091D">
        <w:rPr>
          <w:rFonts w:ascii="Candara" w:hAnsi="Candara" w:cs="Calibri"/>
        </w:rPr>
        <w:t xml:space="preserve">This is because an asymmetric schemes would impose non-recoverable liabilities, resulting in a high likelihood of significant cost pass through to consumers under the national economic regulatory framework. </w:t>
      </w:r>
      <w:r w:rsidR="00A8203D" w:rsidRPr="0099091D">
        <w:rPr>
          <w:rFonts w:ascii="Candara" w:hAnsi="Candara" w:cs="Calibri"/>
        </w:rPr>
        <w:t xml:space="preserve">Further detail on the Asymmetric method for the f-factor are available in </w:t>
      </w:r>
      <w:r w:rsidR="00A8203D" w:rsidRPr="0099091D">
        <w:rPr>
          <w:rFonts w:ascii="Candara" w:hAnsi="Candara" w:cs="Calibri"/>
          <w:b/>
        </w:rPr>
        <w:t xml:space="preserve">Appendix </w:t>
      </w:r>
      <w:r w:rsidR="00265EB4">
        <w:rPr>
          <w:rFonts w:ascii="Candara" w:hAnsi="Candara" w:cs="Calibri"/>
          <w:b/>
        </w:rPr>
        <w:t>5</w:t>
      </w:r>
      <w:r w:rsidR="00A8203D" w:rsidRPr="0099091D">
        <w:rPr>
          <w:rFonts w:ascii="Candara" w:hAnsi="Candara" w:cs="Calibri"/>
        </w:rPr>
        <w:t xml:space="preserve">. </w:t>
      </w:r>
    </w:p>
    <w:p w14:paraId="659F97E5" w14:textId="44ACFA90" w:rsidR="003A2708" w:rsidRPr="0099091D" w:rsidRDefault="00F21EAD" w:rsidP="008B5BC7">
      <w:pPr>
        <w:pStyle w:val="Heading4"/>
        <w:rPr>
          <w:sz w:val="22"/>
          <w:szCs w:val="22"/>
        </w:rPr>
      </w:pPr>
      <w:r w:rsidRPr="0099091D">
        <w:rPr>
          <w:sz w:val="22"/>
          <w:szCs w:val="22"/>
        </w:rPr>
        <w:t>S</w:t>
      </w:r>
      <w:r w:rsidR="008729EA" w:rsidRPr="0099091D">
        <w:rPr>
          <w:sz w:val="22"/>
          <w:szCs w:val="22"/>
        </w:rPr>
        <w:t>ymmetric</w:t>
      </w:r>
      <w:r w:rsidR="00205981" w:rsidRPr="0099091D">
        <w:rPr>
          <w:sz w:val="22"/>
          <w:szCs w:val="22"/>
        </w:rPr>
        <w:t xml:space="preserve"> M</w:t>
      </w:r>
      <w:r w:rsidRPr="0099091D">
        <w:rPr>
          <w:sz w:val="22"/>
          <w:szCs w:val="22"/>
        </w:rPr>
        <w:t>ethod</w:t>
      </w:r>
    </w:p>
    <w:p w14:paraId="36931D8F" w14:textId="50B1B424" w:rsidR="008C512C" w:rsidRPr="0099091D" w:rsidRDefault="008C512C" w:rsidP="008C512C">
      <w:pPr>
        <w:autoSpaceDE w:val="0"/>
        <w:autoSpaceDN w:val="0"/>
        <w:adjustRightInd w:val="0"/>
        <w:spacing w:before="120" w:after="80"/>
        <w:rPr>
          <w:rFonts w:ascii="Candara" w:hAnsi="Candara" w:cs="Calibri"/>
        </w:rPr>
      </w:pPr>
      <w:r w:rsidRPr="0099091D">
        <w:rPr>
          <w:rFonts w:ascii="Candara" w:hAnsi="Candara" w:cs="Calibri"/>
        </w:rPr>
        <w:t xml:space="preserve">For a symmetric incentive scheme, a benchmark for performance is set. Differences between a given year’s performance and the benchmark are calculated annually, and multiplied by an incentive rate to produce a dollar figure. Where a </w:t>
      </w:r>
      <w:r w:rsidR="00646545" w:rsidRPr="0099091D">
        <w:rPr>
          <w:rFonts w:ascii="Candara" w:hAnsi="Candara" w:cs="Calibri"/>
        </w:rPr>
        <w:t xml:space="preserve">distribution </w:t>
      </w:r>
      <w:r w:rsidRPr="0099091D">
        <w:rPr>
          <w:rFonts w:ascii="Candara" w:hAnsi="Candara" w:cs="Calibri"/>
        </w:rPr>
        <w:t>business</w:t>
      </w:r>
      <w:r w:rsidR="000C3661" w:rsidRPr="0099091D">
        <w:rPr>
          <w:rFonts w:ascii="Candara" w:hAnsi="Candara" w:cs="Calibri"/>
        </w:rPr>
        <w:t>es</w:t>
      </w:r>
      <w:r w:rsidRPr="0099091D">
        <w:rPr>
          <w:rFonts w:ascii="Candara" w:hAnsi="Candara" w:cs="Calibri"/>
        </w:rPr>
        <w:t xml:space="preserve">’ performance exceeds the benchmark, it gains a financial increment; where the performance is less than the benchmark, it experiences a financial decrement. </w:t>
      </w:r>
      <w:r w:rsidRPr="00AE5CD8">
        <w:rPr>
          <w:rFonts w:ascii="Candara" w:hAnsi="Candara" w:cs="Calibri"/>
        </w:rPr>
        <w:t xml:space="preserve">In principle, if </w:t>
      </w:r>
      <w:r w:rsidR="0078642A" w:rsidRPr="00AE5CD8">
        <w:rPr>
          <w:rFonts w:ascii="Candara" w:hAnsi="Candara" w:cs="Calibri"/>
        </w:rPr>
        <w:t>a</w:t>
      </w:r>
      <w:r w:rsidRPr="00AE5CD8">
        <w:rPr>
          <w:rFonts w:ascii="Candara" w:hAnsi="Candara" w:cs="Calibri"/>
        </w:rPr>
        <w:t xml:space="preserve"> benchmark is based on historic performance it will be cost neutral over time.</w:t>
      </w:r>
      <w:r w:rsidRPr="0099091D">
        <w:rPr>
          <w:rFonts w:ascii="Candara" w:hAnsi="Candara" w:cs="Calibri"/>
        </w:rPr>
        <w:t xml:space="preserve"> Through a symmetric scheme, the distribution businesses have a financial incentive to imp</w:t>
      </w:r>
      <w:r w:rsidR="00C80B1A" w:rsidRPr="0099091D">
        <w:rPr>
          <w:rFonts w:ascii="Candara" w:hAnsi="Candara" w:cs="Calibri"/>
        </w:rPr>
        <w:t>rove performance when the costs to deliver this improvement do not exceed the reward</w:t>
      </w:r>
      <w:r w:rsidRPr="0099091D">
        <w:rPr>
          <w:rFonts w:ascii="Candara" w:hAnsi="Candara" w:cs="Calibri"/>
        </w:rPr>
        <w:t xml:space="preserve"> </w:t>
      </w:r>
      <w:r w:rsidR="00C80B1A" w:rsidRPr="0099091D">
        <w:rPr>
          <w:rFonts w:ascii="Candara" w:hAnsi="Candara" w:cs="Calibri"/>
        </w:rPr>
        <w:t>they will receive</w:t>
      </w:r>
      <w:r w:rsidRPr="0099091D">
        <w:rPr>
          <w:rFonts w:ascii="Candara" w:hAnsi="Candara" w:cs="Calibri"/>
        </w:rPr>
        <w:t xml:space="preserve">. </w:t>
      </w:r>
    </w:p>
    <w:p w14:paraId="44E1C9F8" w14:textId="77777777" w:rsidR="008C512C" w:rsidRPr="0099091D" w:rsidRDefault="00886541" w:rsidP="008C512C">
      <w:pPr>
        <w:autoSpaceDE w:val="0"/>
        <w:autoSpaceDN w:val="0"/>
        <w:adjustRightInd w:val="0"/>
        <w:spacing w:before="120" w:after="80"/>
        <w:rPr>
          <w:rFonts w:ascii="Candara" w:hAnsi="Candara" w:cs="Calibri"/>
        </w:rPr>
      </w:pPr>
      <w:r w:rsidRPr="0099091D">
        <w:rPr>
          <w:rFonts w:ascii="Candara" w:hAnsi="Candara" w:cs="Calibri"/>
        </w:rPr>
        <w:t xml:space="preserve">Such schemes do not require additional revenues as a consequence of their introduction. </w:t>
      </w:r>
      <w:r w:rsidR="008C512C" w:rsidRPr="0099091D">
        <w:rPr>
          <w:rFonts w:ascii="Candara" w:hAnsi="Candara" w:cs="Calibri"/>
        </w:rPr>
        <w:t xml:space="preserve">From the </w:t>
      </w:r>
      <w:r w:rsidR="00C80B1A" w:rsidRPr="0099091D">
        <w:rPr>
          <w:rFonts w:ascii="Candara" w:hAnsi="Candara" w:cs="Calibri"/>
        </w:rPr>
        <w:t xml:space="preserve">perspective of </w:t>
      </w:r>
      <w:r w:rsidR="008C512C" w:rsidRPr="0099091D">
        <w:rPr>
          <w:rFonts w:ascii="Candara" w:hAnsi="Candara" w:cs="Calibri"/>
        </w:rPr>
        <w:t>distribution businesses</w:t>
      </w:r>
      <w:r w:rsidR="00C80B1A" w:rsidRPr="0099091D">
        <w:rPr>
          <w:rFonts w:ascii="Candara" w:hAnsi="Candara" w:cs="Calibri"/>
        </w:rPr>
        <w:t xml:space="preserve">, </w:t>
      </w:r>
      <w:r w:rsidR="008C512C" w:rsidRPr="0099091D">
        <w:rPr>
          <w:rFonts w:ascii="Candara" w:hAnsi="Candara" w:cs="Calibri"/>
        </w:rPr>
        <w:t xml:space="preserve"> a symmetric scheme is cost neutral </w:t>
      </w:r>
      <w:r w:rsidR="00C80B1A" w:rsidRPr="0099091D">
        <w:rPr>
          <w:rFonts w:ascii="Candara" w:hAnsi="Candara" w:cs="Calibri"/>
        </w:rPr>
        <w:t>over time, as rewards and costs net out. C</w:t>
      </w:r>
      <w:r w:rsidR="008C512C" w:rsidRPr="0099091D">
        <w:rPr>
          <w:rFonts w:ascii="Candara" w:hAnsi="Candara" w:cs="Calibri"/>
        </w:rPr>
        <w:t>onsumers will only pay more over time if the community receives the benefit of improved performance.</w:t>
      </w:r>
      <w:r w:rsidR="00C80B1A" w:rsidRPr="0099091D">
        <w:rPr>
          <w:rFonts w:ascii="Candara" w:hAnsi="Candara" w:cs="Calibri"/>
        </w:rPr>
        <w:t xml:space="preserve"> </w:t>
      </w:r>
    </w:p>
    <w:p w14:paraId="250E12D3" w14:textId="77777777" w:rsidR="00912830" w:rsidRDefault="008C512C" w:rsidP="008C512C">
      <w:pPr>
        <w:autoSpaceDE w:val="0"/>
        <w:autoSpaceDN w:val="0"/>
        <w:adjustRightInd w:val="0"/>
        <w:spacing w:before="120" w:after="80"/>
        <w:rPr>
          <w:rFonts w:ascii="Candara" w:hAnsi="Candara" w:cs="Calibri"/>
        </w:rPr>
      </w:pPr>
      <w:r w:rsidRPr="0099091D">
        <w:rPr>
          <w:rFonts w:ascii="Candara" w:hAnsi="Candara" w:cs="Calibri"/>
        </w:rPr>
        <w:t xml:space="preserve">To develop a symmetric scheme </w:t>
      </w:r>
      <w:r w:rsidR="00886541" w:rsidRPr="0099091D">
        <w:rPr>
          <w:rFonts w:ascii="Candara" w:hAnsi="Candara" w:cs="Calibri"/>
        </w:rPr>
        <w:t>which</w:t>
      </w:r>
      <w:r w:rsidRPr="0099091D">
        <w:rPr>
          <w:rFonts w:ascii="Candara" w:hAnsi="Candara" w:cs="Calibri"/>
        </w:rPr>
        <w:t xml:space="preserve"> incentivise</w:t>
      </w:r>
      <w:r w:rsidR="00886541" w:rsidRPr="0099091D">
        <w:rPr>
          <w:rFonts w:ascii="Candara" w:hAnsi="Candara" w:cs="Calibri"/>
        </w:rPr>
        <w:t>s</w:t>
      </w:r>
      <w:r w:rsidRPr="0099091D">
        <w:rPr>
          <w:rFonts w:ascii="Candara" w:hAnsi="Candara" w:cs="Calibri"/>
        </w:rPr>
        <w:t xml:space="preserve"> bushfire risk reduction</w:t>
      </w:r>
      <w:r w:rsidR="00C80B1A" w:rsidRPr="0099091D">
        <w:rPr>
          <w:rFonts w:ascii="Candara" w:hAnsi="Candara" w:cs="Calibri"/>
        </w:rPr>
        <w:t>,</w:t>
      </w:r>
      <w:r w:rsidRPr="0099091D">
        <w:rPr>
          <w:rFonts w:ascii="Candara" w:hAnsi="Candara" w:cs="Calibri"/>
        </w:rPr>
        <w:t xml:space="preserve"> both the performance measure and </w:t>
      </w:r>
      <w:r w:rsidR="00886541" w:rsidRPr="0099091D">
        <w:rPr>
          <w:rFonts w:ascii="Candara" w:hAnsi="Candara" w:cs="Calibri"/>
        </w:rPr>
        <w:t>benchmark need to be developed</w:t>
      </w:r>
      <w:r w:rsidRPr="0099091D">
        <w:rPr>
          <w:rFonts w:ascii="Candara" w:hAnsi="Candara" w:cs="Calibri"/>
        </w:rPr>
        <w:t xml:space="preserve"> and a suitable incentive rate decided upon.</w:t>
      </w:r>
      <w:r w:rsidR="00886541" w:rsidRPr="0099091D">
        <w:rPr>
          <w:rFonts w:ascii="Candara" w:hAnsi="Candara" w:cs="Calibri"/>
        </w:rPr>
        <w:t xml:space="preserve"> </w:t>
      </w:r>
      <w:r w:rsidR="00C80B1A" w:rsidRPr="0099091D">
        <w:rPr>
          <w:rFonts w:ascii="Candara" w:hAnsi="Candara" w:cs="Calibri"/>
        </w:rPr>
        <w:t xml:space="preserve"> </w:t>
      </w:r>
    </w:p>
    <w:p w14:paraId="463F59FE" w14:textId="77777777" w:rsidR="00750667" w:rsidRPr="00750667" w:rsidRDefault="00750667" w:rsidP="00750667">
      <w:pPr>
        <w:pStyle w:val="Heading4"/>
        <w:rPr>
          <w:sz w:val="22"/>
          <w:szCs w:val="22"/>
        </w:rPr>
      </w:pPr>
      <w:r w:rsidRPr="00750667">
        <w:rPr>
          <w:sz w:val="22"/>
          <w:szCs w:val="22"/>
        </w:rPr>
        <w:t>Impact of climate change on symmetrical incentive scheme</w:t>
      </w:r>
    </w:p>
    <w:p w14:paraId="3C0069EA" w14:textId="583CB322" w:rsidR="00A35468" w:rsidRPr="000B50C1" w:rsidRDefault="00750667">
      <w:pPr>
        <w:rPr>
          <w:rFonts w:ascii="Candara" w:hAnsi="Candara"/>
        </w:rPr>
      </w:pPr>
      <w:r>
        <w:rPr>
          <w:rFonts w:ascii="Candara" w:hAnsi="Candara"/>
        </w:rPr>
        <w:t>The role of climate change on network ignitions must be acknowledged. Network ignitions occurring in the hotter times of the year present a greater bushfire risk. This is partially due to environmental conditions, such as lack of rain, high heat, and cured combustible material.</w:t>
      </w:r>
      <w:r>
        <w:rPr>
          <w:rStyle w:val="FootnoteReference"/>
          <w:rFonts w:ascii="Candara" w:hAnsi="Candara"/>
        </w:rPr>
        <w:footnoteReference w:id="27"/>
      </w:r>
      <w:r>
        <w:rPr>
          <w:rFonts w:ascii="Candara" w:hAnsi="Candara"/>
        </w:rPr>
        <w:t xml:space="preserve"> In the future Victoria may face more fire seasons with a greater number of </w:t>
      </w:r>
      <w:r w:rsidR="0078642A">
        <w:rPr>
          <w:rFonts w:ascii="Candara" w:hAnsi="Candara"/>
        </w:rPr>
        <w:t>Total Fire Ban (</w:t>
      </w:r>
      <w:r>
        <w:rPr>
          <w:rFonts w:ascii="Candara" w:hAnsi="Candara"/>
        </w:rPr>
        <w:t>TFB</w:t>
      </w:r>
      <w:r w:rsidR="0078642A">
        <w:rPr>
          <w:rFonts w:ascii="Candara" w:hAnsi="Candara"/>
        </w:rPr>
        <w:t>)</w:t>
      </w:r>
      <w:r>
        <w:rPr>
          <w:rFonts w:ascii="Candara" w:hAnsi="Candara"/>
        </w:rPr>
        <w:t xml:space="preserve"> days as climate change comes into greater affect. In one respect this shift in weather may present a change in the exogenous factor of weather. As there is no consensus on the timing of climate change, the degree to which this is the case can only be observed over coming years and calls for careful data collection. </w:t>
      </w:r>
      <w:r w:rsidR="000B50C1">
        <w:rPr>
          <w:rFonts w:ascii="Candara" w:hAnsi="Candara"/>
        </w:rPr>
        <w:t xml:space="preserve">However, such changes are expected to occur slowly, and consequently are not expected to materially impact the cost neutrality of the proposed scheme. </w:t>
      </w:r>
    </w:p>
    <w:p w14:paraId="32BFDA33" w14:textId="3AF74AE1" w:rsidR="00265EB4" w:rsidRPr="00084DFB" w:rsidRDefault="00265EB4" w:rsidP="00265EB4">
      <w:pPr>
        <w:pStyle w:val="Heading1"/>
        <w:numPr>
          <w:ilvl w:val="0"/>
          <w:numId w:val="26"/>
        </w:numPr>
        <w:spacing w:before="240"/>
        <w:ind w:left="357" w:hanging="357"/>
        <w:rPr>
          <w:sz w:val="22"/>
          <w:szCs w:val="22"/>
        </w:rPr>
      </w:pPr>
      <w:bookmarkStart w:id="30" w:name="_Toc458675184"/>
      <w:r w:rsidRPr="00084DFB">
        <w:rPr>
          <w:sz w:val="22"/>
          <w:szCs w:val="22"/>
        </w:rPr>
        <w:t>Preferred Option</w:t>
      </w:r>
      <w:bookmarkEnd w:id="30"/>
    </w:p>
    <w:p w14:paraId="05981531" w14:textId="458B86A7" w:rsidR="00265EB4" w:rsidRPr="00265EB4" w:rsidRDefault="00265EB4" w:rsidP="00265EB4">
      <w:r>
        <w:t xml:space="preserve">The preferred option </w:t>
      </w:r>
      <w:r w:rsidR="00F4739E">
        <w:t xml:space="preserve">is </w:t>
      </w:r>
      <w:r>
        <w:t>to deliver a weighted f-factor is a through a symmetric benchmarked scheme, the details of which are provided below.</w:t>
      </w:r>
    </w:p>
    <w:p w14:paraId="27F4F96D" w14:textId="77777777" w:rsidR="008C512C" w:rsidRPr="00084DFB" w:rsidRDefault="00205981" w:rsidP="00265EB4">
      <w:pPr>
        <w:pStyle w:val="Heading2"/>
        <w:rPr>
          <w:sz w:val="22"/>
          <w:szCs w:val="22"/>
        </w:rPr>
      </w:pPr>
      <w:bookmarkStart w:id="31" w:name="_Toc458675185"/>
      <w:r w:rsidRPr="00084DFB">
        <w:rPr>
          <w:sz w:val="22"/>
          <w:szCs w:val="22"/>
        </w:rPr>
        <w:lastRenderedPageBreak/>
        <w:t>Performance M</w:t>
      </w:r>
      <w:r w:rsidR="008C512C" w:rsidRPr="00084DFB">
        <w:rPr>
          <w:sz w:val="22"/>
          <w:szCs w:val="22"/>
        </w:rPr>
        <w:t>easure</w:t>
      </w:r>
      <w:bookmarkEnd w:id="31"/>
    </w:p>
    <w:p w14:paraId="7C119D17" w14:textId="2DCD2CE7" w:rsidR="00B2536D" w:rsidRPr="0099091D" w:rsidRDefault="0099091D" w:rsidP="00090E7E">
      <w:pPr>
        <w:autoSpaceDE w:val="0"/>
        <w:autoSpaceDN w:val="0"/>
        <w:adjustRightInd w:val="0"/>
        <w:spacing w:before="120" w:after="80"/>
        <w:rPr>
          <w:rFonts w:ascii="Candara" w:hAnsi="Candara" w:cs="Calibri"/>
        </w:rPr>
      </w:pPr>
      <w:r>
        <w:rPr>
          <w:rFonts w:ascii="Candara" w:hAnsi="Candara" w:cs="Calibri"/>
        </w:rPr>
        <w:t>As outlined in s</w:t>
      </w:r>
      <w:r w:rsidR="008C512C" w:rsidRPr="0099091D">
        <w:rPr>
          <w:rFonts w:ascii="Candara" w:hAnsi="Candara" w:cs="Calibri"/>
        </w:rPr>
        <w:t xml:space="preserve">ection </w:t>
      </w:r>
      <w:r w:rsidR="00B2536D" w:rsidRPr="0099091D">
        <w:rPr>
          <w:rFonts w:ascii="Candara" w:hAnsi="Candara" w:cs="Calibri"/>
        </w:rPr>
        <w:t>3</w:t>
      </w:r>
      <w:r w:rsidR="0042416E">
        <w:rPr>
          <w:rFonts w:ascii="Candara" w:hAnsi="Candara" w:cs="Calibri"/>
        </w:rPr>
        <w:t>.4</w:t>
      </w:r>
      <w:r w:rsidR="008C512C" w:rsidRPr="0099091D">
        <w:rPr>
          <w:rFonts w:ascii="Candara" w:hAnsi="Candara" w:cs="Calibri"/>
        </w:rPr>
        <w:t>.2 above</w:t>
      </w:r>
      <w:r>
        <w:rPr>
          <w:rFonts w:ascii="Candara" w:hAnsi="Candara" w:cs="Calibri"/>
        </w:rPr>
        <w:t>,</w:t>
      </w:r>
      <w:r w:rsidR="008C512C" w:rsidRPr="0099091D">
        <w:rPr>
          <w:rFonts w:ascii="Candara" w:hAnsi="Candara" w:cs="Calibri"/>
        </w:rPr>
        <w:t xml:space="preserve"> a weighted performance measure is favoured</w:t>
      </w:r>
      <w:r w:rsidR="00090E7E" w:rsidRPr="0099091D">
        <w:rPr>
          <w:rFonts w:ascii="Candara" w:hAnsi="Candara" w:cs="Calibri"/>
        </w:rPr>
        <w:t xml:space="preserve"> which sets a value for each </w:t>
      </w:r>
      <w:r w:rsidR="00F4739E" w:rsidRPr="00F4739E">
        <w:rPr>
          <w:rFonts w:ascii="Candara" w:hAnsi="Candara" w:cs="Calibri"/>
        </w:rPr>
        <w:t xml:space="preserve">ignition, based on the location in which it occurs and the time of year in which it occurs. </w:t>
      </w:r>
    </w:p>
    <w:p w14:paraId="4AC47B08" w14:textId="77777777" w:rsidR="008C512C" w:rsidRPr="00084DFB" w:rsidRDefault="008C512C" w:rsidP="00265EB4">
      <w:pPr>
        <w:pStyle w:val="Heading2"/>
        <w:rPr>
          <w:sz w:val="22"/>
          <w:szCs w:val="22"/>
        </w:rPr>
      </w:pPr>
      <w:bookmarkStart w:id="32" w:name="_Toc458675186"/>
      <w:r w:rsidRPr="00084DFB">
        <w:rPr>
          <w:sz w:val="22"/>
          <w:szCs w:val="22"/>
        </w:rPr>
        <w:t>Benchmark</w:t>
      </w:r>
      <w:bookmarkEnd w:id="32"/>
    </w:p>
    <w:p w14:paraId="5AFF6AEC" w14:textId="77777777" w:rsidR="00F4739E" w:rsidRPr="00F4739E" w:rsidRDefault="00F4739E" w:rsidP="00F4739E">
      <w:pPr>
        <w:autoSpaceDE w:val="0"/>
        <w:autoSpaceDN w:val="0"/>
        <w:adjustRightInd w:val="0"/>
        <w:spacing w:before="120" w:after="80"/>
        <w:rPr>
          <w:rFonts w:ascii="Candara" w:hAnsi="Candara" w:cs="Calibri"/>
        </w:rPr>
      </w:pPr>
      <w:r w:rsidRPr="00F4739E">
        <w:rPr>
          <w:rFonts w:ascii="Candara" w:hAnsi="Candara" w:cs="Calibri"/>
        </w:rPr>
        <w:t>A symmetrical f-factor incentive scheme is proposed based on historical performance benchmarks set independently for each distribution business. While annual performance against the benchmark may be influenced by random weather variation, the impact of this variation is expected to average out, which would make the scheme cost neutral over time.</w:t>
      </w:r>
    </w:p>
    <w:p w14:paraId="05954496" w14:textId="2D0A7942" w:rsidR="00F53AD6" w:rsidRDefault="00F4739E" w:rsidP="00F4739E">
      <w:pPr>
        <w:autoSpaceDE w:val="0"/>
        <w:autoSpaceDN w:val="0"/>
        <w:adjustRightInd w:val="0"/>
        <w:spacing w:before="120" w:after="80"/>
        <w:rPr>
          <w:rFonts w:ascii="Candara" w:hAnsi="Candara" w:cs="Calibri"/>
        </w:rPr>
      </w:pPr>
      <w:r w:rsidRPr="00F4739E">
        <w:rPr>
          <w:rFonts w:ascii="Candara" w:hAnsi="Candara" w:cs="Calibri"/>
        </w:rPr>
        <w:t xml:space="preserve">The historically based benchmark  is to be adjusted at set intervals to reflect the enhanced bushfire safety that is expected to result from the introduction of new network assets. This new and safer class of network protection technologies have already been funded by consumers. This decrement to the benchmark is necessary ensure that electricity consumers only pay once for the benefits that flow from the roll out and operation of these mandated assets, as described in </w:t>
      </w:r>
      <w:r w:rsidRPr="00F4739E">
        <w:rPr>
          <w:rFonts w:ascii="Candara" w:hAnsi="Candara" w:cs="Calibri"/>
          <w:b/>
        </w:rPr>
        <w:t>Appendix 2</w:t>
      </w:r>
      <w:r w:rsidRPr="00F4739E">
        <w:rPr>
          <w:rFonts w:ascii="Candara" w:hAnsi="Candara" w:cs="Calibri"/>
        </w:rPr>
        <w:t xml:space="preserve">. </w:t>
      </w:r>
    </w:p>
    <w:p w14:paraId="05DA94C6" w14:textId="273261D1" w:rsidR="00F53AD6" w:rsidRDefault="00F53AD6" w:rsidP="00F4739E">
      <w:pPr>
        <w:autoSpaceDE w:val="0"/>
        <w:autoSpaceDN w:val="0"/>
        <w:adjustRightInd w:val="0"/>
        <w:spacing w:before="120" w:after="80"/>
        <w:rPr>
          <w:rFonts w:ascii="Candara" w:hAnsi="Candara" w:cs="Calibri"/>
        </w:rPr>
      </w:pPr>
      <w:r>
        <w:rPr>
          <w:rFonts w:ascii="Candara" w:hAnsi="Candara" w:cs="Calibri"/>
        </w:rPr>
        <w:t xml:space="preserve">The benchmarks for the proposed f-factor will be as follows: </w:t>
      </w:r>
    </w:p>
    <w:p w14:paraId="7D16E9D1" w14:textId="77777777" w:rsidR="00F53AD6" w:rsidRPr="00F53AD6" w:rsidRDefault="00F53AD6" w:rsidP="00F53AD6">
      <w:pPr>
        <w:autoSpaceDE w:val="0"/>
        <w:autoSpaceDN w:val="0"/>
        <w:adjustRightInd w:val="0"/>
        <w:spacing w:before="120" w:after="80"/>
        <w:rPr>
          <w:rStyle w:val="Heading6Char"/>
        </w:rPr>
      </w:pPr>
      <w:r w:rsidRPr="00F53AD6">
        <w:rPr>
          <w:rStyle w:val="Heading6Char"/>
        </w:rPr>
        <w:t>Figure</w:t>
      </w:r>
      <w:r>
        <w:rPr>
          <w:rStyle w:val="Heading6Char"/>
        </w:rPr>
        <w:t xml:space="preserve"> 4.1: Distribution Business IRU benchmarks for Financial Years 2016 - 2020</w:t>
      </w:r>
      <w:r w:rsidRPr="00F53AD6">
        <w:rPr>
          <w:rStyle w:val="Heading6Char"/>
        </w:rPr>
        <w:t xml:space="preserve"> </w:t>
      </w:r>
    </w:p>
    <w:tbl>
      <w:tblPr>
        <w:tblW w:w="6111" w:type="dxa"/>
        <w:tblInd w:w="1005" w:type="dxa"/>
        <w:tblLook w:val="04A0" w:firstRow="1" w:lastRow="0" w:firstColumn="1" w:lastColumn="0" w:noHBand="0" w:noVBand="1"/>
      </w:tblPr>
      <w:tblGrid>
        <w:gridCol w:w="1843"/>
        <w:gridCol w:w="1010"/>
        <w:gridCol w:w="1010"/>
        <w:gridCol w:w="1010"/>
        <w:gridCol w:w="1238"/>
      </w:tblGrid>
      <w:tr w:rsidR="00F53AD6" w:rsidRPr="00345F5E" w14:paraId="1905ED3D" w14:textId="77777777" w:rsidTr="00F53AD6">
        <w:trPr>
          <w:trHeight w:val="510"/>
        </w:trPr>
        <w:tc>
          <w:tcPr>
            <w:tcW w:w="1843" w:type="dxa"/>
            <w:tcBorders>
              <w:top w:val="nil"/>
              <w:left w:val="single" w:sz="4" w:space="0" w:color="A6A6A6"/>
              <w:bottom w:val="single" w:sz="4" w:space="0" w:color="A6A6A6"/>
              <w:right w:val="nil"/>
            </w:tcBorders>
            <w:shd w:val="clear" w:color="000000" w:fill="365F91" w:themeFill="accent1" w:themeFillShade="BF"/>
            <w:noWrap/>
            <w:vAlign w:val="center"/>
            <w:hideMark/>
          </w:tcPr>
          <w:p w14:paraId="7314E00C" w14:textId="77777777" w:rsidR="00F53AD6" w:rsidRPr="00345F5E" w:rsidRDefault="00F53AD6" w:rsidP="00EB45E6">
            <w:pPr>
              <w:spacing w:after="0" w:line="240" w:lineRule="auto"/>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Company</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02E42692" w14:textId="77777777" w:rsidR="00F53AD6" w:rsidRPr="00345F5E" w:rsidRDefault="00F53AD6" w:rsidP="00EB45E6">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2016/17</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05A86C69" w14:textId="77777777" w:rsidR="00F53AD6" w:rsidRPr="00345F5E" w:rsidRDefault="00F53AD6" w:rsidP="00EB45E6">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2017/18</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2953A28F" w14:textId="77777777" w:rsidR="00F53AD6" w:rsidRPr="00345F5E" w:rsidRDefault="00F53AD6" w:rsidP="00EB45E6">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2018/19</w:t>
            </w:r>
          </w:p>
        </w:tc>
        <w:tc>
          <w:tcPr>
            <w:tcW w:w="1238" w:type="dxa"/>
            <w:tcBorders>
              <w:top w:val="single" w:sz="4" w:space="0" w:color="FFFFFF"/>
              <w:left w:val="nil"/>
              <w:bottom w:val="single" w:sz="4" w:space="0" w:color="A6A6A6"/>
              <w:right w:val="single" w:sz="4" w:space="0" w:color="A6A6A6"/>
            </w:tcBorders>
            <w:shd w:val="clear" w:color="000000" w:fill="365F91" w:themeFill="accent1" w:themeFillShade="BF"/>
            <w:vAlign w:val="center"/>
            <w:hideMark/>
          </w:tcPr>
          <w:p w14:paraId="08900B16" w14:textId="77777777" w:rsidR="00F53AD6" w:rsidRPr="00345F5E" w:rsidRDefault="00F53AD6" w:rsidP="00EB45E6">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2019/20</w:t>
            </w:r>
          </w:p>
        </w:tc>
      </w:tr>
      <w:tr w:rsidR="00292150" w:rsidRPr="00345F5E" w14:paraId="3BDDBE71" w14:textId="77777777" w:rsidTr="00F53AD6">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136AF103" w14:textId="77777777" w:rsidR="00292150" w:rsidRPr="00345F5E" w:rsidRDefault="00292150" w:rsidP="00EB45E6">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AusNet Services</w:t>
            </w:r>
          </w:p>
        </w:tc>
        <w:tc>
          <w:tcPr>
            <w:tcW w:w="1010" w:type="dxa"/>
            <w:tcBorders>
              <w:top w:val="single" w:sz="4" w:space="0" w:color="A6A6A6"/>
              <w:left w:val="nil"/>
              <w:bottom w:val="single" w:sz="4" w:space="0" w:color="A6A6A6"/>
              <w:right w:val="nil"/>
            </w:tcBorders>
            <w:shd w:val="clear" w:color="auto" w:fill="auto"/>
            <w:noWrap/>
            <w:vAlign w:val="center"/>
            <w:hideMark/>
          </w:tcPr>
          <w:p w14:paraId="08ACCE3E" w14:textId="542F78A8" w:rsidR="00292150" w:rsidRPr="00C14E2E" w:rsidRDefault="00292150" w:rsidP="00292150">
            <w:pPr>
              <w:spacing w:after="0" w:line="240" w:lineRule="auto"/>
              <w:jc w:val="right"/>
              <w:rPr>
                <w:rFonts w:ascii="Candara" w:eastAsia="Times New Roman" w:hAnsi="Candara" w:cs="Times New Roman"/>
                <w:sz w:val="20"/>
                <w:szCs w:val="20"/>
                <w:lang w:eastAsia="en-AU"/>
              </w:rPr>
            </w:pPr>
            <w:r>
              <w:rPr>
                <w:rFonts w:ascii="Candara" w:eastAsia="Times New Roman" w:hAnsi="Candara" w:cs="Times New Roman"/>
                <w:sz w:val="20"/>
                <w:szCs w:val="20"/>
                <w:lang w:eastAsia="en-AU"/>
              </w:rPr>
              <w:t>247.7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6870E54E" w14:textId="4145CEDC" w:rsidR="00292150" w:rsidRPr="00C14E2E" w:rsidRDefault="00292150" w:rsidP="00EB45E6">
            <w:pPr>
              <w:spacing w:after="0" w:line="240" w:lineRule="auto"/>
              <w:jc w:val="right"/>
              <w:rPr>
                <w:rFonts w:ascii="Candara" w:eastAsia="Times New Roman" w:hAnsi="Candara" w:cs="Times New Roman"/>
                <w:sz w:val="20"/>
                <w:szCs w:val="20"/>
                <w:lang w:eastAsia="en-AU"/>
              </w:rPr>
            </w:pPr>
            <w:r>
              <w:rPr>
                <w:rFonts w:ascii="Candara" w:eastAsia="Times New Roman" w:hAnsi="Candara" w:cs="Times New Roman"/>
                <w:sz w:val="20"/>
                <w:szCs w:val="20"/>
                <w:lang w:eastAsia="en-AU"/>
              </w:rPr>
              <w:t>247.7</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4E19D7CC" w14:textId="401633E7" w:rsidR="00292150" w:rsidRPr="00345F5E" w:rsidRDefault="00292150" w:rsidP="00EB45E6">
            <w:pPr>
              <w:spacing w:after="0" w:line="240" w:lineRule="auto"/>
              <w:jc w:val="right"/>
              <w:rPr>
                <w:rFonts w:ascii="Candara" w:eastAsia="Times New Roman" w:hAnsi="Candara" w:cs="Times New Roman"/>
                <w:sz w:val="20"/>
                <w:szCs w:val="20"/>
                <w:lang w:eastAsia="en-AU"/>
              </w:rPr>
            </w:pPr>
            <w:r>
              <w:rPr>
                <w:rFonts w:ascii="Candara" w:eastAsia="Times New Roman" w:hAnsi="Candara" w:cs="Times New Roman"/>
                <w:sz w:val="20"/>
                <w:szCs w:val="20"/>
                <w:lang w:eastAsia="en-AU"/>
              </w:rPr>
              <w:t>247.7</w:t>
            </w:r>
          </w:p>
        </w:tc>
        <w:tc>
          <w:tcPr>
            <w:tcW w:w="1238" w:type="dxa"/>
            <w:tcBorders>
              <w:top w:val="single" w:sz="4" w:space="0" w:color="A6A6A6"/>
              <w:left w:val="nil"/>
              <w:bottom w:val="single" w:sz="4" w:space="0" w:color="A6A6A6"/>
              <w:right w:val="single" w:sz="4" w:space="0" w:color="A6A6A6"/>
            </w:tcBorders>
            <w:shd w:val="clear" w:color="auto" w:fill="auto"/>
            <w:noWrap/>
            <w:vAlign w:val="center"/>
            <w:hideMark/>
          </w:tcPr>
          <w:p w14:paraId="50788D9E" w14:textId="4A7D3AC2" w:rsidR="00292150" w:rsidRPr="00345F5E" w:rsidRDefault="00292150" w:rsidP="00292150">
            <w:pPr>
              <w:spacing w:after="0" w:line="240" w:lineRule="auto"/>
              <w:jc w:val="right"/>
              <w:rPr>
                <w:rFonts w:ascii="Candara" w:eastAsia="Times New Roman" w:hAnsi="Candara" w:cs="Times New Roman"/>
                <w:sz w:val="20"/>
                <w:szCs w:val="20"/>
                <w:lang w:eastAsia="en-AU"/>
              </w:rPr>
            </w:pPr>
            <w:r>
              <w:rPr>
                <w:rFonts w:ascii="Candara" w:eastAsia="Times New Roman" w:hAnsi="Candara" w:cs="Times New Roman"/>
                <w:sz w:val="20"/>
                <w:szCs w:val="20"/>
                <w:lang w:eastAsia="en-AU"/>
              </w:rPr>
              <w:t>214.3</w:t>
            </w:r>
          </w:p>
        </w:tc>
      </w:tr>
      <w:tr w:rsidR="00F53AD6" w:rsidRPr="00345F5E" w14:paraId="226B5A7F" w14:textId="77777777" w:rsidTr="00F53AD6">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44DFB8F0" w14:textId="77777777" w:rsidR="00F53AD6" w:rsidRPr="00345F5E" w:rsidRDefault="00F53AD6" w:rsidP="00EB45E6">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CitiPower</w:t>
            </w:r>
          </w:p>
        </w:tc>
        <w:tc>
          <w:tcPr>
            <w:tcW w:w="1010" w:type="dxa"/>
            <w:tcBorders>
              <w:top w:val="single" w:sz="4" w:space="0" w:color="A6A6A6"/>
              <w:left w:val="nil"/>
              <w:bottom w:val="single" w:sz="4" w:space="0" w:color="A6A6A6"/>
              <w:right w:val="nil"/>
            </w:tcBorders>
            <w:shd w:val="clear" w:color="auto" w:fill="auto"/>
            <w:noWrap/>
            <w:vAlign w:val="center"/>
            <w:hideMark/>
          </w:tcPr>
          <w:p w14:paraId="55C69864"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3.4</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3ED11FED"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77C29AA4"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238" w:type="dxa"/>
            <w:tcBorders>
              <w:top w:val="single" w:sz="4" w:space="0" w:color="A6A6A6"/>
              <w:left w:val="nil"/>
              <w:bottom w:val="single" w:sz="4" w:space="0" w:color="A6A6A6"/>
              <w:right w:val="single" w:sz="4" w:space="0" w:color="A6A6A6"/>
            </w:tcBorders>
            <w:shd w:val="clear" w:color="auto" w:fill="auto"/>
            <w:noWrap/>
            <w:vAlign w:val="center"/>
            <w:hideMark/>
          </w:tcPr>
          <w:p w14:paraId="7FB373B8"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r>
      <w:tr w:rsidR="00F53AD6" w:rsidRPr="00345F5E" w14:paraId="44975753" w14:textId="77777777" w:rsidTr="00F53AD6">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0B7B8F55" w14:textId="77777777" w:rsidR="00F53AD6" w:rsidRPr="00345F5E" w:rsidRDefault="00F53AD6" w:rsidP="00EB45E6">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Jemena</w:t>
            </w:r>
          </w:p>
        </w:tc>
        <w:tc>
          <w:tcPr>
            <w:tcW w:w="1010" w:type="dxa"/>
            <w:tcBorders>
              <w:top w:val="single" w:sz="4" w:space="0" w:color="A6A6A6"/>
              <w:left w:val="nil"/>
              <w:bottom w:val="single" w:sz="4" w:space="0" w:color="A6A6A6"/>
              <w:right w:val="nil"/>
            </w:tcBorders>
            <w:shd w:val="clear" w:color="auto" w:fill="auto"/>
            <w:noWrap/>
            <w:vAlign w:val="center"/>
            <w:hideMark/>
          </w:tcPr>
          <w:p w14:paraId="1E367783"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9.7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2A93A8F2"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7DC502E8"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238" w:type="dxa"/>
            <w:tcBorders>
              <w:top w:val="single" w:sz="4" w:space="0" w:color="A6A6A6"/>
              <w:left w:val="nil"/>
              <w:bottom w:val="single" w:sz="4" w:space="0" w:color="A6A6A6"/>
              <w:right w:val="single" w:sz="4" w:space="0" w:color="A6A6A6"/>
            </w:tcBorders>
            <w:shd w:val="clear" w:color="auto" w:fill="auto"/>
            <w:noWrap/>
            <w:vAlign w:val="center"/>
            <w:hideMark/>
          </w:tcPr>
          <w:p w14:paraId="0A0D8AED"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r>
      <w:tr w:rsidR="00F53AD6" w:rsidRPr="00345F5E" w14:paraId="1B9F032D" w14:textId="77777777" w:rsidTr="00F53AD6">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7CFDF1F3" w14:textId="77777777" w:rsidR="00F53AD6" w:rsidRPr="00345F5E" w:rsidRDefault="00F53AD6" w:rsidP="00EB45E6">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Powercor</w:t>
            </w:r>
          </w:p>
        </w:tc>
        <w:tc>
          <w:tcPr>
            <w:tcW w:w="1010" w:type="dxa"/>
            <w:tcBorders>
              <w:top w:val="single" w:sz="4" w:space="0" w:color="A6A6A6"/>
              <w:left w:val="nil"/>
              <w:bottom w:val="single" w:sz="4" w:space="0" w:color="A6A6A6"/>
              <w:right w:val="nil"/>
            </w:tcBorders>
            <w:shd w:val="clear" w:color="auto" w:fill="auto"/>
            <w:noWrap/>
            <w:vAlign w:val="center"/>
            <w:hideMark/>
          </w:tcPr>
          <w:p w14:paraId="3537FF93"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468.0</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40546D77"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F53AD6">
              <w:rPr>
                <w:rFonts w:ascii="Candara" w:eastAsia="Times New Roman" w:hAnsi="Candara" w:cs="Times New Roman"/>
                <w:sz w:val="20"/>
                <w:szCs w:val="20"/>
                <w:lang w:eastAsia="en-AU"/>
              </w:rPr>
              <w:t>468.0</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01F83784"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F53AD6">
              <w:rPr>
                <w:rFonts w:ascii="Candara" w:eastAsia="Times New Roman" w:hAnsi="Candara" w:cs="Times New Roman"/>
                <w:sz w:val="20"/>
                <w:szCs w:val="20"/>
                <w:lang w:eastAsia="en-AU"/>
              </w:rPr>
              <w:t>468.0</w:t>
            </w:r>
          </w:p>
        </w:tc>
        <w:tc>
          <w:tcPr>
            <w:tcW w:w="1238" w:type="dxa"/>
            <w:tcBorders>
              <w:top w:val="single" w:sz="4" w:space="0" w:color="A6A6A6"/>
              <w:left w:val="nil"/>
              <w:bottom w:val="single" w:sz="4" w:space="0" w:color="A6A6A6"/>
              <w:right w:val="single" w:sz="4" w:space="0" w:color="A6A6A6"/>
            </w:tcBorders>
            <w:shd w:val="clear" w:color="auto" w:fill="auto"/>
            <w:noWrap/>
            <w:vAlign w:val="center"/>
            <w:hideMark/>
          </w:tcPr>
          <w:p w14:paraId="2A7668CB" w14:textId="69AE0D84" w:rsidR="00F53AD6" w:rsidRPr="00345F5E" w:rsidRDefault="00F53AD6" w:rsidP="00292150">
            <w:pPr>
              <w:spacing w:after="0" w:line="240" w:lineRule="auto"/>
              <w:jc w:val="right"/>
              <w:rPr>
                <w:rFonts w:ascii="Candara" w:eastAsia="Times New Roman" w:hAnsi="Candara" w:cs="Times New Roman"/>
                <w:sz w:val="20"/>
                <w:szCs w:val="20"/>
                <w:lang w:eastAsia="en-AU"/>
              </w:rPr>
            </w:pPr>
            <w:r>
              <w:rPr>
                <w:rFonts w:ascii="Candara" w:eastAsia="Times New Roman" w:hAnsi="Candara" w:cs="Times New Roman"/>
                <w:sz w:val="20"/>
                <w:szCs w:val="20"/>
                <w:lang w:eastAsia="en-AU"/>
              </w:rPr>
              <w:t>41</w:t>
            </w:r>
            <w:r w:rsidR="00292150">
              <w:rPr>
                <w:rFonts w:ascii="Candara" w:eastAsia="Times New Roman" w:hAnsi="Candara" w:cs="Times New Roman"/>
                <w:sz w:val="20"/>
                <w:szCs w:val="20"/>
                <w:lang w:eastAsia="en-AU"/>
              </w:rPr>
              <w:t>2</w:t>
            </w:r>
            <w:r>
              <w:rPr>
                <w:rFonts w:ascii="Candara" w:eastAsia="Times New Roman" w:hAnsi="Candara" w:cs="Times New Roman"/>
                <w:sz w:val="20"/>
                <w:szCs w:val="20"/>
                <w:lang w:eastAsia="en-AU"/>
              </w:rPr>
              <w:t>.8</w:t>
            </w:r>
          </w:p>
        </w:tc>
      </w:tr>
      <w:tr w:rsidR="00F53AD6" w:rsidRPr="00345F5E" w14:paraId="2EB122B4" w14:textId="77777777" w:rsidTr="00F53AD6">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3E498E25" w14:textId="77777777" w:rsidR="00F53AD6" w:rsidRPr="00345F5E" w:rsidRDefault="00F53AD6" w:rsidP="00EB45E6">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United Energy</w:t>
            </w:r>
          </w:p>
        </w:tc>
        <w:tc>
          <w:tcPr>
            <w:tcW w:w="1010" w:type="dxa"/>
            <w:tcBorders>
              <w:top w:val="single" w:sz="4" w:space="0" w:color="A6A6A6"/>
              <w:left w:val="nil"/>
              <w:bottom w:val="single" w:sz="4" w:space="0" w:color="A6A6A6"/>
              <w:right w:val="nil"/>
            </w:tcBorders>
            <w:shd w:val="clear" w:color="auto" w:fill="auto"/>
            <w:noWrap/>
            <w:vAlign w:val="center"/>
            <w:hideMark/>
          </w:tcPr>
          <w:p w14:paraId="26DEEF25"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22.3</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51891FC7" w14:textId="77777777" w:rsidR="00F53AD6" w:rsidRPr="00C14E2E" w:rsidRDefault="00F53AD6" w:rsidP="00EB45E6">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1494FE1F"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238" w:type="dxa"/>
            <w:tcBorders>
              <w:top w:val="single" w:sz="4" w:space="0" w:color="A6A6A6"/>
              <w:left w:val="nil"/>
              <w:bottom w:val="single" w:sz="4" w:space="0" w:color="A6A6A6"/>
              <w:right w:val="single" w:sz="4" w:space="0" w:color="A6A6A6"/>
            </w:tcBorders>
            <w:shd w:val="clear" w:color="auto" w:fill="auto"/>
            <w:noWrap/>
            <w:vAlign w:val="center"/>
            <w:hideMark/>
          </w:tcPr>
          <w:p w14:paraId="32E5A329" w14:textId="77777777" w:rsidR="00F53AD6" w:rsidRPr="00345F5E" w:rsidRDefault="00F53AD6" w:rsidP="00EB45E6">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r>
    </w:tbl>
    <w:p w14:paraId="6D1B292F" w14:textId="77777777" w:rsidR="00292150" w:rsidRDefault="00292150" w:rsidP="00F4739E">
      <w:pPr>
        <w:autoSpaceDE w:val="0"/>
        <w:autoSpaceDN w:val="0"/>
        <w:adjustRightInd w:val="0"/>
        <w:spacing w:before="120" w:after="80"/>
        <w:rPr>
          <w:rFonts w:ascii="Candara" w:hAnsi="Candara" w:cs="Calibri"/>
        </w:rPr>
      </w:pPr>
    </w:p>
    <w:p w14:paraId="251A0F5B" w14:textId="5C8D1FD1" w:rsidR="00936F1C" w:rsidRDefault="00F4739E" w:rsidP="00F4739E">
      <w:pPr>
        <w:autoSpaceDE w:val="0"/>
        <w:autoSpaceDN w:val="0"/>
        <w:adjustRightInd w:val="0"/>
        <w:spacing w:before="120" w:after="80"/>
        <w:rPr>
          <w:rFonts w:ascii="Candara" w:hAnsi="Candara" w:cs="Calibri"/>
        </w:rPr>
      </w:pPr>
      <w:r w:rsidRPr="00F4739E">
        <w:rPr>
          <w:rFonts w:ascii="Candara" w:hAnsi="Candara" w:cs="Calibri"/>
        </w:rPr>
        <w:t xml:space="preserve">A Risk Reduction Model developed by CSIRO with the cooperation of the distribution businesses can be used to estimate the extent to which new network technologies function to reduce the likelihood of ignitions across the electricity distribution network. This model has been used to quantify the decrements to the benchmark for each distribution business. Further details are given in </w:t>
      </w:r>
      <w:r w:rsidRPr="00F4739E">
        <w:rPr>
          <w:rFonts w:ascii="Candara" w:hAnsi="Candara" w:cs="Calibri"/>
          <w:b/>
        </w:rPr>
        <w:t>Appendix 3</w:t>
      </w:r>
      <w:r w:rsidRPr="00F4739E">
        <w:rPr>
          <w:rFonts w:ascii="Candara" w:hAnsi="Candara" w:cs="Calibri"/>
        </w:rPr>
        <w:t>.</w:t>
      </w:r>
    </w:p>
    <w:p w14:paraId="16AB9136" w14:textId="562F2051" w:rsidR="00F4739E" w:rsidRPr="00F4739E" w:rsidRDefault="00F4739E" w:rsidP="00F4739E">
      <w:pPr>
        <w:autoSpaceDE w:val="0"/>
        <w:autoSpaceDN w:val="0"/>
        <w:adjustRightInd w:val="0"/>
        <w:spacing w:before="120" w:after="80"/>
        <w:rPr>
          <w:rFonts w:ascii="Candara" w:hAnsi="Candara" w:cs="Calibri"/>
        </w:rPr>
      </w:pPr>
      <w:r w:rsidRPr="00F4739E">
        <w:rPr>
          <w:rFonts w:ascii="Candara" w:hAnsi="Candara" w:cs="Calibri"/>
        </w:rPr>
        <w:t xml:space="preserve">Both the benchmark setting and decrements to the benchmark were calculated using available fire start data for the 2012 to 2014 period. Detailed fire start records have been recorded by the distribution businesses for the purposes of AER f-factor reporting since 2012. </w:t>
      </w:r>
    </w:p>
    <w:p w14:paraId="33349F90" w14:textId="44AF0BF5" w:rsidR="00F4739E" w:rsidRPr="00F4739E" w:rsidRDefault="00E6727A" w:rsidP="00F4739E">
      <w:pPr>
        <w:pStyle w:val="Heading2"/>
        <w:rPr>
          <w:sz w:val="22"/>
          <w:szCs w:val="22"/>
        </w:rPr>
      </w:pPr>
      <w:bookmarkStart w:id="33" w:name="_Toc458675187"/>
      <w:r w:rsidRPr="00084DFB">
        <w:rPr>
          <w:sz w:val="22"/>
          <w:szCs w:val="22"/>
        </w:rPr>
        <w:t>Incentive Rate</w:t>
      </w:r>
      <w:bookmarkEnd w:id="33"/>
    </w:p>
    <w:p w14:paraId="04DA2218" w14:textId="512B2796" w:rsidR="00F4739E" w:rsidRDefault="00F4739E" w:rsidP="00E6727A">
      <w:pPr>
        <w:autoSpaceDE w:val="0"/>
        <w:autoSpaceDN w:val="0"/>
        <w:adjustRightInd w:val="0"/>
        <w:spacing w:before="120" w:after="80"/>
        <w:rPr>
          <w:rFonts w:ascii="Candara" w:hAnsi="Candara" w:cs="Calibri"/>
        </w:rPr>
      </w:pPr>
      <w:r w:rsidRPr="00F4739E">
        <w:rPr>
          <w:rFonts w:ascii="Candara" w:hAnsi="Candara" w:cs="Calibri"/>
        </w:rPr>
        <w:t>The intention of the scheme is to further mitigate bushfire risk through the efficient expenditure of available funding  consistent with the targeted application of new codified standards of network protection in specified high bushfire risk locations. The rate needs to be</w:t>
      </w:r>
      <w:r w:rsidR="00D276CC">
        <w:rPr>
          <w:rFonts w:ascii="Candara" w:hAnsi="Candara" w:cs="Calibri"/>
        </w:rPr>
        <w:t xml:space="preserve"> </w:t>
      </w:r>
      <w:r w:rsidRPr="00F4739E">
        <w:rPr>
          <w:rFonts w:ascii="Candara" w:hAnsi="Candara" w:cs="Calibri"/>
        </w:rPr>
        <w:t xml:space="preserve">set high enough </w:t>
      </w:r>
      <w:r w:rsidRPr="00F4739E">
        <w:rPr>
          <w:rFonts w:ascii="Candara" w:hAnsi="Candara" w:cs="Calibri"/>
        </w:rPr>
        <w:lastRenderedPageBreak/>
        <w:t>to provide an incentive for the distribution businesses to prioritise action to prevent fires in high ri</w:t>
      </w:r>
      <w:r w:rsidR="00D276CC">
        <w:rPr>
          <w:rFonts w:ascii="Candara" w:hAnsi="Candara" w:cs="Calibri"/>
        </w:rPr>
        <w:t xml:space="preserve">sk locations on high risk days </w:t>
      </w:r>
      <w:r w:rsidRPr="00F4739E">
        <w:rPr>
          <w:rFonts w:ascii="Candara" w:hAnsi="Candara" w:cs="Calibri"/>
        </w:rPr>
        <w:t>while not creating an undue financial burden on either consumers or distribution businesses.  The incentive rate is set in a way that recognises that:</w:t>
      </w:r>
    </w:p>
    <w:p w14:paraId="69862A7B" w14:textId="0C0FE048" w:rsidR="00E6727A" w:rsidRPr="0099091D" w:rsidRDefault="00E6727A" w:rsidP="00E6727A">
      <w:pPr>
        <w:numPr>
          <w:ilvl w:val="0"/>
          <w:numId w:val="22"/>
        </w:numPr>
        <w:autoSpaceDE w:val="0"/>
        <w:autoSpaceDN w:val="0"/>
        <w:adjustRightInd w:val="0"/>
        <w:spacing w:before="120" w:after="80"/>
        <w:contextualSpacing/>
        <w:rPr>
          <w:rFonts w:ascii="Candara" w:hAnsi="Candara" w:cs="Calibri"/>
        </w:rPr>
      </w:pPr>
      <w:r w:rsidRPr="0099091D">
        <w:rPr>
          <w:rFonts w:ascii="Candara" w:hAnsi="Candara" w:cs="Calibri"/>
        </w:rPr>
        <w:t>Fire start historical data is limited (</w:t>
      </w:r>
      <w:r w:rsidR="00F4739E" w:rsidRPr="00F4739E">
        <w:rPr>
          <w:rFonts w:ascii="Candara" w:hAnsi="Candara" w:cs="Calibri"/>
        </w:rPr>
        <w:t>with suitable data only available for a small number of years</w:t>
      </w:r>
      <w:r w:rsidR="008E65BA">
        <w:rPr>
          <w:rFonts w:ascii="Candara" w:hAnsi="Candara" w:cs="Calibri"/>
        </w:rPr>
        <w:t>).</w:t>
      </w:r>
    </w:p>
    <w:p w14:paraId="5B189430" w14:textId="4499A0C9" w:rsidR="00E6727A" w:rsidRDefault="00E6727A" w:rsidP="00E6727A">
      <w:pPr>
        <w:numPr>
          <w:ilvl w:val="0"/>
          <w:numId w:val="22"/>
        </w:numPr>
        <w:autoSpaceDE w:val="0"/>
        <w:autoSpaceDN w:val="0"/>
        <w:adjustRightInd w:val="0"/>
        <w:spacing w:before="120" w:after="80"/>
        <w:contextualSpacing/>
        <w:rPr>
          <w:rFonts w:ascii="Candara" w:hAnsi="Candara" w:cs="Calibri"/>
        </w:rPr>
      </w:pPr>
      <w:r w:rsidRPr="0099091D">
        <w:rPr>
          <w:rFonts w:ascii="Candara" w:hAnsi="Candara" w:cs="Calibri"/>
        </w:rPr>
        <w:t>The fire start reduction impact of new assets has yet to be fully understood in th</w:t>
      </w:r>
      <w:r w:rsidR="008E65BA">
        <w:rPr>
          <w:rFonts w:ascii="Candara" w:hAnsi="Candara" w:cs="Calibri"/>
        </w:rPr>
        <w:t>e field environment.</w:t>
      </w:r>
    </w:p>
    <w:p w14:paraId="58F9D7AB" w14:textId="7418D6D7" w:rsidR="00E6727A" w:rsidRDefault="008E65BA" w:rsidP="00E6727A">
      <w:pPr>
        <w:numPr>
          <w:ilvl w:val="0"/>
          <w:numId w:val="22"/>
        </w:numPr>
        <w:autoSpaceDE w:val="0"/>
        <w:autoSpaceDN w:val="0"/>
        <w:adjustRightInd w:val="0"/>
        <w:spacing w:before="120" w:after="80"/>
        <w:contextualSpacing/>
        <w:rPr>
          <w:rFonts w:ascii="Candara" w:hAnsi="Candara" w:cs="Calibri"/>
        </w:rPr>
      </w:pPr>
      <w:r>
        <w:rPr>
          <w:rFonts w:ascii="Candara" w:hAnsi="Candara" w:cs="Calibri"/>
        </w:rPr>
        <w:t>If f</w:t>
      </w:r>
      <w:r w:rsidR="00E6727A">
        <w:rPr>
          <w:rFonts w:ascii="Candara" w:hAnsi="Candara" w:cs="Calibri"/>
        </w:rPr>
        <w:t xml:space="preserve">-factor penalties are too high, they may incentivise unintended operational behaviour </w:t>
      </w:r>
    </w:p>
    <w:p w14:paraId="6730E1B1" w14:textId="2CEA361B" w:rsidR="006C6ADA" w:rsidRDefault="00F4739E" w:rsidP="00F4739E">
      <w:pPr>
        <w:numPr>
          <w:ilvl w:val="0"/>
          <w:numId w:val="22"/>
        </w:numPr>
        <w:autoSpaceDE w:val="0"/>
        <w:autoSpaceDN w:val="0"/>
        <w:adjustRightInd w:val="0"/>
        <w:spacing w:before="120" w:after="80"/>
        <w:contextualSpacing/>
        <w:rPr>
          <w:rFonts w:ascii="Candara" w:hAnsi="Candara" w:cs="Calibri"/>
        </w:rPr>
      </w:pPr>
      <w:r>
        <w:rPr>
          <w:rFonts w:ascii="Candara" w:hAnsi="Candara" w:cs="Calibri"/>
        </w:rPr>
        <w:t>Year to year variations in weather may influence the rate of ignitions experienced.</w:t>
      </w:r>
    </w:p>
    <w:p w14:paraId="308871C8" w14:textId="77777777" w:rsidR="001468FB" w:rsidRDefault="001468FB" w:rsidP="001468FB">
      <w:pPr>
        <w:rPr>
          <w:rFonts w:ascii="Candara" w:hAnsi="Candara" w:cs="Calibri"/>
        </w:rPr>
      </w:pPr>
    </w:p>
    <w:p w14:paraId="03D399FC" w14:textId="36F3581F" w:rsidR="00E6727A" w:rsidRDefault="001F51E3" w:rsidP="001468FB">
      <w:pPr>
        <w:rPr>
          <w:rFonts w:ascii="Candara" w:hAnsi="Candara" w:cs="Calibri"/>
        </w:rPr>
      </w:pPr>
      <w:r>
        <w:rPr>
          <w:rFonts w:ascii="Candara" w:hAnsi="Candara" w:cs="Calibri"/>
        </w:rPr>
        <w:t>It is noted that as a result of the weighting process it is not possible to compare the existing scheme incentive rate of $25,000 per fire</w:t>
      </w:r>
      <w:r w:rsidR="00B055DA">
        <w:rPr>
          <w:rFonts w:ascii="Candara" w:hAnsi="Candara" w:cs="Calibri"/>
        </w:rPr>
        <w:t xml:space="preserve"> </w:t>
      </w:r>
      <w:r>
        <w:rPr>
          <w:rFonts w:ascii="Candara" w:hAnsi="Candara" w:cs="Calibri"/>
        </w:rPr>
        <w:t xml:space="preserve">start with a new rate per IRU. </w:t>
      </w:r>
      <w:r w:rsidR="00E6727A" w:rsidRPr="0099091D">
        <w:rPr>
          <w:rFonts w:ascii="Candara" w:hAnsi="Candara" w:cs="Calibri"/>
        </w:rPr>
        <w:t xml:space="preserve">Consequently, it is proposed that the incentive rate </w:t>
      </w:r>
      <w:r w:rsidR="00E6727A">
        <w:rPr>
          <w:rFonts w:ascii="Candara" w:hAnsi="Candara" w:cs="Calibri"/>
        </w:rPr>
        <w:t>be set at a level at which the:</w:t>
      </w:r>
    </w:p>
    <w:p w14:paraId="1D0F3E0A" w14:textId="742BA018" w:rsidR="00F4739E" w:rsidRDefault="00F4739E" w:rsidP="00BB41A4">
      <w:pPr>
        <w:pStyle w:val="ListParagraph"/>
        <w:numPr>
          <w:ilvl w:val="0"/>
          <w:numId w:val="38"/>
        </w:numPr>
        <w:autoSpaceDE w:val="0"/>
        <w:autoSpaceDN w:val="0"/>
        <w:adjustRightInd w:val="0"/>
        <w:spacing w:before="120" w:after="80"/>
        <w:rPr>
          <w:rFonts w:ascii="Candara" w:hAnsi="Candara" w:cs="Calibri"/>
        </w:rPr>
      </w:pPr>
      <w:r w:rsidRPr="00F4739E">
        <w:rPr>
          <w:rFonts w:ascii="Candara" w:hAnsi="Candara" w:cs="Calibri"/>
        </w:rPr>
        <w:t>Expected financial impact on consumers and businesses will not exceed the levels experienced under the current scheme</w:t>
      </w:r>
      <w:r>
        <w:rPr>
          <w:rFonts w:ascii="Candara" w:hAnsi="Candara" w:cs="Calibri"/>
        </w:rPr>
        <w:t>.</w:t>
      </w:r>
      <w:r w:rsidR="00351604">
        <w:rPr>
          <w:rStyle w:val="FootnoteReference"/>
          <w:rFonts w:ascii="Candara" w:hAnsi="Candara" w:cs="Calibri"/>
        </w:rPr>
        <w:footnoteReference w:id="28"/>
      </w:r>
      <w:r w:rsidRPr="00F4739E">
        <w:rPr>
          <w:rFonts w:ascii="Candara" w:hAnsi="Candara" w:cs="Calibri"/>
        </w:rPr>
        <w:t xml:space="preserve"> </w:t>
      </w:r>
    </w:p>
    <w:p w14:paraId="59E5D6B2" w14:textId="6CCBBE0D" w:rsidR="00E6727A" w:rsidRDefault="00E6727A" w:rsidP="00BB41A4">
      <w:pPr>
        <w:pStyle w:val="ListParagraph"/>
        <w:numPr>
          <w:ilvl w:val="0"/>
          <w:numId w:val="38"/>
        </w:numPr>
        <w:autoSpaceDE w:val="0"/>
        <w:autoSpaceDN w:val="0"/>
        <w:adjustRightInd w:val="0"/>
        <w:spacing w:before="120" w:after="80"/>
        <w:rPr>
          <w:rFonts w:ascii="Candara" w:hAnsi="Candara" w:cs="Calibri"/>
        </w:rPr>
      </w:pPr>
      <w:r>
        <w:rPr>
          <w:rFonts w:ascii="Candara" w:hAnsi="Candara" w:cs="Calibri"/>
        </w:rPr>
        <w:t>Value of individual ignitions with significant risk is not less than the current scheme.</w:t>
      </w:r>
      <w:r w:rsidR="008E65BA">
        <w:rPr>
          <w:rFonts w:ascii="Candara" w:hAnsi="Candara" w:cs="Calibri"/>
        </w:rPr>
        <w:t xml:space="preserve"> </w:t>
      </w:r>
    </w:p>
    <w:p w14:paraId="616A51FD" w14:textId="35685A74" w:rsidR="00E6727A" w:rsidRDefault="007D06D8" w:rsidP="00BB41A4">
      <w:pPr>
        <w:pStyle w:val="ListParagraph"/>
        <w:numPr>
          <w:ilvl w:val="0"/>
          <w:numId w:val="38"/>
        </w:numPr>
        <w:autoSpaceDE w:val="0"/>
        <w:autoSpaceDN w:val="0"/>
        <w:adjustRightInd w:val="0"/>
        <w:spacing w:before="120" w:after="80"/>
        <w:rPr>
          <w:rFonts w:ascii="Candara" w:hAnsi="Candara" w:cs="Calibri"/>
        </w:rPr>
      </w:pPr>
      <w:r>
        <w:rPr>
          <w:rFonts w:ascii="Candara" w:hAnsi="Candara" w:cs="Calibri"/>
        </w:rPr>
        <w:t>There is a balanced incentive</w:t>
      </w:r>
      <w:r w:rsidR="00E6727A">
        <w:rPr>
          <w:rFonts w:ascii="Candara" w:hAnsi="Candara" w:cs="Calibri"/>
        </w:rPr>
        <w:t xml:space="preserve"> for the Distribution Businesses to </w:t>
      </w:r>
      <w:r>
        <w:rPr>
          <w:rFonts w:ascii="Candara" w:hAnsi="Candara" w:cs="Calibri"/>
        </w:rPr>
        <w:t xml:space="preserve">increase bushfire safety and maintain localised supply reliability </w:t>
      </w:r>
      <w:r w:rsidR="00E6727A">
        <w:rPr>
          <w:rFonts w:ascii="Candara" w:hAnsi="Candara" w:cs="Calibri"/>
        </w:rPr>
        <w:t>.</w:t>
      </w:r>
      <w:r w:rsidR="008E65BA">
        <w:rPr>
          <w:rFonts w:ascii="Candara" w:hAnsi="Candara" w:cs="Calibri"/>
        </w:rPr>
        <w:t xml:space="preserve"> </w:t>
      </w:r>
    </w:p>
    <w:p w14:paraId="46D84342" w14:textId="075F0EBB" w:rsidR="00E6727A" w:rsidRPr="001F1B21" w:rsidRDefault="00E6727A" w:rsidP="00E6727A">
      <w:pPr>
        <w:autoSpaceDE w:val="0"/>
        <w:autoSpaceDN w:val="0"/>
        <w:adjustRightInd w:val="0"/>
        <w:spacing w:before="120" w:after="80"/>
        <w:rPr>
          <w:rFonts w:ascii="Candara" w:hAnsi="Candara" w:cs="Calibri"/>
        </w:rPr>
      </w:pPr>
      <w:r>
        <w:rPr>
          <w:rFonts w:ascii="Candara" w:hAnsi="Candara" w:cs="Calibri"/>
        </w:rPr>
        <w:t xml:space="preserve">Incentive rates ranging from $10,000 to $50,000 have been </w:t>
      </w:r>
      <w:r w:rsidR="00F4739E" w:rsidRPr="00F4739E">
        <w:rPr>
          <w:rFonts w:ascii="Candara" w:hAnsi="Candara" w:cs="Calibri"/>
        </w:rPr>
        <w:t>considered</w:t>
      </w:r>
      <w:r>
        <w:rPr>
          <w:rFonts w:ascii="Candara" w:hAnsi="Candara" w:cs="Calibri"/>
        </w:rPr>
        <w:t xml:space="preserve"> in the following</w:t>
      </w:r>
      <w:r w:rsidR="00B055DA">
        <w:rPr>
          <w:rFonts w:ascii="Candara" w:hAnsi="Candara" w:cs="Calibri"/>
        </w:rPr>
        <w:t xml:space="preserve"> analysis</w:t>
      </w:r>
      <w:r>
        <w:rPr>
          <w:rFonts w:ascii="Candara" w:hAnsi="Candara" w:cs="Calibri"/>
        </w:rPr>
        <w:t>.</w:t>
      </w:r>
    </w:p>
    <w:p w14:paraId="7199077A" w14:textId="7F9BC108" w:rsidR="00E6727A" w:rsidRPr="00084DFB" w:rsidRDefault="00265EB4" w:rsidP="00265EB4">
      <w:pPr>
        <w:pStyle w:val="Heading3"/>
        <w:rPr>
          <w:sz w:val="22"/>
          <w:szCs w:val="22"/>
        </w:rPr>
      </w:pPr>
      <w:r w:rsidRPr="00084DFB">
        <w:rPr>
          <w:sz w:val="22"/>
          <w:szCs w:val="22"/>
        </w:rPr>
        <w:t xml:space="preserve"> </w:t>
      </w:r>
      <w:bookmarkStart w:id="34" w:name="_Toc458675188"/>
      <w:r w:rsidR="00C53166">
        <w:rPr>
          <w:sz w:val="22"/>
          <w:szCs w:val="22"/>
        </w:rPr>
        <w:t>Financial Impact on Consumers and B</w:t>
      </w:r>
      <w:r w:rsidR="00E6727A" w:rsidRPr="00084DFB">
        <w:rPr>
          <w:sz w:val="22"/>
          <w:szCs w:val="22"/>
        </w:rPr>
        <w:t>usinesses</w:t>
      </w:r>
      <w:bookmarkEnd w:id="34"/>
    </w:p>
    <w:p w14:paraId="16C0BE9F" w14:textId="71CE5756" w:rsidR="00E6727A" w:rsidRPr="00187049" w:rsidRDefault="00E6727A" w:rsidP="005F5FF4">
      <w:pPr>
        <w:spacing w:before="120" w:after="60"/>
        <w:ind w:right="-397"/>
        <w:rPr>
          <w:rFonts w:ascii="Candara" w:eastAsia="Calibri" w:hAnsi="Candara"/>
          <w:noProof/>
          <w:color w:val="000000"/>
          <w:lang w:eastAsia="en-AU"/>
        </w:rPr>
      </w:pPr>
      <w:r>
        <w:rPr>
          <w:rFonts w:ascii="Candara" w:eastAsia="Calibri" w:hAnsi="Candara" w:cs="Times New Roman"/>
          <w:color w:val="000000"/>
          <w:lang w:eastAsia="en-AU"/>
        </w:rPr>
        <w:t xml:space="preserve">In order to estimate the financial impact on consumers and businesses, </w:t>
      </w:r>
      <w:r w:rsidRPr="00187049">
        <w:rPr>
          <w:rFonts w:ascii="Candara" w:eastAsia="Calibri" w:hAnsi="Candara" w:cs="Times New Roman"/>
          <w:color w:val="000000"/>
          <w:lang w:eastAsia="en-AU"/>
        </w:rPr>
        <w:t xml:space="preserve">CSIRO analysed the fire start data for the 2012-2014 years </w:t>
      </w:r>
      <w:r w:rsidR="00F4739E">
        <w:rPr>
          <w:rFonts w:ascii="Candara" w:eastAsia="Calibri" w:hAnsi="Candara" w:cs="Times New Roman"/>
          <w:color w:val="000000"/>
          <w:lang w:eastAsia="en-AU"/>
        </w:rPr>
        <w:t xml:space="preserve">which was </w:t>
      </w:r>
      <w:r w:rsidRPr="00187049">
        <w:rPr>
          <w:rFonts w:ascii="Candara" w:eastAsia="Calibri" w:hAnsi="Candara" w:cs="Times New Roman"/>
          <w:color w:val="000000"/>
          <w:lang w:eastAsia="en-AU"/>
        </w:rPr>
        <w:t xml:space="preserve">provided by each of the distribution businesses to the AER for the purpose of making determinations under the existing f-factor scheme. Using this dataset, CSIRO prepared weather simulations representing 30,000 weather years for each of the distribution businesses. </w:t>
      </w:r>
    </w:p>
    <w:p w14:paraId="5C241A97" w14:textId="701CF36F" w:rsidR="00F4739E" w:rsidRDefault="00F4739E" w:rsidP="005F5FF4">
      <w:pPr>
        <w:spacing w:before="120" w:after="60"/>
        <w:ind w:right="-397"/>
        <w:rPr>
          <w:rFonts w:ascii="Candara" w:hAnsi="Candara"/>
          <w:noProof/>
          <w:lang w:eastAsia="en-AU"/>
        </w:rPr>
      </w:pPr>
      <w:r w:rsidRPr="00F4739E">
        <w:rPr>
          <w:rFonts w:ascii="Candara" w:hAnsi="Candara"/>
          <w:noProof/>
          <w:lang w:eastAsia="en-AU"/>
        </w:rPr>
        <w:t>The purpose of the CSIRO research was</w:t>
      </w:r>
      <w:r>
        <w:rPr>
          <w:rFonts w:ascii="Candara" w:hAnsi="Candara"/>
          <w:noProof/>
          <w:lang w:eastAsia="en-AU"/>
        </w:rPr>
        <w:t xml:space="preserve"> </w:t>
      </w:r>
      <w:r w:rsidRPr="00F4739E">
        <w:rPr>
          <w:rFonts w:ascii="Candara" w:hAnsi="Candara"/>
          <w:noProof/>
          <w:lang w:eastAsia="en-AU"/>
        </w:rPr>
        <w:t>to identify how the IRU outcome of each distribution business may vary under dirfferent weather scenarios, noting that in a year in which the weather is:</w:t>
      </w:r>
    </w:p>
    <w:p w14:paraId="34BC5388" w14:textId="77777777" w:rsidR="00F4739E" w:rsidRPr="00F4739E" w:rsidRDefault="00F4739E" w:rsidP="00BB41A4">
      <w:pPr>
        <w:numPr>
          <w:ilvl w:val="0"/>
          <w:numId w:val="30"/>
        </w:numPr>
        <w:spacing w:after="120"/>
        <w:ind w:left="714" w:hanging="357"/>
        <w:contextualSpacing/>
        <w:rPr>
          <w:rFonts w:ascii="Candara" w:hAnsi="Candara"/>
        </w:rPr>
      </w:pPr>
      <w:r w:rsidRPr="00F4739E">
        <w:rPr>
          <w:rFonts w:ascii="Candara" w:hAnsi="Candara"/>
          <w:b/>
          <w:color w:val="17365D"/>
        </w:rPr>
        <w:t>hotter than average</w:t>
      </w:r>
      <w:r w:rsidRPr="00F4739E">
        <w:rPr>
          <w:rFonts w:ascii="Candara" w:hAnsi="Candara"/>
        </w:rPr>
        <w:t>, there is an increased likelihood that the IRU performance will exceed the IRU baseline (increasing the prospects of a business being penalised); and</w:t>
      </w:r>
    </w:p>
    <w:p w14:paraId="37DD512A" w14:textId="77777777" w:rsidR="00F4739E" w:rsidRPr="00F4739E" w:rsidRDefault="00F4739E" w:rsidP="00BB41A4">
      <w:pPr>
        <w:numPr>
          <w:ilvl w:val="0"/>
          <w:numId w:val="30"/>
        </w:numPr>
        <w:spacing w:after="120"/>
        <w:ind w:left="714" w:hanging="357"/>
        <w:contextualSpacing/>
        <w:rPr>
          <w:rFonts w:ascii="Candara" w:hAnsi="Candara"/>
        </w:rPr>
      </w:pPr>
      <w:r w:rsidRPr="00F4739E">
        <w:rPr>
          <w:rFonts w:ascii="Candara" w:hAnsi="Candara"/>
          <w:b/>
          <w:color w:val="17365D"/>
        </w:rPr>
        <w:t>cooler than average</w:t>
      </w:r>
      <w:r w:rsidRPr="00F4739E">
        <w:rPr>
          <w:rFonts w:ascii="Candara" w:hAnsi="Candara"/>
        </w:rPr>
        <w:t>, there is an increased likelihood that the IRU performance will fall below the IRU baseline (increasing the prospects of customer tariff increases).</w:t>
      </w:r>
    </w:p>
    <w:p w14:paraId="7E3B7E09" w14:textId="77777777" w:rsidR="00F4739E" w:rsidRDefault="00F4739E" w:rsidP="00F4739E">
      <w:pPr>
        <w:spacing w:before="120" w:after="60" w:line="240" w:lineRule="auto"/>
        <w:ind w:right="-397"/>
        <w:rPr>
          <w:rFonts w:ascii="Candara" w:hAnsi="Candara"/>
          <w:noProof/>
          <w:lang w:eastAsia="en-AU"/>
        </w:rPr>
      </w:pPr>
    </w:p>
    <w:p w14:paraId="6036F099" w14:textId="77777777" w:rsidR="00F4739E" w:rsidRPr="00F4739E" w:rsidRDefault="00F4739E" w:rsidP="005F5FF4">
      <w:pPr>
        <w:spacing w:before="120" w:after="60"/>
        <w:ind w:right="-397"/>
        <w:rPr>
          <w:rFonts w:ascii="Candara" w:hAnsi="Candara"/>
          <w:noProof/>
          <w:lang w:eastAsia="en-AU"/>
        </w:rPr>
      </w:pPr>
      <w:r w:rsidRPr="00F4739E">
        <w:rPr>
          <w:rFonts w:ascii="Candara" w:hAnsi="Candara"/>
          <w:noProof/>
          <w:lang w:eastAsia="en-AU"/>
        </w:rPr>
        <w:t>To test the potential impact of weather variation on IRU performance, the CSIRO modelling was used to identify three indicative classes of weather year:</w:t>
      </w:r>
    </w:p>
    <w:p w14:paraId="4C1ECBC6" w14:textId="77777777" w:rsidR="00F4739E" w:rsidRPr="00F4739E" w:rsidRDefault="00F4739E" w:rsidP="00BB41A4">
      <w:pPr>
        <w:numPr>
          <w:ilvl w:val="0"/>
          <w:numId w:val="30"/>
        </w:numPr>
        <w:spacing w:after="120"/>
        <w:ind w:left="714" w:hanging="357"/>
        <w:contextualSpacing/>
        <w:rPr>
          <w:rFonts w:ascii="Candara" w:hAnsi="Candara"/>
          <w:noProof/>
          <w:lang w:eastAsia="en-AU"/>
        </w:rPr>
      </w:pPr>
      <w:r w:rsidRPr="00F4739E">
        <w:rPr>
          <w:rFonts w:ascii="Candara" w:hAnsi="Candara"/>
          <w:noProof/>
          <w:lang w:eastAsia="en-AU"/>
        </w:rPr>
        <w:lastRenderedPageBreak/>
        <w:t>a “</w:t>
      </w:r>
      <w:r w:rsidRPr="005F5FF4">
        <w:rPr>
          <w:rFonts w:ascii="Candara" w:hAnsi="Candara"/>
          <w:b/>
          <w:color w:val="17365D"/>
        </w:rPr>
        <w:t>cool</w:t>
      </w:r>
      <w:r w:rsidRPr="00F4739E">
        <w:rPr>
          <w:rFonts w:ascii="Candara" w:hAnsi="Candara"/>
          <w:noProof/>
          <w:lang w:eastAsia="en-AU"/>
        </w:rPr>
        <w:t>” year, taken to be represented by the simulated year at the 25</w:t>
      </w:r>
      <w:r w:rsidRPr="00F4739E">
        <w:rPr>
          <w:rFonts w:ascii="Candara" w:hAnsi="Candara"/>
          <w:noProof/>
          <w:vertAlign w:val="superscript"/>
          <w:lang w:eastAsia="en-AU"/>
        </w:rPr>
        <w:t>th</w:t>
      </w:r>
      <w:r w:rsidRPr="00F4739E">
        <w:rPr>
          <w:rFonts w:ascii="Candara" w:hAnsi="Candara"/>
          <w:noProof/>
          <w:lang w:eastAsia="en-AU"/>
        </w:rPr>
        <w:t xml:space="preserve"> quantile in the distribution of simulated weather years (i.e. 25% of the 30,000 simulated years have an IRU score below this value).</w:t>
      </w:r>
    </w:p>
    <w:p w14:paraId="547C4990" w14:textId="77777777" w:rsidR="00F4739E" w:rsidRPr="00F4739E" w:rsidRDefault="00F4739E" w:rsidP="00BB41A4">
      <w:pPr>
        <w:numPr>
          <w:ilvl w:val="0"/>
          <w:numId w:val="30"/>
        </w:numPr>
        <w:spacing w:after="120"/>
        <w:ind w:left="714" w:hanging="357"/>
        <w:contextualSpacing/>
        <w:rPr>
          <w:rFonts w:ascii="Candara" w:hAnsi="Candara"/>
          <w:noProof/>
          <w:lang w:eastAsia="en-AU"/>
        </w:rPr>
      </w:pPr>
      <w:r w:rsidRPr="00F4739E">
        <w:rPr>
          <w:rFonts w:ascii="Candara" w:hAnsi="Candara"/>
          <w:noProof/>
          <w:lang w:eastAsia="en-AU"/>
        </w:rPr>
        <w:t>a “</w:t>
      </w:r>
      <w:r w:rsidRPr="005F5FF4">
        <w:rPr>
          <w:rFonts w:ascii="Candara" w:hAnsi="Candara"/>
          <w:b/>
          <w:color w:val="17365D"/>
        </w:rPr>
        <w:t>typical</w:t>
      </w:r>
      <w:r w:rsidRPr="00F4739E">
        <w:rPr>
          <w:rFonts w:ascii="Candara" w:hAnsi="Candara"/>
          <w:noProof/>
          <w:lang w:eastAsia="en-AU"/>
        </w:rPr>
        <w:t>” year, taken to be represnted by the mean IRU value for all 30,000 simulated years.</w:t>
      </w:r>
    </w:p>
    <w:p w14:paraId="37331D54" w14:textId="6DB0BF07" w:rsidR="00F4739E" w:rsidRDefault="00F4739E" w:rsidP="00BB41A4">
      <w:pPr>
        <w:numPr>
          <w:ilvl w:val="0"/>
          <w:numId w:val="30"/>
        </w:numPr>
        <w:spacing w:after="120"/>
        <w:ind w:left="714" w:hanging="357"/>
        <w:contextualSpacing/>
        <w:rPr>
          <w:rFonts w:ascii="Candara" w:hAnsi="Candara"/>
          <w:noProof/>
          <w:lang w:eastAsia="en-AU"/>
        </w:rPr>
      </w:pPr>
      <w:r w:rsidRPr="00F4739E">
        <w:rPr>
          <w:rFonts w:ascii="Candara" w:hAnsi="Candara"/>
          <w:noProof/>
          <w:lang w:eastAsia="en-AU"/>
        </w:rPr>
        <w:t>a “</w:t>
      </w:r>
      <w:r w:rsidRPr="005F5FF4">
        <w:rPr>
          <w:rFonts w:ascii="Candara" w:hAnsi="Candara"/>
          <w:b/>
          <w:color w:val="17365D"/>
        </w:rPr>
        <w:t>hot</w:t>
      </w:r>
      <w:r w:rsidRPr="00F4739E">
        <w:rPr>
          <w:rFonts w:ascii="Candara" w:hAnsi="Candara"/>
          <w:noProof/>
          <w:lang w:eastAsia="en-AU"/>
        </w:rPr>
        <w:t>” year, taken to be represented by the simulated year at the 75</w:t>
      </w:r>
      <w:r w:rsidRPr="00F4739E">
        <w:rPr>
          <w:rFonts w:ascii="Candara" w:hAnsi="Candara"/>
          <w:noProof/>
          <w:vertAlign w:val="superscript"/>
          <w:lang w:eastAsia="en-AU"/>
        </w:rPr>
        <w:t>th</w:t>
      </w:r>
      <w:r w:rsidRPr="00F4739E">
        <w:rPr>
          <w:rFonts w:ascii="Candara" w:hAnsi="Candara"/>
          <w:noProof/>
          <w:lang w:eastAsia="en-AU"/>
        </w:rPr>
        <w:t xml:space="preserve"> quantile in the distribution of simulated weather years (i.e. 75% of the 30,000 simulated years have an IRU score below this value).</w:t>
      </w:r>
    </w:p>
    <w:p w14:paraId="2A561230" w14:textId="77777777" w:rsidR="00BE1ABE" w:rsidRDefault="00BE1ABE" w:rsidP="00351604">
      <w:pPr>
        <w:spacing w:before="120" w:after="60"/>
        <w:ind w:right="-397"/>
        <w:rPr>
          <w:rFonts w:ascii="Candara" w:hAnsi="Candara" w:cs="Calibri"/>
        </w:rPr>
      </w:pPr>
    </w:p>
    <w:p w14:paraId="705BC277" w14:textId="7CA4819B" w:rsidR="00F4739E" w:rsidRPr="00351604" w:rsidRDefault="00F4739E" w:rsidP="00351604">
      <w:pPr>
        <w:spacing w:before="120" w:after="60"/>
        <w:ind w:right="-397"/>
        <w:rPr>
          <w:rFonts w:ascii="Candara" w:hAnsi="Candara" w:cs="Calibri"/>
        </w:rPr>
      </w:pPr>
      <w:r w:rsidRPr="003543AF">
        <w:rPr>
          <w:rFonts w:ascii="Candara" w:hAnsi="Candara" w:cs="Calibri"/>
        </w:rPr>
        <w:t>The table below shows an estimate of the annual IRU value for each distribution business that is associated with each of the three identified weather scenarios. It should be noted that the IRU value for the “typical” year is a close approximation to the actual level of the benchmark.</w:t>
      </w:r>
      <w:r w:rsidR="00351604">
        <w:rPr>
          <w:rFonts w:ascii="Candara" w:hAnsi="Candara" w:cs="Calibri"/>
        </w:rPr>
        <w:t xml:space="preserve"> </w:t>
      </w:r>
    </w:p>
    <w:p w14:paraId="661BA815" w14:textId="68BFCD13" w:rsidR="008C1234" w:rsidRPr="008C1234" w:rsidRDefault="008C1234" w:rsidP="008C1234">
      <w:pPr>
        <w:autoSpaceDE w:val="0"/>
        <w:autoSpaceDN w:val="0"/>
        <w:adjustRightInd w:val="0"/>
        <w:spacing w:before="120" w:after="80"/>
        <w:rPr>
          <w:rFonts w:ascii="Candara" w:hAnsi="Candara" w:cs="Calibri"/>
          <w:sz w:val="21"/>
          <w:szCs w:val="21"/>
        </w:rPr>
      </w:pPr>
      <w:r>
        <w:rPr>
          <w:rStyle w:val="Heading6Char"/>
        </w:rPr>
        <w:t>Figure 4.1: Financial impact distribution by weather scenarios</w:t>
      </w:r>
    </w:p>
    <w:tbl>
      <w:tblPr>
        <w:tblW w:w="8051" w:type="dxa"/>
        <w:tblInd w:w="491" w:type="dxa"/>
        <w:tblLook w:val="04A0" w:firstRow="1" w:lastRow="0" w:firstColumn="1" w:lastColumn="0" w:noHBand="0" w:noVBand="1"/>
      </w:tblPr>
      <w:tblGrid>
        <w:gridCol w:w="1903"/>
        <w:gridCol w:w="2050"/>
        <w:gridCol w:w="2049"/>
        <w:gridCol w:w="2049"/>
      </w:tblGrid>
      <w:tr w:rsidR="00E6727A" w:rsidRPr="00504B47" w14:paraId="23F26BDB"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478A4A5"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 xml:space="preserve">Type of </w:t>
            </w:r>
            <w:r w:rsidRPr="00504B47">
              <w:rPr>
                <w:rFonts w:ascii="Calibri" w:eastAsia="Times New Roman" w:hAnsi="Calibri" w:cs="Times New Roman"/>
                <w:b/>
                <w:bCs/>
                <w:color w:val="FFFFFF"/>
                <w:sz w:val="20"/>
                <w:szCs w:val="20"/>
                <w:lang w:eastAsia="en-AU"/>
              </w:rPr>
              <w:br/>
              <w:t>weather year</w:t>
            </w:r>
          </w:p>
        </w:tc>
        <w:tc>
          <w:tcPr>
            <w:tcW w:w="2050"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53513125" w14:textId="77777777" w:rsidR="00E6727A" w:rsidRPr="00F42A64" w:rsidRDefault="00E6727A" w:rsidP="00E6727A">
            <w:pPr>
              <w:spacing w:after="0" w:line="240" w:lineRule="auto"/>
              <w:jc w:val="center"/>
              <w:rPr>
                <w:rFonts w:ascii="Calibri" w:eastAsia="Times New Roman" w:hAnsi="Calibri" w:cs="Times New Roman"/>
                <w:b/>
                <w:bCs/>
                <w:color w:val="F2F2F2" w:themeColor="background1" w:themeShade="F2"/>
                <w:sz w:val="20"/>
                <w:szCs w:val="20"/>
                <w:lang w:eastAsia="en-AU"/>
              </w:rPr>
            </w:pPr>
            <w:r w:rsidRPr="00F42A64">
              <w:rPr>
                <w:rFonts w:ascii="Calibri" w:eastAsia="Times New Roman" w:hAnsi="Calibri" w:cs="Times New Roman"/>
                <w:b/>
                <w:bCs/>
                <w:color w:val="F2F2F2" w:themeColor="background1" w:themeShade="F2"/>
                <w:sz w:val="20"/>
                <w:szCs w:val="20"/>
                <w:lang w:eastAsia="en-AU"/>
              </w:rPr>
              <w:t>Cool</w:t>
            </w:r>
          </w:p>
        </w:tc>
        <w:tc>
          <w:tcPr>
            <w:tcW w:w="2049"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6CD74529" w14:textId="77777777" w:rsidR="00E6727A" w:rsidRPr="00F42A64" w:rsidRDefault="00E6727A" w:rsidP="00E6727A">
            <w:pPr>
              <w:spacing w:after="0" w:line="240" w:lineRule="auto"/>
              <w:jc w:val="center"/>
              <w:rPr>
                <w:rFonts w:ascii="Calibri" w:eastAsia="Times New Roman" w:hAnsi="Calibri" w:cs="Times New Roman"/>
                <w:b/>
                <w:bCs/>
                <w:color w:val="F2F2F2" w:themeColor="background1" w:themeShade="F2"/>
                <w:sz w:val="20"/>
                <w:szCs w:val="20"/>
                <w:lang w:eastAsia="en-AU"/>
              </w:rPr>
            </w:pPr>
            <w:r w:rsidRPr="00F42A64">
              <w:rPr>
                <w:rFonts w:ascii="Calibri" w:eastAsia="Times New Roman" w:hAnsi="Calibri" w:cs="Times New Roman"/>
                <w:b/>
                <w:bCs/>
                <w:color w:val="F2F2F2" w:themeColor="background1" w:themeShade="F2"/>
                <w:sz w:val="20"/>
                <w:szCs w:val="20"/>
                <w:lang w:eastAsia="en-AU"/>
              </w:rPr>
              <w:t>Typical</w:t>
            </w:r>
          </w:p>
        </w:tc>
        <w:tc>
          <w:tcPr>
            <w:tcW w:w="2049"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1985253E" w14:textId="77777777" w:rsidR="00E6727A" w:rsidRPr="00F42A64" w:rsidRDefault="00E6727A" w:rsidP="00E6727A">
            <w:pPr>
              <w:spacing w:after="0" w:line="240" w:lineRule="auto"/>
              <w:jc w:val="center"/>
              <w:rPr>
                <w:rFonts w:ascii="Calibri" w:eastAsia="Times New Roman" w:hAnsi="Calibri" w:cs="Times New Roman"/>
                <w:b/>
                <w:bCs/>
                <w:color w:val="F2F2F2" w:themeColor="background1" w:themeShade="F2"/>
                <w:sz w:val="20"/>
                <w:szCs w:val="20"/>
                <w:lang w:eastAsia="en-AU"/>
              </w:rPr>
            </w:pPr>
            <w:r w:rsidRPr="00F42A64">
              <w:rPr>
                <w:rFonts w:ascii="Calibri" w:eastAsia="Times New Roman" w:hAnsi="Calibri" w:cs="Times New Roman"/>
                <w:b/>
                <w:bCs/>
                <w:color w:val="F2F2F2" w:themeColor="background1" w:themeShade="F2"/>
                <w:sz w:val="20"/>
                <w:szCs w:val="20"/>
                <w:lang w:eastAsia="en-AU"/>
              </w:rPr>
              <w:t>Hot</w:t>
            </w:r>
          </w:p>
        </w:tc>
      </w:tr>
      <w:tr w:rsidR="00E6727A" w:rsidRPr="00504B47" w14:paraId="3F89BDEF"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6206A1B"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Quantile</w:t>
            </w:r>
          </w:p>
        </w:tc>
        <w:tc>
          <w:tcPr>
            <w:tcW w:w="2050" w:type="dxa"/>
            <w:tcBorders>
              <w:top w:val="nil"/>
              <w:left w:val="nil"/>
              <w:bottom w:val="single" w:sz="4" w:space="0" w:color="BFBFBF"/>
              <w:right w:val="single" w:sz="4" w:space="0" w:color="BFBFBF"/>
            </w:tcBorders>
            <w:vAlign w:val="center"/>
            <w:hideMark/>
          </w:tcPr>
          <w:p w14:paraId="44935477"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25th</w:t>
            </w:r>
          </w:p>
        </w:tc>
        <w:tc>
          <w:tcPr>
            <w:tcW w:w="2049" w:type="dxa"/>
            <w:tcBorders>
              <w:top w:val="nil"/>
              <w:left w:val="nil"/>
              <w:bottom w:val="single" w:sz="4" w:space="0" w:color="BFBFBF"/>
              <w:right w:val="single" w:sz="4" w:space="0" w:color="BFBFBF"/>
            </w:tcBorders>
            <w:vAlign w:val="center"/>
            <w:hideMark/>
          </w:tcPr>
          <w:p w14:paraId="631C3E15"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(mean value)</w:t>
            </w:r>
          </w:p>
        </w:tc>
        <w:tc>
          <w:tcPr>
            <w:tcW w:w="2049" w:type="dxa"/>
            <w:tcBorders>
              <w:top w:val="nil"/>
              <w:left w:val="nil"/>
              <w:bottom w:val="single" w:sz="4" w:space="0" w:color="BFBFBF"/>
              <w:right w:val="single" w:sz="4" w:space="0" w:color="BFBFBF"/>
            </w:tcBorders>
            <w:vAlign w:val="center"/>
            <w:hideMark/>
          </w:tcPr>
          <w:p w14:paraId="4D869833"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75th</w:t>
            </w:r>
          </w:p>
        </w:tc>
      </w:tr>
      <w:tr w:rsidR="00E6727A" w:rsidRPr="00504B47" w14:paraId="34033794" w14:textId="77777777" w:rsidTr="00700509">
        <w:trPr>
          <w:trHeight w:val="102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24858C3"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Description</w:t>
            </w:r>
          </w:p>
        </w:tc>
        <w:tc>
          <w:tcPr>
            <w:tcW w:w="2050" w:type="dxa"/>
            <w:tcBorders>
              <w:top w:val="nil"/>
              <w:left w:val="nil"/>
              <w:bottom w:val="single" w:sz="4" w:space="0" w:color="BFBFBF"/>
              <w:right w:val="single" w:sz="4" w:space="0" w:color="BFBFBF"/>
            </w:tcBorders>
            <w:vAlign w:val="center"/>
            <w:hideMark/>
          </w:tcPr>
          <w:p w14:paraId="4C81E9A3" w14:textId="77777777" w:rsidR="00E6727A" w:rsidRPr="00504B47" w:rsidRDefault="00E6727A" w:rsidP="00E6727A">
            <w:pPr>
              <w:spacing w:after="0" w:line="240" w:lineRule="auto"/>
              <w:rPr>
                <w:rFonts w:ascii="Calibri" w:eastAsia="Times New Roman" w:hAnsi="Calibri" w:cs="Times New Roman"/>
                <w:color w:val="000000"/>
                <w:sz w:val="18"/>
                <w:szCs w:val="18"/>
                <w:lang w:eastAsia="en-AU"/>
              </w:rPr>
            </w:pPr>
            <w:r w:rsidRPr="00504B47">
              <w:rPr>
                <w:rFonts w:ascii="Calibri" w:eastAsia="Times New Roman" w:hAnsi="Calibri" w:cs="Times New Roman"/>
                <w:color w:val="000000"/>
                <w:sz w:val="18"/>
                <w:szCs w:val="18"/>
                <w:lang w:eastAsia="en-AU"/>
              </w:rPr>
              <w:t>25% of all simulated years have an IRU value less than this.</w:t>
            </w:r>
          </w:p>
        </w:tc>
        <w:tc>
          <w:tcPr>
            <w:tcW w:w="2049" w:type="dxa"/>
            <w:tcBorders>
              <w:top w:val="nil"/>
              <w:left w:val="nil"/>
              <w:bottom w:val="single" w:sz="4" w:space="0" w:color="BFBFBF"/>
              <w:right w:val="single" w:sz="4" w:space="0" w:color="BFBFBF"/>
            </w:tcBorders>
            <w:vAlign w:val="center"/>
            <w:hideMark/>
          </w:tcPr>
          <w:p w14:paraId="2EECDFEB" w14:textId="77777777" w:rsidR="00E6727A" w:rsidRPr="00504B47" w:rsidRDefault="00E6727A" w:rsidP="00E6727A">
            <w:pPr>
              <w:spacing w:after="0" w:line="240" w:lineRule="auto"/>
              <w:rPr>
                <w:rFonts w:ascii="Calibri" w:eastAsia="Times New Roman" w:hAnsi="Calibri" w:cs="Times New Roman"/>
                <w:color w:val="000000"/>
                <w:sz w:val="18"/>
                <w:szCs w:val="18"/>
                <w:lang w:eastAsia="en-AU"/>
              </w:rPr>
            </w:pPr>
            <w:r w:rsidRPr="00504B47">
              <w:rPr>
                <w:rFonts w:ascii="Calibri" w:eastAsia="Times New Roman" w:hAnsi="Calibri" w:cs="Times New Roman"/>
                <w:color w:val="000000"/>
                <w:sz w:val="18"/>
                <w:szCs w:val="18"/>
                <w:lang w:eastAsia="en-AU"/>
              </w:rPr>
              <w:t>Average IRU value for all simulated years.</w:t>
            </w:r>
          </w:p>
        </w:tc>
        <w:tc>
          <w:tcPr>
            <w:tcW w:w="2049" w:type="dxa"/>
            <w:tcBorders>
              <w:top w:val="nil"/>
              <w:left w:val="nil"/>
              <w:bottom w:val="single" w:sz="4" w:space="0" w:color="BFBFBF"/>
              <w:right w:val="single" w:sz="4" w:space="0" w:color="BFBFBF"/>
            </w:tcBorders>
            <w:vAlign w:val="center"/>
            <w:hideMark/>
          </w:tcPr>
          <w:p w14:paraId="5056FBB5" w14:textId="77777777" w:rsidR="00E6727A" w:rsidRPr="00504B47" w:rsidRDefault="00E6727A" w:rsidP="00E6727A">
            <w:pPr>
              <w:spacing w:after="0" w:line="240" w:lineRule="auto"/>
              <w:rPr>
                <w:rFonts w:ascii="Calibri" w:eastAsia="Times New Roman" w:hAnsi="Calibri" w:cs="Times New Roman"/>
                <w:color w:val="000000"/>
                <w:sz w:val="18"/>
                <w:szCs w:val="18"/>
                <w:lang w:eastAsia="en-AU"/>
              </w:rPr>
            </w:pPr>
            <w:r w:rsidRPr="00504B47">
              <w:rPr>
                <w:rFonts w:ascii="Calibri" w:eastAsia="Times New Roman" w:hAnsi="Calibri" w:cs="Times New Roman"/>
                <w:color w:val="000000"/>
                <w:sz w:val="18"/>
                <w:szCs w:val="18"/>
                <w:lang w:eastAsia="en-AU"/>
              </w:rPr>
              <w:t>75% of all simulated years have an IRU value less than this.</w:t>
            </w:r>
          </w:p>
        </w:tc>
      </w:tr>
      <w:tr w:rsidR="00E6727A" w:rsidRPr="00504B47" w14:paraId="0392D8E8"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A780706"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AusNet Services</w:t>
            </w:r>
          </w:p>
        </w:tc>
        <w:tc>
          <w:tcPr>
            <w:tcW w:w="2050" w:type="dxa"/>
            <w:tcBorders>
              <w:top w:val="nil"/>
              <w:left w:val="nil"/>
              <w:bottom w:val="single" w:sz="4" w:space="0" w:color="BFBFBF"/>
              <w:right w:val="single" w:sz="4" w:space="0" w:color="BFBFBF"/>
            </w:tcBorders>
            <w:vAlign w:val="center"/>
            <w:hideMark/>
          </w:tcPr>
          <w:p w14:paraId="69B25E59"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205.9</w:t>
            </w:r>
          </w:p>
        </w:tc>
        <w:tc>
          <w:tcPr>
            <w:tcW w:w="2049" w:type="dxa"/>
            <w:tcBorders>
              <w:top w:val="nil"/>
              <w:left w:val="nil"/>
              <w:bottom w:val="single" w:sz="4" w:space="0" w:color="BFBFBF"/>
              <w:right w:val="single" w:sz="4" w:space="0" w:color="BFBFBF"/>
            </w:tcBorders>
            <w:vAlign w:val="center"/>
            <w:hideMark/>
          </w:tcPr>
          <w:p w14:paraId="7ADA6F32"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274.3</w:t>
            </w:r>
          </w:p>
        </w:tc>
        <w:tc>
          <w:tcPr>
            <w:tcW w:w="2049" w:type="dxa"/>
            <w:tcBorders>
              <w:top w:val="nil"/>
              <w:left w:val="nil"/>
              <w:bottom w:val="single" w:sz="4" w:space="0" w:color="BFBFBF"/>
              <w:right w:val="single" w:sz="4" w:space="0" w:color="BFBFBF"/>
            </w:tcBorders>
            <w:vAlign w:val="center"/>
            <w:hideMark/>
          </w:tcPr>
          <w:p w14:paraId="28E8BC77"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327.2</w:t>
            </w:r>
          </w:p>
        </w:tc>
      </w:tr>
      <w:tr w:rsidR="00E6727A" w:rsidRPr="00504B47" w14:paraId="5EE46F55"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tcPr>
          <w:p w14:paraId="3397EE2F"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CitiPower</w:t>
            </w:r>
          </w:p>
        </w:tc>
        <w:tc>
          <w:tcPr>
            <w:tcW w:w="2050" w:type="dxa"/>
            <w:tcBorders>
              <w:top w:val="single" w:sz="4" w:space="0" w:color="BFBFBF"/>
              <w:left w:val="nil"/>
              <w:bottom w:val="single" w:sz="4" w:space="0" w:color="BFBFBF"/>
              <w:right w:val="single" w:sz="4" w:space="0" w:color="BFBFBF"/>
            </w:tcBorders>
            <w:vAlign w:val="center"/>
          </w:tcPr>
          <w:p w14:paraId="669959DD"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1.9</w:t>
            </w:r>
          </w:p>
        </w:tc>
        <w:tc>
          <w:tcPr>
            <w:tcW w:w="2049" w:type="dxa"/>
            <w:tcBorders>
              <w:top w:val="single" w:sz="4" w:space="0" w:color="BFBFBF"/>
              <w:left w:val="nil"/>
              <w:bottom w:val="single" w:sz="4" w:space="0" w:color="BFBFBF"/>
              <w:right w:val="single" w:sz="4" w:space="0" w:color="BFBFBF"/>
            </w:tcBorders>
            <w:vAlign w:val="center"/>
          </w:tcPr>
          <w:p w14:paraId="2419567E"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4.1</w:t>
            </w:r>
          </w:p>
        </w:tc>
        <w:tc>
          <w:tcPr>
            <w:tcW w:w="2049" w:type="dxa"/>
            <w:tcBorders>
              <w:top w:val="single" w:sz="4" w:space="0" w:color="BFBFBF"/>
              <w:left w:val="nil"/>
              <w:bottom w:val="single" w:sz="4" w:space="0" w:color="BFBFBF"/>
              <w:right w:val="single" w:sz="4" w:space="0" w:color="BFBFBF"/>
            </w:tcBorders>
            <w:vAlign w:val="center"/>
          </w:tcPr>
          <w:p w14:paraId="7B17E621"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5.7</w:t>
            </w:r>
          </w:p>
        </w:tc>
      </w:tr>
      <w:tr w:rsidR="00E6727A" w:rsidRPr="00504B47" w14:paraId="7577D06A"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tcPr>
          <w:p w14:paraId="7C8FE691"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Jemena</w:t>
            </w:r>
          </w:p>
        </w:tc>
        <w:tc>
          <w:tcPr>
            <w:tcW w:w="2050" w:type="dxa"/>
            <w:tcBorders>
              <w:top w:val="single" w:sz="4" w:space="0" w:color="BFBFBF"/>
              <w:left w:val="nil"/>
              <w:bottom w:val="single" w:sz="4" w:space="0" w:color="BFBFBF"/>
              <w:right w:val="single" w:sz="4" w:space="0" w:color="BFBFBF"/>
            </w:tcBorders>
            <w:vAlign w:val="center"/>
          </w:tcPr>
          <w:p w14:paraId="378D4EF3"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6.2</w:t>
            </w:r>
          </w:p>
        </w:tc>
        <w:tc>
          <w:tcPr>
            <w:tcW w:w="2049" w:type="dxa"/>
            <w:tcBorders>
              <w:top w:val="single" w:sz="4" w:space="0" w:color="BFBFBF"/>
              <w:left w:val="nil"/>
              <w:bottom w:val="single" w:sz="4" w:space="0" w:color="BFBFBF"/>
              <w:right w:val="single" w:sz="4" w:space="0" w:color="BFBFBF"/>
            </w:tcBorders>
            <w:vAlign w:val="center"/>
          </w:tcPr>
          <w:p w14:paraId="431A86EF"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8.9</w:t>
            </w:r>
          </w:p>
        </w:tc>
        <w:tc>
          <w:tcPr>
            <w:tcW w:w="2049" w:type="dxa"/>
            <w:tcBorders>
              <w:top w:val="single" w:sz="4" w:space="0" w:color="BFBFBF"/>
              <w:left w:val="nil"/>
              <w:bottom w:val="single" w:sz="4" w:space="0" w:color="BFBFBF"/>
              <w:right w:val="single" w:sz="4" w:space="0" w:color="BFBFBF"/>
            </w:tcBorders>
            <w:vAlign w:val="center"/>
          </w:tcPr>
          <w:p w14:paraId="6BB763AD"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11.32</w:t>
            </w:r>
          </w:p>
        </w:tc>
      </w:tr>
      <w:tr w:rsidR="00E6727A" w:rsidRPr="00504B47" w14:paraId="67EE4F32"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tcPr>
          <w:p w14:paraId="10837A5B"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Powercor</w:t>
            </w:r>
          </w:p>
        </w:tc>
        <w:tc>
          <w:tcPr>
            <w:tcW w:w="2050" w:type="dxa"/>
            <w:tcBorders>
              <w:top w:val="single" w:sz="4" w:space="0" w:color="BFBFBF"/>
              <w:left w:val="nil"/>
              <w:bottom w:val="single" w:sz="4" w:space="0" w:color="BFBFBF"/>
              <w:right w:val="single" w:sz="4" w:space="0" w:color="BFBFBF"/>
            </w:tcBorders>
            <w:vAlign w:val="center"/>
          </w:tcPr>
          <w:p w14:paraId="1EF9B4AD"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284.3</w:t>
            </w:r>
          </w:p>
        </w:tc>
        <w:tc>
          <w:tcPr>
            <w:tcW w:w="2049" w:type="dxa"/>
            <w:tcBorders>
              <w:top w:val="single" w:sz="4" w:space="0" w:color="BFBFBF"/>
              <w:left w:val="nil"/>
              <w:bottom w:val="single" w:sz="4" w:space="0" w:color="BFBFBF"/>
              <w:right w:val="single" w:sz="4" w:space="0" w:color="BFBFBF"/>
            </w:tcBorders>
            <w:vAlign w:val="center"/>
          </w:tcPr>
          <w:p w14:paraId="6C950C7D"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472.9</w:t>
            </w:r>
          </w:p>
        </w:tc>
        <w:tc>
          <w:tcPr>
            <w:tcW w:w="2049" w:type="dxa"/>
            <w:tcBorders>
              <w:top w:val="single" w:sz="4" w:space="0" w:color="BFBFBF"/>
              <w:left w:val="nil"/>
              <w:bottom w:val="single" w:sz="4" w:space="0" w:color="BFBFBF"/>
              <w:right w:val="single" w:sz="4" w:space="0" w:color="BFBFBF"/>
            </w:tcBorders>
            <w:vAlign w:val="center"/>
          </w:tcPr>
          <w:p w14:paraId="2D0D07BB"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614.4</w:t>
            </w:r>
          </w:p>
        </w:tc>
      </w:tr>
      <w:tr w:rsidR="00E6727A" w:rsidRPr="00504B47" w14:paraId="711208BD" w14:textId="77777777" w:rsidTr="00700509">
        <w:trPr>
          <w:trHeight w:val="510"/>
        </w:trPr>
        <w:tc>
          <w:tcPr>
            <w:tcW w:w="1903"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tcPr>
          <w:p w14:paraId="3C612F32" w14:textId="77777777" w:rsidR="00E6727A" w:rsidRPr="00504B47" w:rsidRDefault="00E6727A" w:rsidP="00E6727A">
            <w:pPr>
              <w:spacing w:after="0" w:line="240" w:lineRule="auto"/>
              <w:jc w:val="center"/>
              <w:rPr>
                <w:rFonts w:ascii="Calibri" w:eastAsia="Times New Roman" w:hAnsi="Calibri" w:cs="Times New Roman"/>
                <w:b/>
                <w:bCs/>
                <w:color w:val="FFFFFF"/>
                <w:sz w:val="20"/>
                <w:szCs w:val="20"/>
                <w:lang w:eastAsia="en-AU"/>
              </w:rPr>
            </w:pPr>
            <w:r w:rsidRPr="00504B47">
              <w:rPr>
                <w:rFonts w:ascii="Calibri" w:eastAsia="Times New Roman" w:hAnsi="Calibri" w:cs="Times New Roman"/>
                <w:b/>
                <w:bCs/>
                <w:color w:val="FFFFFF"/>
                <w:sz w:val="20"/>
                <w:szCs w:val="20"/>
                <w:lang w:eastAsia="en-AU"/>
              </w:rPr>
              <w:t>United Energy</w:t>
            </w:r>
          </w:p>
        </w:tc>
        <w:tc>
          <w:tcPr>
            <w:tcW w:w="2050" w:type="dxa"/>
            <w:tcBorders>
              <w:top w:val="single" w:sz="4" w:space="0" w:color="BFBFBF"/>
              <w:left w:val="nil"/>
              <w:bottom w:val="single" w:sz="4" w:space="0" w:color="BFBFBF"/>
              <w:right w:val="single" w:sz="4" w:space="0" w:color="BFBFBF"/>
            </w:tcBorders>
            <w:vAlign w:val="center"/>
          </w:tcPr>
          <w:p w14:paraId="775C5891"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8.1</w:t>
            </w:r>
          </w:p>
        </w:tc>
        <w:tc>
          <w:tcPr>
            <w:tcW w:w="2049" w:type="dxa"/>
            <w:tcBorders>
              <w:top w:val="single" w:sz="4" w:space="0" w:color="BFBFBF"/>
              <w:left w:val="nil"/>
              <w:bottom w:val="single" w:sz="4" w:space="0" w:color="BFBFBF"/>
              <w:right w:val="single" w:sz="4" w:space="0" w:color="BFBFBF"/>
            </w:tcBorders>
            <w:vAlign w:val="center"/>
          </w:tcPr>
          <w:p w14:paraId="2CBEB6DA"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21.0</w:t>
            </w:r>
          </w:p>
        </w:tc>
        <w:tc>
          <w:tcPr>
            <w:tcW w:w="2049" w:type="dxa"/>
            <w:tcBorders>
              <w:top w:val="single" w:sz="4" w:space="0" w:color="BFBFBF"/>
              <w:left w:val="nil"/>
              <w:bottom w:val="single" w:sz="4" w:space="0" w:color="BFBFBF"/>
              <w:right w:val="single" w:sz="4" w:space="0" w:color="BFBFBF"/>
            </w:tcBorders>
            <w:vAlign w:val="center"/>
          </w:tcPr>
          <w:p w14:paraId="2B798C8F" w14:textId="77777777" w:rsidR="00E6727A" w:rsidRPr="00504B47" w:rsidRDefault="00E6727A" w:rsidP="00E6727A">
            <w:pPr>
              <w:spacing w:after="0" w:line="240" w:lineRule="auto"/>
              <w:jc w:val="center"/>
              <w:rPr>
                <w:rFonts w:ascii="Calibri" w:eastAsia="Times New Roman" w:hAnsi="Calibri" w:cs="Times New Roman"/>
                <w:color w:val="000000"/>
                <w:sz w:val="20"/>
                <w:szCs w:val="20"/>
                <w:lang w:eastAsia="en-AU"/>
              </w:rPr>
            </w:pPr>
            <w:r w:rsidRPr="00504B47">
              <w:rPr>
                <w:rFonts w:ascii="Calibri" w:eastAsia="Times New Roman" w:hAnsi="Calibri" w:cs="Times New Roman"/>
                <w:color w:val="000000"/>
                <w:sz w:val="20"/>
                <w:szCs w:val="20"/>
                <w:lang w:eastAsia="en-AU"/>
              </w:rPr>
              <w:t>29.9</w:t>
            </w:r>
          </w:p>
        </w:tc>
      </w:tr>
    </w:tbl>
    <w:p w14:paraId="5F7C8895" w14:textId="19F73280" w:rsidR="00A35468" w:rsidRPr="00F4739E" w:rsidRDefault="00E6727A" w:rsidP="00E6727A">
      <w:pPr>
        <w:autoSpaceDE w:val="0"/>
        <w:autoSpaceDN w:val="0"/>
        <w:adjustRightInd w:val="0"/>
        <w:spacing w:before="120" w:after="80"/>
        <w:rPr>
          <w:rFonts w:ascii="Candara" w:hAnsi="Candara"/>
          <w:sz w:val="18"/>
          <w:szCs w:val="18"/>
        </w:rPr>
      </w:pPr>
      <w:r w:rsidRPr="001F1B21">
        <w:rPr>
          <w:rFonts w:ascii="Candara" w:hAnsi="Candara"/>
          <w:sz w:val="18"/>
          <w:szCs w:val="18"/>
        </w:rPr>
        <w:t xml:space="preserve">Further details of this simulated weather </w:t>
      </w:r>
      <w:r w:rsidR="0042416E">
        <w:rPr>
          <w:rFonts w:ascii="Candara" w:hAnsi="Candara"/>
          <w:sz w:val="18"/>
          <w:szCs w:val="18"/>
        </w:rPr>
        <w:t xml:space="preserve">analysis are given in </w:t>
      </w:r>
      <w:r w:rsidR="0042416E" w:rsidRPr="0042416E">
        <w:rPr>
          <w:rFonts w:ascii="Candara" w:hAnsi="Candara"/>
          <w:b/>
          <w:sz w:val="18"/>
          <w:szCs w:val="18"/>
        </w:rPr>
        <w:t>Appendix 2</w:t>
      </w:r>
      <w:r w:rsidR="00F4739E">
        <w:rPr>
          <w:rFonts w:ascii="Candara" w:hAnsi="Candara"/>
          <w:sz w:val="18"/>
          <w:szCs w:val="18"/>
        </w:rPr>
        <w:t>.</w:t>
      </w:r>
    </w:p>
    <w:p w14:paraId="5DFAF7B6" w14:textId="77777777" w:rsidR="00F4739E" w:rsidRDefault="00F4739E" w:rsidP="00F4739E">
      <w:pPr>
        <w:autoSpaceDE w:val="0"/>
        <w:autoSpaceDN w:val="0"/>
        <w:adjustRightInd w:val="0"/>
        <w:spacing w:before="120" w:after="80"/>
        <w:rPr>
          <w:rFonts w:ascii="Candara" w:hAnsi="Candara"/>
        </w:rPr>
      </w:pPr>
      <w:r w:rsidRPr="00F4739E">
        <w:rPr>
          <w:rFonts w:ascii="Candara" w:hAnsi="Candara"/>
        </w:rPr>
        <w:t>For each business it is then possible to calculate the difference in IRU value between the:</w:t>
      </w:r>
    </w:p>
    <w:p w14:paraId="7FFDE106" w14:textId="77777777" w:rsidR="00F4739E" w:rsidRPr="00F4739E" w:rsidRDefault="00F4739E" w:rsidP="00BB41A4">
      <w:pPr>
        <w:numPr>
          <w:ilvl w:val="0"/>
          <w:numId w:val="30"/>
        </w:numPr>
        <w:spacing w:after="120"/>
        <w:ind w:left="714" w:hanging="357"/>
        <w:rPr>
          <w:rFonts w:ascii="Candara" w:hAnsi="Candara"/>
          <w:noProof/>
          <w:lang w:eastAsia="en-AU"/>
        </w:rPr>
      </w:pPr>
      <w:r w:rsidRPr="00F4739E">
        <w:rPr>
          <w:rFonts w:ascii="Candara" w:hAnsi="Candara"/>
        </w:rPr>
        <w:t>“ho</w:t>
      </w:r>
      <w:r w:rsidRPr="00F4739E">
        <w:rPr>
          <w:rFonts w:ascii="Candara" w:hAnsi="Candara"/>
          <w:noProof/>
          <w:lang w:eastAsia="en-AU"/>
        </w:rPr>
        <w:t>t” year  and the typical year; and</w:t>
      </w:r>
    </w:p>
    <w:p w14:paraId="49AE9033" w14:textId="57BBD70B" w:rsidR="00F4739E" w:rsidRDefault="00F4739E" w:rsidP="00BB41A4">
      <w:pPr>
        <w:numPr>
          <w:ilvl w:val="0"/>
          <w:numId w:val="30"/>
        </w:numPr>
        <w:spacing w:after="120"/>
        <w:ind w:left="714" w:hanging="357"/>
        <w:rPr>
          <w:rFonts w:ascii="Candara" w:hAnsi="Candara"/>
        </w:rPr>
      </w:pPr>
      <w:r w:rsidRPr="00F4739E">
        <w:rPr>
          <w:rFonts w:ascii="Candara" w:hAnsi="Candara"/>
          <w:noProof/>
          <w:lang w:eastAsia="en-AU"/>
        </w:rPr>
        <w:t>“cool” year and the t</w:t>
      </w:r>
      <w:r w:rsidR="003543AF" w:rsidRPr="00F4739E">
        <w:rPr>
          <w:rFonts w:ascii="Candara" w:hAnsi="Candara"/>
        </w:rPr>
        <w:t>ypical</w:t>
      </w:r>
      <w:r w:rsidRPr="00F4739E">
        <w:rPr>
          <w:rFonts w:ascii="Candara" w:hAnsi="Candara"/>
        </w:rPr>
        <w:t xml:space="preserve"> year.</w:t>
      </w:r>
    </w:p>
    <w:p w14:paraId="6A19A051" w14:textId="4C317B22" w:rsidR="00F4739E" w:rsidRDefault="00F4739E" w:rsidP="00E6727A">
      <w:pPr>
        <w:autoSpaceDE w:val="0"/>
        <w:autoSpaceDN w:val="0"/>
        <w:adjustRightInd w:val="0"/>
        <w:spacing w:before="120" w:after="80"/>
        <w:rPr>
          <w:rFonts w:ascii="Candara" w:hAnsi="Candara"/>
        </w:rPr>
      </w:pPr>
      <w:r w:rsidRPr="00F4739E">
        <w:rPr>
          <w:rFonts w:ascii="Candara" w:hAnsi="Candara"/>
        </w:rPr>
        <w:t>This provides the basis for estimating the penalty the business would have incurred in a “hot” year and the incentive the consumer would have paid in a cool year (if operational performance with respect to ignitions was unchanged from that of 2012-14)</w:t>
      </w:r>
    </w:p>
    <w:p w14:paraId="25E97606" w14:textId="155A8A6D" w:rsidR="00E6727A" w:rsidRPr="001F1B21" w:rsidRDefault="00E6727A" w:rsidP="00E6727A">
      <w:pPr>
        <w:autoSpaceDE w:val="0"/>
        <w:autoSpaceDN w:val="0"/>
        <w:adjustRightInd w:val="0"/>
        <w:spacing w:before="120" w:after="80"/>
        <w:rPr>
          <w:rFonts w:ascii="Candara" w:hAnsi="Candara"/>
        </w:rPr>
      </w:pPr>
      <w:r w:rsidRPr="00173975">
        <w:rPr>
          <w:rFonts w:ascii="Candara" w:hAnsi="Candara"/>
        </w:rPr>
        <w:t xml:space="preserve">The </w:t>
      </w:r>
      <w:r w:rsidR="00D276CC">
        <w:rPr>
          <w:rFonts w:ascii="Candara" w:hAnsi="Candara"/>
        </w:rPr>
        <w:t xml:space="preserve">two </w:t>
      </w:r>
      <w:r w:rsidRPr="00173975">
        <w:rPr>
          <w:rFonts w:ascii="Candara" w:hAnsi="Candara"/>
        </w:rPr>
        <w:t>table</w:t>
      </w:r>
      <w:r w:rsidR="00D276CC">
        <w:rPr>
          <w:rFonts w:ascii="Candara" w:hAnsi="Candara"/>
        </w:rPr>
        <w:t>s</w:t>
      </w:r>
      <w:r w:rsidRPr="00173975">
        <w:rPr>
          <w:rFonts w:ascii="Candara" w:hAnsi="Candara"/>
        </w:rPr>
        <w:t xml:space="preserve"> </w:t>
      </w:r>
      <w:r w:rsidR="00D276CC">
        <w:rPr>
          <w:rFonts w:ascii="Candara" w:hAnsi="Candara"/>
        </w:rPr>
        <w:t>that follow</w:t>
      </w:r>
      <w:r w:rsidRPr="00173975">
        <w:rPr>
          <w:rFonts w:ascii="Candara" w:hAnsi="Candara"/>
        </w:rPr>
        <w:t xml:space="preserve"> show the expected level of payments from consumers to businesses in a cool year and penalties from businesses to</w:t>
      </w:r>
      <w:r w:rsidRPr="001F1B21">
        <w:rPr>
          <w:rFonts w:ascii="Candara" w:hAnsi="Candara"/>
        </w:rPr>
        <w:t xml:space="preserve"> consumers in a hot year at various incentive rates.</w:t>
      </w:r>
    </w:p>
    <w:p w14:paraId="51567CF9" w14:textId="43047369" w:rsidR="00351604" w:rsidRDefault="00F4739E" w:rsidP="00F4739E">
      <w:pPr>
        <w:autoSpaceDE w:val="0"/>
        <w:autoSpaceDN w:val="0"/>
        <w:adjustRightInd w:val="0"/>
        <w:spacing w:before="120" w:after="80"/>
        <w:rPr>
          <w:rFonts w:ascii="Candara" w:hAnsi="Candara"/>
        </w:rPr>
      </w:pPr>
      <w:r w:rsidRPr="00F4739E">
        <w:rPr>
          <w:rFonts w:ascii="Candara" w:hAnsi="Candara"/>
        </w:rPr>
        <w:t>The table below shows estimates of the total annual amount ($ million) payable by electricity consumers to each distribution business at different Incentive rate values in a “cool” year.</w:t>
      </w:r>
    </w:p>
    <w:p w14:paraId="4EB1151D" w14:textId="77777777" w:rsidR="00584B13" w:rsidRDefault="00584B13" w:rsidP="00F4739E">
      <w:pPr>
        <w:autoSpaceDE w:val="0"/>
        <w:autoSpaceDN w:val="0"/>
        <w:adjustRightInd w:val="0"/>
        <w:spacing w:before="120" w:after="80"/>
        <w:rPr>
          <w:rFonts w:ascii="Candara" w:hAnsi="Candara"/>
        </w:rPr>
      </w:pPr>
    </w:p>
    <w:p w14:paraId="36D63410" w14:textId="3E6EE1D8" w:rsidR="00D276CC" w:rsidRPr="008C1234" w:rsidRDefault="00D276CC" w:rsidP="00D276CC">
      <w:pPr>
        <w:autoSpaceDE w:val="0"/>
        <w:autoSpaceDN w:val="0"/>
        <w:adjustRightInd w:val="0"/>
        <w:spacing w:before="120" w:after="80"/>
        <w:rPr>
          <w:rFonts w:ascii="Candara" w:hAnsi="Candara" w:cs="Calibri"/>
          <w:sz w:val="21"/>
          <w:szCs w:val="21"/>
        </w:rPr>
      </w:pPr>
      <w:r>
        <w:rPr>
          <w:rStyle w:val="Heading6Char"/>
        </w:rPr>
        <w:lastRenderedPageBreak/>
        <w:t>Figure 4.2: Estimates of annual payment levels by consumers to distribution business in cool years at different IRU incentive rate values</w:t>
      </w:r>
    </w:p>
    <w:tbl>
      <w:tblPr>
        <w:tblW w:w="8980" w:type="dxa"/>
        <w:tblInd w:w="93" w:type="dxa"/>
        <w:tblLook w:val="04A0" w:firstRow="1" w:lastRow="0" w:firstColumn="1" w:lastColumn="0" w:noHBand="0" w:noVBand="1"/>
      </w:tblPr>
      <w:tblGrid>
        <w:gridCol w:w="2260"/>
        <w:gridCol w:w="960"/>
        <w:gridCol w:w="960"/>
        <w:gridCol w:w="960"/>
        <w:gridCol w:w="960"/>
        <w:gridCol w:w="960"/>
        <w:gridCol w:w="960"/>
        <w:gridCol w:w="960"/>
      </w:tblGrid>
      <w:tr w:rsidR="00D276CC" w:rsidRPr="00576176" w14:paraId="4E3E67E9" w14:textId="77777777" w:rsidTr="00700509">
        <w:trPr>
          <w:trHeight w:val="300"/>
        </w:trPr>
        <w:tc>
          <w:tcPr>
            <w:tcW w:w="2260" w:type="dxa"/>
            <w:vMerge w:val="restart"/>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809812A" w14:textId="77777777" w:rsidR="00D276CC" w:rsidRPr="00576176" w:rsidRDefault="00D276CC" w:rsidP="00DF4694">
            <w:pPr>
              <w:spacing w:after="0" w:line="240" w:lineRule="auto"/>
              <w:rPr>
                <w:rFonts w:ascii="Calibri" w:eastAsia="Times New Roman" w:hAnsi="Calibri" w:cs="Times New Roman"/>
                <w:b/>
                <w:bCs/>
                <w:color w:val="FFFFFF"/>
                <w:lang w:eastAsia="en-AU"/>
              </w:rPr>
            </w:pPr>
            <w:r w:rsidRPr="00576176">
              <w:rPr>
                <w:rFonts w:ascii="Calibri" w:eastAsia="Times New Roman" w:hAnsi="Calibri" w:cs="Times New Roman"/>
                <w:b/>
                <w:bCs/>
                <w:color w:val="FFFFFF"/>
                <w:lang w:eastAsia="en-AU"/>
              </w:rPr>
              <w:t>Distribution business</w:t>
            </w:r>
          </w:p>
        </w:tc>
        <w:tc>
          <w:tcPr>
            <w:tcW w:w="6720" w:type="dxa"/>
            <w:gridSpan w:val="7"/>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FAD1654" w14:textId="77777777" w:rsidR="00D276CC" w:rsidRPr="00576176" w:rsidRDefault="00D276CC" w:rsidP="00DF4694">
            <w:pPr>
              <w:spacing w:after="0" w:line="240" w:lineRule="auto"/>
              <w:jc w:val="center"/>
              <w:rPr>
                <w:rFonts w:ascii="Calibri" w:eastAsia="Times New Roman" w:hAnsi="Calibri" w:cs="Times New Roman"/>
                <w:b/>
                <w:bCs/>
                <w:color w:val="FFFFFF"/>
                <w:lang w:eastAsia="en-AU"/>
              </w:rPr>
            </w:pPr>
            <w:r w:rsidRPr="00576176">
              <w:rPr>
                <w:rFonts w:ascii="Calibri" w:eastAsia="Times New Roman" w:hAnsi="Calibri" w:cs="Times New Roman"/>
                <w:b/>
                <w:bCs/>
                <w:color w:val="FFFFFF"/>
                <w:lang w:eastAsia="en-AU"/>
              </w:rPr>
              <w:t>IRU Price</w:t>
            </w:r>
          </w:p>
        </w:tc>
      </w:tr>
      <w:tr w:rsidR="00D276CC" w:rsidRPr="00576176" w14:paraId="1BB8F81E" w14:textId="77777777" w:rsidTr="00700509">
        <w:trPr>
          <w:trHeight w:val="300"/>
        </w:trPr>
        <w:tc>
          <w:tcPr>
            <w:tcW w:w="2260" w:type="dxa"/>
            <w:vMerge/>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B2535DA" w14:textId="77777777" w:rsidR="00D276CC" w:rsidRPr="00576176" w:rsidRDefault="00D276CC" w:rsidP="00DF4694">
            <w:pPr>
              <w:spacing w:after="0" w:line="240" w:lineRule="auto"/>
              <w:rPr>
                <w:rFonts w:ascii="Calibri" w:eastAsia="Times New Roman" w:hAnsi="Calibri" w:cs="Times New Roman"/>
                <w:b/>
                <w:bCs/>
                <w:color w:val="FFFFFF"/>
                <w:lang w:eastAsia="en-AU"/>
              </w:rPr>
            </w:pP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6D8FCEB9"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$10,000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0FA89F1"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$15,000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668AAA41"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$20,000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0B2794B"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$25,000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09E431DA"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$30,000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2593890"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03DBA0EB"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$50,000</w:t>
            </w:r>
          </w:p>
        </w:tc>
      </w:tr>
      <w:tr w:rsidR="00D276CC" w:rsidRPr="00576176" w14:paraId="7C56C9C7"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21358D6"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AusNet Services</w:t>
            </w:r>
          </w:p>
        </w:tc>
        <w:tc>
          <w:tcPr>
            <w:tcW w:w="960" w:type="dxa"/>
            <w:tcBorders>
              <w:top w:val="single" w:sz="4" w:space="0" w:color="BFBFBF"/>
              <w:left w:val="single" w:sz="4" w:space="0" w:color="BFBFBF"/>
              <w:bottom w:val="single" w:sz="4" w:space="0" w:color="595959"/>
              <w:right w:val="single" w:sz="4" w:space="0" w:color="595959"/>
            </w:tcBorders>
            <w:shd w:val="clear" w:color="auto" w:fill="auto"/>
            <w:vAlign w:val="center"/>
            <w:hideMark/>
          </w:tcPr>
          <w:p w14:paraId="5B43DD9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$0.684</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5598A72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$1.026</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5C51269C"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$1.368</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3043054A"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$1.710</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162EC0D3"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$2.053</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1AA8296F"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404A4571"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$3.421</w:t>
            </w:r>
          </w:p>
        </w:tc>
      </w:tr>
      <w:tr w:rsidR="00D276CC" w:rsidRPr="00576176" w14:paraId="174134DC"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887CD4F"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Citipower</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7CDC067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$0.022</w:t>
            </w:r>
          </w:p>
        </w:tc>
        <w:tc>
          <w:tcPr>
            <w:tcW w:w="960" w:type="dxa"/>
            <w:tcBorders>
              <w:top w:val="nil"/>
              <w:left w:val="nil"/>
              <w:bottom w:val="single" w:sz="4" w:space="0" w:color="595959"/>
              <w:right w:val="single" w:sz="4" w:space="0" w:color="595959"/>
            </w:tcBorders>
            <w:shd w:val="clear" w:color="auto" w:fill="auto"/>
            <w:vAlign w:val="center"/>
            <w:hideMark/>
          </w:tcPr>
          <w:p w14:paraId="1FF1215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$0.033</w:t>
            </w:r>
          </w:p>
        </w:tc>
        <w:tc>
          <w:tcPr>
            <w:tcW w:w="960" w:type="dxa"/>
            <w:tcBorders>
              <w:top w:val="nil"/>
              <w:left w:val="nil"/>
              <w:bottom w:val="single" w:sz="4" w:space="0" w:color="595959"/>
              <w:right w:val="single" w:sz="4" w:space="0" w:color="595959"/>
            </w:tcBorders>
            <w:shd w:val="clear" w:color="auto" w:fill="auto"/>
            <w:vAlign w:val="center"/>
            <w:hideMark/>
          </w:tcPr>
          <w:p w14:paraId="0098776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$0.044</w:t>
            </w:r>
          </w:p>
        </w:tc>
        <w:tc>
          <w:tcPr>
            <w:tcW w:w="960" w:type="dxa"/>
            <w:tcBorders>
              <w:top w:val="nil"/>
              <w:left w:val="nil"/>
              <w:bottom w:val="single" w:sz="4" w:space="0" w:color="595959"/>
              <w:right w:val="single" w:sz="4" w:space="0" w:color="595959"/>
            </w:tcBorders>
            <w:shd w:val="clear" w:color="auto" w:fill="auto"/>
            <w:vAlign w:val="center"/>
            <w:hideMark/>
          </w:tcPr>
          <w:p w14:paraId="74293C6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$0.055</w:t>
            </w:r>
          </w:p>
        </w:tc>
        <w:tc>
          <w:tcPr>
            <w:tcW w:w="960" w:type="dxa"/>
            <w:tcBorders>
              <w:top w:val="nil"/>
              <w:left w:val="nil"/>
              <w:bottom w:val="single" w:sz="4" w:space="0" w:color="595959"/>
              <w:right w:val="single" w:sz="4" w:space="0" w:color="595959"/>
            </w:tcBorders>
            <w:shd w:val="clear" w:color="auto" w:fill="auto"/>
            <w:vAlign w:val="center"/>
            <w:hideMark/>
          </w:tcPr>
          <w:p w14:paraId="6CFF05AC"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$0.066</w:t>
            </w:r>
          </w:p>
        </w:tc>
        <w:tc>
          <w:tcPr>
            <w:tcW w:w="960" w:type="dxa"/>
            <w:tcBorders>
              <w:top w:val="nil"/>
              <w:left w:val="nil"/>
              <w:bottom w:val="single" w:sz="4" w:space="0" w:color="595959"/>
              <w:right w:val="single" w:sz="4" w:space="0" w:color="595959"/>
            </w:tcBorders>
            <w:shd w:val="clear" w:color="auto" w:fill="auto"/>
            <w:vAlign w:val="center"/>
            <w:hideMark/>
          </w:tcPr>
          <w:p w14:paraId="0E897D04"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4B8DBAB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$0.110</w:t>
            </w:r>
          </w:p>
        </w:tc>
      </w:tr>
      <w:tr w:rsidR="00D276CC" w:rsidRPr="00576176" w14:paraId="0DFB041C"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B9593BE"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Jemena</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7451C63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$0.027</w:t>
            </w:r>
          </w:p>
        </w:tc>
        <w:tc>
          <w:tcPr>
            <w:tcW w:w="960" w:type="dxa"/>
            <w:tcBorders>
              <w:top w:val="nil"/>
              <w:left w:val="nil"/>
              <w:bottom w:val="single" w:sz="4" w:space="0" w:color="595959"/>
              <w:right w:val="single" w:sz="4" w:space="0" w:color="595959"/>
            </w:tcBorders>
            <w:shd w:val="clear" w:color="auto" w:fill="auto"/>
            <w:vAlign w:val="center"/>
            <w:hideMark/>
          </w:tcPr>
          <w:p w14:paraId="002E6F9F"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$0.040</w:t>
            </w:r>
          </w:p>
        </w:tc>
        <w:tc>
          <w:tcPr>
            <w:tcW w:w="960" w:type="dxa"/>
            <w:tcBorders>
              <w:top w:val="nil"/>
              <w:left w:val="nil"/>
              <w:bottom w:val="single" w:sz="4" w:space="0" w:color="595959"/>
              <w:right w:val="single" w:sz="4" w:space="0" w:color="595959"/>
            </w:tcBorders>
            <w:shd w:val="clear" w:color="auto" w:fill="auto"/>
            <w:vAlign w:val="center"/>
            <w:hideMark/>
          </w:tcPr>
          <w:p w14:paraId="107CE46E"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$0.053</w:t>
            </w:r>
          </w:p>
        </w:tc>
        <w:tc>
          <w:tcPr>
            <w:tcW w:w="960" w:type="dxa"/>
            <w:tcBorders>
              <w:top w:val="nil"/>
              <w:left w:val="nil"/>
              <w:bottom w:val="single" w:sz="4" w:space="0" w:color="595959"/>
              <w:right w:val="single" w:sz="4" w:space="0" w:color="595959"/>
            </w:tcBorders>
            <w:shd w:val="clear" w:color="auto" w:fill="auto"/>
            <w:vAlign w:val="center"/>
            <w:hideMark/>
          </w:tcPr>
          <w:p w14:paraId="2254163F"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$0.066</w:t>
            </w:r>
          </w:p>
        </w:tc>
        <w:tc>
          <w:tcPr>
            <w:tcW w:w="960" w:type="dxa"/>
            <w:tcBorders>
              <w:top w:val="nil"/>
              <w:left w:val="nil"/>
              <w:bottom w:val="single" w:sz="4" w:space="0" w:color="595959"/>
              <w:right w:val="single" w:sz="4" w:space="0" w:color="595959"/>
            </w:tcBorders>
            <w:shd w:val="clear" w:color="auto" w:fill="auto"/>
            <w:vAlign w:val="center"/>
            <w:hideMark/>
          </w:tcPr>
          <w:p w14:paraId="0EE63F4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$0.080</w:t>
            </w:r>
          </w:p>
        </w:tc>
        <w:tc>
          <w:tcPr>
            <w:tcW w:w="960" w:type="dxa"/>
            <w:tcBorders>
              <w:top w:val="nil"/>
              <w:left w:val="nil"/>
              <w:bottom w:val="single" w:sz="4" w:space="0" w:color="595959"/>
              <w:right w:val="single" w:sz="4" w:space="0" w:color="595959"/>
            </w:tcBorders>
            <w:shd w:val="clear" w:color="auto" w:fill="auto"/>
            <w:vAlign w:val="center"/>
            <w:hideMark/>
          </w:tcPr>
          <w:p w14:paraId="3215F197"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0EE1F83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$0.133</w:t>
            </w:r>
          </w:p>
        </w:tc>
      </w:tr>
      <w:tr w:rsidR="00D276CC" w:rsidRPr="00576176" w14:paraId="1CE9109A"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1D96243"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Powercor</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3B9B981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$1.886</w:t>
            </w:r>
          </w:p>
        </w:tc>
        <w:tc>
          <w:tcPr>
            <w:tcW w:w="960" w:type="dxa"/>
            <w:tcBorders>
              <w:top w:val="nil"/>
              <w:left w:val="nil"/>
              <w:bottom w:val="single" w:sz="4" w:space="0" w:color="595959"/>
              <w:right w:val="single" w:sz="4" w:space="0" w:color="595959"/>
            </w:tcBorders>
            <w:shd w:val="clear" w:color="auto" w:fill="auto"/>
            <w:vAlign w:val="center"/>
            <w:hideMark/>
          </w:tcPr>
          <w:p w14:paraId="5B270FB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$2.829</w:t>
            </w:r>
          </w:p>
        </w:tc>
        <w:tc>
          <w:tcPr>
            <w:tcW w:w="960" w:type="dxa"/>
            <w:tcBorders>
              <w:top w:val="nil"/>
              <w:left w:val="nil"/>
              <w:bottom w:val="single" w:sz="4" w:space="0" w:color="595959"/>
              <w:right w:val="single" w:sz="4" w:space="0" w:color="595959"/>
            </w:tcBorders>
            <w:shd w:val="clear" w:color="auto" w:fill="auto"/>
            <w:vAlign w:val="center"/>
            <w:hideMark/>
          </w:tcPr>
          <w:p w14:paraId="0492930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$3.772</w:t>
            </w:r>
          </w:p>
        </w:tc>
        <w:tc>
          <w:tcPr>
            <w:tcW w:w="960" w:type="dxa"/>
            <w:tcBorders>
              <w:top w:val="nil"/>
              <w:left w:val="nil"/>
              <w:bottom w:val="single" w:sz="4" w:space="0" w:color="595959"/>
              <w:right w:val="single" w:sz="4" w:space="0" w:color="595959"/>
            </w:tcBorders>
            <w:shd w:val="clear" w:color="auto" w:fill="auto"/>
            <w:vAlign w:val="center"/>
            <w:hideMark/>
          </w:tcPr>
          <w:p w14:paraId="061F728D"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$4.715</w:t>
            </w:r>
          </w:p>
        </w:tc>
        <w:tc>
          <w:tcPr>
            <w:tcW w:w="960" w:type="dxa"/>
            <w:tcBorders>
              <w:top w:val="nil"/>
              <w:left w:val="nil"/>
              <w:bottom w:val="single" w:sz="4" w:space="0" w:color="595959"/>
              <w:right w:val="single" w:sz="4" w:space="0" w:color="595959"/>
            </w:tcBorders>
            <w:shd w:val="clear" w:color="auto" w:fill="auto"/>
            <w:vAlign w:val="center"/>
            <w:hideMark/>
          </w:tcPr>
          <w:p w14:paraId="7F7A3A2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$5.658</w:t>
            </w:r>
          </w:p>
        </w:tc>
        <w:tc>
          <w:tcPr>
            <w:tcW w:w="960" w:type="dxa"/>
            <w:tcBorders>
              <w:top w:val="nil"/>
              <w:left w:val="nil"/>
              <w:bottom w:val="single" w:sz="4" w:space="0" w:color="595959"/>
              <w:right w:val="single" w:sz="4" w:space="0" w:color="595959"/>
            </w:tcBorders>
            <w:shd w:val="clear" w:color="auto" w:fill="auto"/>
            <w:vAlign w:val="center"/>
            <w:hideMark/>
          </w:tcPr>
          <w:p w14:paraId="0F14D297"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2CDFB32A"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$9.430</w:t>
            </w:r>
          </w:p>
        </w:tc>
      </w:tr>
      <w:tr w:rsidR="00D276CC" w:rsidRPr="00576176" w14:paraId="2746D551"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42E9C38"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United Energy</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7B2BD3A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$0.129</w:t>
            </w:r>
          </w:p>
        </w:tc>
        <w:tc>
          <w:tcPr>
            <w:tcW w:w="960" w:type="dxa"/>
            <w:tcBorders>
              <w:top w:val="nil"/>
              <w:left w:val="nil"/>
              <w:bottom w:val="single" w:sz="4" w:space="0" w:color="595959"/>
              <w:right w:val="single" w:sz="4" w:space="0" w:color="595959"/>
            </w:tcBorders>
            <w:shd w:val="clear" w:color="auto" w:fill="auto"/>
            <w:vAlign w:val="center"/>
            <w:hideMark/>
          </w:tcPr>
          <w:p w14:paraId="5B62A5AC"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$0.194</w:t>
            </w:r>
          </w:p>
        </w:tc>
        <w:tc>
          <w:tcPr>
            <w:tcW w:w="960" w:type="dxa"/>
            <w:tcBorders>
              <w:top w:val="nil"/>
              <w:left w:val="nil"/>
              <w:bottom w:val="single" w:sz="4" w:space="0" w:color="595959"/>
              <w:right w:val="single" w:sz="4" w:space="0" w:color="595959"/>
            </w:tcBorders>
            <w:shd w:val="clear" w:color="auto" w:fill="auto"/>
            <w:vAlign w:val="center"/>
            <w:hideMark/>
          </w:tcPr>
          <w:p w14:paraId="727A9DC2"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$0.258</w:t>
            </w:r>
          </w:p>
        </w:tc>
        <w:tc>
          <w:tcPr>
            <w:tcW w:w="960" w:type="dxa"/>
            <w:tcBorders>
              <w:top w:val="nil"/>
              <w:left w:val="nil"/>
              <w:bottom w:val="single" w:sz="4" w:space="0" w:color="595959"/>
              <w:right w:val="single" w:sz="4" w:space="0" w:color="595959"/>
            </w:tcBorders>
            <w:shd w:val="clear" w:color="auto" w:fill="auto"/>
            <w:vAlign w:val="center"/>
            <w:hideMark/>
          </w:tcPr>
          <w:p w14:paraId="6503195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$0.323</w:t>
            </w:r>
          </w:p>
        </w:tc>
        <w:tc>
          <w:tcPr>
            <w:tcW w:w="960" w:type="dxa"/>
            <w:tcBorders>
              <w:top w:val="nil"/>
              <w:left w:val="nil"/>
              <w:bottom w:val="single" w:sz="4" w:space="0" w:color="595959"/>
              <w:right w:val="single" w:sz="4" w:space="0" w:color="595959"/>
            </w:tcBorders>
            <w:shd w:val="clear" w:color="auto" w:fill="auto"/>
            <w:vAlign w:val="center"/>
            <w:hideMark/>
          </w:tcPr>
          <w:p w14:paraId="42F097E4"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$0.388</w:t>
            </w:r>
          </w:p>
        </w:tc>
        <w:tc>
          <w:tcPr>
            <w:tcW w:w="960" w:type="dxa"/>
            <w:tcBorders>
              <w:top w:val="nil"/>
              <w:left w:val="nil"/>
              <w:bottom w:val="single" w:sz="4" w:space="0" w:color="595959"/>
              <w:right w:val="single" w:sz="4" w:space="0" w:color="595959"/>
            </w:tcBorders>
            <w:shd w:val="clear" w:color="auto" w:fill="auto"/>
            <w:vAlign w:val="center"/>
            <w:hideMark/>
          </w:tcPr>
          <w:p w14:paraId="22FFEBE2"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4F08FFB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$0.646</w:t>
            </w:r>
          </w:p>
        </w:tc>
      </w:tr>
    </w:tbl>
    <w:p w14:paraId="637242FD" w14:textId="77777777" w:rsidR="00D276CC" w:rsidRPr="001F1B21" w:rsidRDefault="00D276CC" w:rsidP="00D276CC">
      <w:pPr>
        <w:autoSpaceDE w:val="0"/>
        <w:autoSpaceDN w:val="0"/>
        <w:adjustRightInd w:val="0"/>
        <w:spacing w:before="60" w:after="240"/>
        <w:rPr>
          <w:rFonts w:ascii="Candara" w:hAnsi="Candara"/>
          <w:sz w:val="18"/>
          <w:szCs w:val="18"/>
        </w:rPr>
      </w:pPr>
      <w:r w:rsidRPr="001F1B21">
        <w:rPr>
          <w:rFonts w:ascii="Candara" w:hAnsi="Candara"/>
          <w:sz w:val="18"/>
          <w:szCs w:val="18"/>
        </w:rPr>
        <w:t xml:space="preserve">Further details of the payments and an estimation of the consumer impact are in </w:t>
      </w:r>
      <w:r w:rsidRPr="008E65BA">
        <w:rPr>
          <w:rFonts w:ascii="Candara" w:hAnsi="Candara"/>
          <w:b/>
          <w:sz w:val="18"/>
          <w:szCs w:val="18"/>
        </w:rPr>
        <w:t>Appendix 4</w:t>
      </w:r>
    </w:p>
    <w:p w14:paraId="38FCF42F" w14:textId="0C663FC5" w:rsidR="00F4739E" w:rsidRPr="00F4739E" w:rsidRDefault="00D276CC" w:rsidP="00F4739E">
      <w:pPr>
        <w:autoSpaceDE w:val="0"/>
        <w:autoSpaceDN w:val="0"/>
        <w:adjustRightInd w:val="0"/>
        <w:spacing w:before="120" w:after="80"/>
        <w:rPr>
          <w:rFonts w:ascii="Candara" w:hAnsi="Candara"/>
        </w:rPr>
      </w:pPr>
      <w:r>
        <w:rPr>
          <w:rFonts w:eastAsia="Times New Roman" w:cs="Times New Roman"/>
        </w:rPr>
        <w:t>The table below shows estimates of the total annual amount ($ million) payable by each distribution business to electricity consumers at different Incentive rate values in a “hot” year.</w:t>
      </w:r>
    </w:p>
    <w:p w14:paraId="212B4465" w14:textId="6FA086BE" w:rsidR="008C1234" w:rsidRPr="008C1234" w:rsidRDefault="008C1234" w:rsidP="008C1234">
      <w:pPr>
        <w:autoSpaceDE w:val="0"/>
        <w:autoSpaceDN w:val="0"/>
        <w:adjustRightInd w:val="0"/>
        <w:spacing w:before="120" w:after="80"/>
        <w:rPr>
          <w:rFonts w:ascii="Candara" w:hAnsi="Candara" w:cs="Calibri"/>
          <w:sz w:val="21"/>
          <w:szCs w:val="21"/>
        </w:rPr>
      </w:pPr>
      <w:r>
        <w:rPr>
          <w:rStyle w:val="Heading6Char"/>
        </w:rPr>
        <w:t>Figure 4.</w:t>
      </w:r>
      <w:r w:rsidR="00D276CC">
        <w:rPr>
          <w:rStyle w:val="Heading6Char"/>
        </w:rPr>
        <w:t>3</w:t>
      </w:r>
      <w:r>
        <w:rPr>
          <w:rStyle w:val="Heading6Char"/>
        </w:rPr>
        <w:t xml:space="preserve">: </w:t>
      </w:r>
      <w:r w:rsidR="00D276CC">
        <w:rPr>
          <w:rStyle w:val="Heading6Char"/>
        </w:rPr>
        <w:t>Estimates of annual payment levels by distribution business to consumers in hot years at different IRU incentive rate values</w:t>
      </w:r>
    </w:p>
    <w:tbl>
      <w:tblPr>
        <w:tblW w:w="8980" w:type="dxa"/>
        <w:tblInd w:w="93" w:type="dxa"/>
        <w:tblLook w:val="04A0" w:firstRow="1" w:lastRow="0" w:firstColumn="1" w:lastColumn="0" w:noHBand="0" w:noVBand="1"/>
      </w:tblPr>
      <w:tblGrid>
        <w:gridCol w:w="2260"/>
        <w:gridCol w:w="960"/>
        <w:gridCol w:w="960"/>
        <w:gridCol w:w="960"/>
        <w:gridCol w:w="960"/>
        <w:gridCol w:w="960"/>
        <w:gridCol w:w="960"/>
        <w:gridCol w:w="960"/>
      </w:tblGrid>
      <w:tr w:rsidR="00D276CC" w:rsidRPr="00576176" w14:paraId="1A616A3F" w14:textId="77777777" w:rsidTr="00700509">
        <w:trPr>
          <w:trHeight w:val="300"/>
        </w:trPr>
        <w:tc>
          <w:tcPr>
            <w:tcW w:w="2260" w:type="dxa"/>
            <w:vMerge w:val="restart"/>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F5D68F3" w14:textId="77777777" w:rsidR="00D276CC" w:rsidRPr="00576176" w:rsidRDefault="00D276CC" w:rsidP="00DF4694">
            <w:pPr>
              <w:spacing w:after="0" w:line="240" w:lineRule="auto"/>
              <w:rPr>
                <w:rFonts w:ascii="Calibri" w:eastAsia="Times New Roman" w:hAnsi="Calibri" w:cs="Times New Roman"/>
                <w:b/>
                <w:bCs/>
                <w:color w:val="FFFFFF"/>
                <w:lang w:eastAsia="en-AU"/>
              </w:rPr>
            </w:pPr>
            <w:r w:rsidRPr="00576176">
              <w:rPr>
                <w:rFonts w:ascii="Calibri" w:eastAsia="Times New Roman" w:hAnsi="Calibri" w:cs="Times New Roman"/>
                <w:b/>
                <w:bCs/>
                <w:color w:val="FFFFFF"/>
                <w:lang w:eastAsia="en-AU"/>
              </w:rPr>
              <w:t>Distribution business</w:t>
            </w:r>
          </w:p>
        </w:tc>
        <w:tc>
          <w:tcPr>
            <w:tcW w:w="6720" w:type="dxa"/>
            <w:gridSpan w:val="7"/>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D900D76" w14:textId="77777777" w:rsidR="00D276CC" w:rsidRPr="00576176" w:rsidRDefault="00D276CC" w:rsidP="00DF4694">
            <w:pPr>
              <w:spacing w:after="0" w:line="240" w:lineRule="auto"/>
              <w:jc w:val="center"/>
              <w:rPr>
                <w:rFonts w:ascii="Calibri" w:eastAsia="Times New Roman" w:hAnsi="Calibri" w:cs="Times New Roman"/>
                <w:b/>
                <w:bCs/>
                <w:color w:val="FFFFFF"/>
                <w:lang w:eastAsia="en-AU"/>
              </w:rPr>
            </w:pPr>
            <w:r w:rsidRPr="00576176">
              <w:rPr>
                <w:rFonts w:ascii="Calibri" w:eastAsia="Times New Roman" w:hAnsi="Calibri" w:cs="Times New Roman"/>
                <w:b/>
                <w:bCs/>
                <w:color w:val="FFFFFF"/>
                <w:lang w:eastAsia="en-AU"/>
              </w:rPr>
              <w:t>IRU Price</w:t>
            </w:r>
          </w:p>
        </w:tc>
      </w:tr>
      <w:tr w:rsidR="00D276CC" w:rsidRPr="00576176" w14:paraId="4CAC1987" w14:textId="77777777" w:rsidTr="00700509">
        <w:trPr>
          <w:trHeight w:val="300"/>
        </w:trPr>
        <w:tc>
          <w:tcPr>
            <w:tcW w:w="2260" w:type="dxa"/>
            <w:vMerge/>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635A876" w14:textId="77777777" w:rsidR="00D276CC" w:rsidRPr="00576176" w:rsidRDefault="00D276CC" w:rsidP="00DF4694">
            <w:pPr>
              <w:spacing w:after="0" w:line="240" w:lineRule="auto"/>
              <w:rPr>
                <w:rFonts w:ascii="Calibri" w:eastAsia="Times New Roman" w:hAnsi="Calibri" w:cs="Times New Roman"/>
                <w:b/>
                <w:bCs/>
                <w:color w:val="FFFFFF"/>
                <w:lang w:eastAsia="en-AU"/>
              </w:rPr>
            </w:pP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38C8BD5"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$10,000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1DD69D4"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$15,000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631E92B"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$20,000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3CAF9E6"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$25,000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2CE1E03F"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$30,000</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06495BE"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w:t>
            </w:r>
          </w:p>
        </w:tc>
        <w:tc>
          <w:tcPr>
            <w:tcW w:w="9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DD19774" w14:textId="77777777" w:rsidR="00D276CC" w:rsidRPr="00576176" w:rsidRDefault="00D276CC" w:rsidP="00DF4694">
            <w:pPr>
              <w:spacing w:after="0" w:line="240" w:lineRule="auto"/>
              <w:jc w:val="center"/>
              <w:rPr>
                <w:rFonts w:ascii="Calibri" w:eastAsia="Times New Roman" w:hAnsi="Calibri" w:cs="Times New Roman"/>
                <w:b/>
                <w:bCs/>
                <w:color w:val="FFFFFF"/>
                <w:sz w:val="18"/>
                <w:szCs w:val="18"/>
                <w:lang w:eastAsia="en-AU"/>
              </w:rPr>
            </w:pPr>
            <w:r w:rsidRPr="00576176">
              <w:rPr>
                <w:rFonts w:ascii="Calibri" w:eastAsia="Times New Roman" w:hAnsi="Calibri" w:cs="Times New Roman"/>
                <w:b/>
                <w:bCs/>
                <w:color w:val="FFFFFF"/>
                <w:sz w:val="18"/>
                <w:szCs w:val="18"/>
                <w:lang w:eastAsia="en-AU"/>
              </w:rPr>
              <w:t>$50,000</w:t>
            </w:r>
          </w:p>
        </w:tc>
      </w:tr>
      <w:tr w:rsidR="00D276CC" w:rsidRPr="00576176" w14:paraId="7022BA15"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015C2876"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AusNet Services</w:t>
            </w:r>
          </w:p>
        </w:tc>
        <w:tc>
          <w:tcPr>
            <w:tcW w:w="960" w:type="dxa"/>
            <w:tcBorders>
              <w:top w:val="single" w:sz="4" w:space="0" w:color="BFBFBF"/>
              <w:left w:val="single" w:sz="4" w:space="0" w:color="BFBFBF"/>
              <w:bottom w:val="single" w:sz="4" w:space="0" w:color="595959"/>
              <w:right w:val="single" w:sz="4" w:space="0" w:color="595959"/>
            </w:tcBorders>
            <w:shd w:val="clear" w:color="auto" w:fill="auto"/>
            <w:vAlign w:val="center"/>
            <w:hideMark/>
          </w:tcPr>
          <w:p w14:paraId="4788F73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-$0.529</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6C816D6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-$0.794</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3C4EB4A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-$1.058</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32743E6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-$1.323</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308B054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-$1.587</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60566B67"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single" w:sz="4" w:space="0" w:color="BFBFBF"/>
              <w:left w:val="nil"/>
              <w:bottom w:val="single" w:sz="4" w:space="0" w:color="595959"/>
              <w:right w:val="single" w:sz="4" w:space="0" w:color="595959"/>
            </w:tcBorders>
            <w:shd w:val="clear" w:color="auto" w:fill="auto"/>
            <w:vAlign w:val="center"/>
            <w:hideMark/>
          </w:tcPr>
          <w:p w14:paraId="6E633CDC"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-$2.645</w:t>
            </w:r>
          </w:p>
        </w:tc>
      </w:tr>
      <w:tr w:rsidR="00D276CC" w:rsidRPr="00576176" w14:paraId="525F6378"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F49A2B3"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Citipower</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46F39C9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-$0.016</w:t>
            </w:r>
          </w:p>
        </w:tc>
        <w:tc>
          <w:tcPr>
            <w:tcW w:w="960" w:type="dxa"/>
            <w:tcBorders>
              <w:top w:val="nil"/>
              <w:left w:val="nil"/>
              <w:bottom w:val="single" w:sz="4" w:space="0" w:color="595959"/>
              <w:right w:val="single" w:sz="4" w:space="0" w:color="595959"/>
            </w:tcBorders>
            <w:shd w:val="clear" w:color="auto" w:fill="auto"/>
            <w:vAlign w:val="center"/>
            <w:hideMark/>
          </w:tcPr>
          <w:p w14:paraId="0ACB5EE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-$0.025</w:t>
            </w:r>
          </w:p>
        </w:tc>
        <w:tc>
          <w:tcPr>
            <w:tcW w:w="960" w:type="dxa"/>
            <w:tcBorders>
              <w:top w:val="nil"/>
              <w:left w:val="nil"/>
              <w:bottom w:val="single" w:sz="4" w:space="0" w:color="595959"/>
              <w:right w:val="single" w:sz="4" w:space="0" w:color="595959"/>
            </w:tcBorders>
            <w:shd w:val="clear" w:color="auto" w:fill="auto"/>
            <w:vAlign w:val="center"/>
            <w:hideMark/>
          </w:tcPr>
          <w:p w14:paraId="37042B5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-$0.033</w:t>
            </w:r>
          </w:p>
        </w:tc>
        <w:tc>
          <w:tcPr>
            <w:tcW w:w="960" w:type="dxa"/>
            <w:tcBorders>
              <w:top w:val="nil"/>
              <w:left w:val="nil"/>
              <w:bottom w:val="single" w:sz="4" w:space="0" w:color="595959"/>
              <w:right w:val="single" w:sz="4" w:space="0" w:color="595959"/>
            </w:tcBorders>
            <w:shd w:val="clear" w:color="auto" w:fill="auto"/>
            <w:vAlign w:val="center"/>
            <w:hideMark/>
          </w:tcPr>
          <w:p w14:paraId="35FF92A1"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-$0.041</w:t>
            </w:r>
          </w:p>
        </w:tc>
        <w:tc>
          <w:tcPr>
            <w:tcW w:w="960" w:type="dxa"/>
            <w:tcBorders>
              <w:top w:val="nil"/>
              <w:left w:val="nil"/>
              <w:bottom w:val="single" w:sz="4" w:space="0" w:color="595959"/>
              <w:right w:val="single" w:sz="4" w:space="0" w:color="595959"/>
            </w:tcBorders>
            <w:shd w:val="clear" w:color="auto" w:fill="auto"/>
            <w:vAlign w:val="center"/>
            <w:hideMark/>
          </w:tcPr>
          <w:p w14:paraId="28A90527"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-$0.049</w:t>
            </w:r>
          </w:p>
        </w:tc>
        <w:tc>
          <w:tcPr>
            <w:tcW w:w="960" w:type="dxa"/>
            <w:tcBorders>
              <w:top w:val="nil"/>
              <w:left w:val="nil"/>
              <w:bottom w:val="single" w:sz="4" w:space="0" w:color="595959"/>
              <w:right w:val="single" w:sz="4" w:space="0" w:color="595959"/>
            </w:tcBorders>
            <w:shd w:val="clear" w:color="auto" w:fill="auto"/>
            <w:vAlign w:val="center"/>
            <w:hideMark/>
          </w:tcPr>
          <w:p w14:paraId="77377AC3"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266D83A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-$0.082</w:t>
            </w:r>
          </w:p>
        </w:tc>
      </w:tr>
      <w:tr w:rsidR="00D276CC" w:rsidRPr="00576176" w14:paraId="501B9E05"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077E456"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Jemena</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027F86BF"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-$0.024</w:t>
            </w:r>
          </w:p>
        </w:tc>
        <w:tc>
          <w:tcPr>
            <w:tcW w:w="960" w:type="dxa"/>
            <w:tcBorders>
              <w:top w:val="nil"/>
              <w:left w:val="nil"/>
              <w:bottom w:val="single" w:sz="4" w:space="0" w:color="595959"/>
              <w:right w:val="single" w:sz="4" w:space="0" w:color="595959"/>
            </w:tcBorders>
            <w:shd w:val="clear" w:color="auto" w:fill="auto"/>
            <w:vAlign w:val="center"/>
            <w:hideMark/>
          </w:tcPr>
          <w:p w14:paraId="7160F625"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-$0.037</w:t>
            </w:r>
          </w:p>
        </w:tc>
        <w:tc>
          <w:tcPr>
            <w:tcW w:w="960" w:type="dxa"/>
            <w:tcBorders>
              <w:top w:val="nil"/>
              <w:left w:val="nil"/>
              <w:bottom w:val="single" w:sz="4" w:space="0" w:color="595959"/>
              <w:right w:val="single" w:sz="4" w:space="0" w:color="595959"/>
            </w:tcBorders>
            <w:shd w:val="clear" w:color="auto" w:fill="auto"/>
            <w:vAlign w:val="center"/>
            <w:hideMark/>
          </w:tcPr>
          <w:p w14:paraId="2FCFE274"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-$0.049</w:t>
            </w:r>
          </w:p>
        </w:tc>
        <w:tc>
          <w:tcPr>
            <w:tcW w:w="960" w:type="dxa"/>
            <w:tcBorders>
              <w:top w:val="nil"/>
              <w:left w:val="nil"/>
              <w:bottom w:val="single" w:sz="4" w:space="0" w:color="595959"/>
              <w:right w:val="single" w:sz="4" w:space="0" w:color="595959"/>
            </w:tcBorders>
            <w:shd w:val="clear" w:color="auto" w:fill="auto"/>
            <w:vAlign w:val="center"/>
            <w:hideMark/>
          </w:tcPr>
          <w:p w14:paraId="552F540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-$0.061</w:t>
            </w:r>
          </w:p>
        </w:tc>
        <w:tc>
          <w:tcPr>
            <w:tcW w:w="960" w:type="dxa"/>
            <w:tcBorders>
              <w:top w:val="nil"/>
              <w:left w:val="nil"/>
              <w:bottom w:val="single" w:sz="4" w:space="0" w:color="595959"/>
              <w:right w:val="single" w:sz="4" w:space="0" w:color="595959"/>
            </w:tcBorders>
            <w:shd w:val="clear" w:color="auto" w:fill="auto"/>
            <w:vAlign w:val="center"/>
            <w:hideMark/>
          </w:tcPr>
          <w:p w14:paraId="13B7933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-$0.073</w:t>
            </w:r>
          </w:p>
        </w:tc>
        <w:tc>
          <w:tcPr>
            <w:tcW w:w="960" w:type="dxa"/>
            <w:tcBorders>
              <w:top w:val="nil"/>
              <w:left w:val="nil"/>
              <w:bottom w:val="single" w:sz="4" w:space="0" w:color="595959"/>
              <w:right w:val="single" w:sz="4" w:space="0" w:color="595959"/>
            </w:tcBorders>
            <w:shd w:val="clear" w:color="auto" w:fill="auto"/>
            <w:vAlign w:val="center"/>
            <w:hideMark/>
          </w:tcPr>
          <w:p w14:paraId="04979CC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4766DC3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-$0.122</w:t>
            </w:r>
          </w:p>
        </w:tc>
      </w:tr>
      <w:tr w:rsidR="00D276CC" w:rsidRPr="00576176" w14:paraId="5897DADC"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E8A16CF"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Powercor</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2299D9BE"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-$1.416</w:t>
            </w:r>
          </w:p>
        </w:tc>
        <w:tc>
          <w:tcPr>
            <w:tcW w:w="960" w:type="dxa"/>
            <w:tcBorders>
              <w:top w:val="nil"/>
              <w:left w:val="nil"/>
              <w:bottom w:val="single" w:sz="4" w:space="0" w:color="595959"/>
              <w:right w:val="single" w:sz="4" w:space="0" w:color="595959"/>
            </w:tcBorders>
            <w:shd w:val="clear" w:color="auto" w:fill="auto"/>
            <w:vAlign w:val="center"/>
            <w:hideMark/>
          </w:tcPr>
          <w:p w14:paraId="0343200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-$2.124</w:t>
            </w:r>
          </w:p>
        </w:tc>
        <w:tc>
          <w:tcPr>
            <w:tcW w:w="960" w:type="dxa"/>
            <w:tcBorders>
              <w:top w:val="nil"/>
              <w:left w:val="nil"/>
              <w:bottom w:val="single" w:sz="4" w:space="0" w:color="595959"/>
              <w:right w:val="single" w:sz="4" w:space="0" w:color="595959"/>
            </w:tcBorders>
            <w:shd w:val="clear" w:color="auto" w:fill="auto"/>
            <w:vAlign w:val="center"/>
            <w:hideMark/>
          </w:tcPr>
          <w:p w14:paraId="412F4889"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-$2.831</w:t>
            </w:r>
          </w:p>
        </w:tc>
        <w:tc>
          <w:tcPr>
            <w:tcW w:w="960" w:type="dxa"/>
            <w:tcBorders>
              <w:top w:val="nil"/>
              <w:left w:val="nil"/>
              <w:bottom w:val="single" w:sz="4" w:space="0" w:color="595959"/>
              <w:right w:val="single" w:sz="4" w:space="0" w:color="595959"/>
            </w:tcBorders>
            <w:shd w:val="clear" w:color="auto" w:fill="auto"/>
            <w:vAlign w:val="center"/>
            <w:hideMark/>
          </w:tcPr>
          <w:p w14:paraId="4DFE93E0"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-$3.539</w:t>
            </w:r>
          </w:p>
        </w:tc>
        <w:tc>
          <w:tcPr>
            <w:tcW w:w="960" w:type="dxa"/>
            <w:tcBorders>
              <w:top w:val="nil"/>
              <w:left w:val="nil"/>
              <w:bottom w:val="single" w:sz="4" w:space="0" w:color="595959"/>
              <w:right w:val="single" w:sz="4" w:space="0" w:color="595959"/>
            </w:tcBorders>
            <w:shd w:val="clear" w:color="auto" w:fill="auto"/>
            <w:vAlign w:val="center"/>
            <w:hideMark/>
          </w:tcPr>
          <w:p w14:paraId="3A7BDCA1"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-$4.247</w:t>
            </w:r>
          </w:p>
        </w:tc>
        <w:tc>
          <w:tcPr>
            <w:tcW w:w="960" w:type="dxa"/>
            <w:tcBorders>
              <w:top w:val="nil"/>
              <w:left w:val="nil"/>
              <w:bottom w:val="single" w:sz="4" w:space="0" w:color="595959"/>
              <w:right w:val="single" w:sz="4" w:space="0" w:color="595959"/>
            </w:tcBorders>
            <w:shd w:val="clear" w:color="auto" w:fill="auto"/>
            <w:vAlign w:val="center"/>
            <w:hideMark/>
          </w:tcPr>
          <w:p w14:paraId="3CCBE7AD"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7583B3D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-$7.079</w:t>
            </w:r>
          </w:p>
        </w:tc>
      </w:tr>
      <w:tr w:rsidR="00D276CC" w:rsidRPr="00576176" w14:paraId="6B0216DE" w14:textId="77777777" w:rsidTr="00700509">
        <w:trPr>
          <w:trHeight w:val="402"/>
        </w:trPr>
        <w:tc>
          <w:tcPr>
            <w:tcW w:w="226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4B3FEF7" w14:textId="77777777" w:rsidR="00D276CC" w:rsidRPr="00AD7F43" w:rsidRDefault="00D276CC" w:rsidP="00DF4694">
            <w:pPr>
              <w:spacing w:after="0" w:line="240" w:lineRule="auto"/>
              <w:rPr>
                <w:rFonts w:ascii="Calibri" w:eastAsia="Times New Roman" w:hAnsi="Calibri" w:cs="Times New Roman"/>
                <w:bCs/>
                <w:color w:val="FFFFFF" w:themeColor="background1"/>
                <w:sz w:val="20"/>
                <w:szCs w:val="20"/>
                <w:lang w:eastAsia="en-AU"/>
              </w:rPr>
            </w:pPr>
            <w:r w:rsidRPr="00AD7F43">
              <w:rPr>
                <w:rFonts w:ascii="Calibri" w:eastAsia="Times New Roman" w:hAnsi="Calibri" w:cs="Times New Roman"/>
                <w:bCs/>
                <w:color w:val="FFFFFF" w:themeColor="background1"/>
                <w:sz w:val="20"/>
                <w:szCs w:val="20"/>
                <w:lang w:eastAsia="en-AU"/>
              </w:rPr>
              <w:t>United Energy</w:t>
            </w:r>
          </w:p>
        </w:tc>
        <w:tc>
          <w:tcPr>
            <w:tcW w:w="960" w:type="dxa"/>
            <w:tcBorders>
              <w:top w:val="nil"/>
              <w:left w:val="single" w:sz="4" w:space="0" w:color="BFBFBF"/>
              <w:bottom w:val="single" w:sz="4" w:space="0" w:color="595959"/>
              <w:right w:val="single" w:sz="4" w:space="0" w:color="595959"/>
            </w:tcBorders>
            <w:shd w:val="clear" w:color="auto" w:fill="auto"/>
            <w:vAlign w:val="center"/>
            <w:hideMark/>
          </w:tcPr>
          <w:p w14:paraId="184929CB"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-$0.089</w:t>
            </w:r>
          </w:p>
        </w:tc>
        <w:tc>
          <w:tcPr>
            <w:tcW w:w="960" w:type="dxa"/>
            <w:tcBorders>
              <w:top w:val="nil"/>
              <w:left w:val="nil"/>
              <w:bottom w:val="single" w:sz="4" w:space="0" w:color="595959"/>
              <w:right w:val="single" w:sz="4" w:space="0" w:color="595959"/>
            </w:tcBorders>
            <w:shd w:val="clear" w:color="auto" w:fill="auto"/>
            <w:vAlign w:val="center"/>
            <w:hideMark/>
          </w:tcPr>
          <w:p w14:paraId="49D4FEFA"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-$0.133</w:t>
            </w:r>
          </w:p>
        </w:tc>
        <w:tc>
          <w:tcPr>
            <w:tcW w:w="960" w:type="dxa"/>
            <w:tcBorders>
              <w:top w:val="nil"/>
              <w:left w:val="nil"/>
              <w:bottom w:val="single" w:sz="4" w:space="0" w:color="595959"/>
              <w:right w:val="single" w:sz="4" w:space="0" w:color="595959"/>
            </w:tcBorders>
            <w:shd w:val="clear" w:color="auto" w:fill="auto"/>
            <w:vAlign w:val="center"/>
            <w:hideMark/>
          </w:tcPr>
          <w:p w14:paraId="0B46996F"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-$0.177</w:t>
            </w:r>
          </w:p>
        </w:tc>
        <w:tc>
          <w:tcPr>
            <w:tcW w:w="960" w:type="dxa"/>
            <w:tcBorders>
              <w:top w:val="nil"/>
              <w:left w:val="nil"/>
              <w:bottom w:val="single" w:sz="4" w:space="0" w:color="595959"/>
              <w:right w:val="single" w:sz="4" w:space="0" w:color="595959"/>
            </w:tcBorders>
            <w:shd w:val="clear" w:color="auto" w:fill="auto"/>
            <w:vAlign w:val="center"/>
            <w:hideMark/>
          </w:tcPr>
          <w:p w14:paraId="2E78FE48"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-$0.221</w:t>
            </w:r>
          </w:p>
        </w:tc>
        <w:tc>
          <w:tcPr>
            <w:tcW w:w="960" w:type="dxa"/>
            <w:tcBorders>
              <w:top w:val="nil"/>
              <w:left w:val="nil"/>
              <w:bottom w:val="single" w:sz="4" w:space="0" w:color="595959"/>
              <w:right w:val="single" w:sz="4" w:space="0" w:color="595959"/>
            </w:tcBorders>
            <w:shd w:val="clear" w:color="auto" w:fill="auto"/>
            <w:vAlign w:val="center"/>
            <w:hideMark/>
          </w:tcPr>
          <w:p w14:paraId="72BFEA84"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-$0.266</w:t>
            </w:r>
          </w:p>
        </w:tc>
        <w:tc>
          <w:tcPr>
            <w:tcW w:w="960" w:type="dxa"/>
            <w:tcBorders>
              <w:top w:val="nil"/>
              <w:left w:val="nil"/>
              <w:bottom w:val="single" w:sz="4" w:space="0" w:color="595959"/>
              <w:right w:val="single" w:sz="4" w:space="0" w:color="595959"/>
            </w:tcBorders>
            <w:shd w:val="clear" w:color="auto" w:fill="auto"/>
            <w:vAlign w:val="center"/>
            <w:hideMark/>
          </w:tcPr>
          <w:p w14:paraId="4794CC67"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w:t>
            </w:r>
          </w:p>
        </w:tc>
        <w:tc>
          <w:tcPr>
            <w:tcW w:w="960" w:type="dxa"/>
            <w:tcBorders>
              <w:top w:val="nil"/>
              <w:left w:val="nil"/>
              <w:bottom w:val="single" w:sz="4" w:space="0" w:color="595959"/>
              <w:right w:val="single" w:sz="4" w:space="0" w:color="595959"/>
            </w:tcBorders>
            <w:shd w:val="clear" w:color="auto" w:fill="auto"/>
            <w:vAlign w:val="center"/>
            <w:hideMark/>
          </w:tcPr>
          <w:p w14:paraId="32726E66" w14:textId="77777777" w:rsidR="00D276CC" w:rsidRPr="00576176" w:rsidRDefault="00D276CC" w:rsidP="00DF4694">
            <w:pPr>
              <w:spacing w:after="0" w:line="240" w:lineRule="auto"/>
              <w:jc w:val="right"/>
              <w:rPr>
                <w:rFonts w:ascii="Calibri" w:eastAsia="Times New Roman" w:hAnsi="Calibri" w:cs="Times New Roman"/>
                <w:b/>
                <w:bCs/>
                <w:sz w:val="18"/>
                <w:szCs w:val="18"/>
                <w:lang w:eastAsia="en-AU"/>
              </w:rPr>
            </w:pPr>
            <w:r w:rsidRPr="00576176">
              <w:rPr>
                <w:rFonts w:ascii="Calibri" w:eastAsia="Times New Roman" w:hAnsi="Calibri" w:cs="Times New Roman"/>
                <w:b/>
                <w:bCs/>
                <w:sz w:val="18"/>
                <w:szCs w:val="18"/>
                <w:lang w:eastAsia="en-AU"/>
              </w:rPr>
              <w:t>-$0.443</w:t>
            </w:r>
          </w:p>
        </w:tc>
      </w:tr>
    </w:tbl>
    <w:p w14:paraId="4A343E5B" w14:textId="77777777" w:rsidR="00D276CC" w:rsidRPr="001F1B21" w:rsidRDefault="00D276CC" w:rsidP="00D276CC">
      <w:pPr>
        <w:autoSpaceDE w:val="0"/>
        <w:autoSpaceDN w:val="0"/>
        <w:adjustRightInd w:val="0"/>
        <w:spacing w:before="60" w:after="240"/>
        <w:rPr>
          <w:rFonts w:ascii="Candara" w:hAnsi="Candara"/>
          <w:sz w:val="18"/>
          <w:szCs w:val="18"/>
        </w:rPr>
      </w:pPr>
      <w:r w:rsidRPr="001F1B21">
        <w:rPr>
          <w:rFonts w:ascii="Candara" w:hAnsi="Candara"/>
          <w:sz w:val="18"/>
          <w:szCs w:val="18"/>
        </w:rPr>
        <w:t xml:space="preserve">Further details of the payments and an estimation of the consumer impact are in </w:t>
      </w:r>
      <w:r w:rsidRPr="008E65BA">
        <w:rPr>
          <w:rFonts w:ascii="Candara" w:hAnsi="Candara"/>
          <w:b/>
          <w:sz w:val="18"/>
          <w:szCs w:val="18"/>
        </w:rPr>
        <w:t>Appendix 4</w:t>
      </w:r>
    </w:p>
    <w:p w14:paraId="25E7C24F" w14:textId="2D8EC158" w:rsidR="00E032EB" w:rsidRDefault="003543AF" w:rsidP="00E6727A">
      <w:pPr>
        <w:autoSpaceDE w:val="0"/>
        <w:autoSpaceDN w:val="0"/>
        <w:adjustRightInd w:val="0"/>
        <w:spacing w:before="120" w:after="80"/>
        <w:rPr>
          <w:rFonts w:ascii="Candara" w:hAnsi="Candara" w:cs="Calibri"/>
        </w:rPr>
      </w:pPr>
      <w:r w:rsidRPr="003543AF">
        <w:rPr>
          <w:rFonts w:ascii="Candara" w:hAnsi="Candara" w:cs="Calibri"/>
        </w:rPr>
        <w:t>The table below shows the maximum payments to and penalties actually incurred by each business over the four years of the current scheme between 2012 and 2015.</w:t>
      </w:r>
    </w:p>
    <w:p w14:paraId="2FC83435" w14:textId="3866D215" w:rsidR="00E032EB" w:rsidRPr="00E032EB" w:rsidRDefault="00E032EB" w:rsidP="00E6727A">
      <w:pPr>
        <w:autoSpaceDE w:val="0"/>
        <w:autoSpaceDN w:val="0"/>
        <w:adjustRightInd w:val="0"/>
        <w:spacing w:before="120" w:after="80"/>
        <w:rPr>
          <w:rFonts w:ascii="Candara" w:hAnsi="Candara" w:cs="Calibri"/>
          <w:sz w:val="21"/>
          <w:szCs w:val="21"/>
        </w:rPr>
      </w:pPr>
      <w:r>
        <w:rPr>
          <w:rStyle w:val="Heading6Char"/>
        </w:rPr>
        <w:t>Figure 4.</w:t>
      </w:r>
      <w:r w:rsidR="00AD7F43">
        <w:rPr>
          <w:rStyle w:val="Heading6Char"/>
        </w:rPr>
        <w:t>4</w:t>
      </w:r>
      <w:r>
        <w:rPr>
          <w:rStyle w:val="Heading6Char"/>
        </w:rPr>
        <w:t xml:space="preserve">: Current scheme maximum payments and penalties to distribution businesses   </w:t>
      </w:r>
    </w:p>
    <w:tbl>
      <w:tblPr>
        <w:tblW w:w="5900" w:type="dxa"/>
        <w:tblInd w:w="1572" w:type="dxa"/>
        <w:tblLook w:val="04A0" w:firstRow="1" w:lastRow="0" w:firstColumn="1" w:lastColumn="0" w:noHBand="0" w:noVBand="1"/>
      </w:tblPr>
      <w:tblGrid>
        <w:gridCol w:w="3220"/>
        <w:gridCol w:w="1340"/>
        <w:gridCol w:w="1340"/>
      </w:tblGrid>
      <w:tr w:rsidR="00E6727A" w:rsidRPr="00715D62" w14:paraId="137676CD" w14:textId="77777777" w:rsidTr="00700509">
        <w:trPr>
          <w:trHeight w:val="765"/>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58382E5" w14:textId="77777777" w:rsidR="00E6727A" w:rsidRPr="00715D62" w:rsidRDefault="00E6727A" w:rsidP="00E6727A">
            <w:pPr>
              <w:spacing w:after="0" w:line="240" w:lineRule="auto"/>
              <w:rPr>
                <w:rFonts w:ascii="Calibri" w:eastAsia="Times New Roman" w:hAnsi="Calibri" w:cs="Times New Roman"/>
                <w:b/>
                <w:bCs/>
                <w:color w:val="FFFFFF"/>
                <w:sz w:val="20"/>
                <w:szCs w:val="20"/>
                <w:lang w:eastAsia="en-AU"/>
              </w:rPr>
            </w:pPr>
            <w:r w:rsidRPr="00715D62">
              <w:rPr>
                <w:rFonts w:ascii="Calibri" w:eastAsia="Times New Roman" w:hAnsi="Calibri" w:cs="Times New Roman"/>
                <w:b/>
                <w:bCs/>
                <w:color w:val="FFFFFF"/>
                <w:sz w:val="20"/>
                <w:szCs w:val="20"/>
                <w:lang w:eastAsia="en-AU"/>
              </w:rPr>
              <w:t>Distribution business</w:t>
            </w:r>
          </w:p>
        </w:tc>
        <w:tc>
          <w:tcPr>
            <w:tcW w:w="134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14147CE" w14:textId="77777777" w:rsidR="00E6727A" w:rsidRPr="00715D62" w:rsidRDefault="00E6727A" w:rsidP="00E6727A">
            <w:pPr>
              <w:spacing w:after="0" w:line="240" w:lineRule="auto"/>
              <w:jc w:val="center"/>
              <w:rPr>
                <w:rFonts w:ascii="Calibri" w:eastAsia="Times New Roman" w:hAnsi="Calibri" w:cs="Times New Roman"/>
                <w:b/>
                <w:bCs/>
                <w:color w:val="FFFFFF"/>
                <w:sz w:val="20"/>
                <w:szCs w:val="20"/>
                <w:lang w:eastAsia="en-AU"/>
              </w:rPr>
            </w:pPr>
            <w:r w:rsidRPr="00715D62">
              <w:rPr>
                <w:rFonts w:ascii="Calibri" w:eastAsia="Times New Roman" w:hAnsi="Calibri" w:cs="Times New Roman"/>
                <w:b/>
                <w:bCs/>
                <w:color w:val="FFFFFF"/>
                <w:sz w:val="20"/>
                <w:szCs w:val="20"/>
                <w:lang w:eastAsia="en-AU"/>
              </w:rPr>
              <w:t>Maximum Payment</w:t>
            </w:r>
            <w:r w:rsidRPr="00715D62">
              <w:rPr>
                <w:rFonts w:ascii="Calibri" w:eastAsia="Times New Roman" w:hAnsi="Calibri" w:cs="Times New Roman"/>
                <w:b/>
                <w:bCs/>
                <w:color w:val="FFFFFF"/>
                <w:sz w:val="20"/>
                <w:szCs w:val="20"/>
                <w:lang w:eastAsia="en-AU"/>
              </w:rPr>
              <w:br/>
              <w:t>($m)</w:t>
            </w:r>
          </w:p>
        </w:tc>
        <w:tc>
          <w:tcPr>
            <w:tcW w:w="134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06CA803" w14:textId="77777777" w:rsidR="00E6727A" w:rsidRPr="00715D62" w:rsidRDefault="00E6727A" w:rsidP="00E6727A">
            <w:pPr>
              <w:spacing w:after="0" w:line="240" w:lineRule="auto"/>
              <w:jc w:val="center"/>
              <w:rPr>
                <w:rFonts w:ascii="Calibri" w:eastAsia="Times New Roman" w:hAnsi="Calibri" w:cs="Times New Roman"/>
                <w:b/>
                <w:bCs/>
                <w:color w:val="FFFFFF"/>
                <w:sz w:val="20"/>
                <w:szCs w:val="20"/>
                <w:lang w:eastAsia="en-AU"/>
              </w:rPr>
            </w:pPr>
            <w:r w:rsidRPr="00715D62">
              <w:rPr>
                <w:rFonts w:ascii="Calibri" w:eastAsia="Times New Roman" w:hAnsi="Calibri" w:cs="Times New Roman"/>
                <w:b/>
                <w:bCs/>
                <w:color w:val="FFFFFF"/>
                <w:sz w:val="20"/>
                <w:szCs w:val="20"/>
                <w:lang w:eastAsia="en-AU"/>
              </w:rPr>
              <w:t xml:space="preserve">Maximum Penalty </w:t>
            </w:r>
            <w:r w:rsidRPr="00715D62">
              <w:rPr>
                <w:rFonts w:ascii="Calibri" w:eastAsia="Times New Roman" w:hAnsi="Calibri" w:cs="Times New Roman"/>
                <w:b/>
                <w:bCs/>
                <w:color w:val="FFFFFF"/>
                <w:sz w:val="20"/>
                <w:szCs w:val="20"/>
                <w:lang w:eastAsia="en-AU"/>
              </w:rPr>
              <w:br/>
              <w:t>($m)</w:t>
            </w:r>
          </w:p>
        </w:tc>
      </w:tr>
      <w:tr w:rsidR="00E6727A" w:rsidRPr="00715D62" w14:paraId="3C23F9FE" w14:textId="77777777" w:rsidTr="00700509">
        <w:trPr>
          <w:trHeight w:val="454"/>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2B845C1" w14:textId="77777777" w:rsidR="00E6727A" w:rsidRPr="003543AF" w:rsidRDefault="00E6727A" w:rsidP="00E6727A">
            <w:pPr>
              <w:spacing w:after="0" w:line="240" w:lineRule="auto"/>
              <w:ind w:firstLineChars="100" w:firstLine="200"/>
              <w:rPr>
                <w:rFonts w:ascii="Calibri" w:eastAsia="Times New Roman" w:hAnsi="Calibri" w:cs="Times New Roman"/>
                <w:color w:val="FFFFFF" w:themeColor="background1"/>
                <w:sz w:val="20"/>
                <w:szCs w:val="20"/>
                <w:lang w:eastAsia="en-AU"/>
              </w:rPr>
            </w:pPr>
            <w:r w:rsidRPr="003543AF">
              <w:rPr>
                <w:rFonts w:ascii="Calibri" w:eastAsia="Times New Roman" w:hAnsi="Calibri" w:cs="Times New Roman"/>
                <w:color w:val="FFFFFF" w:themeColor="background1"/>
                <w:sz w:val="20"/>
                <w:szCs w:val="20"/>
                <w:lang w:eastAsia="en-AU"/>
              </w:rPr>
              <w:t>AusNet Services</w:t>
            </w:r>
          </w:p>
        </w:tc>
        <w:tc>
          <w:tcPr>
            <w:tcW w:w="1340" w:type="dxa"/>
            <w:tcBorders>
              <w:top w:val="single" w:sz="4" w:space="0" w:color="BFBFBF"/>
              <w:left w:val="single" w:sz="4" w:space="0" w:color="BFBFBF"/>
              <w:bottom w:val="single" w:sz="4" w:space="0" w:color="A6A6A6"/>
              <w:right w:val="single" w:sz="4" w:space="0" w:color="A6A6A6"/>
            </w:tcBorders>
            <w:vAlign w:val="center"/>
            <w:hideMark/>
          </w:tcPr>
          <w:p w14:paraId="3258C831" w14:textId="77777777" w:rsidR="00E6727A" w:rsidRPr="00715D62" w:rsidRDefault="00E6727A" w:rsidP="003543AF">
            <w:pPr>
              <w:spacing w:after="0" w:line="240" w:lineRule="auto"/>
              <w:jc w:val="center"/>
              <w:rPr>
                <w:rFonts w:ascii="Calibri" w:eastAsia="Times New Roman" w:hAnsi="Calibri" w:cs="Times New Roman"/>
                <w:color w:val="000000"/>
                <w:sz w:val="20"/>
                <w:szCs w:val="20"/>
                <w:lang w:eastAsia="en-AU"/>
              </w:rPr>
            </w:pPr>
            <w:r w:rsidRPr="00715D62">
              <w:rPr>
                <w:rFonts w:ascii="Calibri" w:eastAsia="Times New Roman" w:hAnsi="Calibri" w:cs="Times New Roman"/>
                <w:color w:val="000000"/>
                <w:sz w:val="20"/>
                <w:szCs w:val="20"/>
                <w:lang w:eastAsia="en-AU"/>
              </w:rPr>
              <w:t>$3.420</w:t>
            </w:r>
          </w:p>
        </w:tc>
        <w:tc>
          <w:tcPr>
            <w:tcW w:w="1340" w:type="dxa"/>
            <w:tcBorders>
              <w:top w:val="single" w:sz="4" w:space="0" w:color="BFBFBF"/>
              <w:left w:val="nil"/>
              <w:bottom w:val="single" w:sz="4" w:space="0" w:color="A6A6A6"/>
              <w:right w:val="single" w:sz="4" w:space="0" w:color="A6A6A6"/>
            </w:tcBorders>
            <w:vAlign w:val="center"/>
            <w:hideMark/>
          </w:tcPr>
          <w:p w14:paraId="1304D9CB" w14:textId="77777777" w:rsidR="00E6727A" w:rsidRPr="00715D62" w:rsidRDefault="00E6727A" w:rsidP="00E6727A">
            <w:pPr>
              <w:spacing w:after="0" w:line="240" w:lineRule="auto"/>
              <w:jc w:val="center"/>
              <w:rPr>
                <w:rFonts w:ascii="Calibri" w:eastAsia="Times New Roman" w:hAnsi="Calibri" w:cs="Times New Roman"/>
                <w:b/>
                <w:bCs/>
                <w:color w:val="000000"/>
                <w:sz w:val="20"/>
                <w:szCs w:val="20"/>
                <w:lang w:eastAsia="en-AU"/>
              </w:rPr>
            </w:pPr>
            <w:r w:rsidRPr="00715D62">
              <w:rPr>
                <w:rFonts w:ascii="Calibri" w:eastAsia="Times New Roman" w:hAnsi="Calibri" w:cs="Times New Roman"/>
                <w:b/>
                <w:bCs/>
                <w:color w:val="000000"/>
                <w:sz w:val="20"/>
                <w:szCs w:val="20"/>
                <w:lang w:eastAsia="en-AU"/>
              </w:rPr>
              <w:t>N/A</w:t>
            </w:r>
          </w:p>
        </w:tc>
      </w:tr>
      <w:tr w:rsidR="00E6727A" w:rsidRPr="00715D62" w14:paraId="2AF267A6" w14:textId="77777777" w:rsidTr="00700509">
        <w:trPr>
          <w:trHeight w:val="454"/>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B3A566C" w14:textId="77777777" w:rsidR="00E6727A" w:rsidRPr="003543AF" w:rsidRDefault="00E6727A" w:rsidP="00E6727A">
            <w:pPr>
              <w:spacing w:after="0" w:line="240" w:lineRule="auto"/>
              <w:ind w:firstLineChars="100" w:firstLine="200"/>
              <w:rPr>
                <w:rFonts w:ascii="Calibri" w:eastAsia="Times New Roman" w:hAnsi="Calibri" w:cs="Times New Roman"/>
                <w:color w:val="FFFFFF" w:themeColor="background1"/>
                <w:sz w:val="20"/>
                <w:szCs w:val="20"/>
                <w:lang w:eastAsia="en-AU"/>
              </w:rPr>
            </w:pPr>
            <w:r w:rsidRPr="003543AF">
              <w:rPr>
                <w:rFonts w:ascii="Calibri" w:eastAsia="Times New Roman" w:hAnsi="Calibri" w:cs="Times New Roman"/>
                <w:color w:val="FFFFFF" w:themeColor="background1"/>
                <w:sz w:val="20"/>
                <w:szCs w:val="20"/>
                <w:lang w:eastAsia="en-AU"/>
              </w:rPr>
              <w:t>CitiPower</w:t>
            </w:r>
          </w:p>
        </w:tc>
        <w:tc>
          <w:tcPr>
            <w:tcW w:w="1340" w:type="dxa"/>
            <w:tcBorders>
              <w:top w:val="nil"/>
              <w:left w:val="single" w:sz="4" w:space="0" w:color="BFBFBF"/>
              <w:bottom w:val="single" w:sz="4" w:space="0" w:color="A6A6A6"/>
              <w:right w:val="single" w:sz="4" w:space="0" w:color="A6A6A6"/>
            </w:tcBorders>
            <w:vAlign w:val="center"/>
            <w:hideMark/>
          </w:tcPr>
          <w:p w14:paraId="18123C36" w14:textId="77777777" w:rsidR="00E6727A" w:rsidRPr="00715D62" w:rsidRDefault="00E6727A" w:rsidP="003543AF">
            <w:pPr>
              <w:spacing w:after="0" w:line="240" w:lineRule="auto"/>
              <w:jc w:val="center"/>
              <w:rPr>
                <w:rFonts w:ascii="Calibri" w:eastAsia="Times New Roman" w:hAnsi="Calibri" w:cs="Times New Roman"/>
                <w:color w:val="000000"/>
                <w:sz w:val="20"/>
                <w:szCs w:val="20"/>
                <w:lang w:eastAsia="en-AU"/>
              </w:rPr>
            </w:pPr>
            <w:r w:rsidRPr="00715D62">
              <w:rPr>
                <w:rFonts w:ascii="Calibri" w:eastAsia="Times New Roman" w:hAnsi="Calibri" w:cs="Times New Roman"/>
                <w:color w:val="000000"/>
                <w:sz w:val="20"/>
                <w:szCs w:val="20"/>
                <w:lang w:eastAsia="en-AU"/>
              </w:rPr>
              <w:t>$0.410</w:t>
            </w:r>
          </w:p>
        </w:tc>
        <w:tc>
          <w:tcPr>
            <w:tcW w:w="1340" w:type="dxa"/>
            <w:tcBorders>
              <w:top w:val="nil"/>
              <w:left w:val="nil"/>
              <w:bottom w:val="single" w:sz="4" w:space="0" w:color="A6A6A6"/>
              <w:right w:val="single" w:sz="4" w:space="0" w:color="A6A6A6"/>
            </w:tcBorders>
            <w:vAlign w:val="center"/>
            <w:hideMark/>
          </w:tcPr>
          <w:p w14:paraId="0E9CA854" w14:textId="77777777" w:rsidR="00E6727A" w:rsidRPr="00715D62" w:rsidRDefault="00E6727A" w:rsidP="003543AF">
            <w:pPr>
              <w:spacing w:after="0" w:line="240" w:lineRule="auto"/>
              <w:jc w:val="center"/>
              <w:rPr>
                <w:rFonts w:ascii="Calibri" w:eastAsia="Times New Roman" w:hAnsi="Calibri" w:cs="Times New Roman"/>
                <w:b/>
                <w:bCs/>
                <w:color w:val="000000"/>
                <w:sz w:val="20"/>
                <w:szCs w:val="20"/>
                <w:lang w:eastAsia="en-AU"/>
              </w:rPr>
            </w:pPr>
            <w:r w:rsidRPr="00715D62">
              <w:rPr>
                <w:rFonts w:ascii="Calibri" w:eastAsia="Times New Roman" w:hAnsi="Calibri" w:cs="Times New Roman"/>
                <w:b/>
                <w:bCs/>
                <w:color w:val="000000"/>
                <w:sz w:val="20"/>
                <w:szCs w:val="20"/>
                <w:lang w:eastAsia="en-AU"/>
              </w:rPr>
              <w:t>$0.065</w:t>
            </w:r>
          </w:p>
        </w:tc>
      </w:tr>
      <w:tr w:rsidR="00E6727A" w:rsidRPr="00715D62" w14:paraId="397992B5" w14:textId="77777777" w:rsidTr="00700509">
        <w:trPr>
          <w:trHeight w:val="454"/>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07F0992" w14:textId="77777777" w:rsidR="00E6727A" w:rsidRPr="003543AF" w:rsidRDefault="00E6727A" w:rsidP="00E6727A">
            <w:pPr>
              <w:spacing w:after="0" w:line="240" w:lineRule="auto"/>
              <w:ind w:firstLineChars="100" w:firstLine="200"/>
              <w:rPr>
                <w:rFonts w:ascii="Calibri" w:eastAsia="Times New Roman" w:hAnsi="Calibri" w:cs="Times New Roman"/>
                <w:color w:val="FFFFFF" w:themeColor="background1"/>
                <w:sz w:val="20"/>
                <w:szCs w:val="20"/>
                <w:lang w:eastAsia="en-AU"/>
              </w:rPr>
            </w:pPr>
            <w:r w:rsidRPr="003543AF">
              <w:rPr>
                <w:rFonts w:ascii="Calibri" w:eastAsia="Times New Roman" w:hAnsi="Calibri" w:cs="Times New Roman"/>
                <w:color w:val="FFFFFF" w:themeColor="background1"/>
                <w:sz w:val="20"/>
                <w:szCs w:val="20"/>
                <w:lang w:eastAsia="en-AU"/>
              </w:rPr>
              <w:t>Jemena</w:t>
            </w:r>
          </w:p>
        </w:tc>
        <w:tc>
          <w:tcPr>
            <w:tcW w:w="1340" w:type="dxa"/>
            <w:tcBorders>
              <w:top w:val="nil"/>
              <w:left w:val="single" w:sz="4" w:space="0" w:color="BFBFBF"/>
              <w:bottom w:val="single" w:sz="4" w:space="0" w:color="A6A6A6"/>
              <w:right w:val="single" w:sz="4" w:space="0" w:color="A6A6A6"/>
            </w:tcBorders>
            <w:vAlign w:val="center"/>
            <w:hideMark/>
          </w:tcPr>
          <w:p w14:paraId="149EFDB5" w14:textId="77777777" w:rsidR="00E6727A" w:rsidRPr="00715D62" w:rsidRDefault="00E6727A" w:rsidP="003543AF">
            <w:pPr>
              <w:spacing w:after="0" w:line="240" w:lineRule="auto"/>
              <w:jc w:val="center"/>
              <w:rPr>
                <w:rFonts w:ascii="Calibri" w:eastAsia="Times New Roman" w:hAnsi="Calibri" w:cs="Times New Roman"/>
                <w:color w:val="000000"/>
                <w:sz w:val="20"/>
                <w:szCs w:val="20"/>
                <w:lang w:eastAsia="en-AU"/>
              </w:rPr>
            </w:pPr>
            <w:r w:rsidRPr="00715D62">
              <w:rPr>
                <w:rFonts w:ascii="Calibri" w:eastAsia="Times New Roman" w:hAnsi="Calibri" w:cs="Times New Roman"/>
                <w:color w:val="000000"/>
                <w:sz w:val="20"/>
                <w:szCs w:val="20"/>
                <w:lang w:eastAsia="en-AU"/>
              </w:rPr>
              <w:t>$0.370</w:t>
            </w:r>
          </w:p>
        </w:tc>
        <w:tc>
          <w:tcPr>
            <w:tcW w:w="1340" w:type="dxa"/>
            <w:tcBorders>
              <w:top w:val="nil"/>
              <w:left w:val="nil"/>
              <w:bottom w:val="single" w:sz="4" w:space="0" w:color="A6A6A6"/>
              <w:right w:val="single" w:sz="4" w:space="0" w:color="A6A6A6"/>
            </w:tcBorders>
            <w:vAlign w:val="center"/>
            <w:hideMark/>
          </w:tcPr>
          <w:p w14:paraId="3277D029" w14:textId="77777777" w:rsidR="00E6727A" w:rsidRPr="00715D62" w:rsidRDefault="00E6727A" w:rsidP="003543AF">
            <w:pPr>
              <w:spacing w:after="0" w:line="240" w:lineRule="auto"/>
              <w:jc w:val="center"/>
              <w:rPr>
                <w:rFonts w:ascii="Calibri" w:eastAsia="Times New Roman" w:hAnsi="Calibri" w:cs="Times New Roman"/>
                <w:b/>
                <w:bCs/>
                <w:color w:val="000000"/>
                <w:sz w:val="20"/>
                <w:szCs w:val="20"/>
                <w:lang w:eastAsia="en-AU"/>
              </w:rPr>
            </w:pPr>
            <w:r w:rsidRPr="00715D62">
              <w:rPr>
                <w:rFonts w:ascii="Calibri" w:eastAsia="Times New Roman" w:hAnsi="Calibri" w:cs="Times New Roman"/>
                <w:b/>
                <w:bCs/>
                <w:color w:val="000000"/>
                <w:sz w:val="20"/>
                <w:szCs w:val="20"/>
                <w:lang w:eastAsia="en-AU"/>
              </w:rPr>
              <w:t>$0.855</w:t>
            </w:r>
          </w:p>
        </w:tc>
      </w:tr>
      <w:tr w:rsidR="00E6727A" w:rsidRPr="00715D62" w14:paraId="29CC10BE" w14:textId="77777777" w:rsidTr="00700509">
        <w:trPr>
          <w:trHeight w:val="454"/>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07FDED1E" w14:textId="77777777" w:rsidR="00E6727A" w:rsidRPr="003543AF" w:rsidRDefault="00E6727A" w:rsidP="00E6727A">
            <w:pPr>
              <w:spacing w:after="0" w:line="240" w:lineRule="auto"/>
              <w:ind w:firstLineChars="100" w:firstLine="200"/>
              <w:rPr>
                <w:rFonts w:ascii="Calibri" w:eastAsia="Times New Roman" w:hAnsi="Calibri" w:cs="Times New Roman"/>
                <w:color w:val="FFFFFF" w:themeColor="background1"/>
                <w:sz w:val="20"/>
                <w:szCs w:val="20"/>
                <w:lang w:eastAsia="en-AU"/>
              </w:rPr>
            </w:pPr>
            <w:r w:rsidRPr="003543AF">
              <w:rPr>
                <w:rFonts w:ascii="Calibri" w:eastAsia="Times New Roman" w:hAnsi="Calibri" w:cs="Times New Roman"/>
                <w:color w:val="FFFFFF" w:themeColor="background1"/>
                <w:sz w:val="20"/>
                <w:szCs w:val="20"/>
                <w:lang w:eastAsia="en-AU"/>
              </w:rPr>
              <w:t>Powercor</w:t>
            </w:r>
          </w:p>
        </w:tc>
        <w:tc>
          <w:tcPr>
            <w:tcW w:w="1340" w:type="dxa"/>
            <w:tcBorders>
              <w:top w:val="nil"/>
              <w:left w:val="single" w:sz="4" w:space="0" w:color="BFBFBF"/>
              <w:bottom w:val="single" w:sz="4" w:space="0" w:color="A6A6A6"/>
              <w:right w:val="single" w:sz="4" w:space="0" w:color="A6A6A6"/>
            </w:tcBorders>
            <w:vAlign w:val="center"/>
            <w:hideMark/>
          </w:tcPr>
          <w:p w14:paraId="337E56B0" w14:textId="77777777" w:rsidR="00E6727A" w:rsidRPr="00715D62" w:rsidRDefault="00E6727A" w:rsidP="003543AF">
            <w:pPr>
              <w:spacing w:after="0" w:line="240" w:lineRule="auto"/>
              <w:jc w:val="center"/>
              <w:rPr>
                <w:rFonts w:ascii="Calibri" w:eastAsia="Times New Roman" w:hAnsi="Calibri" w:cs="Times New Roman"/>
                <w:color w:val="000000"/>
                <w:sz w:val="20"/>
                <w:szCs w:val="20"/>
                <w:lang w:eastAsia="en-AU"/>
              </w:rPr>
            </w:pPr>
            <w:r w:rsidRPr="00715D62">
              <w:rPr>
                <w:rFonts w:ascii="Calibri" w:eastAsia="Times New Roman" w:hAnsi="Calibri" w:cs="Times New Roman"/>
                <w:color w:val="000000"/>
                <w:sz w:val="20"/>
                <w:szCs w:val="20"/>
                <w:lang w:eastAsia="en-AU"/>
              </w:rPr>
              <w:t>$2.470</w:t>
            </w:r>
          </w:p>
        </w:tc>
        <w:tc>
          <w:tcPr>
            <w:tcW w:w="1340" w:type="dxa"/>
            <w:tcBorders>
              <w:top w:val="nil"/>
              <w:left w:val="nil"/>
              <w:bottom w:val="single" w:sz="4" w:space="0" w:color="A6A6A6"/>
              <w:right w:val="single" w:sz="4" w:space="0" w:color="A6A6A6"/>
            </w:tcBorders>
            <w:vAlign w:val="center"/>
            <w:hideMark/>
          </w:tcPr>
          <w:p w14:paraId="10D08006" w14:textId="77777777" w:rsidR="00E6727A" w:rsidRPr="00715D62" w:rsidRDefault="00E6727A" w:rsidP="003543AF">
            <w:pPr>
              <w:spacing w:after="0" w:line="240" w:lineRule="auto"/>
              <w:jc w:val="center"/>
              <w:rPr>
                <w:rFonts w:ascii="Calibri" w:eastAsia="Times New Roman" w:hAnsi="Calibri" w:cs="Times New Roman"/>
                <w:b/>
                <w:bCs/>
                <w:color w:val="000000"/>
                <w:sz w:val="20"/>
                <w:szCs w:val="20"/>
                <w:lang w:eastAsia="en-AU"/>
              </w:rPr>
            </w:pPr>
            <w:r w:rsidRPr="00715D62">
              <w:rPr>
                <w:rFonts w:ascii="Calibri" w:eastAsia="Times New Roman" w:hAnsi="Calibri" w:cs="Times New Roman"/>
                <w:b/>
                <w:bCs/>
                <w:color w:val="000000"/>
                <w:sz w:val="20"/>
                <w:szCs w:val="20"/>
                <w:lang w:eastAsia="en-AU"/>
              </w:rPr>
              <w:t>$2.405</w:t>
            </w:r>
          </w:p>
        </w:tc>
      </w:tr>
      <w:tr w:rsidR="00E6727A" w:rsidRPr="00715D62" w14:paraId="1283BC06" w14:textId="77777777" w:rsidTr="00700509">
        <w:trPr>
          <w:trHeight w:val="454"/>
        </w:trPr>
        <w:tc>
          <w:tcPr>
            <w:tcW w:w="3220"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4AB0319" w14:textId="77777777" w:rsidR="00E6727A" w:rsidRPr="003543AF" w:rsidRDefault="00E6727A" w:rsidP="00E6727A">
            <w:pPr>
              <w:spacing w:after="0" w:line="240" w:lineRule="auto"/>
              <w:ind w:firstLineChars="100" w:firstLine="200"/>
              <w:rPr>
                <w:rFonts w:ascii="Calibri" w:eastAsia="Times New Roman" w:hAnsi="Calibri" w:cs="Times New Roman"/>
                <w:color w:val="FFFFFF" w:themeColor="background1"/>
                <w:sz w:val="20"/>
                <w:szCs w:val="20"/>
                <w:lang w:eastAsia="en-AU"/>
              </w:rPr>
            </w:pPr>
            <w:r w:rsidRPr="003543AF">
              <w:rPr>
                <w:rFonts w:ascii="Calibri" w:eastAsia="Times New Roman" w:hAnsi="Calibri" w:cs="Times New Roman"/>
                <w:color w:val="FFFFFF" w:themeColor="background1"/>
                <w:sz w:val="20"/>
                <w:szCs w:val="20"/>
                <w:lang w:eastAsia="en-AU"/>
              </w:rPr>
              <w:t>United Energy</w:t>
            </w:r>
          </w:p>
        </w:tc>
        <w:tc>
          <w:tcPr>
            <w:tcW w:w="1340" w:type="dxa"/>
            <w:tcBorders>
              <w:top w:val="nil"/>
              <w:left w:val="single" w:sz="4" w:space="0" w:color="BFBFBF"/>
              <w:bottom w:val="single" w:sz="4" w:space="0" w:color="A6A6A6"/>
              <w:right w:val="single" w:sz="4" w:space="0" w:color="A6A6A6"/>
            </w:tcBorders>
            <w:vAlign w:val="center"/>
            <w:hideMark/>
          </w:tcPr>
          <w:p w14:paraId="7FA280CA" w14:textId="77777777" w:rsidR="00E6727A" w:rsidRPr="00715D62" w:rsidRDefault="00E6727A" w:rsidP="003543AF">
            <w:pPr>
              <w:spacing w:after="0" w:line="240" w:lineRule="auto"/>
              <w:jc w:val="center"/>
              <w:rPr>
                <w:rFonts w:ascii="Calibri" w:eastAsia="Times New Roman" w:hAnsi="Calibri" w:cs="Times New Roman"/>
                <w:color w:val="000000"/>
                <w:sz w:val="20"/>
                <w:szCs w:val="20"/>
                <w:lang w:eastAsia="en-AU"/>
              </w:rPr>
            </w:pPr>
            <w:r w:rsidRPr="00715D62">
              <w:rPr>
                <w:rFonts w:ascii="Calibri" w:eastAsia="Times New Roman" w:hAnsi="Calibri" w:cs="Times New Roman"/>
                <w:color w:val="000000"/>
                <w:sz w:val="20"/>
                <w:szCs w:val="20"/>
                <w:lang w:eastAsia="en-AU"/>
              </w:rPr>
              <w:t>$0.980</w:t>
            </w:r>
          </w:p>
        </w:tc>
        <w:tc>
          <w:tcPr>
            <w:tcW w:w="1340" w:type="dxa"/>
            <w:tcBorders>
              <w:top w:val="nil"/>
              <w:left w:val="nil"/>
              <w:bottom w:val="single" w:sz="4" w:space="0" w:color="A6A6A6"/>
              <w:right w:val="single" w:sz="4" w:space="0" w:color="A6A6A6"/>
            </w:tcBorders>
            <w:vAlign w:val="center"/>
            <w:hideMark/>
          </w:tcPr>
          <w:p w14:paraId="1833B3C1" w14:textId="77777777" w:rsidR="00E6727A" w:rsidRPr="00715D62" w:rsidRDefault="00E6727A" w:rsidP="003543AF">
            <w:pPr>
              <w:spacing w:after="0" w:line="240" w:lineRule="auto"/>
              <w:jc w:val="center"/>
              <w:rPr>
                <w:rFonts w:ascii="Calibri" w:eastAsia="Times New Roman" w:hAnsi="Calibri" w:cs="Times New Roman"/>
                <w:b/>
                <w:bCs/>
                <w:color w:val="000000"/>
                <w:sz w:val="20"/>
                <w:szCs w:val="20"/>
                <w:lang w:eastAsia="en-AU"/>
              </w:rPr>
            </w:pPr>
            <w:r w:rsidRPr="00715D62">
              <w:rPr>
                <w:rFonts w:ascii="Calibri" w:eastAsia="Times New Roman" w:hAnsi="Calibri" w:cs="Times New Roman"/>
                <w:b/>
                <w:bCs/>
                <w:color w:val="000000"/>
                <w:sz w:val="20"/>
                <w:szCs w:val="20"/>
                <w:lang w:eastAsia="en-AU"/>
              </w:rPr>
              <w:t>$2.245</w:t>
            </w:r>
          </w:p>
        </w:tc>
      </w:tr>
    </w:tbl>
    <w:p w14:paraId="188429D2" w14:textId="77777777" w:rsidR="003543AF" w:rsidRPr="003543AF" w:rsidRDefault="003543AF" w:rsidP="003543AF">
      <w:pPr>
        <w:autoSpaceDE w:val="0"/>
        <w:autoSpaceDN w:val="0"/>
        <w:adjustRightInd w:val="0"/>
        <w:spacing w:before="120" w:after="80"/>
        <w:rPr>
          <w:rFonts w:ascii="Candara" w:hAnsi="Candara" w:cs="Calibri"/>
        </w:rPr>
      </w:pPr>
      <w:r w:rsidRPr="003543AF">
        <w:rPr>
          <w:rFonts w:ascii="Candara" w:hAnsi="Candara" w:cs="Calibri"/>
        </w:rPr>
        <w:t xml:space="preserve">Forecast penalties and payments under the different scenarios were compared to historical payments and penalties. It was found that for one distribution business, Powercor, the Incentive Rate would need to be reduced in order to ensure that the penalty to the business (in a “hot” </w:t>
      </w:r>
      <w:r w:rsidRPr="003543AF">
        <w:rPr>
          <w:rFonts w:ascii="Candara" w:hAnsi="Candara" w:cs="Calibri"/>
        </w:rPr>
        <w:lastRenderedPageBreak/>
        <w:t xml:space="preserve">year) and the payment made by customers (in a “cool” year) would not exceed the maximum amount experienced in the past four years. </w:t>
      </w:r>
    </w:p>
    <w:p w14:paraId="62D0DB8A" w14:textId="736A0C4F" w:rsidR="00E6727A" w:rsidRDefault="00E6727A" w:rsidP="00E6727A">
      <w:pPr>
        <w:autoSpaceDE w:val="0"/>
        <w:autoSpaceDN w:val="0"/>
        <w:adjustRightInd w:val="0"/>
        <w:spacing w:before="120" w:after="80"/>
        <w:rPr>
          <w:rFonts w:ascii="Candara" w:hAnsi="Candara" w:cs="Calibri"/>
        </w:rPr>
      </w:pPr>
      <w:r>
        <w:rPr>
          <w:rFonts w:ascii="Candara" w:hAnsi="Candara" w:cs="Calibri"/>
        </w:rPr>
        <w:t>At an incentive rate of around $13,000 payments from consumers to Powercor in “cool” years would match the maximum payment to Powercor under the existing scheme.  At an incentive rate of around $17,000 penalties incurred by Powercor under the existing scheme would match the maximum penalties incurred by Powercor under the existing scheme.</w:t>
      </w:r>
    </w:p>
    <w:p w14:paraId="36C85DD6" w14:textId="0B8DCD21" w:rsidR="00E6727A" w:rsidRPr="003543AF" w:rsidRDefault="00E6727A" w:rsidP="00E032EB">
      <w:pPr>
        <w:autoSpaceDE w:val="0"/>
        <w:autoSpaceDN w:val="0"/>
        <w:adjustRightInd w:val="0"/>
        <w:spacing w:before="120" w:after="80"/>
        <w:rPr>
          <w:rFonts w:ascii="Candara" w:hAnsi="Candara" w:cs="Calibri"/>
          <w:b/>
        </w:rPr>
      </w:pPr>
      <w:r w:rsidRPr="003543AF">
        <w:rPr>
          <w:rFonts w:ascii="Candara" w:hAnsi="Candara" w:cs="Calibri"/>
          <w:b/>
        </w:rPr>
        <w:t>If costs to consumers and businesses are to be similar to the existing scheme, the incentive rate should be in the range of $13,000 - $17,000.</w:t>
      </w:r>
    </w:p>
    <w:p w14:paraId="1E9C0E8B" w14:textId="2A09201B" w:rsidR="00E6727A" w:rsidRPr="00084DFB" w:rsidRDefault="00C53166" w:rsidP="00265EB4">
      <w:pPr>
        <w:pStyle w:val="Heading3"/>
        <w:rPr>
          <w:sz w:val="22"/>
          <w:szCs w:val="22"/>
        </w:rPr>
      </w:pPr>
      <w:bookmarkStart w:id="35" w:name="_Toc458675189"/>
      <w:r>
        <w:rPr>
          <w:sz w:val="22"/>
          <w:szCs w:val="22"/>
        </w:rPr>
        <w:t>Value of Individual I</w:t>
      </w:r>
      <w:r w:rsidR="00E6727A" w:rsidRPr="00084DFB">
        <w:rPr>
          <w:sz w:val="22"/>
          <w:szCs w:val="22"/>
        </w:rPr>
        <w:t>gnition</w:t>
      </w:r>
      <w:bookmarkEnd w:id="35"/>
    </w:p>
    <w:p w14:paraId="1E30EE8B" w14:textId="77777777" w:rsidR="003543AF" w:rsidRPr="003543AF" w:rsidRDefault="003543AF" w:rsidP="003543AF">
      <w:pPr>
        <w:autoSpaceDE w:val="0"/>
        <w:autoSpaceDN w:val="0"/>
        <w:adjustRightInd w:val="0"/>
        <w:spacing w:before="120" w:after="80"/>
        <w:rPr>
          <w:rFonts w:ascii="Candara" w:hAnsi="Candara" w:cs="Calibri"/>
        </w:rPr>
      </w:pPr>
      <w:r w:rsidRPr="003543AF">
        <w:rPr>
          <w:rFonts w:ascii="Candara" w:hAnsi="Candara" w:cs="Calibri"/>
        </w:rPr>
        <w:t xml:space="preserve">By applying the IRU weighting framework, there are 28 different IRU scores that are possible, ranging in value from 0.02 to 99.0. </w:t>
      </w:r>
    </w:p>
    <w:p w14:paraId="2C730F54" w14:textId="5677BEB9" w:rsidR="003543AF" w:rsidRDefault="003543AF" w:rsidP="003543AF">
      <w:pPr>
        <w:autoSpaceDE w:val="0"/>
        <w:autoSpaceDN w:val="0"/>
        <w:adjustRightInd w:val="0"/>
        <w:spacing w:before="120" w:after="80"/>
        <w:rPr>
          <w:rFonts w:ascii="Candara" w:hAnsi="Candara" w:cs="Calibri"/>
        </w:rPr>
      </w:pPr>
      <w:r w:rsidRPr="003543AF">
        <w:rPr>
          <w:rFonts w:ascii="Candara" w:hAnsi="Candara" w:cs="Calibri"/>
        </w:rPr>
        <w:t>The financial “value” of an individual ignitions under various penalty rates and a selection of Geographies Geography/and Time combinat</w:t>
      </w:r>
      <w:r>
        <w:rPr>
          <w:rFonts w:ascii="Candara" w:hAnsi="Candara" w:cs="Calibri"/>
        </w:rPr>
        <w:t>ion</w:t>
      </w:r>
      <w:r w:rsidRPr="003543AF">
        <w:rPr>
          <w:rFonts w:ascii="Candara" w:hAnsi="Candara" w:cs="Calibri"/>
        </w:rPr>
        <w:t>s is shown below. This sample of ignition values includes both the lowest cost and highest cost category of fire.</w:t>
      </w:r>
    </w:p>
    <w:p w14:paraId="3699F399" w14:textId="2CB3331E" w:rsidR="003543AF" w:rsidRPr="003543AF" w:rsidRDefault="00E032EB" w:rsidP="003543AF">
      <w:pPr>
        <w:autoSpaceDE w:val="0"/>
        <w:autoSpaceDN w:val="0"/>
        <w:adjustRightInd w:val="0"/>
        <w:spacing w:before="120" w:after="80"/>
        <w:rPr>
          <w:rFonts w:ascii="Candara" w:hAnsi="Candara" w:cs="Calibri"/>
          <w:sz w:val="21"/>
          <w:szCs w:val="21"/>
        </w:rPr>
      </w:pPr>
      <w:r>
        <w:rPr>
          <w:rStyle w:val="Heading6Char"/>
        </w:rPr>
        <w:t>Figure 4.</w:t>
      </w:r>
      <w:r w:rsidR="00AD7F43">
        <w:rPr>
          <w:rStyle w:val="Heading6Char"/>
        </w:rPr>
        <w:t>5</w:t>
      </w:r>
      <w:r>
        <w:rPr>
          <w:rStyle w:val="Heading6Char"/>
        </w:rPr>
        <w:t xml:space="preserve">: Individual ignition values by IRU incentive rate, time and geography   </w:t>
      </w:r>
    </w:p>
    <w:tbl>
      <w:tblPr>
        <w:tblW w:w="10165" w:type="dxa"/>
        <w:tblLook w:val="04A0" w:firstRow="1" w:lastRow="0" w:firstColumn="1" w:lastColumn="0" w:noHBand="0" w:noVBand="1"/>
      </w:tblPr>
      <w:tblGrid>
        <w:gridCol w:w="1035"/>
        <w:gridCol w:w="759"/>
        <w:gridCol w:w="885"/>
        <w:gridCol w:w="759"/>
        <w:gridCol w:w="627"/>
        <w:gridCol w:w="920"/>
        <w:gridCol w:w="1036"/>
        <w:gridCol w:w="1036"/>
        <w:gridCol w:w="1036"/>
        <w:gridCol w:w="1036"/>
        <w:gridCol w:w="1036"/>
      </w:tblGrid>
      <w:tr w:rsidR="00AD7F43" w:rsidRPr="00EC5691" w14:paraId="18A7142C" w14:textId="77777777" w:rsidTr="00700509">
        <w:tc>
          <w:tcPr>
            <w:tcW w:w="1035" w:type="dxa"/>
            <w:vMerge w:val="restart"/>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FB0AFC3" w14:textId="77777777"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Geography</w:t>
            </w:r>
          </w:p>
          <w:p w14:paraId="62B559FE" w14:textId="4853A53B"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Category</w:t>
            </w:r>
          </w:p>
        </w:tc>
        <w:tc>
          <w:tcPr>
            <w:tcW w:w="759" w:type="dxa"/>
            <w:vMerge w:val="restart"/>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624A4D46" w14:textId="291AB640"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IRU Weight</w:t>
            </w:r>
          </w:p>
        </w:tc>
        <w:tc>
          <w:tcPr>
            <w:tcW w:w="885" w:type="dxa"/>
            <w:vMerge w:val="restart"/>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38461903" w14:textId="77777777"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Time</w:t>
            </w:r>
          </w:p>
          <w:p w14:paraId="578354C3" w14:textId="743A48C0"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Category</w:t>
            </w:r>
          </w:p>
        </w:tc>
        <w:tc>
          <w:tcPr>
            <w:tcW w:w="759" w:type="dxa"/>
            <w:vMerge w:val="restart"/>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6457B0FA" w14:textId="22880ABF"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IRU Weight</w:t>
            </w:r>
          </w:p>
        </w:tc>
        <w:tc>
          <w:tcPr>
            <w:tcW w:w="627" w:type="dxa"/>
            <w:vMerge w:val="restart"/>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132D557E" w14:textId="0942878B" w:rsidR="00AD7F43" w:rsidRPr="00EC5691" w:rsidRDefault="00AD7F43" w:rsidP="00AD7F43">
            <w:pPr>
              <w:spacing w:after="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IRU total </w:t>
            </w:r>
          </w:p>
        </w:tc>
        <w:tc>
          <w:tcPr>
            <w:tcW w:w="6100" w:type="dxa"/>
            <w:gridSpan w:val="6"/>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4D35811D" w14:textId="58568DA7" w:rsidR="00AD7F43" w:rsidRPr="00EC5691" w:rsidRDefault="00AD7F43" w:rsidP="00AD7F43">
            <w:pPr>
              <w:spacing w:before="60" w:after="60" w:line="240" w:lineRule="auto"/>
              <w:jc w:val="center"/>
              <w:rPr>
                <w:rFonts w:ascii="Calibri" w:eastAsia="Times New Roman" w:hAnsi="Calibri" w:cs="Times New Roman"/>
                <w:b/>
                <w:bCs/>
                <w:color w:val="FFFFFF"/>
                <w:sz w:val="18"/>
                <w:szCs w:val="18"/>
                <w:lang w:eastAsia="en-AU"/>
              </w:rPr>
            </w:pPr>
            <w:r w:rsidRPr="00EC5691">
              <w:rPr>
                <w:rFonts w:ascii="Calibri" w:eastAsia="Times New Roman" w:hAnsi="Calibri" w:cs="Times New Roman"/>
                <w:b/>
                <w:bCs/>
                <w:color w:val="FFFFFF"/>
                <w:sz w:val="18"/>
                <w:szCs w:val="18"/>
                <w:lang w:eastAsia="en-AU"/>
              </w:rPr>
              <w:t>Penal</w:t>
            </w:r>
            <w:r>
              <w:rPr>
                <w:rFonts w:ascii="Calibri" w:eastAsia="Times New Roman" w:hAnsi="Calibri" w:cs="Times New Roman"/>
                <w:b/>
                <w:bCs/>
                <w:color w:val="FFFFFF"/>
                <w:sz w:val="18"/>
                <w:szCs w:val="18"/>
                <w:lang w:eastAsia="en-AU"/>
              </w:rPr>
              <w:t>t</w:t>
            </w:r>
            <w:r w:rsidRPr="00EC5691">
              <w:rPr>
                <w:rFonts w:ascii="Calibri" w:eastAsia="Times New Roman" w:hAnsi="Calibri" w:cs="Times New Roman"/>
                <w:b/>
                <w:bCs/>
                <w:color w:val="FFFFFF"/>
                <w:sz w:val="18"/>
                <w:szCs w:val="18"/>
                <w:lang w:eastAsia="en-AU"/>
              </w:rPr>
              <w:t>y Rate Scenarios</w:t>
            </w:r>
          </w:p>
        </w:tc>
      </w:tr>
      <w:tr w:rsidR="00AD7F43" w:rsidRPr="00EC5691" w14:paraId="6E3C9738" w14:textId="77777777" w:rsidTr="00700509">
        <w:trPr>
          <w:trHeight w:val="480"/>
        </w:trPr>
        <w:tc>
          <w:tcPr>
            <w:tcW w:w="1035" w:type="dxa"/>
            <w:vMerge/>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CBD9F45" w14:textId="7EC46702"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p>
        </w:tc>
        <w:tc>
          <w:tcPr>
            <w:tcW w:w="759" w:type="dxa"/>
            <w:vMerge/>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7193F840" w14:textId="7E008922"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p>
        </w:tc>
        <w:tc>
          <w:tcPr>
            <w:tcW w:w="885" w:type="dxa"/>
            <w:vMerge/>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54A79574" w14:textId="7ECDCD33"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p>
        </w:tc>
        <w:tc>
          <w:tcPr>
            <w:tcW w:w="759" w:type="dxa"/>
            <w:vMerge/>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3C1D53B0" w14:textId="557775E7"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p>
        </w:tc>
        <w:tc>
          <w:tcPr>
            <w:tcW w:w="627" w:type="dxa"/>
            <w:vMerge/>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4C206AE4" w14:textId="7205C1B2" w:rsidR="00AD7F43" w:rsidRPr="00EC5691" w:rsidRDefault="00AD7F43" w:rsidP="00DF4694">
            <w:pPr>
              <w:spacing w:after="0" w:line="240" w:lineRule="auto"/>
              <w:jc w:val="center"/>
              <w:rPr>
                <w:rFonts w:ascii="Calibri" w:eastAsia="Times New Roman" w:hAnsi="Calibri" w:cs="Times New Roman"/>
                <w:b/>
                <w:bCs/>
                <w:color w:val="FFFFFF"/>
                <w:sz w:val="18"/>
                <w:szCs w:val="18"/>
                <w:lang w:eastAsia="en-AU"/>
              </w:rPr>
            </w:pPr>
          </w:p>
        </w:tc>
        <w:tc>
          <w:tcPr>
            <w:tcW w:w="920"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12B19282"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$10,000</w:t>
            </w:r>
          </w:p>
        </w:tc>
        <w:tc>
          <w:tcPr>
            <w:tcW w:w="1036"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414E4B5C"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$15,000</w:t>
            </w:r>
          </w:p>
        </w:tc>
        <w:tc>
          <w:tcPr>
            <w:tcW w:w="1036"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73ADE2DC"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$20,000</w:t>
            </w:r>
          </w:p>
        </w:tc>
        <w:tc>
          <w:tcPr>
            <w:tcW w:w="1036"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70E4F4F9"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$25,000</w:t>
            </w:r>
          </w:p>
        </w:tc>
        <w:tc>
          <w:tcPr>
            <w:tcW w:w="1036"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1A96F99B"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$30,000</w:t>
            </w:r>
          </w:p>
        </w:tc>
        <w:tc>
          <w:tcPr>
            <w:tcW w:w="1036"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2CF2809B" w14:textId="77777777" w:rsidR="00AD7F43" w:rsidRPr="00EC5691" w:rsidRDefault="00AD7F43" w:rsidP="00DF4694">
            <w:pPr>
              <w:spacing w:after="0" w:line="240" w:lineRule="auto"/>
              <w:jc w:val="center"/>
              <w:rPr>
                <w:rFonts w:ascii="Calibri" w:eastAsia="Times New Roman" w:hAnsi="Calibri" w:cs="Times New Roman"/>
                <w:b/>
                <w:bCs/>
                <w:color w:val="FFFFFF"/>
                <w:sz w:val="16"/>
                <w:szCs w:val="16"/>
                <w:lang w:eastAsia="en-AU"/>
              </w:rPr>
            </w:pPr>
            <w:r w:rsidRPr="00EC5691">
              <w:rPr>
                <w:rFonts w:ascii="Calibri" w:eastAsia="Times New Roman" w:hAnsi="Calibri" w:cs="Times New Roman"/>
                <w:b/>
                <w:bCs/>
                <w:color w:val="FFFFFF"/>
                <w:sz w:val="16"/>
                <w:szCs w:val="16"/>
                <w:lang w:eastAsia="en-AU"/>
              </w:rPr>
              <w:t>$50,000</w:t>
            </w:r>
          </w:p>
        </w:tc>
      </w:tr>
      <w:tr w:rsidR="00AD7F43" w:rsidRPr="00EC5691" w14:paraId="5D545B17"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2582222D"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Low</w:t>
            </w:r>
          </w:p>
        </w:tc>
        <w:tc>
          <w:tcPr>
            <w:tcW w:w="759" w:type="dxa"/>
            <w:tcBorders>
              <w:top w:val="nil"/>
              <w:left w:val="nil"/>
              <w:bottom w:val="single" w:sz="4" w:space="0" w:color="BFBFBF"/>
              <w:right w:val="single" w:sz="4" w:space="0" w:color="BFBFBF"/>
            </w:tcBorders>
            <w:shd w:val="clear" w:color="auto" w:fill="auto"/>
            <w:vAlign w:val="center"/>
            <w:hideMark/>
          </w:tcPr>
          <w:p w14:paraId="0C65E24E"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0.2</w:t>
            </w:r>
          </w:p>
        </w:tc>
        <w:tc>
          <w:tcPr>
            <w:tcW w:w="885" w:type="dxa"/>
            <w:tcBorders>
              <w:top w:val="nil"/>
              <w:left w:val="nil"/>
              <w:bottom w:val="single" w:sz="4" w:space="0" w:color="BFBFBF"/>
              <w:right w:val="single" w:sz="4" w:space="0" w:color="BFBFBF"/>
            </w:tcBorders>
            <w:shd w:val="clear" w:color="000000" w:fill="D6E1EF"/>
            <w:vAlign w:val="center"/>
            <w:hideMark/>
          </w:tcPr>
          <w:p w14:paraId="3BA78887"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No forecast</w:t>
            </w:r>
          </w:p>
        </w:tc>
        <w:tc>
          <w:tcPr>
            <w:tcW w:w="759" w:type="dxa"/>
            <w:tcBorders>
              <w:top w:val="nil"/>
              <w:left w:val="nil"/>
              <w:bottom w:val="single" w:sz="4" w:space="0" w:color="BFBFBF"/>
              <w:right w:val="single" w:sz="4" w:space="0" w:color="BFBFBF"/>
            </w:tcBorders>
            <w:shd w:val="clear" w:color="auto" w:fill="auto"/>
            <w:vAlign w:val="center"/>
            <w:hideMark/>
          </w:tcPr>
          <w:p w14:paraId="252D73BE"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0.1</w:t>
            </w:r>
          </w:p>
        </w:tc>
        <w:tc>
          <w:tcPr>
            <w:tcW w:w="627" w:type="dxa"/>
            <w:tcBorders>
              <w:top w:val="nil"/>
              <w:left w:val="nil"/>
              <w:bottom w:val="single" w:sz="4" w:space="0" w:color="BFBFBF"/>
              <w:right w:val="single" w:sz="4" w:space="0" w:color="BFBFBF"/>
            </w:tcBorders>
            <w:shd w:val="clear" w:color="auto" w:fill="auto"/>
            <w:vAlign w:val="center"/>
            <w:hideMark/>
          </w:tcPr>
          <w:p w14:paraId="5BBE0B8D"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0.02</w:t>
            </w:r>
          </w:p>
        </w:tc>
        <w:tc>
          <w:tcPr>
            <w:tcW w:w="920" w:type="dxa"/>
            <w:tcBorders>
              <w:top w:val="nil"/>
              <w:left w:val="nil"/>
              <w:bottom w:val="single" w:sz="4" w:space="0" w:color="BFBFBF"/>
              <w:right w:val="single" w:sz="4" w:space="0" w:color="BFBFBF"/>
            </w:tcBorders>
            <w:shd w:val="clear" w:color="auto" w:fill="auto"/>
            <w:noWrap/>
            <w:vAlign w:val="center"/>
            <w:hideMark/>
          </w:tcPr>
          <w:p w14:paraId="24CDFDA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$200</w:t>
            </w:r>
          </w:p>
        </w:tc>
        <w:tc>
          <w:tcPr>
            <w:tcW w:w="1036" w:type="dxa"/>
            <w:tcBorders>
              <w:top w:val="nil"/>
              <w:left w:val="nil"/>
              <w:bottom w:val="single" w:sz="4" w:space="0" w:color="BFBFBF"/>
              <w:right w:val="single" w:sz="4" w:space="0" w:color="BFBFBF"/>
            </w:tcBorders>
            <w:shd w:val="clear" w:color="auto" w:fill="auto"/>
            <w:noWrap/>
            <w:vAlign w:val="center"/>
            <w:hideMark/>
          </w:tcPr>
          <w:p w14:paraId="0D890348"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$300</w:t>
            </w:r>
          </w:p>
        </w:tc>
        <w:tc>
          <w:tcPr>
            <w:tcW w:w="1036" w:type="dxa"/>
            <w:tcBorders>
              <w:top w:val="nil"/>
              <w:left w:val="nil"/>
              <w:bottom w:val="single" w:sz="4" w:space="0" w:color="BFBFBF"/>
              <w:right w:val="single" w:sz="4" w:space="0" w:color="BFBFBF"/>
            </w:tcBorders>
            <w:shd w:val="clear" w:color="auto" w:fill="auto"/>
            <w:noWrap/>
            <w:vAlign w:val="center"/>
            <w:hideMark/>
          </w:tcPr>
          <w:p w14:paraId="5C4F8E30"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$400</w:t>
            </w:r>
          </w:p>
        </w:tc>
        <w:tc>
          <w:tcPr>
            <w:tcW w:w="1036" w:type="dxa"/>
            <w:tcBorders>
              <w:top w:val="nil"/>
              <w:left w:val="nil"/>
              <w:bottom w:val="single" w:sz="4" w:space="0" w:color="BFBFBF"/>
              <w:right w:val="single" w:sz="4" w:space="0" w:color="BFBFBF"/>
            </w:tcBorders>
            <w:shd w:val="clear" w:color="auto" w:fill="auto"/>
            <w:noWrap/>
            <w:vAlign w:val="center"/>
            <w:hideMark/>
          </w:tcPr>
          <w:p w14:paraId="730EA7A5"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$500</w:t>
            </w:r>
          </w:p>
        </w:tc>
        <w:tc>
          <w:tcPr>
            <w:tcW w:w="1036" w:type="dxa"/>
            <w:tcBorders>
              <w:top w:val="nil"/>
              <w:left w:val="nil"/>
              <w:bottom w:val="single" w:sz="4" w:space="0" w:color="BFBFBF"/>
              <w:right w:val="single" w:sz="4" w:space="0" w:color="BFBFBF"/>
            </w:tcBorders>
            <w:shd w:val="clear" w:color="auto" w:fill="auto"/>
            <w:noWrap/>
            <w:vAlign w:val="center"/>
            <w:hideMark/>
          </w:tcPr>
          <w:p w14:paraId="1442477A"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$600</w:t>
            </w:r>
          </w:p>
        </w:tc>
        <w:tc>
          <w:tcPr>
            <w:tcW w:w="1036" w:type="dxa"/>
            <w:tcBorders>
              <w:top w:val="nil"/>
              <w:left w:val="nil"/>
              <w:bottom w:val="single" w:sz="4" w:space="0" w:color="BFBFBF"/>
              <w:right w:val="single" w:sz="4" w:space="0" w:color="BFBFBF"/>
            </w:tcBorders>
            <w:shd w:val="clear" w:color="auto" w:fill="auto"/>
            <w:noWrap/>
            <w:vAlign w:val="center"/>
            <w:hideMark/>
          </w:tcPr>
          <w:p w14:paraId="4DBCC16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$1,000</w:t>
            </w:r>
          </w:p>
        </w:tc>
      </w:tr>
      <w:tr w:rsidR="00AD7F43" w:rsidRPr="00EC5691" w14:paraId="692D7655" w14:textId="77777777" w:rsidTr="00AD7F43">
        <w:trPr>
          <w:trHeight w:val="170"/>
        </w:trPr>
        <w:tc>
          <w:tcPr>
            <w:tcW w:w="1035" w:type="dxa"/>
            <w:tcBorders>
              <w:top w:val="single" w:sz="4" w:space="0" w:color="BFBFBF"/>
              <w:bottom w:val="single" w:sz="4" w:space="0" w:color="BFBFBF"/>
              <w:right w:val="nil"/>
            </w:tcBorders>
            <w:shd w:val="clear" w:color="auto" w:fill="auto"/>
            <w:vAlign w:val="center"/>
          </w:tcPr>
          <w:p w14:paraId="083776EC"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52D9EEFC"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885" w:type="dxa"/>
            <w:tcBorders>
              <w:top w:val="single" w:sz="4" w:space="0" w:color="BFBFBF"/>
              <w:left w:val="nil"/>
              <w:bottom w:val="single" w:sz="4" w:space="0" w:color="BFBFBF"/>
              <w:right w:val="nil"/>
            </w:tcBorders>
            <w:shd w:val="clear" w:color="auto" w:fill="auto"/>
            <w:vAlign w:val="center"/>
          </w:tcPr>
          <w:p w14:paraId="0DB21CAE"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0502FE9B"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627" w:type="dxa"/>
            <w:tcBorders>
              <w:top w:val="single" w:sz="4" w:space="0" w:color="BFBFBF"/>
              <w:left w:val="nil"/>
              <w:bottom w:val="single" w:sz="4" w:space="0" w:color="BFBFBF"/>
              <w:right w:val="nil"/>
            </w:tcBorders>
            <w:shd w:val="clear" w:color="auto" w:fill="auto"/>
            <w:vAlign w:val="center"/>
          </w:tcPr>
          <w:p w14:paraId="5EEE270C"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920" w:type="dxa"/>
            <w:tcBorders>
              <w:top w:val="single" w:sz="4" w:space="0" w:color="BFBFBF"/>
              <w:left w:val="nil"/>
              <w:bottom w:val="single" w:sz="4" w:space="0" w:color="BFBFBF"/>
              <w:right w:val="nil"/>
            </w:tcBorders>
            <w:shd w:val="clear" w:color="auto" w:fill="auto"/>
            <w:noWrap/>
            <w:vAlign w:val="center"/>
          </w:tcPr>
          <w:p w14:paraId="715CCDAD"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104B4948"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33470422"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46764FF0"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43E57DE2"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561B1CD2" w14:textId="77777777" w:rsidR="00AD7F43" w:rsidRPr="00EC5691" w:rsidRDefault="00AD7F43" w:rsidP="00DF4694">
            <w:pPr>
              <w:spacing w:after="0" w:line="240" w:lineRule="auto"/>
              <w:jc w:val="center"/>
              <w:rPr>
                <w:rFonts w:ascii="Calibri" w:eastAsia="Times New Roman" w:hAnsi="Calibri" w:cs="Times New Roman"/>
                <w:color w:val="000000"/>
                <w:sz w:val="12"/>
                <w:szCs w:val="12"/>
                <w:lang w:eastAsia="en-AU"/>
              </w:rPr>
            </w:pPr>
          </w:p>
        </w:tc>
      </w:tr>
      <w:tr w:rsidR="00AD7F43" w:rsidRPr="00EC5691" w14:paraId="31E26692"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1021971D"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High</w:t>
            </w:r>
          </w:p>
        </w:tc>
        <w:tc>
          <w:tcPr>
            <w:tcW w:w="759" w:type="dxa"/>
            <w:tcBorders>
              <w:top w:val="nil"/>
              <w:left w:val="nil"/>
              <w:bottom w:val="single" w:sz="4" w:space="0" w:color="BFBFBF"/>
              <w:right w:val="single" w:sz="4" w:space="0" w:color="BFBFBF"/>
            </w:tcBorders>
            <w:shd w:val="clear" w:color="auto" w:fill="auto"/>
            <w:vAlign w:val="center"/>
            <w:hideMark/>
          </w:tcPr>
          <w:p w14:paraId="73AEED27"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w:t>
            </w:r>
          </w:p>
        </w:tc>
        <w:tc>
          <w:tcPr>
            <w:tcW w:w="885" w:type="dxa"/>
            <w:tcBorders>
              <w:top w:val="nil"/>
              <w:left w:val="nil"/>
              <w:bottom w:val="single" w:sz="4" w:space="0" w:color="BFBFBF"/>
              <w:right w:val="single" w:sz="4" w:space="0" w:color="BFBFBF"/>
            </w:tcBorders>
            <w:shd w:val="clear" w:color="000000" w:fill="D6E1EF"/>
            <w:vAlign w:val="center"/>
            <w:hideMark/>
          </w:tcPr>
          <w:p w14:paraId="18CCE529"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Very High</w:t>
            </w:r>
          </w:p>
        </w:tc>
        <w:tc>
          <w:tcPr>
            <w:tcW w:w="759" w:type="dxa"/>
            <w:tcBorders>
              <w:top w:val="nil"/>
              <w:left w:val="nil"/>
              <w:bottom w:val="single" w:sz="4" w:space="0" w:color="BFBFBF"/>
              <w:right w:val="single" w:sz="4" w:space="0" w:color="BFBFBF"/>
            </w:tcBorders>
            <w:shd w:val="clear" w:color="auto" w:fill="auto"/>
            <w:vAlign w:val="center"/>
            <w:hideMark/>
          </w:tcPr>
          <w:p w14:paraId="07801044"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w:t>
            </w:r>
          </w:p>
        </w:tc>
        <w:tc>
          <w:tcPr>
            <w:tcW w:w="627" w:type="dxa"/>
            <w:tcBorders>
              <w:top w:val="nil"/>
              <w:left w:val="nil"/>
              <w:bottom w:val="single" w:sz="4" w:space="0" w:color="BFBFBF"/>
              <w:right w:val="single" w:sz="4" w:space="0" w:color="BFBFBF"/>
            </w:tcBorders>
            <w:shd w:val="clear" w:color="auto" w:fill="auto"/>
            <w:vAlign w:val="center"/>
            <w:hideMark/>
          </w:tcPr>
          <w:p w14:paraId="56FCC749"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1.00</w:t>
            </w:r>
          </w:p>
        </w:tc>
        <w:tc>
          <w:tcPr>
            <w:tcW w:w="920" w:type="dxa"/>
            <w:tcBorders>
              <w:top w:val="nil"/>
              <w:left w:val="nil"/>
              <w:bottom w:val="single" w:sz="4" w:space="0" w:color="BFBFBF"/>
              <w:right w:val="single" w:sz="4" w:space="0" w:color="BFBFBF"/>
            </w:tcBorders>
            <w:shd w:val="clear" w:color="auto" w:fill="auto"/>
            <w:noWrap/>
            <w:vAlign w:val="center"/>
            <w:hideMark/>
          </w:tcPr>
          <w:p w14:paraId="3A761968"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$10,000</w:t>
            </w:r>
          </w:p>
        </w:tc>
        <w:tc>
          <w:tcPr>
            <w:tcW w:w="1036" w:type="dxa"/>
            <w:tcBorders>
              <w:top w:val="nil"/>
              <w:left w:val="nil"/>
              <w:bottom w:val="single" w:sz="4" w:space="0" w:color="BFBFBF"/>
              <w:right w:val="single" w:sz="4" w:space="0" w:color="BFBFBF"/>
            </w:tcBorders>
            <w:shd w:val="clear" w:color="auto" w:fill="auto"/>
            <w:noWrap/>
            <w:vAlign w:val="center"/>
            <w:hideMark/>
          </w:tcPr>
          <w:p w14:paraId="5FB9751C"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$15,000</w:t>
            </w:r>
          </w:p>
        </w:tc>
        <w:tc>
          <w:tcPr>
            <w:tcW w:w="1036" w:type="dxa"/>
            <w:tcBorders>
              <w:top w:val="nil"/>
              <w:left w:val="nil"/>
              <w:bottom w:val="single" w:sz="4" w:space="0" w:color="BFBFBF"/>
              <w:right w:val="single" w:sz="4" w:space="0" w:color="BFBFBF"/>
            </w:tcBorders>
            <w:shd w:val="clear" w:color="auto" w:fill="auto"/>
            <w:noWrap/>
            <w:vAlign w:val="center"/>
            <w:hideMark/>
          </w:tcPr>
          <w:p w14:paraId="68CE9434"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$20,000</w:t>
            </w:r>
          </w:p>
        </w:tc>
        <w:tc>
          <w:tcPr>
            <w:tcW w:w="1036" w:type="dxa"/>
            <w:tcBorders>
              <w:top w:val="nil"/>
              <w:left w:val="nil"/>
              <w:bottom w:val="single" w:sz="4" w:space="0" w:color="BFBFBF"/>
              <w:right w:val="single" w:sz="4" w:space="0" w:color="BFBFBF"/>
            </w:tcBorders>
            <w:shd w:val="clear" w:color="auto" w:fill="auto"/>
            <w:noWrap/>
            <w:vAlign w:val="center"/>
            <w:hideMark/>
          </w:tcPr>
          <w:p w14:paraId="58187158"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$25,000</w:t>
            </w:r>
          </w:p>
        </w:tc>
        <w:tc>
          <w:tcPr>
            <w:tcW w:w="1036" w:type="dxa"/>
            <w:tcBorders>
              <w:top w:val="nil"/>
              <w:left w:val="nil"/>
              <w:bottom w:val="single" w:sz="4" w:space="0" w:color="BFBFBF"/>
              <w:right w:val="single" w:sz="4" w:space="0" w:color="BFBFBF"/>
            </w:tcBorders>
            <w:shd w:val="clear" w:color="auto" w:fill="auto"/>
            <w:noWrap/>
            <w:vAlign w:val="center"/>
            <w:hideMark/>
          </w:tcPr>
          <w:p w14:paraId="3CC130BC"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$30,000</w:t>
            </w:r>
          </w:p>
        </w:tc>
        <w:tc>
          <w:tcPr>
            <w:tcW w:w="1036" w:type="dxa"/>
            <w:tcBorders>
              <w:top w:val="nil"/>
              <w:left w:val="nil"/>
              <w:bottom w:val="single" w:sz="4" w:space="0" w:color="BFBFBF"/>
              <w:right w:val="single" w:sz="4" w:space="0" w:color="BFBFBF"/>
            </w:tcBorders>
            <w:shd w:val="clear" w:color="auto" w:fill="auto"/>
            <w:noWrap/>
            <w:vAlign w:val="center"/>
            <w:hideMark/>
          </w:tcPr>
          <w:p w14:paraId="5A77681F"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$50,000</w:t>
            </w:r>
          </w:p>
        </w:tc>
      </w:tr>
      <w:tr w:rsidR="00AD7F43" w:rsidRPr="00AD7F43" w14:paraId="3465BC85" w14:textId="77777777" w:rsidTr="00AD7F43">
        <w:trPr>
          <w:trHeight w:val="170"/>
        </w:trPr>
        <w:tc>
          <w:tcPr>
            <w:tcW w:w="1035" w:type="dxa"/>
            <w:tcBorders>
              <w:top w:val="single" w:sz="4" w:space="0" w:color="BFBFBF"/>
              <w:bottom w:val="single" w:sz="4" w:space="0" w:color="BFBFBF"/>
              <w:right w:val="nil"/>
            </w:tcBorders>
            <w:shd w:val="clear" w:color="auto" w:fill="auto"/>
            <w:vAlign w:val="center"/>
          </w:tcPr>
          <w:p w14:paraId="5585CBCD"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08E84C5F"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885" w:type="dxa"/>
            <w:tcBorders>
              <w:top w:val="single" w:sz="4" w:space="0" w:color="BFBFBF"/>
              <w:left w:val="nil"/>
              <w:bottom w:val="single" w:sz="4" w:space="0" w:color="BFBFBF"/>
              <w:right w:val="nil"/>
            </w:tcBorders>
            <w:shd w:val="clear" w:color="auto" w:fill="auto"/>
            <w:vAlign w:val="center"/>
          </w:tcPr>
          <w:p w14:paraId="52C68445"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24CD27E8"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627" w:type="dxa"/>
            <w:tcBorders>
              <w:top w:val="single" w:sz="4" w:space="0" w:color="BFBFBF"/>
              <w:left w:val="nil"/>
              <w:bottom w:val="single" w:sz="4" w:space="0" w:color="BFBFBF"/>
              <w:right w:val="nil"/>
            </w:tcBorders>
            <w:shd w:val="clear" w:color="auto" w:fill="auto"/>
            <w:vAlign w:val="center"/>
          </w:tcPr>
          <w:p w14:paraId="6D80A4C7"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920" w:type="dxa"/>
            <w:tcBorders>
              <w:top w:val="single" w:sz="4" w:space="0" w:color="BFBFBF"/>
              <w:left w:val="nil"/>
              <w:bottom w:val="single" w:sz="4" w:space="0" w:color="BFBFBF"/>
              <w:right w:val="nil"/>
            </w:tcBorders>
            <w:shd w:val="clear" w:color="auto" w:fill="auto"/>
            <w:noWrap/>
            <w:vAlign w:val="center"/>
          </w:tcPr>
          <w:p w14:paraId="7B3E5AA7"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228BC52"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0FCD4ED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52553DCE"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B30E32D"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tcBorders>
            <w:shd w:val="clear" w:color="auto" w:fill="auto"/>
            <w:noWrap/>
            <w:vAlign w:val="center"/>
          </w:tcPr>
          <w:p w14:paraId="0D87F8F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r>
      <w:tr w:rsidR="00AD7F43" w:rsidRPr="00EC5691" w14:paraId="6FA5FCAE"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3DFE1009"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High</w:t>
            </w:r>
          </w:p>
        </w:tc>
        <w:tc>
          <w:tcPr>
            <w:tcW w:w="759" w:type="dxa"/>
            <w:tcBorders>
              <w:top w:val="nil"/>
              <w:left w:val="nil"/>
              <w:bottom w:val="single" w:sz="4" w:space="0" w:color="BFBFBF"/>
              <w:right w:val="single" w:sz="4" w:space="0" w:color="BFBFBF"/>
            </w:tcBorders>
            <w:shd w:val="clear" w:color="auto" w:fill="auto"/>
            <w:vAlign w:val="center"/>
            <w:hideMark/>
          </w:tcPr>
          <w:p w14:paraId="56B9FB51"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w:t>
            </w:r>
          </w:p>
        </w:tc>
        <w:tc>
          <w:tcPr>
            <w:tcW w:w="885" w:type="dxa"/>
            <w:tcBorders>
              <w:top w:val="nil"/>
              <w:left w:val="nil"/>
              <w:bottom w:val="single" w:sz="4" w:space="0" w:color="BFBFBF"/>
              <w:right w:val="single" w:sz="4" w:space="0" w:color="BFBFBF"/>
            </w:tcBorders>
            <w:shd w:val="clear" w:color="000000" w:fill="D6E1EF"/>
            <w:vAlign w:val="center"/>
            <w:hideMark/>
          </w:tcPr>
          <w:p w14:paraId="37EB284B"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Severe</w:t>
            </w:r>
          </w:p>
        </w:tc>
        <w:tc>
          <w:tcPr>
            <w:tcW w:w="759" w:type="dxa"/>
            <w:tcBorders>
              <w:top w:val="nil"/>
              <w:left w:val="nil"/>
              <w:bottom w:val="single" w:sz="4" w:space="0" w:color="BFBFBF"/>
              <w:right w:val="single" w:sz="4" w:space="0" w:color="BFBFBF"/>
            </w:tcBorders>
            <w:shd w:val="clear" w:color="auto" w:fill="auto"/>
            <w:vAlign w:val="center"/>
            <w:hideMark/>
          </w:tcPr>
          <w:p w14:paraId="5375A53A"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w:t>
            </w:r>
          </w:p>
        </w:tc>
        <w:tc>
          <w:tcPr>
            <w:tcW w:w="627" w:type="dxa"/>
            <w:tcBorders>
              <w:top w:val="nil"/>
              <w:left w:val="nil"/>
              <w:bottom w:val="single" w:sz="4" w:space="0" w:color="BFBFBF"/>
              <w:right w:val="single" w:sz="4" w:space="0" w:color="BFBFBF"/>
            </w:tcBorders>
            <w:shd w:val="clear" w:color="auto" w:fill="auto"/>
            <w:vAlign w:val="center"/>
            <w:hideMark/>
          </w:tcPr>
          <w:p w14:paraId="6350960F"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2.00</w:t>
            </w:r>
          </w:p>
        </w:tc>
        <w:tc>
          <w:tcPr>
            <w:tcW w:w="920" w:type="dxa"/>
            <w:tcBorders>
              <w:top w:val="nil"/>
              <w:left w:val="nil"/>
              <w:bottom w:val="single" w:sz="4" w:space="0" w:color="BFBFBF"/>
              <w:right w:val="single" w:sz="4" w:space="0" w:color="BFBFBF"/>
            </w:tcBorders>
            <w:shd w:val="clear" w:color="auto" w:fill="auto"/>
            <w:noWrap/>
            <w:vAlign w:val="center"/>
            <w:hideMark/>
          </w:tcPr>
          <w:p w14:paraId="25999E2F"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$20,000</w:t>
            </w:r>
          </w:p>
        </w:tc>
        <w:tc>
          <w:tcPr>
            <w:tcW w:w="1036" w:type="dxa"/>
            <w:tcBorders>
              <w:top w:val="nil"/>
              <w:left w:val="nil"/>
              <w:bottom w:val="single" w:sz="4" w:space="0" w:color="BFBFBF"/>
              <w:right w:val="single" w:sz="4" w:space="0" w:color="BFBFBF"/>
            </w:tcBorders>
            <w:shd w:val="clear" w:color="auto" w:fill="548DD4" w:themeFill="text2" w:themeFillTint="99"/>
            <w:noWrap/>
            <w:vAlign w:val="center"/>
            <w:hideMark/>
          </w:tcPr>
          <w:p w14:paraId="115637A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$30,000</w:t>
            </w:r>
          </w:p>
        </w:tc>
        <w:tc>
          <w:tcPr>
            <w:tcW w:w="1036" w:type="dxa"/>
            <w:tcBorders>
              <w:top w:val="nil"/>
              <w:left w:val="nil"/>
              <w:bottom w:val="single" w:sz="4" w:space="0" w:color="BFBFBF"/>
              <w:right w:val="single" w:sz="4" w:space="0" w:color="BFBFBF"/>
            </w:tcBorders>
            <w:shd w:val="clear" w:color="auto" w:fill="auto"/>
            <w:noWrap/>
            <w:vAlign w:val="center"/>
            <w:hideMark/>
          </w:tcPr>
          <w:p w14:paraId="33A205EB"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$40,000</w:t>
            </w:r>
          </w:p>
        </w:tc>
        <w:tc>
          <w:tcPr>
            <w:tcW w:w="1036" w:type="dxa"/>
            <w:tcBorders>
              <w:top w:val="nil"/>
              <w:left w:val="nil"/>
              <w:bottom w:val="single" w:sz="4" w:space="0" w:color="BFBFBF"/>
              <w:right w:val="single" w:sz="4" w:space="0" w:color="BFBFBF"/>
            </w:tcBorders>
            <w:shd w:val="clear" w:color="auto" w:fill="auto"/>
            <w:noWrap/>
            <w:vAlign w:val="center"/>
            <w:hideMark/>
          </w:tcPr>
          <w:p w14:paraId="69C9D2B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$50,000</w:t>
            </w:r>
          </w:p>
        </w:tc>
        <w:tc>
          <w:tcPr>
            <w:tcW w:w="1036" w:type="dxa"/>
            <w:tcBorders>
              <w:top w:val="nil"/>
              <w:left w:val="nil"/>
              <w:bottom w:val="single" w:sz="4" w:space="0" w:color="BFBFBF"/>
              <w:right w:val="single" w:sz="4" w:space="0" w:color="BFBFBF"/>
            </w:tcBorders>
            <w:shd w:val="clear" w:color="auto" w:fill="auto"/>
            <w:noWrap/>
            <w:vAlign w:val="center"/>
            <w:hideMark/>
          </w:tcPr>
          <w:p w14:paraId="7EA4FE0E"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$60,000</w:t>
            </w:r>
          </w:p>
        </w:tc>
        <w:tc>
          <w:tcPr>
            <w:tcW w:w="1036" w:type="dxa"/>
            <w:tcBorders>
              <w:top w:val="nil"/>
              <w:left w:val="nil"/>
              <w:bottom w:val="single" w:sz="4" w:space="0" w:color="BFBFBF"/>
              <w:right w:val="single" w:sz="4" w:space="0" w:color="BFBFBF"/>
            </w:tcBorders>
            <w:shd w:val="clear" w:color="auto" w:fill="auto"/>
            <w:noWrap/>
            <w:vAlign w:val="center"/>
            <w:hideMark/>
          </w:tcPr>
          <w:p w14:paraId="1AB367E8"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$100,000</w:t>
            </w:r>
          </w:p>
        </w:tc>
      </w:tr>
      <w:tr w:rsidR="00AD7F43" w:rsidRPr="00AD7F43" w14:paraId="10F1F558" w14:textId="77777777" w:rsidTr="00AD7F43">
        <w:trPr>
          <w:trHeight w:val="170"/>
        </w:trPr>
        <w:tc>
          <w:tcPr>
            <w:tcW w:w="1035" w:type="dxa"/>
            <w:tcBorders>
              <w:top w:val="single" w:sz="4" w:space="0" w:color="BFBFBF"/>
              <w:bottom w:val="single" w:sz="4" w:space="0" w:color="BFBFBF"/>
              <w:right w:val="nil"/>
            </w:tcBorders>
            <w:shd w:val="clear" w:color="auto" w:fill="auto"/>
            <w:vAlign w:val="center"/>
          </w:tcPr>
          <w:p w14:paraId="4DDB9167"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7B65EF5C"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885" w:type="dxa"/>
            <w:tcBorders>
              <w:top w:val="single" w:sz="4" w:space="0" w:color="BFBFBF"/>
              <w:left w:val="nil"/>
              <w:bottom w:val="single" w:sz="4" w:space="0" w:color="BFBFBF"/>
              <w:right w:val="nil"/>
            </w:tcBorders>
            <w:shd w:val="clear" w:color="auto" w:fill="auto"/>
            <w:vAlign w:val="center"/>
          </w:tcPr>
          <w:p w14:paraId="109C9F8D"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63A192C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627" w:type="dxa"/>
            <w:tcBorders>
              <w:top w:val="single" w:sz="4" w:space="0" w:color="BFBFBF"/>
              <w:left w:val="nil"/>
              <w:bottom w:val="single" w:sz="4" w:space="0" w:color="BFBFBF"/>
              <w:right w:val="nil"/>
            </w:tcBorders>
            <w:shd w:val="clear" w:color="auto" w:fill="auto"/>
            <w:vAlign w:val="center"/>
          </w:tcPr>
          <w:p w14:paraId="4887C83C"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920" w:type="dxa"/>
            <w:tcBorders>
              <w:top w:val="single" w:sz="4" w:space="0" w:color="BFBFBF"/>
              <w:left w:val="nil"/>
              <w:bottom w:val="single" w:sz="4" w:space="0" w:color="BFBFBF"/>
              <w:right w:val="nil"/>
            </w:tcBorders>
            <w:shd w:val="clear" w:color="auto" w:fill="auto"/>
            <w:noWrap/>
            <w:vAlign w:val="center"/>
          </w:tcPr>
          <w:p w14:paraId="1C1982A3"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19B55CB7"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5DB2A67B"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9A999E5"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6A81BE88"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tcBorders>
            <w:shd w:val="clear" w:color="auto" w:fill="auto"/>
            <w:noWrap/>
            <w:vAlign w:val="center"/>
          </w:tcPr>
          <w:p w14:paraId="0E77472B"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r>
      <w:tr w:rsidR="00AD7F43" w:rsidRPr="00EC5691" w14:paraId="28B96092"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2D5DF7B4"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High</w:t>
            </w:r>
          </w:p>
        </w:tc>
        <w:tc>
          <w:tcPr>
            <w:tcW w:w="759" w:type="dxa"/>
            <w:tcBorders>
              <w:top w:val="nil"/>
              <w:left w:val="nil"/>
              <w:bottom w:val="single" w:sz="4" w:space="0" w:color="BFBFBF"/>
              <w:right w:val="single" w:sz="4" w:space="0" w:color="BFBFBF"/>
            </w:tcBorders>
            <w:shd w:val="clear" w:color="auto" w:fill="auto"/>
            <w:vAlign w:val="center"/>
            <w:hideMark/>
          </w:tcPr>
          <w:p w14:paraId="08F479DA"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w:t>
            </w:r>
          </w:p>
        </w:tc>
        <w:tc>
          <w:tcPr>
            <w:tcW w:w="885" w:type="dxa"/>
            <w:tcBorders>
              <w:top w:val="nil"/>
              <w:left w:val="nil"/>
              <w:bottom w:val="single" w:sz="4" w:space="0" w:color="BFBFBF"/>
              <w:right w:val="single" w:sz="4" w:space="0" w:color="BFBFBF"/>
            </w:tcBorders>
            <w:shd w:val="clear" w:color="000000" w:fill="D6E1EF"/>
            <w:vAlign w:val="center"/>
            <w:hideMark/>
          </w:tcPr>
          <w:p w14:paraId="25F36249"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050E45F1"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3.5</w:t>
            </w:r>
          </w:p>
        </w:tc>
        <w:tc>
          <w:tcPr>
            <w:tcW w:w="627" w:type="dxa"/>
            <w:tcBorders>
              <w:top w:val="nil"/>
              <w:left w:val="nil"/>
              <w:bottom w:val="single" w:sz="4" w:space="0" w:color="BFBFBF"/>
              <w:right w:val="single" w:sz="4" w:space="0" w:color="BFBFBF"/>
            </w:tcBorders>
            <w:shd w:val="clear" w:color="auto" w:fill="auto"/>
            <w:vAlign w:val="center"/>
            <w:hideMark/>
          </w:tcPr>
          <w:p w14:paraId="0F9DE39A"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3.50</w:t>
            </w:r>
          </w:p>
        </w:tc>
        <w:tc>
          <w:tcPr>
            <w:tcW w:w="920" w:type="dxa"/>
            <w:tcBorders>
              <w:top w:val="nil"/>
              <w:left w:val="nil"/>
              <w:bottom w:val="single" w:sz="4" w:space="0" w:color="BFBFBF"/>
              <w:right w:val="single" w:sz="4" w:space="0" w:color="BFBFBF"/>
            </w:tcBorders>
            <w:shd w:val="clear" w:color="auto" w:fill="auto"/>
            <w:noWrap/>
            <w:vAlign w:val="center"/>
            <w:hideMark/>
          </w:tcPr>
          <w:p w14:paraId="37315580"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$35,000</w:t>
            </w:r>
          </w:p>
        </w:tc>
        <w:tc>
          <w:tcPr>
            <w:tcW w:w="1036" w:type="dxa"/>
            <w:tcBorders>
              <w:top w:val="nil"/>
              <w:left w:val="nil"/>
              <w:bottom w:val="single" w:sz="4" w:space="0" w:color="BFBFBF"/>
              <w:right w:val="single" w:sz="4" w:space="0" w:color="BFBFBF"/>
            </w:tcBorders>
            <w:shd w:val="clear" w:color="auto" w:fill="auto"/>
            <w:noWrap/>
            <w:vAlign w:val="center"/>
            <w:hideMark/>
          </w:tcPr>
          <w:p w14:paraId="7AA9DF12"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$52,500</w:t>
            </w:r>
          </w:p>
        </w:tc>
        <w:tc>
          <w:tcPr>
            <w:tcW w:w="1036" w:type="dxa"/>
            <w:tcBorders>
              <w:top w:val="nil"/>
              <w:left w:val="nil"/>
              <w:bottom w:val="single" w:sz="4" w:space="0" w:color="BFBFBF"/>
              <w:right w:val="single" w:sz="4" w:space="0" w:color="BFBFBF"/>
            </w:tcBorders>
            <w:shd w:val="clear" w:color="auto" w:fill="auto"/>
            <w:noWrap/>
            <w:vAlign w:val="center"/>
            <w:hideMark/>
          </w:tcPr>
          <w:p w14:paraId="61DFB1FE"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$70,000</w:t>
            </w:r>
          </w:p>
        </w:tc>
        <w:tc>
          <w:tcPr>
            <w:tcW w:w="1036" w:type="dxa"/>
            <w:tcBorders>
              <w:top w:val="nil"/>
              <w:left w:val="nil"/>
              <w:bottom w:val="single" w:sz="4" w:space="0" w:color="BFBFBF"/>
              <w:right w:val="single" w:sz="4" w:space="0" w:color="BFBFBF"/>
            </w:tcBorders>
            <w:shd w:val="clear" w:color="auto" w:fill="auto"/>
            <w:noWrap/>
            <w:vAlign w:val="center"/>
            <w:hideMark/>
          </w:tcPr>
          <w:p w14:paraId="5DBC523C"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$87,500</w:t>
            </w:r>
          </w:p>
        </w:tc>
        <w:tc>
          <w:tcPr>
            <w:tcW w:w="1036" w:type="dxa"/>
            <w:tcBorders>
              <w:top w:val="nil"/>
              <w:left w:val="nil"/>
              <w:bottom w:val="single" w:sz="4" w:space="0" w:color="BFBFBF"/>
              <w:right w:val="single" w:sz="4" w:space="0" w:color="BFBFBF"/>
            </w:tcBorders>
            <w:shd w:val="clear" w:color="auto" w:fill="auto"/>
            <w:noWrap/>
            <w:vAlign w:val="center"/>
            <w:hideMark/>
          </w:tcPr>
          <w:p w14:paraId="1CABB665"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$105,000</w:t>
            </w:r>
          </w:p>
        </w:tc>
        <w:tc>
          <w:tcPr>
            <w:tcW w:w="1036" w:type="dxa"/>
            <w:tcBorders>
              <w:top w:val="nil"/>
              <w:left w:val="nil"/>
              <w:bottom w:val="single" w:sz="4" w:space="0" w:color="BFBFBF"/>
              <w:right w:val="single" w:sz="4" w:space="0" w:color="BFBFBF"/>
            </w:tcBorders>
            <w:shd w:val="clear" w:color="auto" w:fill="auto"/>
            <w:noWrap/>
            <w:vAlign w:val="center"/>
            <w:hideMark/>
          </w:tcPr>
          <w:p w14:paraId="0280F81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$175,000</w:t>
            </w:r>
          </w:p>
        </w:tc>
      </w:tr>
      <w:tr w:rsidR="00AD7F43" w:rsidRPr="00AD7F43" w14:paraId="7474C28A" w14:textId="77777777" w:rsidTr="00AD7F43">
        <w:trPr>
          <w:trHeight w:val="170"/>
        </w:trPr>
        <w:tc>
          <w:tcPr>
            <w:tcW w:w="1035" w:type="dxa"/>
            <w:tcBorders>
              <w:top w:val="single" w:sz="4" w:space="0" w:color="BFBFBF"/>
              <w:bottom w:val="single" w:sz="4" w:space="0" w:color="BFBFBF"/>
              <w:right w:val="nil"/>
            </w:tcBorders>
            <w:shd w:val="clear" w:color="auto" w:fill="auto"/>
            <w:vAlign w:val="center"/>
          </w:tcPr>
          <w:p w14:paraId="6ABA83F3"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1064F9FD"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885" w:type="dxa"/>
            <w:tcBorders>
              <w:top w:val="single" w:sz="4" w:space="0" w:color="BFBFBF"/>
              <w:left w:val="nil"/>
              <w:bottom w:val="single" w:sz="4" w:space="0" w:color="BFBFBF"/>
              <w:right w:val="nil"/>
            </w:tcBorders>
            <w:shd w:val="clear" w:color="auto" w:fill="auto"/>
            <w:vAlign w:val="center"/>
          </w:tcPr>
          <w:p w14:paraId="0CD72A4B"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357E2862"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627" w:type="dxa"/>
            <w:tcBorders>
              <w:top w:val="single" w:sz="4" w:space="0" w:color="BFBFBF"/>
              <w:left w:val="nil"/>
              <w:bottom w:val="single" w:sz="4" w:space="0" w:color="BFBFBF"/>
              <w:right w:val="nil"/>
            </w:tcBorders>
            <w:shd w:val="clear" w:color="auto" w:fill="auto"/>
            <w:vAlign w:val="center"/>
          </w:tcPr>
          <w:p w14:paraId="43E006BA"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920" w:type="dxa"/>
            <w:tcBorders>
              <w:top w:val="single" w:sz="4" w:space="0" w:color="BFBFBF"/>
              <w:left w:val="nil"/>
              <w:bottom w:val="single" w:sz="4" w:space="0" w:color="BFBFBF"/>
              <w:right w:val="nil"/>
            </w:tcBorders>
            <w:shd w:val="clear" w:color="auto" w:fill="auto"/>
            <w:noWrap/>
            <w:vAlign w:val="center"/>
          </w:tcPr>
          <w:p w14:paraId="046EE038"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C9C853C"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0BB00DD1"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7C0EB52F"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5B49B6FF"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tcBorders>
            <w:shd w:val="clear" w:color="auto" w:fill="auto"/>
            <w:noWrap/>
            <w:vAlign w:val="center"/>
          </w:tcPr>
          <w:p w14:paraId="35FE3645"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r>
      <w:tr w:rsidR="00AD7F43" w:rsidRPr="00EC5691" w14:paraId="6BA1F72A"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3E58214B"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High</w:t>
            </w:r>
          </w:p>
        </w:tc>
        <w:tc>
          <w:tcPr>
            <w:tcW w:w="759" w:type="dxa"/>
            <w:tcBorders>
              <w:top w:val="nil"/>
              <w:left w:val="nil"/>
              <w:bottom w:val="single" w:sz="4" w:space="0" w:color="BFBFBF"/>
              <w:right w:val="single" w:sz="4" w:space="0" w:color="BFBFBF"/>
            </w:tcBorders>
            <w:shd w:val="clear" w:color="auto" w:fill="auto"/>
            <w:vAlign w:val="center"/>
            <w:hideMark/>
          </w:tcPr>
          <w:p w14:paraId="56020925"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w:t>
            </w:r>
          </w:p>
        </w:tc>
        <w:tc>
          <w:tcPr>
            <w:tcW w:w="885" w:type="dxa"/>
            <w:tcBorders>
              <w:top w:val="nil"/>
              <w:left w:val="nil"/>
              <w:bottom w:val="single" w:sz="4" w:space="0" w:color="BFBFBF"/>
              <w:right w:val="single" w:sz="4" w:space="0" w:color="BFBFBF"/>
            </w:tcBorders>
            <w:shd w:val="clear" w:color="000000" w:fill="D6E1EF"/>
            <w:vAlign w:val="center"/>
            <w:hideMark/>
          </w:tcPr>
          <w:p w14:paraId="2725B48C"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Code Red</w:t>
            </w:r>
          </w:p>
        </w:tc>
        <w:tc>
          <w:tcPr>
            <w:tcW w:w="759" w:type="dxa"/>
            <w:tcBorders>
              <w:top w:val="nil"/>
              <w:left w:val="nil"/>
              <w:bottom w:val="single" w:sz="4" w:space="0" w:color="BFBFBF"/>
              <w:right w:val="single" w:sz="4" w:space="0" w:color="BFBFBF"/>
            </w:tcBorders>
            <w:shd w:val="clear" w:color="auto" w:fill="auto"/>
            <w:vAlign w:val="center"/>
            <w:hideMark/>
          </w:tcPr>
          <w:p w14:paraId="6C8C2C1C"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w:t>
            </w:r>
          </w:p>
        </w:tc>
        <w:tc>
          <w:tcPr>
            <w:tcW w:w="627" w:type="dxa"/>
            <w:tcBorders>
              <w:top w:val="nil"/>
              <w:left w:val="nil"/>
              <w:bottom w:val="single" w:sz="4" w:space="0" w:color="BFBFBF"/>
              <w:right w:val="single" w:sz="4" w:space="0" w:color="BFBFBF"/>
            </w:tcBorders>
            <w:shd w:val="clear" w:color="auto" w:fill="auto"/>
            <w:vAlign w:val="center"/>
            <w:hideMark/>
          </w:tcPr>
          <w:p w14:paraId="5885126D"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5.00</w:t>
            </w:r>
          </w:p>
        </w:tc>
        <w:tc>
          <w:tcPr>
            <w:tcW w:w="920" w:type="dxa"/>
            <w:tcBorders>
              <w:top w:val="nil"/>
              <w:left w:val="nil"/>
              <w:bottom w:val="single" w:sz="4" w:space="0" w:color="BFBFBF"/>
              <w:right w:val="single" w:sz="4" w:space="0" w:color="BFBFBF"/>
            </w:tcBorders>
            <w:shd w:val="clear" w:color="auto" w:fill="auto"/>
            <w:noWrap/>
            <w:vAlign w:val="center"/>
            <w:hideMark/>
          </w:tcPr>
          <w:p w14:paraId="0420BACA"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$50,000</w:t>
            </w:r>
          </w:p>
        </w:tc>
        <w:tc>
          <w:tcPr>
            <w:tcW w:w="1036" w:type="dxa"/>
            <w:tcBorders>
              <w:top w:val="nil"/>
              <w:left w:val="nil"/>
              <w:bottom w:val="single" w:sz="4" w:space="0" w:color="BFBFBF"/>
              <w:right w:val="single" w:sz="4" w:space="0" w:color="BFBFBF"/>
            </w:tcBorders>
            <w:shd w:val="clear" w:color="auto" w:fill="auto"/>
            <w:noWrap/>
            <w:vAlign w:val="center"/>
            <w:hideMark/>
          </w:tcPr>
          <w:p w14:paraId="76AA8D0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$75,000</w:t>
            </w:r>
          </w:p>
        </w:tc>
        <w:tc>
          <w:tcPr>
            <w:tcW w:w="1036" w:type="dxa"/>
            <w:tcBorders>
              <w:top w:val="nil"/>
              <w:left w:val="nil"/>
              <w:bottom w:val="single" w:sz="4" w:space="0" w:color="BFBFBF"/>
              <w:right w:val="single" w:sz="4" w:space="0" w:color="BFBFBF"/>
            </w:tcBorders>
            <w:shd w:val="clear" w:color="auto" w:fill="auto"/>
            <w:noWrap/>
            <w:vAlign w:val="center"/>
            <w:hideMark/>
          </w:tcPr>
          <w:p w14:paraId="07F147D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$100,000</w:t>
            </w:r>
          </w:p>
        </w:tc>
        <w:tc>
          <w:tcPr>
            <w:tcW w:w="1036" w:type="dxa"/>
            <w:tcBorders>
              <w:top w:val="nil"/>
              <w:left w:val="nil"/>
              <w:bottom w:val="single" w:sz="4" w:space="0" w:color="BFBFBF"/>
              <w:right w:val="single" w:sz="4" w:space="0" w:color="BFBFBF"/>
            </w:tcBorders>
            <w:shd w:val="clear" w:color="auto" w:fill="auto"/>
            <w:noWrap/>
            <w:vAlign w:val="center"/>
            <w:hideMark/>
          </w:tcPr>
          <w:p w14:paraId="4E5DFE8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$125,000</w:t>
            </w:r>
          </w:p>
        </w:tc>
        <w:tc>
          <w:tcPr>
            <w:tcW w:w="1036" w:type="dxa"/>
            <w:tcBorders>
              <w:top w:val="nil"/>
              <w:left w:val="nil"/>
              <w:bottom w:val="single" w:sz="4" w:space="0" w:color="BFBFBF"/>
              <w:right w:val="single" w:sz="4" w:space="0" w:color="BFBFBF"/>
            </w:tcBorders>
            <w:shd w:val="clear" w:color="auto" w:fill="auto"/>
            <w:noWrap/>
            <w:vAlign w:val="center"/>
            <w:hideMark/>
          </w:tcPr>
          <w:p w14:paraId="06F9C7A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$150,000</w:t>
            </w:r>
          </w:p>
        </w:tc>
        <w:tc>
          <w:tcPr>
            <w:tcW w:w="1036" w:type="dxa"/>
            <w:tcBorders>
              <w:top w:val="nil"/>
              <w:left w:val="nil"/>
              <w:bottom w:val="single" w:sz="4" w:space="0" w:color="BFBFBF"/>
              <w:right w:val="single" w:sz="4" w:space="0" w:color="BFBFBF"/>
            </w:tcBorders>
            <w:shd w:val="clear" w:color="auto" w:fill="auto"/>
            <w:noWrap/>
            <w:vAlign w:val="center"/>
            <w:hideMark/>
          </w:tcPr>
          <w:p w14:paraId="376CFFE6"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$250,000</w:t>
            </w:r>
          </w:p>
        </w:tc>
      </w:tr>
      <w:tr w:rsidR="00AD7F43" w:rsidRPr="00EC5691" w14:paraId="2B177176"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3F93F394"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Severe</w:t>
            </w:r>
          </w:p>
        </w:tc>
        <w:tc>
          <w:tcPr>
            <w:tcW w:w="759" w:type="dxa"/>
            <w:tcBorders>
              <w:top w:val="nil"/>
              <w:left w:val="nil"/>
              <w:bottom w:val="single" w:sz="4" w:space="0" w:color="BFBFBF"/>
              <w:right w:val="single" w:sz="4" w:space="0" w:color="BFBFBF"/>
            </w:tcBorders>
            <w:shd w:val="clear" w:color="auto" w:fill="auto"/>
            <w:vAlign w:val="center"/>
            <w:hideMark/>
          </w:tcPr>
          <w:p w14:paraId="29F44F35"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4.6</w:t>
            </w:r>
          </w:p>
        </w:tc>
        <w:tc>
          <w:tcPr>
            <w:tcW w:w="885" w:type="dxa"/>
            <w:tcBorders>
              <w:top w:val="nil"/>
              <w:left w:val="nil"/>
              <w:bottom w:val="single" w:sz="4" w:space="0" w:color="BFBFBF"/>
              <w:right w:val="single" w:sz="4" w:space="0" w:color="BFBFBF"/>
            </w:tcBorders>
            <w:shd w:val="clear" w:color="000000" w:fill="D6E1EF"/>
            <w:vAlign w:val="center"/>
            <w:hideMark/>
          </w:tcPr>
          <w:p w14:paraId="1C8F60F3"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Severe</w:t>
            </w:r>
          </w:p>
        </w:tc>
        <w:tc>
          <w:tcPr>
            <w:tcW w:w="759" w:type="dxa"/>
            <w:tcBorders>
              <w:top w:val="nil"/>
              <w:left w:val="nil"/>
              <w:bottom w:val="single" w:sz="4" w:space="0" w:color="BFBFBF"/>
              <w:right w:val="single" w:sz="4" w:space="0" w:color="BFBFBF"/>
            </w:tcBorders>
            <w:shd w:val="clear" w:color="auto" w:fill="auto"/>
            <w:vAlign w:val="center"/>
            <w:hideMark/>
          </w:tcPr>
          <w:p w14:paraId="438702B3"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w:t>
            </w:r>
          </w:p>
        </w:tc>
        <w:tc>
          <w:tcPr>
            <w:tcW w:w="627" w:type="dxa"/>
            <w:tcBorders>
              <w:top w:val="nil"/>
              <w:left w:val="nil"/>
              <w:bottom w:val="single" w:sz="4" w:space="0" w:color="BFBFBF"/>
              <w:right w:val="single" w:sz="4" w:space="0" w:color="BFBFBF"/>
            </w:tcBorders>
            <w:shd w:val="clear" w:color="auto" w:fill="auto"/>
            <w:vAlign w:val="center"/>
            <w:hideMark/>
          </w:tcPr>
          <w:p w14:paraId="2D7F5E40"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9.20</w:t>
            </w:r>
          </w:p>
        </w:tc>
        <w:tc>
          <w:tcPr>
            <w:tcW w:w="920" w:type="dxa"/>
            <w:tcBorders>
              <w:top w:val="nil"/>
              <w:left w:val="nil"/>
              <w:bottom w:val="single" w:sz="4" w:space="0" w:color="BFBFBF"/>
              <w:right w:val="single" w:sz="4" w:space="0" w:color="BFBFBF"/>
            </w:tcBorders>
            <w:shd w:val="clear" w:color="auto" w:fill="auto"/>
            <w:noWrap/>
            <w:vAlign w:val="center"/>
            <w:hideMark/>
          </w:tcPr>
          <w:p w14:paraId="0A4F9332"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$92,000</w:t>
            </w:r>
          </w:p>
        </w:tc>
        <w:tc>
          <w:tcPr>
            <w:tcW w:w="1036" w:type="dxa"/>
            <w:tcBorders>
              <w:top w:val="nil"/>
              <w:left w:val="nil"/>
              <w:bottom w:val="single" w:sz="4" w:space="0" w:color="BFBFBF"/>
              <w:right w:val="single" w:sz="4" w:space="0" w:color="BFBFBF"/>
            </w:tcBorders>
            <w:shd w:val="clear" w:color="auto" w:fill="auto"/>
            <w:noWrap/>
            <w:vAlign w:val="center"/>
            <w:hideMark/>
          </w:tcPr>
          <w:p w14:paraId="29CEA5C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$138,000</w:t>
            </w:r>
          </w:p>
        </w:tc>
        <w:tc>
          <w:tcPr>
            <w:tcW w:w="1036" w:type="dxa"/>
            <w:tcBorders>
              <w:top w:val="nil"/>
              <w:left w:val="nil"/>
              <w:bottom w:val="single" w:sz="4" w:space="0" w:color="BFBFBF"/>
              <w:right w:val="single" w:sz="4" w:space="0" w:color="BFBFBF"/>
            </w:tcBorders>
            <w:shd w:val="clear" w:color="auto" w:fill="auto"/>
            <w:noWrap/>
            <w:vAlign w:val="center"/>
            <w:hideMark/>
          </w:tcPr>
          <w:p w14:paraId="77B9A69D"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$184,000</w:t>
            </w:r>
          </w:p>
        </w:tc>
        <w:tc>
          <w:tcPr>
            <w:tcW w:w="1036" w:type="dxa"/>
            <w:tcBorders>
              <w:top w:val="nil"/>
              <w:left w:val="nil"/>
              <w:bottom w:val="single" w:sz="4" w:space="0" w:color="BFBFBF"/>
              <w:right w:val="single" w:sz="4" w:space="0" w:color="BFBFBF"/>
            </w:tcBorders>
            <w:shd w:val="clear" w:color="auto" w:fill="auto"/>
            <w:noWrap/>
            <w:vAlign w:val="center"/>
            <w:hideMark/>
          </w:tcPr>
          <w:p w14:paraId="2839DC82"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$230,000</w:t>
            </w:r>
          </w:p>
        </w:tc>
        <w:tc>
          <w:tcPr>
            <w:tcW w:w="1036" w:type="dxa"/>
            <w:tcBorders>
              <w:top w:val="nil"/>
              <w:left w:val="nil"/>
              <w:bottom w:val="single" w:sz="4" w:space="0" w:color="BFBFBF"/>
              <w:right w:val="single" w:sz="4" w:space="0" w:color="BFBFBF"/>
            </w:tcBorders>
            <w:shd w:val="clear" w:color="auto" w:fill="auto"/>
            <w:noWrap/>
            <w:vAlign w:val="center"/>
            <w:hideMark/>
          </w:tcPr>
          <w:p w14:paraId="4ECD2A4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$276,000</w:t>
            </w:r>
          </w:p>
        </w:tc>
        <w:tc>
          <w:tcPr>
            <w:tcW w:w="1036" w:type="dxa"/>
            <w:tcBorders>
              <w:top w:val="nil"/>
              <w:left w:val="nil"/>
              <w:bottom w:val="single" w:sz="4" w:space="0" w:color="BFBFBF"/>
              <w:right w:val="single" w:sz="4" w:space="0" w:color="BFBFBF"/>
            </w:tcBorders>
            <w:shd w:val="clear" w:color="auto" w:fill="auto"/>
            <w:noWrap/>
            <w:vAlign w:val="center"/>
            <w:hideMark/>
          </w:tcPr>
          <w:p w14:paraId="2FDC222A"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$460,000</w:t>
            </w:r>
          </w:p>
        </w:tc>
      </w:tr>
      <w:tr w:rsidR="00AD7F43" w:rsidRPr="00EC5691" w14:paraId="62E5AE69"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3D688B4B"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6EB48466"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w:t>
            </w:r>
          </w:p>
        </w:tc>
        <w:tc>
          <w:tcPr>
            <w:tcW w:w="885" w:type="dxa"/>
            <w:tcBorders>
              <w:top w:val="nil"/>
              <w:left w:val="nil"/>
              <w:bottom w:val="single" w:sz="4" w:space="0" w:color="BFBFBF"/>
              <w:right w:val="single" w:sz="4" w:space="0" w:color="BFBFBF"/>
            </w:tcBorders>
            <w:shd w:val="clear" w:color="000000" w:fill="D6E1EF"/>
            <w:vAlign w:val="center"/>
            <w:hideMark/>
          </w:tcPr>
          <w:p w14:paraId="1E483A30"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High</w:t>
            </w:r>
          </w:p>
        </w:tc>
        <w:tc>
          <w:tcPr>
            <w:tcW w:w="759" w:type="dxa"/>
            <w:tcBorders>
              <w:top w:val="nil"/>
              <w:left w:val="nil"/>
              <w:bottom w:val="single" w:sz="4" w:space="0" w:color="BFBFBF"/>
              <w:right w:val="single" w:sz="4" w:space="0" w:color="BFBFBF"/>
            </w:tcBorders>
            <w:shd w:val="clear" w:color="auto" w:fill="auto"/>
            <w:vAlign w:val="center"/>
            <w:hideMark/>
          </w:tcPr>
          <w:p w14:paraId="53ED03F3"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0.5</w:t>
            </w:r>
          </w:p>
        </w:tc>
        <w:tc>
          <w:tcPr>
            <w:tcW w:w="627" w:type="dxa"/>
            <w:tcBorders>
              <w:top w:val="nil"/>
              <w:left w:val="nil"/>
              <w:bottom w:val="single" w:sz="4" w:space="0" w:color="BFBFBF"/>
              <w:right w:val="single" w:sz="4" w:space="0" w:color="BFBFBF"/>
            </w:tcBorders>
            <w:shd w:val="clear" w:color="auto" w:fill="auto"/>
            <w:vAlign w:val="center"/>
            <w:hideMark/>
          </w:tcPr>
          <w:p w14:paraId="46BD6A2D"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9.90</w:t>
            </w:r>
          </w:p>
        </w:tc>
        <w:tc>
          <w:tcPr>
            <w:tcW w:w="920" w:type="dxa"/>
            <w:tcBorders>
              <w:top w:val="nil"/>
              <w:left w:val="nil"/>
              <w:bottom w:val="single" w:sz="4" w:space="0" w:color="BFBFBF"/>
              <w:right w:val="single" w:sz="4" w:space="0" w:color="BFBFBF"/>
            </w:tcBorders>
            <w:shd w:val="clear" w:color="auto" w:fill="auto"/>
            <w:noWrap/>
            <w:vAlign w:val="center"/>
            <w:hideMark/>
          </w:tcPr>
          <w:p w14:paraId="6B9F259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$99,000</w:t>
            </w:r>
          </w:p>
        </w:tc>
        <w:tc>
          <w:tcPr>
            <w:tcW w:w="1036" w:type="dxa"/>
            <w:tcBorders>
              <w:top w:val="nil"/>
              <w:left w:val="nil"/>
              <w:bottom w:val="single" w:sz="4" w:space="0" w:color="BFBFBF"/>
              <w:right w:val="single" w:sz="4" w:space="0" w:color="BFBFBF"/>
            </w:tcBorders>
            <w:shd w:val="clear" w:color="auto" w:fill="auto"/>
            <w:noWrap/>
            <w:vAlign w:val="center"/>
            <w:hideMark/>
          </w:tcPr>
          <w:p w14:paraId="5371617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$148,500</w:t>
            </w:r>
          </w:p>
        </w:tc>
        <w:tc>
          <w:tcPr>
            <w:tcW w:w="1036" w:type="dxa"/>
            <w:tcBorders>
              <w:top w:val="nil"/>
              <w:left w:val="nil"/>
              <w:bottom w:val="single" w:sz="4" w:space="0" w:color="BFBFBF"/>
              <w:right w:val="single" w:sz="4" w:space="0" w:color="BFBFBF"/>
            </w:tcBorders>
            <w:shd w:val="clear" w:color="auto" w:fill="auto"/>
            <w:noWrap/>
            <w:vAlign w:val="center"/>
            <w:hideMark/>
          </w:tcPr>
          <w:p w14:paraId="3FB46BF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$198,000</w:t>
            </w:r>
          </w:p>
        </w:tc>
        <w:tc>
          <w:tcPr>
            <w:tcW w:w="1036" w:type="dxa"/>
            <w:tcBorders>
              <w:top w:val="nil"/>
              <w:left w:val="nil"/>
              <w:bottom w:val="single" w:sz="4" w:space="0" w:color="BFBFBF"/>
              <w:right w:val="single" w:sz="4" w:space="0" w:color="BFBFBF"/>
            </w:tcBorders>
            <w:shd w:val="clear" w:color="auto" w:fill="auto"/>
            <w:noWrap/>
            <w:vAlign w:val="center"/>
            <w:hideMark/>
          </w:tcPr>
          <w:p w14:paraId="079DDD5D"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$247,500</w:t>
            </w:r>
          </w:p>
        </w:tc>
        <w:tc>
          <w:tcPr>
            <w:tcW w:w="1036" w:type="dxa"/>
            <w:tcBorders>
              <w:top w:val="nil"/>
              <w:left w:val="nil"/>
              <w:bottom w:val="single" w:sz="4" w:space="0" w:color="BFBFBF"/>
              <w:right w:val="single" w:sz="4" w:space="0" w:color="BFBFBF"/>
            </w:tcBorders>
            <w:shd w:val="clear" w:color="auto" w:fill="auto"/>
            <w:noWrap/>
            <w:vAlign w:val="center"/>
            <w:hideMark/>
          </w:tcPr>
          <w:p w14:paraId="4E41DFF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$297,000</w:t>
            </w:r>
          </w:p>
        </w:tc>
        <w:tc>
          <w:tcPr>
            <w:tcW w:w="1036" w:type="dxa"/>
            <w:tcBorders>
              <w:top w:val="nil"/>
              <w:left w:val="nil"/>
              <w:bottom w:val="single" w:sz="4" w:space="0" w:color="BFBFBF"/>
              <w:right w:val="single" w:sz="4" w:space="0" w:color="BFBFBF"/>
            </w:tcBorders>
            <w:shd w:val="clear" w:color="auto" w:fill="auto"/>
            <w:noWrap/>
            <w:vAlign w:val="center"/>
            <w:hideMark/>
          </w:tcPr>
          <w:p w14:paraId="503A2D38"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$495,000</w:t>
            </w:r>
          </w:p>
        </w:tc>
      </w:tr>
      <w:tr w:rsidR="00AD7F43" w:rsidRPr="00EC5691" w14:paraId="1E8CC052"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2060CFA8"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Severe</w:t>
            </w:r>
          </w:p>
        </w:tc>
        <w:tc>
          <w:tcPr>
            <w:tcW w:w="759" w:type="dxa"/>
            <w:tcBorders>
              <w:top w:val="nil"/>
              <w:left w:val="nil"/>
              <w:bottom w:val="single" w:sz="4" w:space="0" w:color="BFBFBF"/>
              <w:right w:val="single" w:sz="4" w:space="0" w:color="BFBFBF"/>
            </w:tcBorders>
            <w:shd w:val="clear" w:color="auto" w:fill="auto"/>
            <w:vAlign w:val="center"/>
            <w:hideMark/>
          </w:tcPr>
          <w:p w14:paraId="3D0B2DE2"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4.6</w:t>
            </w:r>
          </w:p>
        </w:tc>
        <w:tc>
          <w:tcPr>
            <w:tcW w:w="885" w:type="dxa"/>
            <w:tcBorders>
              <w:top w:val="nil"/>
              <w:left w:val="nil"/>
              <w:bottom w:val="single" w:sz="4" w:space="0" w:color="BFBFBF"/>
              <w:right w:val="single" w:sz="4" w:space="0" w:color="BFBFBF"/>
            </w:tcBorders>
            <w:shd w:val="clear" w:color="000000" w:fill="D6E1EF"/>
            <w:vAlign w:val="center"/>
            <w:hideMark/>
          </w:tcPr>
          <w:p w14:paraId="70EC065F"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29BD7176"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3.5</w:t>
            </w:r>
          </w:p>
        </w:tc>
        <w:tc>
          <w:tcPr>
            <w:tcW w:w="627" w:type="dxa"/>
            <w:tcBorders>
              <w:top w:val="nil"/>
              <w:left w:val="nil"/>
              <w:bottom w:val="single" w:sz="4" w:space="0" w:color="BFBFBF"/>
              <w:right w:val="single" w:sz="4" w:space="0" w:color="BFBFBF"/>
            </w:tcBorders>
            <w:shd w:val="clear" w:color="auto" w:fill="auto"/>
            <w:vAlign w:val="center"/>
            <w:hideMark/>
          </w:tcPr>
          <w:p w14:paraId="63B67496"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16.10</w:t>
            </w:r>
          </w:p>
        </w:tc>
        <w:tc>
          <w:tcPr>
            <w:tcW w:w="920" w:type="dxa"/>
            <w:tcBorders>
              <w:top w:val="nil"/>
              <w:left w:val="nil"/>
              <w:bottom w:val="single" w:sz="4" w:space="0" w:color="BFBFBF"/>
              <w:right w:val="single" w:sz="4" w:space="0" w:color="BFBFBF"/>
            </w:tcBorders>
            <w:shd w:val="clear" w:color="auto" w:fill="auto"/>
            <w:noWrap/>
            <w:vAlign w:val="center"/>
            <w:hideMark/>
          </w:tcPr>
          <w:p w14:paraId="69A38B96"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$161,000</w:t>
            </w:r>
          </w:p>
        </w:tc>
        <w:tc>
          <w:tcPr>
            <w:tcW w:w="1036" w:type="dxa"/>
            <w:tcBorders>
              <w:top w:val="nil"/>
              <w:left w:val="nil"/>
              <w:bottom w:val="single" w:sz="4" w:space="0" w:color="BFBFBF"/>
              <w:right w:val="single" w:sz="4" w:space="0" w:color="BFBFBF"/>
            </w:tcBorders>
            <w:shd w:val="clear" w:color="auto" w:fill="auto"/>
            <w:noWrap/>
            <w:vAlign w:val="center"/>
            <w:hideMark/>
          </w:tcPr>
          <w:p w14:paraId="422EE550"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$241,500</w:t>
            </w:r>
          </w:p>
        </w:tc>
        <w:tc>
          <w:tcPr>
            <w:tcW w:w="1036" w:type="dxa"/>
            <w:tcBorders>
              <w:top w:val="nil"/>
              <w:left w:val="nil"/>
              <w:bottom w:val="single" w:sz="4" w:space="0" w:color="BFBFBF"/>
              <w:right w:val="single" w:sz="4" w:space="0" w:color="BFBFBF"/>
            </w:tcBorders>
            <w:shd w:val="clear" w:color="auto" w:fill="auto"/>
            <w:noWrap/>
            <w:vAlign w:val="center"/>
            <w:hideMark/>
          </w:tcPr>
          <w:p w14:paraId="1C201684"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$322,000</w:t>
            </w:r>
          </w:p>
        </w:tc>
        <w:tc>
          <w:tcPr>
            <w:tcW w:w="1036" w:type="dxa"/>
            <w:tcBorders>
              <w:top w:val="nil"/>
              <w:left w:val="nil"/>
              <w:bottom w:val="single" w:sz="4" w:space="0" w:color="BFBFBF"/>
              <w:right w:val="single" w:sz="4" w:space="0" w:color="BFBFBF"/>
            </w:tcBorders>
            <w:shd w:val="clear" w:color="auto" w:fill="auto"/>
            <w:noWrap/>
            <w:vAlign w:val="center"/>
            <w:hideMark/>
          </w:tcPr>
          <w:p w14:paraId="160C8160"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$402,500</w:t>
            </w:r>
          </w:p>
        </w:tc>
        <w:tc>
          <w:tcPr>
            <w:tcW w:w="1036" w:type="dxa"/>
            <w:tcBorders>
              <w:top w:val="nil"/>
              <w:left w:val="nil"/>
              <w:bottom w:val="single" w:sz="4" w:space="0" w:color="BFBFBF"/>
              <w:right w:val="single" w:sz="4" w:space="0" w:color="BFBFBF"/>
            </w:tcBorders>
            <w:shd w:val="clear" w:color="auto" w:fill="auto"/>
            <w:noWrap/>
            <w:vAlign w:val="center"/>
            <w:hideMark/>
          </w:tcPr>
          <w:p w14:paraId="78CBF4EC"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$483,000</w:t>
            </w:r>
          </w:p>
        </w:tc>
        <w:tc>
          <w:tcPr>
            <w:tcW w:w="1036" w:type="dxa"/>
            <w:tcBorders>
              <w:top w:val="nil"/>
              <w:left w:val="nil"/>
              <w:bottom w:val="single" w:sz="4" w:space="0" w:color="BFBFBF"/>
              <w:right w:val="single" w:sz="4" w:space="0" w:color="BFBFBF"/>
            </w:tcBorders>
            <w:shd w:val="clear" w:color="auto" w:fill="auto"/>
            <w:noWrap/>
            <w:vAlign w:val="center"/>
            <w:hideMark/>
          </w:tcPr>
          <w:p w14:paraId="437FF2A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$805,000</w:t>
            </w:r>
          </w:p>
        </w:tc>
      </w:tr>
      <w:tr w:rsidR="00AD7F43" w:rsidRPr="00AD7F43" w14:paraId="2C67E114" w14:textId="77777777" w:rsidTr="00AD7F43">
        <w:trPr>
          <w:trHeight w:val="170"/>
        </w:trPr>
        <w:tc>
          <w:tcPr>
            <w:tcW w:w="1035" w:type="dxa"/>
            <w:tcBorders>
              <w:top w:val="single" w:sz="4" w:space="0" w:color="BFBFBF"/>
              <w:bottom w:val="single" w:sz="4" w:space="0" w:color="BFBFBF"/>
              <w:right w:val="nil"/>
            </w:tcBorders>
            <w:shd w:val="clear" w:color="auto" w:fill="auto"/>
            <w:vAlign w:val="center"/>
          </w:tcPr>
          <w:p w14:paraId="18BAC07D"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4F7745D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885" w:type="dxa"/>
            <w:tcBorders>
              <w:top w:val="single" w:sz="4" w:space="0" w:color="BFBFBF"/>
              <w:left w:val="nil"/>
              <w:bottom w:val="single" w:sz="4" w:space="0" w:color="BFBFBF"/>
              <w:right w:val="nil"/>
            </w:tcBorders>
            <w:shd w:val="clear" w:color="auto" w:fill="auto"/>
            <w:vAlign w:val="center"/>
          </w:tcPr>
          <w:p w14:paraId="2DBE249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759" w:type="dxa"/>
            <w:tcBorders>
              <w:top w:val="single" w:sz="4" w:space="0" w:color="BFBFBF"/>
              <w:left w:val="nil"/>
              <w:bottom w:val="single" w:sz="4" w:space="0" w:color="BFBFBF"/>
              <w:right w:val="nil"/>
            </w:tcBorders>
            <w:shd w:val="clear" w:color="auto" w:fill="auto"/>
            <w:vAlign w:val="center"/>
          </w:tcPr>
          <w:p w14:paraId="728D86A5"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627" w:type="dxa"/>
            <w:tcBorders>
              <w:top w:val="single" w:sz="4" w:space="0" w:color="BFBFBF"/>
              <w:left w:val="nil"/>
              <w:bottom w:val="single" w:sz="4" w:space="0" w:color="BFBFBF"/>
              <w:right w:val="nil"/>
            </w:tcBorders>
            <w:shd w:val="clear" w:color="auto" w:fill="auto"/>
            <w:vAlign w:val="center"/>
          </w:tcPr>
          <w:p w14:paraId="3A735C15"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920" w:type="dxa"/>
            <w:tcBorders>
              <w:top w:val="single" w:sz="4" w:space="0" w:color="BFBFBF"/>
              <w:left w:val="nil"/>
              <w:bottom w:val="single" w:sz="4" w:space="0" w:color="BFBFBF"/>
              <w:right w:val="nil"/>
            </w:tcBorders>
            <w:shd w:val="clear" w:color="auto" w:fill="auto"/>
            <w:noWrap/>
            <w:vAlign w:val="center"/>
          </w:tcPr>
          <w:p w14:paraId="76A059EF"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00A70A88"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34BBBAE"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2B6BC580"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right w:val="nil"/>
            </w:tcBorders>
            <w:shd w:val="clear" w:color="auto" w:fill="auto"/>
            <w:noWrap/>
            <w:vAlign w:val="center"/>
          </w:tcPr>
          <w:p w14:paraId="608482D2"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c>
          <w:tcPr>
            <w:tcW w:w="1036" w:type="dxa"/>
            <w:tcBorders>
              <w:top w:val="single" w:sz="4" w:space="0" w:color="BFBFBF"/>
              <w:left w:val="nil"/>
              <w:bottom w:val="single" w:sz="4" w:space="0" w:color="BFBFBF"/>
            </w:tcBorders>
            <w:shd w:val="clear" w:color="auto" w:fill="auto"/>
            <w:noWrap/>
            <w:vAlign w:val="center"/>
          </w:tcPr>
          <w:p w14:paraId="569BA724" w14:textId="77777777" w:rsidR="00AD7F43" w:rsidRPr="00AD7F43" w:rsidRDefault="00AD7F43" w:rsidP="00DF4694">
            <w:pPr>
              <w:spacing w:after="0" w:line="240" w:lineRule="auto"/>
              <w:jc w:val="center"/>
              <w:rPr>
                <w:rFonts w:ascii="Calibri" w:eastAsia="Times New Roman" w:hAnsi="Calibri" w:cs="Times New Roman"/>
                <w:color w:val="000000"/>
                <w:sz w:val="12"/>
                <w:szCs w:val="12"/>
                <w:lang w:eastAsia="en-AU"/>
              </w:rPr>
            </w:pPr>
          </w:p>
        </w:tc>
      </w:tr>
      <w:tr w:rsidR="00AD7F43" w:rsidRPr="00EC5691" w14:paraId="74D7F23C"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28327D4E"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33FDE64A"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w:t>
            </w:r>
          </w:p>
        </w:tc>
        <w:tc>
          <w:tcPr>
            <w:tcW w:w="885" w:type="dxa"/>
            <w:tcBorders>
              <w:top w:val="nil"/>
              <w:left w:val="nil"/>
              <w:bottom w:val="single" w:sz="4" w:space="0" w:color="BFBFBF"/>
              <w:right w:val="single" w:sz="4" w:space="0" w:color="BFBFBF"/>
            </w:tcBorders>
            <w:shd w:val="clear" w:color="000000" w:fill="D6E1EF"/>
            <w:vAlign w:val="center"/>
            <w:hideMark/>
          </w:tcPr>
          <w:p w14:paraId="2E786D44"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Severe</w:t>
            </w:r>
          </w:p>
        </w:tc>
        <w:tc>
          <w:tcPr>
            <w:tcW w:w="759" w:type="dxa"/>
            <w:tcBorders>
              <w:top w:val="nil"/>
              <w:left w:val="nil"/>
              <w:bottom w:val="single" w:sz="4" w:space="0" w:color="BFBFBF"/>
              <w:right w:val="single" w:sz="4" w:space="0" w:color="BFBFBF"/>
            </w:tcBorders>
            <w:shd w:val="clear" w:color="auto" w:fill="auto"/>
            <w:vAlign w:val="center"/>
            <w:hideMark/>
          </w:tcPr>
          <w:p w14:paraId="5D048F03"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w:t>
            </w:r>
          </w:p>
        </w:tc>
        <w:tc>
          <w:tcPr>
            <w:tcW w:w="627" w:type="dxa"/>
            <w:tcBorders>
              <w:top w:val="nil"/>
              <w:left w:val="nil"/>
              <w:bottom w:val="single" w:sz="4" w:space="0" w:color="BFBFBF"/>
              <w:right w:val="single" w:sz="4" w:space="0" w:color="BFBFBF"/>
            </w:tcBorders>
            <w:shd w:val="clear" w:color="auto" w:fill="auto"/>
            <w:vAlign w:val="center"/>
            <w:hideMark/>
          </w:tcPr>
          <w:p w14:paraId="12EF409B"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39.60</w:t>
            </w:r>
          </w:p>
        </w:tc>
        <w:tc>
          <w:tcPr>
            <w:tcW w:w="920" w:type="dxa"/>
            <w:tcBorders>
              <w:top w:val="nil"/>
              <w:left w:val="nil"/>
              <w:bottom w:val="single" w:sz="4" w:space="0" w:color="BFBFBF"/>
              <w:right w:val="single" w:sz="4" w:space="0" w:color="BFBFBF"/>
            </w:tcBorders>
            <w:shd w:val="clear" w:color="auto" w:fill="auto"/>
            <w:noWrap/>
            <w:vAlign w:val="center"/>
            <w:hideMark/>
          </w:tcPr>
          <w:p w14:paraId="7F8E3DF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$396,000</w:t>
            </w:r>
          </w:p>
        </w:tc>
        <w:tc>
          <w:tcPr>
            <w:tcW w:w="1036" w:type="dxa"/>
            <w:tcBorders>
              <w:top w:val="nil"/>
              <w:left w:val="nil"/>
              <w:bottom w:val="single" w:sz="4" w:space="0" w:color="BFBFBF"/>
              <w:right w:val="single" w:sz="4" w:space="0" w:color="BFBFBF"/>
            </w:tcBorders>
            <w:shd w:val="clear" w:color="auto" w:fill="auto"/>
            <w:noWrap/>
            <w:vAlign w:val="center"/>
            <w:hideMark/>
          </w:tcPr>
          <w:p w14:paraId="0EEC2DC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$594,000</w:t>
            </w:r>
          </w:p>
        </w:tc>
        <w:tc>
          <w:tcPr>
            <w:tcW w:w="1036" w:type="dxa"/>
            <w:tcBorders>
              <w:top w:val="nil"/>
              <w:left w:val="nil"/>
              <w:bottom w:val="single" w:sz="4" w:space="0" w:color="BFBFBF"/>
              <w:right w:val="single" w:sz="4" w:space="0" w:color="BFBFBF"/>
            </w:tcBorders>
            <w:shd w:val="clear" w:color="auto" w:fill="auto"/>
            <w:noWrap/>
            <w:vAlign w:val="center"/>
            <w:hideMark/>
          </w:tcPr>
          <w:p w14:paraId="15A43D14"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$792,000</w:t>
            </w:r>
          </w:p>
        </w:tc>
        <w:tc>
          <w:tcPr>
            <w:tcW w:w="1036" w:type="dxa"/>
            <w:tcBorders>
              <w:top w:val="nil"/>
              <w:left w:val="nil"/>
              <w:bottom w:val="single" w:sz="4" w:space="0" w:color="BFBFBF"/>
              <w:right w:val="single" w:sz="4" w:space="0" w:color="BFBFBF"/>
            </w:tcBorders>
            <w:shd w:val="clear" w:color="auto" w:fill="auto"/>
            <w:noWrap/>
            <w:vAlign w:val="center"/>
            <w:hideMark/>
          </w:tcPr>
          <w:p w14:paraId="58C7D45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$990,000</w:t>
            </w:r>
          </w:p>
        </w:tc>
        <w:tc>
          <w:tcPr>
            <w:tcW w:w="1036" w:type="dxa"/>
            <w:tcBorders>
              <w:top w:val="nil"/>
              <w:left w:val="nil"/>
              <w:bottom w:val="single" w:sz="4" w:space="0" w:color="BFBFBF"/>
              <w:right w:val="single" w:sz="4" w:space="0" w:color="BFBFBF"/>
            </w:tcBorders>
            <w:shd w:val="clear" w:color="auto" w:fill="auto"/>
            <w:noWrap/>
            <w:vAlign w:val="center"/>
            <w:hideMark/>
          </w:tcPr>
          <w:p w14:paraId="0529468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$1,188,000</w:t>
            </w:r>
          </w:p>
        </w:tc>
        <w:tc>
          <w:tcPr>
            <w:tcW w:w="1036" w:type="dxa"/>
            <w:tcBorders>
              <w:top w:val="nil"/>
              <w:left w:val="nil"/>
              <w:bottom w:val="single" w:sz="4" w:space="0" w:color="BFBFBF"/>
              <w:right w:val="single" w:sz="4" w:space="0" w:color="BFBFBF"/>
            </w:tcBorders>
            <w:shd w:val="clear" w:color="auto" w:fill="auto"/>
            <w:noWrap/>
            <w:vAlign w:val="center"/>
            <w:hideMark/>
          </w:tcPr>
          <w:p w14:paraId="1B8267E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$1,980,000</w:t>
            </w:r>
          </w:p>
        </w:tc>
      </w:tr>
      <w:tr w:rsidR="00AD7F43" w:rsidRPr="00EC5691" w14:paraId="46542EFB"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1B74DD49"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6D5A0C2A"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w:t>
            </w:r>
          </w:p>
        </w:tc>
        <w:tc>
          <w:tcPr>
            <w:tcW w:w="885" w:type="dxa"/>
            <w:tcBorders>
              <w:top w:val="nil"/>
              <w:left w:val="nil"/>
              <w:bottom w:val="single" w:sz="4" w:space="0" w:color="BFBFBF"/>
              <w:right w:val="single" w:sz="4" w:space="0" w:color="BFBFBF"/>
            </w:tcBorders>
            <w:shd w:val="clear" w:color="000000" w:fill="D6E1EF"/>
            <w:vAlign w:val="center"/>
            <w:hideMark/>
          </w:tcPr>
          <w:p w14:paraId="32918E83"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1514F69C"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3.5</w:t>
            </w:r>
          </w:p>
        </w:tc>
        <w:tc>
          <w:tcPr>
            <w:tcW w:w="627" w:type="dxa"/>
            <w:tcBorders>
              <w:top w:val="nil"/>
              <w:left w:val="nil"/>
              <w:bottom w:val="single" w:sz="4" w:space="0" w:color="BFBFBF"/>
              <w:right w:val="single" w:sz="4" w:space="0" w:color="BFBFBF"/>
            </w:tcBorders>
            <w:shd w:val="clear" w:color="auto" w:fill="auto"/>
            <w:vAlign w:val="center"/>
            <w:hideMark/>
          </w:tcPr>
          <w:p w14:paraId="604568EE"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69.30</w:t>
            </w:r>
          </w:p>
        </w:tc>
        <w:tc>
          <w:tcPr>
            <w:tcW w:w="920" w:type="dxa"/>
            <w:tcBorders>
              <w:top w:val="nil"/>
              <w:left w:val="nil"/>
              <w:bottom w:val="single" w:sz="4" w:space="0" w:color="BFBFBF"/>
              <w:right w:val="single" w:sz="4" w:space="0" w:color="BFBFBF"/>
            </w:tcBorders>
            <w:shd w:val="clear" w:color="auto" w:fill="auto"/>
            <w:noWrap/>
            <w:vAlign w:val="center"/>
            <w:hideMark/>
          </w:tcPr>
          <w:p w14:paraId="61D75D62"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$693,000</w:t>
            </w:r>
          </w:p>
        </w:tc>
        <w:tc>
          <w:tcPr>
            <w:tcW w:w="1036" w:type="dxa"/>
            <w:tcBorders>
              <w:top w:val="nil"/>
              <w:left w:val="nil"/>
              <w:bottom w:val="single" w:sz="4" w:space="0" w:color="BFBFBF"/>
              <w:right w:val="single" w:sz="4" w:space="0" w:color="BFBFBF"/>
            </w:tcBorders>
            <w:shd w:val="clear" w:color="auto" w:fill="auto"/>
            <w:noWrap/>
            <w:vAlign w:val="center"/>
            <w:hideMark/>
          </w:tcPr>
          <w:p w14:paraId="1E265A2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$1,039,500</w:t>
            </w:r>
          </w:p>
        </w:tc>
        <w:tc>
          <w:tcPr>
            <w:tcW w:w="1036" w:type="dxa"/>
            <w:tcBorders>
              <w:top w:val="nil"/>
              <w:left w:val="nil"/>
              <w:bottom w:val="single" w:sz="4" w:space="0" w:color="BFBFBF"/>
              <w:right w:val="single" w:sz="4" w:space="0" w:color="BFBFBF"/>
            </w:tcBorders>
            <w:shd w:val="clear" w:color="auto" w:fill="auto"/>
            <w:noWrap/>
            <w:vAlign w:val="center"/>
            <w:hideMark/>
          </w:tcPr>
          <w:p w14:paraId="405D9D6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$1,386,000</w:t>
            </w:r>
          </w:p>
        </w:tc>
        <w:tc>
          <w:tcPr>
            <w:tcW w:w="1036" w:type="dxa"/>
            <w:tcBorders>
              <w:top w:val="nil"/>
              <w:left w:val="nil"/>
              <w:bottom w:val="single" w:sz="4" w:space="0" w:color="BFBFBF"/>
              <w:right w:val="single" w:sz="4" w:space="0" w:color="BFBFBF"/>
            </w:tcBorders>
            <w:shd w:val="clear" w:color="auto" w:fill="auto"/>
            <w:noWrap/>
            <w:vAlign w:val="center"/>
            <w:hideMark/>
          </w:tcPr>
          <w:p w14:paraId="626C4F55"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$1,732,500</w:t>
            </w:r>
          </w:p>
        </w:tc>
        <w:tc>
          <w:tcPr>
            <w:tcW w:w="1036" w:type="dxa"/>
            <w:tcBorders>
              <w:top w:val="nil"/>
              <w:left w:val="nil"/>
              <w:bottom w:val="single" w:sz="4" w:space="0" w:color="BFBFBF"/>
              <w:right w:val="single" w:sz="4" w:space="0" w:color="BFBFBF"/>
            </w:tcBorders>
            <w:shd w:val="clear" w:color="auto" w:fill="auto"/>
            <w:noWrap/>
            <w:vAlign w:val="center"/>
            <w:hideMark/>
          </w:tcPr>
          <w:p w14:paraId="702C64B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$2,079,000</w:t>
            </w:r>
          </w:p>
        </w:tc>
        <w:tc>
          <w:tcPr>
            <w:tcW w:w="1036" w:type="dxa"/>
            <w:tcBorders>
              <w:top w:val="nil"/>
              <w:left w:val="nil"/>
              <w:bottom w:val="single" w:sz="4" w:space="0" w:color="BFBFBF"/>
              <w:right w:val="single" w:sz="4" w:space="0" w:color="BFBFBF"/>
            </w:tcBorders>
            <w:shd w:val="clear" w:color="auto" w:fill="auto"/>
            <w:noWrap/>
            <w:vAlign w:val="center"/>
            <w:hideMark/>
          </w:tcPr>
          <w:p w14:paraId="721FBAF5"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$3,465,000</w:t>
            </w:r>
          </w:p>
        </w:tc>
      </w:tr>
      <w:tr w:rsidR="00AD7F43" w:rsidRPr="00EC5691" w14:paraId="7ECFD81D" w14:textId="77777777" w:rsidTr="00DF4694">
        <w:trPr>
          <w:trHeight w:val="454"/>
        </w:trPr>
        <w:tc>
          <w:tcPr>
            <w:tcW w:w="1035" w:type="dxa"/>
            <w:tcBorders>
              <w:top w:val="nil"/>
              <w:left w:val="single" w:sz="4" w:space="0" w:color="BFBFBF"/>
              <w:bottom w:val="single" w:sz="4" w:space="0" w:color="BFBFBF"/>
              <w:right w:val="single" w:sz="4" w:space="0" w:color="BFBFBF"/>
            </w:tcBorders>
            <w:shd w:val="clear" w:color="000000" w:fill="D6E1EF"/>
            <w:vAlign w:val="center"/>
            <w:hideMark/>
          </w:tcPr>
          <w:p w14:paraId="269B3544"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Extreme</w:t>
            </w:r>
          </w:p>
        </w:tc>
        <w:tc>
          <w:tcPr>
            <w:tcW w:w="759" w:type="dxa"/>
            <w:tcBorders>
              <w:top w:val="nil"/>
              <w:left w:val="nil"/>
              <w:bottom w:val="single" w:sz="4" w:space="0" w:color="BFBFBF"/>
              <w:right w:val="single" w:sz="4" w:space="0" w:color="BFBFBF"/>
            </w:tcBorders>
            <w:shd w:val="clear" w:color="auto" w:fill="auto"/>
            <w:vAlign w:val="center"/>
            <w:hideMark/>
          </w:tcPr>
          <w:p w14:paraId="2B5742A1"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w:t>
            </w:r>
          </w:p>
        </w:tc>
        <w:tc>
          <w:tcPr>
            <w:tcW w:w="885" w:type="dxa"/>
            <w:tcBorders>
              <w:top w:val="nil"/>
              <w:left w:val="nil"/>
              <w:bottom w:val="single" w:sz="4" w:space="0" w:color="BFBFBF"/>
              <w:right w:val="single" w:sz="4" w:space="0" w:color="BFBFBF"/>
            </w:tcBorders>
            <w:shd w:val="clear" w:color="000000" w:fill="D6E1EF"/>
            <w:vAlign w:val="center"/>
            <w:hideMark/>
          </w:tcPr>
          <w:p w14:paraId="4DA3D48F" w14:textId="77777777" w:rsidR="00AD7F43" w:rsidRPr="00EC5691" w:rsidRDefault="00AD7F43" w:rsidP="00DF4694">
            <w:pPr>
              <w:spacing w:after="0" w:line="240" w:lineRule="auto"/>
              <w:jc w:val="center"/>
              <w:rPr>
                <w:rFonts w:ascii="Calibri" w:eastAsia="Times New Roman" w:hAnsi="Calibri" w:cs="Times New Roman"/>
                <w:b/>
                <w:bCs/>
                <w:color w:val="000000"/>
                <w:sz w:val="18"/>
                <w:szCs w:val="18"/>
                <w:lang w:eastAsia="en-AU"/>
              </w:rPr>
            </w:pPr>
            <w:r w:rsidRPr="00EC5691">
              <w:rPr>
                <w:rFonts w:ascii="Calibri" w:eastAsia="Times New Roman" w:hAnsi="Calibri" w:cs="Times New Roman"/>
                <w:b/>
                <w:bCs/>
                <w:color w:val="000000"/>
                <w:sz w:val="18"/>
                <w:szCs w:val="18"/>
                <w:lang w:eastAsia="en-AU"/>
              </w:rPr>
              <w:t>Code Red</w:t>
            </w:r>
          </w:p>
        </w:tc>
        <w:tc>
          <w:tcPr>
            <w:tcW w:w="759" w:type="dxa"/>
            <w:tcBorders>
              <w:top w:val="nil"/>
              <w:left w:val="nil"/>
              <w:bottom w:val="single" w:sz="4" w:space="0" w:color="BFBFBF"/>
              <w:right w:val="single" w:sz="4" w:space="0" w:color="BFBFBF"/>
            </w:tcBorders>
            <w:shd w:val="clear" w:color="auto" w:fill="auto"/>
            <w:vAlign w:val="center"/>
            <w:hideMark/>
          </w:tcPr>
          <w:p w14:paraId="211E4306"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5.0</w:t>
            </w:r>
          </w:p>
        </w:tc>
        <w:tc>
          <w:tcPr>
            <w:tcW w:w="627" w:type="dxa"/>
            <w:tcBorders>
              <w:top w:val="nil"/>
              <w:left w:val="nil"/>
              <w:bottom w:val="single" w:sz="4" w:space="0" w:color="BFBFBF"/>
              <w:right w:val="single" w:sz="4" w:space="0" w:color="BFBFBF"/>
            </w:tcBorders>
            <w:shd w:val="clear" w:color="auto" w:fill="auto"/>
            <w:vAlign w:val="center"/>
            <w:hideMark/>
          </w:tcPr>
          <w:p w14:paraId="20FE0530" w14:textId="77777777" w:rsidR="00AD7F43" w:rsidRPr="00EC5691" w:rsidRDefault="00AD7F43" w:rsidP="00DF4694">
            <w:pPr>
              <w:spacing w:after="0" w:line="240" w:lineRule="auto"/>
              <w:jc w:val="center"/>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99.00</w:t>
            </w:r>
          </w:p>
        </w:tc>
        <w:tc>
          <w:tcPr>
            <w:tcW w:w="920" w:type="dxa"/>
            <w:tcBorders>
              <w:top w:val="nil"/>
              <w:left w:val="nil"/>
              <w:bottom w:val="single" w:sz="4" w:space="0" w:color="BFBFBF"/>
              <w:right w:val="single" w:sz="4" w:space="0" w:color="BFBFBF"/>
            </w:tcBorders>
            <w:shd w:val="clear" w:color="auto" w:fill="auto"/>
            <w:noWrap/>
            <w:vAlign w:val="center"/>
            <w:hideMark/>
          </w:tcPr>
          <w:p w14:paraId="4C19CB44"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$990,000</w:t>
            </w:r>
          </w:p>
        </w:tc>
        <w:tc>
          <w:tcPr>
            <w:tcW w:w="1036" w:type="dxa"/>
            <w:tcBorders>
              <w:top w:val="nil"/>
              <w:left w:val="nil"/>
              <w:bottom w:val="single" w:sz="4" w:space="0" w:color="BFBFBF"/>
              <w:right w:val="single" w:sz="4" w:space="0" w:color="BFBFBF"/>
            </w:tcBorders>
            <w:shd w:val="clear" w:color="auto" w:fill="auto"/>
            <w:noWrap/>
            <w:vAlign w:val="center"/>
            <w:hideMark/>
          </w:tcPr>
          <w:p w14:paraId="1497DED3"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$1,485,000</w:t>
            </w:r>
          </w:p>
        </w:tc>
        <w:tc>
          <w:tcPr>
            <w:tcW w:w="1036" w:type="dxa"/>
            <w:tcBorders>
              <w:top w:val="nil"/>
              <w:left w:val="nil"/>
              <w:bottom w:val="single" w:sz="4" w:space="0" w:color="BFBFBF"/>
              <w:right w:val="single" w:sz="4" w:space="0" w:color="BFBFBF"/>
            </w:tcBorders>
            <w:shd w:val="clear" w:color="auto" w:fill="auto"/>
            <w:noWrap/>
            <w:vAlign w:val="center"/>
            <w:hideMark/>
          </w:tcPr>
          <w:p w14:paraId="214C0671"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$1,980,000</w:t>
            </w:r>
          </w:p>
        </w:tc>
        <w:tc>
          <w:tcPr>
            <w:tcW w:w="1036" w:type="dxa"/>
            <w:tcBorders>
              <w:top w:val="nil"/>
              <w:left w:val="nil"/>
              <w:bottom w:val="single" w:sz="4" w:space="0" w:color="BFBFBF"/>
              <w:right w:val="single" w:sz="4" w:space="0" w:color="BFBFBF"/>
            </w:tcBorders>
            <w:shd w:val="clear" w:color="auto" w:fill="auto"/>
            <w:noWrap/>
            <w:vAlign w:val="center"/>
            <w:hideMark/>
          </w:tcPr>
          <w:p w14:paraId="7C9FE2F5"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$2,475,000</w:t>
            </w:r>
          </w:p>
        </w:tc>
        <w:tc>
          <w:tcPr>
            <w:tcW w:w="1036" w:type="dxa"/>
            <w:tcBorders>
              <w:top w:val="nil"/>
              <w:left w:val="nil"/>
              <w:bottom w:val="single" w:sz="4" w:space="0" w:color="BFBFBF"/>
              <w:right w:val="single" w:sz="4" w:space="0" w:color="BFBFBF"/>
            </w:tcBorders>
            <w:shd w:val="clear" w:color="auto" w:fill="auto"/>
            <w:noWrap/>
            <w:vAlign w:val="center"/>
            <w:hideMark/>
          </w:tcPr>
          <w:p w14:paraId="1CD2BCE7"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$2,970,000</w:t>
            </w:r>
          </w:p>
        </w:tc>
        <w:tc>
          <w:tcPr>
            <w:tcW w:w="1036" w:type="dxa"/>
            <w:tcBorders>
              <w:top w:val="nil"/>
              <w:left w:val="nil"/>
              <w:bottom w:val="single" w:sz="4" w:space="0" w:color="BFBFBF"/>
              <w:right w:val="single" w:sz="4" w:space="0" w:color="BFBFBF"/>
            </w:tcBorders>
            <w:shd w:val="clear" w:color="auto" w:fill="auto"/>
            <w:noWrap/>
            <w:vAlign w:val="center"/>
            <w:hideMark/>
          </w:tcPr>
          <w:p w14:paraId="5BA5B2F9" w14:textId="77777777" w:rsidR="00AD7F43" w:rsidRPr="00EC5691" w:rsidRDefault="00AD7F43" w:rsidP="00DF4694">
            <w:pPr>
              <w:spacing w:after="0" w:line="240" w:lineRule="auto"/>
              <w:jc w:val="right"/>
              <w:rPr>
                <w:rFonts w:ascii="Calibri" w:eastAsia="Times New Roman" w:hAnsi="Calibri" w:cs="Times New Roman"/>
                <w:color w:val="000000"/>
                <w:sz w:val="18"/>
                <w:szCs w:val="18"/>
                <w:lang w:eastAsia="en-AU"/>
              </w:rPr>
            </w:pPr>
            <w:r w:rsidRPr="00EC5691">
              <w:rPr>
                <w:rFonts w:ascii="Calibri" w:eastAsia="Times New Roman" w:hAnsi="Calibri" w:cs="Times New Roman"/>
                <w:color w:val="000000"/>
                <w:sz w:val="18"/>
                <w:szCs w:val="18"/>
                <w:lang w:eastAsia="en-AU"/>
              </w:rPr>
              <w:t>$4,950,000</w:t>
            </w:r>
          </w:p>
        </w:tc>
      </w:tr>
    </w:tbl>
    <w:p w14:paraId="06A2D2B0" w14:textId="77777777" w:rsidR="00AD7F43" w:rsidRPr="00CA3A2E" w:rsidRDefault="00AD7F43" w:rsidP="00AD7F43">
      <w:pPr>
        <w:autoSpaceDE w:val="0"/>
        <w:autoSpaceDN w:val="0"/>
        <w:adjustRightInd w:val="0"/>
        <w:spacing w:before="120" w:after="80"/>
        <w:rPr>
          <w:rFonts w:ascii="Candara" w:hAnsi="Candara"/>
          <w:sz w:val="18"/>
          <w:szCs w:val="18"/>
        </w:rPr>
      </w:pPr>
      <w:r>
        <w:rPr>
          <w:rFonts w:ascii="Candara" w:hAnsi="Candara"/>
          <w:sz w:val="18"/>
          <w:szCs w:val="18"/>
        </w:rPr>
        <w:t>A table listing all possible combinations of Geography and Time is located in</w:t>
      </w:r>
      <w:r w:rsidRPr="00CA3A2E">
        <w:rPr>
          <w:rFonts w:ascii="Candara" w:hAnsi="Candara"/>
          <w:sz w:val="18"/>
          <w:szCs w:val="18"/>
        </w:rPr>
        <w:t xml:space="preserve"> </w:t>
      </w:r>
      <w:r w:rsidRPr="008E65BA">
        <w:rPr>
          <w:rFonts w:ascii="Candara" w:hAnsi="Candara"/>
          <w:b/>
          <w:sz w:val="18"/>
          <w:szCs w:val="18"/>
        </w:rPr>
        <w:t>Appendix 4</w:t>
      </w:r>
    </w:p>
    <w:p w14:paraId="00B0B723" w14:textId="77777777" w:rsidR="00E6727A" w:rsidRDefault="00E6727A" w:rsidP="00E6727A">
      <w:pPr>
        <w:autoSpaceDE w:val="0"/>
        <w:autoSpaceDN w:val="0"/>
        <w:adjustRightInd w:val="0"/>
        <w:spacing w:before="120" w:after="80"/>
        <w:rPr>
          <w:rFonts w:ascii="Candara" w:hAnsi="Candara" w:cs="Calibri"/>
        </w:rPr>
      </w:pPr>
      <w:r>
        <w:rPr>
          <w:rFonts w:ascii="Candara" w:hAnsi="Candara" w:cs="Calibri"/>
        </w:rPr>
        <w:t>It can be seen that at the incentive rates examined, the value of a single ignition ranges from $200 to $4,950,000</w:t>
      </w:r>
    </w:p>
    <w:p w14:paraId="166E6A45" w14:textId="77777777" w:rsidR="00E6727A" w:rsidRDefault="00E6727A" w:rsidP="00E6727A">
      <w:pPr>
        <w:autoSpaceDE w:val="0"/>
        <w:autoSpaceDN w:val="0"/>
        <w:adjustRightInd w:val="0"/>
        <w:spacing w:before="120" w:after="80"/>
        <w:rPr>
          <w:rFonts w:ascii="Candara" w:hAnsi="Candara" w:cs="Calibri"/>
        </w:rPr>
      </w:pPr>
      <w:r>
        <w:rPr>
          <w:rFonts w:ascii="Candara" w:hAnsi="Candara" w:cs="Calibri"/>
        </w:rPr>
        <w:lastRenderedPageBreak/>
        <w:t>In assessing what constitutes a “significant” fire, for which the community might expect that the “penalty” under the new scheme should not be less than the existing scheme, it is noted that:</w:t>
      </w:r>
    </w:p>
    <w:p w14:paraId="24EFA785" w14:textId="4907E447" w:rsidR="00E6727A" w:rsidRDefault="00E6727A" w:rsidP="00BB41A4">
      <w:pPr>
        <w:pStyle w:val="ListParagraph"/>
        <w:numPr>
          <w:ilvl w:val="0"/>
          <w:numId w:val="37"/>
        </w:numPr>
        <w:autoSpaceDE w:val="0"/>
        <w:autoSpaceDN w:val="0"/>
        <w:adjustRightInd w:val="0"/>
        <w:spacing w:before="120" w:after="80"/>
        <w:rPr>
          <w:rFonts w:ascii="Candara" w:hAnsi="Candara" w:cs="Calibri"/>
        </w:rPr>
      </w:pPr>
      <w:r>
        <w:rPr>
          <w:rFonts w:ascii="Candara" w:hAnsi="Candara" w:cs="Calibri"/>
        </w:rPr>
        <w:t xml:space="preserve">Ignitions in areas classified as HBRA </w:t>
      </w:r>
      <w:r w:rsidR="003543AF" w:rsidRPr="003543AF">
        <w:rPr>
          <w:rFonts w:ascii="Candara" w:hAnsi="Candara" w:cs="Calibri"/>
        </w:rPr>
        <w:t xml:space="preserve">(geography category “high”) </w:t>
      </w:r>
      <w:r>
        <w:rPr>
          <w:rFonts w:ascii="Candara" w:hAnsi="Candara" w:cs="Calibri"/>
        </w:rPr>
        <w:t>are considered to be hazardous to the community during the summer months; and</w:t>
      </w:r>
    </w:p>
    <w:p w14:paraId="18FA5F1D" w14:textId="77777777" w:rsidR="00E6727A" w:rsidRPr="001F1B21" w:rsidRDefault="00E6727A" w:rsidP="00BB41A4">
      <w:pPr>
        <w:pStyle w:val="ListParagraph"/>
        <w:numPr>
          <w:ilvl w:val="0"/>
          <w:numId w:val="37"/>
        </w:numPr>
        <w:autoSpaceDE w:val="0"/>
        <w:autoSpaceDN w:val="0"/>
        <w:adjustRightInd w:val="0"/>
        <w:spacing w:before="120" w:after="80"/>
        <w:rPr>
          <w:rFonts w:ascii="Candara" w:hAnsi="Candara" w:cs="Calibri"/>
        </w:rPr>
      </w:pPr>
      <w:r>
        <w:rPr>
          <w:rFonts w:ascii="Candara" w:hAnsi="Candara" w:cs="Calibri"/>
        </w:rPr>
        <w:t>At a Fire Danger Rating of Severe “</w:t>
      </w:r>
      <w:r w:rsidRPr="003B6708">
        <w:rPr>
          <w:rFonts w:ascii="Candara" w:hAnsi="Candara" w:cs="Calibri"/>
          <w:lang w:val="en"/>
        </w:rPr>
        <w:t>If a fire starts and takes hold, it may be uncontrollable</w:t>
      </w:r>
      <w:r>
        <w:rPr>
          <w:rFonts w:ascii="Candara" w:hAnsi="Candara" w:cs="Calibri"/>
          <w:lang w:val="en"/>
        </w:rPr>
        <w:t>”.</w:t>
      </w:r>
    </w:p>
    <w:p w14:paraId="581FA9CC" w14:textId="77777777" w:rsidR="00E6727A" w:rsidRDefault="00E6727A" w:rsidP="00E6727A">
      <w:pPr>
        <w:autoSpaceDE w:val="0"/>
        <w:autoSpaceDN w:val="0"/>
        <w:adjustRightInd w:val="0"/>
        <w:spacing w:before="120" w:after="80"/>
        <w:rPr>
          <w:rFonts w:ascii="Candara" w:hAnsi="Candara" w:cs="Calibri"/>
        </w:rPr>
      </w:pPr>
      <w:r>
        <w:rPr>
          <w:rFonts w:ascii="Candara" w:hAnsi="Candara" w:cs="Calibri"/>
        </w:rPr>
        <w:t xml:space="preserve">It would seem appropriate then that the “penalty” for an ignition in a High Geography on a day with a Severe Fire Danger Rating should not be less than the existing penalty of $25,000.  </w:t>
      </w:r>
    </w:p>
    <w:p w14:paraId="71A9C746" w14:textId="77777777" w:rsidR="00DB2007" w:rsidRPr="00DB2007" w:rsidRDefault="00E6727A" w:rsidP="00E6727A">
      <w:pPr>
        <w:autoSpaceDE w:val="0"/>
        <w:autoSpaceDN w:val="0"/>
        <w:adjustRightInd w:val="0"/>
        <w:spacing w:before="120" w:after="80"/>
        <w:rPr>
          <w:rFonts w:ascii="Candara" w:hAnsi="Candara" w:cs="Calibri"/>
          <w:b/>
        </w:rPr>
      </w:pPr>
      <w:r w:rsidRPr="00DB2007">
        <w:rPr>
          <w:rFonts w:ascii="Candara" w:hAnsi="Candara" w:cs="Calibri"/>
          <w:b/>
        </w:rPr>
        <w:t>It can be seen from the table above that this would be achieved at an incentive rate of $15,000.</w:t>
      </w:r>
      <w:r w:rsidR="00B055DA" w:rsidRPr="00DB2007">
        <w:rPr>
          <w:rFonts w:ascii="Candara" w:hAnsi="Candara" w:cs="Calibri"/>
          <w:b/>
        </w:rPr>
        <w:t xml:space="preserve"> </w:t>
      </w:r>
    </w:p>
    <w:p w14:paraId="70A4D21F" w14:textId="77777777" w:rsidR="00DB2007" w:rsidRDefault="00DB2007" w:rsidP="00DB2007">
      <w:pPr>
        <w:autoSpaceDE w:val="0"/>
        <w:autoSpaceDN w:val="0"/>
        <w:adjustRightInd w:val="0"/>
        <w:spacing w:before="120" w:after="80"/>
        <w:rPr>
          <w:rFonts w:ascii="Candara" w:hAnsi="Candara" w:cs="Calibri"/>
        </w:rPr>
      </w:pPr>
      <w:r>
        <w:rPr>
          <w:rFonts w:ascii="Candara" w:hAnsi="Candara" w:cs="Calibri"/>
        </w:rPr>
        <w:t>At this level, the two highest IRU categories of ignition have a value of over $1 million and the eight highest categories of ignition as measured by IRU score, have a financial value exceeding $100,000. These are ignitions posing high levels of risk to the community, but which occur infrequently, and it is entirely appropriate that a high penalty value be placed on such ignitions. At an Incentive Rate level of $15,000, the incentive rate functions to:</w:t>
      </w:r>
    </w:p>
    <w:p w14:paraId="2663C326" w14:textId="77777777" w:rsidR="00DB2007" w:rsidRPr="00DB2007" w:rsidRDefault="00DB2007" w:rsidP="00BB41A4">
      <w:pPr>
        <w:numPr>
          <w:ilvl w:val="0"/>
          <w:numId w:val="37"/>
        </w:numPr>
        <w:autoSpaceDE w:val="0"/>
        <w:autoSpaceDN w:val="0"/>
        <w:adjustRightInd w:val="0"/>
        <w:spacing w:before="120" w:after="80"/>
        <w:rPr>
          <w:rFonts w:ascii="Candara" w:hAnsi="Candara" w:cs="Calibri"/>
        </w:rPr>
      </w:pPr>
      <w:r w:rsidRPr="00DB2007">
        <w:rPr>
          <w:rFonts w:ascii="Candara" w:hAnsi="Candara" w:cs="Calibri"/>
        </w:rPr>
        <w:t>provide heightened attention to the most dangerous classes of ignition (the top 8 – 10);</w:t>
      </w:r>
    </w:p>
    <w:p w14:paraId="5C4240A0" w14:textId="77777777" w:rsidR="00DB2007" w:rsidRPr="00DB2007" w:rsidRDefault="00DB2007" w:rsidP="00BB41A4">
      <w:pPr>
        <w:numPr>
          <w:ilvl w:val="0"/>
          <w:numId w:val="37"/>
        </w:numPr>
        <w:autoSpaceDE w:val="0"/>
        <w:autoSpaceDN w:val="0"/>
        <w:adjustRightInd w:val="0"/>
        <w:spacing w:before="120" w:after="80"/>
        <w:rPr>
          <w:rFonts w:ascii="Candara" w:hAnsi="Candara" w:cs="Calibri"/>
        </w:rPr>
      </w:pPr>
      <w:r w:rsidRPr="00DB2007">
        <w:rPr>
          <w:rFonts w:ascii="Candara" w:hAnsi="Candara" w:cs="Calibri"/>
        </w:rPr>
        <w:t>retain parity with the current scheme with regard to a threshold fire of significance (i.e. a fire in a “high” category of geography occurring on a “severe” weather day); and</w:t>
      </w:r>
    </w:p>
    <w:p w14:paraId="74B62053" w14:textId="77777777" w:rsidR="00DB2007" w:rsidRPr="00DB2007" w:rsidRDefault="00DB2007" w:rsidP="00BB41A4">
      <w:pPr>
        <w:numPr>
          <w:ilvl w:val="0"/>
          <w:numId w:val="37"/>
        </w:numPr>
        <w:autoSpaceDE w:val="0"/>
        <w:autoSpaceDN w:val="0"/>
        <w:adjustRightInd w:val="0"/>
        <w:spacing w:before="120" w:after="80"/>
        <w:rPr>
          <w:rFonts w:ascii="Candara" w:hAnsi="Candara" w:cs="Calibri"/>
        </w:rPr>
      </w:pPr>
      <w:r w:rsidRPr="00DB2007">
        <w:rPr>
          <w:rFonts w:ascii="Candara" w:hAnsi="Candara" w:cs="Calibri"/>
        </w:rPr>
        <w:t>provide a financial rationale for directing resources away from the prevention of relatively low risk ignitions (towards ignitions of higher relative risk).</w:t>
      </w:r>
    </w:p>
    <w:p w14:paraId="7E1DEE56" w14:textId="6FB40534" w:rsidR="00DB2007" w:rsidRDefault="00DB2007" w:rsidP="00DB2007">
      <w:pPr>
        <w:autoSpaceDE w:val="0"/>
        <w:autoSpaceDN w:val="0"/>
        <w:adjustRightInd w:val="0"/>
        <w:spacing w:before="120" w:after="80"/>
        <w:rPr>
          <w:rFonts w:ascii="Candara" w:hAnsi="Candara" w:cs="Calibri"/>
        </w:rPr>
      </w:pPr>
      <w:r>
        <w:rPr>
          <w:rFonts w:ascii="Candara" w:hAnsi="Candara" w:cs="Calibri"/>
        </w:rPr>
        <w:t>This analysis notes that t</w:t>
      </w:r>
      <w:r w:rsidRPr="00DB2007">
        <w:rPr>
          <w:rFonts w:ascii="Candara" w:hAnsi="Candara" w:cs="Calibri"/>
        </w:rPr>
        <w:t xml:space="preserve">here are 13 categories of ignition which are valued at less than $25,000. These are categories which pose a much lower level of risk to the community and occur more frequently. The intention of this scheme revision is to draw attention away from these lesser risk fires. A full tabulation is given in </w:t>
      </w:r>
      <w:r w:rsidRPr="00DB2007">
        <w:rPr>
          <w:rFonts w:ascii="Candara" w:hAnsi="Candara" w:cs="Calibri"/>
          <w:b/>
        </w:rPr>
        <w:t>Appendix 4</w:t>
      </w:r>
      <w:r w:rsidRPr="00DB2007">
        <w:rPr>
          <w:rFonts w:ascii="Candara" w:hAnsi="Candara" w:cs="Calibri"/>
        </w:rPr>
        <w:t>.</w:t>
      </w:r>
    </w:p>
    <w:p w14:paraId="14C2ED2F" w14:textId="212E8232" w:rsidR="00E6727A" w:rsidRPr="00D43E27" w:rsidRDefault="00E6727A" w:rsidP="00AD7F43">
      <w:pPr>
        <w:pStyle w:val="Heading3"/>
        <w:spacing w:before="240"/>
        <w:ind w:left="1225" w:hanging="505"/>
        <w:rPr>
          <w:sz w:val="22"/>
          <w:szCs w:val="22"/>
        </w:rPr>
      </w:pPr>
      <w:r w:rsidRPr="00084DFB">
        <w:rPr>
          <w:sz w:val="22"/>
          <w:szCs w:val="22"/>
        </w:rPr>
        <w:t xml:space="preserve"> </w:t>
      </w:r>
      <w:bookmarkStart w:id="36" w:name="_Toc458675190"/>
      <w:r w:rsidR="00C53166">
        <w:rPr>
          <w:sz w:val="22"/>
          <w:szCs w:val="22"/>
        </w:rPr>
        <w:t>Provision of I</w:t>
      </w:r>
      <w:r w:rsidR="00970314">
        <w:rPr>
          <w:sz w:val="22"/>
          <w:szCs w:val="22"/>
        </w:rPr>
        <w:t>ncrease</w:t>
      </w:r>
      <w:r w:rsidR="00C53166">
        <w:rPr>
          <w:sz w:val="22"/>
          <w:szCs w:val="22"/>
        </w:rPr>
        <w:t>d Bushfire S</w:t>
      </w:r>
      <w:r w:rsidR="00DB6DF4">
        <w:rPr>
          <w:sz w:val="22"/>
          <w:szCs w:val="22"/>
        </w:rPr>
        <w:t>afety</w:t>
      </w:r>
      <w:r w:rsidR="00970314">
        <w:rPr>
          <w:sz w:val="22"/>
          <w:szCs w:val="22"/>
        </w:rPr>
        <w:t xml:space="preserve"> </w:t>
      </w:r>
      <w:r w:rsidR="00C53166">
        <w:rPr>
          <w:sz w:val="22"/>
          <w:szCs w:val="22"/>
        </w:rPr>
        <w:t>and Localised Reliability I</w:t>
      </w:r>
      <w:r w:rsidR="00DB6DF4">
        <w:rPr>
          <w:sz w:val="22"/>
          <w:szCs w:val="22"/>
        </w:rPr>
        <w:t>mpacts</w:t>
      </w:r>
      <w:bookmarkEnd w:id="36"/>
      <w:r w:rsidR="00DB6DF4">
        <w:rPr>
          <w:sz w:val="22"/>
          <w:szCs w:val="22"/>
        </w:rPr>
        <w:t xml:space="preserve"> </w:t>
      </w:r>
    </w:p>
    <w:p w14:paraId="658EF8D1" w14:textId="2F712762" w:rsidR="00DB2007" w:rsidRDefault="00DB2007" w:rsidP="00E6727A">
      <w:pPr>
        <w:autoSpaceDE w:val="0"/>
        <w:autoSpaceDN w:val="0"/>
        <w:adjustRightInd w:val="0"/>
        <w:spacing w:before="120" w:after="80"/>
        <w:rPr>
          <w:rFonts w:ascii="Candara" w:hAnsi="Candara" w:cs="Calibri"/>
        </w:rPr>
      </w:pPr>
      <w:r w:rsidRPr="00D43E27">
        <w:rPr>
          <w:rFonts w:ascii="Candara" w:hAnsi="Candara" w:cs="Calibri"/>
        </w:rPr>
        <w:t xml:space="preserve">Under the proposed </w:t>
      </w:r>
      <w:r w:rsidR="000C4E2A">
        <w:rPr>
          <w:rFonts w:ascii="Candara" w:hAnsi="Candara" w:cs="Calibri"/>
        </w:rPr>
        <w:t xml:space="preserve">new </w:t>
      </w:r>
      <w:r w:rsidRPr="00D43E27">
        <w:rPr>
          <w:rFonts w:ascii="Candara" w:hAnsi="Candara" w:cs="Calibri"/>
        </w:rPr>
        <w:t xml:space="preserve">incentive scheme the value of an individual ignition will not be </w:t>
      </w:r>
      <w:r w:rsidR="006119BB">
        <w:rPr>
          <w:rFonts w:ascii="Candara" w:hAnsi="Candara" w:cs="Calibri"/>
        </w:rPr>
        <w:t xml:space="preserve">fixed, as is the case in the current </w:t>
      </w:r>
      <w:r w:rsidR="000C4E2A">
        <w:rPr>
          <w:rFonts w:ascii="Candara" w:hAnsi="Candara" w:cs="Calibri"/>
        </w:rPr>
        <w:t>f-factor</w:t>
      </w:r>
      <w:r w:rsidRPr="00D43E27">
        <w:rPr>
          <w:rFonts w:ascii="Candara" w:hAnsi="Candara" w:cs="Calibri"/>
        </w:rPr>
        <w:t>. At times and in places where the community risk is highest, the penalties could be in the mill</w:t>
      </w:r>
      <w:r w:rsidR="006119BB">
        <w:rPr>
          <w:rFonts w:ascii="Candara" w:hAnsi="Candara" w:cs="Calibri"/>
        </w:rPr>
        <w:t xml:space="preserve">ions of dollars, as shown in </w:t>
      </w:r>
      <w:r w:rsidR="006119BB" w:rsidRPr="006119BB">
        <w:rPr>
          <w:rFonts w:ascii="Candara" w:hAnsi="Candara" w:cs="Calibri"/>
          <w:i/>
        </w:rPr>
        <w:t>Figure 4.5</w:t>
      </w:r>
      <w:r w:rsidR="006119BB">
        <w:rPr>
          <w:rFonts w:ascii="Candara" w:hAnsi="Candara" w:cs="Calibri"/>
        </w:rPr>
        <w:t xml:space="preserve"> above</w:t>
      </w:r>
      <w:r w:rsidRPr="00D43E27">
        <w:rPr>
          <w:rFonts w:ascii="Candara" w:hAnsi="Candara" w:cs="Calibri"/>
        </w:rPr>
        <w:t xml:space="preserve">. </w:t>
      </w:r>
    </w:p>
    <w:p w14:paraId="678A64B4" w14:textId="33343FC3" w:rsidR="00167D0B" w:rsidRDefault="00167D0B" w:rsidP="00167D0B">
      <w:pPr>
        <w:autoSpaceDE w:val="0"/>
        <w:autoSpaceDN w:val="0"/>
        <w:adjustRightInd w:val="0"/>
        <w:spacing w:before="120" w:after="80"/>
        <w:rPr>
          <w:rFonts w:ascii="Candara" w:hAnsi="Candara" w:cs="Calibri"/>
        </w:rPr>
      </w:pPr>
      <w:r>
        <w:rPr>
          <w:rFonts w:ascii="Candara" w:hAnsi="Candara" w:cs="Calibri"/>
        </w:rPr>
        <w:t>On days of heightened bushfire risk, the distribution businesses already adjust the sensitivity of existing and enhanced network protection devices including ACRs to an Increased sensitivity to faults. This in turn has already increased the likelihood of supply disruption as these sections of the network are ‘locked out’ until crews inspect the effected sections of line. T</w:t>
      </w:r>
      <w:r w:rsidRPr="000C4E2A">
        <w:rPr>
          <w:rFonts w:ascii="Candara" w:hAnsi="Candara" w:cs="Calibri"/>
        </w:rPr>
        <w:t xml:space="preserve">he likelihood of </w:t>
      </w:r>
      <w:r>
        <w:rPr>
          <w:rFonts w:ascii="Candara" w:hAnsi="Candara" w:cs="Calibri"/>
        </w:rPr>
        <w:t xml:space="preserve">the f-factor </w:t>
      </w:r>
      <w:r w:rsidRPr="000C4E2A">
        <w:rPr>
          <w:rFonts w:ascii="Candara" w:hAnsi="Candara" w:cs="Calibri"/>
        </w:rPr>
        <w:t xml:space="preserve">contributing </w:t>
      </w:r>
      <w:r>
        <w:rPr>
          <w:rFonts w:ascii="Candara" w:hAnsi="Candara" w:cs="Calibri"/>
        </w:rPr>
        <w:t>to</w:t>
      </w:r>
      <w:r w:rsidRPr="000C4E2A">
        <w:rPr>
          <w:rFonts w:ascii="Candara" w:hAnsi="Candara" w:cs="Calibri"/>
        </w:rPr>
        <w:t xml:space="preserve"> significant outages </w:t>
      </w:r>
      <w:r>
        <w:rPr>
          <w:rFonts w:ascii="Candara" w:hAnsi="Candara" w:cs="Calibri"/>
        </w:rPr>
        <w:t xml:space="preserve">through enhanced operational settings of network devices </w:t>
      </w:r>
      <w:r w:rsidRPr="000C4E2A">
        <w:rPr>
          <w:rFonts w:ascii="Candara" w:hAnsi="Candara" w:cs="Calibri"/>
        </w:rPr>
        <w:t xml:space="preserve">is </w:t>
      </w:r>
      <w:r>
        <w:rPr>
          <w:rFonts w:ascii="Candara" w:hAnsi="Candara" w:cs="Calibri"/>
        </w:rPr>
        <w:t xml:space="preserve">therefore considered to be negligible. </w:t>
      </w:r>
    </w:p>
    <w:p w14:paraId="2BCBA504" w14:textId="661062C2" w:rsidR="00F1764B" w:rsidRDefault="00083F52" w:rsidP="00E6727A">
      <w:pPr>
        <w:autoSpaceDE w:val="0"/>
        <w:autoSpaceDN w:val="0"/>
        <w:adjustRightInd w:val="0"/>
        <w:spacing w:before="120" w:after="80"/>
        <w:rPr>
          <w:rFonts w:ascii="Candara" w:hAnsi="Candara" w:cs="Calibri"/>
        </w:rPr>
      </w:pPr>
      <w:r w:rsidRPr="00083F52">
        <w:rPr>
          <w:rFonts w:ascii="Candara" w:hAnsi="Candara" w:cs="Calibri"/>
        </w:rPr>
        <w:t xml:space="preserve">The operational tension between safety and supply reliability </w:t>
      </w:r>
      <w:r>
        <w:rPr>
          <w:rFonts w:ascii="Candara" w:hAnsi="Candara" w:cs="Calibri"/>
        </w:rPr>
        <w:t>is and will remain</w:t>
      </w:r>
      <w:r w:rsidRPr="00083F52">
        <w:rPr>
          <w:rFonts w:ascii="Candara" w:hAnsi="Candara" w:cs="Calibri"/>
        </w:rPr>
        <w:t xml:space="preserve"> an inherent challenge to the network and pre-dates the </w:t>
      </w:r>
      <w:r>
        <w:rPr>
          <w:rFonts w:ascii="Candara" w:hAnsi="Candara" w:cs="Calibri"/>
        </w:rPr>
        <w:t xml:space="preserve">current and proposed </w:t>
      </w:r>
      <w:r w:rsidRPr="00083F52">
        <w:rPr>
          <w:rFonts w:ascii="Candara" w:hAnsi="Candara" w:cs="Calibri"/>
        </w:rPr>
        <w:t xml:space="preserve">f-factor. Moreover, the issue of outages as a result of bushfire safety measures, was anticipated by the VBRC and Powerline Bushfire Safety Taskforce in making recommendations accepted by the Government. </w:t>
      </w:r>
    </w:p>
    <w:p w14:paraId="1EF40596" w14:textId="43500B8E" w:rsidR="00EF748B" w:rsidRDefault="00F1764B" w:rsidP="00EF748B">
      <w:pPr>
        <w:autoSpaceDE w:val="0"/>
        <w:autoSpaceDN w:val="0"/>
        <w:adjustRightInd w:val="0"/>
        <w:spacing w:before="120" w:after="80"/>
        <w:rPr>
          <w:rFonts w:ascii="Candara" w:hAnsi="Candara" w:cs="Calibri"/>
        </w:rPr>
      </w:pPr>
      <w:r>
        <w:rPr>
          <w:rFonts w:ascii="Candara" w:hAnsi="Candara" w:cs="Calibri"/>
        </w:rPr>
        <w:t>T</w:t>
      </w:r>
      <w:r w:rsidR="00EF748B">
        <w:rPr>
          <w:rFonts w:ascii="Candara" w:hAnsi="Candara" w:cs="Calibri"/>
        </w:rPr>
        <w:t>he</w:t>
      </w:r>
      <w:r w:rsidR="00EF748B" w:rsidRPr="00FE609E">
        <w:rPr>
          <w:rFonts w:ascii="Candara" w:hAnsi="Candara" w:cs="Calibri"/>
        </w:rPr>
        <w:t xml:space="preserve"> </w:t>
      </w:r>
      <w:r w:rsidR="00EF748B">
        <w:rPr>
          <w:rFonts w:ascii="Candara" w:hAnsi="Candara" w:cs="Calibri"/>
        </w:rPr>
        <w:t>d</w:t>
      </w:r>
      <w:r w:rsidR="00EF748B" w:rsidRPr="00FE609E">
        <w:rPr>
          <w:rFonts w:ascii="Candara" w:hAnsi="Candara" w:cs="Calibri"/>
        </w:rPr>
        <w:t xml:space="preserve">istribution businesses </w:t>
      </w:r>
      <w:r w:rsidR="00EF748B">
        <w:rPr>
          <w:rFonts w:ascii="Candara" w:hAnsi="Candara" w:cs="Calibri"/>
        </w:rPr>
        <w:t>already manage reliability impacts when they apply</w:t>
      </w:r>
      <w:r w:rsidR="00EF748B" w:rsidRPr="00FE609E">
        <w:rPr>
          <w:rFonts w:ascii="Candara" w:hAnsi="Candara" w:cs="Calibri"/>
        </w:rPr>
        <w:t xml:space="preserve"> enhanced safety settings to </w:t>
      </w:r>
      <w:r w:rsidR="00083F52">
        <w:rPr>
          <w:rFonts w:ascii="Candara" w:hAnsi="Candara" w:cs="Calibri"/>
        </w:rPr>
        <w:t>ACRs</w:t>
      </w:r>
      <w:r w:rsidR="00EF748B">
        <w:rPr>
          <w:rFonts w:ascii="Candara" w:hAnsi="Candara" w:cs="Calibri"/>
        </w:rPr>
        <w:t xml:space="preserve"> </w:t>
      </w:r>
      <w:r w:rsidR="00EF748B" w:rsidRPr="00FE609E">
        <w:rPr>
          <w:rFonts w:ascii="Candara" w:hAnsi="Candara" w:cs="Calibri"/>
        </w:rPr>
        <w:t>on days of heightened bushfire risk.</w:t>
      </w:r>
      <w:r w:rsidR="00EF748B">
        <w:rPr>
          <w:rFonts w:ascii="Candara" w:hAnsi="Candara" w:cs="Calibri"/>
        </w:rPr>
        <w:t xml:space="preserve"> </w:t>
      </w:r>
      <w:r w:rsidR="00EF748B">
        <w:rPr>
          <w:rFonts w:ascii="Candara" w:hAnsi="Candara"/>
        </w:rPr>
        <w:t xml:space="preserve">The businesses </w:t>
      </w:r>
      <w:r w:rsidR="00083F52">
        <w:rPr>
          <w:rFonts w:ascii="Candara" w:hAnsi="Candara"/>
        </w:rPr>
        <w:t>are</w:t>
      </w:r>
      <w:r w:rsidR="00EF748B">
        <w:rPr>
          <w:rFonts w:ascii="Candara" w:hAnsi="Candara"/>
        </w:rPr>
        <w:t xml:space="preserve"> also mindful of the </w:t>
      </w:r>
      <w:r w:rsidR="00EF748B">
        <w:rPr>
          <w:rFonts w:ascii="Candara" w:hAnsi="Candara"/>
        </w:rPr>
        <w:lastRenderedPageBreak/>
        <w:t xml:space="preserve">welfare of customers and act in accordance with the </w:t>
      </w:r>
      <w:r w:rsidR="00EF748B" w:rsidRPr="00B53592">
        <w:rPr>
          <w:rFonts w:ascii="Candara" w:hAnsi="Candara"/>
          <w:i/>
        </w:rPr>
        <w:t>Electricity Distribution Code</w:t>
      </w:r>
      <w:r w:rsidR="00EF748B">
        <w:rPr>
          <w:rFonts w:ascii="Candara" w:hAnsi="Candara"/>
        </w:rPr>
        <w:t xml:space="preserve"> and other relevant regulatory obligations.</w:t>
      </w:r>
    </w:p>
    <w:p w14:paraId="306457D3" w14:textId="1AFAA5CD" w:rsidR="00DB6DF4" w:rsidRPr="00D43E27" w:rsidRDefault="00DB6DF4" w:rsidP="00E6727A">
      <w:pPr>
        <w:autoSpaceDE w:val="0"/>
        <w:autoSpaceDN w:val="0"/>
        <w:adjustRightInd w:val="0"/>
        <w:spacing w:before="120" w:after="80"/>
        <w:rPr>
          <w:rFonts w:ascii="Candara" w:hAnsi="Candara" w:cs="Calibri"/>
        </w:rPr>
      </w:pPr>
      <w:r>
        <w:rPr>
          <w:rFonts w:ascii="Candara" w:hAnsi="Candara" w:cs="Calibri"/>
        </w:rPr>
        <w:t>The presence of redundancy systems</w:t>
      </w:r>
      <w:r w:rsidR="00EC2443">
        <w:rPr>
          <w:rFonts w:ascii="Candara" w:hAnsi="Candara" w:cs="Calibri"/>
        </w:rPr>
        <w:t xml:space="preserve"> and smart grid technologies</w:t>
      </w:r>
      <w:r>
        <w:rPr>
          <w:rFonts w:ascii="Candara" w:hAnsi="Candara" w:cs="Calibri"/>
        </w:rPr>
        <w:t xml:space="preserve"> on the network to maintain supply, such as Distribut</w:t>
      </w:r>
      <w:r w:rsidR="00F063D2">
        <w:rPr>
          <w:rFonts w:ascii="Candara" w:hAnsi="Candara" w:cs="Calibri"/>
        </w:rPr>
        <w:t xml:space="preserve">ion </w:t>
      </w:r>
      <w:r>
        <w:rPr>
          <w:rFonts w:ascii="Candara" w:hAnsi="Candara" w:cs="Calibri"/>
        </w:rPr>
        <w:t>Feeder Automation,</w:t>
      </w:r>
      <w:r w:rsidR="00EC2443">
        <w:rPr>
          <w:rFonts w:ascii="Candara" w:hAnsi="Candara" w:cs="Calibri"/>
        </w:rPr>
        <w:t xml:space="preserve"> together with the capability of REFCL technology to maintain supply to un-faulted feeders,</w:t>
      </w:r>
      <w:r>
        <w:rPr>
          <w:rFonts w:ascii="Candara" w:hAnsi="Candara" w:cs="Calibri"/>
        </w:rPr>
        <w:t xml:space="preserve"> is expected to </w:t>
      </w:r>
      <w:r w:rsidR="00083F52">
        <w:rPr>
          <w:rFonts w:ascii="Candara" w:hAnsi="Candara" w:cs="Calibri"/>
        </w:rPr>
        <w:t xml:space="preserve">further </w:t>
      </w:r>
      <w:r w:rsidR="00173760">
        <w:rPr>
          <w:rFonts w:ascii="Candara" w:hAnsi="Candara" w:cs="Calibri"/>
        </w:rPr>
        <w:t>m</w:t>
      </w:r>
      <w:r w:rsidR="0003655C">
        <w:rPr>
          <w:rFonts w:ascii="Candara" w:hAnsi="Candara" w:cs="Calibri"/>
        </w:rPr>
        <w:t>itigate</w:t>
      </w:r>
      <w:r w:rsidR="00173760">
        <w:rPr>
          <w:rFonts w:ascii="Candara" w:hAnsi="Candara" w:cs="Calibri"/>
        </w:rPr>
        <w:t xml:space="preserve"> the impact of</w:t>
      </w:r>
      <w:r w:rsidR="00EC2443">
        <w:rPr>
          <w:rFonts w:ascii="Candara" w:hAnsi="Candara" w:cs="Calibri"/>
        </w:rPr>
        <w:t xml:space="preserve"> </w:t>
      </w:r>
      <w:r>
        <w:rPr>
          <w:rFonts w:ascii="Candara" w:hAnsi="Candara" w:cs="Calibri"/>
        </w:rPr>
        <w:t>localised reliability</w:t>
      </w:r>
      <w:r w:rsidR="00173760">
        <w:rPr>
          <w:rFonts w:ascii="Candara" w:hAnsi="Candara" w:cs="Calibri"/>
        </w:rPr>
        <w:t xml:space="preserve"> issues</w:t>
      </w:r>
      <w:r w:rsidR="0003655C">
        <w:rPr>
          <w:rFonts w:ascii="Candara" w:hAnsi="Candara" w:cs="Calibri"/>
        </w:rPr>
        <w:t>,</w:t>
      </w:r>
      <w:r w:rsidR="00083F52">
        <w:rPr>
          <w:rFonts w:ascii="Candara" w:hAnsi="Candara" w:cs="Calibri"/>
        </w:rPr>
        <w:t xml:space="preserve"> as these technologies come online</w:t>
      </w:r>
      <w:r w:rsidR="0003655C">
        <w:rPr>
          <w:rFonts w:ascii="Candara" w:hAnsi="Candara" w:cs="Calibri"/>
        </w:rPr>
        <w:t xml:space="preserve"> and are matured</w:t>
      </w:r>
      <w:r>
        <w:rPr>
          <w:rFonts w:ascii="Candara" w:hAnsi="Candara" w:cs="Calibri"/>
        </w:rPr>
        <w:t>.</w:t>
      </w:r>
      <w:r w:rsidR="00EC2443">
        <w:rPr>
          <w:rFonts w:ascii="Candara" w:hAnsi="Candara" w:cs="Calibri"/>
        </w:rPr>
        <w:t xml:space="preserve"> </w:t>
      </w:r>
      <w:r>
        <w:rPr>
          <w:rFonts w:ascii="Candara" w:hAnsi="Candara" w:cs="Calibri"/>
        </w:rPr>
        <w:t xml:space="preserve">   </w:t>
      </w:r>
    </w:p>
    <w:p w14:paraId="02A97F0B" w14:textId="0B1E4C44" w:rsidR="00CA5042" w:rsidRDefault="00083F52" w:rsidP="00AD7F43">
      <w:pPr>
        <w:autoSpaceDE w:val="0"/>
        <w:autoSpaceDN w:val="0"/>
        <w:adjustRightInd w:val="0"/>
        <w:spacing w:before="120" w:after="80"/>
        <w:rPr>
          <w:rFonts w:ascii="Candara" w:hAnsi="Candara"/>
        </w:rPr>
      </w:pPr>
      <w:r>
        <w:rPr>
          <w:rFonts w:ascii="Candara" w:hAnsi="Candara"/>
        </w:rPr>
        <w:t>T</w:t>
      </w:r>
      <w:r w:rsidR="001468FB">
        <w:rPr>
          <w:rFonts w:ascii="Candara" w:hAnsi="Candara"/>
        </w:rPr>
        <w:t>he</w:t>
      </w:r>
      <w:r w:rsidR="00CA5042">
        <w:rPr>
          <w:rFonts w:ascii="Candara" w:hAnsi="Candara"/>
        </w:rPr>
        <w:t xml:space="preserve"> </w:t>
      </w:r>
      <w:r w:rsidR="00EF748B">
        <w:rPr>
          <w:rFonts w:ascii="Candara" w:hAnsi="Candara"/>
        </w:rPr>
        <w:t>base level</w:t>
      </w:r>
      <w:r w:rsidR="00CA5042">
        <w:rPr>
          <w:rFonts w:ascii="Candara" w:hAnsi="Candara"/>
        </w:rPr>
        <w:t xml:space="preserve"> penalty </w:t>
      </w:r>
      <w:r w:rsidR="00EF748B">
        <w:rPr>
          <w:rFonts w:ascii="Candara" w:hAnsi="Candara"/>
        </w:rPr>
        <w:t xml:space="preserve">rate of the new scheme </w:t>
      </w:r>
      <w:r w:rsidR="00CA5042">
        <w:rPr>
          <w:rFonts w:ascii="Candara" w:hAnsi="Candara"/>
        </w:rPr>
        <w:t>has</w:t>
      </w:r>
      <w:r w:rsidR="00EF748B">
        <w:rPr>
          <w:rFonts w:ascii="Candara" w:hAnsi="Candara"/>
        </w:rPr>
        <w:t xml:space="preserve"> nevertheless</w:t>
      </w:r>
      <w:r w:rsidR="00CA5042">
        <w:rPr>
          <w:rFonts w:ascii="Candara" w:hAnsi="Candara"/>
        </w:rPr>
        <w:t xml:space="preserve"> been set at a point </w:t>
      </w:r>
      <w:r w:rsidR="00FE609E">
        <w:rPr>
          <w:rFonts w:ascii="Candara" w:hAnsi="Candara"/>
        </w:rPr>
        <w:t xml:space="preserve">which </w:t>
      </w:r>
      <w:r w:rsidR="00CA5042">
        <w:rPr>
          <w:rFonts w:ascii="Candara" w:hAnsi="Candara"/>
        </w:rPr>
        <w:t>will not incentivise</w:t>
      </w:r>
      <w:r w:rsidR="0003655C">
        <w:rPr>
          <w:rFonts w:ascii="Candara" w:hAnsi="Candara"/>
        </w:rPr>
        <w:t xml:space="preserve"> delays in rectifying faults or reenergising lines</w:t>
      </w:r>
      <w:r w:rsidR="00F1764B">
        <w:rPr>
          <w:rFonts w:ascii="Candara" w:hAnsi="Candara"/>
        </w:rPr>
        <w:t xml:space="preserve">, </w:t>
      </w:r>
      <w:r w:rsidR="0003655C">
        <w:rPr>
          <w:rFonts w:ascii="Candara" w:hAnsi="Candara"/>
        </w:rPr>
        <w:t xml:space="preserve">and therefore </w:t>
      </w:r>
      <w:r w:rsidR="00F1764B">
        <w:rPr>
          <w:rFonts w:ascii="Candara" w:hAnsi="Candara"/>
        </w:rPr>
        <w:t>any</w:t>
      </w:r>
      <w:r w:rsidR="00CA5042">
        <w:rPr>
          <w:rFonts w:ascii="Candara" w:hAnsi="Candara"/>
        </w:rPr>
        <w:t xml:space="preserve"> dilution of safety and reliability benefits for the community.</w:t>
      </w:r>
      <w:r w:rsidR="00416B2C">
        <w:rPr>
          <w:rFonts w:ascii="Candara" w:hAnsi="Candara"/>
        </w:rPr>
        <w:t xml:space="preserve"> </w:t>
      </w:r>
    </w:p>
    <w:p w14:paraId="52E165FC" w14:textId="25417455" w:rsidR="00E6727A" w:rsidRPr="00084DFB" w:rsidRDefault="00C53166" w:rsidP="00084DFB">
      <w:pPr>
        <w:pStyle w:val="Heading2"/>
        <w:rPr>
          <w:sz w:val="22"/>
          <w:szCs w:val="22"/>
        </w:rPr>
      </w:pPr>
      <w:bookmarkStart w:id="37" w:name="_Toc458675191"/>
      <w:r>
        <w:rPr>
          <w:sz w:val="22"/>
          <w:szCs w:val="22"/>
        </w:rPr>
        <w:t>What is a Suitable Incentive R</w:t>
      </w:r>
      <w:r w:rsidR="00E6727A" w:rsidRPr="00084DFB">
        <w:rPr>
          <w:sz w:val="22"/>
          <w:szCs w:val="22"/>
        </w:rPr>
        <w:t>ate?</w:t>
      </w:r>
      <w:bookmarkEnd w:id="37"/>
    </w:p>
    <w:p w14:paraId="6A9031EE" w14:textId="79C6E40C" w:rsidR="007F5154" w:rsidRDefault="00CA5042" w:rsidP="00E6727A">
      <w:pPr>
        <w:autoSpaceDE w:val="0"/>
        <w:autoSpaceDN w:val="0"/>
        <w:adjustRightInd w:val="0"/>
        <w:spacing w:before="120" w:after="80"/>
        <w:rPr>
          <w:rFonts w:ascii="Candara" w:hAnsi="Candara" w:cs="Calibri"/>
        </w:rPr>
      </w:pPr>
      <w:r>
        <w:rPr>
          <w:rFonts w:ascii="Candara" w:hAnsi="Candara" w:cs="Calibri"/>
        </w:rPr>
        <w:t>The influence of the</w:t>
      </w:r>
      <w:r w:rsidR="00E6727A">
        <w:rPr>
          <w:rFonts w:ascii="Candara" w:hAnsi="Candara" w:cs="Calibri"/>
        </w:rPr>
        <w:t xml:space="preserve"> factors conside</w:t>
      </w:r>
      <w:r w:rsidR="001468FB">
        <w:rPr>
          <w:rFonts w:ascii="Candara" w:hAnsi="Candara" w:cs="Calibri"/>
        </w:rPr>
        <w:t>red above are summarised below:</w:t>
      </w:r>
    </w:p>
    <w:p w14:paraId="0ABD3455" w14:textId="5F1E0290" w:rsidR="0012018F" w:rsidRPr="0012018F" w:rsidRDefault="00936F1C" w:rsidP="00E6727A">
      <w:pPr>
        <w:autoSpaceDE w:val="0"/>
        <w:autoSpaceDN w:val="0"/>
        <w:adjustRightInd w:val="0"/>
        <w:spacing w:before="120" w:after="80"/>
        <w:rPr>
          <w:rFonts w:ascii="Candara" w:hAnsi="Candara" w:cs="Calibri"/>
          <w:sz w:val="21"/>
          <w:szCs w:val="21"/>
        </w:rPr>
      </w:pPr>
      <w:r>
        <w:rPr>
          <w:rStyle w:val="Heading6Char"/>
        </w:rPr>
        <w:t>Figure 4.6</w:t>
      </w:r>
      <w:r w:rsidR="0012018F">
        <w:rPr>
          <w:rStyle w:val="Heading6Char"/>
        </w:rPr>
        <w:t>: IRU incentive rate analysis input</w:t>
      </w:r>
    </w:p>
    <w:p w14:paraId="5485970D" w14:textId="7A8F302B" w:rsidR="00E6727A" w:rsidRDefault="007F5154" w:rsidP="00E6727A">
      <w:pPr>
        <w:rPr>
          <w:rFonts w:ascii="Candara" w:hAnsi="Candara"/>
        </w:rPr>
      </w:pPr>
      <w:r>
        <w:rPr>
          <w:rFonts w:ascii="Candara" w:hAnsi="Candara"/>
          <w:noProof/>
          <w:lang w:eastAsia="en-AU"/>
        </w:rPr>
        <w:drawing>
          <wp:inline distT="0" distB="0" distL="0" distR="0" wp14:anchorId="0F2D4F5B" wp14:editId="00EF20A7">
            <wp:extent cx="4908550" cy="148399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8550" cy="1483995"/>
                    </a:xfrm>
                    <a:prstGeom prst="rect">
                      <a:avLst/>
                    </a:prstGeom>
                    <a:noFill/>
                    <a:ln>
                      <a:noFill/>
                    </a:ln>
                  </pic:spPr>
                </pic:pic>
              </a:graphicData>
            </a:graphic>
          </wp:inline>
        </w:drawing>
      </w:r>
    </w:p>
    <w:p w14:paraId="164B3A57" w14:textId="0D05FF54" w:rsidR="008E65BA" w:rsidRPr="00C629A3" w:rsidRDefault="00E6727A" w:rsidP="00E6727A">
      <w:pPr>
        <w:rPr>
          <w:rFonts w:ascii="Candara" w:hAnsi="Candara"/>
        </w:rPr>
      </w:pPr>
      <w:r>
        <w:rPr>
          <w:rFonts w:ascii="Candara" w:hAnsi="Candara"/>
        </w:rPr>
        <w:t xml:space="preserve">Consequently, it is proposed that the </w:t>
      </w:r>
      <w:r w:rsidR="00E032EB">
        <w:rPr>
          <w:rFonts w:ascii="Candara" w:hAnsi="Candara"/>
        </w:rPr>
        <w:t>IRU incentive r</w:t>
      </w:r>
      <w:r>
        <w:rPr>
          <w:rFonts w:ascii="Candara" w:hAnsi="Candara"/>
        </w:rPr>
        <w:t>ate for the proposed sc</w:t>
      </w:r>
      <w:r w:rsidR="00D835FD">
        <w:rPr>
          <w:rFonts w:ascii="Candara" w:hAnsi="Candara"/>
        </w:rPr>
        <w:t>heme be set at $15,000 per IRU.</w:t>
      </w:r>
      <w:r w:rsidR="00DA1B3D">
        <w:rPr>
          <w:rFonts w:ascii="Candara" w:hAnsi="Candara"/>
        </w:rPr>
        <w:t xml:space="preserve"> At this level the annual cost to consumers in a “cool” year would be small</w:t>
      </w:r>
      <w:r w:rsidR="00750667">
        <w:rPr>
          <w:rFonts w:ascii="Candara" w:hAnsi="Candara"/>
        </w:rPr>
        <w:t xml:space="preserve"> and is estimated to be $2.64 in the case of Powercor. Further details are in </w:t>
      </w:r>
      <w:r w:rsidR="00750667" w:rsidRPr="00750667">
        <w:rPr>
          <w:rFonts w:ascii="Candara" w:hAnsi="Candara"/>
          <w:b/>
        </w:rPr>
        <w:t>Appendix 4</w:t>
      </w:r>
      <w:r w:rsidR="00750667">
        <w:rPr>
          <w:rFonts w:ascii="Candara" w:hAnsi="Candara"/>
        </w:rPr>
        <w:t>.</w:t>
      </w:r>
      <w:r w:rsidR="001C7055">
        <w:rPr>
          <w:rFonts w:ascii="Candara" w:hAnsi="Candara"/>
        </w:rPr>
        <w:t xml:space="preserve"> </w:t>
      </w:r>
    </w:p>
    <w:p w14:paraId="67D65EA9" w14:textId="669990A9" w:rsidR="008C512C" w:rsidRPr="00084DFB" w:rsidRDefault="008C512C" w:rsidP="00084DFB">
      <w:pPr>
        <w:pStyle w:val="Heading2"/>
        <w:rPr>
          <w:sz w:val="22"/>
          <w:szCs w:val="22"/>
        </w:rPr>
      </w:pPr>
      <w:bookmarkStart w:id="38" w:name="_Toc442254612"/>
      <w:bookmarkStart w:id="39" w:name="_Toc458675192"/>
      <w:r w:rsidRPr="00084DFB">
        <w:rPr>
          <w:sz w:val="22"/>
          <w:szCs w:val="22"/>
        </w:rPr>
        <w:t>Conclusion</w:t>
      </w:r>
      <w:bookmarkEnd w:id="38"/>
      <w:bookmarkEnd w:id="39"/>
    </w:p>
    <w:p w14:paraId="25FA5A5B" w14:textId="488FAD6B" w:rsidR="008C512C" w:rsidRDefault="008C512C" w:rsidP="00DB2007">
      <w:pPr>
        <w:autoSpaceDE w:val="0"/>
        <w:autoSpaceDN w:val="0"/>
        <w:adjustRightInd w:val="0"/>
        <w:spacing w:before="120" w:after="80"/>
        <w:rPr>
          <w:rFonts w:ascii="Candara" w:hAnsi="Candara" w:cs="Calibri"/>
        </w:rPr>
      </w:pPr>
      <w:r w:rsidRPr="0099091D">
        <w:rPr>
          <w:rFonts w:ascii="Candara" w:hAnsi="Candara" w:cs="Calibri"/>
        </w:rPr>
        <w:t>The characteristics of a symmetric incentive scheme using a weighted performance measure are well matched</w:t>
      </w:r>
      <w:r w:rsidR="0099091D">
        <w:rPr>
          <w:rFonts w:ascii="Candara" w:hAnsi="Candara" w:cs="Calibri"/>
        </w:rPr>
        <w:t xml:space="preserve"> to the objectives outlined in s</w:t>
      </w:r>
      <w:r w:rsidRPr="0099091D">
        <w:rPr>
          <w:rFonts w:ascii="Candara" w:hAnsi="Candara" w:cs="Calibri"/>
        </w:rPr>
        <w:t xml:space="preserve">ection </w:t>
      </w:r>
      <w:r w:rsidR="00DD7845" w:rsidRPr="0099091D">
        <w:rPr>
          <w:rFonts w:ascii="Candara" w:hAnsi="Candara" w:cs="Calibri"/>
        </w:rPr>
        <w:t>2</w:t>
      </w:r>
      <w:r w:rsidRPr="0099091D">
        <w:rPr>
          <w:rFonts w:ascii="Candara" w:hAnsi="Candara" w:cs="Calibri"/>
        </w:rPr>
        <w:t xml:space="preserve">. In particular the scheme should be cost neutral over time yet focus existing and planned resources on those fire starts of </w:t>
      </w:r>
      <w:r w:rsidR="00DB2007">
        <w:rPr>
          <w:rFonts w:ascii="Candara" w:hAnsi="Candara" w:cs="Calibri"/>
        </w:rPr>
        <w:t>greatest</w:t>
      </w:r>
      <w:r w:rsidRPr="0099091D">
        <w:rPr>
          <w:rFonts w:ascii="Candara" w:hAnsi="Candara" w:cs="Calibri"/>
        </w:rPr>
        <w:t xml:space="preserve"> risk to the community.</w:t>
      </w:r>
      <w:r w:rsidR="004E4268">
        <w:rPr>
          <w:rFonts w:ascii="Candara" w:hAnsi="Candara" w:cs="Calibri"/>
        </w:rPr>
        <w:t xml:space="preserve"> </w:t>
      </w:r>
    </w:p>
    <w:p w14:paraId="390662F4" w14:textId="147E3558" w:rsidR="00DB2007" w:rsidRPr="0099091D" w:rsidRDefault="00DB2007" w:rsidP="008C512C">
      <w:pPr>
        <w:autoSpaceDE w:val="0"/>
        <w:autoSpaceDN w:val="0"/>
        <w:adjustRightInd w:val="0"/>
        <w:spacing w:before="120" w:after="80"/>
        <w:rPr>
          <w:rFonts w:ascii="Candara" w:hAnsi="Candara" w:cs="Calibri"/>
        </w:rPr>
      </w:pPr>
      <w:r w:rsidRPr="00DB2007">
        <w:rPr>
          <w:rFonts w:ascii="Candara" w:hAnsi="Candara" w:cs="Calibri"/>
        </w:rPr>
        <w:t xml:space="preserve">This preferred option places a different value on each fire according to the risk associated with the time and location of the ignition. Annual ignition performance for each distribution business will be assessed against an historical benchmark, that is decremented at set intervals to capture the benefit of enhanced network safety devices. The scheme, as proposed, functions to balance  the financial risk to businesses and consumers with the need to address community concerns with bushfire safety. </w:t>
      </w:r>
    </w:p>
    <w:p w14:paraId="28B87E99" w14:textId="77777777" w:rsidR="00A16723" w:rsidRPr="00C629A3" w:rsidRDefault="00A16723" w:rsidP="009F5994">
      <w:pPr>
        <w:pStyle w:val="Heading1"/>
        <w:rPr>
          <w:sz w:val="22"/>
          <w:szCs w:val="22"/>
        </w:rPr>
      </w:pPr>
      <w:bookmarkStart w:id="40" w:name="_Toc458675193"/>
      <w:r w:rsidRPr="00C629A3">
        <w:rPr>
          <w:sz w:val="22"/>
          <w:szCs w:val="22"/>
        </w:rPr>
        <w:lastRenderedPageBreak/>
        <w:t>Cost Benefit Analysis</w:t>
      </w:r>
      <w:bookmarkEnd w:id="40"/>
    </w:p>
    <w:p w14:paraId="7886EB0F" w14:textId="5A89DC9F" w:rsidR="00DB2007" w:rsidRDefault="00DB2007" w:rsidP="00DB2007">
      <w:pPr>
        <w:spacing w:before="120" w:after="80"/>
        <w:rPr>
          <w:rFonts w:ascii="Candara" w:hAnsi="Candara"/>
        </w:rPr>
      </w:pPr>
      <w:r w:rsidRPr="00DB2007">
        <w:rPr>
          <w:rFonts w:ascii="Candara" w:hAnsi="Candara" w:cs="Calibri"/>
        </w:rPr>
        <w:t>In the previous section a range of options were analysed and the parameters for the a</w:t>
      </w:r>
      <w:r w:rsidRPr="00DB2007">
        <w:rPr>
          <w:rFonts w:ascii="Candara" w:hAnsi="Candara"/>
        </w:rPr>
        <w:t xml:space="preserve"> preferred option were proposed. This section provides a financial analysis of the cost and benefit of introducing that preferred option against the base case of the current scheme. </w:t>
      </w:r>
    </w:p>
    <w:p w14:paraId="745F52BC" w14:textId="6AF48B18" w:rsidR="00A16723" w:rsidRPr="00C629A3" w:rsidRDefault="00A16723" w:rsidP="00A16723">
      <w:pPr>
        <w:rPr>
          <w:rFonts w:ascii="Candara" w:hAnsi="Candara"/>
        </w:rPr>
      </w:pPr>
      <w:r w:rsidRPr="00C629A3">
        <w:rPr>
          <w:rFonts w:ascii="Candara" w:hAnsi="Candara"/>
        </w:rPr>
        <w:t>It is possible to estimate the cost of introducing the proposed scheme</w:t>
      </w:r>
      <w:r w:rsidR="000C3661">
        <w:rPr>
          <w:rFonts w:ascii="Candara" w:hAnsi="Candara"/>
        </w:rPr>
        <w:t>. T</w:t>
      </w:r>
      <w:r w:rsidRPr="00C629A3">
        <w:rPr>
          <w:rFonts w:ascii="Candara" w:hAnsi="Candara"/>
        </w:rPr>
        <w:t>he benefit</w:t>
      </w:r>
      <w:r w:rsidR="000C3661">
        <w:rPr>
          <w:rFonts w:ascii="Candara" w:hAnsi="Candara"/>
        </w:rPr>
        <w:t xml:space="preserve"> </w:t>
      </w:r>
      <w:r w:rsidR="0008336C">
        <w:rPr>
          <w:rFonts w:ascii="Candara" w:hAnsi="Candara"/>
        </w:rPr>
        <w:t>–</w:t>
      </w:r>
      <w:r w:rsidRPr="00C629A3">
        <w:rPr>
          <w:rFonts w:ascii="Candara" w:hAnsi="Candara"/>
        </w:rPr>
        <w:t xml:space="preserve"> avoidance of major and catastrophic bushfires</w:t>
      </w:r>
      <w:r w:rsidR="000C3661">
        <w:rPr>
          <w:rFonts w:ascii="Candara" w:hAnsi="Candara"/>
        </w:rPr>
        <w:t xml:space="preserve"> </w:t>
      </w:r>
      <w:r w:rsidR="0008336C">
        <w:rPr>
          <w:rFonts w:ascii="Candara" w:hAnsi="Candara"/>
        </w:rPr>
        <w:t>–</w:t>
      </w:r>
      <w:r w:rsidRPr="00C629A3">
        <w:rPr>
          <w:rFonts w:ascii="Candara" w:hAnsi="Candara"/>
        </w:rPr>
        <w:t xml:space="preserve"> is more difficult to quantify given</w:t>
      </w:r>
      <w:r w:rsidR="000C3661">
        <w:rPr>
          <w:rFonts w:ascii="Candara" w:hAnsi="Candara"/>
        </w:rPr>
        <w:t xml:space="preserve"> that</w:t>
      </w:r>
      <w:r w:rsidRPr="00C629A3">
        <w:rPr>
          <w:rFonts w:ascii="Candara" w:hAnsi="Candara"/>
        </w:rPr>
        <w:t>:</w:t>
      </w:r>
    </w:p>
    <w:p w14:paraId="07F5E7AB" w14:textId="77777777" w:rsidR="00D81F5E" w:rsidRPr="00D81F5E" w:rsidRDefault="00F82627" w:rsidP="00345278">
      <w:pPr>
        <w:pStyle w:val="ListParagraph"/>
        <w:numPr>
          <w:ilvl w:val="0"/>
          <w:numId w:val="15"/>
        </w:numPr>
        <w:spacing w:after="0"/>
        <w:ind w:left="714" w:hanging="357"/>
        <w:rPr>
          <w:rFonts w:ascii="Candara" w:hAnsi="Candara"/>
        </w:rPr>
      </w:pPr>
      <w:r>
        <w:rPr>
          <w:rFonts w:ascii="Candara" w:hAnsi="Candara"/>
        </w:rPr>
        <w:t>i</w:t>
      </w:r>
      <w:r w:rsidR="00D81F5E" w:rsidRPr="00D81F5E">
        <w:rPr>
          <w:rFonts w:ascii="Candara" w:hAnsi="Candara"/>
        </w:rPr>
        <w:t>t is not possible to estimate the level of bushfire risk reduction resulting from distribution business operation</w:t>
      </w:r>
      <w:r w:rsidR="00D81F5E">
        <w:rPr>
          <w:rFonts w:ascii="Candara" w:hAnsi="Candara"/>
        </w:rPr>
        <w:t xml:space="preserve">al </w:t>
      </w:r>
      <w:r w:rsidR="00D81F5E" w:rsidRPr="00D81F5E">
        <w:rPr>
          <w:rFonts w:ascii="Candara" w:hAnsi="Candara"/>
        </w:rPr>
        <w:t>chan</w:t>
      </w:r>
      <w:r>
        <w:rPr>
          <w:rFonts w:ascii="Candara" w:hAnsi="Candara"/>
        </w:rPr>
        <w:t>ges due to the incentive scheme; and</w:t>
      </w:r>
    </w:p>
    <w:p w14:paraId="7FC537DA" w14:textId="77777777" w:rsidR="00A16723" w:rsidRPr="00C629A3" w:rsidRDefault="00F82627" w:rsidP="00700509">
      <w:pPr>
        <w:numPr>
          <w:ilvl w:val="0"/>
          <w:numId w:val="15"/>
        </w:numPr>
        <w:spacing w:after="120"/>
        <w:ind w:left="714" w:hanging="357"/>
        <w:rPr>
          <w:rFonts w:ascii="Candara" w:hAnsi="Candara"/>
        </w:rPr>
      </w:pPr>
      <w:r>
        <w:rPr>
          <w:rFonts w:ascii="Candara" w:hAnsi="Candara"/>
        </w:rPr>
        <w:t>t</w:t>
      </w:r>
      <w:r w:rsidR="00A16723" w:rsidRPr="00C629A3">
        <w:rPr>
          <w:rFonts w:ascii="Candara" w:hAnsi="Candara"/>
        </w:rPr>
        <w:t>he avoided cost of bushfires is difficu</w:t>
      </w:r>
      <w:r w:rsidR="007458A9">
        <w:rPr>
          <w:rFonts w:ascii="Candara" w:hAnsi="Candara"/>
        </w:rPr>
        <w:t>lt to estimate on an annual basi</w:t>
      </w:r>
      <w:r w:rsidR="00A16723" w:rsidRPr="00C629A3">
        <w:rPr>
          <w:rFonts w:ascii="Candara" w:hAnsi="Candara"/>
        </w:rPr>
        <w:t>s due to the variability in intensity and timing of bushfires.</w:t>
      </w:r>
    </w:p>
    <w:p w14:paraId="334F6DD8" w14:textId="5AAF7A73" w:rsidR="00A16723" w:rsidRPr="00C629A3" w:rsidRDefault="00A16723" w:rsidP="00A16723">
      <w:pPr>
        <w:rPr>
          <w:rFonts w:ascii="Candara" w:hAnsi="Candara"/>
        </w:rPr>
      </w:pPr>
      <w:r w:rsidRPr="00C629A3">
        <w:rPr>
          <w:rFonts w:ascii="Candara" w:hAnsi="Candara"/>
        </w:rPr>
        <w:t>For this reason, this cost benefit analysis utilise</w:t>
      </w:r>
      <w:r w:rsidR="000C3661">
        <w:rPr>
          <w:rFonts w:ascii="Candara" w:hAnsi="Candara"/>
        </w:rPr>
        <w:t>s</w:t>
      </w:r>
      <w:r w:rsidRPr="00C629A3">
        <w:rPr>
          <w:rFonts w:ascii="Candara" w:hAnsi="Candara"/>
        </w:rPr>
        <w:t xml:space="preserve"> a break-even approach.</w:t>
      </w:r>
      <w:r w:rsidR="004E4268">
        <w:rPr>
          <w:rFonts w:ascii="Candara" w:hAnsi="Candara"/>
        </w:rPr>
        <w:t xml:space="preserve"> </w:t>
      </w:r>
    </w:p>
    <w:p w14:paraId="0935CA58" w14:textId="77777777" w:rsidR="00A16723" w:rsidRPr="00C629A3" w:rsidRDefault="00A16723" w:rsidP="009F5994">
      <w:pPr>
        <w:pStyle w:val="Heading2"/>
        <w:rPr>
          <w:sz w:val="22"/>
          <w:szCs w:val="22"/>
        </w:rPr>
      </w:pPr>
      <w:bookmarkStart w:id="41" w:name="_Toc458675194"/>
      <w:r w:rsidRPr="00C629A3">
        <w:rPr>
          <w:sz w:val="22"/>
          <w:szCs w:val="22"/>
        </w:rPr>
        <w:t>Costs</w:t>
      </w:r>
      <w:bookmarkEnd w:id="41"/>
    </w:p>
    <w:p w14:paraId="11A9F597" w14:textId="77777777" w:rsidR="008A0007" w:rsidRPr="008A0007" w:rsidRDefault="008A0007" w:rsidP="008A0007">
      <w:pPr>
        <w:rPr>
          <w:rFonts w:ascii="Candara" w:hAnsi="Candara"/>
        </w:rPr>
      </w:pPr>
      <w:r w:rsidRPr="008A0007">
        <w:rPr>
          <w:rFonts w:ascii="Candara" w:hAnsi="Candara"/>
        </w:rPr>
        <w:t xml:space="preserve">There are both administrative and compliance costs associated with the introduction of the revised f-factor. Administrative costs are expected to be similar to the current scheme: </w:t>
      </w:r>
    </w:p>
    <w:p w14:paraId="27140B8A" w14:textId="40E3A655" w:rsidR="008A0B56" w:rsidRPr="008A0007" w:rsidRDefault="008A0B56" w:rsidP="008A0B56">
      <w:pPr>
        <w:numPr>
          <w:ilvl w:val="0"/>
          <w:numId w:val="12"/>
        </w:numPr>
        <w:contextualSpacing/>
        <w:rPr>
          <w:rFonts w:ascii="Candara" w:hAnsi="Candara"/>
        </w:rPr>
      </w:pPr>
      <w:r w:rsidRPr="008A0007">
        <w:rPr>
          <w:rFonts w:ascii="Candara" w:hAnsi="Candara"/>
        </w:rPr>
        <w:t xml:space="preserve">Reporting of the ignitions data in a form suitable for f-factor </w:t>
      </w:r>
      <w:r w:rsidR="001A7A1D">
        <w:rPr>
          <w:rFonts w:ascii="Candara" w:hAnsi="Candara"/>
        </w:rPr>
        <w:t>validation</w:t>
      </w:r>
      <w:r w:rsidRPr="008A0007">
        <w:rPr>
          <w:rFonts w:ascii="Candara" w:hAnsi="Candara"/>
        </w:rPr>
        <w:t xml:space="preserve"> is expected to be a marginal additional cost to the business. Ignitions latitude, longitude and nearest pole reporting may impose additional administrative costs on businesses. These are expected to be modest as they should overlay on existing data collection capabilities, estimated at no more th</w:t>
      </w:r>
      <w:r>
        <w:rPr>
          <w:rFonts w:ascii="Candara" w:hAnsi="Candara"/>
        </w:rPr>
        <w:t>an 0.1 FTE, around $10,000 pa.</w:t>
      </w:r>
      <w:r w:rsidRPr="008A0007">
        <w:rPr>
          <w:rFonts w:ascii="Candara" w:hAnsi="Candara"/>
        </w:rPr>
        <w:t xml:space="preserve"> </w:t>
      </w:r>
      <w:r>
        <w:rPr>
          <w:rFonts w:ascii="Candara" w:hAnsi="Candara"/>
        </w:rPr>
        <w:t xml:space="preserve">IRU calculation is expected to impose no additional cost as this may reasonably be expected to be undertaken as part of the </w:t>
      </w:r>
      <w:r w:rsidR="001A7A1D">
        <w:rPr>
          <w:rFonts w:ascii="Candara" w:hAnsi="Candara"/>
        </w:rPr>
        <w:t>validation</w:t>
      </w:r>
      <w:r>
        <w:rPr>
          <w:rFonts w:ascii="Candara" w:hAnsi="Candara"/>
        </w:rPr>
        <w:t xml:space="preserve"> process.</w:t>
      </w:r>
    </w:p>
    <w:p w14:paraId="403F49B8" w14:textId="1DF3B4F8" w:rsidR="008A0007" w:rsidRPr="008A0007" w:rsidRDefault="008A0007" w:rsidP="008A0007">
      <w:pPr>
        <w:numPr>
          <w:ilvl w:val="0"/>
          <w:numId w:val="12"/>
        </w:numPr>
        <w:contextualSpacing/>
        <w:rPr>
          <w:rFonts w:ascii="Candara" w:hAnsi="Candara"/>
        </w:rPr>
      </w:pPr>
      <w:r w:rsidRPr="008A0007">
        <w:rPr>
          <w:rFonts w:ascii="Candara" w:hAnsi="Candara"/>
        </w:rPr>
        <w:t>As all information for the n</w:t>
      </w:r>
      <w:r w:rsidR="00DA0714">
        <w:rPr>
          <w:rFonts w:ascii="Candara" w:hAnsi="Candara"/>
        </w:rPr>
        <w:t xml:space="preserve">ew scheme is already collected </w:t>
      </w:r>
      <w:r w:rsidRPr="008A0007">
        <w:rPr>
          <w:rFonts w:ascii="Candara" w:hAnsi="Candara"/>
        </w:rPr>
        <w:t xml:space="preserve">there is no incremental cost. ESV will bear the cost of undertaking an annual </w:t>
      </w:r>
      <w:r w:rsidR="001A7A1D">
        <w:rPr>
          <w:rFonts w:ascii="Candara" w:hAnsi="Candara"/>
        </w:rPr>
        <w:t xml:space="preserve">validation </w:t>
      </w:r>
      <w:r w:rsidRPr="008A0007">
        <w:rPr>
          <w:rFonts w:ascii="Candara" w:hAnsi="Candara"/>
        </w:rPr>
        <w:t xml:space="preserve">of ignitions data and of issuing and responding to any draft outcome report on ignitions data it may issue before sending the IRU performance outcome to the </w:t>
      </w:r>
      <w:r w:rsidR="00B060AF">
        <w:rPr>
          <w:rFonts w:ascii="Candara" w:hAnsi="Candara"/>
        </w:rPr>
        <w:t>AER</w:t>
      </w:r>
      <w:r w:rsidRPr="008A0007">
        <w:rPr>
          <w:rFonts w:ascii="Candara" w:hAnsi="Candara"/>
        </w:rPr>
        <w:t xml:space="preserve">.  This analysis and </w:t>
      </w:r>
      <w:r w:rsidR="001A7A1D">
        <w:rPr>
          <w:rFonts w:ascii="Candara" w:hAnsi="Candara"/>
        </w:rPr>
        <w:t xml:space="preserve">validation </w:t>
      </w:r>
      <w:r w:rsidRPr="008A0007">
        <w:rPr>
          <w:rFonts w:ascii="Candara" w:hAnsi="Candara"/>
        </w:rPr>
        <w:t>builds on existing ESV activities and is estimated to be no more than 0.25 FTE, around $25,000.</w:t>
      </w:r>
      <w:r w:rsidR="008A0B56">
        <w:rPr>
          <w:rFonts w:ascii="Candara" w:hAnsi="Candara"/>
        </w:rPr>
        <w:t xml:space="preserve"> </w:t>
      </w:r>
    </w:p>
    <w:p w14:paraId="18573090" w14:textId="77777777" w:rsidR="008A0007" w:rsidRPr="008A0007" w:rsidRDefault="008A0007" w:rsidP="00700509">
      <w:pPr>
        <w:numPr>
          <w:ilvl w:val="0"/>
          <w:numId w:val="12"/>
        </w:numPr>
        <w:ind w:left="714" w:hanging="357"/>
        <w:rPr>
          <w:rFonts w:ascii="Candara" w:hAnsi="Candara"/>
        </w:rPr>
      </w:pPr>
      <w:r w:rsidRPr="008A0007">
        <w:rPr>
          <w:rFonts w:ascii="Candara" w:hAnsi="Candara"/>
        </w:rPr>
        <w:t xml:space="preserve">The AER is required to make an annual f-factor input into its Electricity Distribution Pricing Review (EDPR) process in a similar manner as under the current scheme.  </w:t>
      </w:r>
    </w:p>
    <w:p w14:paraId="591BC5E6" w14:textId="77777777" w:rsidR="008A0007" w:rsidRPr="008A0007" w:rsidRDefault="008A0007" w:rsidP="008A0007">
      <w:pPr>
        <w:rPr>
          <w:rFonts w:ascii="Candara" w:hAnsi="Candara"/>
        </w:rPr>
      </w:pPr>
      <w:r w:rsidRPr="008A0007">
        <w:rPr>
          <w:rFonts w:ascii="Candara" w:hAnsi="Candara"/>
        </w:rPr>
        <w:t xml:space="preserve">Compliance costs must be estimated considering the nature and purpose of the incentive scheme. A benchmark “symmetric” scheme implies that over the long term, if the distribution businesses’ operational methods and infrastructure remain the same, there should be no net benefit or cost to the businesses. </w:t>
      </w:r>
    </w:p>
    <w:p w14:paraId="1983DE33" w14:textId="77777777" w:rsidR="008A0007" w:rsidRPr="008A0007" w:rsidRDefault="008A0007" w:rsidP="008A0007">
      <w:pPr>
        <w:rPr>
          <w:rFonts w:ascii="Candara" w:hAnsi="Candara"/>
        </w:rPr>
      </w:pPr>
      <w:r w:rsidRPr="008A0007">
        <w:rPr>
          <w:rFonts w:ascii="Candara" w:hAnsi="Candara"/>
        </w:rPr>
        <w:t xml:space="preserve">However, exposure to heightened incentives aligned to bushfire risk poses a significant short-term liability risk to distribution businesses if there is no improvement to current ignitions performance. A rational response for a prudent distribution business would be to take action and to expeditiously mitigate this risk.  Indeed there are many actions that the distribution businesses can take to reduce the risk and potential penalty of highly weighted ignitions: </w:t>
      </w:r>
    </w:p>
    <w:p w14:paraId="72F0159A" w14:textId="77777777" w:rsidR="008A0007" w:rsidRPr="008A0007" w:rsidRDefault="008A0007" w:rsidP="00700509">
      <w:pPr>
        <w:numPr>
          <w:ilvl w:val="0"/>
          <w:numId w:val="13"/>
        </w:numPr>
        <w:spacing w:after="0"/>
        <w:ind w:left="714" w:hanging="357"/>
        <w:rPr>
          <w:rFonts w:ascii="Candara" w:hAnsi="Candara"/>
        </w:rPr>
      </w:pPr>
      <w:r w:rsidRPr="008A0007">
        <w:rPr>
          <w:rFonts w:ascii="Candara" w:hAnsi="Candara"/>
        </w:rPr>
        <w:t>In extreme geographies, for example:</w:t>
      </w:r>
    </w:p>
    <w:p w14:paraId="7F79B54B" w14:textId="77777777" w:rsidR="008A0007" w:rsidRPr="008A0007" w:rsidRDefault="008A0007" w:rsidP="008A0007">
      <w:pPr>
        <w:numPr>
          <w:ilvl w:val="1"/>
          <w:numId w:val="13"/>
        </w:numPr>
        <w:spacing w:after="0"/>
        <w:ind w:left="1434" w:hanging="357"/>
        <w:rPr>
          <w:rFonts w:ascii="Candara" w:hAnsi="Candara"/>
        </w:rPr>
      </w:pPr>
      <w:r w:rsidRPr="008A0007">
        <w:rPr>
          <w:rFonts w:ascii="Candara" w:hAnsi="Candara"/>
        </w:rPr>
        <w:t>Ensure faults are cleared</w:t>
      </w:r>
    </w:p>
    <w:p w14:paraId="7B2D044A" w14:textId="77777777" w:rsidR="008A0007" w:rsidRPr="008A0007" w:rsidRDefault="008A0007" w:rsidP="008A0007">
      <w:pPr>
        <w:numPr>
          <w:ilvl w:val="1"/>
          <w:numId w:val="13"/>
        </w:numPr>
        <w:spacing w:after="0"/>
        <w:ind w:left="1434" w:hanging="357"/>
        <w:rPr>
          <w:rFonts w:ascii="Candara" w:hAnsi="Candara"/>
        </w:rPr>
      </w:pPr>
      <w:r w:rsidRPr="008A0007">
        <w:rPr>
          <w:rFonts w:ascii="Candara" w:hAnsi="Candara"/>
        </w:rPr>
        <w:lastRenderedPageBreak/>
        <w:t>Ensure vegetation clearance meets standards</w:t>
      </w:r>
    </w:p>
    <w:p w14:paraId="090A8971" w14:textId="77777777" w:rsidR="008A0007" w:rsidRPr="008A0007" w:rsidRDefault="008A0007" w:rsidP="008A0007">
      <w:pPr>
        <w:numPr>
          <w:ilvl w:val="1"/>
          <w:numId w:val="13"/>
        </w:numPr>
        <w:spacing w:after="0"/>
        <w:ind w:left="1434" w:hanging="357"/>
        <w:rPr>
          <w:rFonts w:ascii="Candara" w:hAnsi="Candara"/>
        </w:rPr>
      </w:pPr>
      <w:r w:rsidRPr="008A0007">
        <w:rPr>
          <w:rFonts w:ascii="Candara" w:hAnsi="Candara"/>
        </w:rPr>
        <w:t>Increase inspection frequencies</w:t>
      </w:r>
    </w:p>
    <w:p w14:paraId="74475F95" w14:textId="77777777" w:rsidR="008A0007" w:rsidRPr="008A0007" w:rsidRDefault="008A0007" w:rsidP="008A0007">
      <w:pPr>
        <w:numPr>
          <w:ilvl w:val="1"/>
          <w:numId w:val="13"/>
        </w:numPr>
        <w:spacing w:after="0"/>
        <w:ind w:left="1434" w:hanging="357"/>
        <w:rPr>
          <w:rFonts w:ascii="Candara" w:hAnsi="Candara"/>
        </w:rPr>
      </w:pPr>
      <w:r w:rsidRPr="008A0007">
        <w:rPr>
          <w:rFonts w:ascii="Candara" w:hAnsi="Candara"/>
        </w:rPr>
        <w:t>Ensure infrastructure (such as conductors/ fuses) are not end of life or obsolete</w:t>
      </w:r>
    </w:p>
    <w:p w14:paraId="712AC56C" w14:textId="6C7B2F52" w:rsidR="008A0007" w:rsidRPr="008A0007" w:rsidRDefault="008A0007" w:rsidP="008A0007">
      <w:pPr>
        <w:numPr>
          <w:ilvl w:val="1"/>
          <w:numId w:val="13"/>
        </w:numPr>
        <w:spacing w:after="0"/>
        <w:ind w:left="1434" w:hanging="357"/>
        <w:rPr>
          <w:rFonts w:ascii="Candara" w:hAnsi="Candara"/>
        </w:rPr>
      </w:pPr>
      <w:r w:rsidRPr="008A0007">
        <w:rPr>
          <w:rFonts w:ascii="Candara" w:hAnsi="Candara"/>
        </w:rPr>
        <w:t xml:space="preserve">Ensure </w:t>
      </w:r>
      <w:r w:rsidR="00DB2007">
        <w:rPr>
          <w:rFonts w:ascii="Candara" w:hAnsi="Candara"/>
        </w:rPr>
        <w:t>powerline replacement</w:t>
      </w:r>
      <w:r w:rsidRPr="008A0007">
        <w:rPr>
          <w:rFonts w:ascii="Candara" w:hAnsi="Candara"/>
        </w:rPr>
        <w:t xml:space="preserve"> works are completed to a timely manner</w:t>
      </w:r>
    </w:p>
    <w:p w14:paraId="2F1F83D2" w14:textId="77777777" w:rsidR="008A0007" w:rsidRPr="008A0007" w:rsidRDefault="008A0007" w:rsidP="00700509">
      <w:pPr>
        <w:numPr>
          <w:ilvl w:val="0"/>
          <w:numId w:val="13"/>
        </w:numPr>
        <w:spacing w:after="0"/>
        <w:ind w:left="714" w:hanging="357"/>
        <w:rPr>
          <w:rFonts w:ascii="Candara" w:hAnsi="Candara"/>
        </w:rPr>
      </w:pPr>
      <w:r w:rsidRPr="008A0007">
        <w:rPr>
          <w:rFonts w:ascii="Candara" w:hAnsi="Candara"/>
        </w:rPr>
        <w:t>On extreme and code red fire hazard rating days</w:t>
      </w:r>
    </w:p>
    <w:p w14:paraId="6710D7AB" w14:textId="77777777" w:rsidR="008A0007" w:rsidRPr="008A0007" w:rsidRDefault="008A0007" w:rsidP="008A0007">
      <w:pPr>
        <w:numPr>
          <w:ilvl w:val="1"/>
          <w:numId w:val="13"/>
        </w:numPr>
        <w:spacing w:after="0"/>
        <w:ind w:left="1434" w:hanging="357"/>
        <w:rPr>
          <w:rFonts w:ascii="Candara" w:hAnsi="Candara"/>
        </w:rPr>
      </w:pPr>
      <w:r w:rsidRPr="008A0007">
        <w:rPr>
          <w:rFonts w:ascii="Candara" w:hAnsi="Candara"/>
        </w:rPr>
        <w:t>Ensure protection devices (ACRs and REFCLs) are operational and set appropriately</w:t>
      </w:r>
    </w:p>
    <w:p w14:paraId="5B18A13E" w14:textId="77777777" w:rsidR="00C53166" w:rsidRPr="00C53166" w:rsidRDefault="00C53166" w:rsidP="008A0007">
      <w:pPr>
        <w:rPr>
          <w:rFonts w:ascii="Candara" w:hAnsi="Candara"/>
          <w:sz w:val="16"/>
          <w:szCs w:val="16"/>
        </w:rPr>
      </w:pPr>
    </w:p>
    <w:p w14:paraId="74C19442" w14:textId="77777777" w:rsidR="008A0007" w:rsidRPr="008A0007" w:rsidRDefault="008A0007" w:rsidP="008A0007">
      <w:pPr>
        <w:rPr>
          <w:rFonts w:ascii="Candara" w:hAnsi="Candara"/>
        </w:rPr>
      </w:pPr>
      <w:r w:rsidRPr="008A0007">
        <w:rPr>
          <w:rFonts w:ascii="Candara" w:hAnsi="Candara"/>
        </w:rPr>
        <w:t xml:space="preserve">However, it would not be rational for the distribution businesses to increase operational expenditure more than the expected  penalties. </w:t>
      </w:r>
    </w:p>
    <w:p w14:paraId="25749AA6" w14:textId="7F5DFA2F" w:rsidR="00931525" w:rsidRPr="001311C1" w:rsidRDefault="008A0007" w:rsidP="001311C1">
      <w:pPr>
        <w:rPr>
          <w:rFonts w:ascii="Candara" w:hAnsi="Candara"/>
        </w:rPr>
      </w:pPr>
      <w:r w:rsidRPr="001311C1">
        <w:rPr>
          <w:rFonts w:ascii="Candara" w:hAnsi="Candara"/>
        </w:rPr>
        <w:t>As discussed in the incentive rate section above , CSIRO  has prepared weather simulations representing 30,000 weather years for each of the distribution businesses. From this data it is possible to calculate the difference between an expected typical “hot” year IRU value and the mean and hence estimate the penalty the business is expected to incur in a “hot” year if operational performance with respect to ignitions was unchanged from that of 2012-14. For the distribution businesses combined penalties are estimated to total $3.1 million (at a pe</w:t>
      </w:r>
      <w:r w:rsidR="00931525" w:rsidRPr="001311C1">
        <w:rPr>
          <w:rFonts w:ascii="Candara" w:hAnsi="Candara"/>
        </w:rPr>
        <w:t>nalty rate of $15,000 per IRU).</w:t>
      </w:r>
      <w:r w:rsidR="004E4268" w:rsidRPr="001311C1">
        <w:rPr>
          <w:rFonts w:ascii="Candara" w:hAnsi="Candara"/>
        </w:rPr>
        <w:t xml:space="preserve"> </w:t>
      </w:r>
    </w:p>
    <w:p w14:paraId="4105498A" w14:textId="6912C99E" w:rsidR="00A16723" w:rsidRPr="00C629A3" w:rsidRDefault="00A16723" w:rsidP="00A16723">
      <w:pPr>
        <w:rPr>
          <w:rFonts w:ascii="Candara" w:hAnsi="Candara"/>
        </w:rPr>
      </w:pPr>
      <w:r w:rsidRPr="00C629A3">
        <w:rPr>
          <w:rFonts w:ascii="Candara" w:hAnsi="Candara"/>
        </w:rPr>
        <w:t>It follows that the rational compliance costs the distribution businesses would incur in total would not exceed this figure. To the extent that the proposed scheme does not incentivise operational change, then compliance costs would be proportionally smaller.</w:t>
      </w:r>
      <w:r w:rsidR="00EA7F40" w:rsidRPr="00C629A3">
        <w:rPr>
          <w:rFonts w:ascii="Candara" w:hAnsi="Candara"/>
        </w:rPr>
        <w:t xml:space="preserve"> </w:t>
      </w:r>
      <w:r w:rsidR="002A3DE1">
        <w:rPr>
          <w:rFonts w:ascii="Candara" w:hAnsi="Candara"/>
        </w:rPr>
        <w:t xml:space="preserve">Further explanation of the CSIRO analysis is provided in </w:t>
      </w:r>
      <w:r w:rsidR="00912830">
        <w:rPr>
          <w:rFonts w:ascii="Candara" w:hAnsi="Candara"/>
          <w:b/>
        </w:rPr>
        <w:t xml:space="preserve">Appendix </w:t>
      </w:r>
      <w:r w:rsidR="008E65BA">
        <w:rPr>
          <w:rFonts w:ascii="Candara" w:hAnsi="Candara"/>
          <w:b/>
        </w:rPr>
        <w:t>2</w:t>
      </w:r>
      <w:r w:rsidR="002A3DE1">
        <w:rPr>
          <w:rFonts w:ascii="Candara" w:hAnsi="Candara"/>
        </w:rPr>
        <w:t>.</w:t>
      </w:r>
    </w:p>
    <w:p w14:paraId="02E317C4" w14:textId="77777777" w:rsidR="00A16723" w:rsidRPr="00C629A3" w:rsidRDefault="00A16723" w:rsidP="009F5994">
      <w:pPr>
        <w:pStyle w:val="Heading2"/>
        <w:rPr>
          <w:sz w:val="22"/>
          <w:szCs w:val="22"/>
        </w:rPr>
      </w:pPr>
      <w:bookmarkStart w:id="42" w:name="_Toc458675195"/>
      <w:r w:rsidRPr="00C629A3">
        <w:rPr>
          <w:sz w:val="22"/>
          <w:szCs w:val="22"/>
        </w:rPr>
        <w:t>Benefits</w:t>
      </w:r>
      <w:bookmarkEnd w:id="42"/>
    </w:p>
    <w:p w14:paraId="5D136B81" w14:textId="59A99B16" w:rsidR="00A16723" w:rsidRPr="00C629A3" w:rsidRDefault="00A16723" w:rsidP="00A16723">
      <w:pPr>
        <w:rPr>
          <w:rFonts w:ascii="Candara" w:hAnsi="Candara"/>
        </w:rPr>
      </w:pPr>
      <w:r w:rsidRPr="00C629A3">
        <w:rPr>
          <w:rFonts w:ascii="Candara" w:hAnsi="Candara"/>
        </w:rPr>
        <w:t xml:space="preserve">The primary objective of the </w:t>
      </w:r>
      <w:r w:rsidR="00C45FEC" w:rsidRPr="00C629A3">
        <w:rPr>
          <w:rFonts w:ascii="Candara" w:hAnsi="Candara"/>
        </w:rPr>
        <w:t>f-factor</w:t>
      </w:r>
      <w:r w:rsidRPr="00C629A3">
        <w:rPr>
          <w:rFonts w:ascii="Candara" w:hAnsi="Candara"/>
        </w:rPr>
        <w:t xml:space="preserve"> is to reduce the bushfire threat to Victorian communities. By their very nature the cost of major bushfires varies greatly. The VBRC estimated the cost of the Black Saturday fires at $4.4 billion</w:t>
      </w:r>
      <w:r w:rsidRPr="00C629A3">
        <w:rPr>
          <w:rFonts w:ascii="Candara" w:hAnsi="Candara"/>
          <w:vertAlign w:val="superscript"/>
        </w:rPr>
        <w:footnoteReference w:id="29"/>
      </w:r>
      <w:r w:rsidRPr="00C629A3">
        <w:rPr>
          <w:rFonts w:ascii="Candara" w:hAnsi="Candara"/>
        </w:rPr>
        <w:t xml:space="preserve"> for the 15 individual fires examined, or $293 million (in 2009 AUD) per fire. The Ash Wednesday fires are estimate to have cost $1.3 billion (in 2009 AUD)</w:t>
      </w:r>
      <w:r w:rsidRPr="00C629A3">
        <w:rPr>
          <w:rFonts w:ascii="Candara" w:hAnsi="Candara"/>
          <w:vertAlign w:val="superscript"/>
        </w:rPr>
        <w:footnoteReference w:id="30"/>
      </w:r>
      <w:r w:rsidRPr="00C629A3">
        <w:rPr>
          <w:rFonts w:ascii="Candara" w:hAnsi="Candara"/>
        </w:rPr>
        <w:t xml:space="preserve"> or $163 million per individual fire. These figures provide a reasonable range which is consistent with other fires such as the Canberra fires of 2003 which are estimated to have caused financial losses of $350 million</w:t>
      </w:r>
      <w:r w:rsidRPr="00C629A3">
        <w:rPr>
          <w:rFonts w:ascii="Candara" w:hAnsi="Candara"/>
          <w:vertAlign w:val="superscript"/>
        </w:rPr>
        <w:footnoteReference w:id="31"/>
      </w:r>
      <w:r w:rsidRPr="00C629A3">
        <w:rPr>
          <w:rFonts w:ascii="Candara" w:hAnsi="Candara"/>
        </w:rPr>
        <w:t>.</w:t>
      </w:r>
      <w:r w:rsidR="004E4268">
        <w:rPr>
          <w:rFonts w:ascii="Candara" w:hAnsi="Candara"/>
        </w:rPr>
        <w:t xml:space="preserve"> </w:t>
      </w:r>
    </w:p>
    <w:p w14:paraId="494A72A3" w14:textId="4A5C800F" w:rsidR="00A16723" w:rsidRPr="00C629A3" w:rsidRDefault="00A16723" w:rsidP="00A16723">
      <w:pPr>
        <w:rPr>
          <w:rFonts w:ascii="Candara" w:hAnsi="Candara"/>
        </w:rPr>
      </w:pPr>
      <w:r w:rsidRPr="00C629A3">
        <w:rPr>
          <w:rFonts w:ascii="Candara" w:hAnsi="Candara"/>
        </w:rPr>
        <w:t>It is estimated that the cost of an individual major bushfire is in the range $163-293 million. The mid-point of$228 million will be used for the purposes of the break-even analysis.</w:t>
      </w:r>
      <w:r w:rsidR="004E4268">
        <w:rPr>
          <w:rFonts w:ascii="Candara" w:hAnsi="Candara"/>
        </w:rPr>
        <w:t xml:space="preserve"> </w:t>
      </w:r>
    </w:p>
    <w:p w14:paraId="481CA0CB" w14:textId="77777777" w:rsidR="00A16723" w:rsidRPr="00C629A3" w:rsidRDefault="00205981" w:rsidP="009F5994">
      <w:pPr>
        <w:pStyle w:val="Heading2"/>
        <w:rPr>
          <w:sz w:val="22"/>
          <w:szCs w:val="22"/>
        </w:rPr>
      </w:pPr>
      <w:bookmarkStart w:id="43" w:name="_Toc458675196"/>
      <w:r>
        <w:rPr>
          <w:sz w:val="22"/>
          <w:szCs w:val="22"/>
        </w:rPr>
        <w:t>Break-E</w:t>
      </w:r>
      <w:r w:rsidR="00A16723" w:rsidRPr="00C629A3">
        <w:rPr>
          <w:sz w:val="22"/>
          <w:szCs w:val="22"/>
        </w:rPr>
        <w:t>ven Analysis</w:t>
      </w:r>
      <w:bookmarkEnd w:id="43"/>
    </w:p>
    <w:p w14:paraId="57FF1CD0" w14:textId="77777777" w:rsidR="008A0007" w:rsidRPr="00C629A3" w:rsidRDefault="008A0007" w:rsidP="008A0007">
      <w:pPr>
        <w:rPr>
          <w:rFonts w:ascii="Candara" w:hAnsi="Candara"/>
        </w:rPr>
      </w:pPr>
      <w:r w:rsidRPr="00C629A3">
        <w:rPr>
          <w:rFonts w:ascii="Candara" w:hAnsi="Candara"/>
        </w:rPr>
        <w:t>Based on the estimated costs</w:t>
      </w:r>
      <w:r>
        <w:rPr>
          <w:rFonts w:ascii="Candara" w:hAnsi="Candara"/>
        </w:rPr>
        <w:t xml:space="preserve"> (penalties of $3.1 m in a “hot” year plus incremental administrative costs of $35,000) </w:t>
      </w:r>
      <w:r w:rsidRPr="00C629A3">
        <w:rPr>
          <w:rFonts w:ascii="Candara" w:hAnsi="Candara"/>
        </w:rPr>
        <w:t>and benefits</w:t>
      </w:r>
      <w:r>
        <w:rPr>
          <w:rFonts w:ascii="Candara" w:hAnsi="Candara"/>
        </w:rPr>
        <w:t xml:space="preserve"> (avoidance of an individual bushfire with cost of $228 m)  </w:t>
      </w:r>
      <w:r w:rsidRPr="00C629A3">
        <w:rPr>
          <w:rFonts w:ascii="Candara" w:hAnsi="Candara"/>
        </w:rPr>
        <w:t xml:space="preserve"> the revised f</w:t>
      </w:r>
      <w:r>
        <w:rPr>
          <w:rFonts w:ascii="Candara" w:hAnsi="Candara"/>
        </w:rPr>
        <w:t>-</w:t>
      </w:r>
      <w:r w:rsidRPr="00C629A3">
        <w:rPr>
          <w:rFonts w:ascii="Candara" w:hAnsi="Candara"/>
        </w:rPr>
        <w:t xml:space="preserve">factor would need to prevent a major bushfire at least once over </w:t>
      </w:r>
      <w:r>
        <w:rPr>
          <w:rFonts w:ascii="Candara" w:hAnsi="Candara"/>
        </w:rPr>
        <w:t>73</w:t>
      </w:r>
      <w:r w:rsidRPr="00C629A3">
        <w:rPr>
          <w:rFonts w:ascii="Candara" w:hAnsi="Candara"/>
        </w:rPr>
        <w:t xml:space="preserve"> years to break-even. The assessment of whether this is probable is dependent on:</w:t>
      </w:r>
    </w:p>
    <w:p w14:paraId="08D52499" w14:textId="77777777" w:rsidR="00A16723" w:rsidRPr="00C629A3" w:rsidRDefault="00A16723" w:rsidP="00345278">
      <w:pPr>
        <w:numPr>
          <w:ilvl w:val="0"/>
          <w:numId w:val="16"/>
        </w:numPr>
        <w:contextualSpacing/>
        <w:rPr>
          <w:rFonts w:ascii="Candara" w:hAnsi="Candara"/>
        </w:rPr>
      </w:pPr>
      <w:r w:rsidRPr="00C629A3">
        <w:rPr>
          <w:rFonts w:ascii="Candara" w:hAnsi="Candara"/>
        </w:rPr>
        <w:lastRenderedPageBreak/>
        <w:t>The incidence of powerline caused major bushfires; and</w:t>
      </w:r>
    </w:p>
    <w:p w14:paraId="73E9A4DF" w14:textId="0DBA97C1" w:rsidR="00A16723" w:rsidRPr="00C629A3" w:rsidRDefault="00A16723" w:rsidP="00345278">
      <w:pPr>
        <w:numPr>
          <w:ilvl w:val="0"/>
          <w:numId w:val="16"/>
        </w:numPr>
        <w:contextualSpacing/>
        <w:rPr>
          <w:rFonts w:ascii="Candara" w:hAnsi="Candara"/>
        </w:rPr>
      </w:pPr>
      <w:r w:rsidRPr="00C629A3">
        <w:rPr>
          <w:rFonts w:ascii="Candara" w:hAnsi="Candara"/>
        </w:rPr>
        <w:t>The potential impact on the operations of the distribution businesses of the proposed incentive scheme.</w:t>
      </w:r>
      <w:r w:rsidR="004E4268">
        <w:rPr>
          <w:rFonts w:ascii="Candara" w:hAnsi="Candara"/>
        </w:rPr>
        <w:t xml:space="preserve"> </w:t>
      </w:r>
    </w:p>
    <w:p w14:paraId="6566EE0E" w14:textId="52F24962" w:rsidR="00A16723" w:rsidRPr="00C629A3" w:rsidRDefault="00205981" w:rsidP="009F5994">
      <w:pPr>
        <w:pStyle w:val="Heading4"/>
        <w:rPr>
          <w:sz w:val="22"/>
          <w:szCs w:val="22"/>
        </w:rPr>
      </w:pPr>
      <w:r>
        <w:rPr>
          <w:sz w:val="22"/>
          <w:szCs w:val="22"/>
        </w:rPr>
        <w:t xml:space="preserve">Incidence </w:t>
      </w:r>
      <w:r w:rsidR="00F7310D">
        <w:rPr>
          <w:sz w:val="22"/>
          <w:szCs w:val="22"/>
        </w:rPr>
        <w:t>o</w:t>
      </w:r>
      <w:r>
        <w:rPr>
          <w:sz w:val="22"/>
          <w:szCs w:val="22"/>
        </w:rPr>
        <w:t xml:space="preserve">f Major Bushfires </w:t>
      </w:r>
      <w:r w:rsidR="00F7310D">
        <w:rPr>
          <w:sz w:val="22"/>
          <w:szCs w:val="22"/>
        </w:rPr>
        <w:t>C</w:t>
      </w:r>
      <w:r>
        <w:rPr>
          <w:sz w:val="22"/>
          <w:szCs w:val="22"/>
        </w:rPr>
        <w:t xml:space="preserve">aused </w:t>
      </w:r>
      <w:r w:rsidR="00F7310D">
        <w:rPr>
          <w:sz w:val="22"/>
          <w:szCs w:val="22"/>
        </w:rPr>
        <w:t>b</w:t>
      </w:r>
      <w:r>
        <w:rPr>
          <w:sz w:val="22"/>
          <w:szCs w:val="22"/>
        </w:rPr>
        <w:t>y P</w:t>
      </w:r>
      <w:r w:rsidR="00A16723" w:rsidRPr="00C629A3">
        <w:rPr>
          <w:sz w:val="22"/>
          <w:szCs w:val="22"/>
        </w:rPr>
        <w:t>owerlines</w:t>
      </w:r>
    </w:p>
    <w:p w14:paraId="38C7706B" w14:textId="77777777" w:rsidR="00A16723" w:rsidRPr="00C629A3" w:rsidRDefault="00A16723" w:rsidP="00A16723">
      <w:pPr>
        <w:rPr>
          <w:rFonts w:ascii="Candara" w:hAnsi="Candara"/>
        </w:rPr>
      </w:pPr>
      <w:r w:rsidRPr="00C629A3">
        <w:rPr>
          <w:rFonts w:ascii="Candara" w:hAnsi="Candara"/>
        </w:rPr>
        <w:t>Victoria has a long history of major bushfires. The VBRC identified 52 major bushfire events in the period 1851-2007 to which must be added the Black Saturday fires investigated by the Commission, equivalent to one major bushfire event every 3 years. Specifically, with respect to powerline caused bushfires the Commission noted</w:t>
      </w:r>
      <w:r w:rsidRPr="00C629A3">
        <w:rPr>
          <w:rFonts w:ascii="Candara" w:hAnsi="Candara"/>
          <w:vertAlign w:val="superscript"/>
        </w:rPr>
        <w:footnoteReference w:id="32"/>
      </w:r>
      <w:r w:rsidRPr="00C629A3">
        <w:rPr>
          <w:rFonts w:ascii="Candara" w:hAnsi="Candara"/>
        </w:rPr>
        <w:t>:</w:t>
      </w:r>
    </w:p>
    <w:p w14:paraId="20314506" w14:textId="77777777" w:rsidR="00A16723" w:rsidRPr="00C629A3" w:rsidRDefault="00A16723" w:rsidP="00345278">
      <w:pPr>
        <w:numPr>
          <w:ilvl w:val="0"/>
          <w:numId w:val="14"/>
        </w:numPr>
        <w:contextualSpacing/>
        <w:rPr>
          <w:rFonts w:ascii="Candara" w:hAnsi="Candara"/>
        </w:rPr>
      </w:pPr>
      <w:r w:rsidRPr="00C629A3">
        <w:rPr>
          <w:rFonts w:ascii="Candara" w:hAnsi="Candara"/>
        </w:rPr>
        <w:t>Nine of the 16 major fires on 12 February 1977 were caused by electrical assets</w:t>
      </w:r>
      <w:r w:rsidR="004001B4">
        <w:rPr>
          <w:rFonts w:ascii="Candara" w:hAnsi="Candara"/>
        </w:rPr>
        <w:t>;</w:t>
      </w:r>
    </w:p>
    <w:p w14:paraId="1D31C482" w14:textId="77777777" w:rsidR="00A16723" w:rsidRPr="00C629A3" w:rsidRDefault="00A16723" w:rsidP="00345278">
      <w:pPr>
        <w:numPr>
          <w:ilvl w:val="0"/>
          <w:numId w:val="14"/>
        </w:numPr>
        <w:contextualSpacing/>
        <w:rPr>
          <w:rFonts w:ascii="Candara" w:hAnsi="Candara"/>
        </w:rPr>
      </w:pPr>
      <w:r w:rsidRPr="00C629A3">
        <w:rPr>
          <w:rFonts w:ascii="Candara" w:hAnsi="Candara"/>
        </w:rPr>
        <w:t>On Ash Wednesday, 16 February 1983, it appears that four of the eight major fires were caused by electricity assets</w:t>
      </w:r>
      <w:r w:rsidR="004001B4">
        <w:rPr>
          <w:rFonts w:ascii="Candara" w:hAnsi="Candara"/>
        </w:rPr>
        <w:t>;</w:t>
      </w:r>
    </w:p>
    <w:p w14:paraId="194C7417" w14:textId="77777777" w:rsidR="00A16723" w:rsidRPr="00C629A3" w:rsidRDefault="00A16723" w:rsidP="00345278">
      <w:pPr>
        <w:numPr>
          <w:ilvl w:val="0"/>
          <w:numId w:val="14"/>
        </w:numPr>
        <w:contextualSpacing/>
        <w:rPr>
          <w:rFonts w:ascii="Candara" w:hAnsi="Candara"/>
        </w:rPr>
      </w:pPr>
      <w:r w:rsidRPr="00C629A3">
        <w:rPr>
          <w:rFonts w:ascii="Candara" w:hAnsi="Candara"/>
        </w:rPr>
        <w:t xml:space="preserve">On Black Saturday, 7 February 2009, electricity assets caused </w:t>
      </w:r>
      <w:r w:rsidR="00741D21">
        <w:rPr>
          <w:rFonts w:ascii="Candara" w:hAnsi="Candara"/>
        </w:rPr>
        <w:t>six</w:t>
      </w:r>
      <w:r w:rsidRPr="00C629A3">
        <w:rPr>
          <w:rFonts w:ascii="Candara" w:hAnsi="Candara"/>
        </w:rPr>
        <w:t xml:space="preserve"> of the 11 major fires</w:t>
      </w:r>
      <w:r w:rsidR="004001B4">
        <w:rPr>
          <w:rFonts w:ascii="Candara" w:hAnsi="Candara"/>
        </w:rPr>
        <w:t>.</w:t>
      </w:r>
    </w:p>
    <w:p w14:paraId="250E4710" w14:textId="77777777" w:rsidR="00EA7F40" w:rsidRPr="00C629A3" w:rsidRDefault="00EA7F40" w:rsidP="00EA7F40">
      <w:pPr>
        <w:ind w:left="720"/>
        <w:contextualSpacing/>
        <w:rPr>
          <w:rFonts w:ascii="Candara" w:hAnsi="Candara"/>
        </w:rPr>
      </w:pPr>
    </w:p>
    <w:p w14:paraId="2FC8E6D6" w14:textId="7B2F99EB" w:rsidR="00A16723" w:rsidRPr="00C629A3" w:rsidRDefault="00A16723" w:rsidP="00A16723">
      <w:pPr>
        <w:rPr>
          <w:rFonts w:ascii="Candara" w:hAnsi="Candara"/>
        </w:rPr>
      </w:pPr>
      <w:r w:rsidRPr="00C629A3">
        <w:rPr>
          <w:rFonts w:ascii="Candara" w:hAnsi="Candara"/>
        </w:rPr>
        <w:t>In a period</w:t>
      </w:r>
      <w:r w:rsidR="00741D21">
        <w:rPr>
          <w:rFonts w:ascii="Candara" w:hAnsi="Candara"/>
        </w:rPr>
        <w:t xml:space="preserve"> of less than 40 years, 19</w:t>
      </w:r>
      <w:r w:rsidRPr="00C629A3">
        <w:rPr>
          <w:rFonts w:ascii="Candara" w:hAnsi="Candara"/>
        </w:rPr>
        <w:t xml:space="preserve"> major fires were caused by powerlines, equiva</w:t>
      </w:r>
      <w:r w:rsidR="00741D21">
        <w:rPr>
          <w:rFonts w:ascii="Candara" w:hAnsi="Candara"/>
        </w:rPr>
        <w:t>lent to one major fire every 2.1</w:t>
      </w:r>
      <w:r w:rsidRPr="00C629A3">
        <w:rPr>
          <w:rFonts w:ascii="Candara" w:hAnsi="Candara"/>
        </w:rPr>
        <w:t xml:space="preserve"> years. At this rate, powerlines would start approximately 2</w:t>
      </w:r>
      <w:r w:rsidR="00741D21">
        <w:rPr>
          <w:rFonts w:ascii="Candara" w:hAnsi="Candara"/>
        </w:rPr>
        <w:t>4</w:t>
      </w:r>
      <w:r w:rsidRPr="00C629A3">
        <w:rPr>
          <w:rFonts w:ascii="Candara" w:hAnsi="Candara"/>
        </w:rPr>
        <w:t xml:space="preserve"> major bush fires over a 50-year period.</w:t>
      </w:r>
      <w:r w:rsidR="004E4268">
        <w:rPr>
          <w:rFonts w:ascii="Candara" w:hAnsi="Candara"/>
        </w:rPr>
        <w:t xml:space="preserve"> </w:t>
      </w:r>
    </w:p>
    <w:p w14:paraId="494C7828" w14:textId="77777777" w:rsidR="00A16723" w:rsidRPr="00C629A3" w:rsidRDefault="001E205A" w:rsidP="009F5994">
      <w:pPr>
        <w:pStyle w:val="Heading4"/>
        <w:rPr>
          <w:sz w:val="22"/>
          <w:szCs w:val="22"/>
        </w:rPr>
      </w:pPr>
      <w:r>
        <w:rPr>
          <w:sz w:val="22"/>
          <w:szCs w:val="22"/>
        </w:rPr>
        <w:t xml:space="preserve"> Likely Response</w:t>
      </w:r>
      <w:r w:rsidR="001518C8">
        <w:rPr>
          <w:sz w:val="22"/>
          <w:szCs w:val="22"/>
        </w:rPr>
        <w:t>s</w:t>
      </w:r>
      <w:r>
        <w:rPr>
          <w:sz w:val="22"/>
          <w:szCs w:val="22"/>
        </w:rPr>
        <w:t xml:space="preserve"> from Distribution Businesses</w:t>
      </w:r>
    </w:p>
    <w:p w14:paraId="15AA7D43" w14:textId="77777777" w:rsidR="001E205A" w:rsidRDefault="00A16723" w:rsidP="00A16723">
      <w:pPr>
        <w:rPr>
          <w:rFonts w:ascii="Candara" w:hAnsi="Candara"/>
        </w:rPr>
      </w:pPr>
      <w:r w:rsidRPr="00C629A3">
        <w:rPr>
          <w:rFonts w:ascii="Candara" w:hAnsi="Candara"/>
        </w:rPr>
        <w:t>T</w:t>
      </w:r>
      <w:r w:rsidR="00B53E3F" w:rsidRPr="00C629A3">
        <w:rPr>
          <w:rFonts w:ascii="Candara" w:hAnsi="Candara"/>
        </w:rPr>
        <w:t>he proposed evolution of the f-f</w:t>
      </w:r>
      <w:r w:rsidRPr="00C629A3">
        <w:rPr>
          <w:rFonts w:ascii="Candara" w:hAnsi="Candara"/>
        </w:rPr>
        <w:t>actor scheme focusses attention on those potential powerline fire starts that pose the most risk to the community. As outlined earlier</w:t>
      </w:r>
      <w:r w:rsidR="006A163A">
        <w:rPr>
          <w:rFonts w:ascii="Candara" w:hAnsi="Candara"/>
        </w:rPr>
        <w:t>,</w:t>
      </w:r>
      <w:r w:rsidRPr="00C629A3">
        <w:rPr>
          <w:rFonts w:ascii="Candara" w:hAnsi="Candara"/>
        </w:rPr>
        <w:t xml:space="preserve"> each </w:t>
      </w:r>
      <w:r w:rsidR="00B53E3F" w:rsidRPr="00C629A3">
        <w:rPr>
          <w:rFonts w:ascii="Candara" w:hAnsi="Candara"/>
        </w:rPr>
        <w:t>ignition</w:t>
      </w:r>
      <w:r w:rsidRPr="00C629A3">
        <w:rPr>
          <w:rFonts w:ascii="Candara" w:hAnsi="Candara"/>
        </w:rPr>
        <w:t xml:space="preserve"> start will be weighted by locality </w:t>
      </w:r>
      <w:r w:rsidR="00B53E3F" w:rsidRPr="00C629A3">
        <w:rPr>
          <w:rFonts w:ascii="Candara" w:hAnsi="Candara"/>
        </w:rPr>
        <w:t xml:space="preserve">(G) </w:t>
      </w:r>
      <w:r w:rsidRPr="00C629A3">
        <w:rPr>
          <w:rFonts w:ascii="Candara" w:hAnsi="Candara"/>
        </w:rPr>
        <w:t>and the CFA fire danger rating applying in that locality on that day</w:t>
      </w:r>
      <w:r w:rsidR="00B53E3F" w:rsidRPr="00C629A3">
        <w:rPr>
          <w:rFonts w:ascii="Candara" w:hAnsi="Candara"/>
        </w:rPr>
        <w:t xml:space="preserve"> (T)</w:t>
      </w:r>
      <w:r w:rsidRPr="00C629A3">
        <w:rPr>
          <w:rFonts w:ascii="Candara" w:hAnsi="Candara"/>
        </w:rPr>
        <w:t xml:space="preserve">. </w:t>
      </w:r>
    </w:p>
    <w:p w14:paraId="489427F0" w14:textId="350FA801" w:rsidR="00A16723" w:rsidRDefault="00A16723" w:rsidP="00A16723">
      <w:pPr>
        <w:rPr>
          <w:rFonts w:ascii="Candara" w:hAnsi="Candara"/>
        </w:rPr>
      </w:pPr>
      <w:r w:rsidRPr="00C629A3">
        <w:rPr>
          <w:rFonts w:ascii="Candara" w:hAnsi="Candara"/>
        </w:rPr>
        <w:t xml:space="preserve">There will be significant incentive for a distribution business to take operational steps to minimise the risk of a powerline fire start in sensitive locations in dangerous weather conditions. The highest weighting </w:t>
      </w:r>
      <w:r w:rsidR="00861A82">
        <w:rPr>
          <w:rFonts w:ascii="Candara" w:hAnsi="Candara"/>
        </w:rPr>
        <w:t xml:space="preserve">will be for a powerline caused </w:t>
      </w:r>
      <w:r w:rsidRPr="00C629A3">
        <w:rPr>
          <w:rFonts w:ascii="Candara" w:hAnsi="Candara"/>
        </w:rPr>
        <w:t>fire, in an area</w:t>
      </w:r>
      <w:r w:rsidR="00B53E3F" w:rsidRPr="00C629A3">
        <w:rPr>
          <w:rFonts w:ascii="Candara" w:hAnsi="Candara"/>
        </w:rPr>
        <w:t xml:space="preserve"> with extreme </w:t>
      </w:r>
      <w:r w:rsidR="00B424DE">
        <w:rPr>
          <w:rFonts w:ascii="Candara" w:hAnsi="Candara"/>
        </w:rPr>
        <w:t xml:space="preserve">risk </w:t>
      </w:r>
      <w:r w:rsidR="00B53E3F" w:rsidRPr="00C629A3">
        <w:rPr>
          <w:rFonts w:ascii="Candara" w:hAnsi="Candara"/>
        </w:rPr>
        <w:t>on a Code R</w:t>
      </w:r>
      <w:r w:rsidRPr="00C629A3">
        <w:rPr>
          <w:rFonts w:ascii="Candara" w:hAnsi="Candara"/>
        </w:rPr>
        <w:t>ed day</w:t>
      </w:r>
      <w:r w:rsidR="006A163A">
        <w:rPr>
          <w:rFonts w:ascii="Candara" w:hAnsi="Candara"/>
        </w:rPr>
        <w:t>. This</w:t>
      </w:r>
      <w:r w:rsidRPr="00C629A3">
        <w:rPr>
          <w:rFonts w:ascii="Candara" w:hAnsi="Candara"/>
        </w:rPr>
        <w:t xml:space="preserve"> will generate an </w:t>
      </w:r>
      <w:r w:rsidR="004001B4">
        <w:rPr>
          <w:rFonts w:ascii="Candara" w:hAnsi="Candara"/>
        </w:rPr>
        <w:t>IRU</w:t>
      </w:r>
      <w:r w:rsidRPr="00C629A3">
        <w:rPr>
          <w:rFonts w:ascii="Candara" w:hAnsi="Candara"/>
        </w:rPr>
        <w:t xml:space="preserve"> rating of </w:t>
      </w:r>
      <w:r w:rsidR="001E205A">
        <w:rPr>
          <w:rFonts w:ascii="Candara" w:hAnsi="Candara"/>
        </w:rPr>
        <w:t>99</w:t>
      </w:r>
      <w:r w:rsidRPr="00C629A3">
        <w:rPr>
          <w:rFonts w:ascii="Candara" w:hAnsi="Candara"/>
        </w:rPr>
        <w:t xml:space="preserve"> which is a penalty of </w:t>
      </w:r>
      <w:r w:rsidR="008A0007">
        <w:rPr>
          <w:rFonts w:ascii="Candara" w:hAnsi="Candara"/>
        </w:rPr>
        <w:t>$</w:t>
      </w:r>
      <w:r w:rsidR="008A0007" w:rsidRPr="008A0007">
        <w:rPr>
          <w:rFonts w:ascii="Candara" w:hAnsi="Candara"/>
        </w:rPr>
        <w:t xml:space="preserve">1,485,000 </w:t>
      </w:r>
      <w:r w:rsidRPr="00C629A3">
        <w:rPr>
          <w:rFonts w:ascii="Candara" w:hAnsi="Candara"/>
        </w:rPr>
        <w:t xml:space="preserve">using </w:t>
      </w:r>
      <w:r w:rsidR="00F7310D">
        <w:rPr>
          <w:rFonts w:ascii="Candara" w:hAnsi="Candara"/>
        </w:rPr>
        <w:t>a</w:t>
      </w:r>
      <w:r w:rsidR="001E205A">
        <w:rPr>
          <w:rFonts w:ascii="Candara" w:hAnsi="Candara"/>
        </w:rPr>
        <w:t xml:space="preserve"> </w:t>
      </w:r>
      <w:r w:rsidR="008A0007">
        <w:rPr>
          <w:rFonts w:ascii="Candara" w:hAnsi="Candara"/>
        </w:rPr>
        <w:t>penalty rate of $1</w:t>
      </w:r>
      <w:r w:rsidRPr="00C629A3">
        <w:rPr>
          <w:rFonts w:ascii="Candara" w:hAnsi="Candara"/>
        </w:rPr>
        <w:t xml:space="preserve">5,000 per </w:t>
      </w:r>
      <w:r w:rsidR="00B53E3F" w:rsidRPr="00C629A3">
        <w:rPr>
          <w:rFonts w:ascii="Candara" w:hAnsi="Candara"/>
        </w:rPr>
        <w:t>IRU. Although Code R</w:t>
      </w:r>
      <w:r w:rsidRPr="00C629A3">
        <w:rPr>
          <w:rFonts w:ascii="Candara" w:hAnsi="Candara"/>
        </w:rPr>
        <w:t>ed days are infrequent, it is under such conditions and in these localities that major bushfires occur. The risk of incurring these penalties should incentivise distribution businesses to take every reasonable step to prevent ignitions from electricity assets.</w:t>
      </w:r>
      <w:r w:rsidR="001E205A">
        <w:rPr>
          <w:rFonts w:ascii="Candara" w:hAnsi="Candara"/>
        </w:rPr>
        <w:t xml:space="preserve"> </w:t>
      </w:r>
    </w:p>
    <w:p w14:paraId="0EFA4A60" w14:textId="43E48C0B" w:rsidR="00351123" w:rsidRDefault="003E722D" w:rsidP="00A16723">
      <w:pPr>
        <w:rPr>
          <w:rFonts w:ascii="Candara" w:hAnsi="Candara"/>
        </w:rPr>
      </w:pPr>
      <w:r>
        <w:rPr>
          <w:rFonts w:ascii="Candara" w:hAnsi="Candara"/>
        </w:rPr>
        <w:t>There are four immediate operational and investment responses to the increased incentives under the proposed revised f-factor that a rational distributi</w:t>
      </w:r>
      <w:r w:rsidR="00A86ADC">
        <w:rPr>
          <w:rFonts w:ascii="Candara" w:hAnsi="Candara"/>
        </w:rPr>
        <w:t xml:space="preserve">on business may make. </w:t>
      </w:r>
    </w:p>
    <w:p w14:paraId="33DE8855" w14:textId="09C4BE4A" w:rsidR="001518C8" w:rsidRDefault="00C53166" w:rsidP="00A16723">
      <w:pPr>
        <w:rPr>
          <w:rFonts w:ascii="Candara" w:hAnsi="Candara"/>
          <w:b/>
        </w:rPr>
      </w:pPr>
      <w:r>
        <w:rPr>
          <w:rFonts w:ascii="Candara" w:hAnsi="Candara"/>
          <w:b/>
        </w:rPr>
        <w:t>Targeted Operations and M</w:t>
      </w:r>
      <w:r w:rsidR="003E722D" w:rsidRPr="003E722D">
        <w:rPr>
          <w:rFonts w:ascii="Candara" w:hAnsi="Candara"/>
          <w:b/>
        </w:rPr>
        <w:t>aintenance</w:t>
      </w:r>
    </w:p>
    <w:p w14:paraId="1BBB4E94" w14:textId="1CCC50EC" w:rsidR="004308C6" w:rsidRPr="00BE1ABE" w:rsidRDefault="003E722D" w:rsidP="00A16723">
      <w:pPr>
        <w:rPr>
          <w:rFonts w:ascii="Candara" w:hAnsi="Candara"/>
        </w:rPr>
      </w:pPr>
      <w:r>
        <w:rPr>
          <w:rFonts w:ascii="Candara" w:hAnsi="Candara"/>
        </w:rPr>
        <w:t>Businesses may choose to restructure their existing operational inspection and maintenance regimes t</w:t>
      </w:r>
      <w:r w:rsidR="00B53592">
        <w:rPr>
          <w:rFonts w:ascii="Candara" w:hAnsi="Candara"/>
        </w:rPr>
        <w:t xml:space="preserve">o prioritise high-risk areas ahead of fire </w:t>
      </w:r>
      <w:r>
        <w:rPr>
          <w:rFonts w:ascii="Candara" w:hAnsi="Candara"/>
        </w:rPr>
        <w:t xml:space="preserve">seasons. </w:t>
      </w:r>
    </w:p>
    <w:p w14:paraId="3AF2B4DD" w14:textId="382398D0" w:rsidR="001E205A" w:rsidRPr="008631DD" w:rsidRDefault="00C53166" w:rsidP="00A16723">
      <w:pPr>
        <w:rPr>
          <w:rFonts w:ascii="Candara" w:hAnsi="Candara"/>
          <w:b/>
        </w:rPr>
      </w:pPr>
      <w:r>
        <w:rPr>
          <w:rFonts w:ascii="Candara" w:hAnsi="Candara"/>
          <w:b/>
        </w:rPr>
        <w:t>Expedite Modification Works to Powerlines in Electric Line Codified A</w:t>
      </w:r>
      <w:r w:rsidR="008631DD" w:rsidRPr="008631DD">
        <w:rPr>
          <w:rFonts w:ascii="Candara" w:hAnsi="Candara"/>
          <w:b/>
        </w:rPr>
        <w:t>reas</w:t>
      </w:r>
    </w:p>
    <w:p w14:paraId="1A62474B" w14:textId="7DABCA99" w:rsidR="004E4268" w:rsidRDefault="0072533F" w:rsidP="00A16723">
      <w:pPr>
        <w:rPr>
          <w:rFonts w:ascii="Candara" w:hAnsi="Candara"/>
        </w:rPr>
      </w:pPr>
      <w:r>
        <w:rPr>
          <w:rFonts w:ascii="Candara" w:hAnsi="Candara"/>
        </w:rPr>
        <w:t>T</w:t>
      </w:r>
      <w:r w:rsidR="008631DD">
        <w:rPr>
          <w:rFonts w:ascii="Candara" w:hAnsi="Candara"/>
        </w:rPr>
        <w:t>he greatest single fire potential liability exists in the “extreme” geographic</w:t>
      </w:r>
      <w:r>
        <w:rPr>
          <w:rFonts w:ascii="Candara" w:hAnsi="Candara"/>
        </w:rPr>
        <w:t xml:space="preserve">al areas. These areas align to the electric line </w:t>
      </w:r>
      <w:r w:rsidR="00343550" w:rsidRPr="00343550">
        <w:rPr>
          <w:rFonts w:ascii="Candara" w:hAnsi="Candara"/>
        </w:rPr>
        <w:t xml:space="preserve">construction </w:t>
      </w:r>
      <w:r>
        <w:rPr>
          <w:rFonts w:ascii="Candara" w:hAnsi="Candara"/>
        </w:rPr>
        <w:t xml:space="preserve">areas prescribed under the </w:t>
      </w:r>
      <w:r w:rsidR="0031473E" w:rsidRPr="0031473E">
        <w:rPr>
          <w:rFonts w:ascii="Candara" w:hAnsi="Candara"/>
          <w:i/>
        </w:rPr>
        <w:t xml:space="preserve">Electricity Safety (Bushfire </w:t>
      </w:r>
      <w:r w:rsidR="0031473E" w:rsidRPr="0031473E">
        <w:rPr>
          <w:rFonts w:ascii="Candara" w:hAnsi="Candara"/>
          <w:i/>
        </w:rPr>
        <w:lastRenderedPageBreak/>
        <w:t>Mitigation) Regulations 2016</w:t>
      </w:r>
      <w:r w:rsidR="0031473E">
        <w:rPr>
          <w:rFonts w:ascii="Candara" w:hAnsi="Candara"/>
        </w:rPr>
        <w:t>.</w:t>
      </w:r>
      <w:r w:rsidR="008631DD">
        <w:rPr>
          <w:rFonts w:ascii="Candara" w:hAnsi="Candara"/>
        </w:rPr>
        <w:t xml:space="preserve">  </w:t>
      </w:r>
      <w:r>
        <w:rPr>
          <w:rFonts w:ascii="Candara" w:hAnsi="Candara"/>
        </w:rPr>
        <w:t>A rational</w:t>
      </w:r>
      <w:r w:rsidR="00B53592">
        <w:rPr>
          <w:rFonts w:ascii="Candara" w:hAnsi="Candara"/>
        </w:rPr>
        <w:t xml:space="preserve"> business may expedite</w:t>
      </w:r>
      <w:r w:rsidR="0031473E">
        <w:rPr>
          <w:rFonts w:ascii="Candara" w:hAnsi="Candara"/>
        </w:rPr>
        <w:t xml:space="preserve"> modification of </w:t>
      </w:r>
      <w:r w:rsidR="00B53592">
        <w:rPr>
          <w:rFonts w:ascii="Candara" w:hAnsi="Candara"/>
        </w:rPr>
        <w:t xml:space="preserve">these </w:t>
      </w:r>
      <w:r w:rsidR="0031473E">
        <w:rPr>
          <w:rFonts w:ascii="Candara" w:hAnsi="Candara"/>
        </w:rPr>
        <w:t>powerlines to meet the new standards out of its existing awarded funding.</w:t>
      </w:r>
      <w:r w:rsidR="004E4268">
        <w:rPr>
          <w:rFonts w:ascii="Candara" w:hAnsi="Candara"/>
        </w:rPr>
        <w:t xml:space="preserve"> The distribution businesses have indicated they may consider such an accelerated deployment of </w:t>
      </w:r>
      <w:r w:rsidR="00955A4B">
        <w:rPr>
          <w:rFonts w:ascii="Candara" w:hAnsi="Candara"/>
        </w:rPr>
        <w:t xml:space="preserve">powerlines, which will need to be evaluated by the Australian Energy Regulatory in the normal course of the EPDR processes. </w:t>
      </w:r>
      <w:r w:rsidR="004E4268">
        <w:rPr>
          <w:rFonts w:ascii="Candara" w:hAnsi="Candara"/>
        </w:rPr>
        <w:t xml:space="preserve"> </w:t>
      </w:r>
    </w:p>
    <w:p w14:paraId="0EA6A4B8" w14:textId="77777777" w:rsidR="008631DD" w:rsidRPr="008631DD" w:rsidRDefault="003E722D" w:rsidP="00A16723">
      <w:pPr>
        <w:rPr>
          <w:rFonts w:ascii="Candara" w:hAnsi="Candara"/>
          <w:b/>
        </w:rPr>
      </w:pPr>
      <w:r>
        <w:rPr>
          <w:rFonts w:ascii="Candara" w:hAnsi="Candara"/>
          <w:b/>
        </w:rPr>
        <w:t>Expedite I</w:t>
      </w:r>
      <w:r w:rsidR="008631DD" w:rsidRPr="008631DD">
        <w:rPr>
          <w:rFonts w:ascii="Candara" w:hAnsi="Candara"/>
          <w:b/>
        </w:rPr>
        <w:t xml:space="preserve">nstallation </w:t>
      </w:r>
      <w:r>
        <w:rPr>
          <w:rFonts w:ascii="Candara" w:hAnsi="Candara"/>
          <w:b/>
        </w:rPr>
        <w:t xml:space="preserve">and </w:t>
      </w:r>
      <w:r w:rsidR="001518C8">
        <w:rPr>
          <w:rFonts w:ascii="Candara" w:hAnsi="Candara"/>
          <w:b/>
        </w:rPr>
        <w:t xml:space="preserve">Achieve </w:t>
      </w:r>
      <w:r>
        <w:rPr>
          <w:rFonts w:ascii="Candara" w:hAnsi="Candara"/>
          <w:b/>
        </w:rPr>
        <w:t>M</w:t>
      </w:r>
      <w:r w:rsidRPr="008631DD">
        <w:rPr>
          <w:rFonts w:ascii="Candara" w:hAnsi="Candara"/>
          <w:b/>
        </w:rPr>
        <w:t xml:space="preserve">aximum </w:t>
      </w:r>
      <w:r>
        <w:rPr>
          <w:rFonts w:ascii="Candara" w:hAnsi="Candara"/>
          <w:b/>
        </w:rPr>
        <w:t>Operational B</w:t>
      </w:r>
      <w:r w:rsidRPr="008631DD">
        <w:rPr>
          <w:rFonts w:ascii="Candara" w:hAnsi="Candara"/>
          <w:b/>
        </w:rPr>
        <w:t xml:space="preserve">enefit </w:t>
      </w:r>
      <w:r w:rsidR="008631DD" w:rsidRPr="008631DD">
        <w:rPr>
          <w:rFonts w:ascii="Candara" w:hAnsi="Candara"/>
          <w:b/>
        </w:rPr>
        <w:t>of REFCLs</w:t>
      </w:r>
      <w:r w:rsidR="001518C8">
        <w:rPr>
          <w:rFonts w:ascii="Candara" w:hAnsi="Candara"/>
          <w:b/>
        </w:rPr>
        <w:t xml:space="preserve"> and ACRs</w:t>
      </w:r>
    </w:p>
    <w:p w14:paraId="2A09D12E" w14:textId="28E82901" w:rsidR="008631DD" w:rsidRPr="003E722D" w:rsidRDefault="0031473E" w:rsidP="00A16723">
      <w:pPr>
        <w:rPr>
          <w:rFonts w:ascii="Candara" w:hAnsi="Candara"/>
        </w:rPr>
      </w:pPr>
      <w:r>
        <w:rPr>
          <w:rFonts w:ascii="Candara" w:hAnsi="Candara"/>
        </w:rPr>
        <w:t xml:space="preserve">The most statistically significant </w:t>
      </w:r>
      <w:r w:rsidR="003E722D">
        <w:rPr>
          <w:rFonts w:ascii="Candara" w:hAnsi="Candara"/>
        </w:rPr>
        <w:t>incentive liability</w:t>
      </w:r>
      <w:r>
        <w:rPr>
          <w:rFonts w:ascii="Candara" w:hAnsi="Candara"/>
        </w:rPr>
        <w:t xml:space="preserve"> is presented by powerlines located in the “Severe” category</w:t>
      </w:r>
      <w:r w:rsidR="003E722D">
        <w:rPr>
          <w:rFonts w:ascii="Candara" w:hAnsi="Candara"/>
        </w:rPr>
        <w:t>.</w:t>
      </w:r>
      <w:r>
        <w:rPr>
          <w:rFonts w:ascii="Candara" w:hAnsi="Candara"/>
        </w:rPr>
        <w:t xml:space="preserve">  </w:t>
      </w:r>
      <w:r w:rsidR="003E722D">
        <w:rPr>
          <w:rFonts w:ascii="Candara" w:hAnsi="Candara"/>
        </w:rPr>
        <w:t xml:space="preserve">Distribution businesses may choose to expedite installation of REFCLs </w:t>
      </w:r>
      <w:r w:rsidR="001518C8">
        <w:rPr>
          <w:rFonts w:ascii="Candara" w:hAnsi="Candara"/>
        </w:rPr>
        <w:t xml:space="preserve">and Automatic Circuit Reclosers (ACRs) </w:t>
      </w:r>
      <w:r w:rsidR="003E722D">
        <w:rPr>
          <w:rFonts w:ascii="Candara" w:hAnsi="Candara"/>
        </w:rPr>
        <w:t xml:space="preserve">in line with the roll out schedule outlined in the </w:t>
      </w:r>
      <w:r w:rsidR="003E722D" w:rsidRPr="003E722D">
        <w:rPr>
          <w:rFonts w:ascii="Candara" w:hAnsi="Candara"/>
          <w:i/>
        </w:rPr>
        <w:t xml:space="preserve">Electricity Safety (Bushfire Mitigation) </w:t>
      </w:r>
      <w:r w:rsidR="00955A4B">
        <w:rPr>
          <w:rFonts w:ascii="Candara" w:hAnsi="Candara"/>
          <w:i/>
        </w:rPr>
        <w:t xml:space="preserve">Amendment </w:t>
      </w:r>
      <w:r w:rsidR="003E722D" w:rsidRPr="003E722D">
        <w:rPr>
          <w:rFonts w:ascii="Candara" w:hAnsi="Candara"/>
          <w:i/>
        </w:rPr>
        <w:t>Regulations 2016</w:t>
      </w:r>
      <w:r w:rsidR="003E722D">
        <w:rPr>
          <w:rFonts w:ascii="Candara" w:hAnsi="Candara"/>
        </w:rPr>
        <w:t>.</w:t>
      </w:r>
      <w:r w:rsidR="004E4268">
        <w:rPr>
          <w:rFonts w:ascii="Candara" w:hAnsi="Candara"/>
        </w:rPr>
        <w:t xml:space="preserve"> </w:t>
      </w:r>
    </w:p>
    <w:p w14:paraId="55AA9D3D" w14:textId="77777777" w:rsidR="001E205A" w:rsidRDefault="008631DD" w:rsidP="00A16723">
      <w:pPr>
        <w:rPr>
          <w:rFonts w:ascii="Candara" w:hAnsi="Candara"/>
        </w:rPr>
      </w:pPr>
      <w:r>
        <w:rPr>
          <w:rFonts w:ascii="Candara" w:hAnsi="Candara"/>
        </w:rPr>
        <w:t>Full operational benefit of REFCL</w:t>
      </w:r>
      <w:r w:rsidR="003E722D">
        <w:rPr>
          <w:rFonts w:ascii="Candara" w:hAnsi="Candara"/>
        </w:rPr>
        <w:t>s</w:t>
      </w:r>
      <w:r>
        <w:rPr>
          <w:rFonts w:ascii="Candara" w:hAnsi="Candara"/>
        </w:rPr>
        <w:t xml:space="preserve"> </w:t>
      </w:r>
      <w:r w:rsidR="001518C8">
        <w:rPr>
          <w:rFonts w:ascii="Candara" w:hAnsi="Candara"/>
        </w:rPr>
        <w:t xml:space="preserve">in particular </w:t>
      </w:r>
      <w:r>
        <w:rPr>
          <w:rFonts w:ascii="Candara" w:hAnsi="Candara"/>
        </w:rPr>
        <w:t xml:space="preserve">will require the distribution businesses to </w:t>
      </w:r>
      <w:r w:rsidR="003E722D">
        <w:rPr>
          <w:rFonts w:ascii="Candara" w:hAnsi="Candara"/>
        </w:rPr>
        <w:t xml:space="preserve">become operationally familiar with the technology, to adapt their networks and operational practices around fault detection and suppression. A rational and prudent business may choose to expedite this process. </w:t>
      </w:r>
    </w:p>
    <w:p w14:paraId="760CC29D" w14:textId="4904E4CF" w:rsidR="008A0007" w:rsidRDefault="00C53166" w:rsidP="008A0007">
      <w:pPr>
        <w:rPr>
          <w:rFonts w:ascii="Candara" w:hAnsi="Candara"/>
          <w:b/>
        </w:rPr>
      </w:pPr>
      <w:r>
        <w:rPr>
          <w:rFonts w:ascii="Candara" w:hAnsi="Candara"/>
          <w:b/>
        </w:rPr>
        <w:t>Increase Sensitivity of N</w:t>
      </w:r>
      <w:r w:rsidR="00351123">
        <w:rPr>
          <w:rFonts w:ascii="Candara" w:hAnsi="Candara"/>
          <w:b/>
        </w:rPr>
        <w:t>etwo</w:t>
      </w:r>
      <w:r>
        <w:rPr>
          <w:rFonts w:ascii="Candara" w:hAnsi="Candara"/>
          <w:b/>
        </w:rPr>
        <w:t>rk Protection D</w:t>
      </w:r>
      <w:r w:rsidR="00351123">
        <w:rPr>
          <w:rFonts w:ascii="Candara" w:hAnsi="Candara"/>
          <w:b/>
        </w:rPr>
        <w:t>evices</w:t>
      </w:r>
    </w:p>
    <w:p w14:paraId="36432A48" w14:textId="77777777" w:rsidR="00351123" w:rsidRDefault="00092268" w:rsidP="008A0007">
      <w:pPr>
        <w:rPr>
          <w:rFonts w:ascii="Candara" w:hAnsi="Candara"/>
        </w:rPr>
      </w:pPr>
      <w:r w:rsidRPr="00E71081">
        <w:rPr>
          <w:rFonts w:ascii="Candara" w:hAnsi="Candara"/>
        </w:rPr>
        <w:t>In consultation with the Department, the distribution businesses have raised concerns about thei</w:t>
      </w:r>
      <w:r w:rsidR="004E4268" w:rsidRPr="00E71081">
        <w:rPr>
          <w:rFonts w:ascii="Candara" w:hAnsi="Candara"/>
        </w:rPr>
        <w:t>r potential</w:t>
      </w:r>
      <w:r w:rsidRPr="00E71081">
        <w:rPr>
          <w:rFonts w:ascii="Candara" w:hAnsi="Candara"/>
        </w:rPr>
        <w:t xml:space="preserve"> liability from ignitions on Code Red days in Extreme (19.8) geographical areas. </w:t>
      </w:r>
    </w:p>
    <w:p w14:paraId="79D92EE7" w14:textId="50CB546E" w:rsidR="00351123" w:rsidRDefault="00092268" w:rsidP="008A0007">
      <w:pPr>
        <w:rPr>
          <w:rFonts w:ascii="Candara" w:hAnsi="Candara"/>
        </w:rPr>
      </w:pPr>
      <w:r w:rsidRPr="00E71081">
        <w:rPr>
          <w:rFonts w:ascii="Candara" w:hAnsi="Candara"/>
        </w:rPr>
        <w:t xml:space="preserve">They have noted that </w:t>
      </w:r>
      <w:r w:rsidR="004E4268" w:rsidRPr="00E71081">
        <w:rPr>
          <w:rFonts w:ascii="Candara" w:hAnsi="Candara"/>
        </w:rPr>
        <w:t>under this scenario</w:t>
      </w:r>
      <w:r w:rsidRPr="00E71081">
        <w:rPr>
          <w:rFonts w:ascii="Candara" w:hAnsi="Candara"/>
        </w:rPr>
        <w:t xml:space="preserve">, reliability outputs </w:t>
      </w:r>
      <w:r w:rsidR="00041782" w:rsidRPr="00E71081">
        <w:rPr>
          <w:rFonts w:ascii="Candara" w:hAnsi="Candara"/>
        </w:rPr>
        <w:t xml:space="preserve">may </w:t>
      </w:r>
      <w:r w:rsidRPr="00E71081">
        <w:rPr>
          <w:rFonts w:ascii="Candara" w:hAnsi="Candara"/>
        </w:rPr>
        <w:t xml:space="preserve">need to be carefully </w:t>
      </w:r>
      <w:r w:rsidR="00351123">
        <w:rPr>
          <w:rFonts w:ascii="Candara" w:hAnsi="Candara"/>
        </w:rPr>
        <w:t xml:space="preserve">weighed against bushfire safety concerns, suggesting adoption of heightened sensitivity of network protection devices on days of greatest fire risk. </w:t>
      </w:r>
      <w:r w:rsidRPr="00E71081">
        <w:rPr>
          <w:rFonts w:ascii="Candara" w:hAnsi="Candara"/>
        </w:rPr>
        <w:t xml:space="preserve"> </w:t>
      </w:r>
    </w:p>
    <w:p w14:paraId="510E933C" w14:textId="1BE9515A" w:rsidR="004E4268" w:rsidRPr="004E4268" w:rsidRDefault="00092268" w:rsidP="008A0007">
      <w:pPr>
        <w:rPr>
          <w:rFonts w:ascii="Candara" w:hAnsi="Candara"/>
        </w:rPr>
      </w:pPr>
      <w:r w:rsidRPr="00E71081">
        <w:rPr>
          <w:rFonts w:ascii="Candara" w:hAnsi="Candara"/>
        </w:rPr>
        <w:t>Such consideration will need to take account of regulatory obliga</w:t>
      </w:r>
      <w:r w:rsidR="00041782" w:rsidRPr="00E71081">
        <w:rPr>
          <w:rFonts w:ascii="Candara" w:hAnsi="Candara"/>
        </w:rPr>
        <w:t>tions</w:t>
      </w:r>
      <w:r w:rsidRPr="00E71081">
        <w:rPr>
          <w:rFonts w:ascii="Candara" w:hAnsi="Candara"/>
        </w:rPr>
        <w:t xml:space="preserve"> imposed by the </w:t>
      </w:r>
      <w:r w:rsidRPr="00955A4B">
        <w:rPr>
          <w:rFonts w:ascii="Candara" w:hAnsi="Candara"/>
          <w:i/>
        </w:rPr>
        <w:t>Electricity Distribution Code</w:t>
      </w:r>
      <w:r w:rsidR="00041782" w:rsidRPr="00E71081">
        <w:rPr>
          <w:rFonts w:ascii="Candara" w:hAnsi="Candara"/>
        </w:rPr>
        <w:t>.</w:t>
      </w:r>
      <w:r w:rsidR="00041782">
        <w:rPr>
          <w:rFonts w:ascii="Candara" w:hAnsi="Candara"/>
        </w:rPr>
        <w:t xml:space="preserve"> </w:t>
      </w:r>
    </w:p>
    <w:p w14:paraId="63CFE6A0" w14:textId="77777777" w:rsidR="00A16723" w:rsidRPr="00C629A3" w:rsidRDefault="00A16723" w:rsidP="00B331FA">
      <w:pPr>
        <w:pStyle w:val="Heading2"/>
        <w:rPr>
          <w:sz w:val="22"/>
          <w:szCs w:val="22"/>
        </w:rPr>
      </w:pPr>
      <w:bookmarkStart w:id="44" w:name="_Toc458675197"/>
      <w:r w:rsidRPr="00C629A3">
        <w:rPr>
          <w:sz w:val="22"/>
          <w:szCs w:val="22"/>
        </w:rPr>
        <w:t>Conclusion</w:t>
      </w:r>
      <w:bookmarkEnd w:id="44"/>
    </w:p>
    <w:p w14:paraId="39CF6855" w14:textId="60379BF5" w:rsidR="00A16723" w:rsidRPr="00C629A3" w:rsidRDefault="00A16723" w:rsidP="00A16723">
      <w:pPr>
        <w:rPr>
          <w:rFonts w:ascii="Candara" w:hAnsi="Candara"/>
        </w:rPr>
      </w:pPr>
      <w:r w:rsidRPr="00C629A3">
        <w:rPr>
          <w:rFonts w:ascii="Candara" w:hAnsi="Candara"/>
        </w:rPr>
        <w:t>Given th</w:t>
      </w:r>
      <w:r w:rsidR="000C3661">
        <w:rPr>
          <w:rFonts w:ascii="Candara" w:hAnsi="Candara"/>
        </w:rPr>
        <w:t>e</w:t>
      </w:r>
      <w:r w:rsidRPr="00C629A3">
        <w:rPr>
          <w:rFonts w:ascii="Candara" w:hAnsi="Candara"/>
        </w:rPr>
        <w:t xml:space="preserve"> incidence of powerline caused major bushfires and the incentive provided by the proposed weighted targeted incentive approach, the scheme</w:t>
      </w:r>
      <w:r w:rsidR="000C3661">
        <w:rPr>
          <w:rFonts w:ascii="Candara" w:hAnsi="Candara"/>
        </w:rPr>
        <w:t xml:space="preserve"> </w:t>
      </w:r>
      <w:r w:rsidR="00F7310D">
        <w:rPr>
          <w:rFonts w:ascii="Candara" w:hAnsi="Candara"/>
        </w:rPr>
        <w:t>would reasonably be</w:t>
      </w:r>
      <w:r w:rsidR="000C3661">
        <w:rPr>
          <w:rFonts w:ascii="Candara" w:hAnsi="Candara"/>
        </w:rPr>
        <w:t xml:space="preserve"> expected to</w:t>
      </w:r>
      <w:r w:rsidRPr="00C629A3">
        <w:rPr>
          <w:rFonts w:ascii="Candara" w:hAnsi="Candara"/>
        </w:rPr>
        <w:t xml:space="preserve"> result in </w:t>
      </w:r>
      <w:r w:rsidR="006A163A">
        <w:rPr>
          <w:rFonts w:ascii="Candara" w:hAnsi="Candara"/>
        </w:rPr>
        <w:t xml:space="preserve">at least </w:t>
      </w:r>
      <w:r w:rsidRPr="00C629A3">
        <w:rPr>
          <w:rFonts w:ascii="Candara" w:hAnsi="Candara"/>
        </w:rPr>
        <w:t xml:space="preserve">one less major bushfire over a </w:t>
      </w:r>
      <w:r w:rsidR="00D34A3A">
        <w:rPr>
          <w:rFonts w:ascii="Candara" w:hAnsi="Candara"/>
        </w:rPr>
        <w:t>73-</w:t>
      </w:r>
      <w:r w:rsidRPr="00C629A3">
        <w:rPr>
          <w:rFonts w:ascii="Candara" w:hAnsi="Candara"/>
        </w:rPr>
        <w:t>year period.</w:t>
      </w:r>
      <w:r w:rsidR="00F7310D">
        <w:rPr>
          <w:rFonts w:ascii="Candara" w:hAnsi="Candara"/>
        </w:rPr>
        <w:t xml:space="preserve"> At this level the benefits would be similar to the compliance costs. If the scheme results in reducing more than one major bushfire over this period the benefits would exceed the costs.</w:t>
      </w:r>
      <w:r w:rsidR="00931525">
        <w:rPr>
          <w:rFonts w:ascii="Candara" w:hAnsi="Candara"/>
        </w:rPr>
        <w:t xml:space="preserve"> </w:t>
      </w:r>
    </w:p>
    <w:p w14:paraId="64E26768" w14:textId="77777777" w:rsidR="008D1938" w:rsidRPr="00C629A3" w:rsidRDefault="008D1938" w:rsidP="009F5994">
      <w:pPr>
        <w:pStyle w:val="Heading1"/>
        <w:rPr>
          <w:sz w:val="22"/>
          <w:szCs w:val="22"/>
        </w:rPr>
      </w:pPr>
      <w:bookmarkStart w:id="45" w:name="_Toc458675198"/>
      <w:r w:rsidRPr="00C629A3">
        <w:rPr>
          <w:sz w:val="22"/>
          <w:szCs w:val="22"/>
        </w:rPr>
        <w:t>Implementation Plan</w:t>
      </w:r>
      <w:bookmarkEnd w:id="45"/>
    </w:p>
    <w:p w14:paraId="5CA5FB83" w14:textId="1280857C" w:rsidR="006468A3" w:rsidRPr="00C629A3" w:rsidRDefault="00AA0BB6" w:rsidP="00AA0BB6">
      <w:pPr>
        <w:rPr>
          <w:rFonts w:ascii="Candara" w:hAnsi="Candara"/>
        </w:rPr>
      </w:pPr>
      <w:r w:rsidRPr="00C629A3">
        <w:rPr>
          <w:rFonts w:ascii="Candara" w:hAnsi="Candara"/>
        </w:rPr>
        <w:t>Success of the f-factor initiative requires sound implementation. This necessitates the choice of a suitable legal instrument; the effective communication of the new requirement; transition from th</w:t>
      </w:r>
      <w:r w:rsidR="00371566" w:rsidRPr="00C629A3">
        <w:rPr>
          <w:rFonts w:ascii="Candara" w:hAnsi="Candara"/>
        </w:rPr>
        <w:t>e prior scheme to the new one; a clear responsibility for administrative functions</w:t>
      </w:r>
      <w:r w:rsidR="00245BC2">
        <w:rPr>
          <w:rFonts w:ascii="Candara" w:hAnsi="Candara"/>
        </w:rPr>
        <w:t>;</w:t>
      </w:r>
      <w:r w:rsidR="00371566" w:rsidRPr="00C629A3">
        <w:rPr>
          <w:rFonts w:ascii="Candara" w:hAnsi="Candara"/>
        </w:rPr>
        <w:t xml:space="preserve"> and a practical enforcement regime.</w:t>
      </w:r>
      <w:r w:rsidR="00931525">
        <w:rPr>
          <w:rFonts w:ascii="Candara" w:hAnsi="Candara"/>
        </w:rPr>
        <w:t xml:space="preserve"> </w:t>
      </w:r>
    </w:p>
    <w:p w14:paraId="66AEBEA8" w14:textId="77777777" w:rsidR="00D60909" w:rsidRPr="00C629A3" w:rsidRDefault="00B32983" w:rsidP="009F5994">
      <w:pPr>
        <w:pStyle w:val="Heading2"/>
        <w:rPr>
          <w:sz w:val="22"/>
          <w:szCs w:val="22"/>
        </w:rPr>
      </w:pPr>
      <w:bookmarkStart w:id="46" w:name="_Toc458675199"/>
      <w:r>
        <w:rPr>
          <w:sz w:val="22"/>
          <w:szCs w:val="22"/>
        </w:rPr>
        <w:t>Effective Communications o</w:t>
      </w:r>
      <w:r w:rsidR="00205981">
        <w:rPr>
          <w:sz w:val="22"/>
          <w:szCs w:val="22"/>
        </w:rPr>
        <w:t>f R</w:t>
      </w:r>
      <w:r w:rsidR="00AA0BB6" w:rsidRPr="00C629A3">
        <w:rPr>
          <w:sz w:val="22"/>
          <w:szCs w:val="22"/>
        </w:rPr>
        <w:t>equirement</w:t>
      </w:r>
      <w:bookmarkEnd w:id="46"/>
    </w:p>
    <w:p w14:paraId="58D52CB7" w14:textId="17A5BA42" w:rsidR="00D60909" w:rsidRPr="00C629A3" w:rsidRDefault="00D60909" w:rsidP="006468A3">
      <w:pPr>
        <w:autoSpaceDE w:val="0"/>
        <w:autoSpaceDN w:val="0"/>
        <w:adjustRightInd w:val="0"/>
        <w:spacing w:before="120" w:after="80"/>
        <w:rPr>
          <w:rFonts w:ascii="Candara" w:hAnsi="Candara" w:cs="Calibri"/>
        </w:rPr>
      </w:pPr>
      <w:r w:rsidRPr="00C629A3">
        <w:rPr>
          <w:rFonts w:ascii="Candara" w:hAnsi="Candara" w:cs="Calibri"/>
        </w:rPr>
        <w:t>The electricity distribution businesses are the only parties</w:t>
      </w:r>
      <w:r w:rsidR="006A163A">
        <w:rPr>
          <w:rFonts w:ascii="Candara" w:hAnsi="Candara" w:cs="Calibri"/>
        </w:rPr>
        <w:t xml:space="preserve"> regulated under the scheme. T</w:t>
      </w:r>
      <w:r w:rsidRPr="00C629A3">
        <w:rPr>
          <w:rFonts w:ascii="Candara" w:hAnsi="Candara" w:cs="Calibri"/>
        </w:rPr>
        <w:t xml:space="preserve">he AER and ESV </w:t>
      </w:r>
      <w:r w:rsidR="006A163A">
        <w:rPr>
          <w:rFonts w:ascii="Candara" w:hAnsi="Candara" w:cs="Calibri"/>
        </w:rPr>
        <w:t>are the relevant</w:t>
      </w:r>
      <w:r w:rsidRPr="00C629A3">
        <w:rPr>
          <w:rFonts w:ascii="Candara" w:hAnsi="Candara" w:cs="Calibri"/>
        </w:rPr>
        <w:t xml:space="preserve"> administrative bodies. The latter organisations have been consulted in </w:t>
      </w:r>
      <w:r w:rsidRPr="00C629A3">
        <w:rPr>
          <w:rFonts w:ascii="Candara" w:hAnsi="Candara" w:cs="Calibri"/>
        </w:rPr>
        <w:lastRenderedPageBreak/>
        <w:t xml:space="preserve">the development of the proposed enhancements to the f-factor scheme. The distribution businesses </w:t>
      </w:r>
      <w:r w:rsidR="00362531">
        <w:rPr>
          <w:rFonts w:ascii="Candara" w:hAnsi="Candara" w:cs="Calibri"/>
        </w:rPr>
        <w:t>have been consulted in the preparation of the benchmark and decrement methodology</w:t>
      </w:r>
      <w:r w:rsidRPr="00C629A3">
        <w:rPr>
          <w:rFonts w:ascii="Candara" w:hAnsi="Candara" w:cs="Calibri"/>
        </w:rPr>
        <w:t xml:space="preserve">. This consultation </w:t>
      </w:r>
      <w:r w:rsidR="00E54E8B">
        <w:rPr>
          <w:rFonts w:ascii="Candara" w:hAnsi="Candara" w:cs="Calibri"/>
        </w:rPr>
        <w:t>was</w:t>
      </w:r>
      <w:r w:rsidRPr="00C629A3">
        <w:rPr>
          <w:rFonts w:ascii="Candara" w:hAnsi="Candara" w:cs="Calibri"/>
        </w:rPr>
        <w:t xml:space="preserve"> managed by </w:t>
      </w:r>
      <w:r w:rsidR="00E97F76">
        <w:rPr>
          <w:rFonts w:ascii="Candara" w:hAnsi="Candara" w:cs="Calibri"/>
        </w:rPr>
        <w:t>DELWP</w:t>
      </w:r>
      <w:r w:rsidRPr="00C629A3">
        <w:rPr>
          <w:rFonts w:ascii="Candara" w:hAnsi="Candara" w:cs="Calibri"/>
        </w:rPr>
        <w:t>, both directly with each business and through the Distribution Business Reference Group convened by the PBSP.</w:t>
      </w:r>
      <w:r w:rsidR="00931525">
        <w:rPr>
          <w:rFonts w:ascii="Candara" w:hAnsi="Candara" w:cs="Calibri"/>
        </w:rPr>
        <w:t xml:space="preserve"> </w:t>
      </w:r>
    </w:p>
    <w:p w14:paraId="052141B9" w14:textId="678DAEA6" w:rsidR="00D60909" w:rsidRPr="00C629A3" w:rsidRDefault="00D60909" w:rsidP="006468A3">
      <w:pPr>
        <w:autoSpaceDE w:val="0"/>
        <w:autoSpaceDN w:val="0"/>
        <w:adjustRightInd w:val="0"/>
        <w:spacing w:before="120" w:after="80"/>
        <w:rPr>
          <w:rFonts w:ascii="Candara" w:hAnsi="Candara" w:cs="Calibri"/>
        </w:rPr>
      </w:pPr>
      <w:r w:rsidRPr="00C629A3">
        <w:rPr>
          <w:rFonts w:ascii="Candara" w:hAnsi="Candara" w:cs="Calibri"/>
        </w:rPr>
        <w:t xml:space="preserve">As the proposed regulatory changes are refinements of the existing scheme, the mechanics of the enhancements will be easily understood by the businesses. Given the </w:t>
      </w:r>
      <w:r w:rsidR="000C3661">
        <w:rPr>
          <w:rFonts w:ascii="Candara" w:hAnsi="Candara" w:cs="Calibri"/>
        </w:rPr>
        <w:t>nature of</w:t>
      </w:r>
      <w:r w:rsidRPr="00C629A3">
        <w:rPr>
          <w:rFonts w:ascii="Candara" w:hAnsi="Candara" w:cs="Calibri"/>
        </w:rPr>
        <w:t xml:space="preserve"> a weighted scheme</w:t>
      </w:r>
      <w:r w:rsidR="000C3661">
        <w:rPr>
          <w:rFonts w:ascii="Candara" w:hAnsi="Candara" w:cs="Calibri"/>
        </w:rPr>
        <w:t>,</w:t>
      </w:r>
      <w:r w:rsidRPr="00C629A3">
        <w:rPr>
          <w:rFonts w:ascii="Candara" w:hAnsi="Candara" w:cs="Calibri"/>
        </w:rPr>
        <w:t xml:space="preserve"> it will be important that all parties understand and have appropriate field processes in place to apply the correct classification to each </w:t>
      </w:r>
      <w:r w:rsidR="00B53E3F" w:rsidRPr="00C629A3">
        <w:rPr>
          <w:rFonts w:ascii="Candara" w:hAnsi="Candara" w:cs="Calibri"/>
        </w:rPr>
        <w:t xml:space="preserve">ignition </w:t>
      </w:r>
      <w:r w:rsidRPr="00C629A3">
        <w:rPr>
          <w:rFonts w:ascii="Candara" w:hAnsi="Candara" w:cs="Calibri"/>
        </w:rPr>
        <w:t>so that the reported IRU measure for each fire is accurate.</w:t>
      </w:r>
      <w:r w:rsidR="00931525">
        <w:rPr>
          <w:rFonts w:ascii="Candara" w:hAnsi="Candara" w:cs="Calibri"/>
        </w:rPr>
        <w:t xml:space="preserve"> </w:t>
      </w:r>
    </w:p>
    <w:p w14:paraId="67E3167E" w14:textId="77777777" w:rsidR="00D60909" w:rsidRPr="00C629A3" w:rsidRDefault="00205981" w:rsidP="00C53166">
      <w:pPr>
        <w:pStyle w:val="Heading2"/>
        <w:spacing w:before="240"/>
        <w:ind w:left="788" w:hanging="431"/>
        <w:rPr>
          <w:sz w:val="22"/>
          <w:szCs w:val="22"/>
        </w:rPr>
      </w:pPr>
      <w:bookmarkStart w:id="47" w:name="_Toc458675200"/>
      <w:r>
        <w:rPr>
          <w:sz w:val="22"/>
          <w:szCs w:val="22"/>
        </w:rPr>
        <w:t>Transitional A</w:t>
      </w:r>
      <w:r w:rsidR="00D60909" w:rsidRPr="00C629A3">
        <w:rPr>
          <w:sz w:val="22"/>
          <w:szCs w:val="22"/>
        </w:rPr>
        <w:t>rrangements</w:t>
      </w:r>
      <w:bookmarkEnd w:id="47"/>
    </w:p>
    <w:p w14:paraId="0DE2DA22" w14:textId="77777777" w:rsidR="00D60909" w:rsidRPr="00C629A3" w:rsidRDefault="00D60909" w:rsidP="006468A3">
      <w:pPr>
        <w:autoSpaceDE w:val="0"/>
        <w:autoSpaceDN w:val="0"/>
        <w:adjustRightInd w:val="0"/>
        <w:spacing w:before="120" w:after="80"/>
        <w:rPr>
          <w:rFonts w:ascii="Candara" w:hAnsi="Candara" w:cs="Calibri"/>
        </w:rPr>
      </w:pPr>
      <w:r w:rsidRPr="00C629A3">
        <w:rPr>
          <w:rFonts w:ascii="Candara" w:hAnsi="Candara" w:cs="Calibri"/>
        </w:rPr>
        <w:t xml:space="preserve">It is intended that the </w:t>
      </w:r>
      <w:r w:rsidR="00362531">
        <w:rPr>
          <w:rFonts w:ascii="Candara" w:hAnsi="Candara" w:cs="Calibri"/>
        </w:rPr>
        <w:t xml:space="preserve">liabilities for </w:t>
      </w:r>
      <w:r w:rsidR="006468A3" w:rsidRPr="00C629A3">
        <w:rPr>
          <w:rFonts w:ascii="Candara" w:hAnsi="Candara" w:cs="Calibri"/>
        </w:rPr>
        <w:t>revised f-factor</w:t>
      </w:r>
      <w:r w:rsidRPr="00C629A3">
        <w:rPr>
          <w:rFonts w:ascii="Candara" w:hAnsi="Candara" w:cs="Calibri"/>
        </w:rPr>
        <w:t xml:space="preserve"> will commence from 1 </w:t>
      </w:r>
      <w:r w:rsidR="00232AEF">
        <w:rPr>
          <w:rFonts w:ascii="Candara" w:hAnsi="Candara" w:cs="Calibri"/>
        </w:rPr>
        <w:t>July 2016</w:t>
      </w:r>
      <w:r w:rsidRPr="00C629A3">
        <w:rPr>
          <w:rFonts w:ascii="Candara" w:hAnsi="Candara" w:cs="Calibri"/>
        </w:rPr>
        <w:t xml:space="preserve">. This means that the existing f-factor will be </w:t>
      </w:r>
      <w:r w:rsidR="00362531">
        <w:rPr>
          <w:rFonts w:ascii="Candara" w:hAnsi="Candara" w:cs="Calibri"/>
        </w:rPr>
        <w:t>rescinded</w:t>
      </w:r>
      <w:r w:rsidRPr="00C629A3">
        <w:rPr>
          <w:rFonts w:ascii="Candara" w:hAnsi="Candara" w:cs="Calibri"/>
        </w:rPr>
        <w:t xml:space="preserve"> </w:t>
      </w:r>
      <w:r w:rsidR="00362531">
        <w:rPr>
          <w:rFonts w:ascii="Candara" w:hAnsi="Candara" w:cs="Calibri"/>
        </w:rPr>
        <w:t xml:space="preserve">at the </w:t>
      </w:r>
      <w:r w:rsidRPr="00C629A3">
        <w:rPr>
          <w:rFonts w:ascii="Candara" w:hAnsi="Candara" w:cs="Calibri"/>
        </w:rPr>
        <w:t>time</w:t>
      </w:r>
      <w:r w:rsidR="00362531">
        <w:rPr>
          <w:rFonts w:ascii="Candara" w:hAnsi="Candara" w:cs="Calibri"/>
        </w:rPr>
        <w:t xml:space="preserve"> the Order-In-Council for the revised scheme is made</w:t>
      </w:r>
      <w:r w:rsidRPr="00C629A3">
        <w:rPr>
          <w:rFonts w:ascii="Candara" w:hAnsi="Candara" w:cs="Calibri"/>
        </w:rPr>
        <w:t xml:space="preserve">. As the current scheme operates on a calendar year period, it </w:t>
      </w:r>
      <w:r w:rsidR="00362531">
        <w:rPr>
          <w:rFonts w:ascii="Candara" w:hAnsi="Candara" w:cs="Calibri"/>
        </w:rPr>
        <w:t>has been</w:t>
      </w:r>
      <w:r w:rsidRPr="00C629A3">
        <w:rPr>
          <w:rFonts w:ascii="Candara" w:hAnsi="Candara" w:cs="Calibri"/>
        </w:rPr>
        <w:t xml:space="preserve"> necessary to determine an equitable 6 month fire start target for the January – June period in 2016. </w:t>
      </w:r>
    </w:p>
    <w:p w14:paraId="7F62D480" w14:textId="5F791008" w:rsidR="007D06D8" w:rsidRDefault="00056A42" w:rsidP="006468A3">
      <w:pPr>
        <w:autoSpaceDE w:val="0"/>
        <w:autoSpaceDN w:val="0"/>
        <w:adjustRightInd w:val="0"/>
        <w:spacing w:before="120" w:after="80"/>
        <w:rPr>
          <w:rFonts w:ascii="Candara" w:hAnsi="Candara" w:cs="Calibri"/>
        </w:rPr>
      </w:pPr>
      <w:r>
        <w:rPr>
          <w:rFonts w:ascii="Candara" w:hAnsi="Candara" w:cs="Calibri"/>
        </w:rPr>
        <w:t xml:space="preserve">During May 2016, the AER made </w:t>
      </w:r>
      <w:r w:rsidR="00D60909" w:rsidRPr="00C629A3">
        <w:rPr>
          <w:rFonts w:ascii="Candara" w:hAnsi="Candara" w:cs="Calibri"/>
        </w:rPr>
        <w:t>determination</w:t>
      </w:r>
      <w:r>
        <w:rPr>
          <w:rFonts w:ascii="Candara" w:hAnsi="Candara" w:cs="Calibri"/>
        </w:rPr>
        <w:t>s</w:t>
      </w:r>
      <w:r w:rsidR="00D60909" w:rsidRPr="00C629A3">
        <w:rPr>
          <w:rFonts w:ascii="Candara" w:hAnsi="Candara" w:cs="Calibri"/>
        </w:rPr>
        <w:t xml:space="preserve"> for the fire start target for each business for the </w:t>
      </w:r>
      <w:r>
        <w:rPr>
          <w:rFonts w:ascii="Candara" w:hAnsi="Candara" w:cs="Calibri"/>
        </w:rPr>
        <w:t>2016-2020</w:t>
      </w:r>
      <w:r w:rsidR="00D60909" w:rsidRPr="00C629A3">
        <w:rPr>
          <w:rFonts w:ascii="Candara" w:hAnsi="Candara" w:cs="Calibri"/>
        </w:rPr>
        <w:t xml:space="preserve"> period. It is proposed that these fire start targets, appropriately reduced to the proportion of fire starts that have historically been incurred by each business in the January – June period as a proportion of the full year target, be adopted as the transitional fire start target. </w:t>
      </w:r>
    </w:p>
    <w:p w14:paraId="63F4131F" w14:textId="1FAEA2C1" w:rsidR="007D06D8" w:rsidRDefault="007D06D8" w:rsidP="006468A3">
      <w:pPr>
        <w:autoSpaceDE w:val="0"/>
        <w:autoSpaceDN w:val="0"/>
        <w:adjustRightInd w:val="0"/>
        <w:spacing w:before="120" w:after="80"/>
        <w:rPr>
          <w:rFonts w:ascii="Candara" w:hAnsi="Candara" w:cs="Calibri"/>
        </w:rPr>
      </w:pPr>
      <w:r>
        <w:rPr>
          <w:rFonts w:ascii="Candara" w:hAnsi="Candara" w:cs="Calibri"/>
        </w:rPr>
        <w:t xml:space="preserve">The seasonally-adjusted benchmarks for 1 January 2016 – 30 </w:t>
      </w:r>
      <w:r w:rsidR="00C53166">
        <w:rPr>
          <w:rFonts w:ascii="Candara" w:hAnsi="Candara" w:cs="Calibri"/>
        </w:rPr>
        <w:t>June 2016 are as follows:</w:t>
      </w:r>
    </w:p>
    <w:p w14:paraId="7976B1E5" w14:textId="0B861363" w:rsidR="00C53166" w:rsidRPr="00CA4C17" w:rsidRDefault="00C53166" w:rsidP="00C53166">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 xml:space="preserve">                                    </w:t>
      </w:r>
      <w:r w:rsidR="00936F1C">
        <w:rPr>
          <w:rStyle w:val="Heading6Char"/>
        </w:rPr>
        <w:t xml:space="preserve">Figure 6.1: </w:t>
      </w:r>
      <w:r>
        <w:rPr>
          <w:rStyle w:val="Heading6Char"/>
        </w:rPr>
        <w:t>Baselines for Transition Period 1 January – 30 June 2016</w:t>
      </w:r>
    </w:p>
    <w:tbl>
      <w:tblPr>
        <w:tblW w:w="5388" w:type="dxa"/>
        <w:tblInd w:w="1823" w:type="dxa"/>
        <w:tblLook w:val="04A0" w:firstRow="1" w:lastRow="0" w:firstColumn="1" w:lastColumn="0" w:noHBand="0" w:noVBand="1"/>
      </w:tblPr>
      <w:tblGrid>
        <w:gridCol w:w="2552"/>
        <w:gridCol w:w="1418"/>
        <w:gridCol w:w="1418"/>
      </w:tblGrid>
      <w:tr w:rsidR="00C53166" w:rsidRPr="00B211D5" w14:paraId="36B467D3" w14:textId="77777777" w:rsidTr="00C53166">
        <w:trPr>
          <w:trHeight w:val="300"/>
        </w:trPr>
        <w:tc>
          <w:tcPr>
            <w:tcW w:w="2552"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993879D" w14:textId="77777777" w:rsidR="00C53166" w:rsidRPr="00B211D5"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Distribution Business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BC681C2" w14:textId="3F72CE63" w:rsidR="00C53166" w:rsidRPr="00B211D5" w:rsidRDefault="00166183" w:rsidP="00C53166">
            <w:pPr>
              <w:spacing w:before="60" w:after="60" w:line="240" w:lineRule="auto"/>
              <w:jc w:val="center"/>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Current Annual Benchmark</w:t>
            </w:r>
            <w:r w:rsidR="00056A42">
              <w:rPr>
                <w:rFonts w:ascii="Candara" w:eastAsia="Times New Roman" w:hAnsi="Candara" w:cs="Times New Roman"/>
                <w:b/>
                <w:color w:val="FFFFFF" w:themeColor="background1"/>
                <w:sz w:val="18"/>
                <w:szCs w:val="18"/>
                <w:lang w:eastAsia="en-AU"/>
              </w:rPr>
              <w:br/>
              <w:t>(2016-2020</w:t>
            </w:r>
            <w:r w:rsidR="00C53166" w:rsidRPr="00B211D5">
              <w:rPr>
                <w:rFonts w:ascii="Candara" w:eastAsia="Times New Roman" w:hAnsi="Candara" w:cs="Times New Roman"/>
                <w:b/>
                <w:color w:val="FFFFFF" w:themeColor="background1"/>
                <w:sz w:val="18"/>
                <w:szCs w:val="18"/>
                <w:lang w:eastAsia="en-AU"/>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96C9C48" w14:textId="608CE39A" w:rsidR="00C53166" w:rsidRPr="00B211D5" w:rsidRDefault="00166183" w:rsidP="00C53166">
            <w:pPr>
              <w:spacing w:before="60" w:after="60" w:line="240" w:lineRule="auto"/>
              <w:jc w:val="center"/>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 xml:space="preserve">Jan – June </w:t>
            </w:r>
            <w:r w:rsidR="00C53166">
              <w:rPr>
                <w:rFonts w:ascii="Candara" w:eastAsia="Times New Roman" w:hAnsi="Candara" w:cs="Times New Roman"/>
                <w:b/>
                <w:color w:val="FFFFFF" w:themeColor="background1"/>
                <w:sz w:val="18"/>
                <w:szCs w:val="18"/>
                <w:lang w:eastAsia="en-AU"/>
              </w:rPr>
              <w:t>Seasonally-adjusted benchmark</w:t>
            </w:r>
          </w:p>
        </w:tc>
      </w:tr>
      <w:tr w:rsidR="00C53166" w:rsidRPr="00B211D5" w14:paraId="78E4BE38" w14:textId="77777777" w:rsidTr="00C53166">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1FFD22F" w14:textId="77777777" w:rsidR="00C53166" w:rsidRPr="00CE08A3"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AusNet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E2F2853" w14:textId="781D9482"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185.8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2AA40F" w14:textId="5134C250"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109.0</w:t>
            </w:r>
          </w:p>
        </w:tc>
      </w:tr>
      <w:tr w:rsidR="00C53166" w:rsidRPr="00B211D5" w14:paraId="6CFF8F60" w14:textId="77777777" w:rsidTr="00C53166">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7A626453" w14:textId="77777777" w:rsidR="00C53166" w:rsidRPr="00CE08A3"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CitiPower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AFB944" w14:textId="199B6016"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25.8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633BF3" w14:textId="5063747B"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18.6</w:t>
            </w:r>
          </w:p>
        </w:tc>
      </w:tr>
      <w:tr w:rsidR="00C53166" w:rsidRPr="00B211D5" w14:paraId="557BBB12" w14:textId="77777777" w:rsidTr="00C53166">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232C3543" w14:textId="77777777" w:rsidR="00C53166" w:rsidRPr="00CE08A3"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Jemena</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0407A8" w14:textId="2AC922E1"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66.1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FA69A57" w14:textId="2C7422AF"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50.2</w:t>
            </w:r>
          </w:p>
        </w:tc>
      </w:tr>
      <w:tr w:rsidR="00C53166" w:rsidRPr="00B211D5" w14:paraId="37664CE2" w14:textId="77777777" w:rsidTr="00C53166">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6C4759D" w14:textId="77777777" w:rsidR="00C53166" w:rsidRPr="00CE08A3"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Powercor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E0B3DE" w14:textId="70A6CDCD"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351.4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C612F73" w14:textId="29423FAD"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237.2</w:t>
            </w:r>
          </w:p>
        </w:tc>
      </w:tr>
      <w:tr w:rsidR="00C53166" w:rsidRPr="00B211D5" w14:paraId="3336887D" w14:textId="77777777" w:rsidTr="00C53166">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AA0488D" w14:textId="77777777" w:rsidR="00C53166" w:rsidRPr="00CE08A3" w:rsidRDefault="00C53166" w:rsidP="00C53166">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United Energy</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0C29E2" w14:textId="697215EF"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134.9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AF82B7" w14:textId="700F61D5" w:rsidR="00C53166" w:rsidRPr="00B211D5" w:rsidRDefault="00056A42" w:rsidP="00C53166">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98.0</w:t>
            </w:r>
          </w:p>
        </w:tc>
      </w:tr>
    </w:tbl>
    <w:p w14:paraId="5DD4DA64" w14:textId="77777777" w:rsidR="00C53166" w:rsidRDefault="00C53166" w:rsidP="006468A3">
      <w:pPr>
        <w:autoSpaceDE w:val="0"/>
        <w:autoSpaceDN w:val="0"/>
        <w:adjustRightInd w:val="0"/>
        <w:spacing w:before="120" w:after="80"/>
        <w:rPr>
          <w:rFonts w:ascii="Candara" w:hAnsi="Candara" w:cs="Calibri"/>
        </w:rPr>
      </w:pPr>
    </w:p>
    <w:p w14:paraId="1958A824" w14:textId="77777777" w:rsidR="00C53166" w:rsidRDefault="00C53166" w:rsidP="006468A3">
      <w:pPr>
        <w:autoSpaceDE w:val="0"/>
        <w:autoSpaceDN w:val="0"/>
        <w:adjustRightInd w:val="0"/>
        <w:spacing w:before="120" w:after="80"/>
        <w:rPr>
          <w:rFonts w:ascii="Candara" w:hAnsi="Candara" w:cs="Calibri"/>
        </w:rPr>
      </w:pPr>
    </w:p>
    <w:p w14:paraId="55F0D657" w14:textId="4034A8D5" w:rsidR="00C53166" w:rsidRPr="00C53166" w:rsidRDefault="00C53166" w:rsidP="00C53166">
      <w:pPr>
        <w:rPr>
          <w:rFonts w:ascii="Candara" w:hAnsi="Candara"/>
        </w:rPr>
      </w:pPr>
      <w:r w:rsidRPr="00B211D5">
        <w:rPr>
          <w:rFonts w:ascii="Candara" w:hAnsi="Candara"/>
        </w:rPr>
        <w:t xml:space="preserve">The </w:t>
      </w:r>
      <w:r>
        <w:rPr>
          <w:rFonts w:ascii="Candara" w:hAnsi="Candara"/>
        </w:rPr>
        <w:t xml:space="preserve">transitional </w:t>
      </w:r>
      <w:r w:rsidR="00166183">
        <w:rPr>
          <w:rFonts w:ascii="Candara" w:hAnsi="Candara"/>
        </w:rPr>
        <w:t>benchmarks</w:t>
      </w:r>
      <w:r>
        <w:rPr>
          <w:rFonts w:ascii="Candara" w:hAnsi="Candara"/>
        </w:rPr>
        <w:t xml:space="preserve"> </w:t>
      </w:r>
      <w:r w:rsidR="004D4D86">
        <w:rPr>
          <w:rFonts w:ascii="Candara" w:hAnsi="Candara"/>
        </w:rPr>
        <w:t xml:space="preserve">were </w:t>
      </w:r>
      <w:r>
        <w:rPr>
          <w:rFonts w:ascii="Candara" w:hAnsi="Candara"/>
        </w:rPr>
        <w:t>established by seasonally-adjusting the current f-factor scheme benchmarks for a 1 January to 30 June period</w:t>
      </w:r>
      <w:r w:rsidRPr="00B211D5">
        <w:rPr>
          <w:rFonts w:ascii="Candara" w:hAnsi="Candara"/>
        </w:rPr>
        <w:t>.</w:t>
      </w:r>
      <w:r>
        <w:rPr>
          <w:rFonts w:ascii="Candara" w:hAnsi="Candara"/>
        </w:rPr>
        <w:t xml:space="preserve"> This </w:t>
      </w:r>
      <w:r w:rsidR="00166183">
        <w:rPr>
          <w:rFonts w:ascii="Candara" w:hAnsi="Candara"/>
        </w:rPr>
        <w:t>is based on the</w:t>
      </w:r>
      <w:r>
        <w:rPr>
          <w:rFonts w:ascii="Candara" w:hAnsi="Candara"/>
        </w:rPr>
        <w:t xml:space="preserve"> percentage of </w:t>
      </w:r>
      <w:r w:rsidR="00166183">
        <w:rPr>
          <w:rFonts w:ascii="Candara" w:hAnsi="Candara"/>
        </w:rPr>
        <w:t>the actual</w:t>
      </w:r>
      <w:r>
        <w:rPr>
          <w:rFonts w:ascii="Candara" w:hAnsi="Candara"/>
        </w:rPr>
        <w:t xml:space="preserve"> number of fire starts for</w:t>
      </w:r>
      <w:r w:rsidR="00166183">
        <w:rPr>
          <w:rFonts w:ascii="Candara" w:hAnsi="Candara"/>
        </w:rPr>
        <w:t xml:space="preserve"> each business over 2012 – 2015, that occurred over that 1 January to 30 June period. </w:t>
      </w:r>
    </w:p>
    <w:p w14:paraId="0AE45111" w14:textId="1384ED58" w:rsidR="00C53166" w:rsidRPr="00C629A3" w:rsidRDefault="00D60909" w:rsidP="006468A3">
      <w:pPr>
        <w:autoSpaceDE w:val="0"/>
        <w:autoSpaceDN w:val="0"/>
        <w:adjustRightInd w:val="0"/>
        <w:spacing w:before="120" w:after="80"/>
        <w:rPr>
          <w:rFonts w:ascii="Candara" w:hAnsi="Candara" w:cs="Calibri"/>
        </w:rPr>
      </w:pPr>
      <w:r w:rsidRPr="00C629A3">
        <w:rPr>
          <w:rFonts w:ascii="Candara" w:hAnsi="Candara" w:cs="Calibri"/>
        </w:rPr>
        <w:t>After June 2016 the distribution businesses will submit their fire start performance reports to the AER which will then be in a position to make a po</w:t>
      </w:r>
      <w:r w:rsidR="00362531">
        <w:rPr>
          <w:rFonts w:ascii="Candara" w:hAnsi="Candara" w:cs="Calibri"/>
        </w:rPr>
        <w:t>sitive or negative pass through</w:t>
      </w:r>
      <w:r w:rsidRPr="00C629A3">
        <w:rPr>
          <w:rFonts w:ascii="Candara" w:hAnsi="Candara" w:cs="Calibri"/>
        </w:rPr>
        <w:t xml:space="preserve"> for the transitional January – June 2016 period.</w:t>
      </w:r>
      <w:r w:rsidR="00362531">
        <w:rPr>
          <w:rFonts w:ascii="Candara" w:hAnsi="Candara" w:cs="Calibri"/>
        </w:rPr>
        <w:t xml:space="preserve"> Commencement of recalculated f-factor liabilities into IRUs will apply into the current EDPR period, with the 2016/17 financial year forming a second </w:t>
      </w:r>
      <w:r w:rsidR="00362531">
        <w:rPr>
          <w:rFonts w:ascii="Candara" w:hAnsi="Candara" w:cs="Calibri"/>
        </w:rPr>
        <w:lastRenderedPageBreak/>
        <w:t>input into the factor performanc</w:t>
      </w:r>
      <w:r w:rsidR="00D34A3A">
        <w:rPr>
          <w:rFonts w:ascii="Candara" w:hAnsi="Candara" w:cs="Calibri"/>
        </w:rPr>
        <w:t>e outcome processed by the AER for revenue determination for</w:t>
      </w:r>
      <w:r w:rsidR="00362531">
        <w:rPr>
          <w:rFonts w:ascii="Candara" w:hAnsi="Candara" w:cs="Calibri"/>
        </w:rPr>
        <w:t xml:space="preserve"> 2018. </w:t>
      </w:r>
    </w:p>
    <w:p w14:paraId="2063B6B2" w14:textId="77777777" w:rsidR="00D60909" w:rsidRPr="00C629A3" w:rsidRDefault="00325781" w:rsidP="009F5994">
      <w:pPr>
        <w:pStyle w:val="Heading2"/>
        <w:rPr>
          <w:sz w:val="22"/>
          <w:szCs w:val="22"/>
        </w:rPr>
      </w:pPr>
      <w:bookmarkStart w:id="48" w:name="_Toc458675201"/>
      <w:r w:rsidRPr="00C629A3">
        <w:rPr>
          <w:sz w:val="22"/>
          <w:szCs w:val="22"/>
        </w:rPr>
        <w:t>Administration</w:t>
      </w:r>
      <w:bookmarkEnd w:id="48"/>
    </w:p>
    <w:p w14:paraId="2C647BAB" w14:textId="77777777" w:rsidR="00D60909" w:rsidRPr="00C629A3" w:rsidRDefault="00D60909" w:rsidP="00D60909">
      <w:pPr>
        <w:rPr>
          <w:rFonts w:ascii="Candara" w:hAnsi="Candara"/>
        </w:rPr>
      </w:pPr>
      <w:r w:rsidRPr="00C629A3">
        <w:rPr>
          <w:rFonts w:ascii="Candara" w:hAnsi="Candara"/>
        </w:rPr>
        <w:t xml:space="preserve">Successful implementation of the </w:t>
      </w:r>
      <w:r w:rsidR="006468A3" w:rsidRPr="00C629A3">
        <w:rPr>
          <w:rFonts w:ascii="Candara" w:hAnsi="Candara"/>
        </w:rPr>
        <w:t>revised f-factor</w:t>
      </w:r>
      <w:r w:rsidRPr="00C629A3">
        <w:rPr>
          <w:rFonts w:ascii="Candara" w:hAnsi="Candara"/>
        </w:rPr>
        <w:t xml:space="preserve"> requires the:</w:t>
      </w:r>
    </w:p>
    <w:p w14:paraId="25E92105" w14:textId="190ABC16" w:rsidR="00D60909" w:rsidRPr="00C629A3" w:rsidRDefault="00D60909" w:rsidP="00345278">
      <w:pPr>
        <w:numPr>
          <w:ilvl w:val="0"/>
          <w:numId w:val="11"/>
        </w:numPr>
        <w:spacing w:after="0"/>
        <w:ind w:left="714" w:hanging="357"/>
        <w:rPr>
          <w:rFonts w:ascii="Candara" w:hAnsi="Candara"/>
        </w:rPr>
      </w:pPr>
      <w:r w:rsidRPr="00C629A3">
        <w:rPr>
          <w:rFonts w:ascii="Candara" w:hAnsi="Candara"/>
        </w:rPr>
        <w:t xml:space="preserve">Determination of </w:t>
      </w:r>
      <w:r w:rsidR="00A7638F">
        <w:rPr>
          <w:rFonts w:ascii="Candara" w:hAnsi="Candara"/>
        </w:rPr>
        <w:t xml:space="preserve">an </w:t>
      </w:r>
      <w:r w:rsidRPr="00C629A3">
        <w:rPr>
          <w:rFonts w:ascii="Candara" w:hAnsi="Candara"/>
        </w:rPr>
        <w:t>IRU benchmark</w:t>
      </w:r>
      <w:r w:rsidR="00A7638F">
        <w:rPr>
          <w:rFonts w:ascii="Candara" w:hAnsi="Candara"/>
        </w:rPr>
        <w:t xml:space="preserve"> for each business</w:t>
      </w:r>
      <w:r w:rsidRPr="00C629A3">
        <w:rPr>
          <w:rFonts w:ascii="Candara" w:hAnsi="Candara"/>
        </w:rPr>
        <w:t xml:space="preserve">, based on the best available historical data and projection of the impact of asset deployment, prior to </w:t>
      </w:r>
      <w:r w:rsidR="006468A3" w:rsidRPr="00C629A3">
        <w:rPr>
          <w:rFonts w:ascii="Candara" w:hAnsi="Candara"/>
        </w:rPr>
        <w:t>revised f-factor</w:t>
      </w:r>
      <w:r w:rsidRPr="00C629A3">
        <w:rPr>
          <w:rFonts w:ascii="Candara" w:hAnsi="Candara"/>
        </w:rPr>
        <w:t xml:space="preserve"> commencement;</w:t>
      </w:r>
    </w:p>
    <w:p w14:paraId="7BA484BF" w14:textId="77777777" w:rsidR="00D60909" w:rsidRPr="00C629A3" w:rsidRDefault="00D60909" w:rsidP="00345278">
      <w:pPr>
        <w:numPr>
          <w:ilvl w:val="0"/>
          <w:numId w:val="11"/>
        </w:numPr>
        <w:spacing w:after="0"/>
        <w:ind w:left="714" w:hanging="357"/>
        <w:rPr>
          <w:rFonts w:ascii="Candara" w:hAnsi="Candara"/>
        </w:rPr>
      </w:pPr>
      <w:r w:rsidRPr="00C629A3">
        <w:rPr>
          <w:rFonts w:ascii="Candara" w:hAnsi="Candara"/>
        </w:rPr>
        <w:t>Establishment of a practical reliable reporting system of IRU performance for each business;</w:t>
      </w:r>
    </w:p>
    <w:p w14:paraId="71857B9C" w14:textId="77777777" w:rsidR="00D60909" w:rsidRDefault="00D60909" w:rsidP="00345278">
      <w:pPr>
        <w:numPr>
          <w:ilvl w:val="0"/>
          <w:numId w:val="11"/>
        </w:numPr>
        <w:spacing w:after="0"/>
        <w:ind w:left="714" w:hanging="357"/>
        <w:rPr>
          <w:rFonts w:ascii="Candara" w:hAnsi="Candara"/>
        </w:rPr>
      </w:pPr>
      <w:r w:rsidRPr="00C629A3">
        <w:rPr>
          <w:rFonts w:ascii="Candara" w:hAnsi="Candara"/>
        </w:rPr>
        <w:t xml:space="preserve">Annual </w:t>
      </w:r>
      <w:r w:rsidR="00362531">
        <w:rPr>
          <w:rFonts w:ascii="Candara" w:hAnsi="Candara"/>
        </w:rPr>
        <w:t>calculation</w:t>
      </w:r>
      <w:r w:rsidRPr="00C629A3">
        <w:rPr>
          <w:rFonts w:ascii="Candara" w:hAnsi="Candara"/>
        </w:rPr>
        <w:t xml:space="preserve"> of incentives for each business by way of a positive or negative pass through by the AER.</w:t>
      </w:r>
    </w:p>
    <w:p w14:paraId="28E402FD" w14:textId="77777777" w:rsidR="005C1E64" w:rsidRPr="00C629A3" w:rsidRDefault="005C1E64" w:rsidP="005C1E64">
      <w:pPr>
        <w:spacing w:after="0"/>
        <w:rPr>
          <w:rFonts w:ascii="Candara" w:hAnsi="Candara"/>
        </w:rPr>
      </w:pPr>
    </w:p>
    <w:p w14:paraId="4E536C5E" w14:textId="7035C7E3" w:rsidR="00D60909" w:rsidRPr="00C629A3" w:rsidRDefault="00D60909" w:rsidP="00D60909">
      <w:pPr>
        <w:rPr>
          <w:rFonts w:ascii="Candara" w:hAnsi="Candara"/>
        </w:rPr>
      </w:pPr>
      <w:r w:rsidRPr="00C629A3">
        <w:rPr>
          <w:rFonts w:ascii="Candara" w:hAnsi="Candara"/>
        </w:rPr>
        <w:t>Fire starts for each business have been reported to the AER for the 2012-1</w:t>
      </w:r>
      <w:r w:rsidR="00D34A3A">
        <w:rPr>
          <w:rFonts w:ascii="Candara" w:hAnsi="Candara"/>
        </w:rPr>
        <w:t>5</w:t>
      </w:r>
      <w:r w:rsidRPr="00C629A3">
        <w:rPr>
          <w:rFonts w:ascii="Candara" w:hAnsi="Candara"/>
        </w:rPr>
        <w:t xml:space="preserve"> calendar</w:t>
      </w:r>
      <w:r w:rsidR="00D34A3A">
        <w:rPr>
          <w:rFonts w:ascii="Candara" w:hAnsi="Candara"/>
        </w:rPr>
        <w:t xml:space="preserve"> year</w:t>
      </w:r>
      <w:r w:rsidRPr="00C629A3">
        <w:rPr>
          <w:rFonts w:ascii="Candara" w:hAnsi="Candara"/>
        </w:rPr>
        <w:t>. Although conceptually this data should be sufficient to establish a IRU historical base benchmark, the location format in some instances</w:t>
      </w:r>
      <w:r w:rsidR="00A7638F">
        <w:rPr>
          <w:rFonts w:ascii="Candara" w:hAnsi="Candara"/>
        </w:rPr>
        <w:t xml:space="preserve"> may not be</w:t>
      </w:r>
      <w:r w:rsidRPr="00C629A3">
        <w:rPr>
          <w:rFonts w:ascii="Candara" w:hAnsi="Candara"/>
        </w:rPr>
        <w:t xml:space="preserve"> specific enough. </w:t>
      </w:r>
      <w:r w:rsidR="00D34A3A">
        <w:rPr>
          <w:rFonts w:ascii="Candara" w:hAnsi="Candara"/>
        </w:rPr>
        <w:t xml:space="preserve">The </w:t>
      </w:r>
      <w:r w:rsidRPr="00C629A3">
        <w:rPr>
          <w:rFonts w:ascii="Candara" w:hAnsi="Candara"/>
        </w:rPr>
        <w:t xml:space="preserve">businesses </w:t>
      </w:r>
      <w:r w:rsidR="00D34A3A">
        <w:rPr>
          <w:rFonts w:ascii="Candara" w:hAnsi="Candara"/>
        </w:rPr>
        <w:t xml:space="preserve">have been given </w:t>
      </w:r>
      <w:r w:rsidRPr="00C629A3">
        <w:rPr>
          <w:rFonts w:ascii="Candara" w:hAnsi="Candara"/>
        </w:rPr>
        <w:t>the opportunity to submit more accurate data prior to the IRU base benchmark being established. The second step is to decrement the base benchmark to take account of the expected reduction in fire starts to be achieved</w:t>
      </w:r>
      <w:r w:rsidR="00B53E3F" w:rsidRPr="00C629A3">
        <w:rPr>
          <w:rFonts w:ascii="Candara" w:hAnsi="Candara"/>
        </w:rPr>
        <w:t xml:space="preserve"> by the roll out ACRs, </w:t>
      </w:r>
      <w:r w:rsidRPr="00C629A3">
        <w:rPr>
          <w:rFonts w:ascii="Candara" w:hAnsi="Candara"/>
        </w:rPr>
        <w:t>REFCLs</w:t>
      </w:r>
      <w:r w:rsidR="00B53E3F" w:rsidRPr="00C629A3">
        <w:rPr>
          <w:rFonts w:ascii="Candara" w:hAnsi="Candara"/>
        </w:rPr>
        <w:t xml:space="preserve"> </w:t>
      </w:r>
      <w:r w:rsidR="00B53E3F" w:rsidRPr="00C30DA3">
        <w:rPr>
          <w:rFonts w:ascii="Candara" w:hAnsi="Candara"/>
        </w:rPr>
        <w:t>and PRF works</w:t>
      </w:r>
      <w:r w:rsidRPr="00C629A3">
        <w:rPr>
          <w:rFonts w:ascii="Candara" w:hAnsi="Candara"/>
        </w:rPr>
        <w:t xml:space="preserve">. This will be primarily calculated through the application of the CSIRO Risk Reduction Model based on the asset rollouts foreshadowed by the distribution businesses in accordance with the regulated requirements. Distribution businesses </w:t>
      </w:r>
      <w:r w:rsidR="00D34A3A">
        <w:rPr>
          <w:rFonts w:ascii="Candara" w:hAnsi="Candara"/>
        </w:rPr>
        <w:t xml:space="preserve">have been </w:t>
      </w:r>
      <w:r w:rsidRPr="00C629A3">
        <w:rPr>
          <w:rFonts w:ascii="Candara" w:hAnsi="Candara"/>
        </w:rPr>
        <w:t>given the opportunity to review and comment upon the proposed decrements prior to the IRU benchmark determination.</w:t>
      </w:r>
      <w:r w:rsidR="00B53E3F" w:rsidRPr="00C629A3">
        <w:rPr>
          <w:rFonts w:ascii="Candara" w:hAnsi="Candara"/>
        </w:rPr>
        <w:t xml:space="preserve"> </w:t>
      </w:r>
      <w:r w:rsidR="00362531">
        <w:rPr>
          <w:rFonts w:ascii="Candara" w:hAnsi="Candara"/>
        </w:rPr>
        <w:t xml:space="preserve">This impact </w:t>
      </w:r>
      <w:r w:rsidR="002068E9">
        <w:rPr>
          <w:rFonts w:ascii="Candara" w:hAnsi="Candara"/>
        </w:rPr>
        <w:t>was</w:t>
      </w:r>
      <w:r w:rsidR="00362531">
        <w:rPr>
          <w:rFonts w:ascii="Candara" w:hAnsi="Candara"/>
        </w:rPr>
        <w:t xml:space="preserve"> taken into consideration by </w:t>
      </w:r>
      <w:r w:rsidR="00E97F76">
        <w:rPr>
          <w:rFonts w:ascii="Candara" w:hAnsi="Candara"/>
        </w:rPr>
        <w:t>DELWP</w:t>
      </w:r>
      <w:r w:rsidR="00362531">
        <w:rPr>
          <w:rFonts w:ascii="Candara" w:hAnsi="Candara"/>
        </w:rPr>
        <w:t xml:space="preserve">. </w:t>
      </w:r>
    </w:p>
    <w:p w14:paraId="71711E6C" w14:textId="77777777" w:rsidR="00D60909" w:rsidRPr="00C629A3" w:rsidRDefault="00D60909" w:rsidP="00D60909">
      <w:pPr>
        <w:rPr>
          <w:rFonts w:ascii="Candara" w:hAnsi="Candara"/>
        </w:rPr>
      </w:pPr>
      <w:r w:rsidRPr="00C629A3">
        <w:rPr>
          <w:rFonts w:ascii="Candara" w:hAnsi="Candara"/>
        </w:rPr>
        <w:t>Accurate reporting will be critical for the successful introduction of the scheme. Distribution businesses will need to review existing fault reporting systems to ensure that:</w:t>
      </w:r>
    </w:p>
    <w:p w14:paraId="1BA911FE" w14:textId="77777777" w:rsidR="00D60909" w:rsidRPr="00C629A3" w:rsidRDefault="004001B4" w:rsidP="00345278">
      <w:pPr>
        <w:numPr>
          <w:ilvl w:val="0"/>
          <w:numId w:val="11"/>
        </w:numPr>
        <w:spacing w:after="0"/>
        <w:ind w:left="714" w:hanging="357"/>
        <w:rPr>
          <w:rFonts w:ascii="Candara" w:hAnsi="Candara"/>
        </w:rPr>
      </w:pPr>
      <w:r>
        <w:rPr>
          <w:rFonts w:ascii="Candara" w:hAnsi="Candara"/>
        </w:rPr>
        <w:t>f</w:t>
      </w:r>
      <w:r w:rsidR="00D60909" w:rsidRPr="00C629A3">
        <w:rPr>
          <w:rFonts w:ascii="Candara" w:hAnsi="Candara"/>
        </w:rPr>
        <w:t>aults are correctly reported as fire starts where appropriate</w:t>
      </w:r>
      <w:r>
        <w:rPr>
          <w:rFonts w:ascii="Candara" w:hAnsi="Candara"/>
        </w:rPr>
        <w:t>; and</w:t>
      </w:r>
    </w:p>
    <w:p w14:paraId="4055EAB6" w14:textId="6C36BAF7" w:rsidR="00B53E3F" w:rsidRPr="00D34A3A" w:rsidRDefault="004001B4" w:rsidP="00D34A3A">
      <w:pPr>
        <w:numPr>
          <w:ilvl w:val="0"/>
          <w:numId w:val="11"/>
        </w:numPr>
        <w:spacing w:after="0"/>
        <w:ind w:left="714" w:hanging="357"/>
        <w:rPr>
          <w:rFonts w:ascii="Candara" w:hAnsi="Candara"/>
        </w:rPr>
      </w:pPr>
      <w:r>
        <w:rPr>
          <w:rFonts w:ascii="Candara" w:hAnsi="Candara"/>
        </w:rPr>
        <w:t>d</w:t>
      </w:r>
      <w:r w:rsidR="00D60909" w:rsidRPr="00C629A3">
        <w:rPr>
          <w:rFonts w:ascii="Candara" w:hAnsi="Candara"/>
        </w:rPr>
        <w:t>ate, time and location of each fire start is accurate.</w:t>
      </w:r>
    </w:p>
    <w:p w14:paraId="24631A78" w14:textId="77777777" w:rsidR="00E53859" w:rsidRPr="00E53859" w:rsidRDefault="00E53859" w:rsidP="00147437">
      <w:pPr>
        <w:pStyle w:val="Heading3"/>
      </w:pPr>
      <w:bookmarkStart w:id="49" w:name="_Toc458675202"/>
      <w:r w:rsidRPr="00E53859">
        <w:t>Role of the Department</w:t>
      </w:r>
      <w:bookmarkEnd w:id="49"/>
    </w:p>
    <w:p w14:paraId="08FB2F16" w14:textId="43AAB697" w:rsidR="00E53859" w:rsidRPr="00E53859" w:rsidRDefault="00E53859" w:rsidP="00E53859">
      <w:pPr>
        <w:rPr>
          <w:rFonts w:ascii="Candara" w:hAnsi="Candara"/>
        </w:rPr>
      </w:pPr>
      <w:r w:rsidRPr="00E53859">
        <w:rPr>
          <w:rFonts w:ascii="Candara" w:hAnsi="Candara"/>
        </w:rPr>
        <w:t>The Department shall be responsible for calculating and setting the Ignition Risk Unit f-factor benchmark of each distribution business to be applied under the proposed revised f-factor</w:t>
      </w:r>
      <w:r w:rsidR="00233112">
        <w:rPr>
          <w:rFonts w:ascii="Candara" w:hAnsi="Candara"/>
        </w:rPr>
        <w:t xml:space="preserve"> for the remaining 2016 – 2020 </w:t>
      </w:r>
      <w:r w:rsidRPr="00E53859">
        <w:rPr>
          <w:rFonts w:ascii="Candara" w:hAnsi="Candara"/>
        </w:rPr>
        <w:t xml:space="preserve">EDPR cycle. </w:t>
      </w:r>
      <w:r w:rsidR="00AB3CD7">
        <w:rPr>
          <w:rFonts w:ascii="Candara" w:hAnsi="Candara"/>
        </w:rPr>
        <w:t>These benchmarks will be set into the proposed f-factor Order in Council. Benchmarks for further cycles may be published by the Minister by notice in the Victoria Government Gazette</w:t>
      </w:r>
      <w:r w:rsidR="00233112">
        <w:rPr>
          <w:rFonts w:ascii="Candara" w:hAnsi="Candara"/>
        </w:rPr>
        <w:t xml:space="preserve">. </w:t>
      </w:r>
    </w:p>
    <w:p w14:paraId="7EDAA736" w14:textId="77777777" w:rsidR="000C131B" w:rsidRPr="00147437" w:rsidRDefault="000C131B" w:rsidP="00147437">
      <w:pPr>
        <w:pStyle w:val="Heading3"/>
      </w:pPr>
      <w:bookmarkStart w:id="50" w:name="_Toc458675203"/>
      <w:r w:rsidRPr="00147437">
        <w:t>Role of Distribution Businesses</w:t>
      </w:r>
      <w:bookmarkEnd w:id="50"/>
    </w:p>
    <w:p w14:paraId="254DCECF" w14:textId="139FCCA2" w:rsidR="000C131B" w:rsidRPr="000C131B" w:rsidRDefault="000C131B" w:rsidP="000C131B">
      <w:pPr>
        <w:rPr>
          <w:rFonts w:ascii="Candara" w:hAnsi="Candara"/>
        </w:rPr>
      </w:pPr>
      <w:r w:rsidRPr="000C131B">
        <w:rPr>
          <w:rFonts w:ascii="Candara" w:hAnsi="Candara"/>
        </w:rPr>
        <w:t>The distribution businesses will collect and report ignitions data</w:t>
      </w:r>
      <w:r w:rsidR="00931525">
        <w:rPr>
          <w:rFonts w:ascii="Candara" w:hAnsi="Candara"/>
        </w:rPr>
        <w:t>.</w:t>
      </w:r>
    </w:p>
    <w:p w14:paraId="3503AF58" w14:textId="3F8A9F5C" w:rsidR="000C131B" w:rsidRPr="000C131B" w:rsidRDefault="000C131B" w:rsidP="000C131B">
      <w:pPr>
        <w:rPr>
          <w:rFonts w:ascii="Candara" w:hAnsi="Candara"/>
        </w:rPr>
      </w:pPr>
      <w:r w:rsidRPr="000C131B">
        <w:rPr>
          <w:rFonts w:ascii="Candara" w:hAnsi="Candara"/>
        </w:rPr>
        <w:t xml:space="preserve">For 1 January 2016 to 30 June 2016, the distribution businesses </w:t>
      </w:r>
      <w:r w:rsidR="00D34A3A">
        <w:rPr>
          <w:rFonts w:ascii="Candara" w:hAnsi="Candara"/>
        </w:rPr>
        <w:t>are</w:t>
      </w:r>
      <w:r w:rsidRPr="000C131B">
        <w:rPr>
          <w:rFonts w:ascii="Candara" w:hAnsi="Candara"/>
        </w:rPr>
        <w:t xml:space="preserve"> collect</w:t>
      </w:r>
      <w:r w:rsidR="00D34A3A">
        <w:rPr>
          <w:rFonts w:ascii="Candara" w:hAnsi="Candara"/>
        </w:rPr>
        <w:t>ing</w:t>
      </w:r>
      <w:r w:rsidRPr="000C131B">
        <w:rPr>
          <w:rFonts w:ascii="Candara" w:hAnsi="Candara"/>
        </w:rPr>
        <w:t xml:space="preserve"> their ignitions data as designated under the current system.  The businesses will submit this data to the Australian </w:t>
      </w:r>
      <w:r w:rsidRPr="000C131B">
        <w:rPr>
          <w:rFonts w:ascii="Candara" w:hAnsi="Candara"/>
        </w:rPr>
        <w:lastRenderedPageBreak/>
        <w:t xml:space="preserve">Energy Regulator in accordance with </w:t>
      </w:r>
      <w:r w:rsidR="00AB3CD7">
        <w:rPr>
          <w:rFonts w:ascii="Candara" w:hAnsi="Candara"/>
        </w:rPr>
        <w:t>its request for a Fire Start Report and/or</w:t>
      </w:r>
      <w:r w:rsidRPr="000C131B">
        <w:rPr>
          <w:rFonts w:ascii="Candara" w:hAnsi="Candara"/>
        </w:rPr>
        <w:t xml:space="preserve"> Regulatory Information Notice (RIN). </w:t>
      </w:r>
    </w:p>
    <w:p w14:paraId="072BA091" w14:textId="2FBB88C2" w:rsidR="00AB3CD7" w:rsidRDefault="000C131B" w:rsidP="000C131B">
      <w:pPr>
        <w:rPr>
          <w:rFonts w:ascii="Candara" w:hAnsi="Candara"/>
        </w:rPr>
      </w:pPr>
      <w:r w:rsidRPr="000C131B">
        <w:rPr>
          <w:rFonts w:ascii="Candara" w:hAnsi="Candara"/>
        </w:rPr>
        <w:t>From 1 July 2016, the distribution businesses will commence collection of ignitions data to the format required for the new f-factor scheme.</w:t>
      </w:r>
    </w:p>
    <w:p w14:paraId="487A4927" w14:textId="77777777" w:rsidR="00AB3CD7" w:rsidRPr="000C131B" w:rsidRDefault="00AB3CD7" w:rsidP="000C131B">
      <w:pPr>
        <w:rPr>
          <w:rFonts w:ascii="Candara" w:hAnsi="Candara"/>
        </w:rPr>
      </w:pPr>
    </w:p>
    <w:p w14:paraId="39F4A409" w14:textId="77777777" w:rsidR="000C131B" w:rsidRPr="000C131B" w:rsidRDefault="000C131B" w:rsidP="000C131B">
      <w:pPr>
        <w:rPr>
          <w:rFonts w:ascii="Candara" w:hAnsi="Candara"/>
        </w:rPr>
      </w:pPr>
      <w:r w:rsidRPr="000C131B">
        <w:rPr>
          <w:rFonts w:ascii="Candara" w:hAnsi="Candara"/>
        </w:rPr>
        <w:t>Each ignition shall be identified by:</w:t>
      </w:r>
    </w:p>
    <w:p w14:paraId="7945C562" w14:textId="77777777" w:rsidR="00640446" w:rsidRPr="000C131B" w:rsidRDefault="00640446" w:rsidP="00345278">
      <w:pPr>
        <w:numPr>
          <w:ilvl w:val="0"/>
          <w:numId w:val="27"/>
        </w:numPr>
        <w:spacing w:after="0"/>
        <w:ind w:left="714" w:hanging="357"/>
        <w:rPr>
          <w:rFonts w:ascii="Candara" w:hAnsi="Candara"/>
        </w:rPr>
      </w:pPr>
      <w:r w:rsidRPr="000C131B">
        <w:rPr>
          <w:rFonts w:ascii="Candara" w:hAnsi="Candara"/>
        </w:rPr>
        <w:t>Latitude and Longitude</w:t>
      </w:r>
    </w:p>
    <w:p w14:paraId="04B231D2" w14:textId="77777777" w:rsidR="00640446" w:rsidRDefault="00640446" w:rsidP="00345278">
      <w:pPr>
        <w:numPr>
          <w:ilvl w:val="0"/>
          <w:numId w:val="27"/>
        </w:numPr>
        <w:spacing w:after="0"/>
        <w:ind w:left="714" w:hanging="357"/>
        <w:rPr>
          <w:rFonts w:ascii="Candara" w:hAnsi="Candara"/>
        </w:rPr>
      </w:pPr>
      <w:r w:rsidRPr="000C131B">
        <w:rPr>
          <w:rFonts w:ascii="Candara" w:hAnsi="Candara"/>
        </w:rPr>
        <w:t>Time and Date</w:t>
      </w:r>
    </w:p>
    <w:p w14:paraId="4E9E05F2" w14:textId="5480F45C" w:rsidR="00A15C5C" w:rsidRPr="000C131B" w:rsidRDefault="00A15C5C" w:rsidP="00345278">
      <w:pPr>
        <w:numPr>
          <w:ilvl w:val="0"/>
          <w:numId w:val="27"/>
        </w:numPr>
        <w:spacing w:after="0"/>
        <w:ind w:left="714" w:hanging="357"/>
        <w:rPr>
          <w:rFonts w:ascii="Candara" w:hAnsi="Candara"/>
        </w:rPr>
      </w:pPr>
      <w:r>
        <w:rPr>
          <w:rFonts w:ascii="Candara" w:hAnsi="Candara"/>
        </w:rPr>
        <w:t>Declared Fire Danger Rating at the time the ignition was discovered</w:t>
      </w:r>
    </w:p>
    <w:p w14:paraId="432E0A73" w14:textId="77777777" w:rsidR="00640446" w:rsidRPr="000C131B" w:rsidRDefault="00640446" w:rsidP="00345278">
      <w:pPr>
        <w:numPr>
          <w:ilvl w:val="0"/>
          <w:numId w:val="27"/>
        </w:numPr>
        <w:spacing w:after="0"/>
        <w:ind w:left="714" w:hanging="357"/>
        <w:rPr>
          <w:rFonts w:ascii="Candara" w:hAnsi="Candara"/>
        </w:rPr>
      </w:pPr>
      <w:r w:rsidRPr="000C131B">
        <w:rPr>
          <w:rFonts w:ascii="Candara" w:hAnsi="Candara"/>
        </w:rPr>
        <w:t>Nearest street address</w:t>
      </w:r>
    </w:p>
    <w:p w14:paraId="5853AA5A" w14:textId="77777777" w:rsidR="00640446" w:rsidRPr="000C131B" w:rsidRDefault="00640446" w:rsidP="00345278">
      <w:pPr>
        <w:numPr>
          <w:ilvl w:val="0"/>
          <w:numId w:val="27"/>
        </w:numPr>
        <w:spacing w:after="0"/>
        <w:ind w:left="714" w:hanging="357"/>
        <w:rPr>
          <w:rFonts w:ascii="Candara" w:hAnsi="Candara"/>
        </w:rPr>
      </w:pPr>
      <w:r w:rsidRPr="000C131B">
        <w:rPr>
          <w:rFonts w:ascii="Candara" w:hAnsi="Candara"/>
        </w:rPr>
        <w:t>Nearest Pole Identification Number (nearest pole)</w:t>
      </w:r>
    </w:p>
    <w:p w14:paraId="1CBB30F7" w14:textId="77777777" w:rsidR="00640446" w:rsidRPr="000C131B" w:rsidRDefault="00640446" w:rsidP="00345278">
      <w:pPr>
        <w:numPr>
          <w:ilvl w:val="0"/>
          <w:numId w:val="27"/>
        </w:numPr>
        <w:spacing w:after="0"/>
        <w:ind w:left="714" w:hanging="357"/>
        <w:rPr>
          <w:rFonts w:ascii="Candara" w:hAnsi="Candara"/>
        </w:rPr>
      </w:pPr>
      <w:r w:rsidRPr="000C131B">
        <w:rPr>
          <w:rFonts w:ascii="Candara" w:hAnsi="Candara"/>
        </w:rPr>
        <w:t>Feeder Identification</w:t>
      </w:r>
    </w:p>
    <w:p w14:paraId="54522748" w14:textId="77777777" w:rsidR="00640446" w:rsidRPr="000C131B" w:rsidRDefault="00640446" w:rsidP="00345278">
      <w:pPr>
        <w:numPr>
          <w:ilvl w:val="0"/>
          <w:numId w:val="27"/>
        </w:numPr>
        <w:spacing w:after="0"/>
        <w:ind w:left="714" w:hanging="357"/>
        <w:rPr>
          <w:rFonts w:ascii="Candara" w:hAnsi="Candara"/>
        </w:rPr>
      </w:pPr>
      <w:r w:rsidRPr="000C131B">
        <w:rPr>
          <w:rFonts w:ascii="Candara" w:hAnsi="Candara"/>
        </w:rPr>
        <w:t>Zone substation for feeder</w:t>
      </w:r>
    </w:p>
    <w:p w14:paraId="6EB9CDCB" w14:textId="082E9DAA" w:rsidR="00640446" w:rsidRDefault="00640446" w:rsidP="00345278">
      <w:pPr>
        <w:numPr>
          <w:ilvl w:val="0"/>
          <w:numId w:val="27"/>
        </w:numPr>
        <w:spacing w:after="0"/>
        <w:ind w:left="714" w:hanging="357"/>
        <w:rPr>
          <w:rFonts w:ascii="Candara" w:hAnsi="Candara"/>
        </w:rPr>
      </w:pPr>
      <w:r w:rsidRPr="000C131B">
        <w:rPr>
          <w:rFonts w:ascii="Candara" w:hAnsi="Candara"/>
        </w:rPr>
        <w:t>Voltage</w:t>
      </w:r>
      <w:r w:rsidR="00D84F34">
        <w:rPr>
          <w:rFonts w:ascii="Candara" w:hAnsi="Candara"/>
        </w:rPr>
        <w:t xml:space="preserve"> of the line which the ignition occurred</w:t>
      </w:r>
    </w:p>
    <w:p w14:paraId="73D695E6" w14:textId="77777777" w:rsidR="00147437" w:rsidRDefault="00147437" w:rsidP="00147437">
      <w:pPr>
        <w:spacing w:after="0"/>
        <w:ind w:left="714"/>
        <w:rPr>
          <w:rFonts w:ascii="Candara" w:hAnsi="Candara"/>
        </w:rPr>
      </w:pPr>
    </w:p>
    <w:p w14:paraId="3F538A03" w14:textId="65701A7E" w:rsidR="00147437" w:rsidRDefault="00147437" w:rsidP="00147437">
      <w:pPr>
        <w:spacing w:after="0"/>
        <w:rPr>
          <w:rFonts w:ascii="Candara" w:hAnsi="Candara"/>
        </w:rPr>
      </w:pPr>
      <w:r>
        <w:rPr>
          <w:rFonts w:ascii="Candara" w:hAnsi="Candara"/>
        </w:rPr>
        <w:t xml:space="preserve">Ideally, the businesses should progress to supplying a photo of each ignition site. </w:t>
      </w:r>
    </w:p>
    <w:p w14:paraId="6C4C3B98" w14:textId="77777777" w:rsidR="00EF3C86" w:rsidRPr="000C131B" w:rsidRDefault="00EF3C86" w:rsidP="001A7A1D">
      <w:pPr>
        <w:spacing w:after="0"/>
        <w:rPr>
          <w:rFonts w:ascii="Candara" w:hAnsi="Candara"/>
        </w:rPr>
      </w:pPr>
    </w:p>
    <w:p w14:paraId="6BEB4AE4" w14:textId="3C69DAC9" w:rsidR="00A15C5C" w:rsidRDefault="000C131B" w:rsidP="000C131B">
      <w:pPr>
        <w:rPr>
          <w:rFonts w:ascii="Candara" w:hAnsi="Candara"/>
        </w:rPr>
      </w:pPr>
      <w:r w:rsidRPr="000C131B">
        <w:rPr>
          <w:rFonts w:ascii="Candara" w:hAnsi="Candara"/>
        </w:rPr>
        <w:t>The distributio</w:t>
      </w:r>
      <w:r w:rsidR="00233112">
        <w:rPr>
          <w:rFonts w:ascii="Candara" w:hAnsi="Candara"/>
        </w:rPr>
        <w:t xml:space="preserve">n businesses will </w:t>
      </w:r>
      <w:r w:rsidR="009F70DA">
        <w:rPr>
          <w:rFonts w:ascii="Candara" w:hAnsi="Candara"/>
        </w:rPr>
        <w:t xml:space="preserve">arrange for an independent </w:t>
      </w:r>
      <w:r w:rsidR="00233112">
        <w:rPr>
          <w:rFonts w:ascii="Candara" w:hAnsi="Candara"/>
        </w:rPr>
        <w:t>audit</w:t>
      </w:r>
      <w:r w:rsidRPr="000C131B">
        <w:rPr>
          <w:rFonts w:ascii="Candara" w:hAnsi="Candara"/>
        </w:rPr>
        <w:t xml:space="preserve"> </w:t>
      </w:r>
      <w:r w:rsidR="009F70DA">
        <w:rPr>
          <w:rFonts w:ascii="Candara" w:hAnsi="Candara"/>
        </w:rPr>
        <w:t>of the</w:t>
      </w:r>
      <w:r w:rsidRPr="000C131B">
        <w:rPr>
          <w:rFonts w:ascii="Candara" w:hAnsi="Candara"/>
        </w:rPr>
        <w:t xml:space="preserve"> data</w:t>
      </w:r>
      <w:r w:rsidR="009F70DA">
        <w:rPr>
          <w:rFonts w:ascii="Candara" w:hAnsi="Candara"/>
        </w:rPr>
        <w:t xml:space="preserve"> </w:t>
      </w:r>
      <w:r w:rsidRPr="000C131B">
        <w:rPr>
          <w:rFonts w:ascii="Candara" w:hAnsi="Candara"/>
        </w:rPr>
        <w:t xml:space="preserve">for </w:t>
      </w:r>
      <w:r w:rsidR="009F70DA">
        <w:rPr>
          <w:rFonts w:ascii="Candara" w:hAnsi="Candara"/>
        </w:rPr>
        <w:t>each</w:t>
      </w:r>
      <w:r w:rsidRPr="000C131B">
        <w:rPr>
          <w:rFonts w:ascii="Candara" w:hAnsi="Candara"/>
        </w:rPr>
        <w:t xml:space="preserve"> Financial Year</w:t>
      </w:r>
      <w:r w:rsidR="009F70DA">
        <w:rPr>
          <w:rFonts w:ascii="Candara" w:hAnsi="Candara"/>
        </w:rPr>
        <w:t xml:space="preserve"> (starting 2016/2017),</w:t>
      </w:r>
      <w:r w:rsidR="00233112">
        <w:rPr>
          <w:rFonts w:ascii="Candara" w:hAnsi="Candara"/>
        </w:rPr>
        <w:t xml:space="preserve"> calculate </w:t>
      </w:r>
      <w:r w:rsidR="009F70DA">
        <w:rPr>
          <w:rFonts w:ascii="Candara" w:hAnsi="Candara"/>
        </w:rPr>
        <w:t xml:space="preserve">the IRU value for each ignition and </w:t>
      </w:r>
      <w:r w:rsidR="00233112">
        <w:rPr>
          <w:rFonts w:ascii="Candara" w:hAnsi="Candara"/>
        </w:rPr>
        <w:t>their IRU performance total</w:t>
      </w:r>
      <w:r w:rsidR="009F70DA">
        <w:rPr>
          <w:rFonts w:ascii="Candara" w:hAnsi="Candara"/>
        </w:rPr>
        <w:t xml:space="preserve">. The name of the auditor vendor and the </w:t>
      </w:r>
      <w:r w:rsidR="008B02B9">
        <w:rPr>
          <w:rFonts w:ascii="Candara" w:hAnsi="Candara"/>
        </w:rPr>
        <w:t xml:space="preserve">date the audit was completed and a statement of outcome will be included in the report. </w:t>
      </w:r>
      <w:r w:rsidR="009F70DA">
        <w:rPr>
          <w:rFonts w:ascii="Candara" w:hAnsi="Candara"/>
        </w:rPr>
        <w:t>Distribution business directors will sign this report</w:t>
      </w:r>
      <w:r w:rsidR="00A15C5C">
        <w:rPr>
          <w:rFonts w:ascii="Candara" w:hAnsi="Candara"/>
        </w:rPr>
        <w:t>.</w:t>
      </w:r>
      <w:r w:rsidRPr="000C131B">
        <w:rPr>
          <w:rFonts w:ascii="Candara" w:hAnsi="Candara"/>
        </w:rPr>
        <w:t xml:space="preserve"> </w:t>
      </w:r>
    </w:p>
    <w:p w14:paraId="4D605381" w14:textId="137B4CEA" w:rsidR="000C131B" w:rsidRPr="000C131B" w:rsidRDefault="00233112" w:rsidP="000C131B">
      <w:pPr>
        <w:rPr>
          <w:rFonts w:ascii="Candara" w:hAnsi="Candara"/>
        </w:rPr>
      </w:pPr>
      <w:r>
        <w:rPr>
          <w:rFonts w:ascii="Candara" w:hAnsi="Candara"/>
        </w:rPr>
        <w:t>The di</w:t>
      </w:r>
      <w:r w:rsidR="008B02B9">
        <w:rPr>
          <w:rFonts w:ascii="Candara" w:hAnsi="Candara"/>
        </w:rPr>
        <w:t>stribution business provide the</w:t>
      </w:r>
      <w:r w:rsidR="009F70DA">
        <w:rPr>
          <w:rFonts w:ascii="Candara" w:hAnsi="Candara"/>
        </w:rPr>
        <w:t xml:space="preserve"> data, </w:t>
      </w:r>
      <w:r w:rsidR="008B02B9">
        <w:rPr>
          <w:rFonts w:ascii="Candara" w:hAnsi="Candara"/>
        </w:rPr>
        <w:t xml:space="preserve">the </w:t>
      </w:r>
      <w:r>
        <w:rPr>
          <w:rFonts w:ascii="Candara" w:hAnsi="Candara"/>
        </w:rPr>
        <w:t>calculation</w:t>
      </w:r>
      <w:r w:rsidR="008B02B9">
        <w:rPr>
          <w:rFonts w:ascii="Candara" w:hAnsi="Candara"/>
        </w:rPr>
        <w:t>s</w:t>
      </w:r>
      <w:r>
        <w:rPr>
          <w:rFonts w:ascii="Candara" w:hAnsi="Candara"/>
        </w:rPr>
        <w:t xml:space="preserve"> output</w:t>
      </w:r>
      <w:r w:rsidR="00A15C5C">
        <w:rPr>
          <w:rFonts w:ascii="Candara" w:hAnsi="Candara"/>
        </w:rPr>
        <w:t xml:space="preserve"> </w:t>
      </w:r>
      <w:r w:rsidR="008B02B9">
        <w:rPr>
          <w:rFonts w:ascii="Candara" w:hAnsi="Candara"/>
        </w:rPr>
        <w:t xml:space="preserve">and the report </w:t>
      </w:r>
      <w:r w:rsidR="00A15C5C">
        <w:rPr>
          <w:rFonts w:ascii="Candara" w:hAnsi="Candara"/>
        </w:rPr>
        <w:t>electronically to the AER</w:t>
      </w:r>
      <w:r w:rsidR="000C131B" w:rsidRPr="000C131B">
        <w:rPr>
          <w:rFonts w:ascii="Candara" w:hAnsi="Candara"/>
        </w:rPr>
        <w:t xml:space="preserve">  by</w:t>
      </w:r>
      <w:r w:rsidR="000C131B" w:rsidRPr="000C131B">
        <w:rPr>
          <w:rFonts w:ascii="Candara" w:hAnsi="Candara"/>
          <w:b/>
        </w:rPr>
        <w:t xml:space="preserve"> </w:t>
      </w:r>
      <w:r w:rsidR="00890BD8">
        <w:rPr>
          <w:rFonts w:ascii="Candara" w:hAnsi="Candara"/>
          <w:b/>
        </w:rPr>
        <w:t>30</w:t>
      </w:r>
      <w:r>
        <w:rPr>
          <w:rFonts w:ascii="Candara" w:hAnsi="Candara"/>
          <w:b/>
        </w:rPr>
        <w:t> </w:t>
      </w:r>
      <w:r w:rsidR="000C131B" w:rsidRPr="00CD54EC">
        <w:rPr>
          <w:rFonts w:ascii="Candara" w:hAnsi="Candara"/>
          <w:b/>
        </w:rPr>
        <w:t>September 2017</w:t>
      </w:r>
      <w:r w:rsidR="000C131B" w:rsidRPr="000C131B">
        <w:rPr>
          <w:rFonts w:ascii="Candara" w:hAnsi="Candara"/>
        </w:rPr>
        <w:t xml:space="preserve"> . </w:t>
      </w:r>
    </w:p>
    <w:p w14:paraId="611451CC" w14:textId="77777777" w:rsidR="00EF3C86" w:rsidRDefault="00EF3C86" w:rsidP="00147437">
      <w:pPr>
        <w:pStyle w:val="Heading3"/>
      </w:pPr>
      <w:bookmarkStart w:id="51" w:name="_Toc458675204"/>
      <w:r>
        <w:t>Role of Energy Safe Victoria</w:t>
      </w:r>
      <w:bookmarkEnd w:id="51"/>
    </w:p>
    <w:p w14:paraId="24A87E51" w14:textId="1F9B3BA9" w:rsidR="00A7638F" w:rsidRDefault="00A7638F" w:rsidP="00A7638F">
      <w:pPr>
        <w:rPr>
          <w:rFonts w:ascii="Candara" w:hAnsi="Candara"/>
        </w:rPr>
      </w:pPr>
      <w:r w:rsidRPr="00C629A3">
        <w:rPr>
          <w:rFonts w:ascii="Candara" w:hAnsi="Candara"/>
        </w:rPr>
        <w:t xml:space="preserve">Ignitions reporting under the preferred f-factor </w:t>
      </w:r>
      <w:r>
        <w:rPr>
          <w:rFonts w:ascii="Candara" w:hAnsi="Candara"/>
        </w:rPr>
        <w:t xml:space="preserve">option </w:t>
      </w:r>
      <w:r w:rsidRPr="00C629A3">
        <w:rPr>
          <w:rFonts w:ascii="Candara" w:hAnsi="Candara"/>
        </w:rPr>
        <w:t xml:space="preserve">will be </w:t>
      </w:r>
      <w:r w:rsidR="001A7A1D">
        <w:rPr>
          <w:rFonts w:ascii="Candara" w:hAnsi="Candara"/>
        </w:rPr>
        <w:t>validated</w:t>
      </w:r>
      <w:r w:rsidR="00C35514">
        <w:rPr>
          <w:rFonts w:ascii="Candara" w:hAnsi="Candara"/>
        </w:rPr>
        <w:t xml:space="preserve"> by ESV. </w:t>
      </w:r>
    </w:p>
    <w:p w14:paraId="03EFFFD4" w14:textId="790C585C" w:rsidR="00C35514" w:rsidRDefault="001E0245" w:rsidP="000C131B">
      <w:pPr>
        <w:rPr>
          <w:rFonts w:ascii="Candara" w:hAnsi="Candara"/>
        </w:rPr>
      </w:pPr>
      <w:r>
        <w:rPr>
          <w:rFonts w:ascii="Candara" w:hAnsi="Candara"/>
        </w:rPr>
        <w:t xml:space="preserve">By </w:t>
      </w:r>
      <w:r w:rsidR="00B328C6">
        <w:rPr>
          <w:rFonts w:ascii="Candara" w:hAnsi="Candara"/>
          <w:b/>
        </w:rPr>
        <w:t>30</w:t>
      </w:r>
      <w:r w:rsidR="00584014">
        <w:rPr>
          <w:rFonts w:ascii="Candara" w:hAnsi="Candara"/>
          <w:b/>
        </w:rPr>
        <w:t>September</w:t>
      </w:r>
      <w:r>
        <w:rPr>
          <w:rFonts w:ascii="Candara" w:hAnsi="Candara"/>
          <w:b/>
        </w:rPr>
        <w:t xml:space="preserve"> </w:t>
      </w:r>
      <w:r w:rsidRPr="001E0245">
        <w:rPr>
          <w:rFonts w:ascii="Candara" w:hAnsi="Candara"/>
          <w:b/>
        </w:rPr>
        <w:t>2017</w:t>
      </w:r>
      <w:r>
        <w:rPr>
          <w:rFonts w:ascii="Candara" w:hAnsi="Candara"/>
        </w:rPr>
        <w:t>, the AER will send ESV</w:t>
      </w:r>
      <w:r w:rsidR="00D0607A">
        <w:rPr>
          <w:rFonts w:ascii="Candara" w:hAnsi="Candara"/>
        </w:rPr>
        <w:t xml:space="preserve"> the</w:t>
      </w:r>
      <w:r w:rsidR="00A15C5C">
        <w:rPr>
          <w:rFonts w:ascii="Candara" w:hAnsi="Candara"/>
        </w:rPr>
        <w:t xml:space="preserve"> </w:t>
      </w:r>
      <w:r w:rsidR="000C131B" w:rsidRPr="000C131B">
        <w:rPr>
          <w:rFonts w:ascii="Candara" w:hAnsi="Candara"/>
        </w:rPr>
        <w:t>f-factor ignitions data for the 2016/17</w:t>
      </w:r>
      <w:r w:rsidR="00A7638F">
        <w:rPr>
          <w:rFonts w:ascii="Candara" w:hAnsi="Candara"/>
        </w:rPr>
        <w:t xml:space="preserve"> and subsequent</w:t>
      </w:r>
      <w:r w:rsidR="000C131B" w:rsidRPr="000C131B">
        <w:rPr>
          <w:rFonts w:ascii="Candara" w:hAnsi="Candara"/>
        </w:rPr>
        <w:t xml:space="preserve"> financial year</w:t>
      </w:r>
      <w:r w:rsidR="00A7638F">
        <w:rPr>
          <w:rFonts w:ascii="Candara" w:hAnsi="Candara"/>
        </w:rPr>
        <w:t>s</w:t>
      </w:r>
      <w:r w:rsidR="00A15C5C">
        <w:rPr>
          <w:rFonts w:ascii="Candara" w:hAnsi="Candara"/>
        </w:rPr>
        <w:t>, with calculated IRUs for each ignition and a final IRU total for the respective year,</w:t>
      </w:r>
      <w:r w:rsidR="00A7638F">
        <w:rPr>
          <w:rFonts w:ascii="Candara" w:hAnsi="Candara"/>
        </w:rPr>
        <w:t xml:space="preserve"> </w:t>
      </w:r>
      <w:r w:rsidR="002D1AD6">
        <w:rPr>
          <w:rFonts w:ascii="Candara" w:hAnsi="Candara"/>
        </w:rPr>
        <w:t>in accordance with the</w:t>
      </w:r>
      <w:r w:rsidR="00A7638F">
        <w:rPr>
          <w:rFonts w:ascii="Candara" w:hAnsi="Candara"/>
        </w:rPr>
        <w:t xml:space="preserve"> </w:t>
      </w:r>
      <w:r w:rsidR="009F70DA">
        <w:rPr>
          <w:rFonts w:ascii="Candara" w:hAnsi="Candara"/>
        </w:rPr>
        <w:t xml:space="preserve">request for a Fire Start Report or </w:t>
      </w:r>
      <w:r w:rsidR="00A7638F">
        <w:rPr>
          <w:rFonts w:ascii="Candara" w:hAnsi="Candara"/>
        </w:rPr>
        <w:t xml:space="preserve">Regulatory Impact Notice (RIN) notice issued to </w:t>
      </w:r>
      <w:r w:rsidR="002D1AD6">
        <w:rPr>
          <w:rFonts w:ascii="Candara" w:hAnsi="Candara"/>
        </w:rPr>
        <w:t xml:space="preserve">the </w:t>
      </w:r>
      <w:r w:rsidR="00A7638F">
        <w:rPr>
          <w:rFonts w:ascii="Candara" w:hAnsi="Candara"/>
        </w:rPr>
        <w:t>businesses by the AER</w:t>
      </w:r>
      <w:r w:rsidR="000C131B" w:rsidRPr="000C131B">
        <w:rPr>
          <w:rFonts w:ascii="Candara" w:hAnsi="Candara"/>
        </w:rPr>
        <w:t xml:space="preserve">. </w:t>
      </w:r>
    </w:p>
    <w:p w14:paraId="27396E47" w14:textId="472FC094" w:rsidR="00C35514" w:rsidRDefault="00C35514" w:rsidP="000C131B">
      <w:pPr>
        <w:rPr>
          <w:rFonts w:ascii="Candara" w:hAnsi="Candara"/>
        </w:rPr>
      </w:pPr>
      <w:r>
        <w:rPr>
          <w:rFonts w:ascii="Candara" w:hAnsi="Candara"/>
        </w:rPr>
        <w:t xml:space="preserve">This </w:t>
      </w:r>
      <w:r w:rsidR="001A7A1D">
        <w:rPr>
          <w:rFonts w:ascii="Candara" w:hAnsi="Candara"/>
        </w:rPr>
        <w:t>validation</w:t>
      </w:r>
      <w:r>
        <w:rPr>
          <w:rFonts w:ascii="Candara" w:hAnsi="Candara"/>
        </w:rPr>
        <w:t xml:space="preserve"> power encompasses checks that information for specific ignitions is correct, individual IRU calculations are correct and that </w:t>
      </w:r>
      <w:r w:rsidR="00233112">
        <w:rPr>
          <w:rFonts w:ascii="Candara" w:hAnsi="Candara"/>
        </w:rPr>
        <w:t xml:space="preserve">the </w:t>
      </w:r>
      <w:r>
        <w:rPr>
          <w:rFonts w:ascii="Candara" w:hAnsi="Candara"/>
        </w:rPr>
        <w:t>IRU</w:t>
      </w:r>
      <w:r w:rsidR="00613722">
        <w:rPr>
          <w:rFonts w:ascii="Candara" w:hAnsi="Candara"/>
        </w:rPr>
        <w:t xml:space="preserve"> totals for each financial year</w:t>
      </w:r>
      <w:r>
        <w:rPr>
          <w:rFonts w:ascii="Candara" w:hAnsi="Candara"/>
        </w:rPr>
        <w:t xml:space="preserve"> </w:t>
      </w:r>
      <w:r w:rsidR="006A3E18">
        <w:rPr>
          <w:rFonts w:ascii="Candara" w:hAnsi="Candara"/>
        </w:rPr>
        <w:t xml:space="preserve">are </w:t>
      </w:r>
      <w:r>
        <w:rPr>
          <w:rFonts w:ascii="Candara" w:hAnsi="Candara"/>
        </w:rPr>
        <w:t xml:space="preserve">accurate. </w:t>
      </w:r>
    </w:p>
    <w:p w14:paraId="2B93E8DC" w14:textId="36B83DC1" w:rsidR="00C35514" w:rsidRDefault="00C35514" w:rsidP="000C131B">
      <w:pPr>
        <w:rPr>
          <w:rFonts w:ascii="Candara" w:hAnsi="Candara"/>
        </w:rPr>
      </w:pPr>
      <w:r>
        <w:rPr>
          <w:rFonts w:ascii="Candara" w:hAnsi="Candara"/>
        </w:rPr>
        <w:t>In the event of discrepancy for any ignition in the distribution business data, ESV will engage with the relevant business. If required</w:t>
      </w:r>
      <w:r w:rsidR="00613722">
        <w:rPr>
          <w:rFonts w:ascii="Candara" w:hAnsi="Candara"/>
        </w:rPr>
        <w:t>, ESV will</w:t>
      </w:r>
      <w:r>
        <w:rPr>
          <w:rFonts w:ascii="Candara" w:hAnsi="Candara"/>
        </w:rPr>
        <w:t xml:space="preserve"> refer th</w:t>
      </w:r>
      <w:r w:rsidR="00613722">
        <w:rPr>
          <w:rFonts w:ascii="Candara" w:hAnsi="Candara"/>
        </w:rPr>
        <w:t xml:space="preserve">e issue to AER to request amendment to the data or </w:t>
      </w:r>
      <w:r w:rsidR="00233112">
        <w:rPr>
          <w:rFonts w:ascii="Candara" w:hAnsi="Candara"/>
        </w:rPr>
        <w:t xml:space="preserve">undertake </w:t>
      </w:r>
      <w:r w:rsidR="00613722">
        <w:rPr>
          <w:rFonts w:ascii="Candara" w:hAnsi="Candara"/>
        </w:rPr>
        <w:t>further action</w:t>
      </w:r>
      <w:r>
        <w:rPr>
          <w:rFonts w:ascii="Candara" w:hAnsi="Candara"/>
        </w:rPr>
        <w:t xml:space="preserve"> under the powers of the RIN notice.</w:t>
      </w:r>
      <w:r w:rsidR="00D0607A">
        <w:rPr>
          <w:rFonts w:ascii="Candara" w:hAnsi="Candara"/>
        </w:rPr>
        <w:t xml:space="preserve"> </w:t>
      </w:r>
    </w:p>
    <w:p w14:paraId="0D4A031E" w14:textId="7BD906E1" w:rsidR="00A45817" w:rsidRDefault="00A45817" w:rsidP="000C131B">
      <w:pPr>
        <w:rPr>
          <w:rFonts w:ascii="Candara" w:hAnsi="Candara"/>
        </w:rPr>
      </w:pPr>
      <w:r>
        <w:rPr>
          <w:rFonts w:ascii="Candara" w:hAnsi="Candara"/>
        </w:rPr>
        <w:t xml:space="preserve">The ESV will determine if it is satisfied with this amended information and if so will used it that years’ f-factor result.  </w:t>
      </w:r>
    </w:p>
    <w:p w14:paraId="5799B204" w14:textId="3F3DB803" w:rsidR="00A15C5C" w:rsidRDefault="00156D5A" w:rsidP="000C131B">
      <w:pPr>
        <w:rPr>
          <w:rFonts w:ascii="Candara" w:hAnsi="Candara"/>
        </w:rPr>
      </w:pPr>
      <w:r w:rsidRPr="000C131B">
        <w:rPr>
          <w:rFonts w:ascii="Candara" w:hAnsi="Candara"/>
        </w:rPr>
        <w:lastRenderedPageBreak/>
        <w:t xml:space="preserve">Upon </w:t>
      </w:r>
      <w:r>
        <w:rPr>
          <w:rFonts w:ascii="Candara" w:hAnsi="Candara"/>
        </w:rPr>
        <w:t xml:space="preserve">completing </w:t>
      </w:r>
      <w:r w:rsidRPr="000C131B">
        <w:rPr>
          <w:rFonts w:ascii="Candara" w:hAnsi="Candara"/>
        </w:rPr>
        <w:t xml:space="preserve">this </w:t>
      </w:r>
      <w:r w:rsidR="001A7A1D">
        <w:rPr>
          <w:rFonts w:ascii="Candara" w:hAnsi="Candara"/>
        </w:rPr>
        <w:t>validation</w:t>
      </w:r>
      <w:r w:rsidRPr="000C131B">
        <w:rPr>
          <w:rFonts w:ascii="Candara" w:hAnsi="Candara"/>
        </w:rPr>
        <w:t xml:space="preserve">, ESV will issue a preliminary </w:t>
      </w:r>
      <w:r w:rsidR="001A7A1D">
        <w:rPr>
          <w:rFonts w:ascii="Candara" w:hAnsi="Candara"/>
        </w:rPr>
        <w:t>report</w:t>
      </w:r>
      <w:r w:rsidRPr="000C131B">
        <w:rPr>
          <w:rFonts w:ascii="Candara" w:hAnsi="Candara"/>
        </w:rPr>
        <w:t xml:space="preserve"> against the IRU benchmarks </w:t>
      </w:r>
      <w:r w:rsidR="00812CA1">
        <w:rPr>
          <w:rFonts w:ascii="Candara" w:hAnsi="Candara"/>
        </w:rPr>
        <w:t>as set in the f-factor Order-in-Council</w:t>
      </w:r>
      <w:r w:rsidRPr="000C131B">
        <w:rPr>
          <w:rFonts w:ascii="Candara" w:hAnsi="Candara"/>
        </w:rPr>
        <w:t xml:space="preserve">. </w:t>
      </w:r>
      <w:r w:rsidR="001A7A1D">
        <w:rPr>
          <w:rFonts w:ascii="Candara" w:hAnsi="Candara"/>
        </w:rPr>
        <w:t>The AER</w:t>
      </w:r>
      <w:r w:rsidR="000C131B" w:rsidRPr="000C131B">
        <w:rPr>
          <w:rFonts w:ascii="Candara" w:hAnsi="Candara"/>
        </w:rPr>
        <w:t xml:space="preserve"> </w:t>
      </w:r>
      <w:r w:rsidR="00613722">
        <w:rPr>
          <w:rFonts w:ascii="Candara" w:hAnsi="Candara"/>
        </w:rPr>
        <w:t>w</w:t>
      </w:r>
      <w:r>
        <w:rPr>
          <w:rFonts w:ascii="Candara" w:hAnsi="Candara"/>
        </w:rPr>
        <w:t xml:space="preserve">ill publish </w:t>
      </w:r>
      <w:r w:rsidR="001A7A1D">
        <w:rPr>
          <w:rFonts w:ascii="Candara" w:hAnsi="Candara"/>
        </w:rPr>
        <w:t xml:space="preserve">the ESV validation </w:t>
      </w:r>
      <w:r>
        <w:rPr>
          <w:rFonts w:ascii="Candara" w:hAnsi="Candara"/>
        </w:rPr>
        <w:t>of the data</w:t>
      </w:r>
      <w:r w:rsidR="004D4D86">
        <w:rPr>
          <w:rFonts w:ascii="Candara" w:hAnsi="Candara"/>
        </w:rPr>
        <w:t>, individual ignition</w:t>
      </w:r>
      <w:r>
        <w:rPr>
          <w:rFonts w:ascii="Candara" w:hAnsi="Candara"/>
        </w:rPr>
        <w:t xml:space="preserve"> and aggregate results </w:t>
      </w:r>
      <w:r w:rsidR="000C131B" w:rsidRPr="000C131B">
        <w:rPr>
          <w:rFonts w:ascii="Candara" w:hAnsi="Candara"/>
        </w:rPr>
        <w:t xml:space="preserve">by </w:t>
      </w:r>
      <w:r>
        <w:rPr>
          <w:rFonts w:ascii="Candara" w:hAnsi="Candara"/>
          <w:b/>
        </w:rPr>
        <w:t>30 November 2017</w:t>
      </w:r>
      <w:r w:rsidRPr="00156D5A">
        <w:rPr>
          <w:rFonts w:ascii="Candara" w:hAnsi="Candara"/>
        </w:rPr>
        <w:t xml:space="preserve"> </w:t>
      </w:r>
      <w:r>
        <w:rPr>
          <w:rFonts w:ascii="Candara" w:hAnsi="Candara"/>
        </w:rPr>
        <w:t xml:space="preserve">on the </w:t>
      </w:r>
      <w:r w:rsidR="001A7A1D">
        <w:rPr>
          <w:rFonts w:ascii="Candara" w:hAnsi="Candara"/>
        </w:rPr>
        <w:t>AER</w:t>
      </w:r>
      <w:r w:rsidRPr="000C131B">
        <w:rPr>
          <w:rFonts w:ascii="Candara" w:hAnsi="Candara"/>
        </w:rPr>
        <w:t xml:space="preserve"> website</w:t>
      </w:r>
      <w:r>
        <w:rPr>
          <w:rFonts w:ascii="Candara" w:hAnsi="Candara"/>
          <w:b/>
        </w:rPr>
        <w:t>.</w:t>
      </w:r>
      <w:r w:rsidR="000C131B" w:rsidRPr="000C131B">
        <w:rPr>
          <w:rFonts w:ascii="Candara" w:hAnsi="Candara"/>
        </w:rPr>
        <w:t xml:space="preserve"> </w:t>
      </w:r>
    </w:p>
    <w:p w14:paraId="15AFE8C9" w14:textId="23056E3B" w:rsidR="00A15C5C" w:rsidRDefault="00156D5A" w:rsidP="000C131B">
      <w:pPr>
        <w:rPr>
          <w:rFonts w:ascii="Candara" w:hAnsi="Candara"/>
        </w:rPr>
      </w:pPr>
      <w:r>
        <w:rPr>
          <w:rFonts w:ascii="Candara" w:hAnsi="Candara"/>
        </w:rPr>
        <w:t>T</w:t>
      </w:r>
      <w:r w:rsidR="000C131B" w:rsidRPr="000C131B">
        <w:rPr>
          <w:rFonts w:ascii="Candara" w:hAnsi="Candara"/>
        </w:rPr>
        <w:t>he distribution businesses</w:t>
      </w:r>
      <w:r>
        <w:rPr>
          <w:rFonts w:ascii="Candara" w:hAnsi="Candara"/>
        </w:rPr>
        <w:t xml:space="preserve"> will have</w:t>
      </w:r>
      <w:r w:rsidR="000C131B" w:rsidRPr="000C131B">
        <w:rPr>
          <w:rFonts w:ascii="Candara" w:hAnsi="Candara"/>
        </w:rPr>
        <w:t xml:space="preserve"> a period of </w:t>
      </w:r>
      <w:r w:rsidR="002D7FD0">
        <w:rPr>
          <w:rFonts w:ascii="Candara" w:hAnsi="Candara"/>
          <w:b/>
        </w:rPr>
        <w:t>15</w:t>
      </w:r>
      <w:r w:rsidR="0025198C">
        <w:rPr>
          <w:rFonts w:ascii="Candara" w:hAnsi="Candara"/>
          <w:b/>
        </w:rPr>
        <w:t xml:space="preserve"> </w:t>
      </w:r>
      <w:r w:rsidR="000C131B" w:rsidRPr="00A15C5C">
        <w:rPr>
          <w:rFonts w:ascii="Candara" w:hAnsi="Candara"/>
          <w:b/>
        </w:rPr>
        <w:t>days</w:t>
      </w:r>
      <w:r w:rsidR="000C131B" w:rsidRPr="000C131B">
        <w:rPr>
          <w:rFonts w:ascii="Candara" w:hAnsi="Candara"/>
        </w:rPr>
        <w:t xml:space="preserve"> to respond</w:t>
      </w:r>
      <w:r>
        <w:rPr>
          <w:rFonts w:ascii="Candara" w:hAnsi="Candara"/>
        </w:rPr>
        <w:t xml:space="preserve"> to this </w:t>
      </w:r>
      <w:r w:rsidR="001A7A1D">
        <w:rPr>
          <w:rFonts w:ascii="Candara" w:hAnsi="Candara"/>
        </w:rPr>
        <w:t>validation</w:t>
      </w:r>
      <w:r w:rsidR="000C131B" w:rsidRPr="000C131B">
        <w:rPr>
          <w:rFonts w:ascii="Candara" w:hAnsi="Candara"/>
        </w:rPr>
        <w:t xml:space="preserve">. </w:t>
      </w:r>
    </w:p>
    <w:p w14:paraId="3B39D29A" w14:textId="54B748AC" w:rsidR="000C131B" w:rsidRPr="000C131B" w:rsidRDefault="000C131B" w:rsidP="000C131B">
      <w:pPr>
        <w:rPr>
          <w:rFonts w:ascii="Candara" w:hAnsi="Candara"/>
        </w:rPr>
      </w:pPr>
      <w:r w:rsidRPr="000C131B">
        <w:rPr>
          <w:rFonts w:ascii="Candara" w:hAnsi="Candara"/>
        </w:rPr>
        <w:t xml:space="preserve">ESV will provide the </w:t>
      </w:r>
      <w:r w:rsidR="00A15C5C">
        <w:rPr>
          <w:rFonts w:ascii="Candara" w:hAnsi="Candara"/>
        </w:rPr>
        <w:t xml:space="preserve">AER </w:t>
      </w:r>
      <w:r w:rsidRPr="000C131B">
        <w:rPr>
          <w:rFonts w:ascii="Candara" w:hAnsi="Candara"/>
        </w:rPr>
        <w:t>with the</w:t>
      </w:r>
      <w:r w:rsidR="00156D5A">
        <w:rPr>
          <w:rFonts w:ascii="Candara" w:hAnsi="Candara"/>
        </w:rPr>
        <w:t xml:space="preserve"> final </w:t>
      </w:r>
      <w:r w:rsidR="001A7A1D">
        <w:rPr>
          <w:rFonts w:ascii="Candara" w:hAnsi="Candara"/>
        </w:rPr>
        <w:t>validation</w:t>
      </w:r>
      <w:r w:rsidRPr="000C131B">
        <w:rPr>
          <w:rFonts w:ascii="Candara" w:hAnsi="Candara"/>
        </w:rPr>
        <w:t xml:space="preserve"> f-factor performance </w:t>
      </w:r>
      <w:r w:rsidR="001A7A1D">
        <w:rPr>
          <w:rFonts w:ascii="Candara" w:hAnsi="Candara"/>
        </w:rPr>
        <w:t xml:space="preserve">data and </w:t>
      </w:r>
      <w:r w:rsidRPr="000C131B">
        <w:rPr>
          <w:rFonts w:ascii="Candara" w:hAnsi="Candara"/>
        </w:rPr>
        <w:t xml:space="preserve">results by </w:t>
      </w:r>
      <w:r w:rsidR="001A7A1D">
        <w:rPr>
          <w:rFonts w:ascii="Candara" w:hAnsi="Candara"/>
          <w:b/>
        </w:rPr>
        <w:t>15 </w:t>
      </w:r>
      <w:r w:rsidR="00156D5A" w:rsidRPr="00156D5A">
        <w:rPr>
          <w:rFonts w:ascii="Candara" w:hAnsi="Candara"/>
          <w:b/>
        </w:rPr>
        <w:t>February 2018</w:t>
      </w:r>
      <w:r w:rsidRPr="00156D5A">
        <w:rPr>
          <w:rFonts w:ascii="Candara" w:hAnsi="Candara"/>
        </w:rPr>
        <w:t>.</w:t>
      </w:r>
      <w:r w:rsidR="00A15C5C">
        <w:rPr>
          <w:rFonts w:ascii="Candara" w:hAnsi="Candara"/>
        </w:rPr>
        <w:t xml:space="preserve"> </w:t>
      </w:r>
      <w:r w:rsidR="007C04F7">
        <w:rPr>
          <w:rFonts w:ascii="Candara" w:hAnsi="Candara"/>
        </w:rPr>
        <w:t xml:space="preserve">The AER will publish this report on its website with its determination by </w:t>
      </w:r>
      <w:r w:rsidR="007C04F7" w:rsidRPr="007C04F7">
        <w:rPr>
          <w:rFonts w:ascii="Candara" w:hAnsi="Candara"/>
          <w:b/>
        </w:rPr>
        <w:t>15 February 2018</w:t>
      </w:r>
      <w:r w:rsidR="007C04F7">
        <w:rPr>
          <w:rFonts w:ascii="Candara" w:hAnsi="Candara"/>
        </w:rPr>
        <w:t xml:space="preserve">. </w:t>
      </w:r>
    </w:p>
    <w:p w14:paraId="34512BDF" w14:textId="77777777" w:rsidR="000C131B" w:rsidRPr="000C131B" w:rsidRDefault="000C131B" w:rsidP="00147437">
      <w:pPr>
        <w:pStyle w:val="Heading3"/>
      </w:pPr>
      <w:bookmarkStart w:id="52" w:name="_Toc458675205"/>
      <w:r w:rsidRPr="000C131B">
        <w:t>Role of the Australian Energy Regulator</w:t>
      </w:r>
      <w:bookmarkEnd w:id="52"/>
    </w:p>
    <w:p w14:paraId="261598A8" w14:textId="5E91AF61" w:rsidR="002D1AD6" w:rsidRDefault="002D1AD6" w:rsidP="000C131B">
      <w:pPr>
        <w:rPr>
          <w:rFonts w:ascii="Candara" w:hAnsi="Candara"/>
        </w:rPr>
      </w:pPr>
      <w:r>
        <w:rPr>
          <w:rFonts w:ascii="Candara" w:hAnsi="Candara"/>
        </w:rPr>
        <w:t>The AER will receive and process f-factor ignitions for 2015 and for 1 January to 30 June 2016 in accordance with the process</w:t>
      </w:r>
      <w:r w:rsidR="001D5941">
        <w:rPr>
          <w:rFonts w:ascii="Candara" w:hAnsi="Candara"/>
        </w:rPr>
        <w:t xml:space="preserve"> for the f-factor contribution to revenue determination adjustments </w:t>
      </w:r>
      <w:r>
        <w:rPr>
          <w:rFonts w:ascii="Candara" w:hAnsi="Candara"/>
        </w:rPr>
        <w:t>under the curr</w:t>
      </w:r>
      <w:r w:rsidR="001D5941">
        <w:rPr>
          <w:rFonts w:ascii="Candara" w:hAnsi="Candara"/>
        </w:rPr>
        <w:t xml:space="preserve">ent scheme. </w:t>
      </w:r>
    </w:p>
    <w:p w14:paraId="18C4D3AC" w14:textId="49A3CC9F" w:rsidR="00812CA1" w:rsidRDefault="001D5941" w:rsidP="000C131B">
      <w:pPr>
        <w:rPr>
          <w:rFonts w:ascii="Candara" w:hAnsi="Candara"/>
        </w:rPr>
      </w:pPr>
      <w:r>
        <w:rPr>
          <w:rFonts w:ascii="Candara" w:hAnsi="Candara"/>
        </w:rPr>
        <w:t>Under the revised scheme, t</w:t>
      </w:r>
      <w:r w:rsidR="00A7638F">
        <w:rPr>
          <w:rFonts w:ascii="Candara" w:hAnsi="Candara"/>
        </w:rPr>
        <w:t>he</w:t>
      </w:r>
      <w:r w:rsidR="000C131B" w:rsidRPr="000C131B">
        <w:rPr>
          <w:rFonts w:ascii="Candara" w:hAnsi="Candara"/>
        </w:rPr>
        <w:t xml:space="preserve"> AER will </w:t>
      </w:r>
      <w:r w:rsidR="007C04F7">
        <w:rPr>
          <w:rFonts w:ascii="Candara" w:hAnsi="Candara"/>
        </w:rPr>
        <w:t>i</w:t>
      </w:r>
      <w:r w:rsidR="00A7638F">
        <w:rPr>
          <w:rFonts w:ascii="Candara" w:hAnsi="Candara"/>
        </w:rPr>
        <w:t>ssue a</w:t>
      </w:r>
      <w:r w:rsidR="007C04F7">
        <w:rPr>
          <w:rFonts w:ascii="Candara" w:hAnsi="Candara"/>
        </w:rPr>
        <w:t xml:space="preserve"> request for a Fire Start Report or a</w:t>
      </w:r>
      <w:r w:rsidR="00A7638F">
        <w:rPr>
          <w:rFonts w:ascii="Candara" w:hAnsi="Candara"/>
        </w:rPr>
        <w:t xml:space="preserve"> RIN notice to the distribution businesses to supply ignitions data for each financial year</w:t>
      </w:r>
      <w:r>
        <w:rPr>
          <w:rFonts w:ascii="Candara" w:hAnsi="Candara"/>
        </w:rPr>
        <w:t>.</w:t>
      </w:r>
      <w:r w:rsidR="00A7638F">
        <w:rPr>
          <w:rFonts w:ascii="Candara" w:hAnsi="Candara"/>
        </w:rPr>
        <w:t xml:space="preserve"> </w:t>
      </w:r>
    </w:p>
    <w:p w14:paraId="5EE249FC" w14:textId="75AE33C5" w:rsidR="00812CA1" w:rsidRDefault="001D5941" w:rsidP="000C131B">
      <w:pPr>
        <w:rPr>
          <w:rFonts w:ascii="Candara" w:hAnsi="Candara"/>
        </w:rPr>
      </w:pPr>
      <w:r>
        <w:rPr>
          <w:rFonts w:ascii="Candara" w:hAnsi="Candara"/>
        </w:rPr>
        <w:t>This</w:t>
      </w:r>
      <w:r w:rsidR="00812CA1">
        <w:rPr>
          <w:rFonts w:ascii="Candara" w:hAnsi="Candara"/>
        </w:rPr>
        <w:t xml:space="preserve"> </w:t>
      </w:r>
      <w:r w:rsidR="007C04F7">
        <w:rPr>
          <w:rFonts w:ascii="Candara" w:hAnsi="Candara"/>
        </w:rPr>
        <w:t xml:space="preserve">request or </w:t>
      </w:r>
      <w:r w:rsidR="00812CA1">
        <w:rPr>
          <w:rFonts w:ascii="Candara" w:hAnsi="Candara"/>
        </w:rPr>
        <w:t>RIN notice</w:t>
      </w:r>
      <w:r>
        <w:rPr>
          <w:rFonts w:ascii="Candara" w:hAnsi="Candara"/>
        </w:rPr>
        <w:t xml:space="preserve"> will </w:t>
      </w:r>
      <w:r w:rsidR="00874651">
        <w:rPr>
          <w:rFonts w:ascii="Candara" w:hAnsi="Candara"/>
        </w:rPr>
        <w:t>commence</w:t>
      </w:r>
      <w:r w:rsidR="00A7638F">
        <w:rPr>
          <w:rFonts w:ascii="Candara" w:hAnsi="Candara"/>
        </w:rPr>
        <w:t xml:space="preserve"> retrospectively for</w:t>
      </w:r>
      <w:r w:rsidR="00A15C5C">
        <w:rPr>
          <w:rFonts w:ascii="Candara" w:hAnsi="Candara"/>
        </w:rPr>
        <w:t xml:space="preserve"> the 2016/2017 financial year. </w:t>
      </w:r>
    </w:p>
    <w:p w14:paraId="323C72D4" w14:textId="56FB9C6B" w:rsidR="00A7638F" w:rsidRDefault="00A15C5C" w:rsidP="000C131B">
      <w:pPr>
        <w:rPr>
          <w:rFonts w:ascii="Candara" w:hAnsi="Candara"/>
        </w:rPr>
      </w:pPr>
      <w:r>
        <w:rPr>
          <w:rFonts w:ascii="Candara" w:hAnsi="Candara"/>
        </w:rPr>
        <w:t xml:space="preserve">This </w:t>
      </w:r>
      <w:r w:rsidR="007C04F7">
        <w:rPr>
          <w:rFonts w:ascii="Candara" w:hAnsi="Candara"/>
        </w:rPr>
        <w:t xml:space="preserve">request or </w:t>
      </w:r>
      <w:r>
        <w:rPr>
          <w:rFonts w:ascii="Candara" w:hAnsi="Candara"/>
        </w:rPr>
        <w:t xml:space="preserve">RIN notice will </w:t>
      </w:r>
      <w:r w:rsidR="00874651" w:rsidRPr="00874651">
        <w:rPr>
          <w:rFonts w:ascii="Candara" w:hAnsi="Candara"/>
        </w:rPr>
        <w:t>require</w:t>
      </w:r>
      <w:r w:rsidR="00874651">
        <w:rPr>
          <w:rFonts w:ascii="Candara" w:hAnsi="Candara"/>
        </w:rPr>
        <w:t xml:space="preserve"> each distribution business to provide</w:t>
      </w:r>
      <w:r w:rsidR="00156D5A">
        <w:rPr>
          <w:rFonts w:ascii="Candara" w:hAnsi="Candara"/>
        </w:rPr>
        <w:t xml:space="preserve"> ignitions data with all fields specified in section 6.3.2 above. </w:t>
      </w:r>
      <w:r w:rsidR="00812CA1">
        <w:rPr>
          <w:rFonts w:ascii="Candara" w:hAnsi="Candara"/>
        </w:rPr>
        <w:t xml:space="preserve">In addition, the </w:t>
      </w:r>
      <w:r w:rsidR="007C04F7">
        <w:rPr>
          <w:rFonts w:ascii="Candara" w:hAnsi="Candara"/>
        </w:rPr>
        <w:t xml:space="preserve">request or </w:t>
      </w:r>
      <w:r w:rsidR="00812CA1">
        <w:rPr>
          <w:rFonts w:ascii="Candara" w:hAnsi="Candara"/>
        </w:rPr>
        <w:t xml:space="preserve">RIN will obligate each distribution business to calculate the IRU value for each ignition on its network for each financial year, starting with 2016/2017, and calculate its total, aggregate IRU value. </w:t>
      </w:r>
    </w:p>
    <w:p w14:paraId="350C0BAC" w14:textId="77777777" w:rsidR="00A7638F" w:rsidRDefault="00A7638F" w:rsidP="000C131B">
      <w:pPr>
        <w:rPr>
          <w:rFonts w:ascii="Candara" w:hAnsi="Candara"/>
        </w:rPr>
      </w:pPr>
      <w:r>
        <w:rPr>
          <w:rFonts w:ascii="Candara" w:hAnsi="Candara"/>
        </w:rPr>
        <w:t>The AER will i</w:t>
      </w:r>
      <w:r w:rsidR="000C131B" w:rsidRPr="000C131B">
        <w:rPr>
          <w:rFonts w:ascii="Candara" w:hAnsi="Candara"/>
        </w:rPr>
        <w:t xml:space="preserve">ncorporate </w:t>
      </w:r>
      <w:r>
        <w:rPr>
          <w:rFonts w:ascii="Candara" w:hAnsi="Candara"/>
        </w:rPr>
        <w:t>three</w:t>
      </w:r>
      <w:r w:rsidR="000C131B" w:rsidRPr="000C131B">
        <w:rPr>
          <w:rFonts w:ascii="Candara" w:hAnsi="Candara"/>
        </w:rPr>
        <w:t xml:space="preserve"> inputs for each distribution business for the f-factor</w:t>
      </w:r>
      <w:r>
        <w:rPr>
          <w:rFonts w:ascii="Candara" w:hAnsi="Candara"/>
        </w:rPr>
        <w:t xml:space="preserve"> to cover the close of the current scheme and the commencement of the proposed one. These are as follows: </w:t>
      </w:r>
    </w:p>
    <w:p w14:paraId="724172A9" w14:textId="0BB64282" w:rsidR="00A7638F" w:rsidRPr="00294353" w:rsidRDefault="00A7638F" w:rsidP="00BB41A4">
      <w:pPr>
        <w:pStyle w:val="ListParagraph"/>
        <w:numPr>
          <w:ilvl w:val="0"/>
          <w:numId w:val="45"/>
        </w:numPr>
        <w:rPr>
          <w:rFonts w:ascii="Candara" w:hAnsi="Candara"/>
        </w:rPr>
      </w:pPr>
      <w:r w:rsidRPr="00294353">
        <w:rPr>
          <w:rFonts w:ascii="Candara" w:hAnsi="Candara"/>
        </w:rPr>
        <w:t>the 2015 calendar year will be factored into the 2017 determination according to the standing arrangements under the current Order-in-Council</w:t>
      </w:r>
      <w:r w:rsidR="00E65112">
        <w:rPr>
          <w:rFonts w:ascii="Candara" w:hAnsi="Candara"/>
        </w:rPr>
        <w:t xml:space="preserve"> by</w:t>
      </w:r>
      <w:r w:rsidR="00E65112" w:rsidRPr="00E65112">
        <w:rPr>
          <w:rFonts w:ascii="Candara" w:hAnsi="Candara"/>
          <w:b/>
        </w:rPr>
        <w:t xml:space="preserve"> </w:t>
      </w:r>
      <w:r w:rsidR="00866507">
        <w:rPr>
          <w:rFonts w:ascii="Candara" w:hAnsi="Candara"/>
          <w:b/>
        </w:rPr>
        <w:t xml:space="preserve">30 </w:t>
      </w:r>
      <w:r w:rsidR="00E65112" w:rsidRPr="00E65112">
        <w:rPr>
          <w:rFonts w:ascii="Candara" w:hAnsi="Candara"/>
          <w:b/>
        </w:rPr>
        <w:t>September 2017</w:t>
      </w:r>
      <w:r w:rsidRPr="00294353">
        <w:rPr>
          <w:rFonts w:ascii="Candara" w:hAnsi="Candara"/>
        </w:rPr>
        <w:t xml:space="preserve">; </w:t>
      </w:r>
    </w:p>
    <w:p w14:paraId="55847FA1" w14:textId="6A222A33" w:rsidR="00294353" w:rsidRPr="00294353" w:rsidRDefault="00294353" w:rsidP="00BB41A4">
      <w:pPr>
        <w:pStyle w:val="ListParagraph"/>
        <w:numPr>
          <w:ilvl w:val="0"/>
          <w:numId w:val="45"/>
        </w:numPr>
        <w:rPr>
          <w:rFonts w:ascii="Candara" w:hAnsi="Candara"/>
        </w:rPr>
      </w:pPr>
      <w:r w:rsidRPr="00294353">
        <w:rPr>
          <w:rFonts w:ascii="Candara" w:hAnsi="Candara"/>
        </w:rPr>
        <w:t xml:space="preserve">the 1 January to 30 June </w:t>
      </w:r>
      <w:r w:rsidR="00E65112">
        <w:rPr>
          <w:rFonts w:ascii="Candara" w:hAnsi="Candara"/>
        </w:rPr>
        <w:t xml:space="preserve">2016 </w:t>
      </w:r>
      <w:r w:rsidRPr="00294353">
        <w:rPr>
          <w:rFonts w:ascii="Candara" w:hAnsi="Candara"/>
        </w:rPr>
        <w:t>performance outputs for each business will be assessed by the AER against a seasonally-adjusted benchmark and will be factored into the 2018 price determination</w:t>
      </w:r>
      <w:r w:rsidR="00E65112">
        <w:rPr>
          <w:rFonts w:ascii="Candara" w:hAnsi="Candara"/>
        </w:rPr>
        <w:t xml:space="preserve"> by </w:t>
      </w:r>
      <w:r w:rsidR="00E65112" w:rsidRPr="00E65112">
        <w:rPr>
          <w:rFonts w:ascii="Candara" w:hAnsi="Candara"/>
          <w:b/>
        </w:rPr>
        <w:t xml:space="preserve"> </w:t>
      </w:r>
      <w:r w:rsidR="00866507">
        <w:rPr>
          <w:rFonts w:ascii="Candara" w:hAnsi="Candara"/>
          <w:b/>
        </w:rPr>
        <w:t xml:space="preserve">30 </w:t>
      </w:r>
      <w:r w:rsidR="007C04F7">
        <w:rPr>
          <w:rFonts w:ascii="Candara" w:hAnsi="Candara"/>
          <w:b/>
        </w:rPr>
        <w:t xml:space="preserve">September </w:t>
      </w:r>
      <w:r w:rsidR="00E65112" w:rsidRPr="00E65112">
        <w:rPr>
          <w:rFonts w:ascii="Candara" w:hAnsi="Candara"/>
          <w:b/>
        </w:rPr>
        <w:t>2018</w:t>
      </w:r>
      <w:r w:rsidRPr="00294353">
        <w:rPr>
          <w:rFonts w:ascii="Candara" w:hAnsi="Candara"/>
        </w:rPr>
        <w:t>;</w:t>
      </w:r>
    </w:p>
    <w:p w14:paraId="30C7F834" w14:textId="3BB9D07A" w:rsidR="00EF3C86" w:rsidRPr="00294353" w:rsidRDefault="00294353" w:rsidP="00BB41A4">
      <w:pPr>
        <w:pStyle w:val="ListParagraph"/>
        <w:numPr>
          <w:ilvl w:val="0"/>
          <w:numId w:val="45"/>
        </w:numPr>
        <w:rPr>
          <w:rFonts w:ascii="Candara" w:hAnsi="Candara"/>
        </w:rPr>
      </w:pPr>
      <w:r w:rsidRPr="00294353">
        <w:rPr>
          <w:rFonts w:ascii="Candara" w:hAnsi="Candara"/>
        </w:rPr>
        <w:t>the 2016 / 2017 financial year performance outputs for each business will be factored into the 2019 price determination</w:t>
      </w:r>
      <w:r w:rsidR="00E65112">
        <w:rPr>
          <w:rFonts w:ascii="Candara" w:hAnsi="Candara"/>
        </w:rPr>
        <w:t xml:space="preserve"> by </w:t>
      </w:r>
      <w:r w:rsidR="00866507" w:rsidRPr="00866507">
        <w:rPr>
          <w:rFonts w:ascii="Candara" w:hAnsi="Candara"/>
          <w:b/>
        </w:rPr>
        <w:t xml:space="preserve">30 </w:t>
      </w:r>
      <w:r w:rsidR="007C04F7">
        <w:rPr>
          <w:rFonts w:ascii="Candara" w:hAnsi="Candara"/>
          <w:b/>
        </w:rPr>
        <w:t xml:space="preserve">September </w:t>
      </w:r>
      <w:r w:rsidR="00E65112" w:rsidRPr="00E65112">
        <w:rPr>
          <w:rFonts w:ascii="Candara" w:hAnsi="Candara"/>
          <w:b/>
        </w:rPr>
        <w:t>2019</w:t>
      </w:r>
      <w:r w:rsidRPr="00294353">
        <w:rPr>
          <w:rFonts w:ascii="Candara" w:hAnsi="Candara"/>
        </w:rPr>
        <w:t>.</w:t>
      </w:r>
    </w:p>
    <w:p w14:paraId="6DA187D5" w14:textId="5A5ECACA" w:rsidR="000C131B" w:rsidRPr="000C131B" w:rsidRDefault="000C131B" w:rsidP="000C131B">
      <w:pPr>
        <w:rPr>
          <w:rFonts w:ascii="Candara" w:hAnsi="Candara"/>
        </w:rPr>
      </w:pPr>
      <w:r w:rsidRPr="000C131B">
        <w:rPr>
          <w:rFonts w:ascii="Candara" w:hAnsi="Candara"/>
        </w:rPr>
        <w:t>Pass through amounts from performance determinations for each distribution business will be determined against the ignitions benchmarks from the 2011 – 2015 EDPR perio</w:t>
      </w:r>
      <w:r w:rsidR="00294353">
        <w:rPr>
          <w:rFonts w:ascii="Candara" w:hAnsi="Candara"/>
        </w:rPr>
        <w:t>d for 2105 and the first six months of</w:t>
      </w:r>
      <w:r w:rsidRPr="000C131B">
        <w:rPr>
          <w:rFonts w:ascii="Candara" w:hAnsi="Candara"/>
        </w:rPr>
        <w:t xml:space="preserve"> 2016. </w:t>
      </w:r>
    </w:p>
    <w:p w14:paraId="1AA33FC4" w14:textId="3ED58984" w:rsidR="000C131B" w:rsidRDefault="000C131B">
      <w:pPr>
        <w:rPr>
          <w:rFonts w:ascii="Candara" w:hAnsi="Candara"/>
        </w:rPr>
      </w:pPr>
      <w:r w:rsidRPr="000C131B">
        <w:rPr>
          <w:rFonts w:ascii="Candara" w:hAnsi="Candara"/>
        </w:rPr>
        <w:t xml:space="preserve">Performance </w:t>
      </w:r>
      <w:r>
        <w:rPr>
          <w:rFonts w:ascii="Candara" w:hAnsi="Candara"/>
        </w:rPr>
        <w:t xml:space="preserve">for the 2016-17 financial year and </w:t>
      </w:r>
      <w:r w:rsidRPr="000C131B">
        <w:rPr>
          <w:rFonts w:ascii="Candara" w:hAnsi="Candara"/>
        </w:rPr>
        <w:t>under subsequent years of the 2016 – 2020 price review period will be measured against the recalculated Ignition Risk Unit (IRU) benchmarks</w:t>
      </w:r>
      <w:r w:rsidR="00294353">
        <w:rPr>
          <w:rFonts w:ascii="Candara" w:hAnsi="Candara"/>
        </w:rPr>
        <w:t xml:space="preserve"> based on the </w:t>
      </w:r>
      <w:r w:rsidR="001A7A1D">
        <w:rPr>
          <w:rFonts w:ascii="Candara" w:hAnsi="Candara"/>
        </w:rPr>
        <w:t>validation</w:t>
      </w:r>
      <w:r w:rsidR="00294353">
        <w:rPr>
          <w:rFonts w:ascii="Candara" w:hAnsi="Candara"/>
        </w:rPr>
        <w:t xml:space="preserve"> performance output data </w:t>
      </w:r>
      <w:r w:rsidR="00E65112">
        <w:rPr>
          <w:rFonts w:ascii="Candara" w:hAnsi="Candara"/>
        </w:rPr>
        <w:t xml:space="preserve">and IRU totals </w:t>
      </w:r>
      <w:r w:rsidR="00294353">
        <w:rPr>
          <w:rFonts w:ascii="Candara" w:hAnsi="Candara"/>
        </w:rPr>
        <w:t xml:space="preserve">provided by ESV. </w:t>
      </w:r>
    </w:p>
    <w:p w14:paraId="701ACB78" w14:textId="10A2262D" w:rsidR="009C02AA" w:rsidRPr="00147437" w:rsidRDefault="0069118A" w:rsidP="009C02AA">
      <w:pPr>
        <w:pStyle w:val="Heading2"/>
      </w:pPr>
      <w:bookmarkStart w:id="53" w:name="_Toc458675206"/>
      <w:r>
        <w:lastRenderedPageBreak/>
        <w:t>Enforcement Powers</w:t>
      </w:r>
      <w:bookmarkEnd w:id="53"/>
    </w:p>
    <w:p w14:paraId="12F4984E" w14:textId="4EFCB16E" w:rsidR="002B3A2A" w:rsidRDefault="009C02AA" w:rsidP="002B3A2A">
      <w:pPr>
        <w:rPr>
          <w:rFonts w:ascii="Candara" w:hAnsi="Candara"/>
        </w:rPr>
      </w:pPr>
      <w:r w:rsidRPr="0069118A">
        <w:rPr>
          <w:rFonts w:ascii="Candara" w:hAnsi="Candara"/>
        </w:rPr>
        <w:t>The distribution businesses are monopoly businesses regulated by the AER and ESV. As such there is an existing framework requiring reporting and providing the regulators with a range of sanctions and options should the businesses not comply with the schemes fire start reporting requirements.</w:t>
      </w:r>
    </w:p>
    <w:p w14:paraId="6EF766DF" w14:textId="24325F97" w:rsidR="002B3A2A" w:rsidRPr="002B3A2A" w:rsidRDefault="002B3A2A" w:rsidP="00147437">
      <w:pPr>
        <w:pStyle w:val="Heading3"/>
      </w:pPr>
      <w:bookmarkStart w:id="54" w:name="_Toc458675207"/>
      <w:r w:rsidRPr="002B3A2A">
        <w:t>The powers of the Australian Energy Regulator</w:t>
      </w:r>
      <w:bookmarkEnd w:id="54"/>
    </w:p>
    <w:p w14:paraId="1FA3A776" w14:textId="3343E677" w:rsidR="0069118A" w:rsidRDefault="002B3A2A">
      <w:pPr>
        <w:rPr>
          <w:rFonts w:ascii="Candara" w:hAnsi="Candara"/>
        </w:rPr>
      </w:pPr>
      <w:r>
        <w:rPr>
          <w:rFonts w:ascii="Candara" w:hAnsi="Candara"/>
        </w:rPr>
        <w:t>As detailed in the previous section, u</w:t>
      </w:r>
      <w:r w:rsidRPr="00C629A3">
        <w:rPr>
          <w:rFonts w:ascii="Candara" w:hAnsi="Candara"/>
        </w:rPr>
        <w:t xml:space="preserve">nder the preferred option, annual f-factor </w:t>
      </w:r>
      <w:r>
        <w:rPr>
          <w:rFonts w:ascii="Candara" w:hAnsi="Candara"/>
        </w:rPr>
        <w:t xml:space="preserve">economic </w:t>
      </w:r>
      <w:r w:rsidRPr="00C629A3">
        <w:rPr>
          <w:rFonts w:ascii="Candara" w:hAnsi="Candara"/>
        </w:rPr>
        <w:t>determinations will continue to be made by the AER</w:t>
      </w:r>
      <w:r w:rsidR="00E65112">
        <w:rPr>
          <w:rFonts w:ascii="Candara" w:hAnsi="Candara"/>
        </w:rPr>
        <w:t xml:space="preserve"> from the </w:t>
      </w:r>
      <w:r>
        <w:rPr>
          <w:rFonts w:ascii="Candara" w:hAnsi="Candara"/>
        </w:rPr>
        <w:t xml:space="preserve">information </w:t>
      </w:r>
      <w:r w:rsidR="001A7A1D">
        <w:rPr>
          <w:rFonts w:ascii="Candara" w:hAnsi="Candara"/>
        </w:rPr>
        <w:t>it requests through its RIN or other request measures, validated</w:t>
      </w:r>
      <w:r>
        <w:rPr>
          <w:rFonts w:ascii="Candara" w:hAnsi="Candara"/>
        </w:rPr>
        <w:t xml:space="preserve"> by ESV</w:t>
      </w:r>
      <w:r w:rsidRPr="00C629A3">
        <w:rPr>
          <w:rFonts w:ascii="Candara" w:hAnsi="Candara"/>
        </w:rPr>
        <w:t>.</w:t>
      </w:r>
      <w:r>
        <w:rPr>
          <w:rFonts w:ascii="Candara" w:hAnsi="Candara"/>
        </w:rPr>
        <w:t xml:space="preserve">  </w:t>
      </w:r>
    </w:p>
    <w:p w14:paraId="6C86B9AF" w14:textId="74E071D5" w:rsidR="0069118A" w:rsidRPr="0069118A" w:rsidRDefault="0069118A" w:rsidP="0069118A">
      <w:pPr>
        <w:rPr>
          <w:rFonts w:ascii="Candara" w:hAnsi="Candara"/>
        </w:rPr>
      </w:pPr>
      <w:r w:rsidRPr="0069118A">
        <w:rPr>
          <w:rFonts w:ascii="Candara" w:hAnsi="Candara"/>
        </w:rPr>
        <w:t xml:space="preserve">The oversight of the costs to use the distribution network which businesses pass on to Victorian consumers is the responsibility of the AER which is a part of the Commonwealth Australian Competition and Consumer Commission (ACCC). The AER is empowered as the Economic Regulator under Section 15 of the </w:t>
      </w:r>
      <w:r w:rsidRPr="0069118A">
        <w:rPr>
          <w:rFonts w:ascii="Candara" w:hAnsi="Candara"/>
          <w:i/>
        </w:rPr>
        <w:t>National Electricity Law (NEL)</w:t>
      </w:r>
      <w:r w:rsidRPr="0069118A">
        <w:rPr>
          <w:rFonts w:ascii="Candara" w:hAnsi="Candara"/>
        </w:rPr>
        <w:t xml:space="preserve">, in the </w:t>
      </w:r>
      <w:r w:rsidRPr="0069118A">
        <w:rPr>
          <w:rFonts w:ascii="Candara" w:hAnsi="Candara"/>
          <w:i/>
        </w:rPr>
        <w:t>National Electricity (South Australia) Act 1996</w:t>
      </w:r>
      <w:r w:rsidR="00931525">
        <w:rPr>
          <w:rFonts w:ascii="Candara" w:hAnsi="Candara"/>
        </w:rPr>
        <w:t>.</w:t>
      </w:r>
    </w:p>
    <w:p w14:paraId="078E5CF3" w14:textId="77777777" w:rsidR="0069118A" w:rsidRPr="0069118A" w:rsidRDefault="0069118A" w:rsidP="0069118A">
      <w:pPr>
        <w:rPr>
          <w:rFonts w:ascii="Candara" w:hAnsi="Candara"/>
        </w:rPr>
      </w:pPr>
      <w:r w:rsidRPr="0069118A">
        <w:rPr>
          <w:rFonts w:ascii="Candara" w:hAnsi="Candara"/>
        </w:rPr>
        <w:t xml:space="preserve">The </w:t>
      </w:r>
      <w:r w:rsidRPr="0069118A">
        <w:rPr>
          <w:rFonts w:ascii="Candara" w:hAnsi="Candara"/>
          <w:i/>
        </w:rPr>
        <w:t>NEL</w:t>
      </w:r>
      <w:r w:rsidRPr="0069118A">
        <w:rPr>
          <w:rFonts w:ascii="Candara" w:hAnsi="Candara"/>
        </w:rPr>
        <w:t xml:space="preserve"> empowers the AER to compel the businesses to evidence they are operating prudently and efficiently. This information pertains to:</w:t>
      </w:r>
    </w:p>
    <w:p w14:paraId="7B9078D1" w14:textId="77777777" w:rsidR="0069118A" w:rsidRPr="0069118A" w:rsidRDefault="0069118A" w:rsidP="00345278">
      <w:pPr>
        <w:numPr>
          <w:ilvl w:val="0"/>
          <w:numId w:val="20"/>
        </w:numPr>
        <w:spacing w:after="0"/>
        <w:ind w:left="714" w:hanging="357"/>
        <w:rPr>
          <w:rFonts w:ascii="Candara" w:hAnsi="Candara"/>
        </w:rPr>
      </w:pPr>
      <w:r w:rsidRPr="0069118A">
        <w:rPr>
          <w:rFonts w:ascii="Candara" w:hAnsi="Candara"/>
        </w:rPr>
        <w:t>projected demand for electricity;</w:t>
      </w:r>
    </w:p>
    <w:p w14:paraId="7077E003" w14:textId="77777777" w:rsidR="0069118A" w:rsidRPr="0069118A" w:rsidRDefault="0069118A" w:rsidP="00345278">
      <w:pPr>
        <w:numPr>
          <w:ilvl w:val="0"/>
          <w:numId w:val="20"/>
        </w:numPr>
        <w:spacing w:after="0"/>
        <w:ind w:left="714" w:hanging="357"/>
        <w:rPr>
          <w:rFonts w:ascii="Candara" w:hAnsi="Candara"/>
        </w:rPr>
      </w:pPr>
      <w:r w:rsidRPr="0069118A">
        <w:rPr>
          <w:rFonts w:ascii="Candara" w:hAnsi="Candara"/>
        </w:rPr>
        <w:t>age of infrastructure;</w:t>
      </w:r>
    </w:p>
    <w:p w14:paraId="41D9B71F" w14:textId="77777777" w:rsidR="0069118A" w:rsidRPr="0069118A" w:rsidRDefault="0069118A" w:rsidP="00345278">
      <w:pPr>
        <w:numPr>
          <w:ilvl w:val="0"/>
          <w:numId w:val="20"/>
        </w:numPr>
        <w:spacing w:after="0"/>
        <w:ind w:left="714" w:hanging="357"/>
        <w:rPr>
          <w:rFonts w:ascii="Candara" w:hAnsi="Candara"/>
        </w:rPr>
      </w:pPr>
      <w:r w:rsidRPr="0069118A">
        <w:rPr>
          <w:rFonts w:ascii="Candara" w:hAnsi="Candara"/>
        </w:rPr>
        <w:t>operating and financial costs; and</w:t>
      </w:r>
    </w:p>
    <w:p w14:paraId="5852E69E" w14:textId="77777777" w:rsidR="0069118A" w:rsidRDefault="0069118A" w:rsidP="00345278">
      <w:pPr>
        <w:numPr>
          <w:ilvl w:val="0"/>
          <w:numId w:val="20"/>
        </w:numPr>
        <w:spacing w:after="0"/>
        <w:ind w:left="714" w:hanging="357"/>
        <w:rPr>
          <w:rFonts w:ascii="Candara" w:hAnsi="Candara"/>
        </w:rPr>
      </w:pPr>
      <w:r w:rsidRPr="0069118A">
        <w:rPr>
          <w:rFonts w:ascii="Candara" w:hAnsi="Candara"/>
        </w:rPr>
        <w:t>network reliability and safety standards.</w:t>
      </w:r>
    </w:p>
    <w:p w14:paraId="793D3AD7" w14:textId="77777777" w:rsidR="00147437" w:rsidRPr="0069118A" w:rsidRDefault="00147437" w:rsidP="00147437">
      <w:pPr>
        <w:spacing w:after="0"/>
        <w:ind w:left="714"/>
        <w:rPr>
          <w:rFonts w:ascii="Candara" w:hAnsi="Candara"/>
        </w:rPr>
      </w:pPr>
    </w:p>
    <w:p w14:paraId="0D8291B8" w14:textId="77777777" w:rsidR="0069118A" w:rsidRPr="0069118A" w:rsidRDefault="0069118A" w:rsidP="0069118A">
      <w:pPr>
        <w:rPr>
          <w:rFonts w:ascii="Candara" w:hAnsi="Candara"/>
        </w:rPr>
      </w:pPr>
      <w:r w:rsidRPr="0069118A">
        <w:rPr>
          <w:rFonts w:ascii="Candara" w:hAnsi="Candara"/>
        </w:rPr>
        <w:t xml:space="preserve">This information can be requested by the AER through several mechanisms including Regulatory Information Notices or calls for submissions to 5-yearly EDPR reviews. </w:t>
      </w:r>
    </w:p>
    <w:p w14:paraId="651CF976" w14:textId="188007E1" w:rsidR="0069118A" w:rsidRPr="0069118A" w:rsidRDefault="0069118A" w:rsidP="0069118A">
      <w:pPr>
        <w:rPr>
          <w:rFonts w:ascii="Candara" w:hAnsi="Candara"/>
        </w:rPr>
      </w:pPr>
      <w:r w:rsidRPr="0069118A">
        <w:rPr>
          <w:rFonts w:ascii="Candara" w:hAnsi="Candara"/>
        </w:rPr>
        <w:t xml:space="preserve">Section 5 of the </w:t>
      </w:r>
      <w:r w:rsidRPr="0069118A">
        <w:rPr>
          <w:rFonts w:ascii="Candara" w:hAnsi="Candara"/>
          <w:i/>
        </w:rPr>
        <w:t>f-factor Scheme Order 2011 Order in Council</w:t>
      </w:r>
      <w:r w:rsidRPr="0069118A">
        <w:rPr>
          <w:rFonts w:ascii="Candara" w:hAnsi="Candara"/>
        </w:rPr>
        <w:t xml:space="preserve"> [under </w:t>
      </w:r>
      <w:r w:rsidRPr="00AC3C42">
        <w:rPr>
          <w:rFonts w:ascii="Candara" w:hAnsi="Candara"/>
        </w:rPr>
        <w:t xml:space="preserve">Section 16C of the </w:t>
      </w:r>
      <w:r w:rsidRPr="00AC3C42">
        <w:rPr>
          <w:rFonts w:ascii="Candara" w:hAnsi="Candara"/>
          <w:i/>
        </w:rPr>
        <w:t>NEVA 2005</w:t>
      </w:r>
      <w:r w:rsidRPr="0069118A">
        <w:rPr>
          <w:rFonts w:ascii="Candara" w:hAnsi="Candara"/>
        </w:rPr>
        <w:t>] imposes an obligation on the businesses to report fire starts for the previous year upon annual request by the AER and be in the form specified by the AER. T</w:t>
      </w:r>
      <w:r w:rsidR="000062A8">
        <w:rPr>
          <w:rFonts w:ascii="Candara" w:hAnsi="Candara"/>
        </w:rPr>
        <w:t>he AER is obliged to publish a Fire Start R</w:t>
      </w:r>
      <w:r w:rsidRPr="0069118A">
        <w:rPr>
          <w:rFonts w:ascii="Candara" w:hAnsi="Candara"/>
        </w:rPr>
        <w:t xml:space="preserve">eport under this section. </w:t>
      </w:r>
    </w:p>
    <w:p w14:paraId="239B17DC" w14:textId="77777777" w:rsidR="0069118A" w:rsidRPr="0069118A" w:rsidRDefault="0069118A" w:rsidP="0069118A">
      <w:pPr>
        <w:rPr>
          <w:rFonts w:ascii="Candara" w:hAnsi="Candara"/>
        </w:rPr>
      </w:pPr>
      <w:r w:rsidRPr="0069118A">
        <w:rPr>
          <w:rFonts w:ascii="Candara" w:hAnsi="Candara"/>
        </w:rPr>
        <w:t xml:space="preserve">Failure to comply completely and accurately with these information requests carries penalties on businesses. Non-compliance is subject to civil penalties  - up to $100,000 per breach, and $10,000 per day of continuing breach. This is covered directly under Section 16E of the </w:t>
      </w:r>
      <w:r w:rsidRPr="0069118A">
        <w:rPr>
          <w:rFonts w:ascii="Candara" w:hAnsi="Candara"/>
          <w:i/>
        </w:rPr>
        <w:t>NEVA</w:t>
      </w:r>
      <w:r w:rsidRPr="0069118A">
        <w:rPr>
          <w:rFonts w:ascii="Candara" w:hAnsi="Candara"/>
        </w:rPr>
        <w:t xml:space="preserve"> and by adherence to a determination decision, covered under Section 14B of the </w:t>
      </w:r>
      <w:r w:rsidRPr="0069118A">
        <w:rPr>
          <w:rFonts w:ascii="Candara" w:hAnsi="Candara"/>
          <w:i/>
        </w:rPr>
        <w:t>NEL</w:t>
      </w:r>
      <w:r w:rsidRPr="0069118A">
        <w:rPr>
          <w:rFonts w:ascii="Candara" w:hAnsi="Candara"/>
        </w:rPr>
        <w:t xml:space="preserve">. </w:t>
      </w:r>
    </w:p>
    <w:p w14:paraId="6C6E477D" w14:textId="068C76DD" w:rsidR="002B3A2A" w:rsidRPr="002B3A2A" w:rsidRDefault="002B3A2A" w:rsidP="00147437">
      <w:pPr>
        <w:pStyle w:val="Heading3"/>
      </w:pPr>
      <w:bookmarkStart w:id="55" w:name="_Toc458675208"/>
      <w:r w:rsidRPr="002B3A2A">
        <w:t>Energy Safe Victoria’s powers</w:t>
      </w:r>
      <w:bookmarkEnd w:id="55"/>
    </w:p>
    <w:p w14:paraId="75FB27F2" w14:textId="52BA04AF" w:rsidR="002B3A2A" w:rsidRDefault="002B3A2A">
      <w:pPr>
        <w:rPr>
          <w:rFonts w:ascii="Candara" w:hAnsi="Candara"/>
        </w:rPr>
      </w:pPr>
      <w:r w:rsidRPr="002B3A2A">
        <w:rPr>
          <w:rFonts w:ascii="Candara" w:hAnsi="Candara"/>
        </w:rPr>
        <w:t xml:space="preserve">The Director of ESV has sufficient powers to </w:t>
      </w:r>
      <w:r w:rsidR="009C02AA">
        <w:rPr>
          <w:rFonts w:ascii="Candara" w:hAnsi="Candara"/>
        </w:rPr>
        <w:t xml:space="preserve">allow ESV </w:t>
      </w:r>
      <w:r w:rsidR="001A7A1D">
        <w:rPr>
          <w:rFonts w:ascii="Candara" w:hAnsi="Candara"/>
        </w:rPr>
        <w:t xml:space="preserve">validated </w:t>
      </w:r>
      <w:r w:rsidR="009C02AA">
        <w:rPr>
          <w:rFonts w:ascii="Candara" w:hAnsi="Candara"/>
        </w:rPr>
        <w:t xml:space="preserve">ignitions data and </w:t>
      </w:r>
      <w:r w:rsidR="00E65112">
        <w:rPr>
          <w:rFonts w:ascii="Candara" w:hAnsi="Candara"/>
        </w:rPr>
        <w:t>the IRU performance results</w:t>
      </w:r>
      <w:r w:rsidR="009C02AA">
        <w:rPr>
          <w:rFonts w:ascii="Candara" w:hAnsi="Candara"/>
        </w:rPr>
        <w:t xml:space="preserve"> calculate</w:t>
      </w:r>
      <w:r w:rsidR="00E65112">
        <w:rPr>
          <w:rFonts w:ascii="Candara" w:hAnsi="Candara"/>
        </w:rPr>
        <w:t>d</w:t>
      </w:r>
      <w:r w:rsidR="009C02AA">
        <w:rPr>
          <w:rFonts w:ascii="Candara" w:hAnsi="Candara"/>
        </w:rPr>
        <w:t xml:space="preserve"> </w:t>
      </w:r>
      <w:r w:rsidR="00E65112">
        <w:rPr>
          <w:rFonts w:ascii="Candara" w:hAnsi="Candara"/>
        </w:rPr>
        <w:t>by the businesses</w:t>
      </w:r>
      <w:r w:rsidR="009C02AA">
        <w:rPr>
          <w:rFonts w:ascii="Candara" w:hAnsi="Candara"/>
        </w:rPr>
        <w:t xml:space="preserve"> </w:t>
      </w:r>
      <w:r w:rsidR="00931525">
        <w:rPr>
          <w:rFonts w:ascii="Candara" w:hAnsi="Candara"/>
        </w:rPr>
        <w:t>under the proposed f-factor.</w:t>
      </w:r>
    </w:p>
    <w:p w14:paraId="5EE35449" w14:textId="1E87B5E0" w:rsidR="00233112" w:rsidRDefault="0042416E" w:rsidP="0069118A">
      <w:pPr>
        <w:rPr>
          <w:rFonts w:ascii="Candara" w:hAnsi="Candara"/>
        </w:rPr>
      </w:pPr>
      <w:r>
        <w:rPr>
          <w:rFonts w:ascii="Candara" w:hAnsi="Candara"/>
        </w:rPr>
        <w:t>Energy Safe Victoria</w:t>
      </w:r>
      <w:r w:rsidR="0069118A" w:rsidRPr="0069118A">
        <w:rPr>
          <w:rFonts w:ascii="Candara" w:hAnsi="Candara"/>
        </w:rPr>
        <w:t xml:space="preserve"> is empowered by the </w:t>
      </w:r>
      <w:r w:rsidR="0069118A" w:rsidRPr="0069118A">
        <w:rPr>
          <w:rFonts w:ascii="Candara" w:hAnsi="Candara"/>
          <w:i/>
        </w:rPr>
        <w:t>Electricity Safety Act 1998</w:t>
      </w:r>
      <w:r w:rsidR="0069118A" w:rsidRPr="0069118A">
        <w:rPr>
          <w:rFonts w:ascii="Candara" w:hAnsi="Candara"/>
        </w:rPr>
        <w:t xml:space="preserve">, the </w:t>
      </w:r>
      <w:r w:rsidR="0069118A" w:rsidRPr="0069118A">
        <w:rPr>
          <w:rFonts w:ascii="Candara" w:hAnsi="Candara"/>
          <w:i/>
        </w:rPr>
        <w:t>Energy Safe Victoria Act 2005</w:t>
      </w:r>
      <w:r w:rsidR="0069118A" w:rsidRPr="0069118A">
        <w:rPr>
          <w:rFonts w:ascii="Candara" w:hAnsi="Candara"/>
        </w:rPr>
        <w:t xml:space="preserve"> and associated regulations to oversight the safe operation of Victoria’s electricity distribution network. ESV has wide ranging powers to compel the businesses to report on the </w:t>
      </w:r>
      <w:r w:rsidR="0069118A" w:rsidRPr="0069118A">
        <w:rPr>
          <w:rFonts w:ascii="Candara" w:hAnsi="Candara"/>
        </w:rPr>
        <w:lastRenderedPageBreak/>
        <w:t xml:space="preserve">operation of their networks in line with this legislation, to undertake investigations. </w:t>
      </w:r>
      <w:r w:rsidR="001A7A1D">
        <w:rPr>
          <w:rFonts w:ascii="Candara" w:hAnsi="Candara"/>
        </w:rPr>
        <w:t xml:space="preserve">A validation </w:t>
      </w:r>
      <w:r w:rsidR="00E65112">
        <w:rPr>
          <w:rFonts w:ascii="Candara" w:hAnsi="Candara"/>
        </w:rPr>
        <w:t xml:space="preserve">role for </w:t>
      </w:r>
      <w:r w:rsidR="0017135A">
        <w:rPr>
          <w:rFonts w:ascii="Candara" w:hAnsi="Candara"/>
        </w:rPr>
        <w:t xml:space="preserve">ESV on </w:t>
      </w:r>
      <w:r w:rsidR="00E65112">
        <w:rPr>
          <w:rFonts w:ascii="Candara" w:hAnsi="Candara"/>
        </w:rPr>
        <w:t xml:space="preserve">the f-factor compliments </w:t>
      </w:r>
      <w:r w:rsidR="00233112">
        <w:rPr>
          <w:rFonts w:ascii="Candara" w:hAnsi="Candara"/>
        </w:rPr>
        <w:t xml:space="preserve">these </w:t>
      </w:r>
      <w:r w:rsidR="00E65112">
        <w:rPr>
          <w:rFonts w:ascii="Candara" w:hAnsi="Candara"/>
        </w:rPr>
        <w:t>powers</w:t>
      </w:r>
      <w:r w:rsidR="00233112">
        <w:rPr>
          <w:rFonts w:ascii="Candara" w:hAnsi="Candara"/>
        </w:rPr>
        <w:t xml:space="preserve">. </w:t>
      </w:r>
    </w:p>
    <w:p w14:paraId="011E8479" w14:textId="1AB6453D" w:rsidR="0069118A" w:rsidRPr="0069118A" w:rsidRDefault="00233112" w:rsidP="0069118A">
      <w:pPr>
        <w:rPr>
          <w:rFonts w:ascii="Candara" w:hAnsi="Candara"/>
        </w:rPr>
      </w:pPr>
      <w:r>
        <w:rPr>
          <w:rFonts w:ascii="Candara" w:hAnsi="Candara"/>
        </w:rPr>
        <w:t>In more detail, s</w:t>
      </w:r>
      <w:r w:rsidR="0069118A" w:rsidRPr="0069118A">
        <w:rPr>
          <w:rFonts w:ascii="Candara" w:hAnsi="Candara"/>
        </w:rPr>
        <w:t>ection 1</w:t>
      </w:r>
      <w:r w:rsidR="0017135A">
        <w:rPr>
          <w:rFonts w:ascii="Candara" w:hAnsi="Candara"/>
        </w:rPr>
        <w:t>00</w:t>
      </w:r>
      <w:r w:rsidR="0069118A" w:rsidRPr="0069118A">
        <w:rPr>
          <w:rFonts w:ascii="Candara" w:hAnsi="Candara"/>
        </w:rPr>
        <w:t xml:space="preserve"> of the </w:t>
      </w:r>
      <w:r w:rsidR="0069118A" w:rsidRPr="0069118A">
        <w:rPr>
          <w:rFonts w:ascii="Candara" w:hAnsi="Candara"/>
          <w:i/>
        </w:rPr>
        <w:t>ESA</w:t>
      </w:r>
      <w:r w:rsidR="00E65112">
        <w:rPr>
          <w:rFonts w:ascii="Candara" w:hAnsi="Candara"/>
        </w:rPr>
        <w:t xml:space="preserve"> </w:t>
      </w:r>
      <w:r w:rsidR="0017135A">
        <w:rPr>
          <w:rFonts w:ascii="Candara" w:hAnsi="Candara"/>
        </w:rPr>
        <w:t>provides ESV powers to compel businesses to independently validate Electricity Safety Management Schemes which they submit to ESV</w:t>
      </w:r>
      <w:r>
        <w:rPr>
          <w:rFonts w:ascii="Candara" w:hAnsi="Candara"/>
        </w:rPr>
        <w:t xml:space="preserve">. </w:t>
      </w:r>
      <w:r w:rsidR="0069118A" w:rsidRPr="0069118A">
        <w:rPr>
          <w:rFonts w:ascii="Candara" w:hAnsi="Candara"/>
        </w:rPr>
        <w:t xml:space="preserve">Under Section 113 A of the </w:t>
      </w:r>
      <w:r>
        <w:rPr>
          <w:rFonts w:ascii="Candara" w:hAnsi="Candara"/>
          <w:i/>
        </w:rPr>
        <w:t>ESA</w:t>
      </w:r>
      <w:r w:rsidR="0069118A" w:rsidRPr="0069118A">
        <w:rPr>
          <w:rFonts w:ascii="Candara" w:hAnsi="Candara"/>
        </w:rPr>
        <w:t xml:space="preserve">, distribution businesses are compelled to provide ESV with Bushfire Mitigation Plans. </w:t>
      </w:r>
      <w:r w:rsidR="0069118A" w:rsidRPr="0069118A">
        <w:rPr>
          <w:rFonts w:ascii="Candara" w:hAnsi="Candara"/>
          <w:i/>
        </w:rPr>
        <w:t xml:space="preserve">Electricity Safety (Bushfire Mitigation) Regulations 2013 </w:t>
      </w:r>
      <w:r w:rsidR="00640446">
        <w:rPr>
          <w:rFonts w:ascii="Candara" w:hAnsi="Candara"/>
        </w:rPr>
        <w:t>describes</w:t>
      </w:r>
      <w:r w:rsidR="0069118A" w:rsidRPr="0069118A">
        <w:rPr>
          <w:rFonts w:ascii="Candara" w:hAnsi="Candara"/>
        </w:rPr>
        <w:t xml:space="preserve"> what is required to be in these plans, businesses must indicate operations and maintenance arrangements they intend to undertake in order to manage the bushfire danger presented by their networks, specifying amongst other things: treatment of “at risk” electric lines differentiated by (after a fire, during a Total Fire Ban day, during the fire danger period) and the network in which the BMP applies, plan of inspection with maximum time intervals, standards of training for inspectors, and monitoring and </w:t>
      </w:r>
      <w:r w:rsidR="001A7A1D">
        <w:rPr>
          <w:rFonts w:ascii="Candara" w:hAnsi="Candara"/>
        </w:rPr>
        <w:t>review</w:t>
      </w:r>
      <w:r w:rsidR="0069118A" w:rsidRPr="0069118A">
        <w:rPr>
          <w:rFonts w:ascii="Candara" w:hAnsi="Candara"/>
        </w:rPr>
        <w:t xml:space="preserve"> arrangements for the plan. Failure to provide a BMP is an offence under Section 83BA of the </w:t>
      </w:r>
      <w:r w:rsidR="0042416E" w:rsidRPr="0042416E">
        <w:rPr>
          <w:rFonts w:ascii="Candara" w:hAnsi="Candara"/>
          <w:i/>
        </w:rPr>
        <w:t>Electricity Safety Act 1998</w:t>
      </w:r>
      <w:r w:rsidR="0069118A" w:rsidRPr="0069118A">
        <w:rPr>
          <w:rFonts w:ascii="Candara" w:hAnsi="Candara"/>
        </w:rPr>
        <w:t xml:space="preserve">, failure to comply with a BMP is an offence under Section 113 B of the </w:t>
      </w:r>
      <w:r w:rsidR="0042416E" w:rsidRPr="0042416E">
        <w:rPr>
          <w:rFonts w:ascii="Candara" w:hAnsi="Candara"/>
          <w:i/>
        </w:rPr>
        <w:t>Electricity Safety Act 1998</w:t>
      </w:r>
      <w:r w:rsidR="00931525">
        <w:rPr>
          <w:rFonts w:ascii="Candara" w:hAnsi="Candara"/>
        </w:rPr>
        <w:t xml:space="preserve">. </w:t>
      </w:r>
      <w:r w:rsidR="0017135A">
        <w:rPr>
          <w:rFonts w:ascii="Candara" w:hAnsi="Candara"/>
        </w:rPr>
        <w:t>ESV has a power of validation</w:t>
      </w:r>
      <w:r w:rsidR="00FA08C2">
        <w:rPr>
          <w:rFonts w:ascii="Candara" w:hAnsi="Candara"/>
        </w:rPr>
        <w:t xml:space="preserve"> and acceptance</w:t>
      </w:r>
      <w:r w:rsidR="0017135A">
        <w:rPr>
          <w:rFonts w:ascii="Candara" w:hAnsi="Candara"/>
        </w:rPr>
        <w:t xml:space="preserve"> of BMPs under Section 113C of the </w:t>
      </w:r>
      <w:r w:rsidR="0017135A" w:rsidRPr="0017135A">
        <w:rPr>
          <w:rFonts w:ascii="Candara" w:hAnsi="Candara"/>
          <w:i/>
        </w:rPr>
        <w:t>ESA</w:t>
      </w:r>
      <w:r w:rsidR="0017135A">
        <w:rPr>
          <w:rFonts w:ascii="Candara" w:hAnsi="Candara"/>
        </w:rPr>
        <w:t xml:space="preserve">. </w:t>
      </w:r>
    </w:p>
    <w:p w14:paraId="0ACCB6EE" w14:textId="77777777" w:rsidR="0069118A" w:rsidRPr="0069118A" w:rsidRDefault="0069118A" w:rsidP="0069118A">
      <w:pPr>
        <w:rPr>
          <w:rFonts w:ascii="Candara" w:hAnsi="Candara"/>
        </w:rPr>
      </w:pPr>
      <w:r w:rsidRPr="0069118A">
        <w:rPr>
          <w:rFonts w:ascii="Candara" w:hAnsi="Candara"/>
        </w:rPr>
        <w:t xml:space="preserve">The businesses are also compelled to comply with vegetation clearance requirements around electrical line to reduce the bushfire risk through the </w:t>
      </w:r>
      <w:r w:rsidRPr="0069118A">
        <w:rPr>
          <w:rFonts w:ascii="Candara" w:hAnsi="Candara"/>
          <w:i/>
        </w:rPr>
        <w:t>Electricity Safety (Electric Line Clearance Regulations) 2015</w:t>
      </w:r>
      <w:r w:rsidRPr="0069118A">
        <w:rPr>
          <w:rFonts w:ascii="Candara" w:hAnsi="Candara"/>
        </w:rPr>
        <w:t xml:space="preserve">. </w:t>
      </w:r>
    </w:p>
    <w:p w14:paraId="37FC8384" w14:textId="1507B322" w:rsidR="00147437" w:rsidRDefault="0042416E">
      <w:pPr>
        <w:rPr>
          <w:rFonts w:ascii="Candara" w:hAnsi="Candara"/>
        </w:rPr>
      </w:pPr>
      <w:r>
        <w:rPr>
          <w:rFonts w:ascii="Candara" w:hAnsi="Candara"/>
        </w:rPr>
        <w:t>Energy Safe Victoria</w:t>
      </w:r>
      <w:r w:rsidR="0069118A" w:rsidRPr="0069118A">
        <w:rPr>
          <w:rFonts w:ascii="Candara" w:hAnsi="Candara"/>
        </w:rPr>
        <w:t xml:space="preserve"> issues Distribution Business Electrical Safety Performance Reporting Guidelines to assist businesses to report on ignitions on their networks. Though not binding, businesses have been reporting against these guidelines. </w:t>
      </w:r>
    </w:p>
    <w:p w14:paraId="6E4495A9" w14:textId="77777777" w:rsidR="00AA5547" w:rsidRPr="00C629A3" w:rsidRDefault="00AA5547" w:rsidP="009F5994">
      <w:pPr>
        <w:pStyle w:val="Heading1"/>
        <w:rPr>
          <w:sz w:val="22"/>
          <w:szCs w:val="22"/>
        </w:rPr>
      </w:pPr>
      <w:bookmarkStart w:id="56" w:name="_Toc458675209"/>
      <w:r w:rsidRPr="00C629A3">
        <w:rPr>
          <w:sz w:val="22"/>
          <w:szCs w:val="22"/>
        </w:rPr>
        <w:t>Evaluation Strategy</w:t>
      </w:r>
      <w:bookmarkEnd w:id="56"/>
    </w:p>
    <w:p w14:paraId="582E5799" w14:textId="77777777" w:rsidR="00AA5547" w:rsidRDefault="00AA5547" w:rsidP="00AA5547">
      <w:pPr>
        <w:rPr>
          <w:rFonts w:ascii="Candara" w:hAnsi="Candara"/>
        </w:rPr>
      </w:pPr>
      <w:r w:rsidRPr="00C629A3">
        <w:rPr>
          <w:rFonts w:ascii="Candara" w:hAnsi="Candara"/>
        </w:rPr>
        <w:t xml:space="preserve">The proposed </w:t>
      </w:r>
      <w:r w:rsidR="00C33891" w:rsidRPr="00C629A3">
        <w:rPr>
          <w:rFonts w:ascii="Candara" w:hAnsi="Candara"/>
        </w:rPr>
        <w:t>revised version of the f-factor</w:t>
      </w:r>
      <w:r w:rsidRPr="00C629A3">
        <w:rPr>
          <w:rFonts w:ascii="Candara" w:hAnsi="Candara"/>
        </w:rPr>
        <w:t xml:space="preserve"> </w:t>
      </w:r>
      <w:r w:rsidR="004001B4">
        <w:rPr>
          <w:rFonts w:ascii="Candara" w:hAnsi="Candara"/>
        </w:rPr>
        <w:t>that will apply from 1 July 2016</w:t>
      </w:r>
      <w:r w:rsidRPr="00C629A3">
        <w:rPr>
          <w:rFonts w:ascii="Candara" w:hAnsi="Candara"/>
        </w:rPr>
        <w:t xml:space="preserve"> differs in a number of fundamental ways from the existing scheme.</w:t>
      </w:r>
    </w:p>
    <w:p w14:paraId="17223705" w14:textId="6E5D6012" w:rsidR="0012018F" w:rsidRPr="0012018F" w:rsidRDefault="0012018F" w:rsidP="0012018F">
      <w:pPr>
        <w:autoSpaceDE w:val="0"/>
        <w:autoSpaceDN w:val="0"/>
        <w:adjustRightInd w:val="0"/>
        <w:spacing w:before="120" w:after="80"/>
        <w:rPr>
          <w:rFonts w:ascii="Candara" w:hAnsi="Candara" w:cs="Calibri"/>
          <w:sz w:val="21"/>
          <w:szCs w:val="21"/>
        </w:rPr>
      </w:pPr>
      <w:r>
        <w:rPr>
          <w:rStyle w:val="Heading6Char"/>
        </w:rPr>
        <w:t xml:space="preserve">Figure 7.1: </w:t>
      </w:r>
      <w:r w:rsidR="0034331B">
        <w:rPr>
          <w:rStyle w:val="Heading6Char"/>
        </w:rPr>
        <w:t>Differences between current and proposed revised f-factor</w:t>
      </w:r>
    </w:p>
    <w:tbl>
      <w:tblPr>
        <w:tblStyle w:val="TableGrid"/>
        <w:tblW w:w="5000" w:type="pct"/>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19"/>
        <w:gridCol w:w="4623"/>
      </w:tblGrid>
      <w:tr w:rsidR="00AA5547" w:rsidRPr="00C629A3" w14:paraId="23EACC1F" w14:textId="77777777" w:rsidTr="00700509">
        <w:tc>
          <w:tcPr>
            <w:tcW w:w="4434" w:type="dxa"/>
            <w:shd w:val="clear" w:color="auto" w:fill="365F91" w:themeFill="accent1" w:themeFillShade="BF"/>
          </w:tcPr>
          <w:p w14:paraId="04E3754F" w14:textId="77777777" w:rsidR="00AA5547" w:rsidRPr="00C629A3" w:rsidRDefault="00AA5547" w:rsidP="00AA5547">
            <w:pPr>
              <w:spacing w:before="120" w:after="120"/>
              <w:rPr>
                <w:rFonts w:ascii="Candara" w:hAnsi="Candara"/>
                <w:b/>
                <w:color w:val="FFFFFF" w:themeColor="background1"/>
              </w:rPr>
            </w:pPr>
            <w:r w:rsidRPr="00C629A3">
              <w:rPr>
                <w:rFonts w:ascii="Candara" w:hAnsi="Candara"/>
                <w:b/>
                <w:color w:val="FFFFFF" w:themeColor="background1"/>
              </w:rPr>
              <w:t>Existing scheme (to 2016)</w:t>
            </w:r>
          </w:p>
        </w:tc>
        <w:tc>
          <w:tcPr>
            <w:tcW w:w="4438" w:type="dxa"/>
            <w:shd w:val="clear" w:color="auto" w:fill="365F91" w:themeFill="accent1" w:themeFillShade="BF"/>
          </w:tcPr>
          <w:p w14:paraId="2517FA51" w14:textId="77777777" w:rsidR="00AA5547" w:rsidRPr="00C629A3" w:rsidRDefault="00AA5547" w:rsidP="00AA5547">
            <w:pPr>
              <w:spacing w:before="120" w:after="120"/>
              <w:rPr>
                <w:rFonts w:ascii="Candara" w:hAnsi="Candara"/>
                <w:b/>
                <w:color w:val="FFFFFF" w:themeColor="background1"/>
              </w:rPr>
            </w:pPr>
            <w:r w:rsidRPr="00C629A3">
              <w:rPr>
                <w:rFonts w:ascii="Candara" w:hAnsi="Candara"/>
                <w:b/>
                <w:color w:val="FFFFFF" w:themeColor="background1"/>
              </w:rPr>
              <w:t>Proposed future scheme (from 2016)</w:t>
            </w:r>
          </w:p>
        </w:tc>
      </w:tr>
      <w:tr w:rsidR="00AA5547" w:rsidRPr="00C629A3" w14:paraId="76373F69" w14:textId="77777777" w:rsidTr="00FE529E">
        <w:tc>
          <w:tcPr>
            <w:tcW w:w="4434" w:type="dxa"/>
          </w:tcPr>
          <w:p w14:paraId="01A57AD0" w14:textId="77777777" w:rsidR="00AA5547" w:rsidRPr="00C629A3" w:rsidRDefault="00AA5547" w:rsidP="00494DD4">
            <w:pPr>
              <w:spacing w:before="80" w:after="80"/>
              <w:rPr>
                <w:rFonts w:ascii="Candara" w:hAnsi="Candara"/>
              </w:rPr>
            </w:pPr>
            <w:r w:rsidRPr="00C629A3">
              <w:rPr>
                <w:rFonts w:ascii="Candara" w:hAnsi="Candara"/>
              </w:rPr>
              <w:t xml:space="preserve">Every fire start is treated as </w:t>
            </w:r>
            <w:r w:rsidRPr="009847D8">
              <w:rPr>
                <w:rFonts w:ascii="Candara" w:hAnsi="Candara"/>
                <w:b/>
              </w:rPr>
              <w:t>equal</w:t>
            </w:r>
          </w:p>
        </w:tc>
        <w:tc>
          <w:tcPr>
            <w:tcW w:w="4438" w:type="dxa"/>
          </w:tcPr>
          <w:p w14:paraId="44651DDB" w14:textId="77777777" w:rsidR="00AA5547" w:rsidRPr="00C629A3" w:rsidRDefault="00AA5547" w:rsidP="00494DD4">
            <w:pPr>
              <w:spacing w:before="80" w:after="80"/>
              <w:rPr>
                <w:rFonts w:ascii="Candara" w:hAnsi="Candara"/>
              </w:rPr>
            </w:pPr>
            <w:r w:rsidRPr="00C629A3">
              <w:rPr>
                <w:rFonts w:ascii="Candara" w:hAnsi="Candara"/>
              </w:rPr>
              <w:t xml:space="preserve">Each fire start is treated </w:t>
            </w:r>
            <w:r w:rsidRPr="009847D8">
              <w:rPr>
                <w:rFonts w:ascii="Candara" w:hAnsi="Candara"/>
                <w:b/>
              </w:rPr>
              <w:t>differently</w:t>
            </w:r>
            <w:r w:rsidRPr="00C629A3">
              <w:rPr>
                <w:rFonts w:ascii="Candara" w:hAnsi="Candara"/>
              </w:rPr>
              <w:t xml:space="preserve"> due to the unique bushfire risk profile of each </w:t>
            </w:r>
          </w:p>
        </w:tc>
      </w:tr>
      <w:tr w:rsidR="00AA5547" w:rsidRPr="00C629A3" w14:paraId="0B30086A" w14:textId="77777777" w:rsidTr="00FE529E">
        <w:tc>
          <w:tcPr>
            <w:tcW w:w="4434" w:type="dxa"/>
          </w:tcPr>
          <w:p w14:paraId="4088972E" w14:textId="77777777" w:rsidR="00AA5547" w:rsidRPr="00C629A3" w:rsidRDefault="00AA5547" w:rsidP="00494DD4">
            <w:pPr>
              <w:spacing w:before="80" w:after="80"/>
              <w:rPr>
                <w:rFonts w:ascii="Candara" w:hAnsi="Candara"/>
              </w:rPr>
            </w:pPr>
            <w:r w:rsidRPr="00C629A3">
              <w:rPr>
                <w:rFonts w:ascii="Candara" w:hAnsi="Candara"/>
              </w:rPr>
              <w:t xml:space="preserve">Annual benchmark for fire starts is </w:t>
            </w:r>
            <w:r w:rsidRPr="009847D8">
              <w:rPr>
                <w:rFonts w:ascii="Candara" w:hAnsi="Candara"/>
                <w:b/>
              </w:rPr>
              <w:t>static</w:t>
            </w:r>
          </w:p>
        </w:tc>
        <w:tc>
          <w:tcPr>
            <w:tcW w:w="4438" w:type="dxa"/>
          </w:tcPr>
          <w:p w14:paraId="531C9940" w14:textId="69F4A4F9" w:rsidR="00AA5547" w:rsidRPr="00C629A3" w:rsidRDefault="00AA5547" w:rsidP="00494DD4">
            <w:pPr>
              <w:spacing w:before="80" w:after="80"/>
              <w:rPr>
                <w:rFonts w:ascii="Candara" w:hAnsi="Candara"/>
              </w:rPr>
            </w:pPr>
            <w:r w:rsidRPr="00C629A3">
              <w:rPr>
                <w:rFonts w:ascii="Candara" w:hAnsi="Candara"/>
              </w:rPr>
              <w:t xml:space="preserve">Annual benchmark for fire starts is </w:t>
            </w:r>
            <w:r w:rsidRPr="009847D8">
              <w:rPr>
                <w:rFonts w:ascii="Candara" w:hAnsi="Candara"/>
                <w:b/>
              </w:rPr>
              <w:t>variable</w:t>
            </w:r>
            <w:r w:rsidR="009847D8">
              <w:rPr>
                <w:rFonts w:ascii="Candara" w:hAnsi="Candara"/>
              </w:rPr>
              <w:t>,</w:t>
            </w:r>
            <w:r w:rsidRPr="00C629A3">
              <w:rPr>
                <w:rFonts w:ascii="Candara" w:hAnsi="Candara"/>
              </w:rPr>
              <w:t xml:space="preserve"> reducing </w:t>
            </w:r>
            <w:r w:rsidR="00343550" w:rsidRPr="00343550">
              <w:rPr>
                <w:rFonts w:ascii="Candara" w:hAnsi="Candara"/>
              </w:rPr>
              <w:t>periodically</w:t>
            </w:r>
            <w:r w:rsidR="00343550">
              <w:rPr>
                <w:rFonts w:ascii="Candara" w:hAnsi="Candara"/>
              </w:rPr>
              <w:t xml:space="preserve"> </w:t>
            </w:r>
            <w:r w:rsidRPr="00C629A3">
              <w:rPr>
                <w:rFonts w:ascii="Candara" w:hAnsi="Candara"/>
              </w:rPr>
              <w:t>as new safety measures are introduced</w:t>
            </w:r>
          </w:p>
        </w:tc>
      </w:tr>
      <w:tr w:rsidR="00AA5547" w:rsidRPr="00C629A3" w14:paraId="12120857" w14:textId="77777777" w:rsidTr="00FE529E">
        <w:tc>
          <w:tcPr>
            <w:tcW w:w="4434" w:type="dxa"/>
          </w:tcPr>
          <w:p w14:paraId="4CBF8E05" w14:textId="77777777" w:rsidR="00AA5547" w:rsidRPr="00C629A3" w:rsidRDefault="00AA5547" w:rsidP="00494DD4">
            <w:pPr>
              <w:spacing w:before="80" w:after="80"/>
              <w:rPr>
                <w:rFonts w:ascii="Candara" w:hAnsi="Candara"/>
              </w:rPr>
            </w:pPr>
            <w:r w:rsidRPr="00C629A3">
              <w:rPr>
                <w:rFonts w:ascii="Candara" w:hAnsi="Candara"/>
              </w:rPr>
              <w:t xml:space="preserve">Expected reduction in fire starts each year </w:t>
            </w:r>
            <w:r w:rsidR="00FF41A4" w:rsidRPr="009847D8">
              <w:rPr>
                <w:rFonts w:ascii="Candara" w:hAnsi="Candara"/>
                <w:b/>
              </w:rPr>
              <w:t>is not</w:t>
            </w:r>
            <w:r w:rsidRPr="009847D8">
              <w:rPr>
                <w:rFonts w:ascii="Candara" w:hAnsi="Candara"/>
                <w:b/>
              </w:rPr>
              <w:t xml:space="preserve"> estimated</w:t>
            </w:r>
          </w:p>
        </w:tc>
        <w:tc>
          <w:tcPr>
            <w:tcW w:w="4438" w:type="dxa"/>
          </w:tcPr>
          <w:p w14:paraId="6BB8228A" w14:textId="77777777" w:rsidR="00AA5547" w:rsidRPr="00C629A3" w:rsidRDefault="00AA5547" w:rsidP="00494DD4">
            <w:pPr>
              <w:spacing w:before="80" w:after="80"/>
              <w:rPr>
                <w:rFonts w:ascii="Candara" w:hAnsi="Candara"/>
              </w:rPr>
            </w:pPr>
            <w:r w:rsidRPr="00C629A3">
              <w:rPr>
                <w:rFonts w:ascii="Candara" w:hAnsi="Candara"/>
              </w:rPr>
              <w:t xml:space="preserve">Expected reduction in fire starts each year </w:t>
            </w:r>
            <w:r w:rsidRPr="009847D8">
              <w:rPr>
                <w:rFonts w:ascii="Candara" w:hAnsi="Candara"/>
                <w:b/>
              </w:rPr>
              <w:t>can be estimated</w:t>
            </w:r>
            <w:r w:rsidRPr="00C629A3">
              <w:rPr>
                <w:rFonts w:ascii="Candara" w:hAnsi="Candara"/>
              </w:rPr>
              <w:t>, based on known deployment schedule for new safer technology and an empirical understanding of fault detection properties of each technology</w:t>
            </w:r>
          </w:p>
        </w:tc>
      </w:tr>
      <w:tr w:rsidR="00AA5547" w:rsidRPr="00C629A3" w14:paraId="1C32FF2C" w14:textId="77777777" w:rsidTr="00FE529E">
        <w:tc>
          <w:tcPr>
            <w:tcW w:w="4434" w:type="dxa"/>
          </w:tcPr>
          <w:p w14:paraId="58D69CFD" w14:textId="77777777" w:rsidR="00AA5547" w:rsidRPr="00C629A3" w:rsidRDefault="00AA5547" w:rsidP="00494DD4">
            <w:pPr>
              <w:spacing w:before="80" w:after="80"/>
              <w:rPr>
                <w:rFonts w:ascii="Candara" w:hAnsi="Candara"/>
              </w:rPr>
            </w:pPr>
            <w:r w:rsidRPr="00C629A3">
              <w:rPr>
                <w:rFonts w:ascii="Candara" w:hAnsi="Candara"/>
              </w:rPr>
              <w:t xml:space="preserve">Fire start reporting </w:t>
            </w:r>
            <w:r w:rsidRPr="009847D8">
              <w:rPr>
                <w:rFonts w:ascii="Candara" w:hAnsi="Candara"/>
                <w:b/>
              </w:rPr>
              <w:t>does not record</w:t>
            </w:r>
            <w:r w:rsidRPr="00C629A3">
              <w:rPr>
                <w:rFonts w:ascii="Candara" w:hAnsi="Candara"/>
              </w:rPr>
              <w:t xml:space="preserve"> the location of fire starts with a high degree of accuracy</w:t>
            </w:r>
          </w:p>
        </w:tc>
        <w:tc>
          <w:tcPr>
            <w:tcW w:w="4438" w:type="dxa"/>
          </w:tcPr>
          <w:p w14:paraId="3C517645" w14:textId="77777777" w:rsidR="00AA5547" w:rsidRPr="00C629A3" w:rsidRDefault="00AA5547" w:rsidP="00494DD4">
            <w:pPr>
              <w:spacing w:before="80" w:after="80"/>
              <w:rPr>
                <w:rFonts w:ascii="Candara" w:hAnsi="Candara"/>
              </w:rPr>
            </w:pPr>
            <w:r w:rsidRPr="00C629A3">
              <w:rPr>
                <w:rFonts w:ascii="Candara" w:hAnsi="Candara"/>
              </w:rPr>
              <w:t xml:space="preserve">Fire start reporting </w:t>
            </w:r>
            <w:r w:rsidRPr="009847D8">
              <w:rPr>
                <w:rFonts w:ascii="Candara" w:hAnsi="Candara"/>
                <w:b/>
              </w:rPr>
              <w:t>does record</w:t>
            </w:r>
            <w:r w:rsidRPr="00C629A3">
              <w:rPr>
                <w:rFonts w:ascii="Candara" w:hAnsi="Candara"/>
              </w:rPr>
              <w:t xml:space="preserve"> the location of fire starts with a high degree of accuracy</w:t>
            </w:r>
          </w:p>
        </w:tc>
      </w:tr>
    </w:tbl>
    <w:p w14:paraId="6B74071C" w14:textId="77777777" w:rsidR="00AA5547" w:rsidRPr="00C629A3" w:rsidRDefault="00AA5547" w:rsidP="00AA5547">
      <w:pPr>
        <w:spacing w:before="200" w:after="0"/>
        <w:rPr>
          <w:rFonts w:ascii="Candara" w:hAnsi="Candara"/>
        </w:rPr>
      </w:pPr>
      <w:r w:rsidRPr="00C629A3">
        <w:rPr>
          <w:rFonts w:ascii="Candara" w:hAnsi="Candara"/>
        </w:rPr>
        <w:lastRenderedPageBreak/>
        <w:t xml:space="preserve">The </w:t>
      </w:r>
      <w:r w:rsidRPr="009847D8">
        <w:rPr>
          <w:rFonts w:ascii="Candara" w:hAnsi="Candara"/>
          <w:b/>
        </w:rPr>
        <w:t>objective</w:t>
      </w:r>
      <w:r w:rsidRPr="00C629A3">
        <w:rPr>
          <w:rFonts w:ascii="Candara" w:hAnsi="Candara"/>
          <w:color w:val="4F81BD"/>
        </w:rPr>
        <w:t xml:space="preserve"> </w:t>
      </w:r>
      <w:r w:rsidRPr="00C629A3">
        <w:rPr>
          <w:rFonts w:ascii="Candara" w:hAnsi="Candara"/>
        </w:rPr>
        <w:t>of the evaluation strategy is to monitor the extent to which the scheme in its new form is both:</w:t>
      </w:r>
    </w:p>
    <w:p w14:paraId="5D41ABFD" w14:textId="77777777" w:rsidR="00AA5547" w:rsidRPr="00C629A3" w:rsidRDefault="00AA5547" w:rsidP="00AA5547">
      <w:pPr>
        <w:numPr>
          <w:ilvl w:val="0"/>
          <w:numId w:val="1"/>
        </w:numPr>
        <w:ind w:left="851" w:hanging="567"/>
        <w:contextualSpacing/>
        <w:rPr>
          <w:rFonts w:ascii="Candara" w:hAnsi="Candara"/>
        </w:rPr>
      </w:pPr>
      <w:r w:rsidRPr="00C629A3">
        <w:rPr>
          <w:rFonts w:ascii="Candara" w:hAnsi="Candara"/>
        </w:rPr>
        <w:t>functioning to drive capital investments and operational practices commensurate with enhanced powerline bushfire safety; and</w:t>
      </w:r>
    </w:p>
    <w:p w14:paraId="3B6FFBA0" w14:textId="77777777" w:rsidR="00AA5547" w:rsidRPr="00C629A3" w:rsidRDefault="00AA5547" w:rsidP="00AA5547">
      <w:pPr>
        <w:numPr>
          <w:ilvl w:val="0"/>
          <w:numId w:val="1"/>
        </w:numPr>
        <w:ind w:left="851" w:hanging="567"/>
        <w:contextualSpacing/>
        <w:rPr>
          <w:rFonts w:ascii="Candara" w:hAnsi="Candara"/>
        </w:rPr>
      </w:pPr>
      <w:r w:rsidRPr="00C629A3">
        <w:rPr>
          <w:rFonts w:ascii="Candara" w:hAnsi="Candara"/>
        </w:rPr>
        <w:t>efficient in its application.</w:t>
      </w:r>
    </w:p>
    <w:p w14:paraId="69861AE7" w14:textId="58C2F12C" w:rsidR="00416B2C" w:rsidRPr="00C629A3" w:rsidRDefault="00AA5547" w:rsidP="00AA5547">
      <w:pPr>
        <w:rPr>
          <w:rFonts w:ascii="Candara" w:hAnsi="Candara"/>
        </w:rPr>
      </w:pPr>
      <w:r w:rsidRPr="00C629A3">
        <w:rPr>
          <w:rFonts w:ascii="Candara" w:hAnsi="Candara"/>
        </w:rPr>
        <w:t xml:space="preserve">The evaluation strategy will therefore place its primary focus upon the change elements in the scheme and seek to establish how effectively these changes are contributing towards the enhanced powerline safety outcomes that are sought on behalf of the Victorian community. </w:t>
      </w:r>
    </w:p>
    <w:p w14:paraId="0BA6A954" w14:textId="77777777" w:rsidR="00AA5547" w:rsidRPr="00C629A3" w:rsidRDefault="00AA5547" w:rsidP="00AA5547">
      <w:pPr>
        <w:spacing w:before="200" w:after="0"/>
        <w:rPr>
          <w:rFonts w:ascii="Candara" w:hAnsi="Candara"/>
        </w:rPr>
      </w:pPr>
      <w:r w:rsidRPr="00C629A3">
        <w:rPr>
          <w:rFonts w:ascii="Candara" w:hAnsi="Candara"/>
        </w:rPr>
        <w:t xml:space="preserve">In order for the </w:t>
      </w:r>
      <w:r w:rsidR="00C45FEC" w:rsidRPr="00C629A3">
        <w:rPr>
          <w:rFonts w:ascii="Candara" w:hAnsi="Candara"/>
        </w:rPr>
        <w:t>f-factor</w:t>
      </w:r>
      <w:r w:rsidRPr="00C629A3">
        <w:rPr>
          <w:rFonts w:ascii="Candara" w:hAnsi="Candara"/>
        </w:rPr>
        <w:t xml:space="preserve"> to operate to maximum effect, it will be necessary for:</w:t>
      </w:r>
    </w:p>
    <w:p w14:paraId="13BAACAC"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new protection technologies to be </w:t>
      </w:r>
      <w:r w:rsidRPr="009847D8">
        <w:rPr>
          <w:rFonts w:ascii="Candara" w:hAnsi="Candara"/>
          <w:b/>
        </w:rPr>
        <w:t>deployed</w:t>
      </w:r>
      <w:r w:rsidRPr="00C629A3">
        <w:rPr>
          <w:rFonts w:ascii="Candara" w:hAnsi="Candara"/>
          <w:color w:val="4F81BD"/>
        </w:rPr>
        <w:t xml:space="preserve"> </w:t>
      </w:r>
      <w:r w:rsidRPr="00C629A3">
        <w:rPr>
          <w:rFonts w:ascii="Candara" w:hAnsi="Candara"/>
        </w:rPr>
        <w:t>in the numbers, at the locations and by  the dates specified by the government;</w:t>
      </w:r>
    </w:p>
    <w:p w14:paraId="7B7EFBF3"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new protection technologies to </w:t>
      </w:r>
      <w:r w:rsidRPr="009847D8">
        <w:rPr>
          <w:rFonts w:ascii="Candara" w:hAnsi="Candara"/>
          <w:b/>
        </w:rPr>
        <w:t>work as expected</w:t>
      </w:r>
      <w:r w:rsidRPr="00C629A3">
        <w:rPr>
          <w:rFonts w:ascii="Candara" w:hAnsi="Candara"/>
        </w:rPr>
        <w:t xml:space="preserve"> in operation;</w:t>
      </w:r>
    </w:p>
    <w:p w14:paraId="5194A5B1"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distribution business </w:t>
      </w:r>
      <w:r w:rsidRPr="009847D8">
        <w:rPr>
          <w:rFonts w:ascii="Candara" w:hAnsi="Candara"/>
          <w:b/>
        </w:rPr>
        <w:t>fire start reporting</w:t>
      </w:r>
      <w:r w:rsidRPr="00C629A3">
        <w:rPr>
          <w:rFonts w:ascii="Candara" w:hAnsi="Candara"/>
        </w:rPr>
        <w:t xml:space="preserve"> to conform to published standards;</w:t>
      </w:r>
    </w:p>
    <w:p w14:paraId="4EA5606D"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the </w:t>
      </w:r>
      <w:r w:rsidRPr="009847D8">
        <w:rPr>
          <w:rFonts w:ascii="Candara" w:hAnsi="Candara"/>
          <w:b/>
        </w:rPr>
        <w:t>benchmark targets and annual target decrements</w:t>
      </w:r>
      <w:r w:rsidRPr="00C629A3">
        <w:rPr>
          <w:rFonts w:ascii="Candara" w:hAnsi="Candara"/>
        </w:rPr>
        <w:t xml:space="preserve"> to be equitable, balancing reasonable community and industry expectations, considering:</w:t>
      </w:r>
    </w:p>
    <w:p w14:paraId="3971095E" w14:textId="77777777" w:rsidR="00AA5547" w:rsidRPr="00C629A3" w:rsidRDefault="00AA5547" w:rsidP="00DA018C">
      <w:pPr>
        <w:numPr>
          <w:ilvl w:val="0"/>
          <w:numId w:val="9"/>
        </w:numPr>
        <w:ind w:left="1418" w:hanging="567"/>
        <w:contextualSpacing/>
        <w:rPr>
          <w:rFonts w:ascii="Candara" w:hAnsi="Candara"/>
          <w:color w:val="000000" w:themeColor="text1"/>
        </w:rPr>
      </w:pPr>
      <w:r w:rsidRPr="00C629A3">
        <w:rPr>
          <w:rFonts w:ascii="Candara" w:hAnsi="Candara"/>
          <w:color w:val="000000" w:themeColor="text1"/>
        </w:rPr>
        <w:t xml:space="preserve">the performance of the </w:t>
      </w:r>
      <w:r w:rsidRPr="009847D8">
        <w:rPr>
          <w:rFonts w:ascii="Candara" w:hAnsi="Candara"/>
          <w:b/>
        </w:rPr>
        <w:t>technology</w:t>
      </w:r>
      <w:r w:rsidRPr="00C629A3">
        <w:rPr>
          <w:rFonts w:ascii="Candara" w:hAnsi="Candara"/>
          <w:color w:val="000000" w:themeColor="text1"/>
        </w:rPr>
        <w:t xml:space="preserve">; </w:t>
      </w:r>
    </w:p>
    <w:p w14:paraId="408137D6" w14:textId="77777777" w:rsidR="00AA5547" w:rsidRPr="00C629A3" w:rsidRDefault="00AA5547" w:rsidP="00DA018C">
      <w:pPr>
        <w:numPr>
          <w:ilvl w:val="0"/>
          <w:numId w:val="9"/>
        </w:numPr>
        <w:ind w:left="1418" w:hanging="567"/>
        <w:contextualSpacing/>
        <w:rPr>
          <w:rFonts w:ascii="Candara" w:hAnsi="Candara"/>
          <w:color w:val="000000" w:themeColor="text1"/>
        </w:rPr>
      </w:pPr>
      <w:r w:rsidRPr="00C629A3">
        <w:rPr>
          <w:rFonts w:ascii="Candara" w:hAnsi="Candara"/>
          <w:color w:val="000000" w:themeColor="text1"/>
        </w:rPr>
        <w:t xml:space="preserve">the </w:t>
      </w:r>
      <w:r w:rsidRPr="009847D8">
        <w:rPr>
          <w:rFonts w:ascii="Candara" w:hAnsi="Candara"/>
          <w:b/>
        </w:rPr>
        <w:t>fire start</w:t>
      </w:r>
      <w:r w:rsidRPr="00C629A3">
        <w:rPr>
          <w:rFonts w:ascii="Candara" w:hAnsi="Candara"/>
          <w:color w:val="000000" w:themeColor="text1"/>
        </w:rPr>
        <w:t xml:space="preserve"> outcomes; and</w:t>
      </w:r>
    </w:p>
    <w:p w14:paraId="3847DAAB" w14:textId="77777777" w:rsidR="00AA5547" w:rsidRPr="00C629A3" w:rsidRDefault="00AA5547" w:rsidP="00DA018C">
      <w:pPr>
        <w:numPr>
          <w:ilvl w:val="0"/>
          <w:numId w:val="9"/>
        </w:numPr>
        <w:ind w:left="1418" w:hanging="567"/>
        <w:contextualSpacing/>
        <w:rPr>
          <w:rFonts w:ascii="Candara" w:hAnsi="Candara"/>
          <w:color w:val="000000" w:themeColor="text1"/>
        </w:rPr>
      </w:pPr>
      <w:r w:rsidRPr="009847D8">
        <w:rPr>
          <w:rFonts w:ascii="Candara" w:hAnsi="Candara"/>
          <w:b/>
        </w:rPr>
        <w:t>external impacts on fire starts</w:t>
      </w:r>
      <w:r w:rsidRPr="00C629A3">
        <w:rPr>
          <w:rFonts w:ascii="Candara" w:hAnsi="Candara"/>
        </w:rPr>
        <w:t xml:space="preserve"> beyond the control of distribution businesses;</w:t>
      </w:r>
    </w:p>
    <w:p w14:paraId="379CA85D"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the </w:t>
      </w:r>
      <w:r w:rsidRPr="009847D8">
        <w:rPr>
          <w:rFonts w:ascii="Candara" w:hAnsi="Candara"/>
          <w:b/>
        </w:rPr>
        <w:t>financial impact on consumers</w:t>
      </w:r>
      <w:r w:rsidRPr="00C629A3">
        <w:rPr>
          <w:rFonts w:ascii="Candara" w:hAnsi="Candara"/>
        </w:rPr>
        <w:t xml:space="preserve"> to be negligible, tending towards a cost-neutral result over the years of implementation; and</w:t>
      </w:r>
    </w:p>
    <w:p w14:paraId="0FF3D440" w14:textId="77777777" w:rsidR="00AA5547" w:rsidRPr="00C629A3" w:rsidRDefault="00AA5547" w:rsidP="00DA018C">
      <w:pPr>
        <w:numPr>
          <w:ilvl w:val="0"/>
          <w:numId w:val="8"/>
        </w:numPr>
        <w:ind w:left="851" w:hanging="567"/>
        <w:contextualSpacing/>
        <w:rPr>
          <w:rFonts w:ascii="Candara" w:hAnsi="Candara"/>
          <w:b/>
          <w:color w:val="4F81BD"/>
        </w:rPr>
      </w:pPr>
      <w:r w:rsidRPr="00C629A3">
        <w:rPr>
          <w:rFonts w:ascii="Candara" w:hAnsi="Candara"/>
        </w:rPr>
        <w:t xml:space="preserve">the scheme to elicit a high degree of </w:t>
      </w:r>
      <w:r w:rsidRPr="009847D8">
        <w:rPr>
          <w:rFonts w:ascii="Candara" w:hAnsi="Candara"/>
          <w:b/>
        </w:rPr>
        <w:t>support and acceptance from key stakeholders</w:t>
      </w:r>
      <w:r w:rsidRPr="00C629A3">
        <w:rPr>
          <w:rFonts w:ascii="Candara" w:hAnsi="Candara"/>
          <w:b/>
          <w:color w:val="4F81BD"/>
        </w:rPr>
        <w:t xml:space="preserve"> </w:t>
      </w:r>
      <w:r w:rsidRPr="00C629A3">
        <w:rPr>
          <w:rFonts w:ascii="Candara" w:hAnsi="Candara"/>
        </w:rPr>
        <w:t>(industry, regulators, the community and their representatives).</w:t>
      </w:r>
    </w:p>
    <w:p w14:paraId="6B34F9FB" w14:textId="77777777" w:rsidR="00AA5547" w:rsidRPr="00C629A3" w:rsidRDefault="00AA5547" w:rsidP="00AA5547">
      <w:pPr>
        <w:rPr>
          <w:rFonts w:ascii="Candara" w:hAnsi="Candara"/>
        </w:rPr>
        <w:sectPr w:rsidR="00AA5547" w:rsidRPr="00C629A3" w:rsidSect="003543AF">
          <w:headerReference w:type="default" r:id="rId22"/>
          <w:pgSz w:w="11906" w:h="16838"/>
          <w:pgMar w:top="1440" w:right="1440" w:bottom="1440" w:left="1440" w:header="708" w:footer="708" w:gutter="0"/>
          <w:cols w:space="708"/>
          <w:docGrid w:linePitch="360"/>
        </w:sectPr>
      </w:pPr>
      <w:r w:rsidRPr="00C629A3">
        <w:rPr>
          <w:rFonts w:ascii="Candara" w:hAnsi="Candara"/>
        </w:rPr>
        <w:t>It is these seven elements that provide the subject for evaluation monitoring.</w:t>
      </w:r>
    </w:p>
    <w:p w14:paraId="6A66FB02" w14:textId="77777777" w:rsidR="00AA5547" w:rsidRPr="00C629A3" w:rsidRDefault="00205981" w:rsidP="009F5994">
      <w:pPr>
        <w:pStyle w:val="Heading2"/>
        <w:rPr>
          <w:sz w:val="22"/>
          <w:szCs w:val="22"/>
        </w:rPr>
      </w:pPr>
      <w:bookmarkStart w:id="57" w:name="_Toc458675210"/>
      <w:r>
        <w:rPr>
          <w:sz w:val="22"/>
          <w:szCs w:val="22"/>
        </w:rPr>
        <w:lastRenderedPageBreak/>
        <w:t>Evaluation S</w:t>
      </w:r>
      <w:r w:rsidR="00AA5547" w:rsidRPr="00C629A3">
        <w:rPr>
          <w:sz w:val="22"/>
          <w:szCs w:val="22"/>
        </w:rPr>
        <w:t>ummary</w:t>
      </w:r>
      <w:bookmarkEnd w:id="57"/>
    </w:p>
    <w:p w14:paraId="0BB85A11" w14:textId="77777777" w:rsidR="00AA5547" w:rsidRDefault="00AA5547" w:rsidP="00AA5547">
      <w:pPr>
        <w:rPr>
          <w:rFonts w:ascii="Candara" w:hAnsi="Candara"/>
        </w:rPr>
      </w:pPr>
      <w:r w:rsidRPr="00C629A3">
        <w:rPr>
          <w:rFonts w:ascii="Candara" w:hAnsi="Candara"/>
        </w:rPr>
        <w:t>A more detailed explanation of the subject of the evaluation is provided in tabular form below.</w:t>
      </w:r>
    </w:p>
    <w:p w14:paraId="6D6B225B" w14:textId="7498CAFE" w:rsidR="00343550" w:rsidRPr="00343550" w:rsidRDefault="0034331B" w:rsidP="00343550">
      <w:pPr>
        <w:autoSpaceDE w:val="0"/>
        <w:autoSpaceDN w:val="0"/>
        <w:adjustRightInd w:val="0"/>
        <w:spacing w:before="120" w:after="80"/>
        <w:rPr>
          <w:rFonts w:ascii="Candara" w:hAnsi="Candara" w:cs="Calibri"/>
          <w:sz w:val="21"/>
          <w:szCs w:val="21"/>
        </w:rPr>
      </w:pPr>
      <w:r>
        <w:rPr>
          <w:rStyle w:val="Heading6Char"/>
        </w:rPr>
        <w:t>Figure 7.2: Evaluation Activities, Measures and Timings</w:t>
      </w:r>
    </w:p>
    <w:tbl>
      <w:tblPr>
        <w:tblStyle w:val="TableGrid1"/>
        <w:tblW w:w="15309" w:type="dxa"/>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282"/>
        <w:gridCol w:w="4254"/>
        <w:gridCol w:w="282"/>
        <w:gridCol w:w="4254"/>
        <w:gridCol w:w="282"/>
        <w:gridCol w:w="2553"/>
      </w:tblGrid>
      <w:tr w:rsidR="00343550" w:rsidRPr="00343550" w14:paraId="7EFFDD38" w14:textId="77777777" w:rsidTr="007C17B1">
        <w:trPr>
          <w:tblHeader/>
        </w:trPr>
        <w:tc>
          <w:tcPr>
            <w:tcW w:w="3402" w:type="dxa"/>
            <w:shd w:val="clear" w:color="auto" w:fill="365F91" w:themeFill="accent1" w:themeFillShade="BF"/>
            <w:vAlign w:val="center"/>
          </w:tcPr>
          <w:p w14:paraId="1F92A457" w14:textId="77777777" w:rsidR="00343550" w:rsidRPr="00343550" w:rsidRDefault="00343550" w:rsidP="00343550">
            <w:pPr>
              <w:spacing w:before="60" w:after="60"/>
              <w:rPr>
                <w:rFonts w:ascii="Candara" w:hAnsi="Candara"/>
                <w:b/>
                <w:color w:val="FFFFFF" w:themeColor="background1"/>
              </w:rPr>
            </w:pPr>
            <w:r w:rsidRPr="00343550">
              <w:rPr>
                <w:rFonts w:ascii="Candara" w:hAnsi="Candara"/>
                <w:b/>
                <w:color w:val="FFFFFF" w:themeColor="background1"/>
              </w:rPr>
              <w:t>Subject of Evaluation</w:t>
            </w:r>
          </w:p>
        </w:tc>
        <w:tc>
          <w:tcPr>
            <w:tcW w:w="282" w:type="dxa"/>
            <w:tcBorders>
              <w:top w:val="nil"/>
              <w:bottom w:val="nil"/>
            </w:tcBorders>
            <w:vAlign w:val="center"/>
          </w:tcPr>
          <w:p w14:paraId="57B76862" w14:textId="77777777" w:rsidR="00343550" w:rsidRPr="00343550" w:rsidRDefault="00343550" w:rsidP="00343550">
            <w:pPr>
              <w:rPr>
                <w:rFonts w:ascii="Candara" w:hAnsi="Candara"/>
              </w:rPr>
            </w:pPr>
          </w:p>
        </w:tc>
        <w:tc>
          <w:tcPr>
            <w:tcW w:w="4254" w:type="dxa"/>
            <w:shd w:val="clear" w:color="auto" w:fill="365F91" w:themeFill="accent1" w:themeFillShade="BF"/>
            <w:vAlign w:val="center"/>
          </w:tcPr>
          <w:p w14:paraId="322C5C15" w14:textId="77777777" w:rsidR="00343550" w:rsidRPr="00343550" w:rsidRDefault="00343550" w:rsidP="00343550">
            <w:pPr>
              <w:rPr>
                <w:rFonts w:ascii="Candara" w:hAnsi="Candara"/>
                <w:b/>
                <w:color w:val="FFFFFF" w:themeColor="background1"/>
              </w:rPr>
            </w:pPr>
            <w:r w:rsidRPr="00343550">
              <w:rPr>
                <w:rFonts w:ascii="Candara" w:hAnsi="Candara"/>
                <w:b/>
                <w:color w:val="FFFFFF" w:themeColor="background1"/>
              </w:rPr>
              <w:t>Purpose</w:t>
            </w:r>
          </w:p>
        </w:tc>
        <w:tc>
          <w:tcPr>
            <w:tcW w:w="282" w:type="dxa"/>
            <w:tcBorders>
              <w:top w:val="nil"/>
              <w:bottom w:val="nil"/>
            </w:tcBorders>
            <w:vAlign w:val="center"/>
          </w:tcPr>
          <w:p w14:paraId="6AD55B5B" w14:textId="77777777" w:rsidR="00343550" w:rsidRPr="00343550" w:rsidRDefault="00343550" w:rsidP="00343550">
            <w:pPr>
              <w:rPr>
                <w:rFonts w:ascii="Candara" w:hAnsi="Candara"/>
              </w:rPr>
            </w:pPr>
          </w:p>
        </w:tc>
        <w:tc>
          <w:tcPr>
            <w:tcW w:w="4254" w:type="dxa"/>
            <w:shd w:val="clear" w:color="auto" w:fill="365F91" w:themeFill="accent1" w:themeFillShade="BF"/>
            <w:vAlign w:val="center"/>
          </w:tcPr>
          <w:p w14:paraId="161EA813" w14:textId="77777777" w:rsidR="00343550" w:rsidRPr="00343550" w:rsidRDefault="00343550" w:rsidP="00343550">
            <w:pPr>
              <w:rPr>
                <w:rFonts w:ascii="Candara" w:hAnsi="Candara"/>
                <w:b/>
                <w:color w:val="FFFFFF" w:themeColor="background1"/>
              </w:rPr>
            </w:pPr>
            <w:r w:rsidRPr="00343550">
              <w:rPr>
                <w:rFonts w:ascii="Candara" w:hAnsi="Candara"/>
                <w:b/>
                <w:color w:val="FFFFFF" w:themeColor="background1"/>
              </w:rPr>
              <w:t>Measures</w:t>
            </w:r>
          </w:p>
        </w:tc>
        <w:tc>
          <w:tcPr>
            <w:tcW w:w="282" w:type="dxa"/>
            <w:tcBorders>
              <w:top w:val="nil"/>
              <w:bottom w:val="nil"/>
            </w:tcBorders>
            <w:vAlign w:val="center"/>
          </w:tcPr>
          <w:p w14:paraId="312297AD" w14:textId="77777777" w:rsidR="00343550" w:rsidRPr="00343550" w:rsidRDefault="00343550" w:rsidP="00343550">
            <w:pPr>
              <w:rPr>
                <w:rFonts w:ascii="Candara" w:hAnsi="Candara"/>
              </w:rPr>
            </w:pPr>
          </w:p>
        </w:tc>
        <w:tc>
          <w:tcPr>
            <w:tcW w:w="2553" w:type="dxa"/>
            <w:shd w:val="clear" w:color="auto" w:fill="365F91" w:themeFill="accent1" w:themeFillShade="BF"/>
            <w:vAlign w:val="center"/>
          </w:tcPr>
          <w:p w14:paraId="17219939" w14:textId="77777777" w:rsidR="00343550" w:rsidRPr="00343550" w:rsidRDefault="00343550" w:rsidP="00343550">
            <w:pPr>
              <w:rPr>
                <w:rFonts w:ascii="Candara" w:hAnsi="Candara"/>
                <w:b/>
                <w:color w:val="FFFFFF" w:themeColor="background1"/>
              </w:rPr>
            </w:pPr>
            <w:r w:rsidRPr="00343550">
              <w:rPr>
                <w:rFonts w:ascii="Candara" w:hAnsi="Candara"/>
                <w:b/>
                <w:color w:val="FFFFFF" w:themeColor="background1"/>
              </w:rPr>
              <w:t>Proposed Timing</w:t>
            </w:r>
          </w:p>
        </w:tc>
      </w:tr>
      <w:tr w:rsidR="00343550" w:rsidRPr="00343550" w14:paraId="041585E5" w14:textId="77777777" w:rsidTr="007C17B1">
        <w:tc>
          <w:tcPr>
            <w:tcW w:w="3402" w:type="dxa"/>
            <w:tcBorders>
              <w:left w:val="nil"/>
              <w:bottom w:val="single" w:sz="4" w:space="0" w:color="BFBFBF" w:themeColor="background1" w:themeShade="BF"/>
              <w:right w:val="nil"/>
            </w:tcBorders>
          </w:tcPr>
          <w:p w14:paraId="38D6B26B" w14:textId="77777777" w:rsidR="00343550" w:rsidRPr="00343550" w:rsidRDefault="00343550" w:rsidP="00343550">
            <w:pPr>
              <w:rPr>
                <w:rFonts w:ascii="Candara" w:hAnsi="Candara"/>
              </w:rPr>
            </w:pPr>
          </w:p>
        </w:tc>
        <w:tc>
          <w:tcPr>
            <w:tcW w:w="282" w:type="dxa"/>
            <w:tcBorders>
              <w:top w:val="nil"/>
              <w:left w:val="nil"/>
              <w:bottom w:val="nil"/>
              <w:right w:val="nil"/>
            </w:tcBorders>
          </w:tcPr>
          <w:p w14:paraId="1F877D21" w14:textId="77777777" w:rsidR="00343550" w:rsidRPr="00343550" w:rsidRDefault="00343550" w:rsidP="00343550">
            <w:pPr>
              <w:rPr>
                <w:rFonts w:ascii="Candara" w:hAnsi="Candara"/>
              </w:rPr>
            </w:pPr>
          </w:p>
        </w:tc>
        <w:tc>
          <w:tcPr>
            <w:tcW w:w="4254" w:type="dxa"/>
            <w:tcBorders>
              <w:left w:val="nil"/>
              <w:right w:val="nil"/>
            </w:tcBorders>
          </w:tcPr>
          <w:p w14:paraId="2BD80EB1" w14:textId="77777777" w:rsidR="00343550" w:rsidRPr="00343550" w:rsidRDefault="00343550" w:rsidP="00343550">
            <w:pPr>
              <w:rPr>
                <w:rFonts w:ascii="Candara" w:hAnsi="Candara"/>
              </w:rPr>
            </w:pPr>
          </w:p>
        </w:tc>
        <w:tc>
          <w:tcPr>
            <w:tcW w:w="282" w:type="dxa"/>
            <w:tcBorders>
              <w:top w:val="nil"/>
              <w:left w:val="nil"/>
              <w:bottom w:val="nil"/>
              <w:right w:val="nil"/>
            </w:tcBorders>
          </w:tcPr>
          <w:p w14:paraId="1AB85C84" w14:textId="77777777" w:rsidR="00343550" w:rsidRPr="00343550" w:rsidRDefault="00343550" w:rsidP="00343550">
            <w:pPr>
              <w:rPr>
                <w:rFonts w:ascii="Candara" w:hAnsi="Candara"/>
              </w:rPr>
            </w:pPr>
          </w:p>
        </w:tc>
        <w:tc>
          <w:tcPr>
            <w:tcW w:w="4254" w:type="dxa"/>
            <w:tcBorders>
              <w:left w:val="nil"/>
              <w:right w:val="nil"/>
            </w:tcBorders>
          </w:tcPr>
          <w:p w14:paraId="2DC200FB" w14:textId="77777777" w:rsidR="00343550" w:rsidRPr="00343550" w:rsidRDefault="00343550" w:rsidP="00343550">
            <w:pPr>
              <w:rPr>
                <w:rFonts w:ascii="Candara" w:hAnsi="Candara"/>
              </w:rPr>
            </w:pPr>
          </w:p>
        </w:tc>
        <w:tc>
          <w:tcPr>
            <w:tcW w:w="282" w:type="dxa"/>
            <w:tcBorders>
              <w:top w:val="nil"/>
              <w:left w:val="nil"/>
              <w:bottom w:val="nil"/>
              <w:right w:val="nil"/>
            </w:tcBorders>
          </w:tcPr>
          <w:p w14:paraId="06AC6C89" w14:textId="77777777" w:rsidR="00343550" w:rsidRPr="00343550" w:rsidRDefault="00343550" w:rsidP="00343550">
            <w:pPr>
              <w:rPr>
                <w:rFonts w:ascii="Candara" w:hAnsi="Candara"/>
              </w:rPr>
            </w:pPr>
          </w:p>
        </w:tc>
        <w:tc>
          <w:tcPr>
            <w:tcW w:w="2553" w:type="dxa"/>
            <w:tcBorders>
              <w:left w:val="nil"/>
              <w:right w:val="nil"/>
            </w:tcBorders>
          </w:tcPr>
          <w:p w14:paraId="1FCC84F6" w14:textId="77777777" w:rsidR="00343550" w:rsidRPr="00343550" w:rsidRDefault="00343550" w:rsidP="00343550">
            <w:pPr>
              <w:rPr>
                <w:rFonts w:ascii="Candara" w:hAnsi="Candara"/>
              </w:rPr>
            </w:pPr>
          </w:p>
        </w:tc>
      </w:tr>
      <w:tr w:rsidR="00343550" w:rsidRPr="00343550" w14:paraId="53D62170" w14:textId="77777777" w:rsidTr="007C17B1">
        <w:tc>
          <w:tcPr>
            <w:tcW w:w="3402" w:type="dxa"/>
            <w:shd w:val="clear" w:color="auto" w:fill="D6E1EF"/>
          </w:tcPr>
          <w:p w14:paraId="48BE6254" w14:textId="77777777" w:rsidR="00343550" w:rsidRPr="00343550" w:rsidRDefault="00343550" w:rsidP="00343550">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18656" behindDoc="0" locked="0" layoutInCell="1" allowOverlap="1" wp14:anchorId="5BFB8CD9" wp14:editId="70C44516">
                      <wp:simplePos x="0" y="0"/>
                      <wp:positionH relativeFrom="column">
                        <wp:posOffset>-20158</wp:posOffset>
                      </wp:positionH>
                      <wp:positionV relativeFrom="paragraph">
                        <wp:posOffset>26035</wp:posOffset>
                      </wp:positionV>
                      <wp:extent cx="179705" cy="179705"/>
                      <wp:effectExtent l="0" t="0" r="10795" b="10795"/>
                      <wp:wrapNone/>
                      <wp:docPr id="24" name="Flowchart: Connector 24"/>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157FB742"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left:0;text-align:left;margin-left:-1.6pt;margin-top:2.05pt;width:14.15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" fillcolor="#17365d" strokecolor="#17365d" strokeweight="2pt">
                      <v:textbox inset="0,0,0,0">
                        <w:txbxContent>
                          <w:p w14:paraId="157FB742"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1</w:t>
                            </w:r>
                          </w:p>
                        </w:txbxContent>
                      </v:textbox>
                    </v:shape>
                  </w:pict>
                </mc:Fallback>
              </mc:AlternateContent>
            </w:r>
            <w:r w:rsidRPr="00343550">
              <w:rPr>
                <w:rFonts w:ascii="Candara" w:hAnsi="Candara"/>
                <w:b/>
              </w:rPr>
              <w:t>Deployment</w:t>
            </w:r>
          </w:p>
        </w:tc>
        <w:tc>
          <w:tcPr>
            <w:tcW w:w="282" w:type="dxa"/>
            <w:tcBorders>
              <w:top w:val="nil"/>
              <w:bottom w:val="nil"/>
            </w:tcBorders>
          </w:tcPr>
          <w:p w14:paraId="4ACF1CF0" w14:textId="77777777" w:rsidR="00343550" w:rsidRPr="00343550" w:rsidRDefault="00343550" w:rsidP="00343550">
            <w:pPr>
              <w:spacing w:before="60" w:after="60"/>
              <w:rPr>
                <w:rFonts w:ascii="Candara" w:hAnsi="Candara"/>
              </w:rPr>
            </w:pPr>
          </w:p>
        </w:tc>
        <w:tc>
          <w:tcPr>
            <w:tcW w:w="4254" w:type="dxa"/>
          </w:tcPr>
          <w:p w14:paraId="0695F6A9" w14:textId="77777777" w:rsidR="00343550" w:rsidRPr="00343550" w:rsidRDefault="00343550" w:rsidP="00343550">
            <w:pPr>
              <w:spacing w:before="60" w:after="60"/>
              <w:rPr>
                <w:rFonts w:ascii="Candara" w:hAnsi="Candara"/>
              </w:rPr>
            </w:pPr>
            <w:r w:rsidRPr="00343550">
              <w:rPr>
                <w:rFonts w:ascii="Candara" w:hAnsi="Candara"/>
              </w:rPr>
              <w:t>To confirm that distribution businesses have deployed new safer technologies in the numbers and at the locations published in their respective annual Bushfire Mitigation Plans (BMP).</w:t>
            </w:r>
          </w:p>
        </w:tc>
        <w:tc>
          <w:tcPr>
            <w:tcW w:w="282" w:type="dxa"/>
            <w:tcBorders>
              <w:top w:val="nil"/>
              <w:bottom w:val="nil"/>
            </w:tcBorders>
          </w:tcPr>
          <w:p w14:paraId="42247235" w14:textId="77777777" w:rsidR="00343550" w:rsidRPr="00343550" w:rsidRDefault="00343550" w:rsidP="00343550">
            <w:pPr>
              <w:spacing w:before="60" w:after="60"/>
              <w:rPr>
                <w:rFonts w:ascii="Candara" w:hAnsi="Candara"/>
              </w:rPr>
            </w:pPr>
          </w:p>
        </w:tc>
        <w:tc>
          <w:tcPr>
            <w:tcW w:w="4254" w:type="dxa"/>
            <w:tcBorders>
              <w:bottom w:val="single" w:sz="4" w:space="0" w:color="BFBFBF" w:themeColor="background1" w:themeShade="BF"/>
            </w:tcBorders>
          </w:tcPr>
          <w:p w14:paraId="0B3E39AB"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19680" behindDoc="0" locked="0" layoutInCell="1" allowOverlap="1" wp14:anchorId="1B109789" wp14:editId="349B5375">
                      <wp:simplePos x="0" y="0"/>
                      <wp:positionH relativeFrom="column">
                        <wp:posOffset>-21354</wp:posOffset>
                      </wp:positionH>
                      <wp:positionV relativeFrom="paragraph">
                        <wp:posOffset>29579</wp:posOffset>
                      </wp:positionV>
                      <wp:extent cx="179705" cy="179705"/>
                      <wp:effectExtent l="0" t="0" r="10795" b="10795"/>
                      <wp:wrapNone/>
                      <wp:docPr id="27" name="Flowchart: Connector 2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011BDDF2"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7" o:spid="_x0000_s1027" type="#_x0000_t120" style="position:absolute;left:0;text-align:left;margin-left:-1.7pt;margin-top:2.35pt;width:14.1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XRzpZ44CAACOBQAADgAAAAAAAAAAAAAAAAAuAgAAZHJzL2Uyb0RvYy54bWxQSwECLQAU&#10;AAYACAAAACEAtLNIFtwAAAAGAQAADwAAAAAAAAAAAAAAAADoBAAAZHJzL2Rvd25yZXYueG1sUEsF&#10;BgAAAAAEAAQA8wAAAPEFAAAAAA==&#10;" fillcolor="#7f7f7f" strokecolor="#7f7f7f" strokeweight="2pt">
                      <v:textbox inset="0,0,0,0">
                        <w:txbxContent>
                          <w:p w14:paraId="011BDDF2" w14:textId="77777777" w:rsidR="007256B3" w:rsidRPr="0015089C" w:rsidRDefault="007256B3" w:rsidP="00343550">
                            <w:pPr>
                              <w:jc w:val="center"/>
                              <w:rPr>
                                <w:b/>
                                <w:sz w:val="16"/>
                                <w:szCs w:val="16"/>
                              </w:rPr>
                            </w:pPr>
                            <w:r>
                              <w:rPr>
                                <w:b/>
                                <w:sz w:val="16"/>
                                <w:szCs w:val="16"/>
                              </w:rPr>
                              <w:t>a</w:t>
                            </w:r>
                          </w:p>
                        </w:txbxContent>
                      </v:textbox>
                    </v:shape>
                  </w:pict>
                </mc:Fallback>
              </mc:AlternateContent>
            </w:r>
            <w:r w:rsidRPr="00343550">
              <w:rPr>
                <w:rFonts w:ascii="Candara" w:hAnsi="Candara"/>
              </w:rPr>
              <w:t>Number and location of Rapid Earth Fault Current Limiters (REFCL) deployed compared to BMP commitment.</w:t>
            </w:r>
          </w:p>
        </w:tc>
        <w:tc>
          <w:tcPr>
            <w:tcW w:w="282" w:type="dxa"/>
            <w:tcBorders>
              <w:top w:val="nil"/>
              <w:bottom w:val="nil"/>
            </w:tcBorders>
          </w:tcPr>
          <w:p w14:paraId="6D370380" w14:textId="77777777" w:rsidR="00343550" w:rsidRPr="00343550" w:rsidRDefault="00343550" w:rsidP="00343550">
            <w:pPr>
              <w:spacing w:before="60" w:after="60"/>
              <w:rPr>
                <w:rFonts w:ascii="Candara" w:hAnsi="Candara"/>
              </w:rPr>
            </w:pPr>
          </w:p>
        </w:tc>
        <w:tc>
          <w:tcPr>
            <w:tcW w:w="2553" w:type="dxa"/>
            <w:tcBorders>
              <w:bottom w:val="single" w:sz="4" w:space="0" w:color="BFBFBF" w:themeColor="background1" w:themeShade="BF"/>
            </w:tcBorders>
          </w:tcPr>
          <w:p w14:paraId="728E300C" w14:textId="77777777" w:rsidR="00343550" w:rsidRPr="00343550" w:rsidRDefault="00343550" w:rsidP="00343550">
            <w:pPr>
              <w:spacing w:before="60" w:after="60"/>
              <w:rPr>
                <w:rFonts w:ascii="Candara" w:hAnsi="Candara"/>
              </w:rPr>
            </w:pPr>
            <w:r w:rsidRPr="00343550">
              <w:rPr>
                <w:rFonts w:ascii="Candara" w:hAnsi="Candara"/>
              </w:rPr>
              <w:t>Annually</w:t>
            </w:r>
          </w:p>
        </w:tc>
      </w:tr>
      <w:tr w:rsidR="00343550" w:rsidRPr="00343550" w14:paraId="40A31519" w14:textId="77777777" w:rsidTr="007C17B1">
        <w:tc>
          <w:tcPr>
            <w:tcW w:w="3402" w:type="dxa"/>
            <w:tcBorders>
              <w:left w:val="nil"/>
              <w:bottom w:val="single" w:sz="4" w:space="0" w:color="BFBFBF" w:themeColor="background1" w:themeShade="BF"/>
              <w:right w:val="nil"/>
            </w:tcBorders>
          </w:tcPr>
          <w:p w14:paraId="58CDA0E0" w14:textId="77777777" w:rsidR="00343550" w:rsidRPr="00343550" w:rsidRDefault="00343550" w:rsidP="00343550">
            <w:pPr>
              <w:rPr>
                <w:rFonts w:ascii="Candara" w:hAnsi="Candara"/>
              </w:rPr>
            </w:pPr>
          </w:p>
        </w:tc>
        <w:tc>
          <w:tcPr>
            <w:tcW w:w="282" w:type="dxa"/>
            <w:tcBorders>
              <w:top w:val="nil"/>
              <w:left w:val="nil"/>
              <w:bottom w:val="nil"/>
              <w:right w:val="nil"/>
            </w:tcBorders>
          </w:tcPr>
          <w:p w14:paraId="63A18D63" w14:textId="77777777" w:rsidR="00343550" w:rsidRPr="00343550" w:rsidRDefault="00343550" w:rsidP="00343550">
            <w:pPr>
              <w:rPr>
                <w:rFonts w:ascii="Candara" w:hAnsi="Candara"/>
              </w:rPr>
            </w:pPr>
          </w:p>
        </w:tc>
        <w:tc>
          <w:tcPr>
            <w:tcW w:w="4254" w:type="dxa"/>
            <w:tcBorders>
              <w:left w:val="nil"/>
              <w:right w:val="nil"/>
            </w:tcBorders>
          </w:tcPr>
          <w:p w14:paraId="47B9EAE7" w14:textId="77777777" w:rsidR="00343550" w:rsidRPr="00343550" w:rsidRDefault="00343550" w:rsidP="00343550">
            <w:pPr>
              <w:rPr>
                <w:rFonts w:ascii="Candara" w:hAnsi="Candara"/>
              </w:rPr>
            </w:pPr>
          </w:p>
        </w:tc>
        <w:tc>
          <w:tcPr>
            <w:tcW w:w="282" w:type="dxa"/>
            <w:tcBorders>
              <w:top w:val="nil"/>
              <w:left w:val="nil"/>
              <w:bottom w:val="nil"/>
              <w:right w:val="nil"/>
            </w:tcBorders>
          </w:tcPr>
          <w:p w14:paraId="427574E3" w14:textId="77777777" w:rsidR="00343550" w:rsidRPr="00343550" w:rsidRDefault="00343550" w:rsidP="00343550">
            <w:pPr>
              <w:rPr>
                <w:rFonts w:ascii="Candara" w:hAnsi="Candara"/>
              </w:rPr>
            </w:pPr>
          </w:p>
        </w:tc>
        <w:tc>
          <w:tcPr>
            <w:tcW w:w="4254" w:type="dxa"/>
            <w:tcBorders>
              <w:left w:val="nil"/>
              <w:right w:val="nil"/>
            </w:tcBorders>
          </w:tcPr>
          <w:p w14:paraId="2F12018E" w14:textId="77777777" w:rsidR="00343550" w:rsidRPr="00343550" w:rsidRDefault="00343550" w:rsidP="00343550">
            <w:pPr>
              <w:rPr>
                <w:rFonts w:ascii="Candara" w:hAnsi="Candara"/>
              </w:rPr>
            </w:pPr>
          </w:p>
        </w:tc>
        <w:tc>
          <w:tcPr>
            <w:tcW w:w="282" w:type="dxa"/>
            <w:tcBorders>
              <w:top w:val="nil"/>
              <w:left w:val="nil"/>
              <w:bottom w:val="nil"/>
              <w:right w:val="nil"/>
            </w:tcBorders>
          </w:tcPr>
          <w:p w14:paraId="60D27D4D" w14:textId="77777777" w:rsidR="00343550" w:rsidRPr="00343550" w:rsidRDefault="00343550" w:rsidP="00343550">
            <w:pPr>
              <w:rPr>
                <w:rFonts w:ascii="Candara" w:hAnsi="Candara"/>
              </w:rPr>
            </w:pPr>
          </w:p>
        </w:tc>
        <w:tc>
          <w:tcPr>
            <w:tcW w:w="2553" w:type="dxa"/>
            <w:tcBorders>
              <w:left w:val="nil"/>
              <w:right w:val="nil"/>
            </w:tcBorders>
          </w:tcPr>
          <w:p w14:paraId="061DCF37" w14:textId="77777777" w:rsidR="00343550" w:rsidRPr="00343550" w:rsidRDefault="00343550" w:rsidP="00343550">
            <w:pPr>
              <w:rPr>
                <w:rFonts w:ascii="Candara" w:hAnsi="Candara"/>
              </w:rPr>
            </w:pPr>
          </w:p>
        </w:tc>
      </w:tr>
      <w:tr w:rsidR="00343550" w:rsidRPr="00343550" w14:paraId="2622DEF0" w14:textId="77777777" w:rsidTr="007C17B1">
        <w:tc>
          <w:tcPr>
            <w:tcW w:w="3402" w:type="dxa"/>
            <w:shd w:val="clear" w:color="auto" w:fill="D6E1EF"/>
          </w:tcPr>
          <w:p w14:paraId="4B6D28B0" w14:textId="77777777" w:rsidR="00343550" w:rsidRPr="00343550" w:rsidRDefault="00343550" w:rsidP="00343550">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20704" behindDoc="0" locked="0" layoutInCell="1" allowOverlap="1" wp14:anchorId="1068DE29" wp14:editId="45DD7543">
                      <wp:simplePos x="0" y="0"/>
                      <wp:positionH relativeFrom="column">
                        <wp:posOffset>-20158</wp:posOffset>
                      </wp:positionH>
                      <wp:positionV relativeFrom="paragraph">
                        <wp:posOffset>26035</wp:posOffset>
                      </wp:positionV>
                      <wp:extent cx="179705" cy="179705"/>
                      <wp:effectExtent l="0" t="0" r="10795" b="10795"/>
                      <wp:wrapNone/>
                      <wp:docPr id="28" name="Flowchart: Connector 2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1525E7AB"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8" o:spid="_x0000_s1028" type="#_x0000_t120" style="position:absolute;left:0;text-align:left;margin-left:-1.6pt;margin-top:2.05pt;width:14.1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" fillcolor="#17365d" strokecolor="#17365d" strokeweight="2pt">
                      <v:textbox inset="0,0,0,0">
                        <w:txbxContent>
                          <w:p w14:paraId="1525E7AB"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2</w:t>
                            </w:r>
                          </w:p>
                        </w:txbxContent>
                      </v:textbox>
                    </v:shape>
                  </w:pict>
                </mc:Fallback>
              </mc:AlternateContent>
            </w:r>
            <w:r w:rsidRPr="00343550">
              <w:rPr>
                <w:rFonts w:ascii="Candara" w:hAnsi="Candara"/>
                <w:b/>
              </w:rPr>
              <w:t>Technology in operation</w:t>
            </w:r>
          </w:p>
        </w:tc>
        <w:tc>
          <w:tcPr>
            <w:tcW w:w="282" w:type="dxa"/>
            <w:tcBorders>
              <w:top w:val="nil"/>
              <w:bottom w:val="nil"/>
            </w:tcBorders>
          </w:tcPr>
          <w:p w14:paraId="35BEC227" w14:textId="77777777" w:rsidR="00343550" w:rsidRPr="00343550" w:rsidRDefault="00343550" w:rsidP="00343550">
            <w:pPr>
              <w:spacing w:before="60" w:after="60"/>
              <w:rPr>
                <w:rFonts w:ascii="Candara" w:hAnsi="Candara"/>
              </w:rPr>
            </w:pPr>
          </w:p>
        </w:tc>
        <w:tc>
          <w:tcPr>
            <w:tcW w:w="4254" w:type="dxa"/>
          </w:tcPr>
          <w:p w14:paraId="722B2051" w14:textId="77777777" w:rsidR="00343550" w:rsidRPr="00343550" w:rsidRDefault="00343550" w:rsidP="00343550">
            <w:pPr>
              <w:spacing w:before="60" w:after="60"/>
              <w:rPr>
                <w:rFonts w:ascii="Candara" w:hAnsi="Candara"/>
              </w:rPr>
            </w:pPr>
            <w:r w:rsidRPr="00343550">
              <w:rPr>
                <w:rFonts w:ascii="Candara" w:hAnsi="Candara"/>
              </w:rPr>
              <w:t>To establish that technology reduces the likelihood of ignition to the level originally estimated, and where there are differences to establish whether the differences are linked to the:</w:t>
            </w:r>
          </w:p>
          <w:p w14:paraId="7B83AE92" w14:textId="77777777" w:rsidR="00343550" w:rsidRPr="00343550" w:rsidRDefault="00343550" w:rsidP="00343550">
            <w:pPr>
              <w:numPr>
                <w:ilvl w:val="0"/>
                <w:numId w:val="10"/>
              </w:numPr>
              <w:spacing w:before="60" w:after="60"/>
              <w:ind w:left="454" w:hanging="284"/>
              <w:contextualSpacing/>
              <w:rPr>
                <w:rFonts w:ascii="Candara" w:hAnsi="Candara"/>
              </w:rPr>
            </w:pPr>
            <w:r w:rsidRPr="00343550">
              <w:rPr>
                <w:rFonts w:ascii="Candara" w:hAnsi="Candara"/>
              </w:rPr>
              <w:t>performance of the technology; or</w:t>
            </w:r>
          </w:p>
          <w:p w14:paraId="05CD0D81" w14:textId="77777777" w:rsidR="00343550" w:rsidRPr="00343550" w:rsidRDefault="00343550" w:rsidP="00343550">
            <w:pPr>
              <w:numPr>
                <w:ilvl w:val="0"/>
                <w:numId w:val="10"/>
              </w:numPr>
              <w:spacing w:before="60" w:after="60"/>
              <w:ind w:left="454" w:hanging="284"/>
              <w:contextualSpacing/>
              <w:rPr>
                <w:rFonts w:ascii="Candara" w:hAnsi="Candara"/>
              </w:rPr>
            </w:pPr>
            <w:r w:rsidRPr="00343550">
              <w:rPr>
                <w:rFonts w:ascii="Candara" w:hAnsi="Candara"/>
              </w:rPr>
              <w:t>operation of the technology.</w:t>
            </w:r>
          </w:p>
        </w:tc>
        <w:tc>
          <w:tcPr>
            <w:tcW w:w="282" w:type="dxa"/>
            <w:tcBorders>
              <w:top w:val="nil"/>
              <w:bottom w:val="nil"/>
            </w:tcBorders>
          </w:tcPr>
          <w:p w14:paraId="268BC816" w14:textId="77777777" w:rsidR="00343550" w:rsidRPr="00343550" w:rsidRDefault="00343550" w:rsidP="00343550">
            <w:pPr>
              <w:spacing w:before="60" w:after="60"/>
              <w:rPr>
                <w:rFonts w:ascii="Candara" w:hAnsi="Candara"/>
              </w:rPr>
            </w:pPr>
          </w:p>
        </w:tc>
        <w:tc>
          <w:tcPr>
            <w:tcW w:w="4254" w:type="dxa"/>
          </w:tcPr>
          <w:p w14:paraId="5B87ACA3"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21728" behindDoc="0" locked="0" layoutInCell="1" allowOverlap="1" wp14:anchorId="2FA138C5" wp14:editId="5BE8694C">
                      <wp:simplePos x="0" y="0"/>
                      <wp:positionH relativeFrom="column">
                        <wp:posOffset>-21354</wp:posOffset>
                      </wp:positionH>
                      <wp:positionV relativeFrom="paragraph">
                        <wp:posOffset>29579</wp:posOffset>
                      </wp:positionV>
                      <wp:extent cx="179705" cy="179705"/>
                      <wp:effectExtent l="0" t="0" r="10795" b="10795"/>
                      <wp:wrapNone/>
                      <wp:docPr id="43" name="Flowchart: Connector 43"/>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17D333A4"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3" o:spid="_x0000_s1029" type="#_x0000_t120" style="position:absolute;left:0;text-align:left;margin-left:-1.7pt;margin-top:2.35pt;width:14.1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XEgTY4CAACOBQAADgAAAAAAAAAAAAAAAAAuAgAAZHJzL2Uyb0RvYy54bWxQSwECLQAU&#10;AAYACAAAACEAtLNIFtwAAAAGAQAADwAAAAAAAAAAAAAAAADoBAAAZHJzL2Rvd25yZXYueG1sUEsF&#10;BgAAAAAEAAQA8wAAAPEFAAAAAA==&#10;" fillcolor="#7f7f7f" strokecolor="#7f7f7f" strokeweight="2pt">
                      <v:textbox inset="0,0,0,0">
                        <w:txbxContent>
                          <w:p w14:paraId="17D333A4" w14:textId="77777777" w:rsidR="007256B3" w:rsidRPr="0015089C" w:rsidRDefault="007256B3" w:rsidP="00343550">
                            <w:pPr>
                              <w:jc w:val="center"/>
                              <w:rPr>
                                <w:b/>
                                <w:sz w:val="16"/>
                                <w:szCs w:val="16"/>
                              </w:rPr>
                            </w:pPr>
                            <w:r>
                              <w:rPr>
                                <w:b/>
                                <w:sz w:val="16"/>
                                <w:szCs w:val="16"/>
                              </w:rPr>
                              <w:t>a</w:t>
                            </w:r>
                          </w:p>
                        </w:txbxContent>
                      </v:textbox>
                    </v:shape>
                  </w:pict>
                </mc:Fallback>
              </mc:AlternateContent>
            </w:r>
            <w:r w:rsidRPr="00343550">
              <w:rPr>
                <w:rFonts w:ascii="Candara" w:hAnsi="Candara"/>
              </w:rPr>
              <w:t>Analysis of ground to earth faults by cause on REFCL protected 22kV.</w:t>
            </w:r>
          </w:p>
        </w:tc>
        <w:tc>
          <w:tcPr>
            <w:tcW w:w="282" w:type="dxa"/>
            <w:tcBorders>
              <w:top w:val="nil"/>
              <w:bottom w:val="nil"/>
            </w:tcBorders>
          </w:tcPr>
          <w:p w14:paraId="7EF6CF57" w14:textId="77777777" w:rsidR="00343550" w:rsidRPr="00343550" w:rsidRDefault="00343550" w:rsidP="00343550">
            <w:pPr>
              <w:spacing w:before="60" w:after="60"/>
              <w:rPr>
                <w:rFonts w:ascii="Candara" w:hAnsi="Candara"/>
              </w:rPr>
            </w:pPr>
          </w:p>
        </w:tc>
        <w:tc>
          <w:tcPr>
            <w:tcW w:w="2553" w:type="dxa"/>
          </w:tcPr>
          <w:p w14:paraId="5D7D2C8C" w14:textId="77777777" w:rsidR="00343550" w:rsidRPr="00343550" w:rsidRDefault="00343550" w:rsidP="00343550">
            <w:pPr>
              <w:spacing w:before="60" w:after="60"/>
              <w:rPr>
                <w:rFonts w:ascii="Candara" w:hAnsi="Candara"/>
              </w:rPr>
            </w:pPr>
            <w:r w:rsidRPr="00343550">
              <w:rPr>
                <w:rFonts w:ascii="Candara" w:hAnsi="Candara"/>
              </w:rPr>
              <w:t>Annually</w:t>
            </w:r>
          </w:p>
        </w:tc>
      </w:tr>
      <w:tr w:rsidR="00343550" w:rsidRPr="00343550" w14:paraId="1A349A97" w14:textId="77777777" w:rsidTr="007C17B1">
        <w:tc>
          <w:tcPr>
            <w:tcW w:w="3402" w:type="dxa"/>
            <w:tcBorders>
              <w:left w:val="nil"/>
              <w:bottom w:val="single" w:sz="4" w:space="0" w:color="BFBFBF" w:themeColor="background1" w:themeShade="BF"/>
              <w:right w:val="nil"/>
            </w:tcBorders>
          </w:tcPr>
          <w:p w14:paraId="22CF5C21" w14:textId="77777777" w:rsidR="00343550" w:rsidRPr="00343550" w:rsidRDefault="00343550" w:rsidP="00343550">
            <w:pPr>
              <w:rPr>
                <w:rFonts w:ascii="Candara" w:hAnsi="Candara"/>
              </w:rPr>
            </w:pPr>
          </w:p>
        </w:tc>
        <w:tc>
          <w:tcPr>
            <w:tcW w:w="282" w:type="dxa"/>
            <w:tcBorders>
              <w:top w:val="nil"/>
              <w:left w:val="nil"/>
              <w:bottom w:val="nil"/>
              <w:right w:val="nil"/>
            </w:tcBorders>
          </w:tcPr>
          <w:p w14:paraId="080E27A6" w14:textId="77777777" w:rsidR="00343550" w:rsidRPr="00343550" w:rsidRDefault="00343550" w:rsidP="00343550">
            <w:pPr>
              <w:rPr>
                <w:rFonts w:ascii="Candara" w:hAnsi="Candara"/>
              </w:rPr>
            </w:pPr>
          </w:p>
        </w:tc>
        <w:tc>
          <w:tcPr>
            <w:tcW w:w="4254" w:type="dxa"/>
            <w:tcBorders>
              <w:left w:val="nil"/>
              <w:right w:val="nil"/>
            </w:tcBorders>
          </w:tcPr>
          <w:p w14:paraId="2213ADA0" w14:textId="77777777" w:rsidR="00343550" w:rsidRPr="00343550" w:rsidRDefault="00343550" w:rsidP="00343550">
            <w:pPr>
              <w:rPr>
                <w:rFonts w:ascii="Candara" w:hAnsi="Candara"/>
              </w:rPr>
            </w:pPr>
          </w:p>
        </w:tc>
        <w:tc>
          <w:tcPr>
            <w:tcW w:w="282" w:type="dxa"/>
            <w:tcBorders>
              <w:top w:val="nil"/>
              <w:left w:val="nil"/>
              <w:bottom w:val="nil"/>
              <w:right w:val="nil"/>
            </w:tcBorders>
          </w:tcPr>
          <w:p w14:paraId="67F88DF1" w14:textId="77777777" w:rsidR="00343550" w:rsidRPr="00343550" w:rsidRDefault="00343550" w:rsidP="00343550">
            <w:pPr>
              <w:rPr>
                <w:rFonts w:ascii="Candara" w:hAnsi="Candara"/>
              </w:rPr>
            </w:pPr>
          </w:p>
        </w:tc>
        <w:tc>
          <w:tcPr>
            <w:tcW w:w="4254" w:type="dxa"/>
            <w:tcBorders>
              <w:left w:val="nil"/>
              <w:right w:val="nil"/>
            </w:tcBorders>
          </w:tcPr>
          <w:p w14:paraId="456A46F1" w14:textId="77777777" w:rsidR="00343550" w:rsidRPr="00343550" w:rsidRDefault="00343550" w:rsidP="00343550">
            <w:pPr>
              <w:rPr>
                <w:rFonts w:ascii="Candara" w:hAnsi="Candara"/>
              </w:rPr>
            </w:pPr>
          </w:p>
        </w:tc>
        <w:tc>
          <w:tcPr>
            <w:tcW w:w="282" w:type="dxa"/>
            <w:tcBorders>
              <w:top w:val="nil"/>
              <w:left w:val="nil"/>
              <w:bottom w:val="nil"/>
              <w:right w:val="nil"/>
            </w:tcBorders>
          </w:tcPr>
          <w:p w14:paraId="19307713" w14:textId="77777777" w:rsidR="00343550" w:rsidRPr="00343550" w:rsidRDefault="00343550" w:rsidP="00343550">
            <w:pPr>
              <w:rPr>
                <w:rFonts w:ascii="Candara" w:hAnsi="Candara"/>
              </w:rPr>
            </w:pPr>
          </w:p>
        </w:tc>
        <w:tc>
          <w:tcPr>
            <w:tcW w:w="2553" w:type="dxa"/>
            <w:tcBorders>
              <w:left w:val="nil"/>
              <w:right w:val="nil"/>
            </w:tcBorders>
          </w:tcPr>
          <w:p w14:paraId="7354E07A" w14:textId="77777777" w:rsidR="00343550" w:rsidRPr="00343550" w:rsidRDefault="00343550" w:rsidP="00343550">
            <w:pPr>
              <w:rPr>
                <w:rFonts w:ascii="Candara" w:hAnsi="Candara"/>
              </w:rPr>
            </w:pPr>
          </w:p>
        </w:tc>
      </w:tr>
      <w:tr w:rsidR="00343550" w:rsidRPr="00343550" w14:paraId="40D0837A" w14:textId="77777777" w:rsidTr="007C17B1">
        <w:tc>
          <w:tcPr>
            <w:tcW w:w="3402" w:type="dxa"/>
            <w:vMerge w:val="restart"/>
            <w:shd w:val="clear" w:color="auto" w:fill="D6E1EF"/>
          </w:tcPr>
          <w:p w14:paraId="6F1B467B" w14:textId="77777777" w:rsidR="00343550" w:rsidRPr="00343550" w:rsidRDefault="00343550" w:rsidP="00343550">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23776" behindDoc="0" locked="0" layoutInCell="1" allowOverlap="1" wp14:anchorId="73045670" wp14:editId="7E1C8044">
                      <wp:simplePos x="0" y="0"/>
                      <wp:positionH relativeFrom="column">
                        <wp:posOffset>-20158</wp:posOffset>
                      </wp:positionH>
                      <wp:positionV relativeFrom="paragraph">
                        <wp:posOffset>26035</wp:posOffset>
                      </wp:positionV>
                      <wp:extent cx="179705" cy="179705"/>
                      <wp:effectExtent l="0" t="0" r="10795" b="10795"/>
                      <wp:wrapNone/>
                      <wp:docPr id="44" name="Flowchart: Connector 44"/>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2F75570F"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4" o:spid="_x0000_s1030" type="#_x0000_t120" style="position:absolute;left:0;text-align:left;margin-left:-1.6pt;margin-top:2.05pt;width:14.1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" fillcolor="#17365d" strokecolor="#17365d" strokeweight="2pt">
                      <v:textbox inset="0,0,0,0">
                        <w:txbxContent>
                          <w:p w14:paraId="2F75570F"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3</w:t>
                            </w:r>
                          </w:p>
                        </w:txbxContent>
                      </v:textbox>
                    </v:shape>
                  </w:pict>
                </mc:Fallback>
              </mc:AlternateContent>
            </w:r>
            <w:r w:rsidRPr="00343550">
              <w:rPr>
                <w:rFonts w:ascii="Candara" w:hAnsi="Candara"/>
                <w:b/>
              </w:rPr>
              <w:t>Fire start reporting</w:t>
            </w:r>
          </w:p>
        </w:tc>
        <w:tc>
          <w:tcPr>
            <w:tcW w:w="282" w:type="dxa"/>
            <w:tcBorders>
              <w:top w:val="nil"/>
              <w:bottom w:val="nil"/>
            </w:tcBorders>
          </w:tcPr>
          <w:p w14:paraId="046BBC4C" w14:textId="77777777" w:rsidR="00343550" w:rsidRPr="00343550" w:rsidRDefault="00343550" w:rsidP="00343550">
            <w:pPr>
              <w:spacing w:before="60" w:after="60"/>
              <w:rPr>
                <w:rFonts w:ascii="Candara" w:hAnsi="Candara"/>
              </w:rPr>
            </w:pPr>
          </w:p>
        </w:tc>
        <w:tc>
          <w:tcPr>
            <w:tcW w:w="4254" w:type="dxa"/>
            <w:vMerge w:val="restart"/>
          </w:tcPr>
          <w:p w14:paraId="34235A65" w14:textId="77777777" w:rsidR="00343550" w:rsidRPr="00343550" w:rsidRDefault="00343550" w:rsidP="00343550">
            <w:pPr>
              <w:spacing w:before="60" w:after="60"/>
              <w:rPr>
                <w:rFonts w:ascii="Candara" w:hAnsi="Candara"/>
              </w:rPr>
            </w:pPr>
            <w:r w:rsidRPr="00343550">
              <w:rPr>
                <w:rFonts w:ascii="Candara" w:hAnsi="Candara"/>
              </w:rPr>
              <w:t>To confirm that the requirements for fire start reporting are being met and to fully enumerate fire starts.</w:t>
            </w:r>
          </w:p>
        </w:tc>
        <w:tc>
          <w:tcPr>
            <w:tcW w:w="282" w:type="dxa"/>
            <w:tcBorders>
              <w:top w:val="nil"/>
              <w:bottom w:val="nil"/>
            </w:tcBorders>
          </w:tcPr>
          <w:p w14:paraId="4B4FA3AA" w14:textId="77777777" w:rsidR="00343550" w:rsidRPr="00343550" w:rsidRDefault="00343550" w:rsidP="00343550">
            <w:pPr>
              <w:spacing w:before="60" w:after="60"/>
              <w:rPr>
                <w:rFonts w:ascii="Candara" w:hAnsi="Candara"/>
              </w:rPr>
            </w:pPr>
          </w:p>
        </w:tc>
        <w:tc>
          <w:tcPr>
            <w:tcW w:w="4254" w:type="dxa"/>
            <w:vMerge w:val="restart"/>
          </w:tcPr>
          <w:p w14:paraId="49469BD5"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24800" behindDoc="0" locked="0" layoutInCell="1" allowOverlap="1" wp14:anchorId="0D931F33" wp14:editId="2671B3FB">
                      <wp:simplePos x="0" y="0"/>
                      <wp:positionH relativeFrom="column">
                        <wp:posOffset>-21354</wp:posOffset>
                      </wp:positionH>
                      <wp:positionV relativeFrom="paragraph">
                        <wp:posOffset>29579</wp:posOffset>
                      </wp:positionV>
                      <wp:extent cx="179705" cy="179705"/>
                      <wp:effectExtent l="0" t="0" r="10795" b="10795"/>
                      <wp:wrapNone/>
                      <wp:docPr id="45" name="Flowchart: Connector 4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7A41B114"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5" o:spid="_x0000_s1031" type="#_x0000_t120" style="position:absolute;left:0;text-align:left;margin-left:-1.7pt;margin-top:2.35pt;width:14.15pt;height: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" fillcolor="#7f7f7f" strokecolor="#7f7f7f" strokeweight="2pt">
                      <v:textbox inset="0,0,0,0">
                        <w:txbxContent>
                          <w:p w14:paraId="7A41B114" w14:textId="77777777" w:rsidR="007256B3" w:rsidRPr="0015089C" w:rsidRDefault="007256B3" w:rsidP="00343550">
                            <w:pPr>
                              <w:jc w:val="center"/>
                              <w:rPr>
                                <w:b/>
                                <w:sz w:val="16"/>
                                <w:szCs w:val="16"/>
                              </w:rPr>
                            </w:pPr>
                            <w:r>
                              <w:rPr>
                                <w:b/>
                                <w:sz w:val="16"/>
                                <w:szCs w:val="16"/>
                              </w:rPr>
                              <w:t>a</w:t>
                            </w:r>
                          </w:p>
                        </w:txbxContent>
                      </v:textbox>
                    </v:shape>
                  </w:pict>
                </mc:Fallback>
              </mc:AlternateContent>
            </w:r>
            <w:r w:rsidRPr="00343550">
              <w:rPr>
                <w:rFonts w:ascii="Candara" w:hAnsi="Candara"/>
              </w:rPr>
              <w:t>Number of fire starts by DB, day, declared fire danger rating, powerline type, and location.</w:t>
            </w:r>
          </w:p>
        </w:tc>
        <w:tc>
          <w:tcPr>
            <w:tcW w:w="282" w:type="dxa"/>
            <w:tcBorders>
              <w:top w:val="nil"/>
              <w:bottom w:val="nil"/>
            </w:tcBorders>
          </w:tcPr>
          <w:p w14:paraId="34D50383" w14:textId="77777777" w:rsidR="00343550" w:rsidRPr="00343550" w:rsidRDefault="00343550" w:rsidP="00343550">
            <w:pPr>
              <w:spacing w:before="60" w:after="60"/>
              <w:rPr>
                <w:rFonts w:ascii="Candara" w:hAnsi="Candara"/>
              </w:rPr>
            </w:pPr>
          </w:p>
        </w:tc>
        <w:tc>
          <w:tcPr>
            <w:tcW w:w="2553" w:type="dxa"/>
            <w:vMerge w:val="restart"/>
          </w:tcPr>
          <w:p w14:paraId="6AF476DA" w14:textId="77777777" w:rsidR="00343550" w:rsidRPr="00343550" w:rsidRDefault="00343550" w:rsidP="00343550">
            <w:pPr>
              <w:spacing w:before="60" w:after="60"/>
              <w:rPr>
                <w:rFonts w:ascii="Candara" w:hAnsi="Candara"/>
              </w:rPr>
            </w:pPr>
            <w:r w:rsidRPr="00343550">
              <w:rPr>
                <w:rFonts w:ascii="Candara" w:hAnsi="Candara"/>
              </w:rPr>
              <w:t>Each fire reported within as per requirements</w:t>
            </w:r>
          </w:p>
          <w:p w14:paraId="3F80873A" w14:textId="77777777" w:rsidR="00343550" w:rsidRPr="00343550" w:rsidRDefault="00343550" w:rsidP="00343550">
            <w:pPr>
              <w:spacing w:before="60" w:after="60"/>
              <w:rPr>
                <w:rFonts w:ascii="Candara" w:hAnsi="Candara"/>
              </w:rPr>
            </w:pPr>
            <w:r w:rsidRPr="00343550">
              <w:rPr>
                <w:rFonts w:ascii="Candara" w:hAnsi="Candara"/>
              </w:rPr>
              <w:t>Data analysed annually</w:t>
            </w:r>
          </w:p>
        </w:tc>
      </w:tr>
      <w:tr w:rsidR="00343550" w:rsidRPr="00343550" w14:paraId="1B71D1B2" w14:textId="77777777" w:rsidTr="007C17B1">
        <w:tc>
          <w:tcPr>
            <w:tcW w:w="3402" w:type="dxa"/>
            <w:vMerge/>
            <w:shd w:val="clear" w:color="auto" w:fill="D6E1EF"/>
          </w:tcPr>
          <w:p w14:paraId="1A50BD22" w14:textId="77777777" w:rsidR="00343550" w:rsidRPr="00343550" w:rsidRDefault="00343550" w:rsidP="00343550">
            <w:pPr>
              <w:spacing w:before="60" w:after="60"/>
              <w:ind w:left="567"/>
              <w:rPr>
                <w:rFonts w:ascii="Candara" w:hAnsi="Candara"/>
                <w:b/>
              </w:rPr>
            </w:pPr>
          </w:p>
        </w:tc>
        <w:tc>
          <w:tcPr>
            <w:tcW w:w="282" w:type="dxa"/>
            <w:tcBorders>
              <w:top w:val="nil"/>
              <w:bottom w:val="nil"/>
            </w:tcBorders>
          </w:tcPr>
          <w:p w14:paraId="267484B7" w14:textId="77777777" w:rsidR="00343550" w:rsidRPr="00343550" w:rsidRDefault="00343550" w:rsidP="00343550">
            <w:pPr>
              <w:rPr>
                <w:rFonts w:ascii="Candara" w:hAnsi="Candara"/>
              </w:rPr>
            </w:pPr>
          </w:p>
        </w:tc>
        <w:tc>
          <w:tcPr>
            <w:tcW w:w="4254" w:type="dxa"/>
            <w:vMerge/>
          </w:tcPr>
          <w:p w14:paraId="5F141F45" w14:textId="77777777" w:rsidR="00343550" w:rsidRPr="00343550" w:rsidRDefault="00343550" w:rsidP="00343550">
            <w:pPr>
              <w:rPr>
                <w:rFonts w:ascii="Candara" w:hAnsi="Candara"/>
              </w:rPr>
            </w:pPr>
          </w:p>
        </w:tc>
        <w:tc>
          <w:tcPr>
            <w:tcW w:w="282" w:type="dxa"/>
            <w:tcBorders>
              <w:top w:val="nil"/>
              <w:bottom w:val="nil"/>
            </w:tcBorders>
          </w:tcPr>
          <w:p w14:paraId="22007C26" w14:textId="77777777" w:rsidR="00343550" w:rsidRPr="00343550" w:rsidRDefault="00343550" w:rsidP="00343550">
            <w:pPr>
              <w:rPr>
                <w:rFonts w:ascii="Candara" w:hAnsi="Candara"/>
              </w:rPr>
            </w:pPr>
          </w:p>
        </w:tc>
        <w:tc>
          <w:tcPr>
            <w:tcW w:w="4254" w:type="dxa"/>
            <w:vMerge/>
          </w:tcPr>
          <w:p w14:paraId="07A78EBB" w14:textId="77777777" w:rsidR="00343550" w:rsidRPr="00343550" w:rsidRDefault="00343550" w:rsidP="00343550">
            <w:pPr>
              <w:rPr>
                <w:rFonts w:ascii="Candara" w:hAnsi="Candara"/>
              </w:rPr>
            </w:pPr>
          </w:p>
        </w:tc>
        <w:tc>
          <w:tcPr>
            <w:tcW w:w="282" w:type="dxa"/>
            <w:tcBorders>
              <w:top w:val="nil"/>
              <w:bottom w:val="nil"/>
            </w:tcBorders>
          </w:tcPr>
          <w:p w14:paraId="421B5601" w14:textId="77777777" w:rsidR="00343550" w:rsidRPr="00343550" w:rsidRDefault="00343550" w:rsidP="00343550">
            <w:pPr>
              <w:rPr>
                <w:rFonts w:ascii="Candara" w:hAnsi="Candara"/>
              </w:rPr>
            </w:pPr>
          </w:p>
        </w:tc>
        <w:tc>
          <w:tcPr>
            <w:tcW w:w="2553" w:type="dxa"/>
            <w:vMerge/>
          </w:tcPr>
          <w:p w14:paraId="2DBF3570" w14:textId="77777777" w:rsidR="00343550" w:rsidRPr="00343550" w:rsidRDefault="00343550" w:rsidP="00343550">
            <w:pPr>
              <w:rPr>
                <w:rFonts w:ascii="Candara" w:hAnsi="Candara"/>
              </w:rPr>
            </w:pPr>
          </w:p>
        </w:tc>
      </w:tr>
      <w:tr w:rsidR="00343550" w:rsidRPr="00343550" w14:paraId="5D9C6359" w14:textId="77777777" w:rsidTr="007C1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tcBorders>
              <w:right w:val="single" w:sz="4" w:space="0" w:color="BFBFBF" w:themeColor="background1" w:themeShade="BF"/>
            </w:tcBorders>
            <w:shd w:val="clear" w:color="auto" w:fill="D6E1EF"/>
          </w:tcPr>
          <w:p w14:paraId="7886627E" w14:textId="77777777" w:rsidR="00343550" w:rsidRPr="00343550" w:rsidRDefault="00343550" w:rsidP="00343550">
            <w:pPr>
              <w:spacing w:before="60" w:after="60"/>
              <w:ind w:left="567"/>
              <w:rPr>
                <w:rFonts w:ascii="Candara" w:hAnsi="Candara"/>
                <w:b/>
              </w:rPr>
            </w:pPr>
          </w:p>
        </w:tc>
        <w:tc>
          <w:tcPr>
            <w:tcW w:w="282" w:type="dxa"/>
            <w:tcBorders>
              <w:top w:val="nil"/>
              <w:left w:val="single" w:sz="4" w:space="0" w:color="BFBFBF" w:themeColor="background1" w:themeShade="BF"/>
              <w:bottom w:val="nil"/>
              <w:right w:val="single" w:sz="4" w:space="0" w:color="BFBFBF" w:themeColor="background1" w:themeShade="BF"/>
            </w:tcBorders>
          </w:tcPr>
          <w:p w14:paraId="567D6AE4" w14:textId="77777777" w:rsidR="00343550" w:rsidRPr="00343550" w:rsidRDefault="00343550" w:rsidP="00343550">
            <w:pPr>
              <w:rPr>
                <w:rFonts w:ascii="Candara" w:hAnsi="Candara"/>
              </w:rPr>
            </w:pPr>
          </w:p>
        </w:tc>
        <w:tc>
          <w:tcPr>
            <w:tcW w:w="4254" w:type="dxa"/>
            <w:vMerge/>
            <w:tcBorders>
              <w:left w:val="single" w:sz="4" w:space="0" w:color="BFBFBF" w:themeColor="background1" w:themeShade="BF"/>
              <w:right w:val="single" w:sz="4" w:space="0" w:color="BFBFBF" w:themeColor="background1" w:themeShade="BF"/>
            </w:tcBorders>
          </w:tcPr>
          <w:p w14:paraId="247A950E" w14:textId="77777777" w:rsidR="00343550" w:rsidRPr="00343550" w:rsidRDefault="00343550" w:rsidP="00343550">
            <w:pPr>
              <w:spacing w:before="60" w:after="60"/>
              <w:rPr>
                <w:rFonts w:ascii="Candara" w:hAnsi="Candara"/>
              </w:rPr>
            </w:pPr>
          </w:p>
        </w:tc>
        <w:tc>
          <w:tcPr>
            <w:tcW w:w="282" w:type="dxa"/>
            <w:tcBorders>
              <w:top w:val="nil"/>
              <w:left w:val="single" w:sz="4" w:space="0" w:color="BFBFBF" w:themeColor="background1" w:themeShade="BF"/>
              <w:bottom w:val="nil"/>
              <w:right w:val="nil"/>
            </w:tcBorders>
          </w:tcPr>
          <w:p w14:paraId="0DB506F7" w14:textId="77777777" w:rsidR="00343550" w:rsidRPr="00343550" w:rsidRDefault="00343550"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74D8F324" w14:textId="77777777" w:rsidR="00343550" w:rsidRPr="00343550" w:rsidRDefault="00343550" w:rsidP="00343550">
            <w:pPr>
              <w:rPr>
                <w:rFonts w:ascii="Candara" w:hAnsi="Candara"/>
                <w:noProof/>
                <w:lang w:eastAsia="en-AU"/>
              </w:rPr>
            </w:pPr>
          </w:p>
        </w:tc>
        <w:tc>
          <w:tcPr>
            <w:tcW w:w="282" w:type="dxa"/>
            <w:tcBorders>
              <w:top w:val="nil"/>
              <w:left w:val="nil"/>
              <w:bottom w:val="nil"/>
              <w:right w:val="nil"/>
            </w:tcBorders>
          </w:tcPr>
          <w:p w14:paraId="41F49BDF" w14:textId="77777777" w:rsidR="00343550" w:rsidRPr="00343550" w:rsidRDefault="00343550" w:rsidP="00343550">
            <w:pPr>
              <w:rPr>
                <w:rFonts w:ascii="Candara" w:hAnsi="Candara"/>
              </w:rPr>
            </w:pPr>
          </w:p>
        </w:tc>
        <w:tc>
          <w:tcPr>
            <w:tcW w:w="2553" w:type="dxa"/>
            <w:tcBorders>
              <w:top w:val="single" w:sz="4" w:space="0" w:color="BFBFBF" w:themeColor="background1" w:themeShade="BF"/>
              <w:left w:val="nil"/>
              <w:bottom w:val="single" w:sz="4" w:space="0" w:color="BFBFBF" w:themeColor="background1" w:themeShade="BF"/>
              <w:right w:val="nil"/>
            </w:tcBorders>
          </w:tcPr>
          <w:p w14:paraId="600C9426" w14:textId="77777777" w:rsidR="00343550" w:rsidRPr="00343550" w:rsidRDefault="00343550" w:rsidP="00343550">
            <w:pPr>
              <w:rPr>
                <w:rFonts w:ascii="Candara" w:hAnsi="Candara"/>
              </w:rPr>
            </w:pPr>
          </w:p>
        </w:tc>
      </w:tr>
      <w:tr w:rsidR="00343550" w:rsidRPr="00343550" w14:paraId="71AD917A" w14:textId="77777777" w:rsidTr="007C17B1">
        <w:tc>
          <w:tcPr>
            <w:tcW w:w="3402" w:type="dxa"/>
            <w:vMerge/>
            <w:tcBorders>
              <w:bottom w:val="single" w:sz="4" w:space="0" w:color="BFBFBF" w:themeColor="background1" w:themeShade="BF"/>
            </w:tcBorders>
            <w:shd w:val="clear" w:color="auto" w:fill="D6E1EF"/>
          </w:tcPr>
          <w:p w14:paraId="539C3C9A" w14:textId="77777777" w:rsidR="00343550" w:rsidRPr="00343550" w:rsidRDefault="00343550" w:rsidP="00343550">
            <w:pPr>
              <w:spacing w:before="60" w:after="60"/>
              <w:ind w:left="567"/>
              <w:rPr>
                <w:rFonts w:ascii="Candara" w:hAnsi="Candara"/>
                <w:noProof/>
                <w:lang w:eastAsia="en-AU"/>
              </w:rPr>
            </w:pPr>
          </w:p>
        </w:tc>
        <w:tc>
          <w:tcPr>
            <w:tcW w:w="282" w:type="dxa"/>
            <w:tcBorders>
              <w:top w:val="nil"/>
              <w:bottom w:val="nil"/>
            </w:tcBorders>
          </w:tcPr>
          <w:p w14:paraId="2BCDAFAC" w14:textId="77777777" w:rsidR="00343550" w:rsidRPr="00343550" w:rsidRDefault="00343550" w:rsidP="00343550">
            <w:pPr>
              <w:spacing w:before="60" w:after="60"/>
              <w:rPr>
                <w:rFonts w:ascii="Candara" w:hAnsi="Candara"/>
              </w:rPr>
            </w:pPr>
          </w:p>
        </w:tc>
        <w:tc>
          <w:tcPr>
            <w:tcW w:w="4254" w:type="dxa"/>
            <w:vMerge/>
            <w:tcBorders>
              <w:bottom w:val="single" w:sz="4" w:space="0" w:color="BFBFBF" w:themeColor="background1" w:themeShade="BF"/>
            </w:tcBorders>
          </w:tcPr>
          <w:p w14:paraId="0CD91727" w14:textId="77777777" w:rsidR="00343550" w:rsidRPr="00343550" w:rsidRDefault="00343550" w:rsidP="00343550">
            <w:pPr>
              <w:spacing w:before="60" w:after="60"/>
              <w:rPr>
                <w:rFonts w:ascii="Candara" w:hAnsi="Candara"/>
              </w:rPr>
            </w:pPr>
          </w:p>
        </w:tc>
        <w:tc>
          <w:tcPr>
            <w:tcW w:w="282" w:type="dxa"/>
            <w:tcBorders>
              <w:top w:val="nil"/>
              <w:bottom w:val="nil"/>
            </w:tcBorders>
          </w:tcPr>
          <w:p w14:paraId="7F59F972" w14:textId="77777777" w:rsidR="00343550" w:rsidRPr="00343550" w:rsidRDefault="00343550" w:rsidP="00343550">
            <w:pPr>
              <w:spacing w:before="60" w:after="60"/>
              <w:rPr>
                <w:rFonts w:ascii="Candara" w:hAnsi="Candara"/>
              </w:rPr>
            </w:pPr>
          </w:p>
        </w:tc>
        <w:tc>
          <w:tcPr>
            <w:tcW w:w="4254" w:type="dxa"/>
            <w:tcBorders>
              <w:bottom w:val="single" w:sz="4" w:space="0" w:color="BFBFBF" w:themeColor="background1" w:themeShade="BF"/>
            </w:tcBorders>
          </w:tcPr>
          <w:p w14:paraId="39C39927"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22752" behindDoc="0" locked="0" layoutInCell="1" allowOverlap="1" wp14:anchorId="5C4679C9" wp14:editId="731260A6">
                      <wp:simplePos x="0" y="0"/>
                      <wp:positionH relativeFrom="column">
                        <wp:posOffset>-21354</wp:posOffset>
                      </wp:positionH>
                      <wp:positionV relativeFrom="paragraph">
                        <wp:posOffset>29579</wp:posOffset>
                      </wp:positionV>
                      <wp:extent cx="179705" cy="179705"/>
                      <wp:effectExtent l="0" t="0" r="10795" b="10795"/>
                      <wp:wrapNone/>
                      <wp:docPr id="46" name="Flowchart: Connector 4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5A9699F3" w14:textId="77777777" w:rsidR="007256B3" w:rsidRPr="0015089C" w:rsidRDefault="007256B3" w:rsidP="00343550">
                                  <w:pPr>
                                    <w:jc w:val="center"/>
                                    <w:rPr>
                                      <w:b/>
                                      <w:sz w:val="16"/>
                                      <w:szCs w:val="16"/>
                                    </w:rPr>
                                  </w:pPr>
                                  <w:r>
                                    <w:rPr>
                                      <w:b/>
                                      <w:sz w:val="16"/>
                                      <w:szCs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6" o:spid="_x0000_s1032" type="#_x0000_t120" style="position:absolute;left:0;text-align:left;margin-left:-1.7pt;margin-top:2.35pt;width:14.1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t7IA4o4CAACOBQAADgAAAAAAAAAAAAAAAAAuAgAAZHJzL2Uyb0RvYy54bWxQSwECLQAU&#10;AAYACAAAACEAtLNIFtwAAAAGAQAADwAAAAAAAAAAAAAAAADoBAAAZHJzL2Rvd25yZXYueG1sUEsF&#10;BgAAAAAEAAQA8wAAAPEFAAAAAA==&#10;" fillcolor="#7f7f7f" strokecolor="#7f7f7f" strokeweight="2pt">
                      <v:textbox inset="0,0,0,0">
                        <w:txbxContent>
                          <w:p w14:paraId="5A9699F3" w14:textId="77777777" w:rsidR="007256B3" w:rsidRPr="0015089C" w:rsidRDefault="007256B3" w:rsidP="00343550">
                            <w:pPr>
                              <w:jc w:val="center"/>
                              <w:rPr>
                                <w:b/>
                                <w:sz w:val="16"/>
                                <w:szCs w:val="16"/>
                              </w:rPr>
                            </w:pPr>
                            <w:r>
                              <w:rPr>
                                <w:b/>
                                <w:sz w:val="16"/>
                                <w:szCs w:val="16"/>
                              </w:rPr>
                              <w:t>b</w:t>
                            </w:r>
                          </w:p>
                        </w:txbxContent>
                      </v:textbox>
                    </v:shape>
                  </w:pict>
                </mc:Fallback>
              </mc:AlternateContent>
            </w:r>
            <w:r w:rsidRPr="00343550">
              <w:rPr>
                <w:rFonts w:ascii="Candara" w:hAnsi="Candara"/>
              </w:rPr>
              <w:t>Number of fire starts for which the published reporting standards were not met and the reasons for non-compliance.</w:t>
            </w:r>
          </w:p>
        </w:tc>
        <w:tc>
          <w:tcPr>
            <w:tcW w:w="282" w:type="dxa"/>
            <w:tcBorders>
              <w:top w:val="nil"/>
              <w:bottom w:val="nil"/>
            </w:tcBorders>
          </w:tcPr>
          <w:p w14:paraId="1FD7480F" w14:textId="77777777" w:rsidR="00343550" w:rsidRPr="00343550" w:rsidRDefault="00343550" w:rsidP="00343550">
            <w:pPr>
              <w:spacing w:before="60" w:after="60"/>
              <w:rPr>
                <w:rFonts w:ascii="Candara" w:hAnsi="Candara"/>
              </w:rPr>
            </w:pPr>
          </w:p>
        </w:tc>
        <w:tc>
          <w:tcPr>
            <w:tcW w:w="2553" w:type="dxa"/>
            <w:tcBorders>
              <w:bottom w:val="single" w:sz="4" w:space="0" w:color="BFBFBF" w:themeColor="background1" w:themeShade="BF"/>
            </w:tcBorders>
          </w:tcPr>
          <w:p w14:paraId="20F42797" w14:textId="77777777" w:rsidR="00343550" w:rsidRPr="00343550" w:rsidRDefault="00343550" w:rsidP="00343550">
            <w:pPr>
              <w:spacing w:before="60" w:after="60"/>
              <w:rPr>
                <w:rFonts w:ascii="Candara" w:hAnsi="Candara"/>
              </w:rPr>
            </w:pPr>
            <w:r w:rsidRPr="00343550">
              <w:rPr>
                <w:rFonts w:ascii="Candara" w:hAnsi="Candara"/>
              </w:rPr>
              <w:t>Ongoing review of individual fire start records</w:t>
            </w:r>
          </w:p>
          <w:p w14:paraId="519F91EA" w14:textId="77777777" w:rsidR="00343550" w:rsidRPr="00343550" w:rsidRDefault="00343550" w:rsidP="00343550">
            <w:pPr>
              <w:spacing w:before="60" w:after="60"/>
              <w:rPr>
                <w:rFonts w:ascii="Candara" w:hAnsi="Candara"/>
              </w:rPr>
            </w:pPr>
            <w:r w:rsidRPr="00343550">
              <w:rPr>
                <w:rFonts w:ascii="Candara" w:hAnsi="Candara"/>
              </w:rPr>
              <w:t>Annually</w:t>
            </w:r>
          </w:p>
        </w:tc>
      </w:tr>
      <w:tr w:rsidR="00343550" w:rsidRPr="00343550" w14:paraId="5A03CF3C" w14:textId="77777777" w:rsidTr="007C17B1">
        <w:tc>
          <w:tcPr>
            <w:tcW w:w="3402" w:type="dxa"/>
            <w:tcBorders>
              <w:left w:val="nil"/>
              <w:bottom w:val="single" w:sz="4" w:space="0" w:color="BFBFBF" w:themeColor="background1" w:themeShade="BF"/>
              <w:right w:val="nil"/>
            </w:tcBorders>
          </w:tcPr>
          <w:p w14:paraId="2AB2DC80" w14:textId="77777777" w:rsidR="00343550" w:rsidRPr="00343550" w:rsidRDefault="00343550" w:rsidP="00343550">
            <w:pPr>
              <w:rPr>
                <w:rFonts w:ascii="Candara" w:hAnsi="Candara"/>
              </w:rPr>
            </w:pPr>
          </w:p>
        </w:tc>
        <w:tc>
          <w:tcPr>
            <w:tcW w:w="282" w:type="dxa"/>
            <w:tcBorders>
              <w:top w:val="nil"/>
              <w:left w:val="nil"/>
              <w:bottom w:val="nil"/>
              <w:right w:val="nil"/>
            </w:tcBorders>
          </w:tcPr>
          <w:p w14:paraId="2AC1D29F" w14:textId="77777777" w:rsidR="00343550" w:rsidRPr="00343550" w:rsidRDefault="00343550" w:rsidP="00343550">
            <w:pPr>
              <w:rPr>
                <w:rFonts w:ascii="Candara" w:hAnsi="Candara"/>
              </w:rPr>
            </w:pPr>
          </w:p>
        </w:tc>
        <w:tc>
          <w:tcPr>
            <w:tcW w:w="4254" w:type="dxa"/>
            <w:tcBorders>
              <w:left w:val="nil"/>
              <w:right w:val="nil"/>
            </w:tcBorders>
          </w:tcPr>
          <w:p w14:paraId="68B9F979" w14:textId="77777777" w:rsidR="00343550" w:rsidRPr="00343550" w:rsidRDefault="00343550" w:rsidP="00343550">
            <w:pPr>
              <w:rPr>
                <w:rFonts w:ascii="Candara" w:hAnsi="Candara"/>
              </w:rPr>
            </w:pPr>
          </w:p>
        </w:tc>
        <w:tc>
          <w:tcPr>
            <w:tcW w:w="282" w:type="dxa"/>
            <w:tcBorders>
              <w:top w:val="nil"/>
              <w:left w:val="nil"/>
              <w:bottom w:val="nil"/>
              <w:right w:val="nil"/>
            </w:tcBorders>
          </w:tcPr>
          <w:p w14:paraId="41A47D62" w14:textId="77777777" w:rsidR="00343550" w:rsidRPr="00343550" w:rsidRDefault="00343550" w:rsidP="00343550">
            <w:pPr>
              <w:rPr>
                <w:rFonts w:ascii="Candara" w:hAnsi="Candara"/>
              </w:rPr>
            </w:pPr>
          </w:p>
        </w:tc>
        <w:tc>
          <w:tcPr>
            <w:tcW w:w="4254" w:type="dxa"/>
            <w:tcBorders>
              <w:left w:val="nil"/>
              <w:right w:val="nil"/>
            </w:tcBorders>
          </w:tcPr>
          <w:p w14:paraId="5E6AFE0E" w14:textId="77777777" w:rsidR="00343550" w:rsidRPr="00343550" w:rsidRDefault="00343550" w:rsidP="00343550">
            <w:pPr>
              <w:rPr>
                <w:rFonts w:ascii="Candara" w:hAnsi="Candara"/>
              </w:rPr>
            </w:pPr>
          </w:p>
        </w:tc>
        <w:tc>
          <w:tcPr>
            <w:tcW w:w="282" w:type="dxa"/>
            <w:tcBorders>
              <w:top w:val="nil"/>
              <w:left w:val="nil"/>
              <w:bottom w:val="nil"/>
              <w:right w:val="nil"/>
            </w:tcBorders>
          </w:tcPr>
          <w:p w14:paraId="49A136AD" w14:textId="77777777" w:rsidR="00343550" w:rsidRPr="00343550" w:rsidRDefault="00343550" w:rsidP="00343550">
            <w:pPr>
              <w:rPr>
                <w:rFonts w:ascii="Candara" w:hAnsi="Candara"/>
              </w:rPr>
            </w:pPr>
          </w:p>
        </w:tc>
        <w:tc>
          <w:tcPr>
            <w:tcW w:w="2553" w:type="dxa"/>
            <w:tcBorders>
              <w:left w:val="nil"/>
              <w:right w:val="nil"/>
            </w:tcBorders>
          </w:tcPr>
          <w:p w14:paraId="48BB71A6" w14:textId="77777777" w:rsidR="00343550" w:rsidRPr="00343550" w:rsidRDefault="00343550" w:rsidP="00343550">
            <w:pPr>
              <w:rPr>
                <w:rFonts w:ascii="Candara" w:hAnsi="Candara"/>
              </w:rPr>
            </w:pPr>
          </w:p>
        </w:tc>
      </w:tr>
      <w:tr w:rsidR="00343550" w:rsidRPr="00343550" w14:paraId="38802CDC" w14:textId="77777777" w:rsidTr="007C1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5F321A25" w14:textId="77777777" w:rsidR="00343550" w:rsidRPr="00343550" w:rsidRDefault="00343550" w:rsidP="00343550">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08416" behindDoc="0" locked="0" layoutInCell="1" allowOverlap="1" wp14:anchorId="1F829D39" wp14:editId="2312B08D">
                      <wp:simplePos x="0" y="0"/>
                      <wp:positionH relativeFrom="column">
                        <wp:posOffset>-20158</wp:posOffset>
                      </wp:positionH>
                      <wp:positionV relativeFrom="paragraph">
                        <wp:posOffset>26035</wp:posOffset>
                      </wp:positionV>
                      <wp:extent cx="179705" cy="179705"/>
                      <wp:effectExtent l="0" t="0" r="10795" b="10795"/>
                      <wp:wrapNone/>
                      <wp:docPr id="47" name="Flowchart: Connector 4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415F0FCA"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7" o:spid="_x0000_s1033" type="#_x0000_t120" style="position:absolute;left:0;text-align:left;margin-left:-1.6pt;margin-top:2.05pt;width:14.1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" fillcolor="#17365d" strokecolor="#17365d" strokeweight="2pt">
                      <v:textbox inset="0,0,0,0">
                        <w:txbxContent>
                          <w:p w14:paraId="415F0FCA" w14:textId="77777777" w:rsidR="007256B3" w:rsidRPr="00494DD4" w:rsidRDefault="007256B3" w:rsidP="00343550">
                            <w:pPr>
                              <w:jc w:val="center"/>
                              <w:rPr>
                                <w:b/>
                                <w:color w:val="FFFFFF" w:themeColor="background1"/>
                                <w:sz w:val="16"/>
                                <w:szCs w:val="16"/>
                              </w:rPr>
                            </w:pPr>
                            <w:r w:rsidRPr="00494DD4">
                              <w:rPr>
                                <w:b/>
                                <w:color w:val="FFFFFF" w:themeColor="background1"/>
                                <w:sz w:val="16"/>
                                <w:szCs w:val="16"/>
                              </w:rPr>
                              <w:t>4</w:t>
                            </w:r>
                          </w:p>
                        </w:txbxContent>
                      </v:textbox>
                    </v:shape>
                  </w:pict>
                </mc:Fallback>
              </mc:AlternateContent>
            </w:r>
            <w:r w:rsidRPr="00343550">
              <w:rPr>
                <w:rFonts w:ascii="Candara" w:hAnsi="Candara"/>
                <w:b/>
              </w:rPr>
              <w:t>Benchmark settings</w:t>
            </w:r>
          </w:p>
        </w:tc>
        <w:tc>
          <w:tcPr>
            <w:tcW w:w="282" w:type="dxa"/>
            <w:tcBorders>
              <w:top w:val="nil"/>
              <w:left w:val="single" w:sz="4" w:space="0" w:color="BFBFBF" w:themeColor="background1" w:themeShade="BF"/>
              <w:bottom w:val="nil"/>
              <w:right w:val="single" w:sz="4" w:space="0" w:color="BFBFBF" w:themeColor="background1" w:themeShade="BF"/>
            </w:tcBorders>
          </w:tcPr>
          <w:p w14:paraId="2021E61E" w14:textId="77777777" w:rsidR="00343550" w:rsidRPr="00343550" w:rsidRDefault="00343550" w:rsidP="00343550">
            <w:pPr>
              <w:spacing w:before="60" w:after="60"/>
              <w:rPr>
                <w:rFonts w:ascii="Candara" w:hAnsi="Candara"/>
              </w:rPr>
            </w:pPr>
          </w:p>
        </w:tc>
        <w:tc>
          <w:tcPr>
            <w:tcW w:w="425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85DD39" w14:textId="77777777" w:rsidR="00343550" w:rsidRPr="00343550" w:rsidRDefault="00343550" w:rsidP="00343550">
            <w:pPr>
              <w:spacing w:before="60" w:after="60"/>
              <w:rPr>
                <w:rFonts w:ascii="Candara" w:hAnsi="Candara"/>
              </w:rPr>
            </w:pPr>
            <w:r w:rsidRPr="00343550">
              <w:rPr>
                <w:rFonts w:ascii="Candara" w:hAnsi="Candara"/>
              </w:rPr>
              <w:t>To test whether the initial benchmark settings and the annual decrements of the benchmark are fair and reasonable.</w:t>
            </w:r>
          </w:p>
        </w:tc>
        <w:tc>
          <w:tcPr>
            <w:tcW w:w="282" w:type="dxa"/>
            <w:tcBorders>
              <w:top w:val="nil"/>
              <w:left w:val="single" w:sz="4" w:space="0" w:color="BFBFBF" w:themeColor="background1" w:themeShade="BF"/>
              <w:bottom w:val="nil"/>
              <w:right w:val="single" w:sz="4" w:space="0" w:color="BFBFBF" w:themeColor="background1" w:themeShade="BF"/>
            </w:tcBorders>
          </w:tcPr>
          <w:p w14:paraId="5D84A2C1" w14:textId="77777777" w:rsidR="00343550" w:rsidRPr="00343550" w:rsidRDefault="00343550"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64B827"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09440" behindDoc="0" locked="0" layoutInCell="1" allowOverlap="1" wp14:anchorId="67224B7F" wp14:editId="1F0BC899">
                      <wp:simplePos x="0" y="0"/>
                      <wp:positionH relativeFrom="column">
                        <wp:posOffset>-21354</wp:posOffset>
                      </wp:positionH>
                      <wp:positionV relativeFrom="paragraph">
                        <wp:posOffset>29579</wp:posOffset>
                      </wp:positionV>
                      <wp:extent cx="179705" cy="179705"/>
                      <wp:effectExtent l="0" t="0" r="10795" b="10795"/>
                      <wp:wrapNone/>
                      <wp:docPr id="48" name="Flowchart: Connector 4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100A292C"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8" o:spid="_x0000_s1034" type="#_x0000_t120" style="position:absolute;left:0;text-align:left;margin-left:-1.7pt;margin-top:2.35pt;width:14.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" fillcolor="#7f7f7f" strokecolor="#7f7f7f" strokeweight="2pt">
                      <v:textbox inset="0,0,0,0">
                        <w:txbxContent>
                          <w:p w14:paraId="100A292C" w14:textId="77777777" w:rsidR="007256B3" w:rsidRPr="0015089C" w:rsidRDefault="007256B3" w:rsidP="00343550">
                            <w:pPr>
                              <w:jc w:val="center"/>
                              <w:rPr>
                                <w:b/>
                                <w:sz w:val="16"/>
                                <w:szCs w:val="16"/>
                              </w:rPr>
                            </w:pPr>
                            <w:r>
                              <w:rPr>
                                <w:b/>
                                <w:sz w:val="16"/>
                                <w:szCs w:val="16"/>
                              </w:rPr>
                              <w:t>a</w:t>
                            </w:r>
                          </w:p>
                        </w:txbxContent>
                      </v:textbox>
                    </v:shape>
                  </w:pict>
                </mc:Fallback>
              </mc:AlternateContent>
            </w:r>
            <w:r w:rsidRPr="00343550">
              <w:rPr>
                <w:rFonts w:ascii="Candara" w:hAnsi="Candara"/>
              </w:rPr>
              <w:t>Review of benchmark settings (and the annual adjustment) taking into account new information about the technology in operation and the fire start history.</w:t>
            </w:r>
          </w:p>
        </w:tc>
        <w:tc>
          <w:tcPr>
            <w:tcW w:w="282" w:type="dxa"/>
            <w:tcBorders>
              <w:top w:val="nil"/>
              <w:left w:val="single" w:sz="4" w:space="0" w:color="BFBFBF" w:themeColor="background1" w:themeShade="BF"/>
              <w:bottom w:val="nil"/>
              <w:right w:val="single" w:sz="4" w:space="0" w:color="BFBFBF" w:themeColor="background1" w:themeShade="BF"/>
            </w:tcBorders>
          </w:tcPr>
          <w:p w14:paraId="66F99B8A" w14:textId="77777777" w:rsidR="00343550" w:rsidRPr="00343550" w:rsidRDefault="00343550" w:rsidP="00343550">
            <w:pPr>
              <w:spacing w:before="60" w:after="60"/>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D0E224" w14:textId="77777777" w:rsidR="00343550" w:rsidRPr="00343550" w:rsidRDefault="00343550" w:rsidP="00343550">
            <w:pPr>
              <w:spacing w:before="60" w:after="60"/>
              <w:rPr>
                <w:rFonts w:ascii="Candara" w:hAnsi="Candara"/>
              </w:rPr>
            </w:pPr>
            <w:r w:rsidRPr="00343550">
              <w:rPr>
                <w:rFonts w:ascii="Candara" w:hAnsi="Candara"/>
              </w:rPr>
              <w:t>Every five years at end of EDPR period or earlier if required</w:t>
            </w:r>
          </w:p>
        </w:tc>
      </w:tr>
      <w:tr w:rsidR="00343550" w:rsidRPr="00343550" w14:paraId="2E68774C" w14:textId="77777777" w:rsidTr="007C17B1">
        <w:tc>
          <w:tcPr>
            <w:tcW w:w="3402"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2845CD17" w14:textId="77777777" w:rsidR="00343550" w:rsidRPr="00343550" w:rsidRDefault="00343550" w:rsidP="00343550">
            <w:pPr>
              <w:spacing w:before="60" w:after="60"/>
              <w:ind w:left="567"/>
              <w:rPr>
                <w:rFonts w:ascii="Candara" w:hAnsi="Candara"/>
                <w:b/>
              </w:rPr>
            </w:pPr>
          </w:p>
        </w:tc>
        <w:tc>
          <w:tcPr>
            <w:tcW w:w="282" w:type="dxa"/>
            <w:tcBorders>
              <w:top w:val="nil"/>
              <w:left w:val="single" w:sz="4" w:space="0" w:color="BFBFBF" w:themeColor="background1" w:themeShade="BF"/>
              <w:bottom w:val="nil"/>
              <w:right w:val="single" w:sz="4" w:space="0" w:color="BFBFBF" w:themeColor="background1" w:themeShade="BF"/>
            </w:tcBorders>
          </w:tcPr>
          <w:p w14:paraId="18D9A4AE" w14:textId="77777777" w:rsidR="00343550" w:rsidRPr="00343550" w:rsidRDefault="00343550" w:rsidP="00343550">
            <w:pPr>
              <w:rPr>
                <w:rFonts w:ascii="Candara" w:hAnsi="Candara"/>
              </w:rPr>
            </w:pPr>
          </w:p>
        </w:tc>
        <w:tc>
          <w:tcPr>
            <w:tcW w:w="4254"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08F58F6" w14:textId="77777777" w:rsidR="00343550" w:rsidRPr="00343550" w:rsidRDefault="00343550" w:rsidP="00343550">
            <w:pPr>
              <w:spacing w:before="60" w:after="60"/>
              <w:rPr>
                <w:rFonts w:ascii="Candara" w:hAnsi="Candara"/>
              </w:rPr>
            </w:pPr>
          </w:p>
        </w:tc>
        <w:tc>
          <w:tcPr>
            <w:tcW w:w="282" w:type="dxa"/>
            <w:tcBorders>
              <w:top w:val="nil"/>
              <w:left w:val="single" w:sz="4" w:space="0" w:color="BFBFBF" w:themeColor="background1" w:themeShade="BF"/>
              <w:bottom w:val="nil"/>
              <w:right w:val="nil"/>
            </w:tcBorders>
          </w:tcPr>
          <w:p w14:paraId="4654C695" w14:textId="77777777" w:rsidR="00343550" w:rsidRPr="00343550" w:rsidRDefault="00343550"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3D532DA7" w14:textId="77777777" w:rsidR="00343550" w:rsidRPr="00343550" w:rsidRDefault="00343550" w:rsidP="00343550">
            <w:pPr>
              <w:rPr>
                <w:rFonts w:ascii="Candara" w:hAnsi="Candara"/>
                <w:noProof/>
                <w:lang w:eastAsia="en-AU"/>
              </w:rPr>
            </w:pPr>
          </w:p>
        </w:tc>
        <w:tc>
          <w:tcPr>
            <w:tcW w:w="282" w:type="dxa"/>
            <w:tcBorders>
              <w:top w:val="nil"/>
              <w:left w:val="nil"/>
              <w:bottom w:val="nil"/>
              <w:right w:val="nil"/>
            </w:tcBorders>
          </w:tcPr>
          <w:p w14:paraId="3B0B2C3F" w14:textId="77777777" w:rsidR="00343550" w:rsidRPr="00343550" w:rsidRDefault="00343550" w:rsidP="00343550">
            <w:pPr>
              <w:rPr>
                <w:rFonts w:ascii="Candara" w:hAnsi="Candara"/>
              </w:rPr>
            </w:pPr>
          </w:p>
        </w:tc>
        <w:tc>
          <w:tcPr>
            <w:tcW w:w="2553" w:type="dxa"/>
            <w:tcBorders>
              <w:top w:val="single" w:sz="4" w:space="0" w:color="BFBFBF" w:themeColor="background1" w:themeShade="BF"/>
              <w:left w:val="nil"/>
              <w:bottom w:val="single" w:sz="4" w:space="0" w:color="BFBFBF" w:themeColor="background1" w:themeShade="BF"/>
              <w:right w:val="nil"/>
            </w:tcBorders>
          </w:tcPr>
          <w:p w14:paraId="36AD38CA" w14:textId="77777777" w:rsidR="00343550" w:rsidRPr="00343550" w:rsidRDefault="00343550" w:rsidP="00343550">
            <w:pPr>
              <w:rPr>
                <w:rFonts w:ascii="Candara" w:hAnsi="Candara"/>
              </w:rPr>
            </w:pPr>
          </w:p>
        </w:tc>
      </w:tr>
      <w:tr w:rsidR="00343550" w:rsidRPr="00343550" w14:paraId="22CA26F6" w14:textId="77777777" w:rsidTr="007C17B1">
        <w:tc>
          <w:tcPr>
            <w:tcW w:w="3402"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78B5773F" w14:textId="77777777" w:rsidR="00343550" w:rsidRPr="00343550" w:rsidRDefault="00343550" w:rsidP="00343550">
            <w:pPr>
              <w:spacing w:before="60" w:after="60"/>
              <w:ind w:left="567"/>
              <w:rPr>
                <w:rFonts w:ascii="Candara" w:hAnsi="Candara"/>
                <w:b/>
              </w:rPr>
            </w:pPr>
          </w:p>
        </w:tc>
        <w:tc>
          <w:tcPr>
            <w:tcW w:w="282" w:type="dxa"/>
            <w:tcBorders>
              <w:top w:val="nil"/>
              <w:left w:val="single" w:sz="4" w:space="0" w:color="BFBFBF" w:themeColor="background1" w:themeShade="BF"/>
              <w:bottom w:val="nil"/>
              <w:right w:val="single" w:sz="4" w:space="0" w:color="BFBFBF" w:themeColor="background1" w:themeShade="BF"/>
            </w:tcBorders>
          </w:tcPr>
          <w:p w14:paraId="64ACA784" w14:textId="77777777" w:rsidR="00343550" w:rsidRPr="00343550" w:rsidRDefault="00343550" w:rsidP="00343550">
            <w:pPr>
              <w:spacing w:before="60" w:after="60"/>
              <w:rPr>
                <w:rFonts w:ascii="Candara" w:hAnsi="Candara"/>
              </w:rPr>
            </w:pPr>
          </w:p>
        </w:tc>
        <w:tc>
          <w:tcPr>
            <w:tcW w:w="4254"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EA367EA" w14:textId="77777777" w:rsidR="00343550" w:rsidRPr="00343550" w:rsidRDefault="00343550" w:rsidP="00343550">
            <w:pPr>
              <w:spacing w:before="60" w:after="60"/>
              <w:rPr>
                <w:rFonts w:ascii="Candara" w:hAnsi="Candara"/>
              </w:rPr>
            </w:pPr>
          </w:p>
        </w:tc>
        <w:tc>
          <w:tcPr>
            <w:tcW w:w="282" w:type="dxa"/>
            <w:tcBorders>
              <w:top w:val="nil"/>
              <w:left w:val="single" w:sz="4" w:space="0" w:color="BFBFBF" w:themeColor="background1" w:themeShade="BF"/>
              <w:bottom w:val="nil"/>
              <w:right w:val="single" w:sz="4" w:space="0" w:color="BFBFBF" w:themeColor="background1" w:themeShade="BF"/>
            </w:tcBorders>
          </w:tcPr>
          <w:p w14:paraId="6DD66A99" w14:textId="77777777" w:rsidR="00343550" w:rsidRPr="00343550" w:rsidRDefault="00343550"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473AE" w14:textId="77777777" w:rsidR="00343550" w:rsidRPr="00343550" w:rsidRDefault="00343550"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10464" behindDoc="0" locked="0" layoutInCell="1" allowOverlap="1" wp14:anchorId="72142181" wp14:editId="221B51FA">
                      <wp:simplePos x="0" y="0"/>
                      <wp:positionH relativeFrom="column">
                        <wp:posOffset>-21354</wp:posOffset>
                      </wp:positionH>
                      <wp:positionV relativeFrom="paragraph">
                        <wp:posOffset>29579</wp:posOffset>
                      </wp:positionV>
                      <wp:extent cx="179705" cy="179705"/>
                      <wp:effectExtent l="0" t="0" r="10795" b="10795"/>
                      <wp:wrapNone/>
                      <wp:docPr id="49" name="Flowchart: Connector 49"/>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7CDB3809" w14:textId="77777777" w:rsidR="007256B3" w:rsidRPr="0015089C" w:rsidRDefault="007256B3" w:rsidP="00343550">
                                  <w:pPr>
                                    <w:jc w:val="center"/>
                                    <w:rPr>
                                      <w:b/>
                                      <w:sz w:val="16"/>
                                      <w:szCs w:val="16"/>
                                    </w:rPr>
                                  </w:pPr>
                                  <w:r>
                                    <w:rPr>
                                      <w:b/>
                                      <w:sz w:val="16"/>
                                      <w:szCs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9" o:spid="_x0000_s1035" type="#_x0000_t120" style="position:absolute;left:0;text-align:left;margin-left:-1.7pt;margin-top:2.35pt;width:14.1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JPEQyI4CAACOBQAADgAAAAAAAAAAAAAAAAAuAgAAZHJzL2Uyb0RvYy54bWxQSwECLQAU&#10;AAYACAAAACEAtLNIFtwAAAAGAQAADwAAAAAAAAAAAAAAAADoBAAAZHJzL2Rvd25yZXYueG1sUEsF&#10;BgAAAAAEAAQA8wAAAPEFAAAAAA==&#10;" fillcolor="#7f7f7f" strokecolor="#7f7f7f" strokeweight="2pt">
                      <v:textbox inset="0,0,0,0">
                        <w:txbxContent>
                          <w:p w14:paraId="7CDB3809" w14:textId="77777777" w:rsidR="007256B3" w:rsidRPr="0015089C" w:rsidRDefault="007256B3" w:rsidP="00343550">
                            <w:pPr>
                              <w:jc w:val="center"/>
                              <w:rPr>
                                <w:b/>
                                <w:sz w:val="16"/>
                                <w:szCs w:val="16"/>
                              </w:rPr>
                            </w:pPr>
                            <w:r>
                              <w:rPr>
                                <w:b/>
                                <w:sz w:val="16"/>
                                <w:szCs w:val="16"/>
                              </w:rPr>
                              <w:t>b</w:t>
                            </w:r>
                          </w:p>
                        </w:txbxContent>
                      </v:textbox>
                    </v:shape>
                  </w:pict>
                </mc:Fallback>
              </mc:AlternateContent>
            </w:r>
            <w:r w:rsidRPr="00343550">
              <w:rPr>
                <w:rFonts w:ascii="Candara" w:hAnsi="Candara"/>
              </w:rPr>
              <w:t>Analysis of fire start causes to inform potential adjustments to the scheme that best direct industry focus to the ignition risks most within their control.</w:t>
            </w:r>
          </w:p>
        </w:tc>
        <w:tc>
          <w:tcPr>
            <w:tcW w:w="282" w:type="dxa"/>
            <w:tcBorders>
              <w:top w:val="nil"/>
              <w:left w:val="single" w:sz="4" w:space="0" w:color="BFBFBF" w:themeColor="background1" w:themeShade="BF"/>
              <w:bottom w:val="nil"/>
              <w:right w:val="single" w:sz="4" w:space="0" w:color="BFBFBF" w:themeColor="background1" w:themeShade="BF"/>
            </w:tcBorders>
          </w:tcPr>
          <w:p w14:paraId="6C96BD0A" w14:textId="77777777" w:rsidR="00343550" w:rsidRPr="00343550" w:rsidRDefault="00343550" w:rsidP="00343550">
            <w:pPr>
              <w:spacing w:before="60" w:after="60"/>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DF18DF" w14:textId="77777777" w:rsidR="00343550" w:rsidRPr="00343550" w:rsidRDefault="00343550" w:rsidP="00343550">
            <w:pPr>
              <w:spacing w:before="60" w:after="60"/>
              <w:rPr>
                <w:rFonts w:ascii="Candara" w:hAnsi="Candara"/>
              </w:rPr>
            </w:pPr>
            <w:r w:rsidRPr="00343550">
              <w:rPr>
                <w:rFonts w:ascii="Candara" w:hAnsi="Candara"/>
              </w:rPr>
              <w:t>Every five years at end of EDPR period</w:t>
            </w:r>
          </w:p>
        </w:tc>
      </w:tr>
    </w:tbl>
    <w:tbl>
      <w:tblPr>
        <w:tblStyle w:val="TableGrid"/>
        <w:tblW w:w="15309" w:type="dxa"/>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389"/>
        <w:gridCol w:w="222"/>
        <w:gridCol w:w="222"/>
        <w:gridCol w:w="222"/>
        <w:gridCol w:w="222"/>
        <w:gridCol w:w="222"/>
        <w:gridCol w:w="222"/>
      </w:tblGrid>
      <w:tr w:rsidR="00343550" w:rsidRPr="00343550" w14:paraId="5134E0D4" w14:textId="77777777" w:rsidTr="00494DD4">
        <w:tc>
          <w:tcPr>
            <w:tcW w:w="3402" w:type="dxa"/>
            <w:tcBorders>
              <w:top w:val="single" w:sz="4" w:space="0" w:color="BFBFBF" w:themeColor="background1" w:themeShade="BF"/>
              <w:left w:val="nil"/>
              <w:bottom w:val="single" w:sz="4" w:space="0" w:color="BFBFBF" w:themeColor="background1" w:themeShade="BF"/>
              <w:right w:val="nil"/>
            </w:tcBorders>
          </w:tcPr>
          <w:p w14:paraId="25DDE0BC" w14:textId="77777777" w:rsidR="0034686D" w:rsidRDefault="0034686D" w:rsidP="00343550">
            <w:pPr>
              <w:rPr>
                <w:rFonts w:ascii="Candara" w:hAnsi="Candara"/>
              </w:rPr>
            </w:pPr>
          </w:p>
          <w:tbl>
            <w:tblPr>
              <w:tblStyle w:val="TableGrid1"/>
              <w:tblW w:w="15163" w:type="dxa"/>
              <w:tblLook w:val="04A0" w:firstRow="1" w:lastRow="0" w:firstColumn="1" w:lastColumn="0" w:noHBand="0" w:noVBand="1"/>
            </w:tblPr>
            <w:tblGrid>
              <w:gridCol w:w="3256"/>
              <w:gridCol w:w="284"/>
              <w:gridCol w:w="4252"/>
              <w:gridCol w:w="284"/>
              <w:gridCol w:w="4252"/>
              <w:gridCol w:w="284"/>
              <w:gridCol w:w="2551"/>
            </w:tblGrid>
            <w:tr w:rsidR="0034686D" w:rsidRPr="00343550" w14:paraId="2B037654" w14:textId="77777777" w:rsidTr="0034686D">
              <w:trPr>
                <w:trHeight w:val="20"/>
              </w:trPr>
              <w:tc>
                <w:tcPr>
                  <w:tcW w:w="3256"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6E1EF"/>
                </w:tcPr>
                <w:p w14:paraId="7553EDF5" w14:textId="77777777" w:rsidR="0034686D" w:rsidRPr="00343550" w:rsidRDefault="0034686D" w:rsidP="0034686D">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41184" behindDoc="0" locked="0" layoutInCell="1" allowOverlap="1" wp14:anchorId="3842ED02" wp14:editId="0D24A6BC">
                            <wp:simplePos x="0" y="0"/>
                            <wp:positionH relativeFrom="column">
                              <wp:posOffset>-20158</wp:posOffset>
                            </wp:positionH>
                            <wp:positionV relativeFrom="paragraph">
                              <wp:posOffset>26035</wp:posOffset>
                            </wp:positionV>
                            <wp:extent cx="179705" cy="179705"/>
                            <wp:effectExtent l="0" t="0" r="10795" b="10795"/>
                            <wp:wrapNone/>
                            <wp:docPr id="16" name="Flowchart: Connector 1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092D78D1" w14:textId="77777777" w:rsidR="007256B3" w:rsidRPr="00494DD4" w:rsidRDefault="007256B3" w:rsidP="0034686D">
                                        <w:pPr>
                                          <w:jc w:val="center"/>
                                          <w:rPr>
                                            <w:b/>
                                            <w:color w:val="FFFFFF" w:themeColor="background1"/>
                                            <w:sz w:val="16"/>
                                            <w:szCs w:val="16"/>
                                          </w:rPr>
                                        </w:pPr>
                                        <w:r w:rsidRPr="00494DD4">
                                          <w:rPr>
                                            <w:b/>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6" o:spid="_x0000_s1036" type="#_x0000_t120" style="position:absolute;left:0;text-align:left;margin-left:-1.6pt;margin-top:2.05pt;width:14.15pt;height:1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" fillcolor="#17365d" strokecolor="#17365d" strokeweight="2pt">
                            <v:textbox inset="0,0,0,0">
                              <w:txbxContent>
                                <w:p w14:paraId="092D78D1" w14:textId="77777777" w:rsidR="007256B3" w:rsidRPr="00494DD4" w:rsidRDefault="007256B3" w:rsidP="0034686D">
                                  <w:pPr>
                                    <w:jc w:val="center"/>
                                    <w:rPr>
                                      <w:b/>
                                      <w:color w:val="FFFFFF" w:themeColor="background1"/>
                                      <w:sz w:val="16"/>
                                      <w:szCs w:val="16"/>
                                    </w:rPr>
                                  </w:pPr>
                                  <w:r w:rsidRPr="00494DD4">
                                    <w:rPr>
                                      <w:b/>
                                      <w:color w:val="FFFFFF" w:themeColor="background1"/>
                                      <w:sz w:val="16"/>
                                      <w:szCs w:val="16"/>
                                    </w:rPr>
                                    <w:t>5</w:t>
                                  </w:r>
                                </w:p>
                              </w:txbxContent>
                            </v:textbox>
                          </v:shape>
                        </w:pict>
                      </mc:Fallback>
                    </mc:AlternateContent>
                  </w:r>
                  <w:r w:rsidRPr="00343550">
                    <w:rPr>
                      <w:rFonts w:ascii="Candara" w:hAnsi="Candara"/>
                      <w:b/>
                    </w:rPr>
                    <w:t>Consumer costs</w:t>
                  </w:r>
                </w:p>
              </w:tc>
              <w:tc>
                <w:tcPr>
                  <w:tcW w:w="284" w:type="dxa"/>
                  <w:tcBorders>
                    <w:top w:val="nil"/>
                    <w:left w:val="single" w:sz="4" w:space="0" w:color="BFBFBF" w:themeColor="background1" w:themeShade="BF"/>
                    <w:bottom w:val="nil"/>
                    <w:right w:val="single" w:sz="4" w:space="0" w:color="BFBFBF" w:themeColor="background1" w:themeShade="BF"/>
                  </w:tcBorders>
                </w:tcPr>
                <w:p w14:paraId="2FDCB409" w14:textId="77777777" w:rsidR="0034686D" w:rsidRPr="00343550" w:rsidRDefault="0034686D" w:rsidP="0034686D">
                  <w:pPr>
                    <w:spacing w:before="60" w:after="60"/>
                    <w:rPr>
                      <w:rFonts w:ascii="Candara" w:hAnsi="Candara"/>
                    </w:rPr>
                  </w:pPr>
                </w:p>
              </w:tc>
              <w:tc>
                <w:tcPr>
                  <w:tcW w:w="425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0F383A1" w14:textId="77777777" w:rsidR="0034686D" w:rsidRPr="00416B2C" w:rsidRDefault="0034686D" w:rsidP="0034686D">
                  <w:pPr>
                    <w:spacing w:before="60" w:after="60"/>
                    <w:rPr>
                      <w:rFonts w:ascii="Candara" w:hAnsi="Candara"/>
                      <w:b/>
                    </w:rPr>
                  </w:pPr>
                  <w:r w:rsidRPr="00416B2C">
                    <w:rPr>
                      <w:rFonts w:ascii="Candara" w:hAnsi="Candara"/>
                      <w:b/>
                    </w:rPr>
                    <w:t>To assess the extent to which (if at all) industry compliance with the scheme is resulting in additional costs being imposed on electricity consumers.</w:t>
                  </w:r>
                </w:p>
              </w:tc>
              <w:tc>
                <w:tcPr>
                  <w:tcW w:w="284" w:type="dxa"/>
                  <w:tcBorders>
                    <w:top w:val="nil"/>
                    <w:left w:val="single" w:sz="4" w:space="0" w:color="BFBFBF" w:themeColor="background1" w:themeShade="BF"/>
                    <w:bottom w:val="nil"/>
                    <w:right w:val="single" w:sz="4" w:space="0" w:color="BFBFBF" w:themeColor="background1" w:themeShade="BF"/>
                  </w:tcBorders>
                </w:tcPr>
                <w:p w14:paraId="590D8078" w14:textId="77777777" w:rsidR="0034686D" w:rsidRPr="00343550" w:rsidRDefault="0034686D" w:rsidP="0034686D">
                  <w:pPr>
                    <w:spacing w:before="60" w:after="60"/>
                    <w:rPr>
                      <w:rFonts w:ascii="Candara" w:hAnsi="Candara"/>
                    </w:rPr>
                  </w:pP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65248" w14:textId="77777777" w:rsidR="0034686D" w:rsidRPr="00343550" w:rsidRDefault="0034686D" w:rsidP="0034686D">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42208" behindDoc="0" locked="0" layoutInCell="1" allowOverlap="1" wp14:anchorId="47411B51" wp14:editId="521D35A4">
                            <wp:simplePos x="0" y="0"/>
                            <wp:positionH relativeFrom="column">
                              <wp:posOffset>-21354</wp:posOffset>
                            </wp:positionH>
                            <wp:positionV relativeFrom="paragraph">
                              <wp:posOffset>29579</wp:posOffset>
                            </wp:positionV>
                            <wp:extent cx="179705" cy="179705"/>
                            <wp:effectExtent l="0" t="0" r="10795" b="10795"/>
                            <wp:wrapNone/>
                            <wp:docPr id="17" name="Flowchart: Connector 17"/>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5339F209" w14:textId="77777777" w:rsidR="007256B3" w:rsidRPr="0015089C" w:rsidRDefault="007256B3" w:rsidP="0034686D">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7" o:spid="_x0000_s1037" type="#_x0000_t120" style="position:absolute;left:0;text-align:left;margin-left:-1.7pt;margin-top:2.35pt;width:14.1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" fillcolor="#7f7f7f" strokecolor="#7f7f7f" strokeweight="2pt">
                            <v:textbox inset="0,0,0,0">
                              <w:txbxContent>
                                <w:p w14:paraId="5339F209" w14:textId="77777777" w:rsidR="007256B3" w:rsidRPr="0015089C" w:rsidRDefault="007256B3" w:rsidP="0034686D">
                                  <w:pPr>
                                    <w:jc w:val="center"/>
                                    <w:rPr>
                                      <w:b/>
                                      <w:sz w:val="16"/>
                                      <w:szCs w:val="16"/>
                                    </w:rPr>
                                  </w:pPr>
                                  <w:r>
                                    <w:rPr>
                                      <w:b/>
                                      <w:sz w:val="16"/>
                                      <w:szCs w:val="16"/>
                                    </w:rPr>
                                    <w:t>a</w:t>
                                  </w:r>
                                </w:p>
                              </w:txbxContent>
                            </v:textbox>
                          </v:shape>
                        </w:pict>
                      </mc:Fallback>
                    </mc:AlternateContent>
                  </w:r>
                  <w:r w:rsidRPr="00343550">
                    <w:rPr>
                      <w:rFonts w:ascii="Candara" w:hAnsi="Candara"/>
                    </w:rPr>
                    <w:t>Identify the costs relating to enhanced powerline safety assets required under the regulations that have been passed on to consumers (i.e. approved by the Australian Energy Regulator)</w:t>
                  </w:r>
                </w:p>
              </w:tc>
              <w:tc>
                <w:tcPr>
                  <w:tcW w:w="284" w:type="dxa"/>
                  <w:tcBorders>
                    <w:top w:val="nil"/>
                    <w:left w:val="single" w:sz="4" w:space="0" w:color="BFBFBF" w:themeColor="background1" w:themeShade="BF"/>
                    <w:bottom w:val="nil"/>
                    <w:right w:val="single" w:sz="4" w:space="0" w:color="BFBFBF" w:themeColor="background1" w:themeShade="BF"/>
                  </w:tcBorders>
                </w:tcPr>
                <w:p w14:paraId="6B8F9A6D" w14:textId="77777777" w:rsidR="0034686D" w:rsidRPr="00343550" w:rsidRDefault="0034686D" w:rsidP="0034686D">
                  <w:pPr>
                    <w:spacing w:before="60" w:after="60"/>
                    <w:rPr>
                      <w:rFonts w:ascii="Candara" w:hAnsi="Candara"/>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24349D" w14:textId="77777777" w:rsidR="0034686D" w:rsidRPr="00343550" w:rsidRDefault="0034686D" w:rsidP="0034686D">
                  <w:pPr>
                    <w:spacing w:before="60" w:after="60"/>
                    <w:rPr>
                      <w:rFonts w:ascii="Candara" w:hAnsi="Candara"/>
                    </w:rPr>
                  </w:pPr>
                  <w:r w:rsidRPr="00343550">
                    <w:rPr>
                      <w:rFonts w:ascii="Candara" w:hAnsi="Candara"/>
                    </w:rPr>
                    <w:t>Annually</w:t>
                  </w:r>
                </w:p>
              </w:tc>
            </w:tr>
            <w:tr w:rsidR="0034686D" w:rsidRPr="00343550" w14:paraId="69A634C9" w14:textId="77777777" w:rsidTr="0034686D">
              <w:trPr>
                <w:trHeight w:val="20"/>
              </w:trPr>
              <w:tc>
                <w:tcPr>
                  <w:tcW w:w="3256" w:type="dxa"/>
                  <w:tcBorders>
                    <w:top w:val="nil"/>
                    <w:left w:val="single" w:sz="4" w:space="0" w:color="BFBFBF" w:themeColor="background1" w:themeShade="BF"/>
                    <w:bottom w:val="single" w:sz="4" w:space="0" w:color="D6E1EF"/>
                    <w:right w:val="single" w:sz="4" w:space="0" w:color="BFBFBF" w:themeColor="background1" w:themeShade="BF"/>
                  </w:tcBorders>
                  <w:shd w:val="clear" w:color="auto" w:fill="D6E1EF"/>
                </w:tcPr>
                <w:p w14:paraId="3EDF41C4" w14:textId="77777777" w:rsidR="0034686D" w:rsidRPr="00343550" w:rsidRDefault="0034686D" w:rsidP="0034686D">
                  <w:pPr>
                    <w:ind w:left="567"/>
                    <w:rPr>
                      <w:rFonts w:ascii="Candara" w:hAnsi="Candara"/>
                      <w:noProof/>
                      <w:lang w:eastAsia="en-AU"/>
                    </w:rPr>
                  </w:pPr>
                </w:p>
              </w:tc>
              <w:tc>
                <w:tcPr>
                  <w:tcW w:w="284" w:type="dxa"/>
                  <w:tcBorders>
                    <w:top w:val="nil"/>
                    <w:left w:val="single" w:sz="4" w:space="0" w:color="BFBFBF" w:themeColor="background1" w:themeShade="BF"/>
                    <w:bottom w:val="nil"/>
                    <w:right w:val="single" w:sz="4" w:space="0" w:color="BFBFBF" w:themeColor="background1" w:themeShade="BF"/>
                  </w:tcBorders>
                </w:tcPr>
                <w:p w14:paraId="15EAE076" w14:textId="77777777" w:rsidR="0034686D" w:rsidRPr="00343550" w:rsidRDefault="0034686D" w:rsidP="0034686D">
                  <w:pPr>
                    <w:rPr>
                      <w:rFonts w:ascii="Candara" w:hAnsi="Candara"/>
                    </w:rPr>
                  </w:pPr>
                </w:p>
              </w:tc>
              <w:tc>
                <w:tcPr>
                  <w:tcW w:w="4252" w:type="dxa"/>
                  <w:tcBorders>
                    <w:top w:val="nil"/>
                    <w:left w:val="single" w:sz="4" w:space="0" w:color="BFBFBF" w:themeColor="background1" w:themeShade="BF"/>
                    <w:bottom w:val="nil"/>
                    <w:right w:val="single" w:sz="4" w:space="0" w:color="BFBFBF" w:themeColor="background1" w:themeShade="BF"/>
                  </w:tcBorders>
                </w:tcPr>
                <w:p w14:paraId="6EB1C3B0" w14:textId="77777777" w:rsidR="0034686D" w:rsidRPr="00343550" w:rsidRDefault="0034686D" w:rsidP="0034686D">
                  <w:pPr>
                    <w:rPr>
                      <w:rFonts w:ascii="Candara" w:hAnsi="Candara"/>
                    </w:rPr>
                  </w:pPr>
                </w:p>
              </w:tc>
              <w:tc>
                <w:tcPr>
                  <w:tcW w:w="284" w:type="dxa"/>
                  <w:tcBorders>
                    <w:top w:val="nil"/>
                    <w:left w:val="single" w:sz="4" w:space="0" w:color="BFBFBF" w:themeColor="background1" w:themeShade="BF"/>
                    <w:bottom w:val="nil"/>
                    <w:right w:val="nil"/>
                  </w:tcBorders>
                </w:tcPr>
                <w:p w14:paraId="34AD3950" w14:textId="77777777" w:rsidR="0034686D" w:rsidRPr="00343550" w:rsidRDefault="0034686D" w:rsidP="0034686D">
                  <w:pPr>
                    <w:rPr>
                      <w:rFonts w:ascii="Candara" w:hAnsi="Candara"/>
                    </w:rPr>
                  </w:pPr>
                </w:p>
              </w:tc>
              <w:tc>
                <w:tcPr>
                  <w:tcW w:w="4252" w:type="dxa"/>
                  <w:tcBorders>
                    <w:top w:val="single" w:sz="4" w:space="0" w:color="BFBFBF" w:themeColor="background1" w:themeShade="BF"/>
                    <w:left w:val="nil"/>
                    <w:bottom w:val="nil"/>
                    <w:right w:val="nil"/>
                  </w:tcBorders>
                </w:tcPr>
                <w:p w14:paraId="747C8DFF" w14:textId="77777777" w:rsidR="0034686D" w:rsidRPr="00343550" w:rsidRDefault="0034686D" w:rsidP="0034686D">
                  <w:pPr>
                    <w:ind w:left="567"/>
                    <w:rPr>
                      <w:rFonts w:ascii="Candara" w:hAnsi="Candara"/>
                      <w:noProof/>
                      <w:lang w:eastAsia="en-AU"/>
                    </w:rPr>
                  </w:pPr>
                </w:p>
              </w:tc>
              <w:tc>
                <w:tcPr>
                  <w:tcW w:w="284" w:type="dxa"/>
                  <w:tcBorders>
                    <w:top w:val="nil"/>
                    <w:left w:val="nil"/>
                    <w:bottom w:val="nil"/>
                    <w:right w:val="nil"/>
                  </w:tcBorders>
                </w:tcPr>
                <w:p w14:paraId="69606AF7" w14:textId="77777777" w:rsidR="0034686D" w:rsidRPr="00343550" w:rsidRDefault="0034686D" w:rsidP="0034686D">
                  <w:pPr>
                    <w:rPr>
                      <w:rFonts w:ascii="Candara" w:hAnsi="Candara"/>
                    </w:rPr>
                  </w:pPr>
                </w:p>
              </w:tc>
              <w:tc>
                <w:tcPr>
                  <w:tcW w:w="2551" w:type="dxa"/>
                  <w:tcBorders>
                    <w:top w:val="single" w:sz="4" w:space="0" w:color="BFBFBF" w:themeColor="background1" w:themeShade="BF"/>
                    <w:left w:val="nil"/>
                    <w:bottom w:val="nil"/>
                    <w:right w:val="nil"/>
                  </w:tcBorders>
                </w:tcPr>
                <w:p w14:paraId="32F4852F" w14:textId="77777777" w:rsidR="0034686D" w:rsidRPr="00343550" w:rsidRDefault="0034686D" w:rsidP="0034686D">
                  <w:pPr>
                    <w:rPr>
                      <w:rFonts w:ascii="Candara" w:hAnsi="Candara"/>
                    </w:rPr>
                  </w:pPr>
                </w:p>
              </w:tc>
            </w:tr>
          </w:tbl>
          <w:tbl>
            <w:tblPr>
              <w:tblStyle w:val="TableGrid"/>
              <w:tblW w:w="1516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284"/>
              <w:gridCol w:w="4252"/>
              <w:gridCol w:w="284"/>
              <w:gridCol w:w="4252"/>
              <w:gridCol w:w="284"/>
              <w:gridCol w:w="2551"/>
            </w:tblGrid>
            <w:tr w:rsidR="0034686D" w:rsidRPr="00343550" w14:paraId="323F0F83" w14:textId="77777777" w:rsidTr="0034686D">
              <w:trPr>
                <w:trHeight w:val="20"/>
              </w:trPr>
              <w:tc>
                <w:tcPr>
                  <w:tcW w:w="3256" w:type="dxa"/>
                  <w:tcBorders>
                    <w:top w:val="single" w:sz="4" w:space="0" w:color="D6E1E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2844059F" w14:textId="77777777" w:rsidR="0034686D" w:rsidRPr="00343550" w:rsidRDefault="0034686D" w:rsidP="0034686D">
                  <w:pPr>
                    <w:spacing w:before="60" w:after="60"/>
                    <w:ind w:left="567"/>
                    <w:rPr>
                      <w:rFonts w:ascii="Candara" w:hAnsi="Candara"/>
                      <w:noProof/>
                      <w:lang w:eastAsia="en-AU"/>
                    </w:rPr>
                  </w:pPr>
                </w:p>
              </w:tc>
              <w:tc>
                <w:tcPr>
                  <w:tcW w:w="284" w:type="dxa"/>
                  <w:tcBorders>
                    <w:top w:val="nil"/>
                    <w:left w:val="single" w:sz="4" w:space="0" w:color="BFBFBF" w:themeColor="background1" w:themeShade="BF"/>
                    <w:bottom w:val="nil"/>
                    <w:right w:val="single" w:sz="4" w:space="0" w:color="BFBFBF" w:themeColor="background1" w:themeShade="BF"/>
                  </w:tcBorders>
                </w:tcPr>
                <w:p w14:paraId="54986F3D" w14:textId="77777777" w:rsidR="0034686D" w:rsidRPr="00343550" w:rsidRDefault="0034686D" w:rsidP="0034686D">
                  <w:pPr>
                    <w:spacing w:before="60" w:after="60"/>
                    <w:rPr>
                      <w:rFonts w:ascii="Candara" w:hAnsi="Candara"/>
                    </w:rPr>
                  </w:pPr>
                </w:p>
              </w:tc>
              <w:tc>
                <w:tcPr>
                  <w:tcW w:w="42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6F06620" w14:textId="77777777" w:rsidR="0034686D" w:rsidRPr="00343550" w:rsidRDefault="0034686D" w:rsidP="0034686D">
                  <w:pPr>
                    <w:spacing w:before="60" w:after="60"/>
                    <w:rPr>
                      <w:rFonts w:ascii="Candara" w:hAnsi="Candara"/>
                    </w:rPr>
                  </w:pPr>
                </w:p>
              </w:tc>
              <w:tc>
                <w:tcPr>
                  <w:tcW w:w="284" w:type="dxa"/>
                  <w:tcBorders>
                    <w:top w:val="nil"/>
                    <w:left w:val="single" w:sz="4" w:space="0" w:color="BFBFBF" w:themeColor="background1" w:themeShade="BF"/>
                    <w:bottom w:val="nil"/>
                    <w:right w:val="single" w:sz="4" w:space="0" w:color="BFBFBF" w:themeColor="background1" w:themeShade="BF"/>
                  </w:tcBorders>
                </w:tcPr>
                <w:p w14:paraId="7F8ADA33" w14:textId="77777777" w:rsidR="0034686D" w:rsidRPr="00343550" w:rsidRDefault="0034686D" w:rsidP="0034686D">
                  <w:pPr>
                    <w:spacing w:before="60" w:after="60"/>
                    <w:rPr>
                      <w:rFonts w:ascii="Candara" w:hAnsi="Candara"/>
                    </w:rPr>
                  </w:pPr>
                </w:p>
              </w:tc>
              <w:tc>
                <w:tcPr>
                  <w:tcW w:w="4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1CB0B" w14:textId="77777777" w:rsidR="0034686D" w:rsidRPr="00343550" w:rsidRDefault="0034686D" w:rsidP="0034686D">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43232" behindDoc="0" locked="0" layoutInCell="1" allowOverlap="1" wp14:anchorId="53B73C7E" wp14:editId="459FA906">
                            <wp:simplePos x="0" y="0"/>
                            <wp:positionH relativeFrom="column">
                              <wp:posOffset>-21354</wp:posOffset>
                            </wp:positionH>
                            <wp:positionV relativeFrom="paragraph">
                              <wp:posOffset>29579</wp:posOffset>
                            </wp:positionV>
                            <wp:extent cx="179705" cy="179705"/>
                            <wp:effectExtent l="0" t="0" r="10795" b="10795"/>
                            <wp:wrapNone/>
                            <wp:docPr id="18" name="Flowchart: Connector 18"/>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39000C54" w14:textId="77777777" w:rsidR="007256B3" w:rsidRPr="0015089C" w:rsidRDefault="007256B3" w:rsidP="0034686D">
                                        <w:pPr>
                                          <w:jc w:val="center"/>
                                          <w:rPr>
                                            <w:b/>
                                            <w:sz w:val="16"/>
                                            <w:szCs w:val="16"/>
                                          </w:rPr>
                                        </w:pPr>
                                        <w:r>
                                          <w:rPr>
                                            <w:b/>
                                            <w:sz w:val="16"/>
                                            <w:szCs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8" o:spid="_x0000_s1038" type="#_x0000_t120" style="position:absolute;left:0;text-align:left;margin-left:-1.7pt;margin-top:2.35pt;width:14.15pt;height: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" fillcolor="#7f7f7f" strokecolor="#7f7f7f" strokeweight="2pt">
                            <v:textbox inset="0,0,0,0">
                              <w:txbxContent>
                                <w:p w14:paraId="39000C54" w14:textId="77777777" w:rsidR="007256B3" w:rsidRPr="0015089C" w:rsidRDefault="007256B3" w:rsidP="0034686D">
                                  <w:pPr>
                                    <w:jc w:val="center"/>
                                    <w:rPr>
                                      <w:b/>
                                      <w:sz w:val="16"/>
                                      <w:szCs w:val="16"/>
                                    </w:rPr>
                                  </w:pPr>
                                  <w:r>
                                    <w:rPr>
                                      <w:b/>
                                      <w:sz w:val="16"/>
                                      <w:szCs w:val="16"/>
                                    </w:rPr>
                                    <w:t>b</w:t>
                                  </w:r>
                                </w:p>
                              </w:txbxContent>
                            </v:textbox>
                          </v:shape>
                        </w:pict>
                      </mc:Fallback>
                    </mc:AlternateContent>
                  </w:r>
                  <w:r w:rsidRPr="00343550">
                    <w:rPr>
                      <w:rFonts w:ascii="Candara" w:hAnsi="Candara"/>
                    </w:rPr>
                    <w:t>Quantify any costs associated with f-factor compliance that have been passed on to consumers (i.e. approved by the Australian Energy Regulator)</w:t>
                  </w:r>
                </w:p>
              </w:tc>
              <w:tc>
                <w:tcPr>
                  <w:tcW w:w="284" w:type="dxa"/>
                  <w:tcBorders>
                    <w:top w:val="nil"/>
                    <w:left w:val="single" w:sz="4" w:space="0" w:color="BFBFBF" w:themeColor="background1" w:themeShade="BF"/>
                    <w:bottom w:val="nil"/>
                    <w:right w:val="single" w:sz="4" w:space="0" w:color="BFBFBF" w:themeColor="background1" w:themeShade="BF"/>
                  </w:tcBorders>
                </w:tcPr>
                <w:p w14:paraId="4D3729DB" w14:textId="77777777" w:rsidR="0034686D" w:rsidRPr="00343550" w:rsidRDefault="0034686D" w:rsidP="0034686D">
                  <w:pPr>
                    <w:spacing w:before="60" w:after="60"/>
                    <w:rPr>
                      <w:rFonts w:ascii="Candara" w:hAnsi="Candara"/>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4D8DA0" w14:textId="77777777" w:rsidR="0034686D" w:rsidRPr="00343550" w:rsidRDefault="0034686D" w:rsidP="0034686D">
                  <w:pPr>
                    <w:spacing w:before="60" w:after="60"/>
                    <w:rPr>
                      <w:rFonts w:ascii="Candara" w:hAnsi="Candara"/>
                    </w:rPr>
                  </w:pPr>
                  <w:r w:rsidRPr="00343550">
                    <w:rPr>
                      <w:rFonts w:ascii="Candara" w:hAnsi="Candara"/>
                    </w:rPr>
                    <w:t>Annually</w:t>
                  </w:r>
                </w:p>
              </w:tc>
            </w:tr>
          </w:tbl>
          <w:p w14:paraId="4C034637" w14:textId="77777777" w:rsidR="0034686D" w:rsidRDefault="0034686D" w:rsidP="00343550">
            <w:pPr>
              <w:rPr>
                <w:rFonts w:ascii="Candara" w:hAnsi="Candara"/>
              </w:rPr>
            </w:pPr>
          </w:p>
          <w:p w14:paraId="6B57F93E" w14:textId="77777777" w:rsidR="0034686D" w:rsidRDefault="0034686D" w:rsidP="00343550">
            <w:pPr>
              <w:rPr>
                <w:rFonts w:ascii="Candara" w:hAnsi="Candara"/>
              </w:rPr>
            </w:pPr>
          </w:p>
          <w:p w14:paraId="0C4DC135" w14:textId="77777777" w:rsidR="007C17B1" w:rsidRDefault="007C17B1" w:rsidP="00343550">
            <w:pPr>
              <w:rPr>
                <w:rFonts w:ascii="Candara" w:hAnsi="Candara"/>
              </w:rPr>
            </w:pPr>
          </w:p>
          <w:p w14:paraId="40458043" w14:textId="77777777" w:rsidR="0034686D" w:rsidRPr="00343550" w:rsidRDefault="0034686D" w:rsidP="00343550">
            <w:pPr>
              <w:rPr>
                <w:rFonts w:ascii="Candara" w:hAnsi="Candara"/>
              </w:rPr>
            </w:pPr>
          </w:p>
        </w:tc>
        <w:tc>
          <w:tcPr>
            <w:tcW w:w="282" w:type="dxa"/>
            <w:tcBorders>
              <w:top w:val="nil"/>
              <w:left w:val="nil"/>
              <w:bottom w:val="nil"/>
              <w:right w:val="nil"/>
            </w:tcBorders>
          </w:tcPr>
          <w:p w14:paraId="45565C76" w14:textId="77777777" w:rsidR="00343550" w:rsidRPr="00343550" w:rsidRDefault="00343550"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1D25F7B5" w14:textId="77777777" w:rsidR="00343550" w:rsidRPr="00343550" w:rsidRDefault="00343550" w:rsidP="00343550">
            <w:pPr>
              <w:rPr>
                <w:rFonts w:ascii="Candara" w:hAnsi="Candara"/>
              </w:rPr>
            </w:pPr>
          </w:p>
        </w:tc>
        <w:tc>
          <w:tcPr>
            <w:tcW w:w="282" w:type="dxa"/>
            <w:tcBorders>
              <w:top w:val="nil"/>
              <w:left w:val="nil"/>
              <w:bottom w:val="nil"/>
              <w:right w:val="nil"/>
            </w:tcBorders>
          </w:tcPr>
          <w:p w14:paraId="549C9040" w14:textId="77777777" w:rsidR="00343550" w:rsidRPr="00343550" w:rsidRDefault="00343550"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1556DB9E" w14:textId="77777777" w:rsidR="00343550" w:rsidRPr="00343550" w:rsidRDefault="00343550" w:rsidP="00343550">
            <w:pPr>
              <w:rPr>
                <w:rFonts w:ascii="Candara" w:hAnsi="Candara"/>
              </w:rPr>
            </w:pPr>
          </w:p>
        </w:tc>
        <w:tc>
          <w:tcPr>
            <w:tcW w:w="282" w:type="dxa"/>
            <w:tcBorders>
              <w:top w:val="nil"/>
              <w:left w:val="nil"/>
              <w:bottom w:val="nil"/>
              <w:right w:val="nil"/>
            </w:tcBorders>
          </w:tcPr>
          <w:p w14:paraId="4033F33F" w14:textId="77777777" w:rsidR="00343550" w:rsidRPr="00343550" w:rsidRDefault="00343550" w:rsidP="00343550">
            <w:pPr>
              <w:rPr>
                <w:rFonts w:ascii="Candara" w:hAnsi="Candara"/>
              </w:rPr>
            </w:pPr>
          </w:p>
        </w:tc>
        <w:tc>
          <w:tcPr>
            <w:tcW w:w="2553" w:type="dxa"/>
            <w:tcBorders>
              <w:top w:val="single" w:sz="4" w:space="0" w:color="BFBFBF" w:themeColor="background1" w:themeShade="BF"/>
              <w:left w:val="nil"/>
              <w:bottom w:val="single" w:sz="4" w:space="0" w:color="BFBFBF" w:themeColor="background1" w:themeShade="BF"/>
              <w:right w:val="nil"/>
            </w:tcBorders>
          </w:tcPr>
          <w:p w14:paraId="2407903B" w14:textId="77777777" w:rsidR="00343550" w:rsidRPr="00343550" w:rsidRDefault="00343550" w:rsidP="00343550">
            <w:pPr>
              <w:rPr>
                <w:rFonts w:ascii="Candara" w:hAnsi="Candara"/>
              </w:rPr>
            </w:pPr>
          </w:p>
        </w:tc>
      </w:tr>
    </w:tbl>
    <w:tbl>
      <w:tblPr>
        <w:tblStyle w:val="TableGrid1"/>
        <w:tblW w:w="15309" w:type="dxa"/>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282"/>
        <w:gridCol w:w="4254"/>
        <w:gridCol w:w="282"/>
        <w:gridCol w:w="4254"/>
        <w:gridCol w:w="282"/>
        <w:gridCol w:w="2553"/>
      </w:tblGrid>
      <w:tr w:rsidR="007C17B1" w:rsidRPr="00343550" w14:paraId="32C6CDBA" w14:textId="77777777" w:rsidTr="007256B3">
        <w:trPr>
          <w:cantSplit/>
          <w:tblHeader/>
        </w:trPr>
        <w:tc>
          <w:tcPr>
            <w:tcW w:w="3402" w:type="dxa"/>
            <w:shd w:val="clear" w:color="auto" w:fill="365F91" w:themeFill="accent1" w:themeFillShade="BF"/>
            <w:vAlign w:val="center"/>
          </w:tcPr>
          <w:p w14:paraId="4C3A5F30" w14:textId="77777777" w:rsidR="007C17B1" w:rsidRPr="00343550" w:rsidRDefault="007C17B1" w:rsidP="007256B3">
            <w:pPr>
              <w:spacing w:before="60" w:after="60"/>
              <w:rPr>
                <w:rFonts w:ascii="Candara" w:hAnsi="Candara"/>
                <w:b/>
                <w:color w:val="FFFFFF" w:themeColor="background1"/>
              </w:rPr>
            </w:pPr>
            <w:r w:rsidRPr="00343550">
              <w:rPr>
                <w:rFonts w:ascii="Candara" w:hAnsi="Candara"/>
                <w:b/>
                <w:color w:val="FFFFFF" w:themeColor="background1"/>
              </w:rPr>
              <w:lastRenderedPageBreak/>
              <w:t>Subject of Evaluation</w:t>
            </w:r>
          </w:p>
        </w:tc>
        <w:tc>
          <w:tcPr>
            <w:tcW w:w="282" w:type="dxa"/>
            <w:tcBorders>
              <w:top w:val="nil"/>
              <w:bottom w:val="nil"/>
            </w:tcBorders>
            <w:vAlign w:val="center"/>
          </w:tcPr>
          <w:p w14:paraId="76629A7D" w14:textId="77777777" w:rsidR="007C17B1" w:rsidRPr="00343550" w:rsidRDefault="007C17B1" w:rsidP="007256B3">
            <w:pPr>
              <w:rPr>
                <w:rFonts w:ascii="Candara" w:hAnsi="Candara"/>
              </w:rPr>
            </w:pPr>
          </w:p>
        </w:tc>
        <w:tc>
          <w:tcPr>
            <w:tcW w:w="4254" w:type="dxa"/>
            <w:shd w:val="clear" w:color="auto" w:fill="365F91" w:themeFill="accent1" w:themeFillShade="BF"/>
            <w:vAlign w:val="center"/>
          </w:tcPr>
          <w:p w14:paraId="3FCD9663" w14:textId="77777777" w:rsidR="007C17B1" w:rsidRPr="00343550" w:rsidRDefault="007C17B1" w:rsidP="007256B3">
            <w:pPr>
              <w:rPr>
                <w:rFonts w:ascii="Candara" w:hAnsi="Candara"/>
                <w:b/>
                <w:color w:val="FFFFFF" w:themeColor="background1"/>
              </w:rPr>
            </w:pPr>
            <w:r w:rsidRPr="00343550">
              <w:rPr>
                <w:rFonts w:ascii="Candara" w:hAnsi="Candara"/>
                <w:b/>
                <w:color w:val="FFFFFF" w:themeColor="background1"/>
              </w:rPr>
              <w:t>Purpose</w:t>
            </w:r>
          </w:p>
        </w:tc>
        <w:tc>
          <w:tcPr>
            <w:tcW w:w="282" w:type="dxa"/>
            <w:tcBorders>
              <w:top w:val="nil"/>
              <w:bottom w:val="nil"/>
            </w:tcBorders>
            <w:vAlign w:val="center"/>
          </w:tcPr>
          <w:p w14:paraId="4D0F19DF" w14:textId="77777777" w:rsidR="007C17B1" w:rsidRPr="00343550" w:rsidRDefault="007C17B1" w:rsidP="007256B3">
            <w:pPr>
              <w:rPr>
                <w:rFonts w:ascii="Candara" w:hAnsi="Candara"/>
              </w:rPr>
            </w:pPr>
          </w:p>
        </w:tc>
        <w:tc>
          <w:tcPr>
            <w:tcW w:w="4254" w:type="dxa"/>
            <w:shd w:val="clear" w:color="auto" w:fill="365F91" w:themeFill="accent1" w:themeFillShade="BF"/>
            <w:vAlign w:val="center"/>
          </w:tcPr>
          <w:p w14:paraId="57606BE8" w14:textId="77777777" w:rsidR="007C17B1" w:rsidRPr="00343550" w:rsidRDefault="007C17B1" w:rsidP="007256B3">
            <w:pPr>
              <w:rPr>
                <w:rFonts w:ascii="Candara" w:hAnsi="Candara"/>
                <w:b/>
                <w:color w:val="FFFFFF" w:themeColor="background1"/>
              </w:rPr>
            </w:pPr>
            <w:r w:rsidRPr="00343550">
              <w:rPr>
                <w:rFonts w:ascii="Candara" w:hAnsi="Candara"/>
                <w:b/>
                <w:color w:val="FFFFFF" w:themeColor="background1"/>
              </w:rPr>
              <w:t>Measures</w:t>
            </w:r>
          </w:p>
        </w:tc>
        <w:tc>
          <w:tcPr>
            <w:tcW w:w="282" w:type="dxa"/>
            <w:tcBorders>
              <w:top w:val="nil"/>
              <w:bottom w:val="nil"/>
            </w:tcBorders>
            <w:vAlign w:val="center"/>
          </w:tcPr>
          <w:p w14:paraId="291892B4" w14:textId="77777777" w:rsidR="007C17B1" w:rsidRPr="00343550" w:rsidRDefault="007C17B1" w:rsidP="007256B3">
            <w:pPr>
              <w:rPr>
                <w:rFonts w:ascii="Candara" w:hAnsi="Candara"/>
              </w:rPr>
            </w:pPr>
          </w:p>
        </w:tc>
        <w:tc>
          <w:tcPr>
            <w:tcW w:w="2553" w:type="dxa"/>
            <w:shd w:val="clear" w:color="auto" w:fill="365F91" w:themeFill="accent1" w:themeFillShade="BF"/>
            <w:vAlign w:val="center"/>
          </w:tcPr>
          <w:p w14:paraId="2EC0BAB0" w14:textId="77777777" w:rsidR="007C17B1" w:rsidRPr="00343550" w:rsidRDefault="007C17B1" w:rsidP="007256B3">
            <w:pPr>
              <w:rPr>
                <w:rFonts w:ascii="Candara" w:hAnsi="Candara"/>
                <w:b/>
                <w:color w:val="FFFFFF" w:themeColor="background1"/>
              </w:rPr>
            </w:pPr>
            <w:r w:rsidRPr="00343550">
              <w:rPr>
                <w:rFonts w:ascii="Candara" w:hAnsi="Candara"/>
                <w:b/>
                <w:color w:val="FFFFFF" w:themeColor="background1"/>
              </w:rPr>
              <w:t>Proposed Timing</w:t>
            </w:r>
          </w:p>
        </w:tc>
      </w:tr>
      <w:tr w:rsidR="007C17B1" w:rsidRPr="00343550" w14:paraId="039F2B53" w14:textId="77777777" w:rsidTr="007256B3">
        <w:trPr>
          <w:cantSplit/>
        </w:trPr>
        <w:tc>
          <w:tcPr>
            <w:tcW w:w="3402" w:type="dxa"/>
            <w:tcBorders>
              <w:left w:val="nil"/>
              <w:bottom w:val="single" w:sz="4" w:space="0" w:color="BFBFBF" w:themeColor="background1" w:themeShade="BF"/>
              <w:right w:val="nil"/>
            </w:tcBorders>
          </w:tcPr>
          <w:p w14:paraId="0FCF1F9B" w14:textId="77777777" w:rsidR="007C17B1" w:rsidRPr="00343550" w:rsidRDefault="007C17B1" w:rsidP="007256B3">
            <w:pPr>
              <w:rPr>
                <w:rFonts w:ascii="Candara" w:hAnsi="Candara"/>
              </w:rPr>
            </w:pPr>
          </w:p>
        </w:tc>
        <w:tc>
          <w:tcPr>
            <w:tcW w:w="282" w:type="dxa"/>
            <w:tcBorders>
              <w:top w:val="nil"/>
              <w:left w:val="nil"/>
              <w:bottom w:val="nil"/>
              <w:right w:val="nil"/>
            </w:tcBorders>
          </w:tcPr>
          <w:p w14:paraId="17FC3848" w14:textId="77777777" w:rsidR="007C17B1" w:rsidRPr="00343550" w:rsidRDefault="007C17B1" w:rsidP="007256B3">
            <w:pPr>
              <w:rPr>
                <w:rFonts w:ascii="Candara" w:hAnsi="Candara"/>
              </w:rPr>
            </w:pPr>
          </w:p>
        </w:tc>
        <w:tc>
          <w:tcPr>
            <w:tcW w:w="4254" w:type="dxa"/>
            <w:tcBorders>
              <w:left w:val="nil"/>
              <w:right w:val="nil"/>
            </w:tcBorders>
          </w:tcPr>
          <w:p w14:paraId="4207D3C2" w14:textId="77777777" w:rsidR="007C17B1" w:rsidRPr="00343550" w:rsidRDefault="007C17B1" w:rsidP="007256B3">
            <w:pPr>
              <w:rPr>
                <w:rFonts w:ascii="Candara" w:hAnsi="Candara"/>
              </w:rPr>
            </w:pPr>
          </w:p>
        </w:tc>
        <w:tc>
          <w:tcPr>
            <w:tcW w:w="282" w:type="dxa"/>
            <w:tcBorders>
              <w:top w:val="nil"/>
              <w:left w:val="nil"/>
              <w:bottom w:val="nil"/>
              <w:right w:val="nil"/>
            </w:tcBorders>
          </w:tcPr>
          <w:p w14:paraId="41539CC2" w14:textId="77777777" w:rsidR="007C17B1" w:rsidRPr="00343550" w:rsidRDefault="007C17B1" w:rsidP="007256B3">
            <w:pPr>
              <w:rPr>
                <w:rFonts w:ascii="Candara" w:hAnsi="Candara"/>
              </w:rPr>
            </w:pPr>
          </w:p>
        </w:tc>
        <w:tc>
          <w:tcPr>
            <w:tcW w:w="4254" w:type="dxa"/>
            <w:tcBorders>
              <w:left w:val="nil"/>
              <w:right w:val="nil"/>
            </w:tcBorders>
          </w:tcPr>
          <w:p w14:paraId="3FB18BCE" w14:textId="77777777" w:rsidR="007C17B1" w:rsidRPr="00343550" w:rsidRDefault="007C17B1" w:rsidP="007256B3">
            <w:pPr>
              <w:rPr>
                <w:rFonts w:ascii="Candara" w:hAnsi="Candara"/>
              </w:rPr>
            </w:pPr>
          </w:p>
        </w:tc>
        <w:tc>
          <w:tcPr>
            <w:tcW w:w="282" w:type="dxa"/>
            <w:tcBorders>
              <w:top w:val="nil"/>
              <w:left w:val="nil"/>
              <w:bottom w:val="nil"/>
              <w:right w:val="nil"/>
            </w:tcBorders>
          </w:tcPr>
          <w:p w14:paraId="194D22B3" w14:textId="77777777" w:rsidR="007C17B1" w:rsidRPr="00343550" w:rsidRDefault="007C17B1" w:rsidP="007256B3">
            <w:pPr>
              <w:rPr>
                <w:rFonts w:ascii="Candara" w:hAnsi="Candara"/>
              </w:rPr>
            </w:pPr>
          </w:p>
        </w:tc>
        <w:tc>
          <w:tcPr>
            <w:tcW w:w="2553" w:type="dxa"/>
            <w:tcBorders>
              <w:left w:val="nil"/>
              <w:right w:val="nil"/>
            </w:tcBorders>
          </w:tcPr>
          <w:p w14:paraId="3F38DDBB" w14:textId="77777777" w:rsidR="007C17B1" w:rsidRPr="00343550" w:rsidRDefault="007C17B1" w:rsidP="007256B3">
            <w:pPr>
              <w:rPr>
                <w:rFonts w:ascii="Candara" w:hAnsi="Candara"/>
              </w:rPr>
            </w:pPr>
          </w:p>
        </w:tc>
      </w:tr>
      <w:tr w:rsidR="00343550" w:rsidRPr="00343550" w14:paraId="6FA8F30F" w14:textId="77777777" w:rsidTr="007B6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40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6E1EF"/>
          </w:tcPr>
          <w:p w14:paraId="74A20419" w14:textId="39889984" w:rsidR="00343550" w:rsidRPr="00343550" w:rsidRDefault="00343550" w:rsidP="0034686D">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11488" behindDoc="0" locked="0" layoutInCell="1" allowOverlap="1" wp14:anchorId="50AB1B82" wp14:editId="192419DB">
                      <wp:simplePos x="0" y="0"/>
                      <wp:positionH relativeFrom="column">
                        <wp:posOffset>-20158</wp:posOffset>
                      </wp:positionH>
                      <wp:positionV relativeFrom="paragraph">
                        <wp:posOffset>26035</wp:posOffset>
                      </wp:positionV>
                      <wp:extent cx="179705" cy="179705"/>
                      <wp:effectExtent l="0" t="0" r="10795" b="10795"/>
                      <wp:wrapNone/>
                      <wp:docPr id="50" name="Flowchart: Connector 50"/>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3A443238" w14:textId="3E28D921" w:rsidR="007256B3" w:rsidRPr="00494DD4" w:rsidRDefault="007256B3" w:rsidP="00343550">
                                  <w:pPr>
                                    <w:jc w:val="center"/>
                                    <w:rPr>
                                      <w:b/>
                                      <w:color w:val="FFFFFF" w:themeColor="background1"/>
                                      <w:sz w:val="16"/>
                                      <w:szCs w:val="16"/>
                                    </w:rPr>
                                  </w:pPr>
                                  <w:r>
                                    <w:rPr>
                                      <w:b/>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0" o:spid="_x0000_s1039" type="#_x0000_t120" style="position:absolute;left:0;text-align:left;margin-left:-1.6pt;margin-top:2.05pt;width:14.15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" fillcolor="#17365d" strokecolor="#17365d" strokeweight="2pt">
                      <v:textbox inset="0,0,0,0">
                        <w:txbxContent>
                          <w:p w14:paraId="3A443238" w14:textId="3E28D921" w:rsidR="007256B3" w:rsidRPr="00494DD4" w:rsidRDefault="007256B3" w:rsidP="00343550">
                            <w:pPr>
                              <w:jc w:val="center"/>
                              <w:rPr>
                                <w:b/>
                                <w:color w:val="FFFFFF" w:themeColor="background1"/>
                                <w:sz w:val="16"/>
                                <w:szCs w:val="16"/>
                              </w:rPr>
                            </w:pPr>
                            <w:r>
                              <w:rPr>
                                <w:b/>
                                <w:color w:val="FFFFFF" w:themeColor="background1"/>
                                <w:sz w:val="16"/>
                                <w:szCs w:val="16"/>
                              </w:rPr>
                              <w:t>6</w:t>
                            </w:r>
                          </w:p>
                        </w:txbxContent>
                      </v:textbox>
                    </v:shape>
                  </w:pict>
                </mc:Fallback>
              </mc:AlternateContent>
            </w:r>
            <w:r w:rsidR="0034686D">
              <w:rPr>
                <w:rFonts w:ascii="Candara" w:hAnsi="Candara"/>
                <w:b/>
              </w:rPr>
              <w:t>Reliability Impacts</w:t>
            </w:r>
          </w:p>
        </w:tc>
        <w:tc>
          <w:tcPr>
            <w:tcW w:w="282" w:type="dxa"/>
            <w:tcBorders>
              <w:top w:val="nil"/>
              <w:left w:val="single" w:sz="4" w:space="0" w:color="BFBFBF" w:themeColor="background1" w:themeShade="BF"/>
              <w:bottom w:val="nil"/>
              <w:right w:val="single" w:sz="4" w:space="0" w:color="BFBFBF" w:themeColor="background1" w:themeShade="BF"/>
            </w:tcBorders>
          </w:tcPr>
          <w:p w14:paraId="0684202E" w14:textId="77777777" w:rsidR="00343550" w:rsidRPr="00343550" w:rsidRDefault="00343550"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5D34A2C" w14:textId="482F73BF" w:rsidR="00343550" w:rsidRPr="00416B2C" w:rsidRDefault="00343550" w:rsidP="00357A9D">
            <w:pPr>
              <w:spacing w:before="60" w:after="60"/>
              <w:rPr>
                <w:rFonts w:ascii="Candara" w:hAnsi="Candara"/>
                <w:b/>
              </w:rPr>
            </w:pPr>
            <w:r w:rsidRPr="00416B2C">
              <w:rPr>
                <w:rFonts w:ascii="Candara" w:hAnsi="Candara"/>
                <w:b/>
              </w:rPr>
              <w:t xml:space="preserve">To assess the extent to which (if at all) </w:t>
            </w:r>
            <w:r w:rsidR="00357A9D" w:rsidRPr="00416B2C">
              <w:rPr>
                <w:rFonts w:ascii="Candara" w:hAnsi="Candara"/>
                <w:b/>
              </w:rPr>
              <w:t>reliability impacts</w:t>
            </w:r>
            <w:r w:rsidR="00357A9D">
              <w:rPr>
                <w:rFonts w:ascii="Candara" w:hAnsi="Candara"/>
                <w:b/>
              </w:rPr>
              <w:t xml:space="preserve"> change after</w:t>
            </w:r>
            <w:r w:rsidR="00357A9D" w:rsidRPr="00416B2C">
              <w:rPr>
                <w:rFonts w:ascii="Candara" w:hAnsi="Candara"/>
                <w:b/>
              </w:rPr>
              <w:t xml:space="preserve"> </w:t>
            </w:r>
            <w:r w:rsidR="00357A9D">
              <w:rPr>
                <w:rFonts w:ascii="Candara" w:hAnsi="Candara"/>
                <w:b/>
              </w:rPr>
              <w:t>the</w:t>
            </w:r>
            <w:r w:rsidRPr="00416B2C">
              <w:rPr>
                <w:rFonts w:ascii="Candara" w:hAnsi="Candara"/>
                <w:b/>
              </w:rPr>
              <w:t xml:space="preserve"> scheme</w:t>
            </w:r>
            <w:r w:rsidR="00357A9D">
              <w:rPr>
                <w:rFonts w:ascii="Candara" w:hAnsi="Candara"/>
                <w:b/>
              </w:rPr>
              <w:t xml:space="preserve"> is introduced</w:t>
            </w:r>
            <w:r w:rsidRPr="00416B2C">
              <w:rPr>
                <w:rFonts w:ascii="Candara" w:hAnsi="Candara"/>
                <w:b/>
              </w:rPr>
              <w:t>.</w:t>
            </w:r>
          </w:p>
        </w:tc>
        <w:tc>
          <w:tcPr>
            <w:tcW w:w="282" w:type="dxa"/>
            <w:tcBorders>
              <w:top w:val="nil"/>
              <w:left w:val="single" w:sz="4" w:space="0" w:color="BFBFBF" w:themeColor="background1" w:themeShade="BF"/>
              <w:bottom w:val="nil"/>
              <w:right w:val="single" w:sz="4" w:space="0" w:color="BFBFBF" w:themeColor="background1" w:themeShade="BF"/>
            </w:tcBorders>
          </w:tcPr>
          <w:p w14:paraId="65D13C12" w14:textId="77777777" w:rsidR="00343550" w:rsidRPr="00343550" w:rsidRDefault="00343550"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FA6053" w14:textId="5C80F7FA" w:rsidR="00343550" w:rsidRPr="00343550" w:rsidRDefault="00343550" w:rsidP="00357A9D">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12512" behindDoc="0" locked="0" layoutInCell="1" allowOverlap="1" wp14:anchorId="0FE19B4B" wp14:editId="1900B5C3">
                      <wp:simplePos x="0" y="0"/>
                      <wp:positionH relativeFrom="column">
                        <wp:posOffset>-21354</wp:posOffset>
                      </wp:positionH>
                      <wp:positionV relativeFrom="paragraph">
                        <wp:posOffset>29579</wp:posOffset>
                      </wp:positionV>
                      <wp:extent cx="179705" cy="179705"/>
                      <wp:effectExtent l="0" t="0" r="10795" b="10795"/>
                      <wp:wrapNone/>
                      <wp:docPr id="51" name="Flowchart: Connector 51"/>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0040C708"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1" o:spid="_x0000_s1040" type="#_x0000_t120" style="position:absolute;left:0;text-align:left;margin-left:-1.7pt;margin-top:2.35pt;width:14.1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f+CxmI4CAACPBQAADgAAAAAAAAAAAAAAAAAuAgAAZHJzL2Uyb0RvYy54bWxQSwECLQAU&#10;AAYACAAAACEAtLNIFtwAAAAGAQAADwAAAAAAAAAAAAAAAADoBAAAZHJzL2Rvd25yZXYueG1sUEsF&#10;BgAAAAAEAAQA8wAAAPEFAAAAAA==&#10;" fillcolor="#7f7f7f" strokecolor="#7f7f7f" strokeweight="2pt">
                      <v:textbox inset="0,0,0,0">
                        <w:txbxContent>
                          <w:p w14:paraId="0040C708" w14:textId="77777777" w:rsidR="007256B3" w:rsidRPr="0015089C" w:rsidRDefault="007256B3" w:rsidP="00343550">
                            <w:pPr>
                              <w:jc w:val="center"/>
                              <w:rPr>
                                <w:b/>
                                <w:sz w:val="16"/>
                                <w:szCs w:val="16"/>
                              </w:rPr>
                            </w:pPr>
                            <w:r>
                              <w:rPr>
                                <w:b/>
                                <w:sz w:val="16"/>
                                <w:szCs w:val="16"/>
                              </w:rPr>
                              <w:t>a</w:t>
                            </w:r>
                          </w:p>
                        </w:txbxContent>
                      </v:textbox>
                    </v:shape>
                  </w:pict>
                </mc:Fallback>
              </mc:AlternateContent>
            </w:r>
            <w:r w:rsidR="00416B2C">
              <w:rPr>
                <w:rFonts w:ascii="Candara" w:hAnsi="Candara"/>
              </w:rPr>
              <w:t>Monitor</w:t>
            </w:r>
            <w:r w:rsidRPr="00343550">
              <w:rPr>
                <w:rFonts w:ascii="Candara" w:hAnsi="Candara"/>
              </w:rPr>
              <w:t xml:space="preserve"> </w:t>
            </w:r>
            <w:r w:rsidR="00357A9D">
              <w:rPr>
                <w:rFonts w:ascii="Candara" w:hAnsi="Candara"/>
              </w:rPr>
              <w:t xml:space="preserve">changes in </w:t>
            </w:r>
            <w:r w:rsidR="0034686D">
              <w:rPr>
                <w:rFonts w:ascii="Candara" w:hAnsi="Candara"/>
              </w:rPr>
              <w:t>reliability</w:t>
            </w:r>
            <w:r w:rsidR="00357A9D">
              <w:rPr>
                <w:rFonts w:ascii="Candara" w:hAnsi="Candara"/>
              </w:rPr>
              <w:t xml:space="preserve"> levels</w:t>
            </w:r>
            <w:r w:rsidR="0034686D">
              <w:rPr>
                <w:rFonts w:ascii="Candara" w:hAnsi="Candara"/>
              </w:rPr>
              <w:t xml:space="preserve"> </w:t>
            </w:r>
          </w:p>
        </w:tc>
        <w:tc>
          <w:tcPr>
            <w:tcW w:w="282" w:type="dxa"/>
            <w:tcBorders>
              <w:top w:val="nil"/>
              <w:left w:val="single" w:sz="4" w:space="0" w:color="BFBFBF" w:themeColor="background1" w:themeShade="BF"/>
              <w:bottom w:val="nil"/>
              <w:right w:val="single" w:sz="4" w:space="0" w:color="BFBFBF" w:themeColor="background1" w:themeShade="BF"/>
            </w:tcBorders>
          </w:tcPr>
          <w:p w14:paraId="6E4E0533" w14:textId="77777777" w:rsidR="00343550" w:rsidRPr="00343550" w:rsidRDefault="00343550" w:rsidP="00343550">
            <w:pPr>
              <w:spacing w:before="60" w:after="60"/>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A6672" w14:textId="77777777" w:rsidR="00343550" w:rsidRPr="00343550" w:rsidRDefault="00343550" w:rsidP="00343550">
            <w:pPr>
              <w:spacing w:before="60" w:after="60"/>
              <w:rPr>
                <w:rFonts w:ascii="Candara" w:hAnsi="Candara"/>
              </w:rPr>
            </w:pPr>
            <w:r w:rsidRPr="00343550">
              <w:rPr>
                <w:rFonts w:ascii="Candara" w:hAnsi="Candara"/>
              </w:rPr>
              <w:t>Annually</w:t>
            </w:r>
          </w:p>
        </w:tc>
      </w:tr>
      <w:tr w:rsidR="00494DD4" w:rsidRPr="00343550" w14:paraId="0F3DA788" w14:textId="77777777" w:rsidTr="007B6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402" w:type="dxa"/>
            <w:tcBorders>
              <w:top w:val="nil"/>
              <w:left w:val="single" w:sz="4" w:space="0" w:color="BFBFBF" w:themeColor="background1" w:themeShade="BF"/>
              <w:bottom w:val="single" w:sz="4" w:space="0" w:color="D6E1EF"/>
              <w:right w:val="single" w:sz="4" w:space="0" w:color="BFBFBF" w:themeColor="background1" w:themeShade="BF"/>
            </w:tcBorders>
            <w:shd w:val="clear" w:color="auto" w:fill="D6E1EF"/>
          </w:tcPr>
          <w:p w14:paraId="5660EAC9" w14:textId="77777777" w:rsidR="00494DD4" w:rsidRPr="00343550" w:rsidRDefault="00494DD4" w:rsidP="007B6BEA">
            <w:pPr>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5F1C1502" w14:textId="77777777" w:rsidR="00494DD4" w:rsidRPr="00343550" w:rsidRDefault="00494DD4" w:rsidP="007B6BEA">
            <w:pPr>
              <w:rPr>
                <w:rFonts w:ascii="Candara" w:hAnsi="Candara"/>
              </w:rPr>
            </w:pPr>
          </w:p>
        </w:tc>
        <w:tc>
          <w:tcPr>
            <w:tcW w:w="4254" w:type="dxa"/>
            <w:tcBorders>
              <w:top w:val="nil"/>
              <w:left w:val="single" w:sz="4" w:space="0" w:color="BFBFBF" w:themeColor="background1" w:themeShade="BF"/>
              <w:bottom w:val="nil"/>
              <w:right w:val="single" w:sz="4" w:space="0" w:color="BFBFBF" w:themeColor="background1" w:themeShade="BF"/>
            </w:tcBorders>
          </w:tcPr>
          <w:p w14:paraId="535ECE75" w14:textId="77777777" w:rsidR="00494DD4" w:rsidRPr="00343550" w:rsidRDefault="00494DD4" w:rsidP="007B6BEA">
            <w:pPr>
              <w:rPr>
                <w:rFonts w:ascii="Candara" w:hAnsi="Candara"/>
              </w:rPr>
            </w:pPr>
          </w:p>
        </w:tc>
        <w:tc>
          <w:tcPr>
            <w:tcW w:w="282" w:type="dxa"/>
            <w:tcBorders>
              <w:top w:val="nil"/>
              <w:left w:val="single" w:sz="4" w:space="0" w:color="BFBFBF" w:themeColor="background1" w:themeShade="BF"/>
              <w:bottom w:val="nil"/>
              <w:right w:val="nil"/>
            </w:tcBorders>
          </w:tcPr>
          <w:p w14:paraId="77234B72" w14:textId="1995EE45" w:rsidR="00494DD4" w:rsidRPr="00343550" w:rsidRDefault="00357A9D" w:rsidP="007B6BEA">
            <w:pPr>
              <w:rPr>
                <w:rFonts w:ascii="Candara" w:hAnsi="Candara"/>
              </w:rPr>
            </w:pPr>
            <w:r>
              <w:rPr>
                <w:rFonts w:ascii="Candara" w:hAnsi="Candara"/>
                <w:noProof/>
                <w:lang w:eastAsia="en-AU"/>
              </w:rPr>
              <mc:AlternateContent>
                <mc:Choice Requires="wps">
                  <w:drawing>
                    <wp:anchor distT="0" distB="0" distL="114300" distR="114300" simplePos="0" relativeHeight="251744256" behindDoc="0" locked="0" layoutInCell="1" allowOverlap="1" wp14:anchorId="27E28C15" wp14:editId="4B49AD17">
                      <wp:simplePos x="0" y="0"/>
                      <wp:positionH relativeFrom="column">
                        <wp:posOffset>48140</wp:posOffset>
                      </wp:positionH>
                      <wp:positionV relativeFrom="paragraph">
                        <wp:posOffset>133458</wp:posOffset>
                      </wp:positionV>
                      <wp:extent cx="4589253" cy="474453"/>
                      <wp:effectExtent l="0" t="0" r="1905" b="1905"/>
                      <wp:wrapNone/>
                      <wp:docPr id="19" name="Rectangle 19"/>
                      <wp:cNvGraphicFramePr/>
                      <a:graphic xmlns:a="http://schemas.openxmlformats.org/drawingml/2006/main">
                        <a:graphicData uri="http://schemas.microsoft.com/office/word/2010/wordprocessingShape">
                          <wps:wsp>
                            <wps:cNvSpPr/>
                            <wps:spPr>
                              <a:xfrm>
                                <a:off x="0" y="0"/>
                                <a:ext cx="4589253" cy="4744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8pt;margin-top:10.5pt;width:361.35pt;height:37.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" fillcolor="white [3212]" stroked="f" strokeweight="2pt"/>
                  </w:pict>
                </mc:Fallback>
              </mc:AlternateContent>
            </w:r>
          </w:p>
        </w:tc>
        <w:tc>
          <w:tcPr>
            <w:tcW w:w="4254" w:type="dxa"/>
            <w:tcBorders>
              <w:top w:val="single" w:sz="4" w:space="0" w:color="BFBFBF" w:themeColor="background1" w:themeShade="BF"/>
              <w:left w:val="nil"/>
              <w:bottom w:val="nil"/>
              <w:right w:val="nil"/>
            </w:tcBorders>
          </w:tcPr>
          <w:p w14:paraId="201258AA" w14:textId="77777777" w:rsidR="00494DD4" w:rsidRPr="00343550" w:rsidRDefault="00494DD4" w:rsidP="007B6BEA">
            <w:pPr>
              <w:ind w:left="567"/>
              <w:rPr>
                <w:rFonts w:ascii="Candara" w:hAnsi="Candara"/>
                <w:noProof/>
                <w:lang w:eastAsia="en-AU"/>
              </w:rPr>
            </w:pPr>
          </w:p>
        </w:tc>
        <w:tc>
          <w:tcPr>
            <w:tcW w:w="282" w:type="dxa"/>
            <w:tcBorders>
              <w:top w:val="nil"/>
              <w:left w:val="nil"/>
              <w:bottom w:val="nil"/>
              <w:right w:val="nil"/>
            </w:tcBorders>
          </w:tcPr>
          <w:p w14:paraId="7AE03C29" w14:textId="77777777" w:rsidR="00494DD4" w:rsidRPr="00343550" w:rsidRDefault="00494DD4" w:rsidP="007B6BEA">
            <w:pPr>
              <w:rPr>
                <w:rFonts w:ascii="Candara" w:hAnsi="Candara"/>
              </w:rPr>
            </w:pPr>
          </w:p>
        </w:tc>
        <w:tc>
          <w:tcPr>
            <w:tcW w:w="2553" w:type="dxa"/>
            <w:tcBorders>
              <w:top w:val="single" w:sz="4" w:space="0" w:color="BFBFBF" w:themeColor="background1" w:themeShade="BF"/>
              <w:left w:val="nil"/>
              <w:bottom w:val="nil"/>
              <w:right w:val="nil"/>
            </w:tcBorders>
          </w:tcPr>
          <w:p w14:paraId="0770D8E6" w14:textId="77777777" w:rsidR="00494DD4" w:rsidRPr="00343550" w:rsidRDefault="00494DD4" w:rsidP="007B6BEA">
            <w:pPr>
              <w:rPr>
                <w:rFonts w:ascii="Candara" w:hAnsi="Candara"/>
              </w:rPr>
            </w:pPr>
          </w:p>
        </w:tc>
      </w:tr>
    </w:tbl>
    <w:tbl>
      <w:tblPr>
        <w:tblStyle w:val="TableGrid"/>
        <w:tblW w:w="8220" w:type="dxa"/>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282"/>
        <w:gridCol w:w="4254"/>
        <w:gridCol w:w="282"/>
      </w:tblGrid>
      <w:tr w:rsidR="002F5AA9" w:rsidRPr="00343550" w14:paraId="7553791C" w14:textId="77777777" w:rsidTr="002F5AA9">
        <w:trPr>
          <w:trHeight w:val="20"/>
        </w:trPr>
        <w:tc>
          <w:tcPr>
            <w:tcW w:w="3402" w:type="dxa"/>
            <w:tcBorders>
              <w:top w:val="single" w:sz="4" w:space="0" w:color="D6E1E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48C6F4C2" w14:textId="77777777" w:rsidR="002F5AA9" w:rsidRPr="00343550" w:rsidRDefault="002F5AA9" w:rsidP="00343550">
            <w:pPr>
              <w:spacing w:before="60" w:after="60"/>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13A894AA" w14:textId="77777777" w:rsidR="002F5AA9" w:rsidRPr="00343550" w:rsidRDefault="002F5AA9" w:rsidP="00343550">
            <w:pPr>
              <w:spacing w:before="60" w:after="60"/>
              <w:rPr>
                <w:rFonts w:ascii="Candara" w:hAnsi="Candara"/>
              </w:rPr>
            </w:pPr>
          </w:p>
        </w:tc>
        <w:tc>
          <w:tcPr>
            <w:tcW w:w="425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55BFD99" w14:textId="77777777" w:rsidR="002F5AA9" w:rsidRPr="00343550" w:rsidRDefault="002F5AA9" w:rsidP="00343550">
            <w:pPr>
              <w:spacing w:before="60" w:after="60"/>
              <w:rPr>
                <w:rFonts w:ascii="Candara" w:hAnsi="Candara"/>
              </w:rPr>
            </w:pPr>
          </w:p>
        </w:tc>
        <w:tc>
          <w:tcPr>
            <w:tcW w:w="282" w:type="dxa"/>
            <w:tcBorders>
              <w:top w:val="nil"/>
              <w:left w:val="single" w:sz="4" w:space="0" w:color="BFBFBF" w:themeColor="background1" w:themeShade="BF"/>
              <w:bottom w:val="nil"/>
              <w:right w:val="single" w:sz="4" w:space="0" w:color="BFBFBF" w:themeColor="background1" w:themeShade="BF"/>
            </w:tcBorders>
          </w:tcPr>
          <w:p w14:paraId="751CA721" w14:textId="77777777" w:rsidR="002F5AA9" w:rsidRPr="00343550" w:rsidRDefault="002F5AA9" w:rsidP="00343550">
            <w:pPr>
              <w:spacing w:before="60" w:after="60"/>
              <w:rPr>
                <w:rFonts w:ascii="Candara" w:hAnsi="Candara"/>
              </w:rPr>
            </w:pPr>
          </w:p>
        </w:tc>
      </w:tr>
    </w:tbl>
    <w:tbl>
      <w:tblPr>
        <w:tblStyle w:val="TableGrid1"/>
        <w:tblW w:w="15309" w:type="dxa"/>
        <w:tblInd w:w="-2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2"/>
        <w:gridCol w:w="282"/>
        <w:gridCol w:w="4254"/>
        <w:gridCol w:w="282"/>
        <w:gridCol w:w="4254"/>
        <w:gridCol w:w="282"/>
        <w:gridCol w:w="2553"/>
      </w:tblGrid>
      <w:tr w:rsidR="007B6BEA" w:rsidRPr="00343550" w14:paraId="08118E79" w14:textId="77777777" w:rsidTr="00DF4694">
        <w:trPr>
          <w:cantSplit/>
        </w:trPr>
        <w:tc>
          <w:tcPr>
            <w:tcW w:w="3402" w:type="dxa"/>
            <w:tcBorders>
              <w:left w:val="nil"/>
              <w:bottom w:val="single" w:sz="4" w:space="0" w:color="BFBFBF" w:themeColor="background1" w:themeShade="BF"/>
              <w:right w:val="nil"/>
            </w:tcBorders>
          </w:tcPr>
          <w:p w14:paraId="4D92EF0F" w14:textId="77777777" w:rsidR="007B6BEA" w:rsidRPr="00343550" w:rsidRDefault="007B6BEA" w:rsidP="00DF4694">
            <w:pPr>
              <w:rPr>
                <w:rFonts w:ascii="Candara" w:hAnsi="Candara"/>
              </w:rPr>
            </w:pPr>
          </w:p>
        </w:tc>
        <w:tc>
          <w:tcPr>
            <w:tcW w:w="282" w:type="dxa"/>
            <w:tcBorders>
              <w:top w:val="nil"/>
              <w:left w:val="nil"/>
              <w:bottom w:val="nil"/>
              <w:right w:val="nil"/>
            </w:tcBorders>
          </w:tcPr>
          <w:p w14:paraId="18E9F582" w14:textId="77777777" w:rsidR="007B6BEA" w:rsidRPr="00343550" w:rsidRDefault="007B6BEA" w:rsidP="00DF4694">
            <w:pPr>
              <w:rPr>
                <w:rFonts w:ascii="Candara" w:hAnsi="Candara"/>
              </w:rPr>
            </w:pPr>
          </w:p>
        </w:tc>
        <w:tc>
          <w:tcPr>
            <w:tcW w:w="4254" w:type="dxa"/>
            <w:tcBorders>
              <w:left w:val="nil"/>
              <w:right w:val="nil"/>
            </w:tcBorders>
          </w:tcPr>
          <w:p w14:paraId="627C34A5" w14:textId="77777777" w:rsidR="007B6BEA" w:rsidRPr="00343550" w:rsidRDefault="007B6BEA" w:rsidP="00DF4694">
            <w:pPr>
              <w:rPr>
                <w:rFonts w:ascii="Candara" w:hAnsi="Candara"/>
              </w:rPr>
            </w:pPr>
          </w:p>
        </w:tc>
        <w:tc>
          <w:tcPr>
            <w:tcW w:w="282" w:type="dxa"/>
            <w:tcBorders>
              <w:top w:val="nil"/>
              <w:left w:val="nil"/>
              <w:bottom w:val="nil"/>
              <w:right w:val="nil"/>
            </w:tcBorders>
          </w:tcPr>
          <w:p w14:paraId="51FC9587" w14:textId="77777777" w:rsidR="007B6BEA" w:rsidRPr="00343550" w:rsidRDefault="007B6BEA" w:rsidP="00DF4694">
            <w:pPr>
              <w:rPr>
                <w:rFonts w:ascii="Candara" w:hAnsi="Candara"/>
              </w:rPr>
            </w:pPr>
          </w:p>
        </w:tc>
        <w:tc>
          <w:tcPr>
            <w:tcW w:w="4254" w:type="dxa"/>
            <w:tcBorders>
              <w:left w:val="nil"/>
              <w:right w:val="nil"/>
            </w:tcBorders>
          </w:tcPr>
          <w:p w14:paraId="620131FC" w14:textId="77777777" w:rsidR="007B6BEA" w:rsidRPr="00343550" w:rsidRDefault="007B6BEA" w:rsidP="00DF4694">
            <w:pPr>
              <w:rPr>
                <w:rFonts w:ascii="Candara" w:hAnsi="Candara"/>
              </w:rPr>
            </w:pPr>
          </w:p>
        </w:tc>
        <w:tc>
          <w:tcPr>
            <w:tcW w:w="282" w:type="dxa"/>
            <w:tcBorders>
              <w:top w:val="nil"/>
              <w:left w:val="nil"/>
              <w:bottom w:val="nil"/>
              <w:right w:val="nil"/>
            </w:tcBorders>
          </w:tcPr>
          <w:p w14:paraId="62E7777F" w14:textId="77777777" w:rsidR="007B6BEA" w:rsidRPr="00343550" w:rsidRDefault="007B6BEA" w:rsidP="00DF4694">
            <w:pPr>
              <w:rPr>
                <w:rFonts w:ascii="Candara" w:hAnsi="Candara"/>
              </w:rPr>
            </w:pPr>
          </w:p>
        </w:tc>
        <w:tc>
          <w:tcPr>
            <w:tcW w:w="2553" w:type="dxa"/>
            <w:tcBorders>
              <w:left w:val="nil"/>
              <w:right w:val="nil"/>
            </w:tcBorders>
          </w:tcPr>
          <w:p w14:paraId="64E03301" w14:textId="77777777" w:rsidR="007B6BEA" w:rsidRPr="00343550" w:rsidRDefault="007B6BEA" w:rsidP="00DF4694">
            <w:pPr>
              <w:rPr>
                <w:rFonts w:ascii="Candara" w:hAnsi="Candara"/>
              </w:rPr>
            </w:pPr>
          </w:p>
        </w:tc>
      </w:tr>
      <w:tr w:rsidR="007B6BEA" w:rsidRPr="00343550" w14:paraId="5371C1D0" w14:textId="77777777" w:rsidTr="007B6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0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2199C84E" w14:textId="77777777" w:rsidR="007B6BEA" w:rsidRPr="00343550" w:rsidRDefault="007B6BEA" w:rsidP="00343550">
            <w:pPr>
              <w:spacing w:before="60" w:after="60"/>
              <w:ind w:left="567"/>
              <w:rPr>
                <w:rFonts w:ascii="Candara" w:hAnsi="Candara"/>
                <w:b/>
              </w:rPr>
            </w:pPr>
            <w:r w:rsidRPr="00343550">
              <w:rPr>
                <w:rFonts w:ascii="Candara" w:hAnsi="Candara"/>
                <w:noProof/>
                <w:lang w:eastAsia="en-AU"/>
              </w:rPr>
              <mc:AlternateContent>
                <mc:Choice Requires="wps">
                  <w:drawing>
                    <wp:anchor distT="0" distB="0" distL="114300" distR="114300" simplePos="0" relativeHeight="251736064" behindDoc="0" locked="0" layoutInCell="1" allowOverlap="1" wp14:anchorId="23CDC093" wp14:editId="64822E7C">
                      <wp:simplePos x="0" y="0"/>
                      <wp:positionH relativeFrom="column">
                        <wp:posOffset>-20158</wp:posOffset>
                      </wp:positionH>
                      <wp:positionV relativeFrom="paragraph">
                        <wp:posOffset>26035</wp:posOffset>
                      </wp:positionV>
                      <wp:extent cx="179705" cy="179705"/>
                      <wp:effectExtent l="0" t="0" r="10795" b="10795"/>
                      <wp:wrapNone/>
                      <wp:docPr id="53" name="Flowchart: Connector 53"/>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rgbClr val="17365D"/>
                              </a:solidFill>
                              <a:ln w="25400" cap="flat" cmpd="sng" algn="ctr">
                                <a:solidFill>
                                  <a:srgbClr val="17365D"/>
                                </a:solidFill>
                                <a:prstDash val="solid"/>
                              </a:ln>
                              <a:effectLst/>
                            </wps:spPr>
                            <wps:txbx>
                              <w:txbxContent>
                                <w:p w14:paraId="5C911993" w14:textId="6F077979" w:rsidR="007256B3" w:rsidRPr="007B6BEA" w:rsidRDefault="007256B3" w:rsidP="00343550">
                                  <w:pPr>
                                    <w:jc w:val="center"/>
                                    <w:rPr>
                                      <w:b/>
                                      <w:color w:val="FFFFFF" w:themeColor="background1"/>
                                      <w:sz w:val="16"/>
                                      <w:szCs w:val="16"/>
                                    </w:rPr>
                                  </w:pPr>
                                  <w:r>
                                    <w:rPr>
                                      <w:b/>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3" o:spid="_x0000_s1041" type="#_x0000_t120" style="position:absolute;left:0;text-align:left;margin-left:-1.6pt;margin-top:2.05pt;width:14.15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" fillcolor="#17365d" strokecolor="#17365d" strokeweight="2pt">
                      <v:textbox inset="0,0,0,0">
                        <w:txbxContent>
                          <w:p w14:paraId="5C911993" w14:textId="6F077979" w:rsidR="007256B3" w:rsidRPr="007B6BEA" w:rsidRDefault="007256B3" w:rsidP="00343550">
                            <w:pPr>
                              <w:jc w:val="center"/>
                              <w:rPr>
                                <w:b/>
                                <w:color w:val="FFFFFF" w:themeColor="background1"/>
                                <w:sz w:val="16"/>
                                <w:szCs w:val="16"/>
                              </w:rPr>
                            </w:pPr>
                            <w:r>
                              <w:rPr>
                                <w:b/>
                                <w:color w:val="FFFFFF" w:themeColor="background1"/>
                                <w:sz w:val="16"/>
                                <w:szCs w:val="16"/>
                              </w:rPr>
                              <w:t>7</w:t>
                            </w:r>
                          </w:p>
                        </w:txbxContent>
                      </v:textbox>
                    </v:shape>
                  </w:pict>
                </mc:Fallback>
              </mc:AlternateContent>
            </w:r>
            <w:r w:rsidRPr="00343550">
              <w:rPr>
                <w:rFonts w:ascii="Candara" w:hAnsi="Candara"/>
                <w:b/>
              </w:rPr>
              <w:t>Stakeholder acceptance</w:t>
            </w:r>
          </w:p>
        </w:tc>
        <w:tc>
          <w:tcPr>
            <w:tcW w:w="282" w:type="dxa"/>
            <w:tcBorders>
              <w:top w:val="nil"/>
              <w:left w:val="single" w:sz="4" w:space="0" w:color="BFBFBF" w:themeColor="background1" w:themeShade="BF"/>
              <w:bottom w:val="nil"/>
              <w:right w:val="single" w:sz="4" w:space="0" w:color="BFBFBF" w:themeColor="background1" w:themeShade="BF"/>
            </w:tcBorders>
          </w:tcPr>
          <w:p w14:paraId="23A60FEF" w14:textId="77777777" w:rsidR="007B6BEA" w:rsidRPr="00343550" w:rsidRDefault="007B6BEA" w:rsidP="00343550">
            <w:pPr>
              <w:spacing w:before="60" w:after="60"/>
              <w:rPr>
                <w:rFonts w:ascii="Candara" w:hAnsi="Candara"/>
              </w:rPr>
            </w:pPr>
          </w:p>
        </w:tc>
        <w:tc>
          <w:tcPr>
            <w:tcW w:w="4254"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4BE151F" w14:textId="77777777" w:rsidR="007B6BEA" w:rsidRPr="00343550" w:rsidRDefault="007B6BEA" w:rsidP="00343550">
            <w:pPr>
              <w:spacing w:before="60" w:after="60"/>
              <w:rPr>
                <w:rFonts w:ascii="Candara" w:hAnsi="Candara"/>
              </w:rPr>
            </w:pPr>
            <w:r w:rsidRPr="00343550">
              <w:rPr>
                <w:rFonts w:ascii="Candara" w:hAnsi="Candara"/>
              </w:rPr>
              <w:t>To verify that the scheme is effective in its application and supported by the key agents of implementation.</w:t>
            </w:r>
          </w:p>
        </w:tc>
        <w:tc>
          <w:tcPr>
            <w:tcW w:w="282" w:type="dxa"/>
            <w:tcBorders>
              <w:top w:val="nil"/>
              <w:left w:val="single" w:sz="4" w:space="0" w:color="BFBFBF" w:themeColor="background1" w:themeShade="BF"/>
              <w:bottom w:val="nil"/>
              <w:right w:val="single" w:sz="4" w:space="0" w:color="BFBFBF" w:themeColor="background1" w:themeShade="BF"/>
            </w:tcBorders>
          </w:tcPr>
          <w:p w14:paraId="7B3D232B" w14:textId="77777777" w:rsidR="007B6BEA" w:rsidRPr="00343550" w:rsidRDefault="007B6BEA"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B31D0" w14:textId="77777777" w:rsidR="007B6BEA" w:rsidRPr="00343550" w:rsidRDefault="007B6BEA"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37088" behindDoc="0" locked="0" layoutInCell="1" allowOverlap="1" wp14:anchorId="65431269" wp14:editId="713E30CC">
                      <wp:simplePos x="0" y="0"/>
                      <wp:positionH relativeFrom="column">
                        <wp:posOffset>-21354</wp:posOffset>
                      </wp:positionH>
                      <wp:positionV relativeFrom="paragraph">
                        <wp:posOffset>29579</wp:posOffset>
                      </wp:positionV>
                      <wp:extent cx="179705" cy="179705"/>
                      <wp:effectExtent l="0" t="0" r="10795" b="10795"/>
                      <wp:wrapNone/>
                      <wp:docPr id="54" name="Flowchart: Connector 54"/>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18B49842" w14:textId="77777777" w:rsidR="007256B3" w:rsidRPr="0015089C" w:rsidRDefault="007256B3" w:rsidP="00343550">
                                  <w:pPr>
                                    <w:jc w:val="center"/>
                                    <w:rPr>
                                      <w:b/>
                                      <w:sz w:val="16"/>
                                      <w:szCs w:val="16"/>
                                    </w:rPr>
                                  </w:pPr>
                                  <w:r>
                                    <w:rPr>
                                      <w:b/>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4" o:spid="_x0000_s1042" type="#_x0000_t120" style="position:absolute;left:0;text-align:left;margin-left:-1.7pt;margin-top:2.35pt;width:14.15pt;height:1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" fillcolor="#7f7f7f" strokecolor="#7f7f7f" strokeweight="2pt">
                      <v:textbox inset="0,0,0,0">
                        <w:txbxContent>
                          <w:p w14:paraId="18B49842" w14:textId="77777777" w:rsidR="007256B3" w:rsidRPr="0015089C" w:rsidRDefault="007256B3" w:rsidP="00343550">
                            <w:pPr>
                              <w:jc w:val="center"/>
                              <w:rPr>
                                <w:b/>
                                <w:sz w:val="16"/>
                                <w:szCs w:val="16"/>
                              </w:rPr>
                            </w:pPr>
                            <w:r>
                              <w:rPr>
                                <w:b/>
                                <w:sz w:val="16"/>
                                <w:szCs w:val="16"/>
                              </w:rPr>
                              <w:t>a</w:t>
                            </w:r>
                          </w:p>
                        </w:txbxContent>
                      </v:textbox>
                    </v:shape>
                  </w:pict>
                </mc:Fallback>
              </mc:AlternateContent>
            </w:r>
            <w:r w:rsidRPr="00343550">
              <w:rPr>
                <w:rFonts w:ascii="Candara" w:hAnsi="Candara"/>
              </w:rPr>
              <w:t>Qualitative review of the scheme – Energy Safe Victoria</w:t>
            </w:r>
          </w:p>
        </w:tc>
        <w:tc>
          <w:tcPr>
            <w:tcW w:w="282" w:type="dxa"/>
            <w:tcBorders>
              <w:top w:val="nil"/>
              <w:left w:val="single" w:sz="4" w:space="0" w:color="BFBFBF" w:themeColor="background1" w:themeShade="BF"/>
              <w:bottom w:val="nil"/>
              <w:right w:val="single" w:sz="4" w:space="0" w:color="BFBFBF" w:themeColor="background1" w:themeShade="BF"/>
            </w:tcBorders>
          </w:tcPr>
          <w:p w14:paraId="5832E8E1" w14:textId="77777777" w:rsidR="007B6BEA" w:rsidRPr="00343550" w:rsidRDefault="007B6BEA" w:rsidP="00343550">
            <w:pPr>
              <w:spacing w:before="60" w:after="60"/>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CE45E" w14:textId="77777777" w:rsidR="007B6BEA" w:rsidRPr="00343550" w:rsidRDefault="007B6BEA" w:rsidP="00343550">
            <w:pPr>
              <w:spacing w:before="60" w:after="60"/>
              <w:rPr>
                <w:rFonts w:ascii="Candara" w:hAnsi="Candara"/>
              </w:rPr>
            </w:pPr>
            <w:r w:rsidRPr="00343550">
              <w:rPr>
                <w:rFonts w:ascii="Candara" w:hAnsi="Candara"/>
              </w:rPr>
              <w:t>Annually</w:t>
            </w:r>
          </w:p>
        </w:tc>
      </w:tr>
      <w:tr w:rsidR="007B6BEA" w:rsidRPr="00343550" w14:paraId="57A9E04A" w14:textId="77777777" w:rsidTr="00DF4694">
        <w:tc>
          <w:tcPr>
            <w:tcW w:w="3402" w:type="dxa"/>
            <w:vMerge/>
            <w:tcBorders>
              <w:left w:val="single" w:sz="4" w:space="0" w:color="BFBFBF" w:themeColor="background1" w:themeShade="BF"/>
              <w:right w:val="single" w:sz="4" w:space="0" w:color="BFBFBF" w:themeColor="background1" w:themeShade="BF"/>
            </w:tcBorders>
            <w:shd w:val="clear" w:color="auto" w:fill="D6E1EF"/>
          </w:tcPr>
          <w:p w14:paraId="4E253655" w14:textId="77777777" w:rsidR="007B6BEA" w:rsidRPr="00343550" w:rsidRDefault="007B6BEA" w:rsidP="00343550">
            <w:pPr>
              <w:spacing w:before="60" w:after="60"/>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04A238B1" w14:textId="77777777" w:rsidR="007B6BEA" w:rsidRPr="00343550" w:rsidRDefault="007B6BEA" w:rsidP="00343550">
            <w:pPr>
              <w:rPr>
                <w:rFonts w:ascii="Candara" w:hAnsi="Candara"/>
              </w:rPr>
            </w:pPr>
          </w:p>
        </w:tc>
        <w:tc>
          <w:tcPr>
            <w:tcW w:w="4254" w:type="dxa"/>
            <w:vMerge/>
            <w:tcBorders>
              <w:left w:val="single" w:sz="4" w:space="0" w:color="BFBFBF" w:themeColor="background1" w:themeShade="BF"/>
              <w:right w:val="single" w:sz="4" w:space="0" w:color="BFBFBF" w:themeColor="background1" w:themeShade="BF"/>
            </w:tcBorders>
          </w:tcPr>
          <w:p w14:paraId="5E65A1A9" w14:textId="77777777" w:rsidR="007B6BEA" w:rsidRPr="00343550" w:rsidRDefault="007B6BEA" w:rsidP="00343550">
            <w:pPr>
              <w:spacing w:before="60" w:after="60"/>
              <w:rPr>
                <w:rFonts w:ascii="Candara" w:hAnsi="Candara"/>
              </w:rPr>
            </w:pPr>
          </w:p>
        </w:tc>
        <w:tc>
          <w:tcPr>
            <w:tcW w:w="282" w:type="dxa"/>
            <w:tcBorders>
              <w:top w:val="nil"/>
              <w:left w:val="single" w:sz="4" w:space="0" w:color="BFBFBF" w:themeColor="background1" w:themeShade="BF"/>
              <w:bottom w:val="nil"/>
              <w:right w:val="nil"/>
            </w:tcBorders>
          </w:tcPr>
          <w:p w14:paraId="7BF7B58B" w14:textId="77777777" w:rsidR="007B6BEA" w:rsidRPr="00343550" w:rsidRDefault="007B6BEA"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68FC9DF0" w14:textId="77777777" w:rsidR="007B6BEA" w:rsidRPr="00343550" w:rsidRDefault="007B6BEA" w:rsidP="00343550">
            <w:pPr>
              <w:rPr>
                <w:rFonts w:ascii="Candara" w:hAnsi="Candara"/>
              </w:rPr>
            </w:pPr>
          </w:p>
        </w:tc>
        <w:tc>
          <w:tcPr>
            <w:tcW w:w="282" w:type="dxa"/>
            <w:tcBorders>
              <w:top w:val="nil"/>
              <w:left w:val="nil"/>
              <w:bottom w:val="nil"/>
              <w:right w:val="nil"/>
            </w:tcBorders>
          </w:tcPr>
          <w:p w14:paraId="3E43F78C" w14:textId="77777777" w:rsidR="007B6BEA" w:rsidRPr="00343550" w:rsidRDefault="007B6BEA" w:rsidP="00343550">
            <w:pPr>
              <w:rPr>
                <w:rFonts w:ascii="Candara" w:hAnsi="Candara"/>
              </w:rPr>
            </w:pPr>
          </w:p>
        </w:tc>
        <w:tc>
          <w:tcPr>
            <w:tcW w:w="2553" w:type="dxa"/>
            <w:tcBorders>
              <w:top w:val="single" w:sz="4" w:space="0" w:color="BFBFBF" w:themeColor="background1" w:themeShade="BF"/>
              <w:left w:val="nil"/>
              <w:bottom w:val="single" w:sz="4" w:space="0" w:color="BFBFBF" w:themeColor="background1" w:themeShade="BF"/>
              <w:right w:val="nil"/>
            </w:tcBorders>
          </w:tcPr>
          <w:p w14:paraId="507C9D42" w14:textId="77777777" w:rsidR="007B6BEA" w:rsidRPr="00343550" w:rsidRDefault="007B6BEA" w:rsidP="00343550">
            <w:pPr>
              <w:rPr>
                <w:rFonts w:ascii="Candara" w:hAnsi="Candara"/>
              </w:rPr>
            </w:pPr>
          </w:p>
        </w:tc>
      </w:tr>
      <w:tr w:rsidR="007B6BEA" w:rsidRPr="00343550" w14:paraId="189B5921" w14:textId="77777777" w:rsidTr="00DF4694">
        <w:tc>
          <w:tcPr>
            <w:tcW w:w="3402" w:type="dxa"/>
            <w:vMerge/>
            <w:tcBorders>
              <w:left w:val="single" w:sz="4" w:space="0" w:color="BFBFBF" w:themeColor="background1" w:themeShade="BF"/>
              <w:right w:val="single" w:sz="4" w:space="0" w:color="BFBFBF" w:themeColor="background1" w:themeShade="BF"/>
            </w:tcBorders>
            <w:shd w:val="clear" w:color="auto" w:fill="D6E1EF"/>
          </w:tcPr>
          <w:p w14:paraId="2B0E65A1" w14:textId="77777777" w:rsidR="007B6BEA" w:rsidRPr="00343550" w:rsidRDefault="007B6BEA" w:rsidP="00343550">
            <w:pPr>
              <w:spacing w:before="60" w:after="60"/>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625D96CC" w14:textId="77777777" w:rsidR="007B6BEA" w:rsidRPr="00343550" w:rsidRDefault="007B6BEA" w:rsidP="00343550">
            <w:pPr>
              <w:spacing w:before="60" w:after="60"/>
              <w:rPr>
                <w:rFonts w:ascii="Candara" w:hAnsi="Candara"/>
              </w:rPr>
            </w:pPr>
          </w:p>
        </w:tc>
        <w:tc>
          <w:tcPr>
            <w:tcW w:w="4254" w:type="dxa"/>
            <w:vMerge/>
            <w:tcBorders>
              <w:left w:val="single" w:sz="4" w:space="0" w:color="BFBFBF" w:themeColor="background1" w:themeShade="BF"/>
              <w:right w:val="single" w:sz="4" w:space="0" w:color="BFBFBF" w:themeColor="background1" w:themeShade="BF"/>
            </w:tcBorders>
          </w:tcPr>
          <w:p w14:paraId="3B6EEAA0" w14:textId="77777777" w:rsidR="007B6BEA" w:rsidRPr="00343550" w:rsidRDefault="007B6BEA" w:rsidP="00343550">
            <w:pPr>
              <w:spacing w:before="60" w:after="60"/>
              <w:rPr>
                <w:rFonts w:ascii="Candara" w:hAnsi="Candara"/>
              </w:rPr>
            </w:pPr>
          </w:p>
        </w:tc>
        <w:tc>
          <w:tcPr>
            <w:tcW w:w="282" w:type="dxa"/>
            <w:tcBorders>
              <w:top w:val="nil"/>
              <w:left w:val="single" w:sz="4" w:space="0" w:color="BFBFBF" w:themeColor="background1" w:themeShade="BF"/>
              <w:bottom w:val="nil"/>
              <w:right w:val="single" w:sz="4" w:space="0" w:color="BFBFBF" w:themeColor="background1" w:themeShade="BF"/>
            </w:tcBorders>
          </w:tcPr>
          <w:p w14:paraId="292BBFC9" w14:textId="77777777" w:rsidR="007B6BEA" w:rsidRPr="00343550" w:rsidRDefault="007B6BEA" w:rsidP="00343550">
            <w:pPr>
              <w:spacing w:before="60" w:after="60"/>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95CB0" w14:textId="77777777" w:rsidR="007B6BEA" w:rsidRPr="00343550" w:rsidRDefault="007B6BEA" w:rsidP="00343550">
            <w:pPr>
              <w:spacing w:before="60" w:after="60"/>
              <w:ind w:left="567"/>
              <w:rPr>
                <w:rFonts w:ascii="Candara" w:hAnsi="Candara"/>
              </w:rPr>
            </w:pPr>
            <w:r w:rsidRPr="00343550">
              <w:rPr>
                <w:rFonts w:ascii="Candara" w:hAnsi="Candara"/>
                <w:noProof/>
                <w:lang w:eastAsia="en-AU"/>
              </w:rPr>
              <mc:AlternateContent>
                <mc:Choice Requires="wps">
                  <w:drawing>
                    <wp:anchor distT="0" distB="0" distL="114300" distR="114300" simplePos="0" relativeHeight="251738112" behindDoc="0" locked="0" layoutInCell="1" allowOverlap="1" wp14:anchorId="2C06BA46" wp14:editId="79E2F592">
                      <wp:simplePos x="0" y="0"/>
                      <wp:positionH relativeFrom="column">
                        <wp:posOffset>-21354</wp:posOffset>
                      </wp:positionH>
                      <wp:positionV relativeFrom="paragraph">
                        <wp:posOffset>29579</wp:posOffset>
                      </wp:positionV>
                      <wp:extent cx="179705" cy="179705"/>
                      <wp:effectExtent l="0" t="0" r="10795" b="10795"/>
                      <wp:wrapNone/>
                      <wp:docPr id="55" name="Flowchart: Connector 55"/>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70EB2DDA" w14:textId="77777777" w:rsidR="007256B3" w:rsidRPr="0015089C" w:rsidRDefault="007256B3" w:rsidP="00343550">
                                  <w:pPr>
                                    <w:jc w:val="center"/>
                                    <w:rPr>
                                      <w:b/>
                                      <w:sz w:val="16"/>
                                      <w:szCs w:val="16"/>
                                    </w:rPr>
                                  </w:pPr>
                                  <w:r>
                                    <w:rPr>
                                      <w:b/>
                                      <w:sz w:val="16"/>
                                      <w:szCs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5" o:spid="_x0000_s1043" type="#_x0000_t120" style="position:absolute;left:0;text-align:left;margin-left:-1.7pt;margin-top:2.35pt;width:14.15pt;height:1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S3SI2I4CAACPBQAADgAAAAAAAAAAAAAAAAAuAgAAZHJzL2Uyb0RvYy54bWxQSwECLQAU&#10;AAYACAAAACEAtLNIFtwAAAAGAQAADwAAAAAAAAAAAAAAAADoBAAAZHJzL2Rvd25yZXYueG1sUEsF&#10;BgAAAAAEAAQA8wAAAPEFAAAAAA==&#10;" fillcolor="#7f7f7f" strokecolor="#7f7f7f" strokeweight="2pt">
                      <v:textbox inset="0,0,0,0">
                        <w:txbxContent>
                          <w:p w14:paraId="70EB2DDA" w14:textId="77777777" w:rsidR="007256B3" w:rsidRPr="0015089C" w:rsidRDefault="007256B3" w:rsidP="00343550">
                            <w:pPr>
                              <w:jc w:val="center"/>
                              <w:rPr>
                                <w:b/>
                                <w:sz w:val="16"/>
                                <w:szCs w:val="16"/>
                              </w:rPr>
                            </w:pPr>
                            <w:r>
                              <w:rPr>
                                <w:b/>
                                <w:sz w:val="16"/>
                                <w:szCs w:val="16"/>
                              </w:rPr>
                              <w:t>b</w:t>
                            </w:r>
                          </w:p>
                        </w:txbxContent>
                      </v:textbox>
                    </v:shape>
                  </w:pict>
                </mc:Fallback>
              </mc:AlternateContent>
            </w:r>
            <w:r w:rsidRPr="00343550">
              <w:rPr>
                <w:rFonts w:ascii="Candara" w:hAnsi="Candara"/>
              </w:rPr>
              <w:t>Qualitative review of the scheme – Australian Energy Regulator</w:t>
            </w:r>
          </w:p>
        </w:tc>
        <w:tc>
          <w:tcPr>
            <w:tcW w:w="282" w:type="dxa"/>
            <w:tcBorders>
              <w:top w:val="nil"/>
              <w:left w:val="single" w:sz="4" w:space="0" w:color="BFBFBF" w:themeColor="background1" w:themeShade="BF"/>
              <w:bottom w:val="nil"/>
              <w:right w:val="single" w:sz="4" w:space="0" w:color="BFBFBF" w:themeColor="background1" w:themeShade="BF"/>
            </w:tcBorders>
          </w:tcPr>
          <w:p w14:paraId="7B15772B" w14:textId="77777777" w:rsidR="007B6BEA" w:rsidRPr="00343550" w:rsidRDefault="007B6BEA" w:rsidP="00343550">
            <w:pPr>
              <w:spacing w:before="60" w:after="60"/>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9A569" w14:textId="77777777" w:rsidR="007B6BEA" w:rsidRPr="00343550" w:rsidRDefault="007B6BEA" w:rsidP="00343550">
            <w:pPr>
              <w:spacing w:before="60" w:after="60"/>
              <w:rPr>
                <w:rFonts w:ascii="Candara" w:hAnsi="Candara"/>
              </w:rPr>
            </w:pPr>
            <w:r w:rsidRPr="00343550">
              <w:rPr>
                <w:rFonts w:ascii="Candara" w:hAnsi="Candara"/>
              </w:rPr>
              <w:t>Annually</w:t>
            </w:r>
          </w:p>
        </w:tc>
      </w:tr>
      <w:tr w:rsidR="007B6BEA" w:rsidRPr="00343550" w14:paraId="25879008" w14:textId="77777777" w:rsidTr="00DF4694">
        <w:tc>
          <w:tcPr>
            <w:tcW w:w="3402" w:type="dxa"/>
            <w:vMerge/>
            <w:tcBorders>
              <w:left w:val="single" w:sz="4" w:space="0" w:color="BFBFBF" w:themeColor="background1" w:themeShade="BF"/>
              <w:right w:val="single" w:sz="4" w:space="0" w:color="BFBFBF" w:themeColor="background1" w:themeShade="BF"/>
            </w:tcBorders>
            <w:shd w:val="clear" w:color="auto" w:fill="D6E1EF"/>
          </w:tcPr>
          <w:p w14:paraId="1AB7125F" w14:textId="77777777" w:rsidR="007B6BEA" w:rsidRPr="00343550" w:rsidRDefault="007B6BEA" w:rsidP="00343550">
            <w:pPr>
              <w:spacing w:before="60" w:after="60"/>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7C487B25" w14:textId="77777777" w:rsidR="007B6BEA" w:rsidRPr="00343550" w:rsidRDefault="007B6BEA" w:rsidP="00343550">
            <w:pPr>
              <w:rPr>
                <w:rFonts w:ascii="Candara" w:hAnsi="Candara"/>
              </w:rPr>
            </w:pPr>
          </w:p>
        </w:tc>
        <w:tc>
          <w:tcPr>
            <w:tcW w:w="4254" w:type="dxa"/>
            <w:vMerge/>
            <w:tcBorders>
              <w:left w:val="single" w:sz="4" w:space="0" w:color="BFBFBF" w:themeColor="background1" w:themeShade="BF"/>
              <w:right w:val="single" w:sz="4" w:space="0" w:color="BFBFBF" w:themeColor="background1" w:themeShade="BF"/>
            </w:tcBorders>
          </w:tcPr>
          <w:p w14:paraId="03A93E95" w14:textId="77777777" w:rsidR="007B6BEA" w:rsidRPr="00343550" w:rsidRDefault="007B6BEA" w:rsidP="00343550">
            <w:pPr>
              <w:spacing w:before="60" w:after="60"/>
              <w:rPr>
                <w:rFonts w:ascii="Candara" w:hAnsi="Candara"/>
              </w:rPr>
            </w:pPr>
          </w:p>
        </w:tc>
        <w:tc>
          <w:tcPr>
            <w:tcW w:w="282" w:type="dxa"/>
            <w:tcBorders>
              <w:top w:val="nil"/>
              <w:left w:val="single" w:sz="4" w:space="0" w:color="BFBFBF" w:themeColor="background1" w:themeShade="BF"/>
              <w:bottom w:val="nil"/>
              <w:right w:val="nil"/>
            </w:tcBorders>
          </w:tcPr>
          <w:p w14:paraId="0ED286DD" w14:textId="77777777" w:rsidR="007B6BEA" w:rsidRPr="00343550" w:rsidRDefault="007B6BEA" w:rsidP="00343550">
            <w:pPr>
              <w:rPr>
                <w:rFonts w:ascii="Candara" w:hAnsi="Candara"/>
              </w:rPr>
            </w:pPr>
          </w:p>
        </w:tc>
        <w:tc>
          <w:tcPr>
            <w:tcW w:w="4254" w:type="dxa"/>
            <w:tcBorders>
              <w:top w:val="single" w:sz="4" w:space="0" w:color="BFBFBF" w:themeColor="background1" w:themeShade="BF"/>
              <w:left w:val="nil"/>
              <w:bottom w:val="single" w:sz="4" w:space="0" w:color="BFBFBF" w:themeColor="background1" w:themeShade="BF"/>
              <w:right w:val="nil"/>
            </w:tcBorders>
          </w:tcPr>
          <w:p w14:paraId="3D8C909F" w14:textId="77777777" w:rsidR="007B6BEA" w:rsidRPr="00343550" w:rsidRDefault="007B6BEA" w:rsidP="00343550">
            <w:pPr>
              <w:rPr>
                <w:rFonts w:ascii="Candara" w:hAnsi="Candara"/>
                <w:noProof/>
                <w:lang w:eastAsia="en-AU"/>
              </w:rPr>
            </w:pPr>
          </w:p>
        </w:tc>
        <w:tc>
          <w:tcPr>
            <w:tcW w:w="282" w:type="dxa"/>
            <w:tcBorders>
              <w:top w:val="nil"/>
              <w:left w:val="nil"/>
              <w:bottom w:val="nil"/>
              <w:right w:val="nil"/>
            </w:tcBorders>
          </w:tcPr>
          <w:p w14:paraId="5494F06A" w14:textId="77777777" w:rsidR="007B6BEA" w:rsidRPr="00343550" w:rsidRDefault="007B6BEA" w:rsidP="00343550">
            <w:pPr>
              <w:rPr>
                <w:rFonts w:ascii="Candara" w:hAnsi="Candara"/>
              </w:rPr>
            </w:pPr>
          </w:p>
        </w:tc>
        <w:tc>
          <w:tcPr>
            <w:tcW w:w="2553" w:type="dxa"/>
            <w:tcBorders>
              <w:top w:val="single" w:sz="4" w:space="0" w:color="BFBFBF" w:themeColor="background1" w:themeShade="BF"/>
              <w:left w:val="nil"/>
              <w:bottom w:val="single" w:sz="4" w:space="0" w:color="BFBFBF" w:themeColor="background1" w:themeShade="BF"/>
              <w:right w:val="nil"/>
            </w:tcBorders>
          </w:tcPr>
          <w:p w14:paraId="70D7E560" w14:textId="77777777" w:rsidR="007B6BEA" w:rsidRPr="00343550" w:rsidRDefault="007B6BEA" w:rsidP="00343550">
            <w:pPr>
              <w:rPr>
                <w:rFonts w:ascii="Candara" w:hAnsi="Candara"/>
              </w:rPr>
            </w:pPr>
          </w:p>
        </w:tc>
      </w:tr>
      <w:tr w:rsidR="007B6BEA" w:rsidRPr="00343550" w14:paraId="320ED6F7" w14:textId="77777777" w:rsidTr="007B6BEA">
        <w:tc>
          <w:tcPr>
            <w:tcW w:w="3402"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6E1EF"/>
          </w:tcPr>
          <w:p w14:paraId="4C337126" w14:textId="77777777" w:rsidR="007B6BEA" w:rsidRPr="00343550" w:rsidRDefault="007B6BEA" w:rsidP="00343550">
            <w:pPr>
              <w:spacing w:before="60" w:after="60"/>
              <w:ind w:left="567"/>
              <w:rPr>
                <w:rFonts w:ascii="Candara" w:hAnsi="Candara"/>
                <w:noProof/>
                <w:lang w:eastAsia="en-AU"/>
              </w:rPr>
            </w:pPr>
          </w:p>
        </w:tc>
        <w:tc>
          <w:tcPr>
            <w:tcW w:w="282" w:type="dxa"/>
            <w:tcBorders>
              <w:top w:val="nil"/>
              <w:left w:val="single" w:sz="4" w:space="0" w:color="BFBFBF" w:themeColor="background1" w:themeShade="BF"/>
              <w:bottom w:val="nil"/>
              <w:right w:val="single" w:sz="4" w:space="0" w:color="BFBFBF" w:themeColor="background1" w:themeShade="BF"/>
            </w:tcBorders>
          </w:tcPr>
          <w:p w14:paraId="6C889425" w14:textId="77777777" w:rsidR="007B6BEA" w:rsidRPr="00343550" w:rsidRDefault="007B6BEA" w:rsidP="00343550">
            <w:pPr>
              <w:rPr>
                <w:rFonts w:ascii="Candara" w:hAnsi="Candara"/>
              </w:rPr>
            </w:pPr>
          </w:p>
        </w:tc>
        <w:tc>
          <w:tcPr>
            <w:tcW w:w="4254"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EA84B5F" w14:textId="77777777" w:rsidR="007B6BEA" w:rsidRPr="00343550" w:rsidRDefault="007B6BEA" w:rsidP="00343550">
            <w:pPr>
              <w:spacing w:before="60" w:after="60"/>
              <w:rPr>
                <w:rFonts w:ascii="Candara" w:hAnsi="Candara"/>
              </w:rPr>
            </w:pPr>
          </w:p>
        </w:tc>
        <w:tc>
          <w:tcPr>
            <w:tcW w:w="282" w:type="dxa"/>
            <w:tcBorders>
              <w:top w:val="nil"/>
              <w:left w:val="single" w:sz="4" w:space="0" w:color="BFBFBF" w:themeColor="background1" w:themeShade="BF"/>
              <w:bottom w:val="nil"/>
              <w:right w:val="single" w:sz="4" w:space="0" w:color="BFBFBF" w:themeColor="background1" w:themeShade="BF"/>
            </w:tcBorders>
          </w:tcPr>
          <w:p w14:paraId="296065FD" w14:textId="77777777" w:rsidR="007B6BEA" w:rsidRPr="00343550" w:rsidRDefault="007B6BEA" w:rsidP="00343550">
            <w:pPr>
              <w:rPr>
                <w:rFonts w:ascii="Candara" w:hAnsi="Candara"/>
              </w:rPr>
            </w:pPr>
          </w:p>
        </w:tc>
        <w:tc>
          <w:tcPr>
            <w:tcW w:w="4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552A7" w14:textId="7C763E21" w:rsidR="007B6BEA" w:rsidRPr="00343550" w:rsidRDefault="007B6BEA" w:rsidP="007B6BEA">
            <w:pPr>
              <w:spacing w:before="60" w:after="60"/>
              <w:ind w:left="567"/>
              <w:rPr>
                <w:rFonts w:ascii="Candara" w:hAnsi="Candara"/>
                <w:noProof/>
                <w:lang w:eastAsia="en-AU"/>
              </w:rPr>
            </w:pPr>
            <w:r w:rsidRPr="00343550">
              <w:rPr>
                <w:rFonts w:ascii="Candara" w:hAnsi="Candara"/>
                <w:noProof/>
                <w:lang w:eastAsia="en-AU"/>
              </w:rPr>
              <mc:AlternateContent>
                <mc:Choice Requires="wps">
                  <w:drawing>
                    <wp:anchor distT="0" distB="0" distL="114300" distR="114300" simplePos="0" relativeHeight="251739136" behindDoc="0" locked="0" layoutInCell="1" allowOverlap="1" wp14:anchorId="5F3A71AC" wp14:editId="12F3DECC">
                      <wp:simplePos x="0" y="0"/>
                      <wp:positionH relativeFrom="column">
                        <wp:posOffset>-21354</wp:posOffset>
                      </wp:positionH>
                      <wp:positionV relativeFrom="paragraph">
                        <wp:posOffset>29579</wp:posOffset>
                      </wp:positionV>
                      <wp:extent cx="179705" cy="179705"/>
                      <wp:effectExtent l="0" t="0" r="10795" b="10795"/>
                      <wp:wrapNone/>
                      <wp:docPr id="6" name="Flowchart: Connector 6"/>
                      <wp:cNvGraphicFramePr/>
                      <a:graphic xmlns:a="http://schemas.openxmlformats.org/drawingml/2006/main">
                        <a:graphicData uri="http://schemas.microsoft.com/office/word/2010/wordprocessingShape">
                          <wps:wsp>
                            <wps:cNvSpPr/>
                            <wps:spPr>
                              <a:xfrm>
                                <a:off x="0" y="0"/>
                                <a:ext cx="179705" cy="179705"/>
                              </a:xfrm>
                              <a:prstGeom prst="flowChartConnector">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txbx>
                              <w:txbxContent>
                                <w:p w14:paraId="6FAF4503" w14:textId="77777777" w:rsidR="007256B3" w:rsidRPr="0015089C" w:rsidRDefault="007256B3" w:rsidP="00343550">
                                  <w:pPr>
                                    <w:jc w:val="center"/>
                                    <w:rPr>
                                      <w:b/>
                                      <w:sz w:val="16"/>
                                      <w:szCs w:val="16"/>
                                    </w:rPr>
                                  </w:pPr>
                                  <w:r>
                                    <w:rPr>
                                      <w:b/>
                                      <w:sz w:val="16"/>
                                      <w:szCs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6" o:spid="_x0000_s1044" type="#_x0000_t120" style="position:absolute;left:0;text-align:left;margin-left:-1.7pt;margin-top:2.35pt;width:14.1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" fillcolor="#7f7f7f" strokecolor="#7f7f7f" strokeweight="2pt">
                      <v:textbox inset="0,0,0,0">
                        <w:txbxContent>
                          <w:p w14:paraId="6FAF4503" w14:textId="77777777" w:rsidR="007256B3" w:rsidRPr="0015089C" w:rsidRDefault="007256B3" w:rsidP="00343550">
                            <w:pPr>
                              <w:jc w:val="center"/>
                              <w:rPr>
                                <w:b/>
                                <w:sz w:val="16"/>
                                <w:szCs w:val="16"/>
                              </w:rPr>
                            </w:pPr>
                            <w:r>
                              <w:rPr>
                                <w:b/>
                                <w:sz w:val="16"/>
                                <w:szCs w:val="16"/>
                              </w:rPr>
                              <w:t>c</w:t>
                            </w:r>
                          </w:p>
                        </w:txbxContent>
                      </v:textbox>
                    </v:shape>
                  </w:pict>
                </mc:Fallback>
              </mc:AlternateContent>
            </w:r>
            <w:r w:rsidRPr="00343550">
              <w:rPr>
                <w:rFonts w:ascii="Candara" w:hAnsi="Candara"/>
              </w:rPr>
              <w:t>Qualitative review of the scheme – Distribution businesses</w:t>
            </w:r>
          </w:p>
        </w:tc>
        <w:tc>
          <w:tcPr>
            <w:tcW w:w="282" w:type="dxa"/>
            <w:tcBorders>
              <w:top w:val="nil"/>
              <w:left w:val="single" w:sz="4" w:space="0" w:color="BFBFBF" w:themeColor="background1" w:themeShade="BF"/>
              <w:bottom w:val="nil"/>
              <w:right w:val="single" w:sz="4" w:space="0" w:color="BFBFBF" w:themeColor="background1" w:themeShade="BF"/>
            </w:tcBorders>
          </w:tcPr>
          <w:p w14:paraId="02B0D645" w14:textId="77777777" w:rsidR="007B6BEA" w:rsidRPr="00343550" w:rsidRDefault="007B6BEA" w:rsidP="00343550">
            <w:pPr>
              <w:rPr>
                <w:rFonts w:ascii="Candara" w:hAnsi="Candara"/>
              </w:rPr>
            </w:pPr>
          </w:p>
        </w:tc>
        <w:tc>
          <w:tcPr>
            <w:tcW w:w="2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8C372" w14:textId="6D1A1BDB" w:rsidR="007B6BEA" w:rsidRPr="00343550" w:rsidRDefault="007B6BEA" w:rsidP="007B6BEA">
            <w:pPr>
              <w:spacing w:before="60" w:after="60"/>
              <w:rPr>
                <w:rFonts w:ascii="Candara" w:hAnsi="Candara"/>
              </w:rPr>
            </w:pPr>
            <w:r w:rsidRPr="00343550">
              <w:rPr>
                <w:rFonts w:ascii="Candara" w:hAnsi="Candara"/>
              </w:rPr>
              <w:t>Annually</w:t>
            </w:r>
          </w:p>
        </w:tc>
      </w:tr>
    </w:tbl>
    <w:p w14:paraId="4211E61C" w14:textId="77777777" w:rsidR="00343550" w:rsidRPr="00C629A3" w:rsidRDefault="00343550" w:rsidP="00AA5547">
      <w:pPr>
        <w:rPr>
          <w:rFonts w:ascii="Candara" w:hAnsi="Candara"/>
        </w:rPr>
        <w:sectPr w:rsidR="00343550" w:rsidRPr="00C629A3" w:rsidSect="003543AF">
          <w:headerReference w:type="default" r:id="rId23"/>
          <w:pgSz w:w="16838" w:h="11906" w:orient="landscape"/>
          <w:pgMar w:top="1440" w:right="1440" w:bottom="1440" w:left="1440" w:header="708" w:footer="708" w:gutter="0"/>
          <w:cols w:space="708"/>
          <w:docGrid w:linePitch="360"/>
        </w:sectPr>
      </w:pPr>
    </w:p>
    <w:p w14:paraId="109B1BD9" w14:textId="77777777" w:rsidR="008D1938" w:rsidRPr="00C629A3" w:rsidRDefault="008D1938" w:rsidP="009F5994">
      <w:pPr>
        <w:pStyle w:val="Heading1"/>
        <w:rPr>
          <w:sz w:val="22"/>
          <w:szCs w:val="22"/>
        </w:rPr>
      </w:pPr>
      <w:bookmarkStart w:id="58" w:name="_Toc458675211"/>
      <w:r w:rsidRPr="00C629A3">
        <w:rPr>
          <w:sz w:val="22"/>
          <w:szCs w:val="22"/>
        </w:rPr>
        <w:lastRenderedPageBreak/>
        <w:t>Consultation Undertaken</w:t>
      </w:r>
      <w:bookmarkEnd w:id="58"/>
    </w:p>
    <w:p w14:paraId="29880955" w14:textId="77777777" w:rsidR="00EA2A48" w:rsidRDefault="00EA2A48" w:rsidP="00EA2A48">
      <w:pPr>
        <w:rPr>
          <w:rFonts w:ascii="Candara" w:hAnsi="Candara"/>
        </w:rPr>
      </w:pPr>
    </w:p>
    <w:p w14:paraId="62DACFE1" w14:textId="5066901C" w:rsidR="00EA2A48" w:rsidRPr="00EA2A48" w:rsidRDefault="00EA2A48" w:rsidP="00EA2A48">
      <w:pPr>
        <w:rPr>
          <w:rFonts w:ascii="Candara" w:hAnsi="Candara"/>
        </w:rPr>
      </w:pPr>
      <w:r w:rsidRPr="00EA2A48">
        <w:rPr>
          <w:rFonts w:ascii="Candara" w:hAnsi="Candara"/>
        </w:rPr>
        <w:t xml:space="preserve">The </w:t>
      </w:r>
      <w:r w:rsidR="00240A8D">
        <w:rPr>
          <w:rFonts w:ascii="Candara" w:hAnsi="Candara"/>
        </w:rPr>
        <w:t>Department of Environment, Land, Water and Planning</w:t>
      </w:r>
      <w:r w:rsidRPr="00EA2A48">
        <w:rPr>
          <w:rFonts w:ascii="Candara" w:hAnsi="Candara"/>
        </w:rPr>
        <w:t xml:space="preserve"> </w:t>
      </w:r>
      <w:r w:rsidR="00343550">
        <w:rPr>
          <w:rFonts w:ascii="Candara" w:hAnsi="Candara"/>
        </w:rPr>
        <w:t>consulted</w:t>
      </w:r>
      <w:r w:rsidRPr="00EA2A48">
        <w:rPr>
          <w:rFonts w:ascii="Candara" w:hAnsi="Candara"/>
        </w:rPr>
        <w:t xml:space="preserve"> with the following organisations in the preparation of the methodology and design of the revised f-factor.</w:t>
      </w:r>
    </w:p>
    <w:p w14:paraId="7F65C7F2" w14:textId="77777777" w:rsidR="00EA2A48" w:rsidRPr="00EA2A48" w:rsidRDefault="00EA2A48" w:rsidP="00EA2A48">
      <w:pPr>
        <w:rPr>
          <w:rFonts w:ascii="Candara" w:hAnsi="Candara"/>
        </w:rPr>
      </w:pPr>
      <w:r w:rsidRPr="00EA2A48">
        <w:rPr>
          <w:rFonts w:ascii="Candara" w:hAnsi="Candara"/>
          <w:b/>
        </w:rPr>
        <w:t>Regulators</w:t>
      </w:r>
      <w:r w:rsidRPr="00EA2A48">
        <w:rPr>
          <w:rFonts w:ascii="Candara" w:hAnsi="Candara"/>
        </w:rPr>
        <w:t>:</w:t>
      </w:r>
    </w:p>
    <w:p w14:paraId="7EB48D9D" w14:textId="1DB6452D" w:rsidR="00EA2A48" w:rsidRPr="00EA2A48" w:rsidRDefault="00EA2A48" w:rsidP="00345278">
      <w:pPr>
        <w:numPr>
          <w:ilvl w:val="0"/>
          <w:numId w:val="20"/>
        </w:numPr>
        <w:spacing w:after="0"/>
        <w:ind w:left="714" w:hanging="357"/>
        <w:rPr>
          <w:rFonts w:ascii="Candara" w:hAnsi="Candara"/>
        </w:rPr>
      </w:pPr>
      <w:r w:rsidRPr="00EA2A48">
        <w:rPr>
          <w:rFonts w:ascii="Candara" w:hAnsi="Candara"/>
        </w:rPr>
        <w:t>Australian Energy Regulator</w:t>
      </w:r>
      <w:r w:rsidR="001C7484">
        <w:rPr>
          <w:rFonts w:ascii="Candara" w:hAnsi="Candara"/>
        </w:rPr>
        <w:t xml:space="preserve"> (AER)</w:t>
      </w:r>
    </w:p>
    <w:p w14:paraId="6FA9C63B" w14:textId="7488982D" w:rsidR="00EA2A48" w:rsidRDefault="00EA2A48" w:rsidP="00345278">
      <w:pPr>
        <w:numPr>
          <w:ilvl w:val="0"/>
          <w:numId w:val="20"/>
        </w:numPr>
        <w:spacing w:after="0"/>
        <w:ind w:left="714" w:hanging="357"/>
        <w:rPr>
          <w:rFonts w:ascii="Candara" w:hAnsi="Candara"/>
        </w:rPr>
      </w:pPr>
      <w:r w:rsidRPr="00EA2A48">
        <w:rPr>
          <w:rFonts w:ascii="Candara" w:hAnsi="Candara"/>
        </w:rPr>
        <w:t>Energy Safe Victoria</w:t>
      </w:r>
      <w:r w:rsidR="001C7484">
        <w:rPr>
          <w:rFonts w:ascii="Candara" w:hAnsi="Candara"/>
        </w:rPr>
        <w:t xml:space="preserve"> (ESV)</w:t>
      </w:r>
    </w:p>
    <w:p w14:paraId="5F26AB8F" w14:textId="77777777" w:rsidR="00EA2A48" w:rsidRDefault="00EA2A48" w:rsidP="001C7484">
      <w:pPr>
        <w:spacing w:after="0"/>
        <w:rPr>
          <w:rFonts w:ascii="Candara" w:hAnsi="Candara"/>
        </w:rPr>
      </w:pPr>
    </w:p>
    <w:p w14:paraId="4BAE6395" w14:textId="2E0B7814" w:rsidR="001C7484" w:rsidRDefault="001C7484" w:rsidP="001C7484">
      <w:pPr>
        <w:spacing w:after="0"/>
        <w:rPr>
          <w:rFonts w:ascii="Candara" w:hAnsi="Candara"/>
        </w:rPr>
      </w:pPr>
      <w:r>
        <w:rPr>
          <w:rFonts w:ascii="Candara" w:hAnsi="Candara"/>
        </w:rPr>
        <w:t>The Department has undertaken consultation with both the economic and safety regulators</w:t>
      </w:r>
      <w:r w:rsidR="002C6E28">
        <w:rPr>
          <w:rFonts w:ascii="Candara" w:hAnsi="Candara"/>
        </w:rPr>
        <w:t xml:space="preserve"> during 2015 and 2016</w:t>
      </w:r>
      <w:r>
        <w:rPr>
          <w:rFonts w:ascii="Candara" w:hAnsi="Candara"/>
        </w:rPr>
        <w:t>.</w:t>
      </w:r>
      <w:r w:rsidR="002C6E28">
        <w:rPr>
          <w:rFonts w:ascii="Candara" w:hAnsi="Candara"/>
        </w:rPr>
        <w:t xml:space="preserve"> These consultations have covered the structure of the proposed revisions to the f-factor and on the roles and responsibilities each regulator will have to administer the </w:t>
      </w:r>
      <w:r w:rsidR="007A2E1D">
        <w:rPr>
          <w:rFonts w:ascii="Candara" w:hAnsi="Candara"/>
        </w:rPr>
        <w:t xml:space="preserve">scheme, including the division of data collection and IRU calculation by ESV and the determination of revenue adjustment by the AER in line with the national regulatory framework and Victorian derogations. </w:t>
      </w:r>
      <w:r>
        <w:rPr>
          <w:rFonts w:ascii="Candara" w:hAnsi="Candara"/>
        </w:rPr>
        <w:t xml:space="preserve"> </w:t>
      </w:r>
    </w:p>
    <w:p w14:paraId="7C2F17C7" w14:textId="77777777" w:rsidR="001C7484" w:rsidRPr="00EA2A48" w:rsidRDefault="001C7484" w:rsidP="001C7484">
      <w:pPr>
        <w:spacing w:after="0"/>
        <w:rPr>
          <w:rFonts w:ascii="Candara" w:hAnsi="Candara"/>
        </w:rPr>
      </w:pPr>
    </w:p>
    <w:p w14:paraId="69907CF7" w14:textId="77777777" w:rsidR="00EA2A48" w:rsidRPr="00EA2A48" w:rsidRDefault="00EA2A48" w:rsidP="00EA2A48">
      <w:pPr>
        <w:rPr>
          <w:rFonts w:ascii="Candara" w:hAnsi="Candara"/>
        </w:rPr>
      </w:pPr>
      <w:r w:rsidRPr="00EA2A48">
        <w:rPr>
          <w:rFonts w:ascii="Candara" w:hAnsi="Candara"/>
          <w:b/>
        </w:rPr>
        <w:t>Distribution Network Service Providers</w:t>
      </w:r>
      <w:r w:rsidRPr="00EA2A48">
        <w:rPr>
          <w:rFonts w:ascii="Candara" w:hAnsi="Candara"/>
        </w:rPr>
        <w:t>:</w:t>
      </w:r>
    </w:p>
    <w:p w14:paraId="6716FEC6" w14:textId="77777777" w:rsidR="00EA2A48" w:rsidRPr="00EA2A48" w:rsidRDefault="00EA2A48" w:rsidP="00345278">
      <w:pPr>
        <w:numPr>
          <w:ilvl w:val="0"/>
          <w:numId w:val="20"/>
        </w:numPr>
        <w:spacing w:after="0"/>
        <w:ind w:left="714" w:hanging="357"/>
        <w:rPr>
          <w:rFonts w:ascii="Candara" w:hAnsi="Candara"/>
        </w:rPr>
      </w:pPr>
      <w:r w:rsidRPr="00EA2A48">
        <w:rPr>
          <w:rFonts w:ascii="Candara" w:hAnsi="Candara"/>
        </w:rPr>
        <w:t>AusNet Services Ltd</w:t>
      </w:r>
    </w:p>
    <w:p w14:paraId="7838D31C" w14:textId="77777777" w:rsidR="00EA2A48" w:rsidRPr="00EA2A48" w:rsidRDefault="00EA2A48" w:rsidP="00345278">
      <w:pPr>
        <w:numPr>
          <w:ilvl w:val="0"/>
          <w:numId w:val="20"/>
        </w:numPr>
        <w:spacing w:after="0"/>
        <w:ind w:left="714" w:hanging="357"/>
        <w:rPr>
          <w:rFonts w:ascii="Candara" w:hAnsi="Candara"/>
        </w:rPr>
      </w:pPr>
      <w:r w:rsidRPr="00EA2A48">
        <w:rPr>
          <w:rFonts w:ascii="Candara" w:hAnsi="Candara"/>
        </w:rPr>
        <w:t>CitiPower /  Powercor Australia Limited</w:t>
      </w:r>
    </w:p>
    <w:p w14:paraId="3707C991" w14:textId="77777777" w:rsidR="00EA2A48" w:rsidRPr="00EA2A48" w:rsidRDefault="00EA2A48" w:rsidP="00345278">
      <w:pPr>
        <w:numPr>
          <w:ilvl w:val="0"/>
          <w:numId w:val="20"/>
        </w:numPr>
        <w:spacing w:after="0"/>
        <w:ind w:left="714" w:hanging="357"/>
        <w:rPr>
          <w:rFonts w:ascii="Candara" w:hAnsi="Candara"/>
        </w:rPr>
      </w:pPr>
      <w:r w:rsidRPr="00EA2A48">
        <w:rPr>
          <w:rFonts w:ascii="Candara" w:hAnsi="Candara"/>
        </w:rPr>
        <w:t>Jemena</w:t>
      </w:r>
    </w:p>
    <w:p w14:paraId="40CC84D6" w14:textId="77777777" w:rsidR="00EA2A48" w:rsidRDefault="00EA2A48" w:rsidP="00345278">
      <w:pPr>
        <w:numPr>
          <w:ilvl w:val="0"/>
          <w:numId w:val="20"/>
        </w:numPr>
        <w:spacing w:after="0"/>
        <w:ind w:left="714" w:hanging="357"/>
        <w:rPr>
          <w:rFonts w:ascii="Candara" w:hAnsi="Candara"/>
        </w:rPr>
      </w:pPr>
      <w:r w:rsidRPr="00EA2A48">
        <w:rPr>
          <w:rFonts w:ascii="Candara" w:hAnsi="Candara"/>
        </w:rPr>
        <w:t>United Energy</w:t>
      </w:r>
    </w:p>
    <w:p w14:paraId="0110D253" w14:textId="77777777" w:rsidR="00EA2A48" w:rsidRPr="00EA2A48" w:rsidRDefault="00EA2A48" w:rsidP="00EA2A48">
      <w:pPr>
        <w:spacing w:after="0"/>
        <w:ind w:left="714"/>
        <w:rPr>
          <w:rFonts w:ascii="Candara" w:hAnsi="Candara"/>
        </w:rPr>
      </w:pPr>
    </w:p>
    <w:p w14:paraId="7A7B7DC1" w14:textId="6E944308" w:rsidR="00343550" w:rsidRDefault="006F717D">
      <w:pPr>
        <w:rPr>
          <w:rFonts w:ascii="Candara" w:hAnsi="Candara"/>
        </w:rPr>
      </w:pPr>
      <w:r>
        <w:rPr>
          <w:rFonts w:ascii="Candara" w:hAnsi="Candara"/>
        </w:rPr>
        <w:t xml:space="preserve">The distribution businesses were consulted in one meeting of the Powerline Bushfire Safety Program Distribution Business Working Group on 2 May 2016, in two dedicated f-factor workshops on 18 May and 2 June 2016. A separate meeting was held with AusNet Services on 30 May 2016 and another meeting with Powercor on 1 </w:t>
      </w:r>
      <w:r w:rsidR="00DA1B3D">
        <w:rPr>
          <w:rFonts w:ascii="Candara" w:hAnsi="Candara"/>
        </w:rPr>
        <w:t>June</w:t>
      </w:r>
      <w:r>
        <w:rPr>
          <w:rFonts w:ascii="Candara" w:hAnsi="Candara"/>
        </w:rPr>
        <w:t xml:space="preserve"> 2016. The businesses provided detailed feedback and updated ignitions data with great geolocation specificity. </w:t>
      </w:r>
    </w:p>
    <w:p w14:paraId="43F42D32" w14:textId="0FD1B0E2" w:rsidR="00343550" w:rsidRPr="00343550" w:rsidRDefault="00343550">
      <w:pPr>
        <w:rPr>
          <w:rFonts w:ascii="Candara" w:hAnsi="Candara"/>
          <w:b/>
        </w:rPr>
      </w:pPr>
      <w:r w:rsidRPr="00343550">
        <w:rPr>
          <w:rFonts w:ascii="Candara" w:hAnsi="Candara"/>
          <w:b/>
        </w:rPr>
        <w:t>Other consultation</w:t>
      </w:r>
      <w:r>
        <w:rPr>
          <w:rFonts w:ascii="Candara" w:hAnsi="Candara"/>
          <w:b/>
        </w:rPr>
        <w:t>:</w:t>
      </w:r>
    </w:p>
    <w:p w14:paraId="7D615FB0" w14:textId="6BEB90C1" w:rsidR="001C7484" w:rsidRDefault="00EA2A48">
      <w:pPr>
        <w:rPr>
          <w:rFonts w:ascii="Candara" w:hAnsi="Candara"/>
        </w:rPr>
      </w:pPr>
      <w:r w:rsidRPr="00EA2A48">
        <w:rPr>
          <w:rFonts w:ascii="Candara" w:hAnsi="Candara"/>
        </w:rPr>
        <w:t>The Department also undertook consultation with the Office for Better Practice Regulation (OCPR) in the preparation of the Regulatory Impact Statement for the amendments to the f-factor Order-In-Council.</w:t>
      </w:r>
    </w:p>
    <w:p w14:paraId="386F63AB" w14:textId="510DE926" w:rsidR="00B211D5" w:rsidRPr="0097234C" w:rsidRDefault="001C7484">
      <w:pPr>
        <w:rPr>
          <w:rFonts w:ascii="Candara" w:hAnsi="Candara"/>
        </w:rPr>
      </w:pPr>
      <w:r>
        <w:rPr>
          <w:rFonts w:ascii="Candara" w:hAnsi="Candara"/>
        </w:rPr>
        <w:br w:type="page"/>
      </w:r>
    </w:p>
    <w:p w14:paraId="2A92D4D2" w14:textId="239DAD5A" w:rsidR="00731CF2" w:rsidRPr="00731CF2" w:rsidRDefault="00A551D4" w:rsidP="00731CF2">
      <w:pPr>
        <w:pStyle w:val="Heading1"/>
        <w:rPr>
          <w:sz w:val="22"/>
          <w:szCs w:val="22"/>
        </w:rPr>
      </w:pPr>
      <w:bookmarkStart w:id="59" w:name="_Toc437269162"/>
      <w:bookmarkStart w:id="60" w:name="_Toc458675212"/>
      <w:r w:rsidRPr="00C629A3">
        <w:rPr>
          <w:sz w:val="22"/>
          <w:szCs w:val="22"/>
        </w:rPr>
        <w:lastRenderedPageBreak/>
        <w:t>Glossary</w:t>
      </w:r>
      <w:bookmarkEnd w:id="59"/>
      <w:bookmarkEnd w:id="60"/>
      <w:r w:rsidR="00731CF2">
        <w:rPr>
          <w:sz w:val="22"/>
          <w:szCs w:val="22"/>
        </w:rPr>
        <w:t xml:space="preserve"> </w:t>
      </w:r>
    </w:p>
    <w:tbl>
      <w:tblPr>
        <w:tblStyle w:val="TableGrid"/>
        <w:tblW w:w="0" w:type="auto"/>
        <w:tblLook w:val="04A0" w:firstRow="1" w:lastRow="0" w:firstColumn="1" w:lastColumn="0" w:noHBand="0" w:noVBand="1"/>
      </w:tblPr>
      <w:tblGrid>
        <w:gridCol w:w="1242"/>
        <w:gridCol w:w="8000"/>
      </w:tblGrid>
      <w:tr w:rsidR="00A551D4" w:rsidRPr="00C629A3" w14:paraId="5219CEAB" w14:textId="77777777" w:rsidTr="00EB50AA">
        <w:tc>
          <w:tcPr>
            <w:tcW w:w="1242" w:type="dxa"/>
          </w:tcPr>
          <w:p w14:paraId="0639992A" w14:textId="77777777" w:rsidR="00A551D4" w:rsidRPr="00C629A3" w:rsidRDefault="006271FF" w:rsidP="00EB50AA">
            <w:pPr>
              <w:rPr>
                <w:rFonts w:ascii="Candara" w:hAnsi="Candara"/>
              </w:rPr>
            </w:pPr>
            <w:r>
              <w:rPr>
                <w:rFonts w:ascii="Candara" w:hAnsi="Candara"/>
              </w:rPr>
              <w:t>ACCC</w:t>
            </w:r>
          </w:p>
        </w:tc>
        <w:tc>
          <w:tcPr>
            <w:tcW w:w="8000" w:type="dxa"/>
          </w:tcPr>
          <w:p w14:paraId="6AB58E1D" w14:textId="77777777" w:rsidR="00A551D4" w:rsidRPr="00C629A3" w:rsidRDefault="006271FF" w:rsidP="00EB50AA">
            <w:pPr>
              <w:rPr>
                <w:rFonts w:ascii="Candara" w:hAnsi="Candara"/>
              </w:rPr>
            </w:pPr>
            <w:r>
              <w:rPr>
                <w:rFonts w:ascii="Candara" w:hAnsi="Candara"/>
              </w:rPr>
              <w:t xml:space="preserve">Australian Competition and Consumer Commission. </w:t>
            </w:r>
          </w:p>
        </w:tc>
      </w:tr>
      <w:tr w:rsidR="006271FF" w:rsidRPr="00C629A3" w14:paraId="51637682" w14:textId="77777777" w:rsidTr="00EB50AA">
        <w:tc>
          <w:tcPr>
            <w:tcW w:w="1242" w:type="dxa"/>
          </w:tcPr>
          <w:p w14:paraId="431A51AF" w14:textId="77777777" w:rsidR="006271FF" w:rsidRPr="00C629A3" w:rsidRDefault="006271FF" w:rsidP="00EB50AA">
            <w:pPr>
              <w:rPr>
                <w:rFonts w:ascii="Candara" w:hAnsi="Candara"/>
              </w:rPr>
            </w:pPr>
            <w:r w:rsidRPr="00C629A3">
              <w:rPr>
                <w:rFonts w:ascii="Candara" w:hAnsi="Candara"/>
              </w:rPr>
              <w:t>ACR</w:t>
            </w:r>
          </w:p>
        </w:tc>
        <w:tc>
          <w:tcPr>
            <w:tcW w:w="8000" w:type="dxa"/>
          </w:tcPr>
          <w:p w14:paraId="63BC7F10" w14:textId="77777777" w:rsidR="006271FF" w:rsidRPr="00C629A3" w:rsidRDefault="006271FF" w:rsidP="00EB50AA">
            <w:pPr>
              <w:rPr>
                <w:rFonts w:ascii="Candara" w:hAnsi="Candara"/>
              </w:rPr>
            </w:pPr>
            <w:r w:rsidRPr="00C629A3">
              <w:rPr>
                <w:rFonts w:ascii="Candara" w:hAnsi="Candara"/>
              </w:rPr>
              <w:t>Automatic Circuit Recloser. A network safety device instrumental in reducing bushfire risk.</w:t>
            </w:r>
          </w:p>
        </w:tc>
      </w:tr>
      <w:tr w:rsidR="00A551D4" w:rsidRPr="00C629A3" w14:paraId="1FD4A6BF" w14:textId="77777777" w:rsidTr="00EB50AA">
        <w:tc>
          <w:tcPr>
            <w:tcW w:w="1242" w:type="dxa"/>
          </w:tcPr>
          <w:p w14:paraId="6FC63011" w14:textId="77777777" w:rsidR="00A551D4" w:rsidRPr="00C629A3" w:rsidRDefault="00A551D4" w:rsidP="00EB50AA">
            <w:pPr>
              <w:rPr>
                <w:rFonts w:ascii="Candara" w:hAnsi="Candara"/>
              </w:rPr>
            </w:pPr>
            <w:r w:rsidRPr="00C629A3">
              <w:rPr>
                <w:rFonts w:ascii="Candara" w:hAnsi="Candara"/>
              </w:rPr>
              <w:t>AER</w:t>
            </w:r>
          </w:p>
        </w:tc>
        <w:tc>
          <w:tcPr>
            <w:tcW w:w="8000" w:type="dxa"/>
          </w:tcPr>
          <w:p w14:paraId="212EEA06" w14:textId="77777777" w:rsidR="00A551D4" w:rsidRPr="00C629A3" w:rsidRDefault="00A551D4" w:rsidP="00EB50AA">
            <w:pPr>
              <w:rPr>
                <w:rFonts w:ascii="Candara" w:hAnsi="Candara"/>
              </w:rPr>
            </w:pPr>
            <w:r w:rsidRPr="00C629A3">
              <w:rPr>
                <w:rFonts w:ascii="Candara" w:hAnsi="Candara"/>
              </w:rPr>
              <w:t>Australian Energy Regulator. The national economic regulator for the energy sector.</w:t>
            </w:r>
          </w:p>
        </w:tc>
      </w:tr>
      <w:tr w:rsidR="00CA7833" w:rsidRPr="00C629A3" w14:paraId="2285E3E5" w14:textId="77777777" w:rsidTr="00EB50AA">
        <w:tc>
          <w:tcPr>
            <w:tcW w:w="1242" w:type="dxa"/>
          </w:tcPr>
          <w:p w14:paraId="3C0DBA90" w14:textId="77777777" w:rsidR="00CA7833" w:rsidRPr="00C629A3" w:rsidRDefault="00CA7833" w:rsidP="00EB50AA">
            <w:pPr>
              <w:rPr>
                <w:rFonts w:ascii="Candara" w:hAnsi="Candara"/>
              </w:rPr>
            </w:pPr>
            <w:r>
              <w:rPr>
                <w:rFonts w:ascii="Candara" w:hAnsi="Candara"/>
              </w:rPr>
              <w:t>BMP</w:t>
            </w:r>
          </w:p>
        </w:tc>
        <w:tc>
          <w:tcPr>
            <w:tcW w:w="8000" w:type="dxa"/>
          </w:tcPr>
          <w:p w14:paraId="75BB0398" w14:textId="77777777" w:rsidR="00CA7833" w:rsidRPr="00C629A3" w:rsidRDefault="00CA7833" w:rsidP="00EB50AA">
            <w:pPr>
              <w:rPr>
                <w:rFonts w:ascii="Candara" w:hAnsi="Candara"/>
              </w:rPr>
            </w:pPr>
            <w:r>
              <w:rPr>
                <w:rFonts w:ascii="Candara" w:hAnsi="Candara"/>
              </w:rPr>
              <w:t>Bushfire Mitigation Plan</w:t>
            </w:r>
          </w:p>
        </w:tc>
      </w:tr>
      <w:tr w:rsidR="00A551D4" w:rsidRPr="00C629A3" w14:paraId="6C55D282" w14:textId="77777777" w:rsidTr="00EB50AA">
        <w:tc>
          <w:tcPr>
            <w:tcW w:w="1242" w:type="dxa"/>
          </w:tcPr>
          <w:p w14:paraId="05847D78" w14:textId="44DF4557" w:rsidR="00A551D4" w:rsidRPr="00C629A3" w:rsidRDefault="00A551D4" w:rsidP="00E97F76">
            <w:pPr>
              <w:rPr>
                <w:rFonts w:ascii="Candara" w:hAnsi="Candara"/>
              </w:rPr>
            </w:pPr>
            <w:r w:rsidRPr="00C629A3">
              <w:rPr>
                <w:rFonts w:ascii="Candara" w:hAnsi="Candara"/>
              </w:rPr>
              <w:t>DE</w:t>
            </w:r>
            <w:r w:rsidR="00E97F76">
              <w:rPr>
                <w:rFonts w:ascii="Candara" w:hAnsi="Candara"/>
              </w:rPr>
              <w:t>LWP</w:t>
            </w:r>
          </w:p>
        </w:tc>
        <w:tc>
          <w:tcPr>
            <w:tcW w:w="8000" w:type="dxa"/>
          </w:tcPr>
          <w:p w14:paraId="46CE1DB0" w14:textId="2DA7245B" w:rsidR="00A551D4" w:rsidRPr="00C629A3" w:rsidRDefault="00A551D4" w:rsidP="00E97F76">
            <w:pPr>
              <w:rPr>
                <w:rFonts w:ascii="Candara" w:hAnsi="Candara"/>
              </w:rPr>
            </w:pPr>
            <w:r w:rsidRPr="00C629A3">
              <w:rPr>
                <w:rFonts w:ascii="Candara" w:hAnsi="Candara"/>
              </w:rPr>
              <w:t xml:space="preserve">Department of </w:t>
            </w:r>
            <w:r w:rsidR="00E97F76">
              <w:rPr>
                <w:rFonts w:ascii="Candara" w:hAnsi="Candara"/>
              </w:rPr>
              <w:t>Environment, Land, Water and Planning</w:t>
            </w:r>
          </w:p>
        </w:tc>
      </w:tr>
      <w:tr w:rsidR="00A551D4" w:rsidRPr="00C629A3" w14:paraId="06A44C12" w14:textId="77777777" w:rsidTr="00EB50AA">
        <w:tc>
          <w:tcPr>
            <w:tcW w:w="1242" w:type="dxa"/>
          </w:tcPr>
          <w:p w14:paraId="3379C2CF" w14:textId="77777777" w:rsidR="00A551D4" w:rsidRPr="00C629A3" w:rsidRDefault="00A551D4" w:rsidP="00EB50AA">
            <w:pPr>
              <w:rPr>
                <w:rFonts w:ascii="Candara" w:hAnsi="Candara"/>
              </w:rPr>
            </w:pPr>
            <w:r w:rsidRPr="00C629A3">
              <w:rPr>
                <w:rFonts w:ascii="Candara" w:hAnsi="Candara"/>
              </w:rPr>
              <w:t>EDPR</w:t>
            </w:r>
          </w:p>
        </w:tc>
        <w:tc>
          <w:tcPr>
            <w:tcW w:w="8000" w:type="dxa"/>
          </w:tcPr>
          <w:p w14:paraId="61334328" w14:textId="77777777" w:rsidR="00A551D4" w:rsidRPr="00C629A3" w:rsidRDefault="00A551D4" w:rsidP="00EB50AA">
            <w:pPr>
              <w:rPr>
                <w:rFonts w:ascii="Candara" w:hAnsi="Candara"/>
              </w:rPr>
            </w:pPr>
            <w:r w:rsidRPr="00C629A3">
              <w:rPr>
                <w:rFonts w:ascii="Candara" w:hAnsi="Candara"/>
              </w:rPr>
              <w:t>Electricity Distribution Price Review. The five-yearly process which determines costs which electricity distributors can recover from consumers.</w:t>
            </w:r>
          </w:p>
        </w:tc>
      </w:tr>
      <w:tr w:rsidR="00A551D4" w:rsidRPr="00C629A3" w14:paraId="2ADD5E1E" w14:textId="77777777" w:rsidTr="00EB50AA">
        <w:tc>
          <w:tcPr>
            <w:tcW w:w="1242" w:type="dxa"/>
          </w:tcPr>
          <w:p w14:paraId="68070FA6" w14:textId="77777777" w:rsidR="00A551D4" w:rsidRPr="00C629A3" w:rsidRDefault="00A551D4" w:rsidP="00EB50AA">
            <w:pPr>
              <w:rPr>
                <w:rFonts w:ascii="Candara" w:hAnsi="Candara"/>
              </w:rPr>
            </w:pPr>
            <w:r w:rsidRPr="00C629A3">
              <w:rPr>
                <w:rFonts w:ascii="Candara" w:hAnsi="Candara"/>
              </w:rPr>
              <w:t>ESC</w:t>
            </w:r>
          </w:p>
        </w:tc>
        <w:tc>
          <w:tcPr>
            <w:tcW w:w="8000" w:type="dxa"/>
          </w:tcPr>
          <w:p w14:paraId="71F04D96" w14:textId="77777777" w:rsidR="00A551D4" w:rsidRPr="00C629A3" w:rsidRDefault="00A551D4" w:rsidP="00EB50AA">
            <w:pPr>
              <w:rPr>
                <w:rFonts w:ascii="Candara" w:hAnsi="Candara"/>
              </w:rPr>
            </w:pPr>
            <w:r w:rsidRPr="00C629A3">
              <w:rPr>
                <w:rFonts w:ascii="Candara" w:hAnsi="Candara"/>
              </w:rPr>
              <w:t>Essential Services Commission</w:t>
            </w:r>
            <w:r w:rsidR="00B331FA">
              <w:rPr>
                <w:rFonts w:ascii="Candara" w:hAnsi="Candara"/>
              </w:rPr>
              <w:t xml:space="preserve">. </w:t>
            </w:r>
            <w:r w:rsidR="00B331FA" w:rsidRPr="00B331FA">
              <w:rPr>
                <w:rFonts w:ascii="Candara" w:hAnsi="Candara"/>
              </w:rPr>
              <w:t>Victoria’s independent economic regulator of prescribed essential utility services</w:t>
            </w:r>
            <w:r w:rsidR="00B331FA">
              <w:rPr>
                <w:rFonts w:ascii="Candara" w:hAnsi="Candara"/>
              </w:rPr>
              <w:t xml:space="preserve">. </w:t>
            </w:r>
          </w:p>
        </w:tc>
      </w:tr>
      <w:tr w:rsidR="00A551D4" w:rsidRPr="00C629A3" w14:paraId="1B05BD93" w14:textId="77777777" w:rsidTr="00EB50AA">
        <w:tc>
          <w:tcPr>
            <w:tcW w:w="1242" w:type="dxa"/>
          </w:tcPr>
          <w:p w14:paraId="09706AA9" w14:textId="77777777" w:rsidR="00A551D4" w:rsidRPr="00C629A3" w:rsidRDefault="00A551D4" w:rsidP="00EB50AA">
            <w:pPr>
              <w:rPr>
                <w:rFonts w:ascii="Candara" w:hAnsi="Candara"/>
              </w:rPr>
            </w:pPr>
            <w:r w:rsidRPr="00C629A3">
              <w:rPr>
                <w:rFonts w:ascii="Candara" w:hAnsi="Candara"/>
              </w:rPr>
              <w:t>ESV</w:t>
            </w:r>
          </w:p>
        </w:tc>
        <w:tc>
          <w:tcPr>
            <w:tcW w:w="8000" w:type="dxa"/>
          </w:tcPr>
          <w:p w14:paraId="38B88CFE" w14:textId="77777777" w:rsidR="00A551D4" w:rsidRPr="00C629A3" w:rsidRDefault="00A551D4" w:rsidP="00EB50AA">
            <w:pPr>
              <w:rPr>
                <w:rFonts w:ascii="Candara" w:hAnsi="Candara"/>
              </w:rPr>
            </w:pPr>
            <w:r w:rsidRPr="00C629A3">
              <w:rPr>
                <w:rFonts w:ascii="Candara" w:hAnsi="Candara"/>
              </w:rPr>
              <w:t>Energy Safe Victoria. The energy safety regulator.</w:t>
            </w:r>
          </w:p>
        </w:tc>
      </w:tr>
      <w:tr w:rsidR="00864FE0" w:rsidRPr="00C629A3" w14:paraId="0DFC0B0E" w14:textId="77777777" w:rsidTr="00EB50AA">
        <w:tc>
          <w:tcPr>
            <w:tcW w:w="1242" w:type="dxa"/>
          </w:tcPr>
          <w:p w14:paraId="464666F3" w14:textId="77777777" w:rsidR="00864FE0" w:rsidRPr="00C629A3" w:rsidRDefault="00864FE0" w:rsidP="00EB50AA">
            <w:pPr>
              <w:rPr>
                <w:rFonts w:ascii="Candara" w:hAnsi="Candara"/>
              </w:rPr>
            </w:pPr>
            <w:r>
              <w:rPr>
                <w:rFonts w:ascii="Candara" w:hAnsi="Candara"/>
              </w:rPr>
              <w:t>GSL</w:t>
            </w:r>
          </w:p>
        </w:tc>
        <w:tc>
          <w:tcPr>
            <w:tcW w:w="8000" w:type="dxa"/>
          </w:tcPr>
          <w:p w14:paraId="15E85B1C" w14:textId="77777777" w:rsidR="00864FE0" w:rsidRPr="00C629A3" w:rsidRDefault="00864FE0" w:rsidP="00EB50AA">
            <w:pPr>
              <w:rPr>
                <w:rFonts w:ascii="Candara" w:hAnsi="Candara"/>
              </w:rPr>
            </w:pPr>
            <w:r>
              <w:rPr>
                <w:rFonts w:ascii="Candara" w:hAnsi="Candara"/>
              </w:rPr>
              <w:t xml:space="preserve">Guaranteed Service Level </w:t>
            </w:r>
            <w:r w:rsidR="00B331FA">
              <w:rPr>
                <w:rFonts w:ascii="Candara" w:hAnsi="Candara"/>
              </w:rPr>
              <w:t>(Payment Scheme)</w:t>
            </w:r>
          </w:p>
        </w:tc>
      </w:tr>
      <w:tr w:rsidR="00883830" w:rsidRPr="00C629A3" w14:paraId="3A2E5F78" w14:textId="77777777" w:rsidTr="00EB50AA">
        <w:tc>
          <w:tcPr>
            <w:tcW w:w="1242" w:type="dxa"/>
          </w:tcPr>
          <w:p w14:paraId="1940CF50" w14:textId="77777777" w:rsidR="00883830" w:rsidRDefault="00883830" w:rsidP="00EB50AA">
            <w:pPr>
              <w:rPr>
                <w:rFonts w:ascii="Candara" w:hAnsi="Candara"/>
              </w:rPr>
            </w:pPr>
            <w:r>
              <w:rPr>
                <w:rFonts w:ascii="Candara" w:hAnsi="Candara"/>
              </w:rPr>
              <w:t>HBRA</w:t>
            </w:r>
          </w:p>
        </w:tc>
        <w:tc>
          <w:tcPr>
            <w:tcW w:w="8000" w:type="dxa"/>
          </w:tcPr>
          <w:p w14:paraId="665DDE84" w14:textId="77777777" w:rsidR="00883830" w:rsidRDefault="00883830" w:rsidP="00EB50AA">
            <w:pPr>
              <w:rPr>
                <w:rFonts w:ascii="Candara" w:hAnsi="Candara"/>
              </w:rPr>
            </w:pPr>
            <w:r>
              <w:rPr>
                <w:rFonts w:ascii="Candara" w:hAnsi="Candara"/>
              </w:rPr>
              <w:t>High Bushfire Risk Area.</w:t>
            </w:r>
          </w:p>
        </w:tc>
      </w:tr>
      <w:tr w:rsidR="00883830" w:rsidRPr="00C629A3" w14:paraId="63AF3AA3" w14:textId="77777777" w:rsidTr="00EB50AA">
        <w:tc>
          <w:tcPr>
            <w:tcW w:w="1242" w:type="dxa"/>
          </w:tcPr>
          <w:p w14:paraId="20115F8E" w14:textId="77777777" w:rsidR="00883830" w:rsidRDefault="00883830" w:rsidP="00EB50AA">
            <w:pPr>
              <w:rPr>
                <w:rFonts w:ascii="Candara" w:hAnsi="Candara"/>
              </w:rPr>
            </w:pPr>
            <w:r>
              <w:rPr>
                <w:rFonts w:ascii="Candara" w:hAnsi="Candara"/>
              </w:rPr>
              <w:t>IRU</w:t>
            </w:r>
          </w:p>
        </w:tc>
        <w:tc>
          <w:tcPr>
            <w:tcW w:w="8000" w:type="dxa"/>
          </w:tcPr>
          <w:p w14:paraId="558B7FB6" w14:textId="77777777" w:rsidR="00883830" w:rsidRDefault="00883830" w:rsidP="00EB50AA">
            <w:pPr>
              <w:rPr>
                <w:rFonts w:ascii="Candara" w:hAnsi="Candara"/>
              </w:rPr>
            </w:pPr>
            <w:r>
              <w:rPr>
                <w:rFonts w:ascii="Candara" w:hAnsi="Candara"/>
              </w:rPr>
              <w:t>Ignition Risk Unit.</w:t>
            </w:r>
          </w:p>
        </w:tc>
      </w:tr>
      <w:tr w:rsidR="00A551D4" w:rsidRPr="00C629A3" w14:paraId="72C12BE0" w14:textId="77777777" w:rsidTr="00EB50AA">
        <w:tc>
          <w:tcPr>
            <w:tcW w:w="1242" w:type="dxa"/>
          </w:tcPr>
          <w:p w14:paraId="54697108" w14:textId="77777777" w:rsidR="00A551D4" w:rsidRPr="00C629A3" w:rsidRDefault="00A551D4" w:rsidP="00EB50AA">
            <w:pPr>
              <w:rPr>
                <w:rFonts w:ascii="Candara" w:hAnsi="Candara"/>
              </w:rPr>
            </w:pPr>
            <w:r w:rsidRPr="00C629A3">
              <w:rPr>
                <w:rFonts w:ascii="Candara" w:hAnsi="Candara"/>
              </w:rPr>
              <w:t>kV</w:t>
            </w:r>
          </w:p>
        </w:tc>
        <w:tc>
          <w:tcPr>
            <w:tcW w:w="8000" w:type="dxa"/>
          </w:tcPr>
          <w:p w14:paraId="6C22165F" w14:textId="77777777" w:rsidR="00A551D4" w:rsidRPr="00C629A3" w:rsidRDefault="00A551D4" w:rsidP="00EB50AA">
            <w:pPr>
              <w:rPr>
                <w:rFonts w:ascii="Candara" w:hAnsi="Candara"/>
              </w:rPr>
            </w:pPr>
            <w:r w:rsidRPr="00C629A3">
              <w:rPr>
                <w:rFonts w:ascii="Candara" w:hAnsi="Candara"/>
              </w:rPr>
              <w:t>Kilovolt. A thousand volts. A measure of electrical potential difference.</w:t>
            </w:r>
          </w:p>
        </w:tc>
      </w:tr>
      <w:tr w:rsidR="00883830" w:rsidRPr="00C629A3" w14:paraId="63EA9ADC" w14:textId="77777777" w:rsidTr="00EB50AA">
        <w:tc>
          <w:tcPr>
            <w:tcW w:w="1242" w:type="dxa"/>
          </w:tcPr>
          <w:p w14:paraId="77BD29D5" w14:textId="77777777" w:rsidR="00883830" w:rsidRPr="00C629A3" w:rsidRDefault="00883830" w:rsidP="00EB50AA">
            <w:pPr>
              <w:rPr>
                <w:rFonts w:ascii="Candara" w:hAnsi="Candara"/>
              </w:rPr>
            </w:pPr>
            <w:r>
              <w:rPr>
                <w:rFonts w:ascii="Candara" w:hAnsi="Candara"/>
              </w:rPr>
              <w:t>LBRA</w:t>
            </w:r>
          </w:p>
        </w:tc>
        <w:tc>
          <w:tcPr>
            <w:tcW w:w="8000" w:type="dxa"/>
          </w:tcPr>
          <w:p w14:paraId="2EFABB27" w14:textId="77777777" w:rsidR="00883830" w:rsidRPr="00C629A3" w:rsidRDefault="00883830" w:rsidP="00EB50AA">
            <w:pPr>
              <w:rPr>
                <w:rFonts w:ascii="Candara" w:hAnsi="Candara"/>
              </w:rPr>
            </w:pPr>
            <w:r>
              <w:rPr>
                <w:rFonts w:ascii="Candara" w:hAnsi="Candara"/>
              </w:rPr>
              <w:t>Low Bushfire Risk Area.</w:t>
            </w:r>
          </w:p>
        </w:tc>
      </w:tr>
      <w:tr w:rsidR="004D479A" w:rsidRPr="00C629A3" w14:paraId="55C04003" w14:textId="77777777" w:rsidTr="00EB50AA">
        <w:tc>
          <w:tcPr>
            <w:tcW w:w="1242" w:type="dxa"/>
          </w:tcPr>
          <w:p w14:paraId="3A43E601" w14:textId="77777777" w:rsidR="004D479A" w:rsidRPr="00C629A3" w:rsidRDefault="004D479A" w:rsidP="00EB50AA">
            <w:pPr>
              <w:rPr>
                <w:rFonts w:ascii="Candara" w:hAnsi="Candara"/>
              </w:rPr>
            </w:pPr>
            <w:r w:rsidRPr="00C629A3">
              <w:rPr>
                <w:rFonts w:ascii="Candara" w:hAnsi="Candara"/>
              </w:rPr>
              <w:t>MAIFI</w:t>
            </w:r>
          </w:p>
        </w:tc>
        <w:tc>
          <w:tcPr>
            <w:tcW w:w="8000" w:type="dxa"/>
          </w:tcPr>
          <w:p w14:paraId="59DB8669" w14:textId="77777777" w:rsidR="004D479A" w:rsidRPr="00C629A3" w:rsidRDefault="004D479A" w:rsidP="00EB50AA">
            <w:pPr>
              <w:rPr>
                <w:rFonts w:ascii="Candara" w:hAnsi="Candara"/>
              </w:rPr>
            </w:pPr>
            <w:r w:rsidRPr="00C629A3">
              <w:rPr>
                <w:rFonts w:ascii="Candara" w:hAnsi="Candara"/>
              </w:rPr>
              <w:t>Momentary Average Interruption Frequency Index. A measure of electricity supply reliability concerned with the number of momentary (brief) interruptions an average customer would experience in a given period of time.</w:t>
            </w:r>
          </w:p>
        </w:tc>
      </w:tr>
      <w:tr w:rsidR="003B7BF5" w:rsidRPr="00C629A3" w14:paraId="61F2D4C6" w14:textId="77777777" w:rsidTr="00EB50AA">
        <w:tc>
          <w:tcPr>
            <w:tcW w:w="1242" w:type="dxa"/>
          </w:tcPr>
          <w:p w14:paraId="4B649313" w14:textId="77777777" w:rsidR="003B7BF5" w:rsidRPr="00C629A3" w:rsidRDefault="003B7BF5" w:rsidP="00EB50AA">
            <w:pPr>
              <w:rPr>
                <w:rFonts w:ascii="Candara" w:hAnsi="Candara"/>
              </w:rPr>
            </w:pPr>
            <w:r w:rsidRPr="00C629A3">
              <w:rPr>
                <w:rFonts w:ascii="Candara" w:hAnsi="Candara"/>
              </w:rPr>
              <w:t>NEVA</w:t>
            </w:r>
          </w:p>
        </w:tc>
        <w:tc>
          <w:tcPr>
            <w:tcW w:w="8000" w:type="dxa"/>
          </w:tcPr>
          <w:p w14:paraId="6C6B0D87" w14:textId="77777777" w:rsidR="003B7BF5" w:rsidRPr="00C629A3" w:rsidRDefault="003B7BF5" w:rsidP="00EB50AA">
            <w:pPr>
              <w:rPr>
                <w:rFonts w:ascii="Candara" w:hAnsi="Candara"/>
              </w:rPr>
            </w:pPr>
            <w:r w:rsidRPr="00C629A3">
              <w:rPr>
                <w:rFonts w:ascii="Candara" w:hAnsi="Candara"/>
              </w:rPr>
              <w:t>National Electricity (Victoria) Act 2005</w:t>
            </w:r>
          </w:p>
        </w:tc>
      </w:tr>
      <w:tr w:rsidR="00A551D4" w:rsidRPr="00C629A3" w14:paraId="57BD0D8F" w14:textId="77777777" w:rsidTr="00EB50AA">
        <w:tc>
          <w:tcPr>
            <w:tcW w:w="1242" w:type="dxa"/>
          </w:tcPr>
          <w:p w14:paraId="3BD99CF3" w14:textId="77777777" w:rsidR="00A551D4" w:rsidRPr="00C629A3" w:rsidRDefault="00A551D4" w:rsidP="00EB50AA">
            <w:pPr>
              <w:rPr>
                <w:rFonts w:ascii="Candara" w:hAnsi="Candara"/>
              </w:rPr>
            </w:pPr>
            <w:r w:rsidRPr="00C629A3">
              <w:rPr>
                <w:rFonts w:ascii="Candara" w:hAnsi="Candara"/>
              </w:rPr>
              <w:t>OCBR</w:t>
            </w:r>
          </w:p>
        </w:tc>
        <w:tc>
          <w:tcPr>
            <w:tcW w:w="8000" w:type="dxa"/>
          </w:tcPr>
          <w:p w14:paraId="2666FB22" w14:textId="77777777" w:rsidR="00A551D4" w:rsidRPr="00C629A3" w:rsidRDefault="00A551D4" w:rsidP="00EB50AA">
            <w:pPr>
              <w:rPr>
                <w:rFonts w:ascii="Candara" w:hAnsi="Candara"/>
              </w:rPr>
            </w:pPr>
            <w:r w:rsidRPr="00C629A3">
              <w:rPr>
                <w:rFonts w:ascii="Candara" w:hAnsi="Candara"/>
              </w:rPr>
              <w:t xml:space="preserve">Office of the Commissioner for Better Regulation. </w:t>
            </w:r>
          </w:p>
        </w:tc>
      </w:tr>
      <w:tr w:rsidR="00A551D4" w:rsidRPr="00C629A3" w14:paraId="1616146F" w14:textId="77777777" w:rsidTr="00EB50AA">
        <w:tc>
          <w:tcPr>
            <w:tcW w:w="1242" w:type="dxa"/>
          </w:tcPr>
          <w:p w14:paraId="0ABE085C" w14:textId="77777777" w:rsidR="00A551D4" w:rsidRPr="00C629A3" w:rsidRDefault="00A551D4" w:rsidP="00EB50AA">
            <w:pPr>
              <w:rPr>
                <w:rFonts w:ascii="Candara" w:hAnsi="Candara"/>
              </w:rPr>
            </w:pPr>
            <w:r w:rsidRPr="00C629A3">
              <w:rPr>
                <w:rFonts w:ascii="Candara" w:hAnsi="Candara"/>
              </w:rPr>
              <w:t>PBSP</w:t>
            </w:r>
          </w:p>
        </w:tc>
        <w:tc>
          <w:tcPr>
            <w:tcW w:w="8000" w:type="dxa"/>
          </w:tcPr>
          <w:p w14:paraId="375369FE" w14:textId="77777777" w:rsidR="00A551D4" w:rsidRPr="00C629A3" w:rsidRDefault="00A551D4" w:rsidP="00EB50AA">
            <w:pPr>
              <w:rPr>
                <w:rFonts w:ascii="Candara" w:hAnsi="Candara"/>
              </w:rPr>
            </w:pPr>
            <w:r w:rsidRPr="00C629A3">
              <w:rPr>
                <w:rFonts w:ascii="Candara" w:hAnsi="Candara"/>
              </w:rPr>
              <w:t>Powerline Bushfire Safety Program. The Government program tasked with delivery of VBRC recommendations 27 and 32.</w:t>
            </w:r>
          </w:p>
        </w:tc>
      </w:tr>
      <w:tr w:rsidR="00572E6C" w:rsidRPr="00C629A3" w14:paraId="3B7B6D90" w14:textId="77777777" w:rsidTr="00EB50AA">
        <w:tc>
          <w:tcPr>
            <w:tcW w:w="1242" w:type="dxa"/>
          </w:tcPr>
          <w:p w14:paraId="681AB406" w14:textId="77777777" w:rsidR="00572E6C" w:rsidRPr="00C629A3" w:rsidRDefault="00572E6C" w:rsidP="00EB50AA">
            <w:pPr>
              <w:rPr>
                <w:rFonts w:ascii="Candara" w:hAnsi="Candara"/>
              </w:rPr>
            </w:pPr>
            <w:r>
              <w:rPr>
                <w:rFonts w:ascii="Candara" w:hAnsi="Candara"/>
              </w:rPr>
              <w:t>PBST</w:t>
            </w:r>
          </w:p>
        </w:tc>
        <w:tc>
          <w:tcPr>
            <w:tcW w:w="8000" w:type="dxa"/>
          </w:tcPr>
          <w:p w14:paraId="637931E1" w14:textId="77777777" w:rsidR="00572E6C" w:rsidRPr="00C629A3" w:rsidRDefault="00572E6C" w:rsidP="00EB50AA">
            <w:pPr>
              <w:rPr>
                <w:rFonts w:ascii="Candara" w:hAnsi="Candara"/>
              </w:rPr>
            </w:pPr>
            <w:r>
              <w:rPr>
                <w:rFonts w:ascii="Candara" w:hAnsi="Candara"/>
              </w:rPr>
              <w:t>Powerline Bushfire Safety Taskforce.</w:t>
            </w:r>
          </w:p>
        </w:tc>
      </w:tr>
      <w:tr w:rsidR="00A551D4" w:rsidRPr="00C629A3" w14:paraId="59145D0B" w14:textId="77777777" w:rsidTr="00EB50AA">
        <w:tc>
          <w:tcPr>
            <w:tcW w:w="1242" w:type="dxa"/>
          </w:tcPr>
          <w:p w14:paraId="09270B93" w14:textId="77777777" w:rsidR="00A551D4" w:rsidRPr="00C629A3" w:rsidRDefault="00A551D4" w:rsidP="00EB50AA">
            <w:pPr>
              <w:rPr>
                <w:rFonts w:ascii="Candara" w:hAnsi="Candara"/>
              </w:rPr>
            </w:pPr>
            <w:r w:rsidRPr="00C629A3">
              <w:rPr>
                <w:rFonts w:ascii="Candara" w:hAnsi="Candara"/>
              </w:rPr>
              <w:t>PV</w:t>
            </w:r>
          </w:p>
        </w:tc>
        <w:tc>
          <w:tcPr>
            <w:tcW w:w="8000" w:type="dxa"/>
          </w:tcPr>
          <w:p w14:paraId="39F3CD36" w14:textId="77777777" w:rsidR="00A551D4" w:rsidRPr="00C629A3" w:rsidRDefault="00A551D4" w:rsidP="00EB50AA">
            <w:pPr>
              <w:rPr>
                <w:rFonts w:ascii="Candara" w:hAnsi="Candara"/>
              </w:rPr>
            </w:pPr>
            <w:r w:rsidRPr="00C629A3">
              <w:rPr>
                <w:rFonts w:ascii="Candara" w:hAnsi="Candara"/>
              </w:rPr>
              <w:t>Present Value. A means of expressing the value of future costs and benefits in today’s terms.</w:t>
            </w:r>
          </w:p>
        </w:tc>
      </w:tr>
      <w:tr w:rsidR="00A551D4" w:rsidRPr="00C629A3" w14:paraId="72D1A3BD" w14:textId="77777777" w:rsidTr="00EB50AA">
        <w:tc>
          <w:tcPr>
            <w:tcW w:w="1242" w:type="dxa"/>
          </w:tcPr>
          <w:p w14:paraId="7D425352" w14:textId="77777777" w:rsidR="00A551D4" w:rsidRPr="00C629A3" w:rsidRDefault="00A551D4" w:rsidP="00EB50AA">
            <w:pPr>
              <w:rPr>
                <w:rFonts w:ascii="Candara" w:hAnsi="Candara"/>
              </w:rPr>
            </w:pPr>
            <w:r w:rsidRPr="00C629A3">
              <w:rPr>
                <w:rFonts w:ascii="Candara" w:hAnsi="Candara"/>
              </w:rPr>
              <w:t>REFCL</w:t>
            </w:r>
          </w:p>
        </w:tc>
        <w:tc>
          <w:tcPr>
            <w:tcW w:w="8000" w:type="dxa"/>
          </w:tcPr>
          <w:p w14:paraId="7483794E" w14:textId="77777777" w:rsidR="00A551D4" w:rsidRPr="00C629A3" w:rsidRDefault="00A551D4" w:rsidP="00EB50AA">
            <w:pPr>
              <w:rPr>
                <w:rFonts w:ascii="Candara" w:hAnsi="Candara"/>
              </w:rPr>
            </w:pPr>
            <w:r w:rsidRPr="00C629A3">
              <w:rPr>
                <w:rFonts w:ascii="Candara" w:hAnsi="Candara"/>
              </w:rPr>
              <w:t>Rapid Earth Fault Current Limiter. A network safety device instrumental in reducing bushfire risk and improving reliability.</w:t>
            </w:r>
          </w:p>
        </w:tc>
      </w:tr>
      <w:tr w:rsidR="00A551D4" w:rsidRPr="00C629A3" w14:paraId="65790C43" w14:textId="77777777" w:rsidTr="00EB50AA">
        <w:tc>
          <w:tcPr>
            <w:tcW w:w="1242" w:type="dxa"/>
          </w:tcPr>
          <w:p w14:paraId="6F8373FB" w14:textId="77777777" w:rsidR="00A551D4" w:rsidRPr="00C629A3" w:rsidRDefault="00A551D4" w:rsidP="00EB50AA">
            <w:pPr>
              <w:rPr>
                <w:rFonts w:ascii="Candara" w:hAnsi="Candara"/>
              </w:rPr>
            </w:pPr>
            <w:r w:rsidRPr="00C629A3">
              <w:rPr>
                <w:rFonts w:ascii="Candara" w:hAnsi="Candara"/>
              </w:rPr>
              <w:t>RAB</w:t>
            </w:r>
          </w:p>
        </w:tc>
        <w:tc>
          <w:tcPr>
            <w:tcW w:w="8000" w:type="dxa"/>
          </w:tcPr>
          <w:p w14:paraId="21055ACC" w14:textId="77777777" w:rsidR="00A551D4" w:rsidRPr="00C629A3" w:rsidRDefault="00A551D4" w:rsidP="00EB50AA">
            <w:pPr>
              <w:rPr>
                <w:rFonts w:ascii="Candara" w:hAnsi="Candara"/>
              </w:rPr>
            </w:pPr>
            <w:r w:rsidRPr="00C629A3">
              <w:rPr>
                <w:rFonts w:ascii="Candara" w:hAnsi="Candara"/>
              </w:rPr>
              <w:t>Regulated Asset Base. The assets of electricity distribution businesses, which form the major feature in determining the revenue they are allowed to recover from customers.</w:t>
            </w:r>
          </w:p>
        </w:tc>
      </w:tr>
      <w:tr w:rsidR="00A551D4" w:rsidRPr="00C629A3" w14:paraId="79DFB991" w14:textId="77777777" w:rsidTr="00EB50AA">
        <w:tc>
          <w:tcPr>
            <w:tcW w:w="1242" w:type="dxa"/>
          </w:tcPr>
          <w:p w14:paraId="6FD86378" w14:textId="77777777" w:rsidR="00A551D4" w:rsidRPr="00C629A3" w:rsidRDefault="00A551D4" w:rsidP="00EB50AA">
            <w:pPr>
              <w:rPr>
                <w:rFonts w:ascii="Candara" w:hAnsi="Candara"/>
              </w:rPr>
            </w:pPr>
            <w:r w:rsidRPr="00C629A3">
              <w:rPr>
                <w:rFonts w:ascii="Candara" w:hAnsi="Candara"/>
              </w:rPr>
              <w:t>RIS</w:t>
            </w:r>
          </w:p>
        </w:tc>
        <w:tc>
          <w:tcPr>
            <w:tcW w:w="8000" w:type="dxa"/>
          </w:tcPr>
          <w:p w14:paraId="5B6CD978" w14:textId="77777777" w:rsidR="00A551D4" w:rsidRPr="00C629A3" w:rsidRDefault="00A551D4" w:rsidP="00EB50AA">
            <w:pPr>
              <w:rPr>
                <w:rFonts w:ascii="Candara" w:hAnsi="Candara"/>
              </w:rPr>
            </w:pPr>
            <w:r w:rsidRPr="00C629A3">
              <w:rPr>
                <w:rFonts w:ascii="Candara" w:hAnsi="Candara"/>
              </w:rPr>
              <w:t>Regulatory Impact Statement</w:t>
            </w:r>
          </w:p>
        </w:tc>
      </w:tr>
      <w:tr w:rsidR="004D479A" w:rsidRPr="00C629A3" w14:paraId="3C6690BA" w14:textId="77777777" w:rsidTr="00EB50AA">
        <w:tc>
          <w:tcPr>
            <w:tcW w:w="1242" w:type="dxa"/>
          </w:tcPr>
          <w:p w14:paraId="16DEDBE0" w14:textId="77777777" w:rsidR="004D479A" w:rsidRPr="00C629A3" w:rsidRDefault="004D479A" w:rsidP="00EB50AA">
            <w:pPr>
              <w:rPr>
                <w:rFonts w:ascii="Candara" w:hAnsi="Candara"/>
              </w:rPr>
            </w:pPr>
            <w:r w:rsidRPr="00C629A3">
              <w:rPr>
                <w:rFonts w:ascii="Candara" w:hAnsi="Candara"/>
              </w:rPr>
              <w:t>SAIDI</w:t>
            </w:r>
          </w:p>
        </w:tc>
        <w:tc>
          <w:tcPr>
            <w:tcW w:w="8000" w:type="dxa"/>
          </w:tcPr>
          <w:p w14:paraId="7EA5DEF0" w14:textId="77777777" w:rsidR="004D479A" w:rsidRPr="00C629A3" w:rsidRDefault="004D479A" w:rsidP="00EB50AA">
            <w:pPr>
              <w:rPr>
                <w:rFonts w:ascii="Candara" w:hAnsi="Candara"/>
              </w:rPr>
            </w:pPr>
            <w:r w:rsidRPr="00C629A3">
              <w:rPr>
                <w:rFonts w:ascii="Candara" w:hAnsi="Candara"/>
              </w:rPr>
              <w:t>System average interruption duration index. A measure of electricity supply reliability concerned with how long supply is interrupted.</w:t>
            </w:r>
          </w:p>
        </w:tc>
      </w:tr>
      <w:tr w:rsidR="004D479A" w:rsidRPr="00C629A3" w14:paraId="47BC5011" w14:textId="77777777" w:rsidTr="00EB50AA">
        <w:tc>
          <w:tcPr>
            <w:tcW w:w="1242" w:type="dxa"/>
          </w:tcPr>
          <w:p w14:paraId="45CB0D02" w14:textId="77777777" w:rsidR="004D479A" w:rsidRPr="00C629A3" w:rsidRDefault="004D479A" w:rsidP="00EB50AA">
            <w:pPr>
              <w:rPr>
                <w:rFonts w:ascii="Candara" w:hAnsi="Candara"/>
              </w:rPr>
            </w:pPr>
            <w:r w:rsidRPr="00C629A3">
              <w:rPr>
                <w:rFonts w:ascii="Candara" w:hAnsi="Candara"/>
              </w:rPr>
              <w:t>SAIFI</w:t>
            </w:r>
          </w:p>
        </w:tc>
        <w:tc>
          <w:tcPr>
            <w:tcW w:w="8000" w:type="dxa"/>
          </w:tcPr>
          <w:p w14:paraId="19BECC9D" w14:textId="77777777" w:rsidR="004D479A" w:rsidRPr="00C629A3" w:rsidRDefault="004D479A" w:rsidP="00EB50AA">
            <w:pPr>
              <w:rPr>
                <w:rFonts w:ascii="Candara" w:hAnsi="Candara"/>
              </w:rPr>
            </w:pPr>
            <w:r w:rsidRPr="00C629A3">
              <w:rPr>
                <w:rFonts w:ascii="Candara" w:hAnsi="Candara"/>
              </w:rPr>
              <w:t>System average interruption frequency index. A measure of electricity supply reliability concerned with how often supply is interrupted.</w:t>
            </w:r>
          </w:p>
        </w:tc>
      </w:tr>
      <w:tr w:rsidR="00883830" w:rsidRPr="00C629A3" w14:paraId="36C752B9" w14:textId="77777777" w:rsidTr="00EB50AA">
        <w:tc>
          <w:tcPr>
            <w:tcW w:w="1242" w:type="dxa"/>
          </w:tcPr>
          <w:p w14:paraId="1E587C63" w14:textId="77777777" w:rsidR="00883830" w:rsidRPr="00C629A3" w:rsidRDefault="00883830" w:rsidP="00EB50AA">
            <w:pPr>
              <w:rPr>
                <w:rFonts w:ascii="Candara" w:hAnsi="Candara"/>
              </w:rPr>
            </w:pPr>
            <w:r>
              <w:rPr>
                <w:rFonts w:ascii="Candara" w:hAnsi="Candara"/>
              </w:rPr>
              <w:t>SBRP</w:t>
            </w:r>
          </w:p>
        </w:tc>
        <w:tc>
          <w:tcPr>
            <w:tcW w:w="8000" w:type="dxa"/>
          </w:tcPr>
          <w:p w14:paraId="43A89E22" w14:textId="77777777" w:rsidR="00883830" w:rsidRPr="00C629A3" w:rsidRDefault="00883830" w:rsidP="00EB50AA">
            <w:pPr>
              <w:rPr>
                <w:rFonts w:ascii="Candara" w:hAnsi="Candara"/>
              </w:rPr>
            </w:pPr>
            <w:r>
              <w:rPr>
                <w:rFonts w:ascii="Candara" w:hAnsi="Candara"/>
              </w:rPr>
              <w:t>Specified Bushfire Risk Period.</w:t>
            </w:r>
          </w:p>
        </w:tc>
      </w:tr>
      <w:tr w:rsidR="003A3DF5" w:rsidRPr="00C629A3" w14:paraId="30985DC2" w14:textId="77777777" w:rsidTr="00EB50AA">
        <w:tc>
          <w:tcPr>
            <w:tcW w:w="1242" w:type="dxa"/>
          </w:tcPr>
          <w:p w14:paraId="17BD4AEB" w14:textId="77777777" w:rsidR="003A3DF5" w:rsidRPr="00C629A3" w:rsidRDefault="003A3DF5" w:rsidP="00EB50AA">
            <w:pPr>
              <w:rPr>
                <w:rFonts w:ascii="Candara" w:hAnsi="Candara"/>
              </w:rPr>
            </w:pPr>
            <w:r>
              <w:rPr>
                <w:rFonts w:ascii="Candara" w:hAnsi="Candara"/>
              </w:rPr>
              <w:t>SECV</w:t>
            </w:r>
          </w:p>
        </w:tc>
        <w:tc>
          <w:tcPr>
            <w:tcW w:w="8000" w:type="dxa"/>
          </w:tcPr>
          <w:p w14:paraId="53EFC654" w14:textId="77777777" w:rsidR="003A3DF5" w:rsidRPr="00C629A3" w:rsidRDefault="003A3DF5" w:rsidP="00EB50AA">
            <w:pPr>
              <w:rPr>
                <w:rFonts w:ascii="Candara" w:hAnsi="Candara"/>
              </w:rPr>
            </w:pPr>
            <w:r>
              <w:rPr>
                <w:rFonts w:ascii="Candara" w:hAnsi="Candara"/>
              </w:rPr>
              <w:t xml:space="preserve">State Electricity Commission of Victoria </w:t>
            </w:r>
          </w:p>
        </w:tc>
      </w:tr>
      <w:tr w:rsidR="00A551D4" w:rsidRPr="00C629A3" w14:paraId="417CA9C1" w14:textId="77777777" w:rsidTr="00EB50AA">
        <w:tc>
          <w:tcPr>
            <w:tcW w:w="1242" w:type="dxa"/>
          </w:tcPr>
          <w:p w14:paraId="60519BC3" w14:textId="77777777" w:rsidR="00A551D4" w:rsidRPr="00C629A3" w:rsidRDefault="00A551D4" w:rsidP="00EB50AA">
            <w:pPr>
              <w:rPr>
                <w:rFonts w:ascii="Candara" w:hAnsi="Candara"/>
              </w:rPr>
            </w:pPr>
            <w:r w:rsidRPr="00C629A3">
              <w:rPr>
                <w:rFonts w:ascii="Candara" w:hAnsi="Candara"/>
              </w:rPr>
              <w:t>STPIS</w:t>
            </w:r>
          </w:p>
        </w:tc>
        <w:tc>
          <w:tcPr>
            <w:tcW w:w="8000" w:type="dxa"/>
          </w:tcPr>
          <w:p w14:paraId="35D18233" w14:textId="77777777" w:rsidR="00A551D4" w:rsidRPr="00C629A3" w:rsidRDefault="00A551D4" w:rsidP="00EB50AA">
            <w:pPr>
              <w:rPr>
                <w:rFonts w:ascii="Candara" w:hAnsi="Candara"/>
              </w:rPr>
            </w:pPr>
            <w:r w:rsidRPr="00C629A3">
              <w:rPr>
                <w:rFonts w:ascii="Candara" w:hAnsi="Candara"/>
              </w:rPr>
              <w:t>Service Target Performance Incentive Scheme. An incentive scheme for businesses to maintain or improve customer reliability.</w:t>
            </w:r>
          </w:p>
        </w:tc>
      </w:tr>
      <w:tr w:rsidR="00A551D4" w:rsidRPr="00C629A3" w14:paraId="67FF2DE5" w14:textId="77777777" w:rsidTr="00EB50AA">
        <w:tc>
          <w:tcPr>
            <w:tcW w:w="1242" w:type="dxa"/>
          </w:tcPr>
          <w:p w14:paraId="66893909" w14:textId="77777777" w:rsidR="00A551D4" w:rsidRPr="00C629A3" w:rsidRDefault="00A551D4" w:rsidP="00EB50AA">
            <w:pPr>
              <w:rPr>
                <w:rFonts w:ascii="Candara" w:hAnsi="Candara"/>
              </w:rPr>
            </w:pPr>
            <w:r w:rsidRPr="00C629A3">
              <w:rPr>
                <w:rFonts w:ascii="Candara" w:hAnsi="Candara"/>
              </w:rPr>
              <w:t>SWER</w:t>
            </w:r>
          </w:p>
        </w:tc>
        <w:tc>
          <w:tcPr>
            <w:tcW w:w="8000" w:type="dxa"/>
          </w:tcPr>
          <w:p w14:paraId="395E0C00" w14:textId="77777777" w:rsidR="00A551D4" w:rsidRPr="00C629A3" w:rsidRDefault="00A551D4" w:rsidP="00EB50AA">
            <w:pPr>
              <w:rPr>
                <w:rFonts w:ascii="Candara" w:hAnsi="Candara"/>
              </w:rPr>
            </w:pPr>
            <w:r w:rsidRPr="00C629A3">
              <w:rPr>
                <w:rFonts w:ascii="Candara" w:hAnsi="Candara"/>
              </w:rPr>
              <w:t>Single wire earth return. A low-cost form of powerline construction which features a single phase at 12.7 kV, commonly used in rural areas.</w:t>
            </w:r>
          </w:p>
        </w:tc>
      </w:tr>
      <w:tr w:rsidR="00A551D4" w:rsidRPr="00C629A3" w14:paraId="56D50B4E" w14:textId="77777777" w:rsidTr="00EB50AA">
        <w:tc>
          <w:tcPr>
            <w:tcW w:w="1242" w:type="dxa"/>
          </w:tcPr>
          <w:p w14:paraId="4390987C" w14:textId="77777777" w:rsidR="00A551D4" w:rsidRPr="00C629A3" w:rsidRDefault="00A551D4" w:rsidP="00EB50AA">
            <w:pPr>
              <w:rPr>
                <w:rFonts w:ascii="Candara" w:hAnsi="Candara"/>
              </w:rPr>
            </w:pPr>
            <w:r w:rsidRPr="00C629A3">
              <w:rPr>
                <w:rFonts w:ascii="Candara" w:hAnsi="Candara"/>
              </w:rPr>
              <w:t>VBRC</w:t>
            </w:r>
          </w:p>
        </w:tc>
        <w:tc>
          <w:tcPr>
            <w:tcW w:w="8000" w:type="dxa"/>
          </w:tcPr>
          <w:p w14:paraId="1D36B546" w14:textId="77777777" w:rsidR="00A551D4" w:rsidRPr="00C629A3" w:rsidRDefault="00A551D4" w:rsidP="00EB50AA">
            <w:pPr>
              <w:rPr>
                <w:rFonts w:ascii="Candara" w:hAnsi="Candara"/>
              </w:rPr>
            </w:pPr>
            <w:r w:rsidRPr="00C629A3">
              <w:rPr>
                <w:rFonts w:ascii="Candara" w:hAnsi="Candara"/>
              </w:rPr>
              <w:t>Victorian Bushfires Royal Commission.</w:t>
            </w:r>
          </w:p>
        </w:tc>
      </w:tr>
      <w:tr w:rsidR="00FC34C0" w:rsidRPr="00C629A3" w14:paraId="059969E0" w14:textId="77777777" w:rsidTr="00EB50AA">
        <w:tc>
          <w:tcPr>
            <w:tcW w:w="1242" w:type="dxa"/>
          </w:tcPr>
          <w:p w14:paraId="461F971D" w14:textId="77777777" w:rsidR="00FC34C0" w:rsidRPr="00C629A3" w:rsidRDefault="00FC34C0" w:rsidP="00EB50AA">
            <w:pPr>
              <w:rPr>
                <w:rFonts w:ascii="Candara" w:hAnsi="Candara"/>
              </w:rPr>
            </w:pPr>
            <w:r w:rsidRPr="00C629A3">
              <w:rPr>
                <w:rFonts w:ascii="Candara" w:hAnsi="Candara"/>
              </w:rPr>
              <w:t>VCR</w:t>
            </w:r>
          </w:p>
        </w:tc>
        <w:tc>
          <w:tcPr>
            <w:tcW w:w="8000" w:type="dxa"/>
          </w:tcPr>
          <w:p w14:paraId="44F4FCF7" w14:textId="77777777" w:rsidR="00FC34C0" w:rsidRPr="00C629A3" w:rsidRDefault="00FC34C0" w:rsidP="00EB50AA">
            <w:pPr>
              <w:rPr>
                <w:rFonts w:ascii="Candara" w:hAnsi="Candara"/>
              </w:rPr>
            </w:pPr>
            <w:r w:rsidRPr="00C629A3">
              <w:rPr>
                <w:rFonts w:ascii="Candara" w:hAnsi="Candara"/>
              </w:rPr>
              <w:t>Value of customer reliability. An estimate of the value customers place on a megawatt hour (MWh) of electricity, for the purpose of informing reliability incentive targets.</w:t>
            </w:r>
          </w:p>
        </w:tc>
      </w:tr>
      <w:tr w:rsidR="00A551D4" w:rsidRPr="00C629A3" w14:paraId="352D9C44" w14:textId="77777777" w:rsidTr="00EB50AA">
        <w:tc>
          <w:tcPr>
            <w:tcW w:w="1242" w:type="dxa"/>
          </w:tcPr>
          <w:p w14:paraId="697F5731" w14:textId="77777777" w:rsidR="00A551D4" w:rsidRPr="00C629A3" w:rsidRDefault="00A551D4" w:rsidP="00EB50AA">
            <w:pPr>
              <w:rPr>
                <w:rFonts w:ascii="Candara" w:hAnsi="Candara"/>
              </w:rPr>
            </w:pPr>
            <w:r w:rsidRPr="00C629A3">
              <w:rPr>
                <w:rFonts w:ascii="Candara" w:hAnsi="Candara"/>
              </w:rPr>
              <w:t>ZSS</w:t>
            </w:r>
          </w:p>
        </w:tc>
        <w:tc>
          <w:tcPr>
            <w:tcW w:w="8000" w:type="dxa"/>
          </w:tcPr>
          <w:p w14:paraId="5540E211" w14:textId="77777777" w:rsidR="00A551D4" w:rsidRPr="00C629A3" w:rsidRDefault="00A551D4" w:rsidP="00EB50AA">
            <w:pPr>
              <w:rPr>
                <w:rFonts w:ascii="Candara" w:hAnsi="Candara"/>
              </w:rPr>
            </w:pPr>
            <w:r w:rsidRPr="00C629A3">
              <w:rPr>
                <w:rFonts w:ascii="Candara" w:hAnsi="Candara"/>
              </w:rPr>
              <w:t>Zone substation. A major point of voltage and current transformation on the electricity distribution network.</w:t>
            </w:r>
          </w:p>
        </w:tc>
      </w:tr>
    </w:tbl>
    <w:p w14:paraId="31D09A5F" w14:textId="77777777" w:rsidR="00A551D4" w:rsidRPr="00C629A3" w:rsidRDefault="00A551D4" w:rsidP="00A551D4">
      <w:pPr>
        <w:rPr>
          <w:rFonts w:ascii="Candara" w:hAnsi="Candara"/>
        </w:rPr>
      </w:pPr>
    </w:p>
    <w:p w14:paraId="2ABEF4CC" w14:textId="77777777" w:rsidR="00A551D4" w:rsidRPr="00C629A3" w:rsidRDefault="00205981" w:rsidP="009F5994">
      <w:pPr>
        <w:pStyle w:val="Heading1"/>
        <w:rPr>
          <w:sz w:val="22"/>
          <w:szCs w:val="22"/>
        </w:rPr>
      </w:pPr>
      <w:bookmarkStart w:id="61" w:name="_Toc437269163"/>
      <w:bookmarkStart w:id="62" w:name="_Toc458675213"/>
      <w:r>
        <w:rPr>
          <w:sz w:val="22"/>
          <w:szCs w:val="22"/>
        </w:rPr>
        <w:lastRenderedPageBreak/>
        <w:t>Document I</w:t>
      </w:r>
      <w:r w:rsidR="00A551D4" w:rsidRPr="00C629A3">
        <w:rPr>
          <w:sz w:val="22"/>
          <w:szCs w:val="22"/>
        </w:rPr>
        <w:t>nformation</w:t>
      </w:r>
      <w:bookmarkEnd w:id="61"/>
      <w:bookmarkEnd w:id="62"/>
    </w:p>
    <w:p w14:paraId="7AC1F81E" w14:textId="7DC69D77" w:rsidR="00A551D4" w:rsidRPr="00C629A3" w:rsidRDefault="00A551D4" w:rsidP="00A551D4">
      <w:pPr>
        <w:rPr>
          <w:rFonts w:ascii="Candara" w:hAnsi="Candara"/>
        </w:rPr>
      </w:pPr>
      <w:r w:rsidRPr="00C629A3">
        <w:rPr>
          <w:rFonts w:ascii="Candara" w:hAnsi="Candara"/>
        </w:rPr>
        <w:t xml:space="preserve">This </w:t>
      </w:r>
      <w:r w:rsidR="001D5C15">
        <w:rPr>
          <w:rFonts w:ascii="Candara" w:hAnsi="Candara"/>
        </w:rPr>
        <w:t>Regulatory Impact Statement</w:t>
      </w:r>
      <w:r w:rsidRPr="00C629A3">
        <w:rPr>
          <w:rFonts w:ascii="Candara" w:hAnsi="Candara"/>
        </w:rPr>
        <w:t xml:space="preserve"> was drafted by the Powerline Bushfire Safety Program, Energy Policy and Programs Branch, Department of</w:t>
      </w:r>
      <w:r w:rsidR="00E97F76">
        <w:rPr>
          <w:rFonts w:ascii="Candara" w:hAnsi="Candara"/>
        </w:rPr>
        <w:t xml:space="preserve"> Environment, Land, Water and Planning</w:t>
      </w:r>
      <w:r w:rsidRPr="00C629A3">
        <w:rPr>
          <w:rFonts w:ascii="Candara" w:hAnsi="Candara"/>
        </w:rPr>
        <w:t>.</w:t>
      </w:r>
    </w:p>
    <w:p w14:paraId="7E589812" w14:textId="77777777" w:rsidR="00A551D4" w:rsidRPr="00C629A3" w:rsidRDefault="00A551D4" w:rsidP="00A551D4">
      <w:pPr>
        <w:rPr>
          <w:rFonts w:ascii="Candara" w:hAnsi="Candara"/>
        </w:rPr>
      </w:pPr>
      <w:r w:rsidRPr="00C629A3">
        <w:rPr>
          <w:rFonts w:ascii="Candara" w:hAnsi="Candara"/>
        </w:rPr>
        <w:t xml:space="preserve">The document structure has been adopted consistent with the </w:t>
      </w:r>
      <w:r w:rsidRPr="00C629A3">
        <w:rPr>
          <w:rFonts w:ascii="Candara" w:hAnsi="Candara"/>
          <w:i/>
        </w:rPr>
        <w:t>Victorian Government Guide to Regulation</w:t>
      </w:r>
      <w:r w:rsidRPr="00C629A3">
        <w:rPr>
          <w:rFonts w:ascii="Candara" w:hAnsi="Candara"/>
        </w:rPr>
        <w:t>, July 2014.</w:t>
      </w:r>
    </w:p>
    <w:p w14:paraId="0E1C2589" w14:textId="244F5A69" w:rsidR="006F2777" w:rsidRPr="00C629A3" w:rsidRDefault="00A551D4" w:rsidP="00A551D4">
      <w:pPr>
        <w:rPr>
          <w:rFonts w:ascii="Candara" w:hAnsi="Candara"/>
        </w:rPr>
      </w:pPr>
      <w:r w:rsidRPr="00C629A3">
        <w:rPr>
          <w:rFonts w:ascii="Candara" w:hAnsi="Candara"/>
        </w:rPr>
        <w:t xml:space="preserve">Citations have been drafted consistent with the </w:t>
      </w:r>
      <w:r w:rsidRPr="00C629A3">
        <w:rPr>
          <w:rFonts w:ascii="Candara" w:hAnsi="Candara"/>
          <w:i/>
        </w:rPr>
        <w:t>Australian Guide to Legal Citation, Third Edition</w:t>
      </w:r>
      <w:r w:rsidRPr="00C629A3">
        <w:rPr>
          <w:rFonts w:ascii="Candara" w:hAnsi="Candara"/>
        </w:rPr>
        <w:t xml:space="preserve">. </w:t>
      </w:r>
    </w:p>
    <w:p w14:paraId="44090121" w14:textId="77777777" w:rsidR="00EE389F" w:rsidRDefault="00EE389F">
      <w:pPr>
        <w:rPr>
          <w:rFonts w:ascii="Candara" w:hAnsi="Candara"/>
        </w:rPr>
      </w:pPr>
      <w:r>
        <w:rPr>
          <w:rFonts w:ascii="Candara" w:hAnsi="Candara"/>
        </w:rPr>
        <w:br w:type="page"/>
      </w:r>
    </w:p>
    <w:p w14:paraId="62DC5279" w14:textId="7CC4A181" w:rsidR="000C66F7" w:rsidRPr="00E97CD4" w:rsidRDefault="00406DA5" w:rsidP="00731CF2">
      <w:pPr>
        <w:pStyle w:val="Heading1"/>
        <w:numPr>
          <w:ilvl w:val="0"/>
          <w:numId w:val="0"/>
        </w:numPr>
      </w:pPr>
      <w:bookmarkStart w:id="63" w:name="_Toc458675214"/>
      <w:r w:rsidRPr="00E97CD4">
        <w:lastRenderedPageBreak/>
        <w:t>Appendix 1</w:t>
      </w:r>
      <w:r w:rsidR="006671D2" w:rsidRPr="00E97CD4">
        <w:t xml:space="preserve"> – </w:t>
      </w:r>
      <w:r w:rsidRPr="00E97CD4">
        <w:t>Background</w:t>
      </w:r>
      <w:bookmarkEnd w:id="63"/>
    </w:p>
    <w:p w14:paraId="3954D60E" w14:textId="77777777" w:rsidR="00EE389F" w:rsidRPr="000C66F7" w:rsidRDefault="00EE389F" w:rsidP="000C66F7">
      <w:pPr>
        <w:pStyle w:val="BodyText"/>
        <w:rPr>
          <w:b/>
        </w:rPr>
      </w:pPr>
      <w:r w:rsidRPr="000C66F7">
        <w:rPr>
          <w:b/>
        </w:rPr>
        <w:t xml:space="preserve">Victorian Electricity Distribution Network </w:t>
      </w:r>
    </w:p>
    <w:p w14:paraId="06A4B8B9" w14:textId="77777777" w:rsidR="00EE389F" w:rsidRPr="00C629A3" w:rsidRDefault="00EE389F" w:rsidP="00EE389F">
      <w:pPr>
        <w:rPr>
          <w:rFonts w:ascii="Candara" w:hAnsi="Candara"/>
        </w:rPr>
      </w:pPr>
      <w:r w:rsidRPr="00C629A3">
        <w:rPr>
          <w:rFonts w:ascii="Candara" w:hAnsi="Candara"/>
        </w:rPr>
        <w:t>For most of the 20</w:t>
      </w:r>
      <w:r w:rsidRPr="00C629A3">
        <w:rPr>
          <w:rFonts w:ascii="Candara" w:hAnsi="Candara"/>
          <w:vertAlign w:val="superscript"/>
        </w:rPr>
        <w:t>th</w:t>
      </w:r>
      <w:r w:rsidRPr="00C629A3">
        <w:rPr>
          <w:rFonts w:ascii="Candara" w:hAnsi="Candara"/>
        </w:rPr>
        <w:t xml:space="preserve"> Century Victoria’s electricity supply was a State-owned, vertically-integrated monopoly run by the State Electricity Commission</w:t>
      </w:r>
      <w:r>
        <w:rPr>
          <w:rFonts w:ascii="Candara" w:hAnsi="Candara"/>
        </w:rPr>
        <w:t xml:space="preserve"> of Victoria </w:t>
      </w:r>
      <w:r w:rsidRPr="00C629A3">
        <w:rPr>
          <w:rFonts w:ascii="Candara" w:hAnsi="Candara"/>
        </w:rPr>
        <w:t xml:space="preserve"> (SEC</w:t>
      </w:r>
      <w:r>
        <w:rPr>
          <w:rFonts w:ascii="Candara" w:hAnsi="Candara"/>
        </w:rPr>
        <w:t>V</w:t>
      </w:r>
      <w:r w:rsidRPr="00C629A3">
        <w:rPr>
          <w:rFonts w:ascii="Candara" w:hAnsi="Candara"/>
        </w:rPr>
        <w:t>). In the 1990s the State Government divested itself of these assets. Thereafter electricity supply was to comprise four separate industries:</w:t>
      </w:r>
    </w:p>
    <w:p w14:paraId="784F3851" w14:textId="77777777" w:rsidR="00EE389F" w:rsidRPr="00C629A3" w:rsidRDefault="00EE389F" w:rsidP="00EE389F">
      <w:pPr>
        <w:rPr>
          <w:rFonts w:ascii="Candara" w:hAnsi="Candara"/>
        </w:rPr>
      </w:pPr>
      <w:r w:rsidRPr="00891608">
        <w:rPr>
          <w:rFonts w:ascii="Candara" w:hAnsi="Candara"/>
          <w:b/>
        </w:rPr>
        <w:t xml:space="preserve">Generation </w:t>
      </w:r>
      <w:r w:rsidRPr="00C629A3">
        <w:rPr>
          <w:rFonts w:ascii="Candara" w:hAnsi="Candara"/>
        </w:rPr>
        <w:t xml:space="preserve">refers to power plants which generate electricity either through combustion of fossil fuels (coal, gas); or the use of renewable resources (wind, hydro, solar). </w:t>
      </w:r>
    </w:p>
    <w:p w14:paraId="12307497" w14:textId="77777777" w:rsidR="00EE389F" w:rsidRPr="00C629A3" w:rsidRDefault="00EE389F" w:rsidP="00EE389F">
      <w:pPr>
        <w:rPr>
          <w:rFonts w:ascii="Candara" w:hAnsi="Candara"/>
        </w:rPr>
      </w:pPr>
      <w:r w:rsidRPr="00891608">
        <w:rPr>
          <w:rFonts w:ascii="Candara" w:hAnsi="Candara"/>
          <w:b/>
        </w:rPr>
        <w:t xml:space="preserve">Transmission </w:t>
      </w:r>
      <w:r w:rsidRPr="00C629A3">
        <w:rPr>
          <w:rFonts w:ascii="Candara" w:hAnsi="Candara"/>
        </w:rPr>
        <w:t xml:space="preserve">refers to the movement of this power on large powerlines across the state, at very high voltages (500, 330 or 220 kilovolts). It is taken to a limited number of network locations (terminal stations), for conversion to lower voltages. </w:t>
      </w:r>
    </w:p>
    <w:p w14:paraId="67F56D64" w14:textId="77777777" w:rsidR="00EE389F" w:rsidRPr="00C629A3" w:rsidRDefault="00EE389F" w:rsidP="00EE389F">
      <w:pPr>
        <w:rPr>
          <w:rFonts w:ascii="Candara" w:hAnsi="Candara"/>
        </w:rPr>
      </w:pPr>
      <w:r w:rsidRPr="00891608">
        <w:rPr>
          <w:rFonts w:ascii="Candara" w:hAnsi="Candara"/>
          <w:b/>
        </w:rPr>
        <w:t>Distribution</w:t>
      </w:r>
      <w:r w:rsidRPr="00C629A3">
        <w:rPr>
          <w:rFonts w:ascii="Candara" w:hAnsi="Candara"/>
        </w:rPr>
        <w:t xml:space="preserve"> refers to that portion of the supply network stemming from terminal stations and ending with individual customers. At a terminal station sub-transmissio</w:t>
      </w:r>
      <w:r>
        <w:rPr>
          <w:rFonts w:ascii="Candara" w:hAnsi="Candara"/>
        </w:rPr>
        <w:t xml:space="preserve">n voltage (66kV) is taken to a </w:t>
      </w:r>
      <w:r w:rsidRPr="00C629A3">
        <w:rPr>
          <w:rFonts w:ascii="Candara" w:hAnsi="Candara"/>
        </w:rPr>
        <w:t xml:space="preserve">number of network locations (‘zone substations’) to be converted to a lower voltage (22kV), and distributed on individual </w:t>
      </w:r>
      <w:r w:rsidRPr="00C629A3">
        <w:rPr>
          <w:rFonts w:ascii="Candara" w:hAnsi="Candara"/>
          <w:i/>
        </w:rPr>
        <w:t>feeders</w:t>
      </w:r>
      <w:r w:rsidRPr="00C629A3">
        <w:rPr>
          <w:rFonts w:ascii="Candara" w:hAnsi="Candara"/>
        </w:rPr>
        <w:t>. Feeders then radiate outward, with further transformation to low voltage to service individual customers</w:t>
      </w:r>
      <w:r w:rsidRPr="00C629A3">
        <w:rPr>
          <w:rStyle w:val="FootnoteReference"/>
          <w:rFonts w:ascii="Candara" w:hAnsi="Candara"/>
        </w:rPr>
        <w:footnoteReference w:id="33"/>
      </w:r>
      <w:r w:rsidRPr="00C629A3">
        <w:rPr>
          <w:rFonts w:ascii="Candara" w:hAnsi="Candara"/>
        </w:rPr>
        <w:t>.</w:t>
      </w:r>
    </w:p>
    <w:p w14:paraId="3BA96493" w14:textId="77777777" w:rsidR="00EE389F" w:rsidRPr="00C629A3" w:rsidRDefault="00EE389F" w:rsidP="00EE389F">
      <w:pPr>
        <w:rPr>
          <w:rFonts w:ascii="Candara" w:hAnsi="Candara"/>
        </w:rPr>
      </w:pPr>
      <w:r w:rsidRPr="00C629A3">
        <w:rPr>
          <w:rFonts w:ascii="Candara" w:hAnsi="Candara"/>
        </w:rPr>
        <w:t xml:space="preserve">The </w:t>
      </w:r>
      <w:r w:rsidRPr="00891608">
        <w:rPr>
          <w:rFonts w:ascii="Candara" w:hAnsi="Candara"/>
          <w:b/>
        </w:rPr>
        <w:t xml:space="preserve">retailer’s </w:t>
      </w:r>
      <w:r w:rsidRPr="00C629A3">
        <w:rPr>
          <w:rFonts w:ascii="Candara" w:hAnsi="Candara"/>
        </w:rPr>
        <w:t>responsibility is to maintain the billing interface between the industry and individual customers.</w:t>
      </w:r>
    </w:p>
    <w:p w14:paraId="6C843FA7" w14:textId="77777777" w:rsidR="000C66F7" w:rsidRPr="00EA2A48" w:rsidRDefault="00EE389F" w:rsidP="00EA2A48">
      <w:pPr>
        <w:rPr>
          <w:rFonts w:ascii="Candara" w:hAnsi="Candara"/>
        </w:rPr>
      </w:pPr>
      <w:r w:rsidRPr="00C629A3">
        <w:rPr>
          <w:rFonts w:ascii="Candara" w:hAnsi="Candara"/>
        </w:rPr>
        <w:t>This document concerns itself purel</w:t>
      </w:r>
      <w:bookmarkStart w:id="64" w:name="_Ref436657570"/>
      <w:bookmarkStart w:id="65" w:name="_Toc437269130"/>
      <w:r w:rsidR="00EA2A48">
        <w:rPr>
          <w:rFonts w:ascii="Candara" w:hAnsi="Candara"/>
        </w:rPr>
        <w:t>y with the distribution sector.</w:t>
      </w:r>
    </w:p>
    <w:p w14:paraId="288AEB39" w14:textId="77777777" w:rsidR="00EE389F" w:rsidRPr="000C66F7" w:rsidRDefault="00EE389F" w:rsidP="000C66F7">
      <w:pPr>
        <w:pStyle w:val="BodyText"/>
        <w:rPr>
          <w:b/>
        </w:rPr>
      </w:pPr>
      <w:r w:rsidRPr="000C66F7">
        <w:rPr>
          <w:b/>
        </w:rPr>
        <w:t>Extent of Distribution Assets</w:t>
      </w:r>
      <w:bookmarkEnd w:id="64"/>
      <w:bookmarkEnd w:id="65"/>
    </w:p>
    <w:p w14:paraId="746E9F6E" w14:textId="77777777" w:rsidR="00EE389F" w:rsidRDefault="00EE389F" w:rsidP="00EE389F">
      <w:pPr>
        <w:rPr>
          <w:rFonts w:ascii="Candara" w:hAnsi="Candara"/>
        </w:rPr>
      </w:pPr>
      <w:r w:rsidRPr="00C629A3">
        <w:rPr>
          <w:rFonts w:ascii="Candara" w:hAnsi="Candara"/>
        </w:rPr>
        <w:t>The distribution sector is comprised of powerlines delivering electricity at voltages of 66 kilovolts (kV) or less. A total of five business operate distribution infrastructure within Victoria as shown below:</w:t>
      </w:r>
    </w:p>
    <w:p w14:paraId="7310238B" w14:textId="08DF79D2" w:rsidR="00731CF2" w:rsidRPr="00731CF2" w:rsidRDefault="00731CF2" w:rsidP="00731CF2">
      <w:pPr>
        <w:autoSpaceDE w:val="0"/>
        <w:autoSpaceDN w:val="0"/>
        <w:adjustRightInd w:val="0"/>
        <w:spacing w:before="120" w:after="80"/>
        <w:rPr>
          <w:rFonts w:ascii="Candara" w:hAnsi="Candara" w:cs="Calibri"/>
          <w:sz w:val="21"/>
          <w:szCs w:val="21"/>
        </w:rPr>
      </w:pPr>
      <w:r>
        <w:rPr>
          <w:rStyle w:val="Heading6Char"/>
        </w:rPr>
        <w:t>Figure A</w:t>
      </w:r>
      <w:r w:rsidR="006F0521">
        <w:rPr>
          <w:rStyle w:val="Heading6Char"/>
        </w:rPr>
        <w:t>1</w:t>
      </w:r>
      <w:r>
        <w:rPr>
          <w:rStyle w:val="Heading6Char"/>
        </w:rPr>
        <w:t>.1: Evaluation Activities, Measures and Timings</w:t>
      </w:r>
      <w:r w:rsidR="0078642A">
        <w:rPr>
          <w:rStyle w:val="FootnoteReference"/>
          <w:rFonts w:asciiTheme="majorHAnsi" w:eastAsiaTheme="majorEastAsia" w:hAnsiTheme="majorHAnsi" w:cstheme="majorBidi"/>
          <w:i/>
          <w:iCs/>
          <w:color w:val="243F60" w:themeColor="accent1" w:themeShade="7F"/>
        </w:rPr>
        <w:footnoteReference w:id="34"/>
      </w:r>
    </w:p>
    <w:tbl>
      <w:tblPr>
        <w:tblStyle w:val="TableGrid"/>
        <w:tblW w:w="0" w:type="auto"/>
        <w:tblInd w:w="2815" w:type="dxa"/>
        <w:tblLook w:val="04A0" w:firstRow="1" w:lastRow="0" w:firstColumn="1" w:lastColumn="0" w:noHBand="0" w:noVBand="1"/>
      </w:tblPr>
      <w:tblGrid>
        <w:gridCol w:w="2185"/>
        <w:gridCol w:w="1341"/>
      </w:tblGrid>
      <w:tr w:rsidR="00EE389F" w:rsidRPr="00C629A3" w14:paraId="2BD16B9A" w14:textId="77777777" w:rsidTr="00F42A64">
        <w:trPr>
          <w:cantSplit/>
          <w:trHeight w:val="301"/>
        </w:trPr>
        <w:tc>
          <w:tcPr>
            <w:tcW w:w="2185" w:type="dxa"/>
            <w:shd w:val="clear" w:color="auto" w:fill="365F91" w:themeFill="accent1" w:themeFillShade="BF"/>
          </w:tcPr>
          <w:p w14:paraId="52E721DE" w14:textId="77777777" w:rsidR="00EE389F" w:rsidRPr="00F42A64" w:rsidRDefault="00EE389F" w:rsidP="00AC41C2">
            <w:pPr>
              <w:keepNext/>
              <w:keepLines/>
              <w:rPr>
                <w:rFonts w:ascii="Candara" w:hAnsi="Candara"/>
                <w:b/>
                <w:color w:val="F2F2F2" w:themeColor="background1" w:themeShade="F2"/>
              </w:rPr>
            </w:pPr>
            <w:r w:rsidRPr="00F42A64">
              <w:rPr>
                <w:rFonts w:ascii="Candara" w:hAnsi="Candara"/>
                <w:b/>
                <w:color w:val="F2F2F2" w:themeColor="background1" w:themeShade="F2"/>
              </w:rPr>
              <w:t>Company</w:t>
            </w:r>
          </w:p>
        </w:tc>
        <w:tc>
          <w:tcPr>
            <w:tcW w:w="1341" w:type="dxa"/>
            <w:shd w:val="clear" w:color="auto" w:fill="365F91" w:themeFill="accent1" w:themeFillShade="BF"/>
          </w:tcPr>
          <w:p w14:paraId="080B1280" w14:textId="77777777" w:rsidR="00EE389F" w:rsidRPr="00F42A64" w:rsidRDefault="00EE389F" w:rsidP="00AC41C2">
            <w:pPr>
              <w:keepNext/>
              <w:keepLines/>
              <w:rPr>
                <w:rFonts w:ascii="Candara" w:hAnsi="Candara"/>
                <w:b/>
                <w:color w:val="F2F2F2" w:themeColor="background1" w:themeShade="F2"/>
              </w:rPr>
            </w:pPr>
            <w:r w:rsidRPr="00F42A64">
              <w:rPr>
                <w:rFonts w:ascii="Candara" w:hAnsi="Candara"/>
                <w:b/>
                <w:color w:val="F2F2F2" w:themeColor="background1" w:themeShade="F2"/>
              </w:rPr>
              <w:t>Circuit km</w:t>
            </w:r>
          </w:p>
        </w:tc>
      </w:tr>
      <w:tr w:rsidR="00EE389F" w:rsidRPr="00C629A3" w14:paraId="74301677" w14:textId="77777777" w:rsidTr="00F42A64">
        <w:trPr>
          <w:cantSplit/>
          <w:trHeight w:val="318"/>
        </w:trPr>
        <w:tc>
          <w:tcPr>
            <w:tcW w:w="2185" w:type="dxa"/>
          </w:tcPr>
          <w:p w14:paraId="1C19C824" w14:textId="77777777" w:rsidR="00EE389F" w:rsidRPr="00891608" w:rsidRDefault="00EE389F" w:rsidP="00AC41C2">
            <w:pPr>
              <w:keepNext/>
              <w:keepLines/>
              <w:rPr>
                <w:rFonts w:ascii="Candara" w:hAnsi="Candara"/>
              </w:rPr>
            </w:pPr>
            <w:r w:rsidRPr="00891608">
              <w:rPr>
                <w:rFonts w:ascii="Candara" w:hAnsi="Candara"/>
              </w:rPr>
              <w:t>AusNet</w:t>
            </w:r>
          </w:p>
        </w:tc>
        <w:tc>
          <w:tcPr>
            <w:tcW w:w="1341" w:type="dxa"/>
          </w:tcPr>
          <w:p w14:paraId="241FD4B6" w14:textId="77777777" w:rsidR="00EE389F" w:rsidRPr="00C629A3" w:rsidRDefault="00EE389F" w:rsidP="00AC41C2">
            <w:pPr>
              <w:keepNext/>
              <w:keepLines/>
              <w:rPr>
                <w:rFonts w:ascii="Candara" w:hAnsi="Candara"/>
              </w:rPr>
            </w:pPr>
            <w:r w:rsidRPr="00C629A3">
              <w:rPr>
                <w:rFonts w:ascii="Candara" w:hAnsi="Candara"/>
              </w:rPr>
              <w:t>43,822</w:t>
            </w:r>
          </w:p>
        </w:tc>
      </w:tr>
      <w:tr w:rsidR="00EE389F" w:rsidRPr="00C629A3" w14:paraId="0481B2B5" w14:textId="77777777" w:rsidTr="00F42A64">
        <w:trPr>
          <w:cantSplit/>
          <w:trHeight w:val="301"/>
        </w:trPr>
        <w:tc>
          <w:tcPr>
            <w:tcW w:w="2185" w:type="dxa"/>
          </w:tcPr>
          <w:p w14:paraId="73DAD6F4" w14:textId="77777777" w:rsidR="00EE389F" w:rsidRPr="00891608" w:rsidRDefault="00EE389F" w:rsidP="00AC41C2">
            <w:pPr>
              <w:keepNext/>
              <w:keepLines/>
              <w:rPr>
                <w:rFonts w:ascii="Candara" w:hAnsi="Candara"/>
              </w:rPr>
            </w:pPr>
            <w:r w:rsidRPr="00891608">
              <w:rPr>
                <w:rFonts w:ascii="Candara" w:hAnsi="Candara"/>
              </w:rPr>
              <w:t>Citipower</w:t>
            </w:r>
          </w:p>
        </w:tc>
        <w:tc>
          <w:tcPr>
            <w:tcW w:w="1341" w:type="dxa"/>
          </w:tcPr>
          <w:p w14:paraId="2D753512" w14:textId="77777777" w:rsidR="00EE389F" w:rsidRPr="00C629A3" w:rsidRDefault="00EE389F" w:rsidP="00AC41C2">
            <w:pPr>
              <w:keepNext/>
              <w:keepLines/>
              <w:rPr>
                <w:rFonts w:ascii="Candara" w:hAnsi="Candara"/>
              </w:rPr>
            </w:pPr>
            <w:r w:rsidRPr="00C629A3">
              <w:rPr>
                <w:rFonts w:ascii="Candara" w:hAnsi="Candara"/>
              </w:rPr>
              <w:t>4,318</w:t>
            </w:r>
          </w:p>
        </w:tc>
      </w:tr>
      <w:tr w:rsidR="00EE389F" w:rsidRPr="00C629A3" w14:paraId="11FD7E63" w14:textId="77777777" w:rsidTr="00F42A64">
        <w:trPr>
          <w:cantSplit/>
          <w:trHeight w:val="318"/>
        </w:trPr>
        <w:tc>
          <w:tcPr>
            <w:tcW w:w="2185" w:type="dxa"/>
          </w:tcPr>
          <w:p w14:paraId="7EB181F2" w14:textId="77777777" w:rsidR="00EE389F" w:rsidRPr="00891608" w:rsidRDefault="00EE389F" w:rsidP="00AC41C2">
            <w:pPr>
              <w:keepNext/>
              <w:keepLines/>
              <w:rPr>
                <w:rFonts w:ascii="Candara" w:hAnsi="Candara"/>
              </w:rPr>
            </w:pPr>
            <w:r w:rsidRPr="00891608">
              <w:rPr>
                <w:rFonts w:ascii="Candara" w:hAnsi="Candara"/>
              </w:rPr>
              <w:t>Jemena</w:t>
            </w:r>
          </w:p>
        </w:tc>
        <w:tc>
          <w:tcPr>
            <w:tcW w:w="1341" w:type="dxa"/>
          </w:tcPr>
          <w:p w14:paraId="7AD329F4" w14:textId="77777777" w:rsidR="00EE389F" w:rsidRPr="00C629A3" w:rsidRDefault="00EE389F" w:rsidP="00AC41C2">
            <w:pPr>
              <w:keepNext/>
              <w:keepLines/>
              <w:rPr>
                <w:rFonts w:ascii="Candara" w:hAnsi="Candara"/>
              </w:rPr>
            </w:pPr>
            <w:r w:rsidRPr="00C629A3">
              <w:rPr>
                <w:rFonts w:ascii="Candara" w:hAnsi="Candara"/>
              </w:rPr>
              <w:t>6,135</w:t>
            </w:r>
          </w:p>
        </w:tc>
      </w:tr>
      <w:tr w:rsidR="00EE389F" w:rsidRPr="00C629A3" w14:paraId="5B7B69D3" w14:textId="77777777" w:rsidTr="00F42A64">
        <w:trPr>
          <w:cantSplit/>
          <w:trHeight w:val="301"/>
        </w:trPr>
        <w:tc>
          <w:tcPr>
            <w:tcW w:w="2185" w:type="dxa"/>
          </w:tcPr>
          <w:p w14:paraId="44E66279" w14:textId="77777777" w:rsidR="00EE389F" w:rsidRPr="00891608" w:rsidRDefault="00EE389F" w:rsidP="00AC41C2">
            <w:pPr>
              <w:keepNext/>
              <w:keepLines/>
              <w:rPr>
                <w:rFonts w:ascii="Candara" w:hAnsi="Candara"/>
              </w:rPr>
            </w:pPr>
            <w:r w:rsidRPr="00891608">
              <w:rPr>
                <w:rFonts w:ascii="Candara" w:hAnsi="Candara"/>
              </w:rPr>
              <w:t>Powercor</w:t>
            </w:r>
          </w:p>
        </w:tc>
        <w:tc>
          <w:tcPr>
            <w:tcW w:w="1341" w:type="dxa"/>
          </w:tcPr>
          <w:p w14:paraId="555C92DF" w14:textId="77777777" w:rsidR="00EE389F" w:rsidRPr="00C629A3" w:rsidRDefault="00EE389F" w:rsidP="00AC41C2">
            <w:pPr>
              <w:keepNext/>
              <w:keepLines/>
              <w:rPr>
                <w:rFonts w:ascii="Candara" w:hAnsi="Candara"/>
              </w:rPr>
            </w:pPr>
            <w:r w:rsidRPr="00C629A3">
              <w:rPr>
                <w:rFonts w:ascii="Candara" w:hAnsi="Candara"/>
              </w:rPr>
              <w:t>73,889</w:t>
            </w:r>
          </w:p>
        </w:tc>
      </w:tr>
      <w:tr w:rsidR="00EE389F" w:rsidRPr="00C629A3" w14:paraId="4E2EDEDA" w14:textId="77777777" w:rsidTr="00F42A64">
        <w:trPr>
          <w:cantSplit/>
          <w:trHeight w:val="318"/>
        </w:trPr>
        <w:tc>
          <w:tcPr>
            <w:tcW w:w="2185" w:type="dxa"/>
            <w:tcBorders>
              <w:bottom w:val="single" w:sz="4" w:space="0" w:color="auto"/>
            </w:tcBorders>
          </w:tcPr>
          <w:p w14:paraId="2897A450" w14:textId="77777777" w:rsidR="00EE389F" w:rsidRPr="00891608" w:rsidRDefault="00EE389F" w:rsidP="00AC41C2">
            <w:pPr>
              <w:keepNext/>
              <w:keepLines/>
              <w:rPr>
                <w:rFonts w:ascii="Candara" w:hAnsi="Candara"/>
              </w:rPr>
            </w:pPr>
            <w:r w:rsidRPr="00891608">
              <w:rPr>
                <w:rFonts w:ascii="Candara" w:hAnsi="Candara"/>
              </w:rPr>
              <w:t>United Energy</w:t>
            </w:r>
          </w:p>
        </w:tc>
        <w:tc>
          <w:tcPr>
            <w:tcW w:w="1341" w:type="dxa"/>
            <w:tcBorders>
              <w:bottom w:val="single" w:sz="4" w:space="0" w:color="auto"/>
            </w:tcBorders>
          </w:tcPr>
          <w:p w14:paraId="5C8750AD" w14:textId="77777777" w:rsidR="00EE389F" w:rsidRPr="00C629A3" w:rsidRDefault="00EE389F" w:rsidP="00AC41C2">
            <w:pPr>
              <w:keepNext/>
              <w:keepLines/>
              <w:rPr>
                <w:rFonts w:ascii="Candara" w:hAnsi="Candara"/>
              </w:rPr>
            </w:pPr>
            <w:r w:rsidRPr="00C629A3">
              <w:rPr>
                <w:rFonts w:ascii="Candara" w:hAnsi="Candara"/>
              </w:rPr>
              <w:t>12,837</w:t>
            </w:r>
          </w:p>
        </w:tc>
      </w:tr>
      <w:tr w:rsidR="00EE389F" w:rsidRPr="00C629A3" w14:paraId="4D73D759" w14:textId="77777777" w:rsidTr="00F42A64">
        <w:trPr>
          <w:cantSplit/>
          <w:trHeight w:val="318"/>
        </w:trPr>
        <w:tc>
          <w:tcPr>
            <w:tcW w:w="2185" w:type="dxa"/>
            <w:shd w:val="clear" w:color="auto" w:fill="365F91" w:themeFill="accent1" w:themeFillShade="BF"/>
          </w:tcPr>
          <w:p w14:paraId="77284183" w14:textId="77777777" w:rsidR="00EE389F" w:rsidRPr="00F42A64" w:rsidRDefault="00EE389F" w:rsidP="00AC41C2">
            <w:pPr>
              <w:keepNext/>
              <w:keepLines/>
              <w:rPr>
                <w:rFonts w:ascii="Candara" w:hAnsi="Candara"/>
                <w:b/>
                <w:color w:val="F2F2F2" w:themeColor="background1" w:themeShade="F2"/>
              </w:rPr>
            </w:pPr>
            <w:r w:rsidRPr="00F42A64">
              <w:rPr>
                <w:rFonts w:ascii="Candara" w:hAnsi="Candara"/>
                <w:b/>
                <w:color w:val="F2F2F2" w:themeColor="background1" w:themeShade="F2"/>
              </w:rPr>
              <w:t>Total</w:t>
            </w:r>
          </w:p>
        </w:tc>
        <w:tc>
          <w:tcPr>
            <w:tcW w:w="1341" w:type="dxa"/>
            <w:shd w:val="clear" w:color="auto" w:fill="365F91" w:themeFill="accent1" w:themeFillShade="BF"/>
          </w:tcPr>
          <w:p w14:paraId="5E662324" w14:textId="77777777" w:rsidR="00EE389F" w:rsidRPr="00F42A64" w:rsidRDefault="00EE389F" w:rsidP="00AC41C2">
            <w:pPr>
              <w:keepNext/>
              <w:keepLines/>
              <w:rPr>
                <w:rFonts w:ascii="Candara" w:hAnsi="Candara"/>
                <w:b/>
                <w:color w:val="F2F2F2" w:themeColor="background1" w:themeShade="F2"/>
              </w:rPr>
            </w:pPr>
            <w:r w:rsidRPr="00F42A64">
              <w:rPr>
                <w:rFonts w:ascii="Candara" w:hAnsi="Candara"/>
                <w:b/>
                <w:color w:val="F2F2F2" w:themeColor="background1" w:themeShade="F2"/>
              </w:rPr>
              <w:t>141,001</w:t>
            </w:r>
            <w:r w:rsidRPr="00F42A64">
              <w:rPr>
                <w:rStyle w:val="FootnoteReference"/>
                <w:rFonts w:ascii="Candara" w:hAnsi="Candara"/>
                <w:b/>
                <w:color w:val="F2F2F2" w:themeColor="background1" w:themeShade="F2"/>
              </w:rPr>
              <w:footnoteReference w:id="35"/>
            </w:r>
          </w:p>
        </w:tc>
      </w:tr>
    </w:tbl>
    <w:p w14:paraId="70194686" w14:textId="77777777" w:rsidR="00EE389F" w:rsidRPr="00C629A3" w:rsidRDefault="00EE389F" w:rsidP="00EE389F">
      <w:pPr>
        <w:rPr>
          <w:rFonts w:ascii="Candara" w:hAnsi="Candara"/>
          <w:i/>
        </w:rPr>
      </w:pPr>
      <w:r w:rsidRPr="00C629A3">
        <w:rPr>
          <w:rFonts w:ascii="Candara" w:hAnsi="Candara"/>
          <w:i/>
        </w:rPr>
        <w:t xml:space="preserve"> </w:t>
      </w:r>
    </w:p>
    <w:p w14:paraId="14B370AD" w14:textId="77777777" w:rsidR="00EE389F" w:rsidRPr="00C629A3" w:rsidRDefault="00EE389F" w:rsidP="00EE389F">
      <w:pPr>
        <w:keepLines/>
        <w:rPr>
          <w:rFonts w:ascii="Candara" w:hAnsi="Candara"/>
        </w:rPr>
      </w:pPr>
      <w:r w:rsidRPr="00C629A3">
        <w:rPr>
          <w:rFonts w:ascii="Candara" w:hAnsi="Candara"/>
        </w:rPr>
        <w:lastRenderedPageBreak/>
        <w:t xml:space="preserve">The geographic distribution of these businesses is shown below: </w:t>
      </w:r>
    </w:p>
    <w:p w14:paraId="78DC40B0" w14:textId="4831788E" w:rsidR="00731CF2" w:rsidRPr="00731CF2" w:rsidRDefault="00731CF2" w:rsidP="00731CF2">
      <w:pPr>
        <w:autoSpaceDE w:val="0"/>
        <w:autoSpaceDN w:val="0"/>
        <w:adjustRightInd w:val="0"/>
        <w:spacing w:before="120" w:after="80"/>
        <w:rPr>
          <w:rStyle w:val="Heading6Char"/>
        </w:rPr>
      </w:pPr>
      <w:r>
        <w:rPr>
          <w:rStyle w:val="Heading6Char"/>
        </w:rPr>
        <w:t>Figure A</w:t>
      </w:r>
      <w:r w:rsidR="006F0521">
        <w:rPr>
          <w:rStyle w:val="Heading6Char"/>
        </w:rPr>
        <w:t>1</w:t>
      </w:r>
      <w:r>
        <w:rPr>
          <w:rStyle w:val="Heading6Char"/>
        </w:rPr>
        <w:t xml:space="preserve">.2: </w:t>
      </w:r>
      <w:r w:rsidR="00EE389F" w:rsidRPr="00731CF2">
        <w:rPr>
          <w:rStyle w:val="Heading6Char"/>
        </w:rPr>
        <w:t>Electricity Distribution Areas</w:t>
      </w:r>
    </w:p>
    <w:p w14:paraId="022EA6E4" w14:textId="0E362629" w:rsidR="00EE389F" w:rsidRPr="00C629A3" w:rsidRDefault="006F0521" w:rsidP="00EE389F">
      <w:pPr>
        <w:rPr>
          <w:rFonts w:ascii="Candara" w:hAnsi="Candara"/>
        </w:rPr>
      </w:pPr>
      <w:r>
        <w:rPr>
          <w:rFonts w:ascii="Candara" w:hAnsi="Candara"/>
        </w:rPr>
        <w:t xml:space="preserve">        </w:t>
      </w:r>
      <w:r w:rsidR="00EE389F" w:rsidRPr="00C629A3">
        <w:rPr>
          <w:rFonts w:ascii="Candara" w:hAnsi="Candara"/>
          <w:noProof/>
          <w:lang w:eastAsia="en-AU"/>
        </w:rPr>
        <w:drawing>
          <wp:inline distT="0" distB="0" distL="0" distR="0" wp14:anchorId="17A6E668" wp14:editId="30B6FC38">
            <wp:extent cx="4579130" cy="258554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9130" cy="2585545"/>
                    </a:xfrm>
                    <a:prstGeom prst="rect">
                      <a:avLst/>
                    </a:prstGeom>
                  </pic:spPr>
                </pic:pic>
              </a:graphicData>
            </a:graphic>
          </wp:inline>
        </w:drawing>
      </w:r>
    </w:p>
    <w:p w14:paraId="731EA88A" w14:textId="2D106C47" w:rsidR="000C66F7" w:rsidRPr="0023297C" w:rsidRDefault="00EE389F" w:rsidP="0023297C">
      <w:pPr>
        <w:rPr>
          <w:rFonts w:ascii="Candara" w:hAnsi="Candara"/>
        </w:rPr>
      </w:pPr>
      <w:r w:rsidRPr="00C629A3">
        <w:rPr>
          <w:rFonts w:ascii="Candara" w:hAnsi="Candara"/>
        </w:rPr>
        <w:t>These businesses are subject to economic regulator</w:t>
      </w:r>
      <w:r w:rsidR="0023297C">
        <w:rPr>
          <w:rFonts w:ascii="Candara" w:hAnsi="Candara"/>
        </w:rPr>
        <w:t>y oversight as described below.</w:t>
      </w:r>
    </w:p>
    <w:p w14:paraId="7A34ACF7" w14:textId="77777777" w:rsidR="00EE389F" w:rsidRPr="000C66F7" w:rsidRDefault="00EE389F" w:rsidP="000C66F7">
      <w:pPr>
        <w:pStyle w:val="BodyText"/>
        <w:rPr>
          <w:b/>
        </w:rPr>
      </w:pPr>
      <w:r w:rsidRPr="000C66F7">
        <w:rPr>
          <w:b/>
        </w:rPr>
        <w:t>Economic Regulatory Framework</w:t>
      </w:r>
    </w:p>
    <w:p w14:paraId="51DC833B" w14:textId="77777777" w:rsidR="00EE389F" w:rsidRPr="00C629A3" w:rsidRDefault="00EE389F" w:rsidP="00EE389F">
      <w:pPr>
        <w:rPr>
          <w:rFonts w:ascii="Candara" w:hAnsi="Candara"/>
        </w:rPr>
      </w:pPr>
      <w:r w:rsidRPr="00C629A3">
        <w:rPr>
          <w:rFonts w:ascii="Candara" w:hAnsi="Candara"/>
        </w:rPr>
        <w:t xml:space="preserve">Electricity Distribution Network Service Providers are </w:t>
      </w:r>
      <w:r>
        <w:rPr>
          <w:rFonts w:ascii="Candara" w:hAnsi="Candara"/>
        </w:rPr>
        <w:t>natural monopolies. To ensure consumers enjoy efficient costs</w:t>
      </w:r>
      <w:r w:rsidRPr="00C629A3">
        <w:rPr>
          <w:rFonts w:ascii="Candara" w:hAnsi="Candara"/>
        </w:rPr>
        <w:t>, the</w:t>
      </w:r>
      <w:r>
        <w:rPr>
          <w:rFonts w:ascii="Candara" w:hAnsi="Candara"/>
        </w:rPr>
        <w:t>se</w:t>
      </w:r>
      <w:r w:rsidRPr="00C629A3">
        <w:rPr>
          <w:rFonts w:ascii="Candara" w:hAnsi="Candara"/>
        </w:rPr>
        <w:t xml:space="preserve"> businesses are subject to an economic regulatory framework. This framework is comprised principally of Chapter 6 of the </w:t>
      </w:r>
      <w:r w:rsidRPr="00D40E8D">
        <w:rPr>
          <w:rFonts w:ascii="Candara" w:hAnsi="Candara"/>
          <w:i/>
        </w:rPr>
        <w:t>National Electricity Rules (NER)</w:t>
      </w:r>
      <w:r w:rsidRPr="00C629A3">
        <w:rPr>
          <w:rFonts w:ascii="Candara" w:hAnsi="Candara"/>
        </w:rPr>
        <w:t xml:space="preserve">. </w:t>
      </w:r>
    </w:p>
    <w:p w14:paraId="13A33FE2" w14:textId="77777777" w:rsidR="00EE389F" w:rsidRPr="00C629A3" w:rsidRDefault="00EE389F" w:rsidP="00EE389F">
      <w:pPr>
        <w:rPr>
          <w:rFonts w:ascii="Candara" w:hAnsi="Candara"/>
        </w:rPr>
      </w:pPr>
      <w:r w:rsidRPr="00C629A3">
        <w:rPr>
          <w:rFonts w:ascii="Candara" w:hAnsi="Candara"/>
        </w:rPr>
        <w:t xml:space="preserve">The NER are made pursuant to the </w:t>
      </w:r>
      <w:r w:rsidRPr="00D40E8D">
        <w:rPr>
          <w:rFonts w:ascii="Candara" w:hAnsi="Candara"/>
          <w:i/>
        </w:rPr>
        <w:t>National Electricity Law (NEL)</w:t>
      </w:r>
      <w:r w:rsidRPr="00C629A3">
        <w:rPr>
          <w:rFonts w:ascii="Candara" w:hAnsi="Candara"/>
        </w:rPr>
        <w:t xml:space="preserve">. The </w:t>
      </w:r>
      <w:r w:rsidRPr="00D40E8D">
        <w:rPr>
          <w:rFonts w:ascii="Candara" w:hAnsi="Candara"/>
          <w:i/>
        </w:rPr>
        <w:t>NEL</w:t>
      </w:r>
      <w:r w:rsidRPr="00C629A3">
        <w:rPr>
          <w:rFonts w:ascii="Candara" w:hAnsi="Candara"/>
        </w:rPr>
        <w:t xml:space="preserve"> relies on template legislation in each participating state. This structure has been adopted to create uniformity in an industry which is principally governed by state law under the constitution. The </w:t>
      </w:r>
      <w:r w:rsidRPr="00D40E8D">
        <w:rPr>
          <w:rFonts w:ascii="Candara" w:hAnsi="Candara"/>
          <w:i/>
        </w:rPr>
        <w:t>NER</w:t>
      </w:r>
      <w:r w:rsidRPr="00C629A3">
        <w:rPr>
          <w:rFonts w:ascii="Candara" w:hAnsi="Candara"/>
        </w:rPr>
        <w:t xml:space="preserve"> are administered by the Australian Energy Regulator (AER).</w:t>
      </w:r>
    </w:p>
    <w:p w14:paraId="78D68595" w14:textId="77777777" w:rsidR="00EE389F" w:rsidRPr="00C629A3" w:rsidRDefault="00EE389F" w:rsidP="00EE389F">
      <w:pPr>
        <w:rPr>
          <w:rFonts w:ascii="Candara" w:hAnsi="Candara"/>
        </w:rPr>
      </w:pPr>
      <w:r w:rsidRPr="00C629A3">
        <w:rPr>
          <w:rFonts w:ascii="Candara" w:hAnsi="Candara"/>
        </w:rPr>
        <w:t xml:space="preserve">The </w:t>
      </w:r>
      <w:r w:rsidRPr="00D40E8D">
        <w:rPr>
          <w:rFonts w:ascii="Candara" w:hAnsi="Candara"/>
          <w:i/>
        </w:rPr>
        <w:t>NER</w:t>
      </w:r>
      <w:r w:rsidRPr="00C629A3">
        <w:rPr>
          <w:rFonts w:ascii="Candara" w:hAnsi="Candara"/>
        </w:rPr>
        <w:t xml:space="preserve"> divides the services provided by electricity distribution businesses into two categories: </w:t>
      </w:r>
      <w:r w:rsidRPr="00C629A3">
        <w:rPr>
          <w:rFonts w:ascii="Candara" w:hAnsi="Candara"/>
          <w:i/>
        </w:rPr>
        <w:t>direct control</w:t>
      </w:r>
      <w:r w:rsidRPr="00C629A3">
        <w:rPr>
          <w:rFonts w:ascii="Candara" w:hAnsi="Candara"/>
        </w:rPr>
        <w:t xml:space="preserve"> and </w:t>
      </w:r>
      <w:r w:rsidRPr="00C629A3">
        <w:rPr>
          <w:rFonts w:ascii="Candara" w:hAnsi="Candara"/>
          <w:i/>
        </w:rPr>
        <w:t>negotiated services</w:t>
      </w:r>
      <w:r w:rsidRPr="00C629A3">
        <w:rPr>
          <w:rFonts w:ascii="Candara" w:hAnsi="Candara"/>
        </w:rPr>
        <w:t xml:space="preserve">. </w:t>
      </w:r>
    </w:p>
    <w:p w14:paraId="58CFA614" w14:textId="77777777" w:rsidR="00EE389F" w:rsidRPr="00C629A3" w:rsidRDefault="00EE389F" w:rsidP="00EE389F">
      <w:pPr>
        <w:rPr>
          <w:rFonts w:ascii="Candara" w:hAnsi="Candara"/>
        </w:rPr>
      </w:pPr>
      <w:r w:rsidRPr="00C629A3">
        <w:rPr>
          <w:rFonts w:ascii="Candara" w:hAnsi="Candara"/>
          <w:i/>
        </w:rPr>
        <w:t>Direct control</w:t>
      </w:r>
      <w:r w:rsidRPr="00C629A3">
        <w:rPr>
          <w:rFonts w:ascii="Candara" w:hAnsi="Candara"/>
        </w:rPr>
        <w:t xml:space="preserve"> network services are those which are provided to captive monopoly customers, and consequently must be regulated by the AER. This regulation takes the form of a </w:t>
      </w:r>
      <w:r w:rsidRPr="00C629A3">
        <w:rPr>
          <w:rFonts w:ascii="Candara" w:hAnsi="Candara"/>
          <w:i/>
        </w:rPr>
        <w:t>distribution determination</w:t>
      </w:r>
      <w:r w:rsidRPr="00C629A3">
        <w:rPr>
          <w:rFonts w:ascii="Candara" w:hAnsi="Candara"/>
        </w:rPr>
        <w:t>. This is the form of service of relevance to this document.</w:t>
      </w:r>
    </w:p>
    <w:p w14:paraId="31233E55" w14:textId="77777777" w:rsidR="00EE389F" w:rsidRPr="00C629A3" w:rsidRDefault="00EE389F" w:rsidP="00EE389F">
      <w:pPr>
        <w:rPr>
          <w:rFonts w:ascii="Candara" w:hAnsi="Candara"/>
        </w:rPr>
      </w:pPr>
      <w:r w:rsidRPr="00C629A3">
        <w:rPr>
          <w:rFonts w:ascii="Candara" w:hAnsi="Candara"/>
        </w:rPr>
        <w:t>A distribution determination sets the amount of revenue a given Distribution Network Service Provider can recover from its customers through distribution tariffs. These tariffs form a component of a customer’s final electricity bill.</w:t>
      </w:r>
    </w:p>
    <w:p w14:paraId="301B2064" w14:textId="77777777" w:rsidR="00EE389F" w:rsidRPr="00C629A3" w:rsidRDefault="00EE389F" w:rsidP="00EE389F">
      <w:pPr>
        <w:rPr>
          <w:rFonts w:ascii="Candara" w:hAnsi="Candara"/>
        </w:rPr>
      </w:pPr>
      <w:r w:rsidRPr="00C629A3">
        <w:rPr>
          <w:rFonts w:ascii="Candara" w:hAnsi="Candara"/>
        </w:rPr>
        <w:t xml:space="preserve">The process whereby this occurs is an </w:t>
      </w:r>
      <w:r w:rsidRPr="006C46DF">
        <w:rPr>
          <w:rFonts w:ascii="Candara" w:hAnsi="Candara"/>
        </w:rPr>
        <w:t>Electricity Distribution Price Review</w:t>
      </w:r>
      <w:r w:rsidRPr="00C629A3">
        <w:rPr>
          <w:rFonts w:ascii="Candara" w:hAnsi="Candara"/>
        </w:rPr>
        <w:t xml:space="preserve"> (EDPR). EDPRs take place every five years, and determine the amount of revenue (the ‘revenue cap’) which Distribution Network Service Providers are entitled to recover from customers for direct control services. </w:t>
      </w:r>
    </w:p>
    <w:p w14:paraId="1BB66A2E" w14:textId="77777777" w:rsidR="00EE389F" w:rsidRDefault="00EE389F" w:rsidP="00EE389F">
      <w:pPr>
        <w:rPr>
          <w:rFonts w:ascii="Candara" w:hAnsi="Candara"/>
        </w:rPr>
      </w:pPr>
      <w:r w:rsidRPr="00C629A3">
        <w:rPr>
          <w:rFonts w:ascii="Candara" w:hAnsi="Candara"/>
        </w:rPr>
        <w:lastRenderedPageBreak/>
        <w:t>The businesses’ costs broadly encompass operational expenditure and capital expenditure. Capital expenditure includes return on capital and depreciation of the regulated asset base, or RAB. This comprises the greater portion of a business’ annual revenue, as shown below:</w:t>
      </w:r>
      <w:r w:rsidRPr="00C629A3">
        <w:rPr>
          <w:rStyle w:val="FootnoteReference"/>
          <w:rFonts w:ascii="Candara" w:hAnsi="Candara"/>
        </w:rPr>
        <w:footnoteReference w:id="36"/>
      </w:r>
    </w:p>
    <w:p w14:paraId="3016FDDC" w14:textId="0472EE6D" w:rsidR="00731CF2" w:rsidRPr="00731CF2" w:rsidRDefault="00731CF2" w:rsidP="00731CF2">
      <w:pPr>
        <w:autoSpaceDE w:val="0"/>
        <w:autoSpaceDN w:val="0"/>
        <w:adjustRightInd w:val="0"/>
        <w:spacing w:before="120" w:after="80"/>
        <w:rPr>
          <w:rFonts w:ascii="Candara" w:hAnsi="Candara" w:cs="Calibri"/>
          <w:sz w:val="21"/>
          <w:szCs w:val="21"/>
        </w:rPr>
      </w:pPr>
      <w:r>
        <w:rPr>
          <w:rStyle w:val="Heading6Char"/>
        </w:rPr>
        <w:t>Figure A</w:t>
      </w:r>
      <w:r w:rsidR="006F0521">
        <w:rPr>
          <w:rStyle w:val="Heading6Char"/>
        </w:rPr>
        <w:t>1</w:t>
      </w:r>
      <w:r>
        <w:rPr>
          <w:rStyle w:val="Heading6Char"/>
        </w:rPr>
        <w:t>.3: Breakdown of distribution business revenue</w:t>
      </w:r>
    </w:p>
    <w:p w14:paraId="6267E521" w14:textId="73D9B8A8" w:rsidR="00EE389F" w:rsidRPr="00C629A3" w:rsidRDefault="00731CF2" w:rsidP="00EE389F">
      <w:pPr>
        <w:rPr>
          <w:rFonts w:ascii="Candara" w:hAnsi="Candara"/>
        </w:rPr>
      </w:pPr>
      <w:r>
        <w:rPr>
          <w:rFonts w:ascii="Candara" w:hAnsi="Candara"/>
        </w:rPr>
        <w:t xml:space="preserve">            </w:t>
      </w:r>
      <w:r w:rsidR="00EE389F" w:rsidRPr="00C629A3">
        <w:rPr>
          <w:rFonts w:ascii="Candara" w:hAnsi="Candara"/>
          <w:noProof/>
          <w:lang w:eastAsia="en-AU"/>
        </w:rPr>
        <w:drawing>
          <wp:inline distT="0" distB="0" distL="0" distR="0" wp14:anchorId="0C39A313" wp14:editId="76F6CE73">
            <wp:extent cx="45720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CE01FF" w14:textId="77777777" w:rsidR="00EE389F" w:rsidRPr="00C629A3" w:rsidRDefault="00EE389F" w:rsidP="00EE389F">
      <w:pPr>
        <w:rPr>
          <w:rFonts w:ascii="Candara" w:hAnsi="Candara"/>
        </w:rPr>
      </w:pPr>
      <w:r w:rsidRPr="00C629A3">
        <w:rPr>
          <w:rFonts w:ascii="Candara" w:hAnsi="Candara"/>
        </w:rPr>
        <w:t xml:space="preserve">Approximately one year prior to the commencement of an EDPR, </w:t>
      </w:r>
      <w:r>
        <w:rPr>
          <w:rFonts w:ascii="Candara" w:hAnsi="Candara"/>
        </w:rPr>
        <w:t xml:space="preserve">each </w:t>
      </w:r>
      <w:r w:rsidRPr="00C629A3">
        <w:rPr>
          <w:rFonts w:ascii="Candara" w:hAnsi="Candara"/>
        </w:rPr>
        <w:t>Distri</w:t>
      </w:r>
      <w:r>
        <w:rPr>
          <w:rFonts w:ascii="Candara" w:hAnsi="Candara"/>
        </w:rPr>
        <w:t>bution Network Service Provider</w:t>
      </w:r>
      <w:r w:rsidRPr="00C629A3">
        <w:rPr>
          <w:rFonts w:ascii="Candara" w:hAnsi="Candara"/>
        </w:rPr>
        <w:t xml:space="preserve"> make</w:t>
      </w:r>
      <w:r>
        <w:rPr>
          <w:rFonts w:ascii="Candara" w:hAnsi="Candara"/>
        </w:rPr>
        <w:t>s</w:t>
      </w:r>
      <w:r w:rsidRPr="00C629A3">
        <w:rPr>
          <w:rFonts w:ascii="Candara" w:hAnsi="Candara"/>
        </w:rPr>
        <w:t xml:space="preserve"> a submission to the AER seeking a quantum of re</w:t>
      </w:r>
      <w:r>
        <w:rPr>
          <w:rFonts w:ascii="Candara" w:hAnsi="Candara"/>
        </w:rPr>
        <w:t>coverable revenue for the next five</w:t>
      </w:r>
      <w:r w:rsidRPr="00C629A3">
        <w:rPr>
          <w:rFonts w:ascii="Candara" w:hAnsi="Candara"/>
        </w:rPr>
        <w:t xml:space="preserve">-year period. The submission justifies this revenue requirement based on the business’ claim for what reasonable costs it will incur to run its business. Such cost claims include compliance with any regulatory requirements (such as safety). </w:t>
      </w:r>
    </w:p>
    <w:p w14:paraId="682F79C3" w14:textId="77777777" w:rsidR="00EE389F" w:rsidRPr="00C629A3" w:rsidRDefault="00EE389F" w:rsidP="00EE389F">
      <w:pPr>
        <w:rPr>
          <w:rFonts w:ascii="Candara" w:hAnsi="Candara"/>
        </w:rPr>
      </w:pPr>
      <w:r w:rsidRPr="00C629A3">
        <w:rPr>
          <w:rFonts w:ascii="Candara" w:hAnsi="Candara"/>
        </w:rPr>
        <w:t>The AER scrutinises these claims, ascertains what the efficient costs of running such a business are, and makes a determination as to what the business’ revenue cap will be for the next five years</w:t>
      </w:r>
      <w:r w:rsidRPr="00C629A3">
        <w:rPr>
          <w:rStyle w:val="FootnoteReference"/>
          <w:rFonts w:ascii="Candara" w:hAnsi="Candara"/>
        </w:rPr>
        <w:footnoteReference w:id="37"/>
      </w:r>
      <w:r w:rsidRPr="00C629A3">
        <w:rPr>
          <w:rFonts w:ascii="Candara" w:hAnsi="Candara"/>
        </w:rPr>
        <w:t xml:space="preserve">. The assessment of costs includes efficient costs of compliance with regulatory obligations. </w:t>
      </w:r>
    </w:p>
    <w:p w14:paraId="5C0669BB" w14:textId="77777777" w:rsidR="00EE389F" w:rsidRPr="00C629A3" w:rsidRDefault="00EE389F" w:rsidP="00EE389F">
      <w:pPr>
        <w:rPr>
          <w:rFonts w:ascii="Candara" w:hAnsi="Candara"/>
        </w:rPr>
      </w:pPr>
      <w:r w:rsidRPr="00C629A3">
        <w:rPr>
          <w:rFonts w:ascii="Candara" w:hAnsi="Candara"/>
        </w:rPr>
        <w:t>In addition to the revenue allowances described above, the economic regulatory framework creates two classes of incentive mechanisms – the first focusses on economic efficiency; the second on reliability of power supply. These are discussed below.</w:t>
      </w:r>
    </w:p>
    <w:p w14:paraId="7D13103C" w14:textId="77777777" w:rsidR="00EE389F" w:rsidRPr="00C629A3" w:rsidRDefault="00EE389F" w:rsidP="00BE2B30">
      <w:pPr>
        <w:pStyle w:val="Heading4"/>
        <w:numPr>
          <w:ilvl w:val="0"/>
          <w:numId w:val="0"/>
        </w:numPr>
        <w:rPr>
          <w:sz w:val="22"/>
          <w:szCs w:val="22"/>
        </w:rPr>
      </w:pPr>
      <w:r>
        <w:rPr>
          <w:sz w:val="22"/>
          <w:szCs w:val="22"/>
        </w:rPr>
        <w:t>Economic Incentive M</w:t>
      </w:r>
      <w:r w:rsidRPr="00C629A3">
        <w:rPr>
          <w:sz w:val="22"/>
          <w:szCs w:val="22"/>
        </w:rPr>
        <w:t>echanisms</w:t>
      </w:r>
    </w:p>
    <w:p w14:paraId="5F62CC33" w14:textId="77777777" w:rsidR="00EE389F" w:rsidRPr="00C629A3" w:rsidRDefault="00EE389F" w:rsidP="00EE389F">
      <w:pPr>
        <w:rPr>
          <w:rFonts w:ascii="Candara" w:hAnsi="Candara"/>
        </w:rPr>
      </w:pPr>
      <w:r w:rsidRPr="00C629A3">
        <w:rPr>
          <w:rFonts w:ascii="Candara" w:hAnsi="Candara"/>
        </w:rPr>
        <w:t>The NER establishes mechanisms designed to incentivise businesses to provide network services at lowest cost. If businesses provide services at a lower cost than forecast, they are allowed to keep the difference for the duration of the five-year EDPR.</w:t>
      </w:r>
      <w:r>
        <w:rPr>
          <w:rFonts w:ascii="Candara" w:hAnsi="Candara"/>
        </w:rPr>
        <w:t xml:space="preserve"> Conversely, if a</w:t>
      </w:r>
      <w:r w:rsidRPr="00C629A3">
        <w:rPr>
          <w:rFonts w:ascii="Candara" w:hAnsi="Candara"/>
        </w:rPr>
        <w:t xml:space="preserve"> business overspends, </w:t>
      </w:r>
      <w:r w:rsidRPr="00C629A3">
        <w:rPr>
          <w:rFonts w:ascii="Candara" w:hAnsi="Candara"/>
        </w:rPr>
        <w:lastRenderedPageBreak/>
        <w:t>it will be penalised for the duration of the EDPR period</w:t>
      </w:r>
      <w:r>
        <w:rPr>
          <w:rFonts w:ascii="Candara" w:hAnsi="Candara"/>
        </w:rPr>
        <w:t xml:space="preserve"> by not being compensated for any overspends</w:t>
      </w:r>
      <w:r w:rsidRPr="00C629A3">
        <w:rPr>
          <w:rFonts w:ascii="Candara" w:hAnsi="Candara"/>
        </w:rPr>
        <w:t>.</w:t>
      </w:r>
      <w:r w:rsidRPr="00C629A3">
        <w:rPr>
          <w:rStyle w:val="FootnoteReference"/>
          <w:rFonts w:ascii="Candara" w:hAnsi="Candara"/>
        </w:rPr>
        <w:footnoteReference w:id="38"/>
      </w:r>
    </w:p>
    <w:p w14:paraId="07E73D5F" w14:textId="77777777" w:rsidR="00EE389F" w:rsidRPr="00C629A3" w:rsidRDefault="00EE389F" w:rsidP="00BE2B30">
      <w:pPr>
        <w:pStyle w:val="Heading4"/>
        <w:numPr>
          <w:ilvl w:val="0"/>
          <w:numId w:val="0"/>
        </w:numPr>
        <w:rPr>
          <w:sz w:val="22"/>
          <w:szCs w:val="22"/>
        </w:rPr>
      </w:pPr>
      <w:r w:rsidRPr="00C629A3">
        <w:rPr>
          <w:sz w:val="22"/>
          <w:szCs w:val="22"/>
        </w:rPr>
        <w:t>Reliability</w:t>
      </w:r>
      <w:r>
        <w:rPr>
          <w:sz w:val="22"/>
          <w:szCs w:val="22"/>
        </w:rPr>
        <w:t xml:space="preserve"> Incentive M</w:t>
      </w:r>
      <w:r w:rsidRPr="00C629A3">
        <w:rPr>
          <w:sz w:val="22"/>
          <w:szCs w:val="22"/>
        </w:rPr>
        <w:t>echanisms</w:t>
      </w:r>
    </w:p>
    <w:p w14:paraId="4D2A26C6" w14:textId="541ABDAC" w:rsidR="00EE389F" w:rsidRPr="00C629A3" w:rsidRDefault="00EE389F" w:rsidP="00EE389F">
      <w:pPr>
        <w:rPr>
          <w:rFonts w:ascii="Candara" w:hAnsi="Candara"/>
        </w:rPr>
      </w:pPr>
      <w:r w:rsidRPr="00C629A3">
        <w:rPr>
          <w:rFonts w:ascii="Candara" w:hAnsi="Candara"/>
        </w:rPr>
        <w:t xml:space="preserve">Under the </w:t>
      </w:r>
      <w:r w:rsidRPr="00D40E8D">
        <w:rPr>
          <w:rFonts w:ascii="Candara" w:hAnsi="Candara"/>
          <w:i/>
        </w:rPr>
        <w:t>NER</w:t>
      </w:r>
      <w:r w:rsidRPr="00C629A3">
        <w:rPr>
          <w:rFonts w:ascii="Candara" w:hAnsi="Candara"/>
        </w:rPr>
        <w:t>, the AER is required to develop and publish a Service Target Performance Incentive Scheme (STPIS).</w:t>
      </w:r>
      <w:r w:rsidRPr="00C629A3">
        <w:rPr>
          <w:rStyle w:val="FootnoteReference"/>
          <w:rFonts w:ascii="Candara" w:hAnsi="Candara"/>
        </w:rPr>
        <w:footnoteReference w:id="39"/>
      </w:r>
      <w:r w:rsidRPr="00C629A3">
        <w:rPr>
          <w:rFonts w:ascii="Candara" w:hAnsi="Candara"/>
        </w:rPr>
        <w:t xml:space="preserve"> The STPIS rewards businesses for improving service quality relative to historic averages (the previous five financial years). Service quality includes reliability of supply, quality of supply, customer service and guaranteed service levels, or GSL</w:t>
      </w:r>
      <w:r w:rsidRPr="00C629A3">
        <w:rPr>
          <w:rStyle w:val="FootnoteReference"/>
          <w:rFonts w:ascii="Candara" w:hAnsi="Candara"/>
        </w:rPr>
        <w:footnoteReference w:id="40"/>
      </w:r>
      <w:r w:rsidRPr="00C629A3">
        <w:rPr>
          <w:rFonts w:ascii="Candara" w:hAnsi="Candara"/>
        </w:rPr>
        <w:t>. Of these, reliability of supply and GSL are material to this discussion.</w:t>
      </w:r>
      <w:r w:rsidR="00931525">
        <w:rPr>
          <w:rFonts w:ascii="Candara" w:hAnsi="Candara"/>
        </w:rPr>
        <w:t xml:space="preserve"> </w:t>
      </w:r>
    </w:p>
    <w:p w14:paraId="69BE9125" w14:textId="77777777" w:rsidR="00BC521A" w:rsidRDefault="00EE389F" w:rsidP="00EE389F">
      <w:pPr>
        <w:rPr>
          <w:rFonts w:ascii="Candara" w:hAnsi="Candara"/>
        </w:rPr>
      </w:pPr>
      <w:r w:rsidRPr="00C629A3">
        <w:rPr>
          <w:rFonts w:ascii="Candara" w:hAnsi="Candara"/>
          <w:b/>
          <w:i/>
        </w:rPr>
        <w:t>Reliability of supply</w:t>
      </w:r>
      <w:r w:rsidRPr="00C629A3">
        <w:rPr>
          <w:rFonts w:ascii="Candara" w:hAnsi="Candara"/>
        </w:rPr>
        <w:t xml:space="preserve"> refers to average reliability. It employs such measures as</w:t>
      </w:r>
      <w:r w:rsidR="00BC521A">
        <w:rPr>
          <w:rFonts w:ascii="Candara" w:hAnsi="Candara"/>
        </w:rPr>
        <w:t>:</w:t>
      </w:r>
      <w:r w:rsidRPr="00C629A3">
        <w:rPr>
          <w:rFonts w:ascii="Candara" w:hAnsi="Candara"/>
        </w:rPr>
        <w:t xml:space="preserve"> </w:t>
      </w:r>
    </w:p>
    <w:p w14:paraId="13CA1650" w14:textId="04A190AB" w:rsidR="00BC521A" w:rsidRPr="00BC521A" w:rsidRDefault="00EE389F" w:rsidP="00BB41A4">
      <w:pPr>
        <w:pStyle w:val="ListParagraph"/>
        <w:numPr>
          <w:ilvl w:val="0"/>
          <w:numId w:val="44"/>
        </w:numPr>
        <w:rPr>
          <w:rFonts w:ascii="Candara" w:hAnsi="Candara"/>
        </w:rPr>
      </w:pPr>
      <w:r w:rsidRPr="00BC521A">
        <w:rPr>
          <w:rFonts w:ascii="Candara" w:hAnsi="Candara"/>
        </w:rPr>
        <w:t>system average inter</w:t>
      </w:r>
      <w:r w:rsidR="00BC521A">
        <w:rPr>
          <w:rFonts w:ascii="Candara" w:hAnsi="Candara"/>
        </w:rPr>
        <w:t>ruption frequency index (SAIFI);</w:t>
      </w:r>
      <w:r w:rsidRPr="00BC521A">
        <w:rPr>
          <w:rFonts w:ascii="Candara" w:hAnsi="Candara"/>
        </w:rPr>
        <w:t xml:space="preserve"> </w:t>
      </w:r>
    </w:p>
    <w:p w14:paraId="43B26F57" w14:textId="6476C7AA" w:rsidR="00BC521A" w:rsidRPr="00BC521A" w:rsidRDefault="00EE389F" w:rsidP="00BB41A4">
      <w:pPr>
        <w:pStyle w:val="ListParagraph"/>
        <w:numPr>
          <w:ilvl w:val="0"/>
          <w:numId w:val="44"/>
        </w:numPr>
        <w:rPr>
          <w:rFonts w:ascii="Candara" w:hAnsi="Candara"/>
        </w:rPr>
      </w:pPr>
      <w:r w:rsidRPr="00BC521A">
        <w:rPr>
          <w:rFonts w:ascii="Candara" w:hAnsi="Candara"/>
        </w:rPr>
        <w:t>system average inte</w:t>
      </w:r>
      <w:r w:rsidR="00BC521A">
        <w:rPr>
          <w:rFonts w:ascii="Candara" w:hAnsi="Candara"/>
        </w:rPr>
        <w:t>rruption duration index (SAIDI);</w:t>
      </w:r>
      <w:r w:rsidRPr="00BC521A">
        <w:rPr>
          <w:rFonts w:ascii="Candara" w:hAnsi="Candara"/>
        </w:rPr>
        <w:t xml:space="preserve"> and </w:t>
      </w:r>
    </w:p>
    <w:p w14:paraId="7D101E6E" w14:textId="77777777" w:rsidR="00BC521A" w:rsidRPr="00BC521A" w:rsidRDefault="00EE389F" w:rsidP="00BB41A4">
      <w:pPr>
        <w:pStyle w:val="ListParagraph"/>
        <w:numPr>
          <w:ilvl w:val="0"/>
          <w:numId w:val="44"/>
        </w:numPr>
        <w:rPr>
          <w:rFonts w:ascii="Candara" w:hAnsi="Candara"/>
        </w:rPr>
      </w:pPr>
      <w:r w:rsidRPr="00BC521A">
        <w:rPr>
          <w:rFonts w:ascii="Candara" w:hAnsi="Candara"/>
        </w:rPr>
        <w:t xml:space="preserve">momentary average interruption frequency index (MAIFI). </w:t>
      </w:r>
    </w:p>
    <w:p w14:paraId="0EE605DB" w14:textId="6E6C63CF" w:rsidR="00EE389F" w:rsidRPr="00C629A3" w:rsidRDefault="00EE389F" w:rsidP="00EE389F">
      <w:pPr>
        <w:rPr>
          <w:rFonts w:ascii="Candara" w:hAnsi="Candara"/>
        </w:rPr>
      </w:pPr>
      <w:r w:rsidRPr="00C629A3">
        <w:rPr>
          <w:rFonts w:ascii="Candara" w:hAnsi="Candara"/>
        </w:rPr>
        <w:t>Differences between a given year’s performance and the five-year historic average are calculated annually, and multiplied by the value of customer reliability (VCR) to produce a dollar figure. Where a business’ performance exceeds the historic benchmark, it gains a financial increment; where the performance is less than the benchmark, it experiences a financial decrement. It should also be noted that major events may be excluded from the calculation of performance.</w:t>
      </w:r>
      <w:r>
        <w:rPr>
          <w:rFonts w:ascii="Candara" w:hAnsi="Candara"/>
        </w:rPr>
        <w:t xml:space="preserve"> As businesses accrue financial gains equal to losses over time under this approach, this forms a </w:t>
      </w:r>
      <w:r w:rsidRPr="00D75675">
        <w:rPr>
          <w:rFonts w:ascii="Candara" w:hAnsi="Candara"/>
          <w:i/>
        </w:rPr>
        <w:t>symmetric</w:t>
      </w:r>
      <w:r>
        <w:rPr>
          <w:rFonts w:ascii="Candara" w:hAnsi="Candara"/>
        </w:rPr>
        <w:t xml:space="preserve"> incentive scheme.  </w:t>
      </w:r>
    </w:p>
    <w:p w14:paraId="297B4C25" w14:textId="240A520C" w:rsidR="00EE389F" w:rsidRPr="00C629A3" w:rsidRDefault="00EE389F" w:rsidP="00EE389F">
      <w:pPr>
        <w:rPr>
          <w:rFonts w:ascii="Candara" w:hAnsi="Candara"/>
        </w:rPr>
      </w:pPr>
      <w:r w:rsidRPr="00C629A3">
        <w:rPr>
          <w:rFonts w:ascii="Candara" w:hAnsi="Candara"/>
          <w:b/>
          <w:i/>
        </w:rPr>
        <w:t>GSL payments</w:t>
      </w:r>
      <w:r w:rsidRPr="00C629A3">
        <w:rPr>
          <w:rFonts w:ascii="Candara" w:hAnsi="Candara"/>
        </w:rPr>
        <w:t xml:space="preserve"> are payments made to individual</w:t>
      </w:r>
      <w:r w:rsidR="009A68AC">
        <w:rPr>
          <w:rFonts w:ascii="Candara" w:hAnsi="Candara"/>
        </w:rPr>
        <w:t xml:space="preserve"> customers who receive a level of</w:t>
      </w:r>
      <w:r w:rsidRPr="00C629A3">
        <w:rPr>
          <w:rFonts w:ascii="Candara" w:hAnsi="Candara"/>
        </w:rPr>
        <w:t xml:space="preserve"> service </w:t>
      </w:r>
      <w:r w:rsidR="009A68AC">
        <w:rPr>
          <w:rFonts w:ascii="Candara" w:hAnsi="Candara"/>
        </w:rPr>
        <w:t xml:space="preserve">calculated to be </w:t>
      </w:r>
      <w:r w:rsidRPr="00C629A3">
        <w:rPr>
          <w:rFonts w:ascii="Candara" w:hAnsi="Candara"/>
        </w:rPr>
        <w:t xml:space="preserve">worse than a threshold set by the Essential Services Commission through the </w:t>
      </w:r>
      <w:r w:rsidRPr="00D40E8D">
        <w:rPr>
          <w:rFonts w:ascii="Candara" w:hAnsi="Candara"/>
          <w:i/>
        </w:rPr>
        <w:t>Electricity Distribution Code</w:t>
      </w:r>
      <w:r w:rsidRPr="00C629A3">
        <w:rPr>
          <w:rFonts w:ascii="Candara" w:hAnsi="Candara"/>
        </w:rPr>
        <w:t>.</w:t>
      </w:r>
      <w:r w:rsidRPr="00C629A3">
        <w:rPr>
          <w:rStyle w:val="FootnoteReference"/>
          <w:rFonts w:ascii="Candara" w:hAnsi="Candara"/>
        </w:rPr>
        <w:t xml:space="preserve"> </w:t>
      </w:r>
      <w:r w:rsidRPr="00C629A3">
        <w:rPr>
          <w:rStyle w:val="FootnoteReference"/>
          <w:rFonts w:ascii="Candara" w:hAnsi="Candara"/>
        </w:rPr>
        <w:footnoteReference w:id="41"/>
      </w:r>
      <w:r w:rsidRPr="00C629A3">
        <w:rPr>
          <w:rFonts w:ascii="Candara" w:hAnsi="Candara"/>
        </w:rPr>
        <w:t xml:space="preserve"> GSL payments address the risk that, if averages alone are used to incentivise business, they may choose to disregard a small number of customers with very poor reliability, as small customer numbers will not significantly affect averages. </w:t>
      </w:r>
      <w:r>
        <w:rPr>
          <w:rFonts w:ascii="Candara" w:hAnsi="Candara"/>
        </w:rPr>
        <w:t xml:space="preserve">Distribution Network Service Providers are allowed to earn additional revenue to cover the expected cost of payments made under the GSL Payment Scheme. These are estimated at $11.2 million per annum over the 2016-20 regulatory control period. As businesses will only ever experience a financial loss through such an approach, it comprises an </w:t>
      </w:r>
      <w:r w:rsidRPr="00D75675">
        <w:rPr>
          <w:rFonts w:ascii="Candara" w:hAnsi="Candara"/>
          <w:i/>
        </w:rPr>
        <w:t>asymmetric</w:t>
      </w:r>
      <w:r>
        <w:rPr>
          <w:rFonts w:ascii="Candara" w:hAnsi="Candara"/>
        </w:rPr>
        <w:t xml:space="preserve"> incentive scheme.</w:t>
      </w:r>
      <w:r>
        <w:rPr>
          <w:rStyle w:val="FootnoteReference"/>
          <w:rFonts w:ascii="Candara" w:hAnsi="Candara"/>
        </w:rPr>
        <w:footnoteReference w:id="42"/>
      </w:r>
      <w:r>
        <w:rPr>
          <w:rFonts w:ascii="Candara" w:hAnsi="Candara"/>
        </w:rPr>
        <w:t xml:space="preserve"> </w:t>
      </w:r>
    </w:p>
    <w:p w14:paraId="20EB614D" w14:textId="77777777" w:rsidR="00931525" w:rsidRDefault="00EE389F" w:rsidP="00EE389F">
      <w:pPr>
        <w:rPr>
          <w:rFonts w:ascii="Candara" w:hAnsi="Candara"/>
        </w:rPr>
      </w:pPr>
      <w:r w:rsidRPr="00C629A3">
        <w:rPr>
          <w:rFonts w:ascii="Candara" w:hAnsi="Candara"/>
        </w:rPr>
        <w:t xml:space="preserve">The overall effect of the STPIS is, </w:t>
      </w:r>
      <w:r w:rsidRPr="00C629A3">
        <w:rPr>
          <w:rFonts w:ascii="Candara" w:hAnsi="Candara"/>
          <w:i/>
        </w:rPr>
        <w:t>inter alia</w:t>
      </w:r>
      <w:r w:rsidRPr="00C629A3">
        <w:rPr>
          <w:rFonts w:ascii="Candara" w:hAnsi="Candara"/>
        </w:rPr>
        <w:t xml:space="preserve">, to encourage businesses to minimise both the frequency, and duration, of supply interruptions. The effect of the incentive is non-trivial. The </w:t>
      </w:r>
      <w:r w:rsidRPr="00C629A3">
        <w:rPr>
          <w:rFonts w:ascii="Candara" w:hAnsi="Candara"/>
        </w:rPr>
        <w:lastRenderedPageBreak/>
        <w:t>amount of revenue at risk is potentially as much</w:t>
      </w:r>
      <w:r>
        <w:rPr>
          <w:rFonts w:ascii="Candara" w:hAnsi="Candara"/>
        </w:rPr>
        <w:t xml:space="preserve"> as 5 per cent</w:t>
      </w:r>
      <w:r w:rsidRPr="00C629A3">
        <w:rPr>
          <w:rFonts w:ascii="Candara" w:hAnsi="Candara"/>
        </w:rPr>
        <w:t xml:space="preserve"> of a business’ annual allowable revenue.</w:t>
      </w:r>
      <w:r w:rsidRPr="00C629A3">
        <w:rPr>
          <w:rStyle w:val="FootnoteReference"/>
          <w:rFonts w:ascii="Candara" w:hAnsi="Candara"/>
        </w:rPr>
        <w:footnoteReference w:id="43"/>
      </w:r>
      <w:r w:rsidRPr="00C629A3">
        <w:rPr>
          <w:rFonts w:ascii="Candara" w:hAnsi="Candara"/>
        </w:rPr>
        <w:t xml:space="preserve"> </w:t>
      </w:r>
    </w:p>
    <w:p w14:paraId="22DE9716" w14:textId="3AFA5F6A" w:rsidR="00EE389F" w:rsidRPr="00C629A3" w:rsidRDefault="00EE389F" w:rsidP="00EE389F">
      <w:pPr>
        <w:rPr>
          <w:rFonts w:ascii="Candara" w:hAnsi="Candara"/>
        </w:rPr>
      </w:pPr>
      <w:r w:rsidRPr="00C629A3">
        <w:rPr>
          <w:rFonts w:ascii="Candara" w:hAnsi="Candara"/>
        </w:rPr>
        <w:t>Historically the quantum of money which businesses receive, or pay, has been as much as $47 million in a single year (all figures $ millions, nominal)</w:t>
      </w:r>
      <w:r w:rsidR="009A68AC">
        <w:rPr>
          <w:rFonts w:ascii="Candara" w:hAnsi="Candara"/>
        </w:rPr>
        <w:t xml:space="preserve"> for a single business</w:t>
      </w:r>
      <w:r w:rsidRPr="00C629A3">
        <w:rPr>
          <w:rFonts w:ascii="Candara" w:hAnsi="Candara"/>
        </w:rPr>
        <w:t>:</w:t>
      </w:r>
    </w:p>
    <w:p w14:paraId="6F3EC04B" w14:textId="3EBA198C" w:rsidR="00731CF2" w:rsidRPr="00731CF2" w:rsidRDefault="00731CF2" w:rsidP="00731CF2">
      <w:pPr>
        <w:autoSpaceDE w:val="0"/>
        <w:autoSpaceDN w:val="0"/>
        <w:adjustRightInd w:val="0"/>
        <w:spacing w:before="120" w:after="80"/>
        <w:rPr>
          <w:rStyle w:val="Heading6Char"/>
        </w:rPr>
      </w:pPr>
      <w:r w:rsidRPr="00731CF2">
        <w:rPr>
          <w:rStyle w:val="Heading6Char"/>
          <w:i w:val="0"/>
          <w:iCs w:val="0"/>
        </w:rPr>
        <w:t>Figure A</w:t>
      </w:r>
      <w:r w:rsidR="006F0521">
        <w:rPr>
          <w:rStyle w:val="Heading6Char"/>
          <w:i w:val="0"/>
          <w:iCs w:val="0"/>
        </w:rPr>
        <w:t>1</w:t>
      </w:r>
      <w:r w:rsidRPr="00731CF2">
        <w:rPr>
          <w:rStyle w:val="Heading6Char"/>
          <w:i w:val="0"/>
          <w:iCs w:val="0"/>
        </w:rPr>
        <w:t xml:space="preserve">.4: </w:t>
      </w:r>
      <w:r>
        <w:rPr>
          <w:rStyle w:val="Heading6Char"/>
          <w:i w:val="0"/>
          <w:iCs w:val="0"/>
        </w:rPr>
        <w:t>STPIS: Increments and Decrements by distribution business, 2006-13</w:t>
      </w:r>
    </w:p>
    <w:tbl>
      <w:tblPr>
        <w:tblStyle w:val="TableGrid"/>
        <w:tblW w:w="0" w:type="auto"/>
        <w:tblInd w:w="1117" w:type="dxa"/>
        <w:tblLook w:val="04A0" w:firstRow="1" w:lastRow="0" w:firstColumn="1" w:lastColumn="0" w:noHBand="0" w:noVBand="1"/>
      </w:tblPr>
      <w:tblGrid>
        <w:gridCol w:w="905"/>
        <w:gridCol w:w="1505"/>
        <w:gridCol w:w="1417"/>
        <w:gridCol w:w="1418"/>
        <w:gridCol w:w="1559"/>
      </w:tblGrid>
      <w:tr w:rsidR="00EE389F" w:rsidRPr="00C629A3" w14:paraId="362C7D42" w14:textId="77777777" w:rsidTr="00F42A64">
        <w:tc>
          <w:tcPr>
            <w:tcW w:w="905" w:type="dxa"/>
            <w:tcBorders>
              <w:bottom w:val="single" w:sz="4" w:space="0" w:color="auto"/>
            </w:tcBorders>
            <w:shd w:val="clear" w:color="auto" w:fill="365F91" w:themeFill="accent1" w:themeFillShade="BF"/>
          </w:tcPr>
          <w:p w14:paraId="1BF300DE" w14:textId="121F28B7" w:rsidR="00EE389F" w:rsidRPr="00F42A64" w:rsidRDefault="00584E7B" w:rsidP="00AC41C2">
            <w:pPr>
              <w:keepNext/>
              <w:rPr>
                <w:rFonts w:ascii="Candara" w:hAnsi="Candara"/>
                <w:b/>
                <w:color w:val="F2F2F2" w:themeColor="background1" w:themeShade="F2"/>
              </w:rPr>
            </w:pPr>
            <w:r w:rsidRPr="00F42A64">
              <w:rPr>
                <w:rFonts w:ascii="Candara" w:hAnsi="Candara"/>
                <w:b/>
                <w:color w:val="F2F2F2" w:themeColor="background1" w:themeShade="F2"/>
              </w:rPr>
              <w:t>Y</w:t>
            </w:r>
            <w:r w:rsidR="00EE389F" w:rsidRPr="00F42A64">
              <w:rPr>
                <w:rFonts w:ascii="Candara" w:hAnsi="Candara"/>
                <w:b/>
                <w:color w:val="F2F2F2" w:themeColor="background1" w:themeShade="F2"/>
              </w:rPr>
              <w:t>ear</w:t>
            </w:r>
          </w:p>
        </w:tc>
        <w:tc>
          <w:tcPr>
            <w:tcW w:w="1505" w:type="dxa"/>
            <w:shd w:val="clear" w:color="auto" w:fill="365F91" w:themeFill="accent1" w:themeFillShade="BF"/>
          </w:tcPr>
          <w:p w14:paraId="5475150C" w14:textId="77777777" w:rsidR="00EE389F" w:rsidRPr="00F42A64" w:rsidRDefault="00EE389F" w:rsidP="00AC41C2">
            <w:pPr>
              <w:keepNext/>
              <w:jc w:val="center"/>
              <w:rPr>
                <w:rFonts w:ascii="Candara" w:hAnsi="Candara"/>
                <w:b/>
                <w:color w:val="F2F2F2" w:themeColor="background1" w:themeShade="F2"/>
              </w:rPr>
            </w:pPr>
            <w:r w:rsidRPr="00F42A64">
              <w:rPr>
                <w:rFonts w:ascii="Candara" w:hAnsi="Candara"/>
                <w:b/>
                <w:color w:val="F2F2F2" w:themeColor="background1" w:themeShade="F2"/>
              </w:rPr>
              <w:t>AusNet</w:t>
            </w:r>
          </w:p>
        </w:tc>
        <w:tc>
          <w:tcPr>
            <w:tcW w:w="1417" w:type="dxa"/>
            <w:shd w:val="clear" w:color="auto" w:fill="365F91" w:themeFill="accent1" w:themeFillShade="BF"/>
          </w:tcPr>
          <w:p w14:paraId="2AB54361" w14:textId="77777777" w:rsidR="00EE389F" w:rsidRPr="00F42A64" w:rsidRDefault="00EE389F" w:rsidP="00AC41C2">
            <w:pPr>
              <w:keepNext/>
              <w:jc w:val="center"/>
              <w:rPr>
                <w:rFonts w:ascii="Candara" w:hAnsi="Candara"/>
                <w:b/>
                <w:color w:val="F2F2F2" w:themeColor="background1" w:themeShade="F2"/>
              </w:rPr>
            </w:pPr>
            <w:r w:rsidRPr="00F42A64">
              <w:rPr>
                <w:rFonts w:ascii="Candara" w:hAnsi="Candara"/>
                <w:b/>
                <w:color w:val="F2F2F2" w:themeColor="background1" w:themeShade="F2"/>
              </w:rPr>
              <w:t>Jemena</w:t>
            </w:r>
          </w:p>
        </w:tc>
        <w:tc>
          <w:tcPr>
            <w:tcW w:w="1418" w:type="dxa"/>
            <w:shd w:val="clear" w:color="auto" w:fill="365F91" w:themeFill="accent1" w:themeFillShade="BF"/>
          </w:tcPr>
          <w:p w14:paraId="06E6A7CC" w14:textId="77777777" w:rsidR="00EE389F" w:rsidRPr="00F42A64" w:rsidRDefault="00EE389F" w:rsidP="00AC41C2">
            <w:pPr>
              <w:keepNext/>
              <w:jc w:val="center"/>
              <w:rPr>
                <w:rFonts w:ascii="Candara" w:hAnsi="Candara"/>
                <w:b/>
                <w:color w:val="F2F2F2" w:themeColor="background1" w:themeShade="F2"/>
              </w:rPr>
            </w:pPr>
            <w:r w:rsidRPr="00F42A64">
              <w:rPr>
                <w:rFonts w:ascii="Candara" w:hAnsi="Candara"/>
                <w:b/>
                <w:color w:val="F2F2F2" w:themeColor="background1" w:themeShade="F2"/>
              </w:rPr>
              <w:t>Powercor</w:t>
            </w:r>
          </w:p>
        </w:tc>
        <w:tc>
          <w:tcPr>
            <w:tcW w:w="1559" w:type="dxa"/>
            <w:shd w:val="clear" w:color="auto" w:fill="365F91" w:themeFill="accent1" w:themeFillShade="BF"/>
          </w:tcPr>
          <w:p w14:paraId="59C0027E" w14:textId="77777777" w:rsidR="00EE389F" w:rsidRPr="00F42A64" w:rsidRDefault="00EE389F" w:rsidP="00AC41C2">
            <w:pPr>
              <w:keepNext/>
              <w:jc w:val="center"/>
              <w:rPr>
                <w:rFonts w:ascii="Candara" w:hAnsi="Candara"/>
                <w:b/>
                <w:color w:val="F2F2F2" w:themeColor="background1" w:themeShade="F2"/>
              </w:rPr>
            </w:pPr>
            <w:r w:rsidRPr="00F42A64">
              <w:rPr>
                <w:rFonts w:ascii="Candara" w:hAnsi="Candara"/>
                <w:b/>
                <w:color w:val="F2F2F2" w:themeColor="background1" w:themeShade="F2"/>
              </w:rPr>
              <w:t>United Energy</w:t>
            </w:r>
          </w:p>
        </w:tc>
      </w:tr>
      <w:tr w:rsidR="00EE389F" w:rsidRPr="00C629A3" w14:paraId="331C781D" w14:textId="77777777" w:rsidTr="00F42A64">
        <w:tc>
          <w:tcPr>
            <w:tcW w:w="905" w:type="dxa"/>
            <w:shd w:val="clear" w:color="auto" w:fill="365F91" w:themeFill="accent1" w:themeFillShade="BF"/>
          </w:tcPr>
          <w:p w14:paraId="63CE0C84"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2006</w:t>
            </w:r>
          </w:p>
        </w:tc>
        <w:tc>
          <w:tcPr>
            <w:tcW w:w="1505" w:type="dxa"/>
          </w:tcPr>
          <w:p w14:paraId="72C2FEFD" w14:textId="77777777" w:rsidR="00EE389F" w:rsidRPr="00C629A3" w:rsidRDefault="00EE389F" w:rsidP="00AC41C2">
            <w:pPr>
              <w:keepNext/>
              <w:jc w:val="center"/>
              <w:rPr>
                <w:rFonts w:ascii="Candara" w:hAnsi="Candara"/>
              </w:rPr>
            </w:pPr>
            <w:r w:rsidRPr="00C629A3">
              <w:rPr>
                <w:rFonts w:ascii="Candara" w:hAnsi="Candara"/>
              </w:rPr>
              <w:t>2.49</w:t>
            </w:r>
          </w:p>
        </w:tc>
        <w:tc>
          <w:tcPr>
            <w:tcW w:w="1417" w:type="dxa"/>
          </w:tcPr>
          <w:p w14:paraId="3DBD2459" w14:textId="77777777" w:rsidR="00EE389F" w:rsidRPr="00C629A3" w:rsidRDefault="00EE389F" w:rsidP="00AC41C2">
            <w:pPr>
              <w:keepNext/>
              <w:jc w:val="center"/>
              <w:rPr>
                <w:rFonts w:ascii="Candara" w:hAnsi="Candara"/>
              </w:rPr>
            </w:pPr>
            <w:r w:rsidRPr="00C629A3">
              <w:rPr>
                <w:rFonts w:ascii="Candara" w:hAnsi="Candara"/>
              </w:rPr>
              <w:t>0.96</w:t>
            </w:r>
          </w:p>
        </w:tc>
        <w:tc>
          <w:tcPr>
            <w:tcW w:w="1418" w:type="dxa"/>
          </w:tcPr>
          <w:p w14:paraId="1C284EAA" w14:textId="77777777" w:rsidR="00EE389F" w:rsidRPr="00C629A3" w:rsidRDefault="00EE389F" w:rsidP="00AC41C2">
            <w:pPr>
              <w:keepNext/>
              <w:jc w:val="center"/>
              <w:rPr>
                <w:rFonts w:ascii="Candara" w:hAnsi="Candara"/>
              </w:rPr>
            </w:pPr>
            <w:r w:rsidRPr="00C629A3">
              <w:rPr>
                <w:rFonts w:ascii="Candara" w:hAnsi="Candara"/>
              </w:rPr>
              <w:t>18.66</w:t>
            </w:r>
          </w:p>
        </w:tc>
        <w:tc>
          <w:tcPr>
            <w:tcW w:w="1559" w:type="dxa"/>
          </w:tcPr>
          <w:p w14:paraId="515E8B8D" w14:textId="77777777" w:rsidR="00EE389F" w:rsidRPr="00C629A3" w:rsidRDefault="00EE389F" w:rsidP="00AC41C2">
            <w:pPr>
              <w:keepNext/>
              <w:jc w:val="center"/>
              <w:rPr>
                <w:rFonts w:ascii="Candara" w:hAnsi="Candara"/>
              </w:rPr>
            </w:pPr>
            <w:r w:rsidRPr="00C629A3">
              <w:rPr>
                <w:rFonts w:ascii="Candara" w:hAnsi="Candara"/>
              </w:rPr>
              <w:t>0.61</w:t>
            </w:r>
          </w:p>
        </w:tc>
      </w:tr>
      <w:tr w:rsidR="00EE389F" w:rsidRPr="00C629A3" w14:paraId="76FC6FCA" w14:textId="77777777" w:rsidTr="00F42A64">
        <w:tc>
          <w:tcPr>
            <w:tcW w:w="905" w:type="dxa"/>
            <w:shd w:val="clear" w:color="auto" w:fill="365F91" w:themeFill="accent1" w:themeFillShade="BF"/>
          </w:tcPr>
          <w:p w14:paraId="6638CCD8"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2007</w:t>
            </w:r>
          </w:p>
        </w:tc>
        <w:tc>
          <w:tcPr>
            <w:tcW w:w="1505" w:type="dxa"/>
          </w:tcPr>
          <w:p w14:paraId="2C177248" w14:textId="77777777" w:rsidR="00EE389F" w:rsidRPr="00C629A3" w:rsidRDefault="00EE389F" w:rsidP="00AC41C2">
            <w:pPr>
              <w:keepNext/>
              <w:jc w:val="center"/>
              <w:rPr>
                <w:rFonts w:ascii="Candara" w:hAnsi="Candara"/>
              </w:rPr>
            </w:pPr>
            <w:r w:rsidRPr="00C629A3">
              <w:rPr>
                <w:rFonts w:ascii="Candara" w:hAnsi="Candara"/>
              </w:rPr>
              <w:t>7.37</w:t>
            </w:r>
          </w:p>
        </w:tc>
        <w:tc>
          <w:tcPr>
            <w:tcW w:w="1417" w:type="dxa"/>
          </w:tcPr>
          <w:p w14:paraId="1A87F8A5" w14:textId="77777777" w:rsidR="00EE389F" w:rsidRPr="00C629A3" w:rsidRDefault="00EE389F" w:rsidP="00AC41C2">
            <w:pPr>
              <w:keepNext/>
              <w:jc w:val="center"/>
              <w:rPr>
                <w:rFonts w:ascii="Candara" w:hAnsi="Candara"/>
              </w:rPr>
            </w:pPr>
            <w:r w:rsidRPr="00C629A3">
              <w:rPr>
                <w:rFonts w:ascii="Candara" w:hAnsi="Candara"/>
              </w:rPr>
              <w:t>-0.43</w:t>
            </w:r>
          </w:p>
        </w:tc>
        <w:tc>
          <w:tcPr>
            <w:tcW w:w="1418" w:type="dxa"/>
          </w:tcPr>
          <w:p w14:paraId="6D5A862A" w14:textId="77777777" w:rsidR="00EE389F" w:rsidRPr="00C629A3" w:rsidRDefault="00EE389F" w:rsidP="00AC41C2">
            <w:pPr>
              <w:keepNext/>
              <w:jc w:val="center"/>
              <w:rPr>
                <w:rFonts w:ascii="Candara" w:hAnsi="Candara"/>
              </w:rPr>
            </w:pPr>
            <w:r w:rsidRPr="00C629A3">
              <w:rPr>
                <w:rFonts w:ascii="Candara" w:hAnsi="Candara"/>
              </w:rPr>
              <w:t>16.25</w:t>
            </w:r>
          </w:p>
        </w:tc>
        <w:tc>
          <w:tcPr>
            <w:tcW w:w="1559" w:type="dxa"/>
          </w:tcPr>
          <w:p w14:paraId="44D9EA40" w14:textId="77777777" w:rsidR="00EE389F" w:rsidRPr="00C629A3" w:rsidRDefault="00EE389F" w:rsidP="00AC41C2">
            <w:pPr>
              <w:keepNext/>
              <w:jc w:val="center"/>
              <w:rPr>
                <w:rFonts w:ascii="Candara" w:hAnsi="Candara"/>
              </w:rPr>
            </w:pPr>
            <w:r w:rsidRPr="00C629A3">
              <w:rPr>
                <w:rFonts w:ascii="Candara" w:hAnsi="Candara"/>
              </w:rPr>
              <w:t>-1.47</w:t>
            </w:r>
          </w:p>
        </w:tc>
      </w:tr>
      <w:tr w:rsidR="00EE389F" w:rsidRPr="00C629A3" w14:paraId="6EABC5E5" w14:textId="77777777" w:rsidTr="00F42A64">
        <w:tc>
          <w:tcPr>
            <w:tcW w:w="905" w:type="dxa"/>
            <w:shd w:val="clear" w:color="auto" w:fill="365F91" w:themeFill="accent1" w:themeFillShade="BF"/>
          </w:tcPr>
          <w:p w14:paraId="4D5990B8"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2008</w:t>
            </w:r>
          </w:p>
        </w:tc>
        <w:tc>
          <w:tcPr>
            <w:tcW w:w="1505" w:type="dxa"/>
          </w:tcPr>
          <w:p w14:paraId="0011B1E6" w14:textId="77777777" w:rsidR="00EE389F" w:rsidRPr="00C629A3" w:rsidRDefault="00EE389F" w:rsidP="00AC41C2">
            <w:pPr>
              <w:keepNext/>
              <w:jc w:val="center"/>
              <w:rPr>
                <w:rFonts w:ascii="Candara" w:hAnsi="Candara"/>
              </w:rPr>
            </w:pPr>
            <w:r w:rsidRPr="00C629A3">
              <w:rPr>
                <w:rFonts w:ascii="Candara" w:hAnsi="Candara"/>
              </w:rPr>
              <w:t>-5.40</w:t>
            </w:r>
          </w:p>
        </w:tc>
        <w:tc>
          <w:tcPr>
            <w:tcW w:w="1417" w:type="dxa"/>
          </w:tcPr>
          <w:p w14:paraId="41E269DF" w14:textId="77777777" w:rsidR="00EE389F" w:rsidRPr="00C629A3" w:rsidRDefault="00EE389F" w:rsidP="00AC41C2">
            <w:pPr>
              <w:keepNext/>
              <w:jc w:val="center"/>
              <w:rPr>
                <w:rFonts w:ascii="Candara" w:hAnsi="Candara"/>
              </w:rPr>
            </w:pPr>
            <w:r w:rsidRPr="00C629A3">
              <w:rPr>
                <w:rFonts w:ascii="Candara" w:hAnsi="Candara"/>
              </w:rPr>
              <w:t>0.0</w:t>
            </w:r>
          </w:p>
        </w:tc>
        <w:tc>
          <w:tcPr>
            <w:tcW w:w="1418" w:type="dxa"/>
          </w:tcPr>
          <w:p w14:paraId="26045506" w14:textId="77777777" w:rsidR="00EE389F" w:rsidRPr="00C629A3" w:rsidRDefault="00EE389F" w:rsidP="00AC41C2">
            <w:pPr>
              <w:keepNext/>
              <w:jc w:val="center"/>
              <w:rPr>
                <w:rFonts w:ascii="Candara" w:hAnsi="Candara"/>
              </w:rPr>
            </w:pPr>
            <w:r w:rsidRPr="00C629A3">
              <w:rPr>
                <w:rFonts w:ascii="Candara" w:hAnsi="Candara"/>
              </w:rPr>
              <w:t>11.94</w:t>
            </w:r>
          </w:p>
        </w:tc>
        <w:tc>
          <w:tcPr>
            <w:tcW w:w="1559" w:type="dxa"/>
          </w:tcPr>
          <w:p w14:paraId="0F3E9376" w14:textId="77777777" w:rsidR="00EE389F" w:rsidRPr="00C629A3" w:rsidRDefault="00EE389F" w:rsidP="00AC41C2">
            <w:pPr>
              <w:keepNext/>
              <w:jc w:val="center"/>
              <w:rPr>
                <w:rFonts w:ascii="Candara" w:hAnsi="Candara"/>
              </w:rPr>
            </w:pPr>
            <w:r w:rsidRPr="00C629A3">
              <w:rPr>
                <w:rFonts w:ascii="Candara" w:hAnsi="Candara"/>
              </w:rPr>
              <w:t>0.0</w:t>
            </w:r>
          </w:p>
        </w:tc>
      </w:tr>
      <w:tr w:rsidR="00EE389F" w:rsidRPr="00C629A3" w14:paraId="2B2EAABC" w14:textId="77777777" w:rsidTr="00F42A64">
        <w:tc>
          <w:tcPr>
            <w:tcW w:w="905" w:type="dxa"/>
            <w:shd w:val="clear" w:color="auto" w:fill="365F91" w:themeFill="accent1" w:themeFillShade="BF"/>
          </w:tcPr>
          <w:p w14:paraId="4ED3CC97"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2009</w:t>
            </w:r>
          </w:p>
        </w:tc>
        <w:tc>
          <w:tcPr>
            <w:tcW w:w="1505" w:type="dxa"/>
          </w:tcPr>
          <w:p w14:paraId="2E5C9400" w14:textId="77777777" w:rsidR="00EE389F" w:rsidRPr="00C629A3" w:rsidRDefault="00EE389F" w:rsidP="00AC41C2">
            <w:pPr>
              <w:keepNext/>
              <w:jc w:val="center"/>
              <w:rPr>
                <w:rFonts w:ascii="Candara" w:hAnsi="Candara"/>
              </w:rPr>
            </w:pPr>
            <w:r w:rsidRPr="00C629A3">
              <w:rPr>
                <w:rFonts w:ascii="Candara" w:hAnsi="Candara"/>
              </w:rPr>
              <w:t>-8.48</w:t>
            </w:r>
          </w:p>
        </w:tc>
        <w:tc>
          <w:tcPr>
            <w:tcW w:w="1417" w:type="dxa"/>
          </w:tcPr>
          <w:p w14:paraId="30A680FE" w14:textId="77777777" w:rsidR="00EE389F" w:rsidRPr="00C629A3" w:rsidRDefault="00EE389F" w:rsidP="00AC41C2">
            <w:pPr>
              <w:keepNext/>
              <w:jc w:val="center"/>
              <w:rPr>
                <w:rFonts w:ascii="Candara" w:hAnsi="Candara"/>
              </w:rPr>
            </w:pPr>
            <w:r w:rsidRPr="00C629A3">
              <w:rPr>
                <w:rFonts w:ascii="Candara" w:hAnsi="Candara"/>
              </w:rPr>
              <w:t>-0.22</w:t>
            </w:r>
          </w:p>
        </w:tc>
        <w:tc>
          <w:tcPr>
            <w:tcW w:w="1418" w:type="dxa"/>
          </w:tcPr>
          <w:p w14:paraId="7EAF6490" w14:textId="77777777" w:rsidR="00EE389F" w:rsidRPr="00C629A3" w:rsidRDefault="00EE389F" w:rsidP="00AC41C2">
            <w:pPr>
              <w:keepNext/>
              <w:jc w:val="center"/>
              <w:rPr>
                <w:rFonts w:ascii="Candara" w:hAnsi="Candara"/>
              </w:rPr>
            </w:pPr>
            <w:r w:rsidRPr="00C629A3">
              <w:rPr>
                <w:rFonts w:ascii="Candara" w:hAnsi="Candara"/>
              </w:rPr>
              <w:t>13.15</w:t>
            </w:r>
          </w:p>
        </w:tc>
        <w:tc>
          <w:tcPr>
            <w:tcW w:w="1559" w:type="dxa"/>
          </w:tcPr>
          <w:p w14:paraId="29B1F5C7" w14:textId="77777777" w:rsidR="00EE389F" w:rsidRPr="00C629A3" w:rsidRDefault="00EE389F" w:rsidP="00AC41C2">
            <w:pPr>
              <w:keepNext/>
              <w:jc w:val="center"/>
              <w:rPr>
                <w:rFonts w:ascii="Candara" w:hAnsi="Candara"/>
              </w:rPr>
            </w:pPr>
            <w:r w:rsidRPr="00C629A3">
              <w:rPr>
                <w:rFonts w:ascii="Candara" w:hAnsi="Candara"/>
              </w:rPr>
              <w:t>-9.0</w:t>
            </w:r>
          </w:p>
        </w:tc>
      </w:tr>
      <w:tr w:rsidR="00EE389F" w:rsidRPr="00C629A3" w14:paraId="781F8B9F" w14:textId="77777777" w:rsidTr="00F42A64">
        <w:tc>
          <w:tcPr>
            <w:tcW w:w="905" w:type="dxa"/>
            <w:shd w:val="clear" w:color="auto" w:fill="365F91" w:themeFill="accent1" w:themeFillShade="BF"/>
          </w:tcPr>
          <w:p w14:paraId="3858C72A"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2010</w:t>
            </w:r>
          </w:p>
        </w:tc>
        <w:tc>
          <w:tcPr>
            <w:tcW w:w="1505" w:type="dxa"/>
          </w:tcPr>
          <w:p w14:paraId="40DD5A11" w14:textId="77777777" w:rsidR="00EE389F" w:rsidRPr="00C629A3" w:rsidRDefault="00EE389F" w:rsidP="00AC41C2">
            <w:pPr>
              <w:keepNext/>
              <w:jc w:val="center"/>
              <w:rPr>
                <w:rFonts w:ascii="Candara" w:hAnsi="Candara"/>
              </w:rPr>
            </w:pPr>
            <w:r w:rsidRPr="00C629A3">
              <w:rPr>
                <w:rFonts w:ascii="Candara" w:hAnsi="Candara"/>
              </w:rPr>
              <w:t>47.56</w:t>
            </w:r>
          </w:p>
        </w:tc>
        <w:tc>
          <w:tcPr>
            <w:tcW w:w="1417" w:type="dxa"/>
          </w:tcPr>
          <w:p w14:paraId="06D526C8" w14:textId="77777777" w:rsidR="00EE389F" w:rsidRPr="00C629A3" w:rsidRDefault="00EE389F" w:rsidP="00AC41C2">
            <w:pPr>
              <w:keepNext/>
              <w:jc w:val="center"/>
              <w:rPr>
                <w:rFonts w:ascii="Candara" w:hAnsi="Candara"/>
              </w:rPr>
            </w:pPr>
            <w:r w:rsidRPr="00C629A3">
              <w:rPr>
                <w:rFonts w:ascii="Candara" w:hAnsi="Candara"/>
              </w:rPr>
              <w:t>4.84</w:t>
            </w:r>
          </w:p>
        </w:tc>
        <w:tc>
          <w:tcPr>
            <w:tcW w:w="1418" w:type="dxa"/>
          </w:tcPr>
          <w:p w14:paraId="3A3D69A6" w14:textId="77777777" w:rsidR="00EE389F" w:rsidRPr="00C629A3" w:rsidRDefault="00EE389F" w:rsidP="00AC41C2">
            <w:pPr>
              <w:keepNext/>
              <w:jc w:val="center"/>
              <w:rPr>
                <w:rFonts w:ascii="Candara" w:hAnsi="Candara"/>
              </w:rPr>
            </w:pPr>
            <w:r w:rsidRPr="00C629A3">
              <w:rPr>
                <w:rFonts w:ascii="Candara" w:hAnsi="Candara"/>
              </w:rPr>
              <w:t>9.40</w:t>
            </w:r>
          </w:p>
        </w:tc>
        <w:tc>
          <w:tcPr>
            <w:tcW w:w="1559" w:type="dxa"/>
          </w:tcPr>
          <w:p w14:paraId="610AD879" w14:textId="77777777" w:rsidR="00EE389F" w:rsidRPr="00C629A3" w:rsidRDefault="00EE389F" w:rsidP="00AC41C2">
            <w:pPr>
              <w:keepNext/>
              <w:jc w:val="center"/>
              <w:rPr>
                <w:rFonts w:ascii="Candara" w:hAnsi="Candara"/>
              </w:rPr>
            </w:pPr>
            <w:r w:rsidRPr="00C629A3">
              <w:rPr>
                <w:rFonts w:ascii="Candara" w:hAnsi="Candara"/>
              </w:rPr>
              <w:t>4.05</w:t>
            </w:r>
          </w:p>
        </w:tc>
      </w:tr>
      <w:tr w:rsidR="00EE389F" w:rsidRPr="00C629A3" w14:paraId="150A187E" w14:textId="77777777" w:rsidTr="00F42A64">
        <w:tc>
          <w:tcPr>
            <w:tcW w:w="905" w:type="dxa"/>
            <w:shd w:val="clear" w:color="auto" w:fill="365F91" w:themeFill="accent1" w:themeFillShade="BF"/>
          </w:tcPr>
          <w:p w14:paraId="6D3C41A7"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2011</w:t>
            </w:r>
          </w:p>
        </w:tc>
        <w:tc>
          <w:tcPr>
            <w:tcW w:w="1505" w:type="dxa"/>
          </w:tcPr>
          <w:p w14:paraId="3BAF9D47" w14:textId="77777777" w:rsidR="00EE389F" w:rsidRPr="00C629A3" w:rsidRDefault="00EE389F" w:rsidP="00AC41C2">
            <w:pPr>
              <w:keepNext/>
              <w:jc w:val="center"/>
              <w:rPr>
                <w:rFonts w:ascii="Candara" w:hAnsi="Candara"/>
              </w:rPr>
            </w:pPr>
            <w:r w:rsidRPr="00C629A3">
              <w:rPr>
                <w:rFonts w:ascii="Candara" w:hAnsi="Candara"/>
              </w:rPr>
              <w:t>0.0</w:t>
            </w:r>
          </w:p>
        </w:tc>
        <w:tc>
          <w:tcPr>
            <w:tcW w:w="1417" w:type="dxa"/>
          </w:tcPr>
          <w:p w14:paraId="5B317F23" w14:textId="77777777" w:rsidR="00EE389F" w:rsidRPr="00C629A3" w:rsidRDefault="00EE389F" w:rsidP="00AC41C2">
            <w:pPr>
              <w:keepNext/>
              <w:jc w:val="center"/>
              <w:rPr>
                <w:rFonts w:ascii="Candara" w:hAnsi="Candara"/>
              </w:rPr>
            </w:pPr>
            <w:r w:rsidRPr="00C629A3">
              <w:rPr>
                <w:rFonts w:ascii="Candara" w:hAnsi="Candara"/>
              </w:rPr>
              <w:t>-0.27</w:t>
            </w:r>
          </w:p>
        </w:tc>
        <w:tc>
          <w:tcPr>
            <w:tcW w:w="1418" w:type="dxa"/>
          </w:tcPr>
          <w:p w14:paraId="14E75375" w14:textId="77777777" w:rsidR="00EE389F" w:rsidRPr="00C629A3" w:rsidRDefault="00EE389F" w:rsidP="00AC41C2">
            <w:pPr>
              <w:keepNext/>
              <w:jc w:val="center"/>
              <w:rPr>
                <w:rFonts w:ascii="Candara" w:hAnsi="Candara"/>
              </w:rPr>
            </w:pPr>
            <w:r w:rsidRPr="00C629A3">
              <w:rPr>
                <w:rFonts w:ascii="Candara" w:hAnsi="Candara"/>
              </w:rPr>
              <w:t>-6.97</w:t>
            </w:r>
          </w:p>
        </w:tc>
        <w:tc>
          <w:tcPr>
            <w:tcW w:w="1559" w:type="dxa"/>
          </w:tcPr>
          <w:p w14:paraId="09797F02" w14:textId="77777777" w:rsidR="00EE389F" w:rsidRPr="00C629A3" w:rsidRDefault="00EE389F" w:rsidP="00AC41C2">
            <w:pPr>
              <w:keepNext/>
              <w:jc w:val="center"/>
              <w:rPr>
                <w:rFonts w:ascii="Candara" w:hAnsi="Candara"/>
              </w:rPr>
            </w:pPr>
            <w:r w:rsidRPr="00C629A3">
              <w:rPr>
                <w:rFonts w:ascii="Candara" w:hAnsi="Candara"/>
              </w:rPr>
              <w:t>0.0</w:t>
            </w:r>
          </w:p>
        </w:tc>
      </w:tr>
      <w:tr w:rsidR="00EE389F" w:rsidRPr="00C629A3" w14:paraId="6FD7623C" w14:textId="77777777" w:rsidTr="00F42A64">
        <w:tc>
          <w:tcPr>
            <w:tcW w:w="905" w:type="dxa"/>
            <w:shd w:val="clear" w:color="auto" w:fill="365F91" w:themeFill="accent1" w:themeFillShade="BF"/>
          </w:tcPr>
          <w:p w14:paraId="3F5A460E"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2012</w:t>
            </w:r>
          </w:p>
        </w:tc>
        <w:tc>
          <w:tcPr>
            <w:tcW w:w="1505" w:type="dxa"/>
          </w:tcPr>
          <w:p w14:paraId="053E6E57" w14:textId="77777777" w:rsidR="00EE389F" w:rsidRPr="00C629A3" w:rsidRDefault="00EE389F" w:rsidP="00AC41C2">
            <w:pPr>
              <w:keepNext/>
              <w:jc w:val="center"/>
              <w:rPr>
                <w:rFonts w:ascii="Candara" w:hAnsi="Candara"/>
              </w:rPr>
            </w:pPr>
            <w:r w:rsidRPr="00C629A3">
              <w:rPr>
                <w:rFonts w:ascii="Candara" w:hAnsi="Candara"/>
              </w:rPr>
              <w:t>0.0</w:t>
            </w:r>
          </w:p>
        </w:tc>
        <w:tc>
          <w:tcPr>
            <w:tcW w:w="1417" w:type="dxa"/>
          </w:tcPr>
          <w:p w14:paraId="471BBE9F" w14:textId="77777777" w:rsidR="00EE389F" w:rsidRPr="00C629A3" w:rsidRDefault="00EE389F" w:rsidP="00AC41C2">
            <w:pPr>
              <w:keepNext/>
              <w:jc w:val="center"/>
              <w:rPr>
                <w:rFonts w:ascii="Candara" w:hAnsi="Candara"/>
              </w:rPr>
            </w:pPr>
            <w:r w:rsidRPr="00C629A3">
              <w:rPr>
                <w:rFonts w:ascii="Candara" w:hAnsi="Candara"/>
              </w:rPr>
              <w:t>-0.29</w:t>
            </w:r>
          </w:p>
        </w:tc>
        <w:tc>
          <w:tcPr>
            <w:tcW w:w="1418" w:type="dxa"/>
          </w:tcPr>
          <w:p w14:paraId="0E6CAA63" w14:textId="77777777" w:rsidR="00EE389F" w:rsidRPr="00C629A3" w:rsidRDefault="00EE389F" w:rsidP="00AC41C2">
            <w:pPr>
              <w:keepNext/>
              <w:jc w:val="center"/>
              <w:rPr>
                <w:rFonts w:ascii="Candara" w:hAnsi="Candara"/>
              </w:rPr>
            </w:pPr>
            <w:r w:rsidRPr="00C629A3">
              <w:rPr>
                <w:rFonts w:ascii="Candara" w:hAnsi="Candara"/>
              </w:rPr>
              <w:t>-7.22</w:t>
            </w:r>
          </w:p>
        </w:tc>
        <w:tc>
          <w:tcPr>
            <w:tcW w:w="1559" w:type="dxa"/>
          </w:tcPr>
          <w:p w14:paraId="79D15C85" w14:textId="77777777" w:rsidR="00EE389F" w:rsidRPr="00C629A3" w:rsidRDefault="00EE389F" w:rsidP="00AC41C2">
            <w:pPr>
              <w:keepNext/>
              <w:jc w:val="center"/>
              <w:rPr>
                <w:rFonts w:ascii="Candara" w:hAnsi="Candara"/>
              </w:rPr>
            </w:pPr>
            <w:r w:rsidRPr="00C629A3">
              <w:rPr>
                <w:rFonts w:ascii="Candara" w:hAnsi="Candara"/>
              </w:rPr>
              <w:t>0.0</w:t>
            </w:r>
          </w:p>
        </w:tc>
      </w:tr>
      <w:tr w:rsidR="00EE389F" w:rsidRPr="00C629A3" w14:paraId="31469C53" w14:textId="77777777" w:rsidTr="00F42A64">
        <w:trPr>
          <w:trHeight w:val="64"/>
        </w:trPr>
        <w:tc>
          <w:tcPr>
            <w:tcW w:w="905" w:type="dxa"/>
            <w:shd w:val="clear" w:color="auto" w:fill="365F91" w:themeFill="accent1" w:themeFillShade="BF"/>
          </w:tcPr>
          <w:p w14:paraId="34E084D2"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2013</w:t>
            </w:r>
          </w:p>
        </w:tc>
        <w:tc>
          <w:tcPr>
            <w:tcW w:w="1505" w:type="dxa"/>
          </w:tcPr>
          <w:p w14:paraId="24542ADB" w14:textId="77777777" w:rsidR="00EE389F" w:rsidRPr="00C629A3" w:rsidRDefault="00EE389F" w:rsidP="00AC41C2">
            <w:pPr>
              <w:keepNext/>
              <w:jc w:val="center"/>
              <w:rPr>
                <w:rFonts w:ascii="Candara" w:hAnsi="Candara"/>
              </w:rPr>
            </w:pPr>
            <w:r w:rsidRPr="00C629A3">
              <w:rPr>
                <w:rFonts w:ascii="Candara" w:hAnsi="Candara"/>
              </w:rPr>
              <w:t>15.42</w:t>
            </w:r>
          </w:p>
        </w:tc>
        <w:tc>
          <w:tcPr>
            <w:tcW w:w="1417" w:type="dxa"/>
          </w:tcPr>
          <w:p w14:paraId="4BFCE0BC" w14:textId="77777777" w:rsidR="00EE389F" w:rsidRPr="00C629A3" w:rsidRDefault="00EE389F" w:rsidP="00AC41C2">
            <w:pPr>
              <w:keepNext/>
              <w:jc w:val="center"/>
              <w:rPr>
                <w:rFonts w:ascii="Candara" w:hAnsi="Candara"/>
              </w:rPr>
            </w:pPr>
            <w:r w:rsidRPr="00C629A3">
              <w:rPr>
                <w:rFonts w:ascii="Candara" w:hAnsi="Candara"/>
              </w:rPr>
              <w:t>8.19</w:t>
            </w:r>
          </w:p>
        </w:tc>
        <w:tc>
          <w:tcPr>
            <w:tcW w:w="1418" w:type="dxa"/>
          </w:tcPr>
          <w:p w14:paraId="3F466995" w14:textId="77777777" w:rsidR="00EE389F" w:rsidRPr="00C629A3" w:rsidRDefault="00EE389F" w:rsidP="00AC41C2">
            <w:pPr>
              <w:keepNext/>
              <w:jc w:val="center"/>
              <w:rPr>
                <w:rFonts w:ascii="Candara" w:hAnsi="Candara"/>
              </w:rPr>
            </w:pPr>
            <w:r w:rsidRPr="00C629A3">
              <w:rPr>
                <w:rFonts w:ascii="Candara" w:hAnsi="Candara"/>
              </w:rPr>
              <w:t>5.65</w:t>
            </w:r>
          </w:p>
        </w:tc>
        <w:tc>
          <w:tcPr>
            <w:tcW w:w="1559" w:type="dxa"/>
          </w:tcPr>
          <w:p w14:paraId="0B4D5871" w14:textId="77777777" w:rsidR="00EE389F" w:rsidRPr="00C629A3" w:rsidRDefault="00EE389F" w:rsidP="00AC41C2">
            <w:pPr>
              <w:keepNext/>
              <w:jc w:val="center"/>
              <w:rPr>
                <w:rFonts w:ascii="Candara" w:hAnsi="Candara"/>
              </w:rPr>
            </w:pPr>
            <w:r w:rsidRPr="00C629A3">
              <w:rPr>
                <w:rFonts w:ascii="Candara" w:hAnsi="Candara"/>
              </w:rPr>
              <w:t>5.02</w:t>
            </w:r>
          </w:p>
        </w:tc>
      </w:tr>
    </w:tbl>
    <w:p w14:paraId="6AAC793E" w14:textId="5E2EF2A5" w:rsidR="000C66F7" w:rsidRPr="00B211D5" w:rsidRDefault="00EE389F" w:rsidP="00B211D5">
      <w:pPr>
        <w:spacing w:before="120"/>
        <w:rPr>
          <w:rFonts w:ascii="Candara" w:hAnsi="Candara"/>
        </w:rPr>
      </w:pPr>
      <w:r>
        <w:rPr>
          <w:rFonts w:ascii="Candara" w:hAnsi="Candara"/>
        </w:rPr>
        <w:t>T</w:t>
      </w:r>
      <w:r w:rsidRPr="00C629A3">
        <w:rPr>
          <w:rFonts w:ascii="Candara" w:hAnsi="Candara"/>
        </w:rPr>
        <w:t>he majority of these increments and decrements are associated with power supply reliability – illustrating the extent to which businesses are incentivised</w:t>
      </w:r>
      <w:r w:rsidR="00B211D5">
        <w:rPr>
          <w:rFonts w:ascii="Candara" w:hAnsi="Candara"/>
        </w:rPr>
        <w:t xml:space="preserve"> to minimise supply disruption.</w:t>
      </w:r>
      <w:r w:rsidR="00731CF2" w:rsidRPr="00C629A3">
        <w:rPr>
          <w:rStyle w:val="FootnoteReference"/>
          <w:rFonts w:ascii="Candara" w:hAnsi="Candara"/>
        </w:rPr>
        <w:footnoteReference w:id="44"/>
      </w:r>
    </w:p>
    <w:p w14:paraId="75B43D2D" w14:textId="77777777" w:rsidR="00EE389F" w:rsidRPr="000C66F7" w:rsidRDefault="00EE389F" w:rsidP="000C66F7">
      <w:pPr>
        <w:pStyle w:val="BodyText"/>
        <w:rPr>
          <w:b/>
        </w:rPr>
      </w:pPr>
      <w:r w:rsidRPr="000C66F7">
        <w:rPr>
          <w:b/>
        </w:rPr>
        <w:t>Safety Regulatory Framework</w:t>
      </w:r>
    </w:p>
    <w:p w14:paraId="1E9BD8A4" w14:textId="77777777" w:rsidR="00EE389F" w:rsidRPr="00C629A3" w:rsidRDefault="00EE389F" w:rsidP="00EE389F">
      <w:pPr>
        <w:rPr>
          <w:rFonts w:ascii="Candara" w:hAnsi="Candara"/>
        </w:rPr>
      </w:pPr>
      <w:r w:rsidRPr="00C629A3">
        <w:rPr>
          <w:rFonts w:ascii="Candara" w:hAnsi="Candara"/>
        </w:rPr>
        <w:t xml:space="preserve">The </w:t>
      </w:r>
      <w:r w:rsidRPr="00D40E8D">
        <w:rPr>
          <w:rFonts w:ascii="Candara" w:hAnsi="Candara"/>
          <w:i/>
        </w:rPr>
        <w:t>Electricity Safety Act 1998 (Vic)</w:t>
      </w:r>
      <w:r w:rsidRPr="00C629A3">
        <w:rPr>
          <w:rFonts w:ascii="Candara" w:hAnsi="Candara"/>
          <w:i/>
        </w:rPr>
        <w:t xml:space="preserve"> </w:t>
      </w:r>
      <w:r w:rsidRPr="00C629A3">
        <w:rPr>
          <w:rFonts w:ascii="Candara" w:hAnsi="Candara"/>
        </w:rPr>
        <w:t>is the primary instrument which imposes safety obligations on Distribution Network Service Providers. It is administered by Energy Safe Victoria (ESV).</w:t>
      </w:r>
    </w:p>
    <w:p w14:paraId="5BD2D7A1" w14:textId="77777777" w:rsidR="00EE389F" w:rsidRPr="00C629A3" w:rsidRDefault="00EE389F" w:rsidP="00EE389F">
      <w:pPr>
        <w:rPr>
          <w:rFonts w:ascii="Candara" w:hAnsi="Candara"/>
        </w:rPr>
      </w:pPr>
      <w:r w:rsidRPr="00C629A3">
        <w:rPr>
          <w:rFonts w:ascii="Candara" w:hAnsi="Candara"/>
        </w:rPr>
        <w:t xml:space="preserve">Division 1A of the Act places requirements on electricity distribution businesses in respect of bushfire. This section of the Act specifies general duties as well as creating obligations in respect of Bushfire Mitigation Plans (BMPs). </w:t>
      </w:r>
      <w:r>
        <w:rPr>
          <w:rFonts w:ascii="Candara" w:hAnsi="Candara"/>
        </w:rPr>
        <w:t>In particular</w:t>
      </w:r>
      <w:r w:rsidRPr="00C629A3">
        <w:rPr>
          <w:rFonts w:ascii="Candara" w:hAnsi="Candara"/>
        </w:rPr>
        <w:t>, a specified operator of an at-risk electric line is required to:</w:t>
      </w:r>
    </w:p>
    <w:p w14:paraId="42A72357" w14:textId="77777777" w:rsidR="00EE389F" w:rsidRPr="00C629A3" w:rsidRDefault="00EE389F" w:rsidP="00DA018C">
      <w:pPr>
        <w:pStyle w:val="ListParagraph"/>
        <w:numPr>
          <w:ilvl w:val="0"/>
          <w:numId w:val="2"/>
        </w:numPr>
        <w:rPr>
          <w:rFonts w:ascii="Candara" w:hAnsi="Candara"/>
        </w:rPr>
      </w:pPr>
      <w:r w:rsidRPr="00C629A3">
        <w:rPr>
          <w:rFonts w:ascii="Candara" w:hAnsi="Candara"/>
        </w:rPr>
        <w:t xml:space="preserve">submit a bushfire mitigation plan (BMP) to the regulator (Energy Safe Victoria, or ESV) for approval; and </w:t>
      </w:r>
    </w:p>
    <w:p w14:paraId="21039101" w14:textId="77777777" w:rsidR="00EE389F" w:rsidRPr="00C629A3" w:rsidRDefault="00EE389F" w:rsidP="00DA018C">
      <w:pPr>
        <w:pStyle w:val="ListParagraph"/>
        <w:numPr>
          <w:ilvl w:val="0"/>
          <w:numId w:val="2"/>
        </w:numPr>
        <w:rPr>
          <w:rFonts w:ascii="Candara" w:hAnsi="Candara"/>
        </w:rPr>
      </w:pPr>
      <w:r w:rsidRPr="00C629A3">
        <w:rPr>
          <w:rFonts w:ascii="Candara" w:hAnsi="Candara"/>
        </w:rPr>
        <w:t xml:space="preserve">comply with the BMP. </w:t>
      </w:r>
    </w:p>
    <w:p w14:paraId="20DEA962" w14:textId="77777777" w:rsidR="00EE389F" w:rsidRPr="00C629A3" w:rsidRDefault="00EE389F" w:rsidP="00EE389F">
      <w:pPr>
        <w:rPr>
          <w:rFonts w:ascii="Candara" w:hAnsi="Candara"/>
        </w:rPr>
      </w:pPr>
      <w:r w:rsidRPr="00C629A3">
        <w:rPr>
          <w:rFonts w:ascii="Candara" w:hAnsi="Candara"/>
        </w:rPr>
        <w:t xml:space="preserve">The </w:t>
      </w:r>
      <w:r>
        <w:rPr>
          <w:rFonts w:ascii="Candara" w:hAnsi="Candara"/>
        </w:rPr>
        <w:t xml:space="preserve">maximum </w:t>
      </w:r>
      <w:r w:rsidRPr="00C629A3">
        <w:rPr>
          <w:rFonts w:ascii="Candara" w:hAnsi="Candara"/>
        </w:rPr>
        <w:t>penalties for non-compliance are defined in the Act as being 1,500 penalty units (equating to $227,505 at the 2016 penalty unit rate of $151.67).</w:t>
      </w:r>
    </w:p>
    <w:p w14:paraId="1914DC29" w14:textId="384E71F3" w:rsidR="00EE389F" w:rsidRPr="00C629A3" w:rsidRDefault="00EE389F" w:rsidP="00EE389F">
      <w:pPr>
        <w:rPr>
          <w:rFonts w:ascii="Candara" w:hAnsi="Candara"/>
        </w:rPr>
      </w:pPr>
      <w:r w:rsidRPr="00C629A3">
        <w:rPr>
          <w:rFonts w:ascii="Candara" w:hAnsi="Candara"/>
        </w:rPr>
        <w:t>The use of BMPs seeks to address the significant information asymmetry between electricity distribution businesses and the Government</w:t>
      </w:r>
      <w:r>
        <w:rPr>
          <w:rFonts w:ascii="Candara" w:hAnsi="Candara"/>
        </w:rPr>
        <w:t>. T</w:t>
      </w:r>
      <w:r w:rsidRPr="00C629A3">
        <w:rPr>
          <w:rFonts w:ascii="Candara" w:hAnsi="Candara"/>
        </w:rPr>
        <w:t xml:space="preserve">he Government is </w:t>
      </w:r>
      <w:r>
        <w:rPr>
          <w:rFonts w:ascii="Candara" w:hAnsi="Candara"/>
        </w:rPr>
        <w:t>often</w:t>
      </w:r>
      <w:r w:rsidRPr="00C629A3">
        <w:rPr>
          <w:rFonts w:ascii="Candara" w:hAnsi="Candara"/>
        </w:rPr>
        <w:t xml:space="preserve"> in a poor position to prescribe in detail the means whereby geographically extensive, technically complex and dynamic networks should best be constructed and operated so as to minimise bushfire risk. By requiring businesses to write their own BMPs – in pursuit of a broadly-framed bushfire safety objective – it is intended that the party best-placed to specify detailed actions in pursuit of this objective will do so. The regulator (ESV) can then </w:t>
      </w:r>
      <w:r w:rsidR="001A7A1D">
        <w:rPr>
          <w:rFonts w:ascii="Candara" w:hAnsi="Candara"/>
        </w:rPr>
        <w:t>validate</w:t>
      </w:r>
      <w:r w:rsidRPr="00C629A3">
        <w:rPr>
          <w:rFonts w:ascii="Candara" w:hAnsi="Candara"/>
        </w:rPr>
        <w:t xml:space="preserve"> compliance.</w:t>
      </w:r>
    </w:p>
    <w:p w14:paraId="6DFEA253" w14:textId="6CE76006" w:rsidR="00B211D5" w:rsidRPr="00C629A3" w:rsidRDefault="00EE389F" w:rsidP="00EE389F">
      <w:pPr>
        <w:rPr>
          <w:rFonts w:ascii="Candara" w:hAnsi="Candara"/>
        </w:rPr>
      </w:pPr>
      <w:r w:rsidRPr="00C629A3">
        <w:rPr>
          <w:rFonts w:ascii="Candara" w:hAnsi="Candara"/>
        </w:rPr>
        <w:lastRenderedPageBreak/>
        <w:t xml:space="preserve">The approach obligates electricity distribution businesses to perform a bushfire risk assessment on a regular basis, and identify mitigants. It also provides ESV with an instrument which lends itself to compliance </w:t>
      </w:r>
      <w:r w:rsidR="001A7A1D">
        <w:rPr>
          <w:rFonts w:ascii="Candara" w:hAnsi="Candara"/>
        </w:rPr>
        <w:t>validating</w:t>
      </w:r>
      <w:r w:rsidRPr="00C629A3">
        <w:rPr>
          <w:rFonts w:ascii="Candara" w:hAnsi="Candara"/>
        </w:rPr>
        <w:t xml:space="preserve">. ESV then publishes the results for each business in its annual safety performance report. </w:t>
      </w:r>
    </w:p>
    <w:p w14:paraId="7B7F4345" w14:textId="77777777" w:rsidR="00EE389F" w:rsidRPr="000C66F7" w:rsidRDefault="00EE389F" w:rsidP="000C66F7">
      <w:pPr>
        <w:pStyle w:val="BodyText"/>
        <w:rPr>
          <w:b/>
        </w:rPr>
      </w:pPr>
      <w:bookmarkStart w:id="66" w:name="_Ref437507766"/>
      <w:r w:rsidRPr="000C66F7">
        <w:rPr>
          <w:b/>
        </w:rPr>
        <w:t xml:space="preserve">Electricity Distribution Sector </w:t>
      </w:r>
      <w:r w:rsidR="0019257A">
        <w:rPr>
          <w:b/>
        </w:rPr>
        <w:t>a</w:t>
      </w:r>
      <w:r w:rsidRPr="000C66F7">
        <w:rPr>
          <w:b/>
        </w:rPr>
        <w:t>nd Bushfires</w:t>
      </w:r>
      <w:bookmarkEnd w:id="66"/>
    </w:p>
    <w:p w14:paraId="5C44BA55" w14:textId="77777777" w:rsidR="00EE389F" w:rsidRPr="00C629A3" w:rsidRDefault="00EE389F" w:rsidP="00EE389F">
      <w:pPr>
        <w:rPr>
          <w:rFonts w:ascii="Candara" w:hAnsi="Candara"/>
        </w:rPr>
      </w:pPr>
      <w:r w:rsidRPr="00C629A3">
        <w:rPr>
          <w:rFonts w:ascii="Candara" w:hAnsi="Candara"/>
        </w:rPr>
        <w:t xml:space="preserve">Victoria is one of the most bushfire-prone regions of the world. This is due to its geography, which promotes seasonal growth of vegetation, followed by brief periods of intense, dry heat in summer which ‘cures’ this vegetation. In conditions of abundant fuel, high temperatures, low humidity and high winds, a small spark can quickly grow to a conflagration which is essentially unstoppable. </w:t>
      </w:r>
    </w:p>
    <w:p w14:paraId="53AD29EA" w14:textId="77777777" w:rsidR="00EE389F" w:rsidRPr="00C629A3" w:rsidRDefault="00EE389F" w:rsidP="00EE389F">
      <w:pPr>
        <w:rPr>
          <w:rFonts w:ascii="Candara" w:hAnsi="Candara"/>
        </w:rPr>
      </w:pPr>
      <w:r w:rsidRPr="00C629A3">
        <w:rPr>
          <w:rFonts w:ascii="Candara" w:hAnsi="Candara"/>
        </w:rPr>
        <w:t xml:space="preserve">Electricity infrastructure has been linked to deadly bushfires in four years: 1969, 1977, 1983 and 2009. Electricity was not widely present in the Victorian landscape before the </w:t>
      </w:r>
      <w:r>
        <w:rPr>
          <w:rFonts w:ascii="Candara" w:hAnsi="Candara"/>
        </w:rPr>
        <w:t>State Electricity Commission of Victoria’s (SECV)</w:t>
      </w:r>
      <w:r w:rsidRPr="00C629A3">
        <w:rPr>
          <w:rFonts w:ascii="Candara" w:hAnsi="Candara"/>
        </w:rPr>
        <w:t xml:space="preserve"> rural electrification program was completed in the 1960s, and consequently has only been a factor in bushfire ignition since that time.</w:t>
      </w:r>
    </w:p>
    <w:p w14:paraId="352DEA73" w14:textId="2D05702B" w:rsidR="00EE389F" w:rsidRDefault="00EE389F" w:rsidP="00EE389F">
      <w:pPr>
        <w:rPr>
          <w:rFonts w:ascii="Candara" w:hAnsi="Candara"/>
        </w:rPr>
      </w:pPr>
      <w:r w:rsidRPr="00C629A3">
        <w:rPr>
          <w:rFonts w:ascii="Candara" w:hAnsi="Candara"/>
        </w:rPr>
        <w:t>Inquiries were conducted in the wake of the catastrophic bushfires in these years, which showed the link to electricity assets. In general</w:t>
      </w:r>
      <w:r>
        <w:rPr>
          <w:rFonts w:ascii="Candara" w:hAnsi="Candara"/>
        </w:rPr>
        <w:t>,</w:t>
      </w:r>
      <w:r w:rsidRPr="00C629A3">
        <w:rPr>
          <w:rFonts w:ascii="Candara" w:hAnsi="Candara"/>
        </w:rPr>
        <w:t xml:space="preserve"> however</w:t>
      </w:r>
      <w:r>
        <w:rPr>
          <w:rFonts w:ascii="Candara" w:hAnsi="Candara"/>
        </w:rPr>
        <w:t>,</w:t>
      </w:r>
      <w:r w:rsidRPr="00C629A3">
        <w:rPr>
          <w:rFonts w:ascii="Candara" w:hAnsi="Candara"/>
        </w:rPr>
        <w:t xml:space="preserve"> data collection on bushfires and their causes has been poor until recently. For the period for which consistent and reliable data are available, electricity assets have caused an average of </w:t>
      </w:r>
      <w:r w:rsidR="00700509">
        <w:rPr>
          <w:rFonts w:ascii="Candara" w:hAnsi="Candara"/>
        </w:rPr>
        <w:t>793</w:t>
      </w:r>
      <w:r w:rsidRPr="00C629A3">
        <w:rPr>
          <w:rFonts w:ascii="Candara" w:hAnsi="Candara"/>
        </w:rPr>
        <w:t xml:space="preserve"> fires per annum, as illustrated below</w:t>
      </w:r>
      <w:r w:rsidRPr="00C629A3">
        <w:rPr>
          <w:rStyle w:val="FootnoteReference"/>
          <w:rFonts w:ascii="Candara" w:hAnsi="Candara"/>
        </w:rPr>
        <w:footnoteReference w:id="45"/>
      </w:r>
      <w:r w:rsidRPr="00C629A3">
        <w:rPr>
          <w:rFonts w:ascii="Candara" w:hAnsi="Candara"/>
        </w:rPr>
        <w:t>:</w:t>
      </w:r>
    </w:p>
    <w:p w14:paraId="12847D85" w14:textId="021019CA" w:rsidR="00731CF2" w:rsidRPr="00731CF2" w:rsidRDefault="00731CF2" w:rsidP="00731CF2">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w:t>
      </w:r>
      <w:r w:rsidR="006F0521">
        <w:rPr>
          <w:rStyle w:val="Heading6Char"/>
        </w:rPr>
        <w:t>1</w:t>
      </w:r>
      <w:r>
        <w:rPr>
          <w:rStyle w:val="Heading6Char"/>
        </w:rPr>
        <w:t>.5: Distribution network fire starts</w:t>
      </w:r>
    </w:p>
    <w:tbl>
      <w:tblPr>
        <w:tblStyle w:val="TableGrid"/>
        <w:tblW w:w="0" w:type="auto"/>
        <w:tblInd w:w="2251" w:type="dxa"/>
        <w:tblLook w:val="04A0" w:firstRow="1" w:lastRow="0" w:firstColumn="1" w:lastColumn="0" w:noHBand="0" w:noVBand="1"/>
      </w:tblPr>
      <w:tblGrid>
        <w:gridCol w:w="1246"/>
        <w:gridCol w:w="833"/>
        <w:gridCol w:w="725"/>
        <w:gridCol w:w="738"/>
        <w:gridCol w:w="738"/>
        <w:gridCol w:w="1002"/>
      </w:tblGrid>
      <w:tr w:rsidR="00700509" w:rsidRPr="00C629A3" w14:paraId="18D4A690" w14:textId="77777777" w:rsidTr="00DF4694">
        <w:tc>
          <w:tcPr>
            <w:tcW w:w="1246" w:type="dxa"/>
            <w:shd w:val="clear" w:color="auto" w:fill="365F91" w:themeFill="accent1" w:themeFillShade="BF"/>
          </w:tcPr>
          <w:p w14:paraId="33E0FFF9"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Year</w:t>
            </w:r>
          </w:p>
        </w:tc>
        <w:tc>
          <w:tcPr>
            <w:tcW w:w="833" w:type="dxa"/>
            <w:shd w:val="clear" w:color="auto" w:fill="365F91" w:themeFill="accent1" w:themeFillShade="BF"/>
          </w:tcPr>
          <w:p w14:paraId="59C8B851"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2012</w:t>
            </w:r>
          </w:p>
        </w:tc>
        <w:tc>
          <w:tcPr>
            <w:tcW w:w="725" w:type="dxa"/>
            <w:shd w:val="clear" w:color="auto" w:fill="365F91" w:themeFill="accent1" w:themeFillShade="BF"/>
          </w:tcPr>
          <w:p w14:paraId="0453D27F"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2013</w:t>
            </w:r>
          </w:p>
        </w:tc>
        <w:tc>
          <w:tcPr>
            <w:tcW w:w="738" w:type="dxa"/>
            <w:shd w:val="clear" w:color="auto" w:fill="365F91" w:themeFill="accent1" w:themeFillShade="BF"/>
          </w:tcPr>
          <w:p w14:paraId="1EBF082A"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2014</w:t>
            </w:r>
          </w:p>
        </w:tc>
        <w:tc>
          <w:tcPr>
            <w:tcW w:w="738" w:type="dxa"/>
            <w:shd w:val="clear" w:color="auto" w:fill="365F91" w:themeFill="accent1" w:themeFillShade="BF"/>
          </w:tcPr>
          <w:p w14:paraId="21A8E550"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201</w:t>
            </w:r>
            <w:r>
              <w:rPr>
                <w:rFonts w:ascii="Candara" w:hAnsi="Candara"/>
                <w:b/>
                <w:color w:val="F2F2F2" w:themeColor="background1" w:themeShade="F2"/>
              </w:rPr>
              <w:t>5</w:t>
            </w:r>
          </w:p>
        </w:tc>
        <w:tc>
          <w:tcPr>
            <w:tcW w:w="1002" w:type="dxa"/>
            <w:shd w:val="clear" w:color="auto" w:fill="365F91" w:themeFill="accent1" w:themeFillShade="BF"/>
          </w:tcPr>
          <w:p w14:paraId="6771EE6C" w14:textId="77777777" w:rsidR="00700509" w:rsidRPr="009132DA" w:rsidRDefault="00700509" w:rsidP="00DF4694">
            <w:pPr>
              <w:keepNext/>
              <w:rPr>
                <w:rFonts w:ascii="Candara" w:hAnsi="Candara"/>
                <w:b/>
                <w:color w:val="F2F2F2" w:themeColor="background1" w:themeShade="F2"/>
              </w:rPr>
            </w:pPr>
            <w:r w:rsidRPr="009132DA">
              <w:rPr>
                <w:rFonts w:ascii="Candara" w:hAnsi="Candara"/>
                <w:b/>
                <w:color w:val="F2F2F2" w:themeColor="background1" w:themeShade="F2"/>
              </w:rPr>
              <w:t>Average</w:t>
            </w:r>
          </w:p>
        </w:tc>
      </w:tr>
      <w:tr w:rsidR="00700509" w:rsidRPr="00C629A3" w14:paraId="105A7171" w14:textId="77777777" w:rsidTr="00DF4694">
        <w:tc>
          <w:tcPr>
            <w:tcW w:w="1246" w:type="dxa"/>
          </w:tcPr>
          <w:p w14:paraId="3106A96C" w14:textId="77777777" w:rsidR="00700509" w:rsidRPr="00C629A3" w:rsidRDefault="00700509" w:rsidP="00DF4694">
            <w:pPr>
              <w:keepNext/>
              <w:rPr>
                <w:rFonts w:ascii="Candara" w:hAnsi="Candara"/>
              </w:rPr>
            </w:pPr>
            <w:r w:rsidRPr="00C629A3">
              <w:rPr>
                <w:rFonts w:ascii="Candara" w:hAnsi="Candara"/>
              </w:rPr>
              <w:t>Fire starts</w:t>
            </w:r>
          </w:p>
        </w:tc>
        <w:tc>
          <w:tcPr>
            <w:tcW w:w="833" w:type="dxa"/>
          </w:tcPr>
          <w:p w14:paraId="679E562B" w14:textId="77777777" w:rsidR="00700509" w:rsidRPr="00C629A3" w:rsidRDefault="00700509" w:rsidP="00DF4694">
            <w:pPr>
              <w:keepNext/>
              <w:rPr>
                <w:rFonts w:ascii="Candara" w:hAnsi="Candara"/>
              </w:rPr>
            </w:pPr>
            <w:r w:rsidRPr="00C629A3">
              <w:rPr>
                <w:rFonts w:ascii="Candara" w:hAnsi="Candara"/>
              </w:rPr>
              <w:t>638</w:t>
            </w:r>
          </w:p>
        </w:tc>
        <w:tc>
          <w:tcPr>
            <w:tcW w:w="725" w:type="dxa"/>
          </w:tcPr>
          <w:p w14:paraId="405CA9D4" w14:textId="77777777" w:rsidR="00700509" w:rsidRPr="00C629A3" w:rsidRDefault="00700509" w:rsidP="00DF4694">
            <w:pPr>
              <w:keepNext/>
              <w:rPr>
                <w:rFonts w:ascii="Candara" w:hAnsi="Candara"/>
              </w:rPr>
            </w:pPr>
            <w:r w:rsidRPr="00C629A3">
              <w:rPr>
                <w:rFonts w:ascii="Candara" w:hAnsi="Candara"/>
              </w:rPr>
              <w:t>925</w:t>
            </w:r>
          </w:p>
        </w:tc>
        <w:tc>
          <w:tcPr>
            <w:tcW w:w="738" w:type="dxa"/>
          </w:tcPr>
          <w:p w14:paraId="3DEC0DAC" w14:textId="77777777" w:rsidR="00700509" w:rsidRPr="00C629A3" w:rsidRDefault="00700509" w:rsidP="00DF4694">
            <w:pPr>
              <w:keepNext/>
              <w:rPr>
                <w:rFonts w:ascii="Candara" w:hAnsi="Candara"/>
              </w:rPr>
            </w:pPr>
            <w:r w:rsidRPr="00C629A3">
              <w:rPr>
                <w:rFonts w:ascii="Candara" w:hAnsi="Candara"/>
              </w:rPr>
              <w:t>974</w:t>
            </w:r>
          </w:p>
        </w:tc>
        <w:tc>
          <w:tcPr>
            <w:tcW w:w="738" w:type="dxa"/>
          </w:tcPr>
          <w:p w14:paraId="23D5494A" w14:textId="77777777" w:rsidR="00700509" w:rsidRPr="00C629A3" w:rsidRDefault="00700509" w:rsidP="00DF4694">
            <w:pPr>
              <w:keepNext/>
              <w:rPr>
                <w:rFonts w:ascii="Candara" w:hAnsi="Candara"/>
              </w:rPr>
            </w:pPr>
            <w:r>
              <w:rPr>
                <w:rFonts w:ascii="Candara" w:hAnsi="Candara"/>
              </w:rPr>
              <w:t>635</w:t>
            </w:r>
          </w:p>
        </w:tc>
        <w:tc>
          <w:tcPr>
            <w:tcW w:w="1002" w:type="dxa"/>
          </w:tcPr>
          <w:p w14:paraId="48697280" w14:textId="77777777" w:rsidR="00700509" w:rsidRPr="00C629A3" w:rsidRDefault="00700509" w:rsidP="00DF4694">
            <w:pPr>
              <w:keepNext/>
              <w:rPr>
                <w:rFonts w:ascii="Candara" w:hAnsi="Candara"/>
              </w:rPr>
            </w:pPr>
            <w:r>
              <w:rPr>
                <w:rFonts w:ascii="Candara" w:hAnsi="Candara"/>
              </w:rPr>
              <w:t>793</w:t>
            </w:r>
          </w:p>
        </w:tc>
      </w:tr>
    </w:tbl>
    <w:p w14:paraId="74D1E8E8" w14:textId="77777777" w:rsidR="00700509" w:rsidRPr="00C629A3" w:rsidRDefault="00700509" w:rsidP="00EE389F">
      <w:pPr>
        <w:rPr>
          <w:rFonts w:ascii="Candara" w:hAnsi="Candara"/>
        </w:rPr>
      </w:pPr>
    </w:p>
    <w:p w14:paraId="132056B4" w14:textId="0FE3CFD1" w:rsidR="000C66F7" w:rsidRPr="00511244" w:rsidRDefault="00EE389F" w:rsidP="00511244">
      <w:pPr>
        <w:rPr>
          <w:rFonts w:ascii="Candara" w:hAnsi="Candara"/>
        </w:rPr>
      </w:pPr>
      <w:r w:rsidRPr="00C629A3">
        <w:rPr>
          <w:rFonts w:ascii="Candara" w:hAnsi="Candara"/>
        </w:rPr>
        <w:t xml:space="preserve">These figures represent all fires in both urban and rural locations, not </w:t>
      </w:r>
      <w:r w:rsidR="009A68AC">
        <w:rPr>
          <w:rFonts w:ascii="Candara" w:hAnsi="Candara"/>
        </w:rPr>
        <w:t>all of</w:t>
      </w:r>
      <w:r w:rsidRPr="00C629A3">
        <w:rPr>
          <w:rFonts w:ascii="Candara" w:hAnsi="Candara"/>
        </w:rPr>
        <w:t xml:space="preserve"> which </w:t>
      </w:r>
      <w:r w:rsidR="009A68AC">
        <w:rPr>
          <w:rFonts w:ascii="Candara" w:hAnsi="Candara"/>
        </w:rPr>
        <w:t xml:space="preserve">have the potential to </w:t>
      </w:r>
      <w:r w:rsidRPr="00C629A3">
        <w:rPr>
          <w:rFonts w:ascii="Candara" w:hAnsi="Candara"/>
        </w:rPr>
        <w:t xml:space="preserve">subsequently evolve into bushfires. However, in high risk conditions (defined by weather and ground fuel), </w:t>
      </w:r>
      <w:r w:rsidR="009A68AC">
        <w:rPr>
          <w:rFonts w:ascii="Candara" w:hAnsi="Candara"/>
        </w:rPr>
        <w:t>certain</w:t>
      </w:r>
      <w:r w:rsidRPr="00C629A3">
        <w:rPr>
          <w:rFonts w:ascii="Candara" w:hAnsi="Candara"/>
        </w:rPr>
        <w:t xml:space="preserve"> fires have the potential to evolve into bushfires. Further,  among those high consequence bushfires (i.e. those which cause fatalities), electricity assets are disproportionately represented as a cause</w:t>
      </w:r>
      <w:r w:rsidRPr="00C629A3">
        <w:rPr>
          <w:rStyle w:val="FootnoteReference"/>
          <w:rFonts w:ascii="Candara" w:hAnsi="Candara"/>
        </w:rPr>
        <w:footnoteReference w:id="46"/>
      </w:r>
      <w:r w:rsidRPr="00C629A3">
        <w:rPr>
          <w:rFonts w:ascii="Candara" w:hAnsi="Candara"/>
        </w:rPr>
        <w:t xml:space="preserve">. </w:t>
      </w:r>
    </w:p>
    <w:p w14:paraId="6C489E11" w14:textId="77777777" w:rsidR="00EE389F" w:rsidRPr="000C66F7" w:rsidRDefault="0019257A" w:rsidP="000C66F7">
      <w:pPr>
        <w:pStyle w:val="BodyText"/>
        <w:rPr>
          <w:b/>
        </w:rPr>
      </w:pPr>
      <w:r>
        <w:rPr>
          <w:b/>
        </w:rPr>
        <w:t>Actions Taken t</w:t>
      </w:r>
      <w:r w:rsidR="00EE389F" w:rsidRPr="000C66F7">
        <w:rPr>
          <w:b/>
        </w:rPr>
        <w:t>o Reduce Bushfire Risk</w:t>
      </w:r>
    </w:p>
    <w:p w14:paraId="38E4D2FC" w14:textId="77777777" w:rsidR="00EE389F" w:rsidRDefault="00EE389F" w:rsidP="00EE389F">
      <w:pPr>
        <w:rPr>
          <w:rFonts w:ascii="Candara" w:hAnsi="Candara"/>
        </w:rPr>
      </w:pPr>
      <w:r w:rsidRPr="00C629A3">
        <w:rPr>
          <w:rFonts w:ascii="Candara" w:hAnsi="Candara"/>
        </w:rPr>
        <w:t>The VBRC recommended eight separate actions be undertaken to reduce powerline bushfire risk in the future. Five of these comprise regulatory obligations imposed on electricity distribution businesses:</w:t>
      </w:r>
    </w:p>
    <w:p w14:paraId="5AAEB131" w14:textId="77777777" w:rsidR="00731CF2" w:rsidRDefault="00731CF2" w:rsidP="00EE389F">
      <w:pPr>
        <w:rPr>
          <w:rFonts w:ascii="Candara" w:hAnsi="Candara"/>
        </w:rPr>
      </w:pPr>
    </w:p>
    <w:p w14:paraId="7AD089E0" w14:textId="77777777" w:rsidR="00731CF2" w:rsidRDefault="00731CF2" w:rsidP="00EE389F">
      <w:pPr>
        <w:rPr>
          <w:rFonts w:ascii="Candara" w:hAnsi="Candara"/>
        </w:rPr>
      </w:pPr>
    </w:p>
    <w:p w14:paraId="303DDFF0" w14:textId="77777777" w:rsidR="00731CF2" w:rsidRDefault="00731CF2" w:rsidP="00EE389F">
      <w:pPr>
        <w:rPr>
          <w:rFonts w:ascii="Candara" w:hAnsi="Candara"/>
        </w:rPr>
      </w:pPr>
    </w:p>
    <w:p w14:paraId="3347B923" w14:textId="746C83FB" w:rsidR="00731CF2" w:rsidRPr="00731CF2" w:rsidRDefault="00731CF2" w:rsidP="00731CF2">
      <w:pPr>
        <w:autoSpaceDE w:val="0"/>
        <w:autoSpaceDN w:val="0"/>
        <w:adjustRightInd w:val="0"/>
        <w:spacing w:before="120" w:after="80"/>
        <w:rPr>
          <w:rStyle w:val="Heading6Char"/>
          <w:i w:val="0"/>
          <w:iCs w:val="0"/>
        </w:rPr>
      </w:pPr>
      <w:r>
        <w:rPr>
          <w:rStyle w:val="Heading6Char"/>
        </w:rPr>
        <w:lastRenderedPageBreak/>
        <w:t>Figure A</w:t>
      </w:r>
      <w:r w:rsidR="006F0521">
        <w:rPr>
          <w:rStyle w:val="Heading6Char"/>
        </w:rPr>
        <w:t>1</w:t>
      </w:r>
      <w:r>
        <w:rPr>
          <w:rStyle w:val="Heading6Char"/>
        </w:rPr>
        <w:t>.</w:t>
      </w:r>
      <w:r w:rsidR="006F0521">
        <w:rPr>
          <w:rStyle w:val="Heading6Char"/>
        </w:rPr>
        <w:t>6</w:t>
      </w:r>
      <w:r>
        <w:rPr>
          <w:rStyle w:val="Heading6Char"/>
        </w:rPr>
        <w:t xml:space="preserve">: </w:t>
      </w:r>
      <w:r w:rsidR="006F0521">
        <w:rPr>
          <w:rStyle w:val="Heading6Char"/>
        </w:rPr>
        <w:t>Victorian Bushfire Recommendation Commission Recommendations</w:t>
      </w:r>
    </w:p>
    <w:tbl>
      <w:tblPr>
        <w:tblStyle w:val="TableGrid"/>
        <w:tblW w:w="9322" w:type="dxa"/>
        <w:tblLook w:val="04A0" w:firstRow="1" w:lastRow="0" w:firstColumn="1" w:lastColumn="0" w:noHBand="0" w:noVBand="1"/>
      </w:tblPr>
      <w:tblGrid>
        <w:gridCol w:w="1101"/>
        <w:gridCol w:w="4394"/>
        <w:gridCol w:w="3827"/>
      </w:tblGrid>
      <w:tr w:rsidR="00EE389F" w:rsidRPr="00C629A3" w14:paraId="6C22B747" w14:textId="77777777" w:rsidTr="00F42A64">
        <w:tc>
          <w:tcPr>
            <w:tcW w:w="1101" w:type="dxa"/>
            <w:tcBorders>
              <w:bottom w:val="single" w:sz="4" w:space="0" w:color="auto"/>
            </w:tcBorders>
            <w:shd w:val="clear" w:color="auto" w:fill="365F91" w:themeFill="accent1" w:themeFillShade="BF"/>
          </w:tcPr>
          <w:p w14:paraId="3D7EDB19"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VBRC rec.</w:t>
            </w:r>
          </w:p>
        </w:tc>
        <w:tc>
          <w:tcPr>
            <w:tcW w:w="4394" w:type="dxa"/>
            <w:shd w:val="clear" w:color="auto" w:fill="365F91" w:themeFill="accent1" w:themeFillShade="BF"/>
          </w:tcPr>
          <w:p w14:paraId="46A827D9"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Action</w:t>
            </w:r>
          </w:p>
        </w:tc>
        <w:tc>
          <w:tcPr>
            <w:tcW w:w="3827" w:type="dxa"/>
            <w:shd w:val="clear" w:color="auto" w:fill="365F91" w:themeFill="accent1" w:themeFillShade="BF"/>
          </w:tcPr>
          <w:p w14:paraId="3C0D7A89" w14:textId="77777777" w:rsidR="00EE389F" w:rsidRPr="00F42A64" w:rsidRDefault="00EE389F" w:rsidP="00AC41C2">
            <w:pPr>
              <w:keepNext/>
              <w:rPr>
                <w:rFonts w:ascii="Candara" w:hAnsi="Candara"/>
                <w:b/>
                <w:color w:val="F2F2F2" w:themeColor="background1" w:themeShade="F2"/>
              </w:rPr>
            </w:pPr>
            <w:r w:rsidRPr="00F42A64">
              <w:rPr>
                <w:rFonts w:ascii="Candara" w:hAnsi="Candara"/>
                <w:b/>
                <w:color w:val="F2F2F2" w:themeColor="background1" w:themeShade="F2"/>
              </w:rPr>
              <w:t>Instrument</w:t>
            </w:r>
          </w:p>
        </w:tc>
      </w:tr>
      <w:tr w:rsidR="00EE389F" w:rsidRPr="00C629A3" w14:paraId="737C5807" w14:textId="77777777" w:rsidTr="00F42A64">
        <w:tc>
          <w:tcPr>
            <w:tcW w:w="1101" w:type="dxa"/>
            <w:shd w:val="clear" w:color="auto" w:fill="365F91" w:themeFill="accent1" w:themeFillShade="BF"/>
          </w:tcPr>
          <w:p w14:paraId="0ADE1303"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27</w:t>
            </w:r>
          </w:p>
        </w:tc>
        <w:tc>
          <w:tcPr>
            <w:tcW w:w="4394" w:type="dxa"/>
          </w:tcPr>
          <w:p w14:paraId="048C0314" w14:textId="77777777" w:rsidR="00EE389F" w:rsidRPr="00C629A3" w:rsidRDefault="00EE389F" w:rsidP="00AC41C2">
            <w:pPr>
              <w:keepNext/>
              <w:rPr>
                <w:rFonts w:ascii="Candara" w:hAnsi="Candara"/>
              </w:rPr>
            </w:pPr>
            <w:r w:rsidRPr="00C629A3">
              <w:rPr>
                <w:rFonts w:ascii="Candara" w:hAnsi="Candara"/>
              </w:rPr>
              <w:t>Replace bare-wire 22kV and SWER lines in high bushfire risk areas with technologies which significantly reduce bushfire risk</w:t>
            </w:r>
          </w:p>
        </w:tc>
        <w:tc>
          <w:tcPr>
            <w:tcW w:w="3827" w:type="dxa"/>
          </w:tcPr>
          <w:p w14:paraId="0A5ED775" w14:textId="77777777" w:rsidR="00EE389F" w:rsidRPr="00D40E8D" w:rsidRDefault="00EE389F" w:rsidP="00AC41C2">
            <w:pPr>
              <w:keepNext/>
              <w:rPr>
                <w:rFonts w:ascii="Candara" w:hAnsi="Candara"/>
                <w:i/>
              </w:rPr>
            </w:pPr>
            <w:r w:rsidRPr="00D40E8D">
              <w:rPr>
                <w:rFonts w:ascii="Candara" w:hAnsi="Candara"/>
                <w:i/>
              </w:rPr>
              <w:t>Electricity Safety (Bushfire Mitigation) Regulations</w:t>
            </w:r>
          </w:p>
        </w:tc>
      </w:tr>
      <w:tr w:rsidR="00EE389F" w:rsidRPr="00C629A3" w14:paraId="318215C8" w14:textId="77777777" w:rsidTr="00F42A64">
        <w:tc>
          <w:tcPr>
            <w:tcW w:w="1101" w:type="dxa"/>
            <w:shd w:val="clear" w:color="auto" w:fill="365F91" w:themeFill="accent1" w:themeFillShade="BF"/>
          </w:tcPr>
          <w:p w14:paraId="0449EB0D"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28</w:t>
            </w:r>
          </w:p>
        </w:tc>
        <w:tc>
          <w:tcPr>
            <w:tcW w:w="4394" w:type="dxa"/>
          </w:tcPr>
          <w:p w14:paraId="22CAF16B" w14:textId="77777777" w:rsidR="00EE389F" w:rsidRPr="00C629A3" w:rsidRDefault="00EE389F" w:rsidP="00AC41C2">
            <w:pPr>
              <w:keepNext/>
              <w:rPr>
                <w:rFonts w:ascii="Candara" w:hAnsi="Candara"/>
              </w:rPr>
            </w:pPr>
            <w:r w:rsidRPr="00C629A3">
              <w:rPr>
                <w:rFonts w:ascii="Candara" w:hAnsi="Candara"/>
              </w:rPr>
              <w:t>Asset inspection at three-yearly intervals</w:t>
            </w:r>
          </w:p>
        </w:tc>
        <w:tc>
          <w:tcPr>
            <w:tcW w:w="3827" w:type="dxa"/>
          </w:tcPr>
          <w:p w14:paraId="5E9C6957" w14:textId="77777777" w:rsidR="00EE389F" w:rsidRPr="00D40E8D" w:rsidRDefault="00EE389F" w:rsidP="00AC41C2">
            <w:pPr>
              <w:keepNext/>
              <w:rPr>
                <w:rFonts w:ascii="Candara" w:hAnsi="Candara"/>
                <w:i/>
              </w:rPr>
            </w:pPr>
            <w:r w:rsidRPr="00D40E8D">
              <w:rPr>
                <w:rFonts w:ascii="Candara" w:hAnsi="Candara"/>
                <w:i/>
              </w:rPr>
              <w:t>Electricity Safety (Bushfire Mitigation) Regulations</w:t>
            </w:r>
          </w:p>
        </w:tc>
      </w:tr>
      <w:tr w:rsidR="00EE389F" w:rsidRPr="00C629A3" w14:paraId="6FF8D172" w14:textId="77777777" w:rsidTr="00F42A64">
        <w:tc>
          <w:tcPr>
            <w:tcW w:w="1101" w:type="dxa"/>
            <w:shd w:val="clear" w:color="auto" w:fill="365F91" w:themeFill="accent1" w:themeFillShade="BF"/>
          </w:tcPr>
          <w:p w14:paraId="668A7810"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29</w:t>
            </w:r>
          </w:p>
        </w:tc>
        <w:tc>
          <w:tcPr>
            <w:tcW w:w="4394" w:type="dxa"/>
          </w:tcPr>
          <w:p w14:paraId="692CF8EB" w14:textId="77777777" w:rsidR="00EE389F" w:rsidRPr="00C629A3" w:rsidRDefault="00EE389F" w:rsidP="00AC41C2">
            <w:pPr>
              <w:keepNext/>
              <w:rPr>
                <w:rFonts w:ascii="Candara" w:hAnsi="Candara"/>
              </w:rPr>
            </w:pPr>
            <w:r w:rsidRPr="00C629A3">
              <w:rPr>
                <w:rFonts w:ascii="Candara" w:hAnsi="Candara"/>
              </w:rPr>
              <w:t>Enhanced training for asset inspectors</w:t>
            </w:r>
          </w:p>
        </w:tc>
        <w:tc>
          <w:tcPr>
            <w:tcW w:w="3827" w:type="dxa"/>
          </w:tcPr>
          <w:p w14:paraId="7D5639EA" w14:textId="77777777" w:rsidR="00EE389F" w:rsidRPr="00D40E8D" w:rsidRDefault="00EE389F" w:rsidP="00AC41C2">
            <w:pPr>
              <w:keepNext/>
              <w:rPr>
                <w:rFonts w:ascii="Candara" w:hAnsi="Candara"/>
                <w:i/>
              </w:rPr>
            </w:pPr>
            <w:r w:rsidRPr="00D40E8D">
              <w:rPr>
                <w:rFonts w:ascii="Candara" w:hAnsi="Candara"/>
                <w:i/>
              </w:rPr>
              <w:t>Electricity Safety (Bushfire Mitigation) Regulations</w:t>
            </w:r>
          </w:p>
        </w:tc>
      </w:tr>
      <w:tr w:rsidR="00EE389F" w:rsidRPr="00C629A3" w14:paraId="67BEC639" w14:textId="77777777" w:rsidTr="00F42A64">
        <w:tc>
          <w:tcPr>
            <w:tcW w:w="1101" w:type="dxa"/>
            <w:shd w:val="clear" w:color="auto" w:fill="365F91" w:themeFill="accent1" w:themeFillShade="BF"/>
          </w:tcPr>
          <w:p w14:paraId="378803F7"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30</w:t>
            </w:r>
          </w:p>
        </w:tc>
        <w:tc>
          <w:tcPr>
            <w:tcW w:w="4394" w:type="dxa"/>
          </w:tcPr>
          <w:p w14:paraId="780CF6D0" w14:textId="77777777" w:rsidR="00EE389F" w:rsidRPr="00C629A3" w:rsidRDefault="00EE389F" w:rsidP="00AC41C2">
            <w:pPr>
              <w:keepNext/>
              <w:rPr>
                <w:rFonts w:ascii="Candara" w:hAnsi="Candara"/>
              </w:rPr>
            </w:pPr>
            <w:r w:rsidRPr="00C629A3">
              <w:rPr>
                <w:rFonts w:ascii="Candara" w:hAnsi="Candara"/>
              </w:rPr>
              <w:t>Address hazard trees (large trees outside the easement which may come into contact with the powerline)</w:t>
            </w:r>
          </w:p>
        </w:tc>
        <w:tc>
          <w:tcPr>
            <w:tcW w:w="3827" w:type="dxa"/>
          </w:tcPr>
          <w:p w14:paraId="246592D5" w14:textId="77777777" w:rsidR="00EE389F" w:rsidRPr="00D40E8D" w:rsidRDefault="00EE389F" w:rsidP="00AC41C2">
            <w:pPr>
              <w:keepNext/>
              <w:rPr>
                <w:rFonts w:ascii="Candara" w:hAnsi="Candara"/>
                <w:i/>
              </w:rPr>
            </w:pPr>
            <w:r w:rsidRPr="00D40E8D">
              <w:rPr>
                <w:rFonts w:ascii="Candara" w:hAnsi="Candara"/>
                <w:i/>
              </w:rPr>
              <w:t xml:space="preserve">Electricity Safety </w:t>
            </w:r>
            <w:r>
              <w:rPr>
                <w:rFonts w:ascii="Candara" w:hAnsi="Candara"/>
                <w:i/>
              </w:rPr>
              <w:t>Act section 86 B</w:t>
            </w:r>
          </w:p>
        </w:tc>
      </w:tr>
      <w:tr w:rsidR="00EE389F" w:rsidRPr="00C629A3" w14:paraId="40160F23" w14:textId="77777777" w:rsidTr="00F42A64">
        <w:tc>
          <w:tcPr>
            <w:tcW w:w="1101" w:type="dxa"/>
            <w:shd w:val="clear" w:color="auto" w:fill="365F91" w:themeFill="accent1" w:themeFillShade="BF"/>
          </w:tcPr>
          <w:p w14:paraId="1CC7788A"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32</w:t>
            </w:r>
          </w:p>
        </w:tc>
        <w:tc>
          <w:tcPr>
            <w:tcW w:w="4394" w:type="dxa"/>
          </w:tcPr>
          <w:p w14:paraId="2B67F4F7" w14:textId="77777777" w:rsidR="00EE389F" w:rsidRPr="00C629A3" w:rsidRDefault="00EE389F" w:rsidP="00AC41C2">
            <w:pPr>
              <w:keepNext/>
              <w:rPr>
                <w:rFonts w:ascii="Candara" w:hAnsi="Candara"/>
              </w:rPr>
            </w:pPr>
            <w:r w:rsidRPr="00C629A3">
              <w:rPr>
                <w:rFonts w:ascii="Candara" w:hAnsi="Candara"/>
              </w:rPr>
              <w:t>Enhance safety settings on automatic circuit reclosers</w:t>
            </w:r>
          </w:p>
        </w:tc>
        <w:tc>
          <w:tcPr>
            <w:tcW w:w="3827" w:type="dxa"/>
          </w:tcPr>
          <w:p w14:paraId="4E2D6F5D" w14:textId="77777777" w:rsidR="00EE389F" w:rsidRPr="00C629A3" w:rsidRDefault="00EE389F" w:rsidP="00AC41C2">
            <w:pPr>
              <w:keepNext/>
              <w:rPr>
                <w:rFonts w:ascii="Candara" w:hAnsi="Candara"/>
              </w:rPr>
            </w:pPr>
            <w:r w:rsidRPr="00C629A3">
              <w:rPr>
                <w:rFonts w:ascii="Candara" w:hAnsi="Candara"/>
              </w:rPr>
              <w:t>ESV directions; information-based</w:t>
            </w:r>
          </w:p>
        </w:tc>
      </w:tr>
      <w:tr w:rsidR="00EE389F" w:rsidRPr="00C629A3" w14:paraId="1BB2E9F9" w14:textId="77777777" w:rsidTr="00F42A64">
        <w:tc>
          <w:tcPr>
            <w:tcW w:w="1101" w:type="dxa"/>
            <w:shd w:val="clear" w:color="auto" w:fill="365F91" w:themeFill="accent1" w:themeFillShade="BF"/>
          </w:tcPr>
          <w:p w14:paraId="294F8F14" w14:textId="77777777" w:rsidR="00EE389F" w:rsidRPr="00F42A64" w:rsidRDefault="00EE389F" w:rsidP="00AC41C2">
            <w:pPr>
              <w:keepNext/>
              <w:rPr>
                <w:rFonts w:ascii="Candara" w:hAnsi="Candara"/>
                <w:color w:val="F2F2F2" w:themeColor="background1" w:themeShade="F2"/>
              </w:rPr>
            </w:pPr>
            <w:r w:rsidRPr="00F42A64">
              <w:rPr>
                <w:rFonts w:ascii="Candara" w:hAnsi="Candara"/>
                <w:color w:val="F2F2F2" w:themeColor="background1" w:themeShade="F2"/>
              </w:rPr>
              <w:t>33</w:t>
            </w:r>
          </w:p>
        </w:tc>
        <w:tc>
          <w:tcPr>
            <w:tcW w:w="4394" w:type="dxa"/>
          </w:tcPr>
          <w:p w14:paraId="6C30B22D" w14:textId="77777777" w:rsidR="00EE389F" w:rsidRPr="00C629A3" w:rsidRDefault="00EE389F" w:rsidP="00AC41C2">
            <w:pPr>
              <w:keepNext/>
              <w:rPr>
                <w:rFonts w:ascii="Candara" w:hAnsi="Candara"/>
              </w:rPr>
            </w:pPr>
            <w:r w:rsidRPr="00C629A3">
              <w:rPr>
                <w:rFonts w:ascii="Candara" w:hAnsi="Candara"/>
              </w:rPr>
              <w:t>Fit spreaders to any lines with a history of clashing or a potential to do so;</w:t>
            </w:r>
          </w:p>
          <w:p w14:paraId="2330663B" w14:textId="77777777" w:rsidR="00EE389F" w:rsidRPr="00C629A3" w:rsidRDefault="00EE389F" w:rsidP="00AC41C2">
            <w:pPr>
              <w:keepNext/>
              <w:rPr>
                <w:rFonts w:ascii="Candara" w:hAnsi="Candara"/>
              </w:rPr>
            </w:pPr>
            <w:r w:rsidRPr="00C629A3">
              <w:rPr>
                <w:rFonts w:ascii="Candara" w:hAnsi="Candara"/>
              </w:rPr>
              <w:t>Fit dampers to any span greater than 300 metres</w:t>
            </w:r>
          </w:p>
        </w:tc>
        <w:tc>
          <w:tcPr>
            <w:tcW w:w="3827" w:type="dxa"/>
          </w:tcPr>
          <w:p w14:paraId="12CE9EE8" w14:textId="77777777" w:rsidR="00EE389F" w:rsidRPr="00C629A3" w:rsidRDefault="00EE389F" w:rsidP="00AC41C2">
            <w:pPr>
              <w:keepNext/>
              <w:rPr>
                <w:rFonts w:ascii="Candara" w:hAnsi="Candara"/>
              </w:rPr>
            </w:pPr>
            <w:r w:rsidRPr="00C629A3">
              <w:rPr>
                <w:rFonts w:ascii="Candara" w:hAnsi="Candara"/>
              </w:rPr>
              <w:t>ESV directions</w:t>
            </w:r>
          </w:p>
        </w:tc>
      </w:tr>
    </w:tbl>
    <w:p w14:paraId="39C6B812" w14:textId="77777777" w:rsidR="00EA2A48" w:rsidRDefault="00EA2A48" w:rsidP="00EA2A48">
      <w:pPr>
        <w:spacing w:after="0"/>
        <w:rPr>
          <w:rFonts w:ascii="Candara" w:hAnsi="Candara"/>
        </w:rPr>
      </w:pPr>
    </w:p>
    <w:p w14:paraId="17905060" w14:textId="77777777" w:rsidR="00EE389F" w:rsidRDefault="00EE389F" w:rsidP="00EE389F">
      <w:pPr>
        <w:rPr>
          <w:rFonts w:ascii="Candara" w:hAnsi="Candara"/>
        </w:rPr>
      </w:pPr>
      <w:r w:rsidRPr="00A2064D">
        <w:rPr>
          <w:rFonts w:ascii="Candara" w:hAnsi="Candara"/>
        </w:rPr>
        <w:t xml:space="preserve">Of these recommendations, all except </w:t>
      </w:r>
      <w:r>
        <w:rPr>
          <w:rFonts w:ascii="Candara" w:hAnsi="Candara"/>
        </w:rPr>
        <w:t xml:space="preserve">Recommendation </w:t>
      </w:r>
      <w:r w:rsidRPr="00A2064D">
        <w:rPr>
          <w:rFonts w:ascii="Candara" w:hAnsi="Candara"/>
        </w:rPr>
        <w:t>27 were</w:t>
      </w:r>
      <w:r>
        <w:rPr>
          <w:rFonts w:ascii="Candara" w:hAnsi="Candara"/>
        </w:rPr>
        <w:t xml:space="preserve"> fully </w:t>
      </w:r>
      <w:r w:rsidRPr="00A2064D">
        <w:rPr>
          <w:rFonts w:ascii="Candara" w:hAnsi="Candara"/>
        </w:rPr>
        <w:t>actioned by Government during the 2010-2015 EDPR. This resulted in cost pass through application</w:t>
      </w:r>
      <w:r>
        <w:rPr>
          <w:rFonts w:ascii="Candara" w:hAnsi="Candara"/>
        </w:rPr>
        <w:t>s being made by AusNet Services</w:t>
      </w:r>
      <w:r w:rsidRPr="00A2064D">
        <w:rPr>
          <w:rFonts w:ascii="Candara" w:hAnsi="Candara"/>
        </w:rPr>
        <w:t xml:space="preserve">. </w:t>
      </w:r>
    </w:p>
    <w:p w14:paraId="16683171" w14:textId="77777777" w:rsidR="00EE389F" w:rsidRPr="00C629A3" w:rsidRDefault="00EE389F" w:rsidP="00EE389F">
      <w:pPr>
        <w:rPr>
          <w:rFonts w:ascii="Candara" w:hAnsi="Candara"/>
        </w:rPr>
      </w:pPr>
      <w:r w:rsidRPr="00A2064D">
        <w:rPr>
          <w:rFonts w:ascii="Candara" w:hAnsi="Candara"/>
        </w:rPr>
        <w:t xml:space="preserve">The implementation of Recommendation 27 is taking place through </w:t>
      </w:r>
      <w:r>
        <w:rPr>
          <w:rFonts w:ascii="Candara" w:hAnsi="Candara"/>
        </w:rPr>
        <w:t xml:space="preserve">two mechanisms: an on-budget allocation of $200 million (nominal, 2013-2022) under the Powerline Replacement Fund (PRF); and </w:t>
      </w:r>
      <w:r w:rsidRPr="00A2064D">
        <w:rPr>
          <w:rFonts w:ascii="Candara" w:hAnsi="Candara"/>
        </w:rPr>
        <w:t xml:space="preserve">the </w:t>
      </w:r>
      <w:r w:rsidRPr="00D40E8D">
        <w:rPr>
          <w:rFonts w:ascii="Candara" w:hAnsi="Candara"/>
          <w:i/>
        </w:rPr>
        <w:t>Electricity Safety (Bushfire Mitigation) Amendment Regulations 2016</w:t>
      </w:r>
      <w:r w:rsidRPr="00A2064D">
        <w:rPr>
          <w:rFonts w:ascii="Candara" w:hAnsi="Candara"/>
        </w:rPr>
        <w:t xml:space="preserve">. </w:t>
      </w:r>
      <w:r>
        <w:rPr>
          <w:rFonts w:ascii="Candara" w:hAnsi="Candara"/>
        </w:rPr>
        <w:t>T</w:t>
      </w:r>
      <w:r w:rsidRPr="00A2064D">
        <w:rPr>
          <w:rFonts w:ascii="Candara" w:hAnsi="Candara"/>
        </w:rPr>
        <w:t xml:space="preserve">he </w:t>
      </w:r>
      <w:r>
        <w:rPr>
          <w:rFonts w:ascii="Candara" w:hAnsi="Candara"/>
        </w:rPr>
        <w:t xml:space="preserve">regulatory </w:t>
      </w:r>
      <w:r w:rsidRPr="00A2064D">
        <w:rPr>
          <w:rFonts w:ascii="Candara" w:hAnsi="Candara"/>
        </w:rPr>
        <w:t>cost estimates for the Recommendation 27 obligations total $</w:t>
      </w:r>
      <w:r>
        <w:rPr>
          <w:rFonts w:ascii="Candara" w:hAnsi="Candara"/>
        </w:rPr>
        <w:t>389</w:t>
      </w:r>
      <w:r w:rsidRPr="00A2064D">
        <w:rPr>
          <w:rFonts w:ascii="Candara" w:hAnsi="Candara"/>
        </w:rPr>
        <w:t xml:space="preserve"> million</w:t>
      </w:r>
      <w:r>
        <w:rPr>
          <w:rFonts w:ascii="Candara" w:hAnsi="Candara"/>
        </w:rPr>
        <w:t xml:space="preserve"> ($2015</w:t>
      </w:r>
      <w:r w:rsidRPr="00C629A3">
        <w:rPr>
          <w:rFonts w:ascii="Candara" w:hAnsi="Candara"/>
        </w:rPr>
        <w:t>) across three businesses</w:t>
      </w:r>
      <w:r>
        <w:rPr>
          <w:rFonts w:ascii="Candara" w:hAnsi="Candara"/>
        </w:rPr>
        <w:t xml:space="preserve"> and is being implemented through the Victorian Government’s Powerline Bushfire Safety Program (PBSP)</w:t>
      </w:r>
      <w:r w:rsidRPr="00C629A3">
        <w:rPr>
          <w:rFonts w:ascii="Candara" w:hAnsi="Candara"/>
        </w:rPr>
        <w:t>.</w:t>
      </w:r>
      <w:r>
        <w:rPr>
          <w:rStyle w:val="FootnoteReference"/>
          <w:rFonts w:ascii="Candara" w:hAnsi="Candara"/>
        </w:rPr>
        <w:footnoteReference w:id="47"/>
      </w:r>
      <w:r w:rsidRPr="00C629A3">
        <w:rPr>
          <w:rFonts w:ascii="Candara" w:hAnsi="Candara"/>
        </w:rPr>
        <w:t xml:space="preserve"> </w:t>
      </w:r>
      <w:r>
        <w:rPr>
          <w:rFonts w:ascii="Candara" w:hAnsi="Candara"/>
        </w:rPr>
        <w:t>As at May 2016,</w:t>
      </w:r>
      <w:r w:rsidRPr="00C629A3">
        <w:rPr>
          <w:rFonts w:ascii="Candara" w:hAnsi="Candara"/>
        </w:rPr>
        <w:t xml:space="preserve"> a final AER determination of these costs is pending.</w:t>
      </w:r>
      <w:r>
        <w:rPr>
          <w:rFonts w:ascii="Candara" w:hAnsi="Candara"/>
        </w:rPr>
        <w:t xml:space="preserve"> </w:t>
      </w:r>
    </w:p>
    <w:p w14:paraId="71C6535A" w14:textId="77777777" w:rsidR="00EE389F" w:rsidRDefault="00EE389F" w:rsidP="00EE389F">
      <w:pPr>
        <w:rPr>
          <w:rFonts w:ascii="Candara" w:hAnsi="Candara"/>
        </w:rPr>
      </w:pPr>
      <w:r w:rsidRPr="00C629A3">
        <w:rPr>
          <w:rFonts w:ascii="Candara" w:hAnsi="Candara"/>
        </w:rPr>
        <w:t xml:space="preserve">These costs of meeting bushfire requirements to date are described below: </w:t>
      </w:r>
    </w:p>
    <w:p w14:paraId="3BF767ED" w14:textId="5DA740C4" w:rsidR="006F0521" w:rsidRPr="006F0521" w:rsidRDefault="006F0521" w:rsidP="006F0521">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A1.7: AER determination of PBSP costs</w:t>
      </w:r>
    </w:p>
    <w:tbl>
      <w:tblPr>
        <w:tblStyle w:val="TableGrid"/>
        <w:tblW w:w="0" w:type="auto"/>
        <w:tblInd w:w="1327" w:type="dxa"/>
        <w:tblLook w:val="04A0" w:firstRow="1" w:lastRow="0" w:firstColumn="1" w:lastColumn="0" w:noHBand="0" w:noVBand="1"/>
      </w:tblPr>
      <w:tblGrid>
        <w:gridCol w:w="2127"/>
        <w:gridCol w:w="2126"/>
        <w:gridCol w:w="2126"/>
      </w:tblGrid>
      <w:tr w:rsidR="00EE389F" w:rsidRPr="00C629A3" w14:paraId="47E8FDE5" w14:textId="77777777" w:rsidTr="00CE08A3">
        <w:trPr>
          <w:cantSplit/>
        </w:trPr>
        <w:tc>
          <w:tcPr>
            <w:tcW w:w="2127" w:type="dxa"/>
            <w:shd w:val="clear" w:color="auto" w:fill="365F91" w:themeFill="accent1" w:themeFillShade="BF"/>
          </w:tcPr>
          <w:p w14:paraId="6078A95E" w14:textId="77777777" w:rsidR="00EE389F" w:rsidRPr="00CE08A3" w:rsidRDefault="00EE389F" w:rsidP="00AC41C2">
            <w:pPr>
              <w:keepNext/>
              <w:rPr>
                <w:rFonts w:ascii="Candara" w:hAnsi="Candara"/>
                <w:b/>
                <w:color w:val="FFFFFF" w:themeColor="background1"/>
              </w:rPr>
            </w:pPr>
            <w:r w:rsidRPr="00CE08A3">
              <w:rPr>
                <w:rFonts w:ascii="Candara" w:hAnsi="Candara"/>
                <w:b/>
                <w:color w:val="FFFFFF" w:themeColor="background1"/>
              </w:rPr>
              <w:t>AER approved costs ($ 2012)</w:t>
            </w:r>
          </w:p>
        </w:tc>
        <w:tc>
          <w:tcPr>
            <w:tcW w:w="2126" w:type="dxa"/>
            <w:shd w:val="clear" w:color="auto" w:fill="365F91" w:themeFill="accent1" w:themeFillShade="BF"/>
          </w:tcPr>
          <w:p w14:paraId="100656CA" w14:textId="77777777" w:rsidR="00EE389F" w:rsidRPr="00CE08A3" w:rsidRDefault="00EE389F" w:rsidP="00AC41C2">
            <w:pPr>
              <w:keepNext/>
              <w:rPr>
                <w:rFonts w:ascii="Candara" w:hAnsi="Candara"/>
                <w:b/>
                <w:color w:val="FFFFFF" w:themeColor="background1"/>
              </w:rPr>
            </w:pPr>
            <w:r w:rsidRPr="00CE08A3">
              <w:rPr>
                <w:rFonts w:ascii="Candara" w:hAnsi="Candara"/>
                <w:b/>
                <w:color w:val="FFFFFF" w:themeColor="background1"/>
              </w:rPr>
              <w:t>On-budget costs (nominal 2013-2022)</w:t>
            </w:r>
          </w:p>
        </w:tc>
        <w:tc>
          <w:tcPr>
            <w:tcW w:w="2126" w:type="dxa"/>
            <w:shd w:val="clear" w:color="auto" w:fill="365F91" w:themeFill="accent1" w:themeFillShade="BF"/>
          </w:tcPr>
          <w:p w14:paraId="5E3C3C7A" w14:textId="77777777" w:rsidR="00EE389F" w:rsidRPr="00CE08A3" w:rsidRDefault="00EE389F" w:rsidP="00AC41C2">
            <w:pPr>
              <w:keepNext/>
              <w:rPr>
                <w:rFonts w:ascii="Candara" w:hAnsi="Candara"/>
                <w:b/>
                <w:color w:val="FFFFFF" w:themeColor="background1"/>
              </w:rPr>
            </w:pPr>
            <w:r w:rsidRPr="00CE08A3">
              <w:rPr>
                <w:rFonts w:ascii="Candara" w:hAnsi="Candara"/>
                <w:b/>
                <w:color w:val="FFFFFF" w:themeColor="background1"/>
              </w:rPr>
              <w:t>Expected future costs ($ 2015)</w:t>
            </w:r>
          </w:p>
        </w:tc>
      </w:tr>
      <w:tr w:rsidR="00EE389F" w:rsidRPr="00C629A3" w14:paraId="2BA76F51" w14:textId="77777777" w:rsidTr="00CE08A3">
        <w:trPr>
          <w:cantSplit/>
        </w:trPr>
        <w:tc>
          <w:tcPr>
            <w:tcW w:w="2127" w:type="dxa"/>
            <w:shd w:val="clear" w:color="auto" w:fill="auto"/>
          </w:tcPr>
          <w:p w14:paraId="50611168" w14:textId="77777777" w:rsidR="00EE389F" w:rsidRPr="00D922F6" w:rsidRDefault="00EE389F" w:rsidP="00AC41C2">
            <w:pPr>
              <w:keepNext/>
              <w:rPr>
                <w:rFonts w:ascii="Candara" w:hAnsi="Candara"/>
              </w:rPr>
            </w:pPr>
            <w:r w:rsidRPr="00D922F6">
              <w:rPr>
                <w:rFonts w:ascii="Candara" w:hAnsi="Candara"/>
              </w:rPr>
              <w:t>$46.35 m</w:t>
            </w:r>
            <w:r w:rsidRPr="00D922F6">
              <w:rPr>
                <w:rStyle w:val="FootnoteReference"/>
                <w:rFonts w:ascii="Candara" w:hAnsi="Candara"/>
              </w:rPr>
              <w:footnoteReference w:id="48"/>
            </w:r>
          </w:p>
        </w:tc>
        <w:tc>
          <w:tcPr>
            <w:tcW w:w="2126" w:type="dxa"/>
          </w:tcPr>
          <w:p w14:paraId="242EB4FC" w14:textId="77777777" w:rsidR="00EE389F" w:rsidRPr="00D922F6" w:rsidRDefault="00EE389F" w:rsidP="00AC41C2">
            <w:pPr>
              <w:keepNext/>
              <w:rPr>
                <w:rFonts w:ascii="Candara" w:hAnsi="Candara"/>
              </w:rPr>
            </w:pPr>
            <w:r w:rsidRPr="00D922F6">
              <w:rPr>
                <w:rFonts w:ascii="Candara" w:hAnsi="Candara"/>
              </w:rPr>
              <w:t>$200 m</w:t>
            </w:r>
          </w:p>
        </w:tc>
        <w:tc>
          <w:tcPr>
            <w:tcW w:w="2126" w:type="dxa"/>
            <w:shd w:val="clear" w:color="auto" w:fill="auto"/>
          </w:tcPr>
          <w:p w14:paraId="2EE1E8A9" w14:textId="77777777" w:rsidR="00EE389F" w:rsidRPr="00D922F6" w:rsidRDefault="00EE389F" w:rsidP="00AC41C2">
            <w:pPr>
              <w:keepNext/>
              <w:rPr>
                <w:rFonts w:ascii="Candara" w:hAnsi="Candara"/>
              </w:rPr>
            </w:pPr>
            <w:r w:rsidRPr="00D922F6">
              <w:rPr>
                <w:rFonts w:ascii="Candara" w:hAnsi="Candara"/>
              </w:rPr>
              <w:t>$389 m</w:t>
            </w:r>
          </w:p>
        </w:tc>
      </w:tr>
    </w:tbl>
    <w:p w14:paraId="51663AAF" w14:textId="77777777" w:rsidR="00EE389F" w:rsidRPr="00C629A3" w:rsidRDefault="00EE389F" w:rsidP="00EE389F">
      <w:pPr>
        <w:rPr>
          <w:rFonts w:ascii="Candara" w:hAnsi="Candara"/>
        </w:rPr>
      </w:pPr>
    </w:p>
    <w:p w14:paraId="59E6379F" w14:textId="77777777" w:rsidR="00EE389F" w:rsidRDefault="00EE389F">
      <w:pPr>
        <w:rPr>
          <w:rFonts w:ascii="Candara" w:hAnsi="Candara"/>
        </w:rPr>
      </w:pPr>
      <w:r>
        <w:rPr>
          <w:rFonts w:ascii="Candara" w:hAnsi="Candara"/>
        </w:rPr>
        <w:t>A</w:t>
      </w:r>
      <w:r w:rsidRPr="00C629A3">
        <w:rPr>
          <w:rFonts w:ascii="Candara" w:hAnsi="Candara"/>
        </w:rPr>
        <w:t>pproximately 99</w:t>
      </w:r>
      <w:r>
        <w:rPr>
          <w:rFonts w:ascii="Candara" w:hAnsi="Candara"/>
        </w:rPr>
        <w:t xml:space="preserve"> per cent</w:t>
      </w:r>
      <w:r w:rsidRPr="00C629A3">
        <w:rPr>
          <w:rFonts w:ascii="Candara" w:hAnsi="Candara"/>
        </w:rPr>
        <w:t xml:space="preserve"> of these costs are capital expenditure rather than operational expenditure. </w:t>
      </w:r>
      <w:r>
        <w:rPr>
          <w:rFonts w:ascii="Candara" w:hAnsi="Candara"/>
        </w:rPr>
        <w:t xml:space="preserve">The relevance of this split is examined in Section 1. </w:t>
      </w:r>
    </w:p>
    <w:p w14:paraId="6FF0A5C0" w14:textId="77777777" w:rsidR="009A3B3B" w:rsidRDefault="009A3B3B">
      <w:pPr>
        <w:rPr>
          <w:rFonts w:ascii="Candara" w:hAnsi="Candara"/>
        </w:rPr>
      </w:pPr>
      <w:r>
        <w:rPr>
          <w:rFonts w:ascii="Candara" w:hAnsi="Candara"/>
        </w:rPr>
        <w:br w:type="page"/>
      </w:r>
    </w:p>
    <w:p w14:paraId="7E13B287" w14:textId="33D5A94B" w:rsidR="00406DA5" w:rsidRPr="00F3538A" w:rsidRDefault="00406DA5" w:rsidP="00326522">
      <w:pPr>
        <w:pStyle w:val="Heading1"/>
        <w:numPr>
          <w:ilvl w:val="0"/>
          <w:numId w:val="0"/>
        </w:numPr>
      </w:pPr>
      <w:bookmarkStart w:id="67" w:name="_Toc458675215"/>
      <w:r w:rsidRPr="00F3538A">
        <w:lastRenderedPageBreak/>
        <w:t>Appendix 2 – IRU Methodology</w:t>
      </w:r>
      <w:bookmarkEnd w:id="67"/>
    </w:p>
    <w:p w14:paraId="33F3C0BE" w14:textId="77777777" w:rsidR="000D7FC8" w:rsidRDefault="000D7FC8" w:rsidP="00F10C0B">
      <w:pPr>
        <w:rPr>
          <w:rFonts w:ascii="Candara" w:hAnsi="Candara"/>
          <w:b/>
          <w:bCs/>
        </w:rPr>
      </w:pPr>
    </w:p>
    <w:p w14:paraId="6ABA1C52" w14:textId="77777777" w:rsidR="009B0617" w:rsidRPr="00B211D5" w:rsidRDefault="009B0617" w:rsidP="009B0617">
      <w:pPr>
        <w:spacing w:before="200"/>
        <w:rPr>
          <w:rFonts w:ascii="Candara" w:hAnsi="Candara"/>
        </w:rPr>
      </w:pPr>
      <w:r w:rsidRPr="00B211D5">
        <w:rPr>
          <w:rFonts w:ascii="Candara" w:hAnsi="Candara"/>
        </w:rPr>
        <w:t xml:space="preserve">The f-factor scheme is being enhanced to better align the incentive available to the Distribution Businesses (DBs) with the community benefit achieved through a reduction in fire starts. </w:t>
      </w:r>
    </w:p>
    <w:p w14:paraId="00DD69A2" w14:textId="77777777" w:rsidR="009B0617" w:rsidRPr="00B211D5" w:rsidRDefault="009B0617" w:rsidP="009B0617">
      <w:pPr>
        <w:rPr>
          <w:rFonts w:ascii="Candara" w:hAnsi="Candara"/>
        </w:rPr>
      </w:pPr>
      <w:r w:rsidRPr="00B211D5">
        <w:rPr>
          <w:rFonts w:ascii="Candara" w:hAnsi="Candara"/>
        </w:rPr>
        <w:t>The redesign of the f-factor scheme is intended to remove an imbalance in the current scheme, which treats every ignition on a powerline as having equal weight.</w:t>
      </w:r>
    </w:p>
    <w:p w14:paraId="492A1849" w14:textId="77777777" w:rsidR="009B0617" w:rsidRPr="00B211D5" w:rsidRDefault="009B0617" w:rsidP="009B0617">
      <w:pPr>
        <w:spacing w:after="60" w:line="240" w:lineRule="auto"/>
        <w:rPr>
          <w:rFonts w:ascii="Candara" w:hAnsi="Candara"/>
        </w:rPr>
      </w:pPr>
      <w:r w:rsidRPr="00B211D5">
        <w:rPr>
          <w:rFonts w:ascii="Candara" w:hAnsi="Candara"/>
        </w:rPr>
        <w:t>The revised f-factor scheme will assign:</w:t>
      </w:r>
    </w:p>
    <w:p w14:paraId="6EF27758" w14:textId="77777777" w:rsidR="009B0617" w:rsidRPr="00B211D5" w:rsidRDefault="009B0617" w:rsidP="00BB41A4">
      <w:pPr>
        <w:numPr>
          <w:ilvl w:val="0"/>
          <w:numId w:val="30"/>
        </w:numPr>
        <w:spacing w:after="120" w:line="240" w:lineRule="auto"/>
        <w:ind w:left="714" w:hanging="357"/>
        <w:contextualSpacing/>
        <w:rPr>
          <w:rFonts w:ascii="Candara" w:hAnsi="Candara"/>
        </w:rPr>
      </w:pPr>
      <w:r w:rsidRPr="00B211D5">
        <w:rPr>
          <w:rFonts w:ascii="Candara" w:hAnsi="Candara"/>
        </w:rPr>
        <w:t>greater weight to ignitions associated with heightened bushfire risk; and</w:t>
      </w:r>
    </w:p>
    <w:p w14:paraId="66D95391" w14:textId="77777777" w:rsidR="009B0617" w:rsidRPr="00B211D5" w:rsidRDefault="009B0617" w:rsidP="00BB41A4">
      <w:pPr>
        <w:numPr>
          <w:ilvl w:val="0"/>
          <w:numId w:val="30"/>
        </w:numPr>
        <w:contextualSpacing/>
        <w:rPr>
          <w:rFonts w:ascii="Candara" w:hAnsi="Candara"/>
        </w:rPr>
      </w:pPr>
      <w:r w:rsidRPr="00B211D5">
        <w:rPr>
          <w:rFonts w:ascii="Candara" w:hAnsi="Candara"/>
        </w:rPr>
        <w:t>lesser weight to ignitions associated with lower bushfire risk.</w:t>
      </w:r>
    </w:p>
    <w:p w14:paraId="3A67D165" w14:textId="77777777" w:rsidR="009B0617" w:rsidRPr="00B211D5" w:rsidRDefault="009B0617" w:rsidP="009B0617">
      <w:pPr>
        <w:rPr>
          <w:rFonts w:ascii="Candara" w:hAnsi="Candara"/>
        </w:rPr>
      </w:pPr>
      <w:r w:rsidRPr="00B211D5">
        <w:rPr>
          <w:rFonts w:ascii="Candara" w:hAnsi="Candara"/>
        </w:rPr>
        <w:t>Future ignitions will not be quantified as raw ignition counts but expressed as Ignition Risk Units (IRU) that reflect the assigned risk weightings described in this appendix.</w:t>
      </w:r>
    </w:p>
    <w:p w14:paraId="3BD8E2DD" w14:textId="77777777" w:rsidR="009B0617" w:rsidRPr="00B211D5" w:rsidRDefault="009B0617" w:rsidP="009B0617">
      <w:pPr>
        <w:rPr>
          <w:rFonts w:ascii="Candara" w:hAnsi="Candara"/>
        </w:rPr>
      </w:pPr>
      <w:r w:rsidRPr="00B211D5">
        <w:rPr>
          <w:rFonts w:ascii="Candara" w:hAnsi="Candara"/>
        </w:rPr>
        <w:t>This amendment to the scheme is designed to encourage DBs to direct the resources they have allocated for bushfire safety purposes to the most significant risk hazards. By doing so, the greatest possible bushfire safety benefit can be delivered to the Victorian Community.</w:t>
      </w:r>
    </w:p>
    <w:p w14:paraId="0A840397" w14:textId="77777777" w:rsidR="009B0617" w:rsidRPr="00B211D5" w:rsidRDefault="009B0617" w:rsidP="009B0617">
      <w:pPr>
        <w:rPr>
          <w:rFonts w:ascii="Candara" w:hAnsi="Candara"/>
        </w:rPr>
      </w:pPr>
      <w:r w:rsidRPr="00B211D5">
        <w:rPr>
          <w:rFonts w:ascii="Candara" w:hAnsi="Candara"/>
        </w:rPr>
        <w:t>This appendix describes the methodology and proposed settings for a revised f-factor scheme.</w:t>
      </w:r>
    </w:p>
    <w:p w14:paraId="058A8064" w14:textId="77777777" w:rsidR="009B0617" w:rsidRDefault="009B0617" w:rsidP="009B0617">
      <w:pPr>
        <w:rPr>
          <w:rFonts w:ascii="Candara" w:hAnsi="Candara"/>
        </w:rPr>
      </w:pPr>
      <w:r w:rsidRPr="00B211D5">
        <w:rPr>
          <w:rFonts w:ascii="Candara" w:hAnsi="Candara"/>
        </w:rPr>
        <w:t xml:space="preserve">The f-factor methodology has been developed to conform to the following </w:t>
      </w:r>
      <w:r w:rsidRPr="00B211D5">
        <w:rPr>
          <w:rFonts w:ascii="Candara" w:hAnsi="Candara"/>
          <w:b/>
          <w:color w:val="17365D"/>
        </w:rPr>
        <w:t>design principles</w:t>
      </w:r>
      <w:r w:rsidRPr="00B211D5">
        <w:rPr>
          <w:rFonts w:ascii="Candara" w:hAnsi="Candara"/>
        </w:rPr>
        <w:t>.</w:t>
      </w:r>
    </w:p>
    <w:p w14:paraId="623E88D4" w14:textId="5CB317DC" w:rsidR="006F0521" w:rsidRPr="006F0521" w:rsidRDefault="006F0521" w:rsidP="006F0521">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 Distribution network fire starts</w:t>
      </w:r>
    </w:p>
    <w:tbl>
      <w:tblPr>
        <w:tblStyle w:val="TableGrid"/>
        <w:tblW w:w="5250" w:type="pct"/>
        <w:tblInd w:w="113"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shd w:val="clear" w:color="auto" w:fill="D6E1EF"/>
        <w:tblLook w:val="04A0" w:firstRow="1" w:lastRow="0" w:firstColumn="1" w:lastColumn="0" w:noHBand="0" w:noVBand="1"/>
      </w:tblPr>
      <w:tblGrid>
        <w:gridCol w:w="9704"/>
      </w:tblGrid>
      <w:tr w:rsidR="009B0617" w:rsidRPr="009B0617" w14:paraId="467C7EF3" w14:textId="77777777" w:rsidTr="00CE08A3">
        <w:tc>
          <w:tcPr>
            <w:tcW w:w="9129" w:type="dxa"/>
            <w:shd w:val="clear" w:color="auto" w:fill="365F91" w:themeFill="accent1" w:themeFillShade="BF"/>
          </w:tcPr>
          <w:p w14:paraId="2D6C2936" w14:textId="77777777" w:rsidR="009B0617" w:rsidRPr="00CE08A3" w:rsidRDefault="009B0617" w:rsidP="00BB41A4">
            <w:pPr>
              <w:numPr>
                <w:ilvl w:val="0"/>
                <w:numId w:val="28"/>
              </w:numPr>
              <w:spacing w:before="120" w:after="120"/>
              <w:ind w:left="341" w:hanging="284"/>
              <w:contextualSpacing/>
              <w:rPr>
                <w:rFonts w:ascii="Candara" w:hAnsi="Candara"/>
                <w:color w:val="FFFFFF" w:themeColor="background1"/>
              </w:rPr>
            </w:pPr>
            <w:r w:rsidRPr="00CE08A3">
              <w:rPr>
                <w:rFonts w:ascii="Candara" w:hAnsi="Candara"/>
                <w:color w:val="FFFFFF" w:themeColor="background1"/>
              </w:rPr>
              <w:t>An ignition benchmark target is to be set for each DB based on powerline ignition history.</w:t>
            </w:r>
          </w:p>
          <w:p w14:paraId="2975CEE4" w14:textId="77777777" w:rsidR="009B0617" w:rsidRPr="00CE08A3" w:rsidRDefault="009B0617" w:rsidP="00BB41A4">
            <w:pPr>
              <w:numPr>
                <w:ilvl w:val="0"/>
                <w:numId w:val="28"/>
              </w:numPr>
              <w:spacing w:before="120" w:after="120"/>
              <w:ind w:left="341" w:hanging="284"/>
              <w:contextualSpacing/>
              <w:rPr>
                <w:rFonts w:ascii="Candara" w:hAnsi="Candara"/>
                <w:color w:val="FFFFFF" w:themeColor="background1"/>
              </w:rPr>
            </w:pPr>
            <w:r w:rsidRPr="00CE08A3">
              <w:rPr>
                <w:rFonts w:ascii="Candara" w:hAnsi="Candara"/>
                <w:color w:val="FFFFFF" w:themeColor="background1"/>
              </w:rPr>
              <w:t>The benchmark is to be calculated on the basis of a weighted value for each historic ignition, consistent with the key bushfire risk factors.</w:t>
            </w:r>
          </w:p>
          <w:p w14:paraId="278EC53D" w14:textId="77777777" w:rsidR="009B0617" w:rsidRPr="00CE08A3" w:rsidRDefault="009B0617" w:rsidP="00BB41A4">
            <w:pPr>
              <w:numPr>
                <w:ilvl w:val="0"/>
                <w:numId w:val="28"/>
              </w:numPr>
              <w:spacing w:before="120" w:after="120"/>
              <w:ind w:left="341" w:hanging="284"/>
              <w:contextualSpacing/>
              <w:rPr>
                <w:rFonts w:ascii="Candara" w:hAnsi="Candara"/>
                <w:color w:val="FFFFFF" w:themeColor="background1"/>
              </w:rPr>
            </w:pPr>
            <w:r w:rsidRPr="00CE08A3">
              <w:rPr>
                <w:rFonts w:ascii="Candara" w:hAnsi="Candara"/>
                <w:color w:val="FFFFFF" w:themeColor="background1"/>
              </w:rPr>
              <w:t>The f-factor scheme is to be symmetrical, designed to be cost neutral over time.</w:t>
            </w:r>
          </w:p>
          <w:p w14:paraId="2B3188C8" w14:textId="77777777" w:rsidR="009B0617" w:rsidRPr="00CE08A3" w:rsidRDefault="009B0617" w:rsidP="00BB41A4">
            <w:pPr>
              <w:numPr>
                <w:ilvl w:val="0"/>
                <w:numId w:val="28"/>
              </w:numPr>
              <w:spacing w:before="120" w:after="120"/>
              <w:ind w:left="341" w:hanging="284"/>
              <w:contextualSpacing/>
              <w:rPr>
                <w:rFonts w:ascii="Candara" w:hAnsi="Candara"/>
                <w:color w:val="FFFFFF" w:themeColor="background1"/>
              </w:rPr>
            </w:pPr>
            <w:r w:rsidRPr="00CE08A3">
              <w:rPr>
                <w:rFonts w:ascii="Candara" w:hAnsi="Candara"/>
                <w:color w:val="FFFFFF" w:themeColor="background1"/>
              </w:rPr>
              <w:t>The unit penalty rate is to be set at a level that will not unduly place financial burden on consumers or DBs over a five year period as a consequence of variations in weather.</w:t>
            </w:r>
          </w:p>
          <w:p w14:paraId="26592F68" w14:textId="77777777" w:rsidR="009B0617" w:rsidRPr="009B0617" w:rsidRDefault="009B0617" w:rsidP="00BB41A4">
            <w:pPr>
              <w:numPr>
                <w:ilvl w:val="0"/>
                <w:numId w:val="28"/>
              </w:numPr>
              <w:spacing w:before="120" w:after="120"/>
              <w:ind w:left="341" w:hanging="284"/>
              <w:contextualSpacing/>
              <w:rPr>
                <w:rFonts w:ascii="Candara" w:hAnsi="Candara"/>
              </w:rPr>
            </w:pPr>
            <w:r w:rsidRPr="00CE08A3">
              <w:rPr>
                <w:rFonts w:ascii="Candara" w:hAnsi="Candara"/>
                <w:color w:val="FFFFFF" w:themeColor="background1"/>
              </w:rPr>
              <w:t>Consumers should not pay more than once for a safety benefit, with the benchmark to be reduced over time in line with the introduction of any new network safety infrastructure.</w:t>
            </w:r>
          </w:p>
        </w:tc>
      </w:tr>
    </w:tbl>
    <w:p w14:paraId="311F05C6" w14:textId="77777777" w:rsidR="009B0617" w:rsidRPr="00B211D5" w:rsidRDefault="009B0617" w:rsidP="009B0617">
      <w:pPr>
        <w:spacing w:before="200" w:after="60" w:line="240" w:lineRule="auto"/>
        <w:rPr>
          <w:rFonts w:ascii="Candara" w:hAnsi="Candara"/>
        </w:rPr>
      </w:pPr>
      <w:r w:rsidRPr="00B211D5">
        <w:rPr>
          <w:rFonts w:ascii="Candara" w:hAnsi="Candara"/>
        </w:rPr>
        <w:t>The methodology is founded upon data driven modelling, which utilises:</w:t>
      </w:r>
    </w:p>
    <w:p w14:paraId="0E2D3A13"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the ignition records of DBs for the three years from 2012 to 2014, released by the Australian Energy Regulator (AER);</w:t>
      </w:r>
    </w:p>
    <w:p w14:paraId="7819A6C4"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estimates of fire loss consequence (i.e. property losses) for 2014-15, drawn from Phoenix Rapidfire® using the bushfire modelling work of Dr. Kevin Tolhurst;</w:t>
      </w:r>
    </w:p>
    <w:p w14:paraId="0B1FB26E"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Country Fire Authority (CFA) data on Total Fire Ban (TFB) day declarations since 1945 and the historical daily fire danger ratings;</w:t>
      </w:r>
    </w:p>
    <w:p w14:paraId="5A0CD7C9"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the powerline bushfire Risk Reduction Model (RRM) developed for the government by the Commonwealth Scientific and Research organisation (CSIRO), which quantifies the likelihood of ignitions on each part of the electricity distribution network under different weather and environmental conditions; and</w:t>
      </w:r>
    </w:p>
    <w:p w14:paraId="39BF3235"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 xml:space="preserve">the government’s stated requirements for the installation of safer network infrastructure from 2016, under the </w:t>
      </w:r>
      <w:r w:rsidRPr="00B211D5">
        <w:rPr>
          <w:rFonts w:ascii="Candara" w:hAnsi="Candara"/>
          <w:i/>
          <w:iCs/>
        </w:rPr>
        <w:t>Electricity Safety (Bushfire Mitigation) Amendment Regulations 2016</w:t>
      </w:r>
      <w:r w:rsidRPr="00B211D5">
        <w:rPr>
          <w:rFonts w:ascii="Candara" w:hAnsi="Candara"/>
        </w:rPr>
        <w:t>.</w:t>
      </w:r>
    </w:p>
    <w:p w14:paraId="76F5DC37" w14:textId="3918A446" w:rsidR="009B0617" w:rsidRPr="00B211D5" w:rsidRDefault="009B0617" w:rsidP="009B0617">
      <w:pPr>
        <w:spacing w:before="200"/>
        <w:rPr>
          <w:rFonts w:ascii="Candara" w:hAnsi="Candara"/>
        </w:rPr>
      </w:pPr>
      <w:r w:rsidRPr="00B211D5">
        <w:rPr>
          <w:rFonts w:ascii="Candara" w:hAnsi="Candara"/>
        </w:rPr>
        <w:t xml:space="preserve">Using these data sources and a range of research analyses, the form of the revised f-factor has been progressively developed over 8 sequential steps. This is illustrated overleaf in </w:t>
      </w:r>
      <w:r w:rsidRPr="00B211D5">
        <w:rPr>
          <w:rFonts w:ascii="Candara" w:hAnsi="Candara"/>
          <w:b/>
        </w:rPr>
        <w:fldChar w:fldCharType="begin"/>
      </w:r>
      <w:r w:rsidRPr="00B211D5">
        <w:rPr>
          <w:rFonts w:ascii="Candara" w:hAnsi="Candara"/>
          <w:b/>
        </w:rPr>
        <w:instrText xml:space="preserve"> REF _Ref448233769 \h </w:instrText>
      </w:r>
      <w:r w:rsidR="00B211D5" w:rsidRPr="00B211D5">
        <w:rPr>
          <w:rFonts w:ascii="Candara" w:hAnsi="Candara"/>
          <w:b/>
        </w:rPr>
        <w:instrText xml:space="preserve"> \* MERGEFORMAT </w:instrText>
      </w:r>
      <w:r w:rsidRPr="00B211D5">
        <w:rPr>
          <w:rFonts w:ascii="Candara" w:hAnsi="Candara"/>
          <w:b/>
        </w:rPr>
      </w:r>
      <w:r w:rsidRPr="00B211D5">
        <w:rPr>
          <w:rFonts w:ascii="Candara" w:hAnsi="Candara"/>
          <w:b/>
        </w:rPr>
        <w:fldChar w:fldCharType="separate"/>
      </w:r>
      <w:r w:rsidR="00167D0B" w:rsidRPr="00167D0B">
        <w:rPr>
          <w:rFonts w:ascii="Candara" w:hAnsi="Candara"/>
          <w:b/>
        </w:rPr>
        <w:t xml:space="preserve">Figure </w:t>
      </w:r>
      <w:r w:rsidRPr="00B211D5">
        <w:rPr>
          <w:rFonts w:ascii="Candara" w:hAnsi="Candara"/>
          <w:b/>
        </w:rPr>
        <w:fldChar w:fldCharType="end"/>
      </w:r>
      <w:r w:rsidR="00E97CD4">
        <w:rPr>
          <w:rFonts w:ascii="Candara" w:hAnsi="Candara"/>
          <w:b/>
        </w:rPr>
        <w:t>A2:2</w:t>
      </w:r>
      <w:r w:rsidRPr="00B211D5">
        <w:rPr>
          <w:rFonts w:ascii="Candara" w:hAnsi="Candara"/>
          <w:b/>
        </w:rPr>
        <w:t>.</w:t>
      </w:r>
    </w:p>
    <w:p w14:paraId="510E1653" w14:textId="040693C3" w:rsidR="009B0617" w:rsidRPr="006F0521" w:rsidRDefault="009B0617" w:rsidP="006F0521">
      <w:pPr>
        <w:autoSpaceDE w:val="0"/>
        <w:autoSpaceDN w:val="0"/>
        <w:adjustRightInd w:val="0"/>
        <w:spacing w:before="120" w:after="80"/>
        <w:rPr>
          <w:rStyle w:val="Heading6Char"/>
          <w:i w:val="0"/>
        </w:rPr>
      </w:pPr>
      <w:bookmarkStart w:id="68" w:name="_Ref448233769"/>
      <w:r w:rsidRPr="006F0521">
        <w:rPr>
          <w:rStyle w:val="Heading6Char"/>
          <w:i w:val="0"/>
        </w:rPr>
        <w:lastRenderedPageBreak/>
        <w:t xml:space="preserve">Figure </w:t>
      </w:r>
      <w:bookmarkEnd w:id="68"/>
      <w:r w:rsidR="006F0521">
        <w:rPr>
          <w:rStyle w:val="Heading6Char"/>
          <w:i w:val="0"/>
        </w:rPr>
        <w:t>A2:2</w:t>
      </w:r>
      <w:r w:rsidRPr="006F0521">
        <w:rPr>
          <w:rStyle w:val="Heading6Char"/>
          <w:i w:val="0"/>
        </w:rPr>
        <w:t>:</w:t>
      </w:r>
      <w:r w:rsidR="006F0521">
        <w:rPr>
          <w:rStyle w:val="Heading6Char"/>
          <w:i w:val="0"/>
        </w:rPr>
        <w:t xml:space="preserve"> </w:t>
      </w:r>
      <w:r w:rsidRPr="006F0521">
        <w:rPr>
          <w:rStyle w:val="Heading6Char"/>
          <w:i w:val="0"/>
        </w:rPr>
        <w:t>Key steps in the IRU methodology underpinning the revised f-factor design</w:t>
      </w:r>
    </w:p>
    <w:p w14:paraId="3B717A64" w14:textId="752AFE3E" w:rsidR="00700509" w:rsidRPr="009B0617" w:rsidRDefault="00CD65D3" w:rsidP="009B0617">
      <w:r w:rsidRPr="00CD65D3">
        <w:rPr>
          <w:noProof/>
          <w:lang w:eastAsia="en-AU"/>
        </w:rPr>
        <w:drawing>
          <wp:inline distT="0" distB="0" distL="0" distR="0" wp14:anchorId="733CD315" wp14:editId="755B175F">
            <wp:extent cx="5731510" cy="826904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269046"/>
                    </a:xfrm>
                    <a:prstGeom prst="rect">
                      <a:avLst/>
                    </a:prstGeom>
                    <a:noFill/>
                    <a:ln>
                      <a:noFill/>
                    </a:ln>
                  </pic:spPr>
                </pic:pic>
              </a:graphicData>
            </a:graphic>
          </wp:inline>
        </w:drawing>
      </w:r>
    </w:p>
    <w:p w14:paraId="2C45C1C1" w14:textId="77777777" w:rsidR="009B0617" w:rsidRPr="00B211D5" w:rsidRDefault="009B0617" w:rsidP="009B0617">
      <w:pPr>
        <w:spacing w:before="200" w:after="60"/>
        <w:rPr>
          <w:rFonts w:ascii="Candara" w:hAnsi="Candara"/>
        </w:rPr>
      </w:pPr>
      <w:r w:rsidRPr="00B211D5">
        <w:rPr>
          <w:rFonts w:ascii="Candara" w:hAnsi="Candara"/>
        </w:rPr>
        <w:lastRenderedPageBreak/>
        <w:t>Through the application of this methodology, four primary inputs to/settings for the f-factor scheme have been defined:</w:t>
      </w:r>
    </w:p>
    <w:p w14:paraId="0B26C0CA" w14:textId="77777777" w:rsidR="009B0617" w:rsidRPr="00B211D5" w:rsidRDefault="009B0617" w:rsidP="00BB41A4">
      <w:pPr>
        <w:numPr>
          <w:ilvl w:val="0"/>
          <w:numId w:val="31"/>
        </w:numPr>
        <w:spacing w:before="60" w:after="120"/>
        <w:ind w:left="851" w:hanging="567"/>
        <w:contextualSpacing/>
        <w:rPr>
          <w:rFonts w:ascii="Candara" w:hAnsi="Candara"/>
          <w:b/>
          <w:color w:val="17365D"/>
        </w:rPr>
      </w:pPr>
      <w:r w:rsidRPr="00B211D5">
        <w:rPr>
          <w:rFonts w:ascii="Candara" w:hAnsi="Candara"/>
        </w:rPr>
        <w:t xml:space="preserve">Identification of the </w:t>
      </w:r>
      <w:r w:rsidRPr="00B211D5">
        <w:rPr>
          <w:rFonts w:ascii="Candara" w:hAnsi="Candara"/>
          <w:b/>
          <w:color w:val="17365D"/>
        </w:rPr>
        <w:t>key bushfire risk factors</w:t>
      </w:r>
      <w:r w:rsidRPr="00B211D5">
        <w:rPr>
          <w:rFonts w:ascii="Candara" w:hAnsi="Candara"/>
        </w:rPr>
        <w:t>, the classification of these factors and the weightings to apply;</w:t>
      </w:r>
    </w:p>
    <w:p w14:paraId="68BEB748" w14:textId="77777777" w:rsidR="009B0617" w:rsidRPr="00B211D5" w:rsidRDefault="009B0617" w:rsidP="00BB41A4">
      <w:pPr>
        <w:numPr>
          <w:ilvl w:val="0"/>
          <w:numId w:val="31"/>
        </w:numPr>
        <w:spacing w:before="60" w:after="120"/>
        <w:ind w:left="851" w:hanging="567"/>
        <w:contextualSpacing/>
        <w:rPr>
          <w:rFonts w:ascii="Candara" w:hAnsi="Candara"/>
          <w:b/>
          <w:color w:val="17365D"/>
        </w:rPr>
      </w:pPr>
      <w:r w:rsidRPr="00B211D5">
        <w:rPr>
          <w:rFonts w:ascii="Candara" w:hAnsi="Candara"/>
        </w:rPr>
        <w:t xml:space="preserve">The expression of individual ignitions and annual benchmarks in </w:t>
      </w:r>
      <w:r w:rsidRPr="00B211D5">
        <w:rPr>
          <w:rFonts w:ascii="Candara" w:hAnsi="Candara"/>
          <w:b/>
          <w:color w:val="17365D"/>
        </w:rPr>
        <w:t>Ignition Risk Units</w:t>
      </w:r>
      <w:r w:rsidRPr="00B211D5">
        <w:rPr>
          <w:rFonts w:ascii="Candara" w:hAnsi="Candara"/>
        </w:rPr>
        <w:t xml:space="preserve"> in place of raw ignition counts;</w:t>
      </w:r>
    </w:p>
    <w:p w14:paraId="778A444E" w14:textId="77777777" w:rsidR="009B0617" w:rsidRPr="00B211D5" w:rsidRDefault="009B0617" w:rsidP="00BB41A4">
      <w:pPr>
        <w:numPr>
          <w:ilvl w:val="0"/>
          <w:numId w:val="31"/>
        </w:numPr>
        <w:spacing w:before="60" w:after="120"/>
        <w:ind w:left="851" w:hanging="567"/>
        <w:contextualSpacing/>
        <w:rPr>
          <w:rFonts w:ascii="Candara" w:hAnsi="Candara"/>
          <w:b/>
          <w:color w:val="17365D"/>
        </w:rPr>
      </w:pPr>
      <w:r w:rsidRPr="00B211D5">
        <w:rPr>
          <w:rFonts w:ascii="Candara" w:hAnsi="Candara"/>
        </w:rPr>
        <w:t xml:space="preserve">Setting the </w:t>
      </w:r>
      <w:r w:rsidRPr="00B211D5">
        <w:rPr>
          <w:rFonts w:ascii="Candara" w:hAnsi="Candara"/>
          <w:b/>
          <w:color w:val="17365D"/>
        </w:rPr>
        <w:t>dollar value of an IRU</w:t>
      </w:r>
      <w:r w:rsidRPr="00B211D5">
        <w:rPr>
          <w:rFonts w:ascii="Candara" w:hAnsi="Candara"/>
        </w:rPr>
        <w:t xml:space="preserve"> to make the f-factor relatively robust to future weather variations (both milder and hotter than average); and</w:t>
      </w:r>
    </w:p>
    <w:p w14:paraId="0E6B6DE8" w14:textId="41D9CF65" w:rsidR="009B0617" w:rsidRPr="00B211D5" w:rsidRDefault="009B0617" w:rsidP="00BB41A4">
      <w:pPr>
        <w:numPr>
          <w:ilvl w:val="0"/>
          <w:numId w:val="31"/>
        </w:numPr>
        <w:spacing w:before="60" w:after="120"/>
        <w:ind w:left="851" w:hanging="567"/>
        <w:contextualSpacing/>
        <w:rPr>
          <w:rFonts w:ascii="Candara" w:hAnsi="Candara"/>
          <w:b/>
          <w:color w:val="17365D"/>
        </w:rPr>
      </w:pPr>
      <w:r w:rsidRPr="00B211D5">
        <w:rPr>
          <w:rFonts w:ascii="Candara" w:hAnsi="Candara"/>
        </w:rPr>
        <w:t xml:space="preserve">Parameters for the periodic decrementing of the IRU </w:t>
      </w:r>
      <w:r w:rsidR="00343550">
        <w:rPr>
          <w:rFonts w:ascii="Candara" w:hAnsi="Candara"/>
        </w:rPr>
        <w:t>benchmark</w:t>
      </w:r>
      <w:r w:rsidRPr="00B211D5">
        <w:rPr>
          <w:rFonts w:ascii="Candara" w:hAnsi="Candara"/>
        </w:rPr>
        <w:t xml:space="preserve"> for each DB, in line with their regulatory obligation to install and operate safer network assets.</w:t>
      </w:r>
    </w:p>
    <w:p w14:paraId="4A6423A3" w14:textId="34A90163" w:rsidR="00AA37A7" w:rsidRDefault="009B0617" w:rsidP="009B0617">
      <w:pPr>
        <w:rPr>
          <w:rFonts w:ascii="Candara" w:hAnsi="Candara"/>
        </w:rPr>
      </w:pPr>
      <w:r w:rsidRPr="00B211D5">
        <w:rPr>
          <w:rFonts w:ascii="Candara" w:hAnsi="Candara"/>
        </w:rPr>
        <w:t xml:space="preserve">The remainder of this appendix describes each of these constituent elements of the revised f-factor scheme, and their derivation, in greater detail. </w:t>
      </w:r>
    </w:p>
    <w:p w14:paraId="52A713B2" w14:textId="77777777" w:rsidR="00AA37A7" w:rsidRDefault="00AA37A7">
      <w:pPr>
        <w:rPr>
          <w:rFonts w:ascii="Candara" w:hAnsi="Candara"/>
        </w:rPr>
      </w:pPr>
      <w:r>
        <w:rPr>
          <w:rFonts w:ascii="Candara" w:hAnsi="Candara"/>
        </w:rPr>
        <w:br w:type="page"/>
      </w:r>
    </w:p>
    <w:p w14:paraId="1E3E1290" w14:textId="0C11E9C6" w:rsidR="009B0617" w:rsidRPr="00B022BB" w:rsidRDefault="00B022BB" w:rsidP="00B022BB">
      <w:pPr>
        <w:rPr>
          <w:rFonts w:ascii="Candara" w:hAnsi="Candara"/>
          <w:b/>
          <w:sz w:val="28"/>
          <w:szCs w:val="28"/>
        </w:rPr>
      </w:pPr>
      <w:r w:rsidRPr="00B022BB">
        <w:rPr>
          <w:rFonts w:ascii="Candara" w:hAnsi="Candara"/>
          <w:b/>
          <w:sz w:val="28"/>
          <w:szCs w:val="28"/>
        </w:rPr>
        <w:lastRenderedPageBreak/>
        <w:t>A.</w:t>
      </w:r>
      <w:r>
        <w:rPr>
          <w:rFonts w:ascii="Candara" w:hAnsi="Candara"/>
          <w:b/>
          <w:sz w:val="28"/>
          <w:szCs w:val="28"/>
        </w:rPr>
        <w:t xml:space="preserve"> </w:t>
      </w:r>
      <w:r w:rsidR="009B0617" w:rsidRPr="00B022BB">
        <w:rPr>
          <w:rFonts w:ascii="Candara" w:hAnsi="Candara"/>
          <w:b/>
          <w:sz w:val="28"/>
          <w:szCs w:val="28"/>
        </w:rPr>
        <w:t>Defining the risk parameters</w:t>
      </w:r>
    </w:p>
    <w:p w14:paraId="4E5AEC03" w14:textId="77777777" w:rsidR="009B0617" w:rsidRPr="00B211D5" w:rsidRDefault="009B0617" w:rsidP="009B0617">
      <w:pPr>
        <w:rPr>
          <w:rFonts w:ascii="Candara" w:hAnsi="Candara"/>
        </w:rPr>
      </w:pPr>
      <w:r w:rsidRPr="00B211D5">
        <w:rPr>
          <w:rFonts w:ascii="Candara" w:hAnsi="Candara"/>
        </w:rPr>
        <w:t>The f-factor scheme in its current form is considered sub-optimal as an incentive for prioritising powerline bushfire mitigation activity as it makes no account for the key factors that define heightened risk exposure.</w:t>
      </w:r>
    </w:p>
    <w:p w14:paraId="111D16CB" w14:textId="77777777" w:rsidR="009B0617" w:rsidRPr="00B211D5" w:rsidRDefault="009B0617" w:rsidP="009B0617">
      <w:pPr>
        <w:spacing w:after="60" w:line="240" w:lineRule="auto"/>
        <w:rPr>
          <w:rFonts w:ascii="Candara" w:hAnsi="Candara"/>
        </w:rPr>
      </w:pPr>
      <w:r w:rsidRPr="00B211D5">
        <w:rPr>
          <w:rFonts w:ascii="Candara" w:hAnsi="Candara"/>
        </w:rPr>
        <w:t>The community and industry would appear to share an unambiguous appreciation of the primary determinants of bushfire risk. Planning in both emergency management and electricity distribution domains recognise that bushfire risk is greatest:</w:t>
      </w:r>
    </w:p>
    <w:p w14:paraId="24002C36" w14:textId="77777777" w:rsidR="009B0617" w:rsidRPr="00B211D5" w:rsidRDefault="009B0617" w:rsidP="00BB41A4">
      <w:pPr>
        <w:numPr>
          <w:ilvl w:val="0"/>
          <w:numId w:val="30"/>
        </w:numPr>
        <w:spacing w:after="120" w:line="240" w:lineRule="auto"/>
        <w:ind w:left="714" w:hanging="357"/>
        <w:contextualSpacing/>
        <w:rPr>
          <w:rFonts w:ascii="Candara" w:hAnsi="Candara"/>
        </w:rPr>
      </w:pPr>
      <w:r w:rsidRPr="00B211D5">
        <w:rPr>
          <w:rFonts w:ascii="Candara" w:hAnsi="Candara"/>
        </w:rPr>
        <w:t>in locations having particular environmental features and conditions; and</w:t>
      </w:r>
    </w:p>
    <w:p w14:paraId="35ACCB84" w14:textId="77777777" w:rsidR="009B0617" w:rsidRPr="00B211D5" w:rsidRDefault="009B0617" w:rsidP="00BB41A4">
      <w:pPr>
        <w:numPr>
          <w:ilvl w:val="0"/>
          <w:numId w:val="30"/>
        </w:numPr>
        <w:spacing w:after="120" w:line="240" w:lineRule="auto"/>
        <w:ind w:left="714" w:hanging="357"/>
        <w:contextualSpacing/>
        <w:rPr>
          <w:rFonts w:ascii="Candara" w:hAnsi="Candara"/>
        </w:rPr>
      </w:pPr>
      <w:r w:rsidRPr="00B211D5">
        <w:rPr>
          <w:rFonts w:ascii="Candara" w:hAnsi="Candara"/>
        </w:rPr>
        <w:t>under certain weather conditions, the worst of which occur at particular times of year.</w:t>
      </w:r>
    </w:p>
    <w:p w14:paraId="41084DC3" w14:textId="77777777" w:rsidR="009B0617" w:rsidRPr="00B211D5" w:rsidRDefault="009B0617" w:rsidP="009B0617">
      <w:pPr>
        <w:rPr>
          <w:rFonts w:ascii="Candara" w:hAnsi="Candara"/>
        </w:rPr>
      </w:pPr>
      <w:r w:rsidRPr="00B211D5">
        <w:rPr>
          <w:rFonts w:ascii="Candara" w:hAnsi="Candara"/>
        </w:rPr>
        <w:t xml:space="preserve">That is, bushfire risk has a </w:t>
      </w:r>
      <w:r w:rsidRPr="00B211D5">
        <w:rPr>
          <w:rFonts w:ascii="Candara" w:hAnsi="Candara"/>
          <w:b/>
          <w:color w:val="7030A0"/>
        </w:rPr>
        <w:t>spatial</w:t>
      </w:r>
      <w:r w:rsidRPr="00B211D5">
        <w:rPr>
          <w:rFonts w:ascii="Candara" w:hAnsi="Candara"/>
          <w:color w:val="7030A0"/>
        </w:rPr>
        <w:t xml:space="preserve"> </w:t>
      </w:r>
      <w:r w:rsidRPr="00B211D5">
        <w:rPr>
          <w:rFonts w:ascii="Candara" w:hAnsi="Candara"/>
        </w:rPr>
        <w:t xml:space="preserve">dimension and a </w:t>
      </w:r>
      <w:r w:rsidRPr="00B211D5">
        <w:rPr>
          <w:rFonts w:ascii="Candara" w:hAnsi="Candara"/>
          <w:b/>
          <w:color w:val="FF0000"/>
        </w:rPr>
        <w:t>temporal</w:t>
      </w:r>
      <w:r w:rsidRPr="00B211D5">
        <w:rPr>
          <w:rFonts w:ascii="Candara" w:hAnsi="Candara"/>
          <w:color w:val="FF0000"/>
        </w:rPr>
        <w:t xml:space="preserve"> </w:t>
      </w:r>
      <w:r w:rsidRPr="00B211D5">
        <w:rPr>
          <w:rFonts w:ascii="Candara" w:hAnsi="Candara"/>
        </w:rPr>
        <w:t>dimension.</w:t>
      </w:r>
    </w:p>
    <w:p w14:paraId="769BFE44" w14:textId="77777777" w:rsidR="009B0617" w:rsidRPr="00B211D5" w:rsidRDefault="009B0617" w:rsidP="009B0617">
      <w:pPr>
        <w:rPr>
          <w:rFonts w:ascii="Candara" w:hAnsi="Candara"/>
        </w:rPr>
      </w:pPr>
      <w:r w:rsidRPr="00B211D5">
        <w:rPr>
          <w:rFonts w:ascii="Candara" w:hAnsi="Candara"/>
        </w:rPr>
        <w:t>Bushfire prevention and response planning is location specific and strategies are tailored in response to local environmental considerations. Furthermore, codified controls on behaviour are imposed on people on days and in places where the weather conditions are held to pose increased fire danger.</w:t>
      </w:r>
    </w:p>
    <w:p w14:paraId="59765B08" w14:textId="77777777" w:rsidR="009B0617" w:rsidRPr="00B211D5" w:rsidRDefault="009B0617" w:rsidP="009B0617">
      <w:pPr>
        <w:rPr>
          <w:rFonts w:ascii="Candara" w:hAnsi="Candara"/>
        </w:rPr>
      </w:pPr>
      <w:r w:rsidRPr="00B211D5">
        <w:rPr>
          <w:rFonts w:ascii="Candara" w:hAnsi="Candara"/>
        </w:rPr>
        <w:t>The community’s obligations with respect to bushfires apply at the broadest level to cover bushfires originating from any source, whether a powerline, lightning, arson or any other cause.</w:t>
      </w:r>
    </w:p>
    <w:p w14:paraId="2C8F2424" w14:textId="77777777" w:rsidR="009B0617" w:rsidRPr="00B211D5" w:rsidRDefault="009B0617" w:rsidP="009B0617">
      <w:pPr>
        <w:rPr>
          <w:rFonts w:ascii="Candara" w:hAnsi="Candara"/>
        </w:rPr>
      </w:pPr>
      <w:r w:rsidRPr="00B211D5">
        <w:rPr>
          <w:rFonts w:ascii="Candara" w:hAnsi="Candara"/>
        </w:rPr>
        <w:t>In preparing policy for bushfire safety with regard to powerlines, as is occurring with these revisions to the f-factor scheme, the framework adopted should be consistent with the broader community expectations and standards relevant to bushfire safety.</w:t>
      </w:r>
    </w:p>
    <w:p w14:paraId="6B61836F" w14:textId="6EAB809B" w:rsidR="007F7FFB" w:rsidRPr="00AA37A7" w:rsidRDefault="009B0617" w:rsidP="009B0617">
      <w:pPr>
        <w:rPr>
          <w:rFonts w:ascii="Candara" w:hAnsi="Candara"/>
        </w:rPr>
      </w:pPr>
      <w:r w:rsidRPr="00B211D5">
        <w:rPr>
          <w:rFonts w:ascii="Candara" w:hAnsi="Candara"/>
        </w:rPr>
        <w:t>The f-factor is accordingly being redesigned in a way that is sensitive to the spatial and temporal dimensions of bushfire risk.</w:t>
      </w:r>
    </w:p>
    <w:p w14:paraId="26FCAC98" w14:textId="77777777" w:rsidR="009B0617" w:rsidRPr="003E3A46" w:rsidRDefault="009B0617" w:rsidP="009B0617">
      <w:pPr>
        <w:pStyle w:val="BodyText"/>
        <w:rPr>
          <w:b/>
          <w:u w:val="single"/>
        </w:rPr>
      </w:pPr>
      <w:r w:rsidRPr="003E3A46">
        <w:rPr>
          <w:b/>
          <w:u w:val="single"/>
        </w:rPr>
        <w:t>Geographic risk</w:t>
      </w:r>
    </w:p>
    <w:p w14:paraId="4676150A" w14:textId="77777777" w:rsidR="009B0617" w:rsidRPr="009B0617" w:rsidRDefault="009B0617" w:rsidP="009B0617">
      <w:pPr>
        <w:spacing w:after="60" w:line="240" w:lineRule="auto"/>
      </w:pPr>
      <w:r w:rsidRPr="009B0617">
        <w:t>The IRU methodology recognises four different categories of geography, each of which is associated with a different level of risk.</w:t>
      </w:r>
    </w:p>
    <w:p w14:paraId="3B1207F6" w14:textId="77777777" w:rsidR="009B0617" w:rsidRPr="009B0617" w:rsidRDefault="009B0617" w:rsidP="009B0617">
      <w:pPr>
        <w:spacing w:after="60" w:line="240" w:lineRule="auto"/>
      </w:pPr>
      <w:r w:rsidRPr="009B0617">
        <w:t xml:space="preserve">These </w:t>
      </w:r>
      <w:r w:rsidRPr="009B0617">
        <w:rPr>
          <w:b/>
          <w:color w:val="17365D"/>
        </w:rPr>
        <w:t>geographic risk categories</w:t>
      </w:r>
      <w:r w:rsidRPr="009B0617">
        <w:t xml:space="preserve"> are:</w:t>
      </w:r>
    </w:p>
    <w:p w14:paraId="3DC82E5A" w14:textId="77777777" w:rsidR="009B0617" w:rsidRPr="009B0617" w:rsidRDefault="009B0617" w:rsidP="00BB41A4">
      <w:pPr>
        <w:numPr>
          <w:ilvl w:val="0"/>
          <w:numId w:val="32"/>
        </w:numPr>
        <w:spacing w:before="60" w:after="120"/>
        <w:contextualSpacing/>
        <w:rPr>
          <w:rFonts w:ascii="Candara" w:hAnsi="Candara"/>
          <w:b/>
          <w:color w:val="17365D"/>
        </w:rPr>
      </w:pPr>
      <w:r w:rsidRPr="009B0617">
        <w:rPr>
          <w:rFonts w:ascii="Candara" w:hAnsi="Candara"/>
        </w:rPr>
        <w:t>Low;</w:t>
      </w:r>
    </w:p>
    <w:p w14:paraId="43A6FF32" w14:textId="77777777" w:rsidR="009B0617" w:rsidRPr="009B0617" w:rsidRDefault="009B0617" w:rsidP="00BB41A4">
      <w:pPr>
        <w:numPr>
          <w:ilvl w:val="0"/>
          <w:numId w:val="32"/>
        </w:numPr>
        <w:spacing w:before="60" w:after="120"/>
        <w:contextualSpacing/>
        <w:rPr>
          <w:rFonts w:ascii="Candara" w:hAnsi="Candara"/>
          <w:b/>
          <w:color w:val="17365D"/>
        </w:rPr>
      </w:pPr>
      <w:r w:rsidRPr="009B0617">
        <w:rPr>
          <w:rFonts w:ascii="Candara" w:hAnsi="Candara"/>
        </w:rPr>
        <w:t>High;</w:t>
      </w:r>
    </w:p>
    <w:p w14:paraId="78990C75" w14:textId="77777777" w:rsidR="009B0617" w:rsidRPr="009B0617" w:rsidRDefault="009B0617" w:rsidP="00BB41A4">
      <w:pPr>
        <w:numPr>
          <w:ilvl w:val="0"/>
          <w:numId w:val="32"/>
        </w:numPr>
        <w:spacing w:before="60" w:after="120"/>
        <w:contextualSpacing/>
        <w:rPr>
          <w:rFonts w:ascii="Candara" w:hAnsi="Candara"/>
          <w:b/>
          <w:color w:val="17365D"/>
        </w:rPr>
      </w:pPr>
      <w:r w:rsidRPr="009B0617">
        <w:rPr>
          <w:rFonts w:ascii="Candara" w:hAnsi="Candara"/>
        </w:rPr>
        <w:t>Severe; and</w:t>
      </w:r>
    </w:p>
    <w:p w14:paraId="227FE8E8" w14:textId="77777777" w:rsidR="009B0617" w:rsidRPr="009B0617" w:rsidRDefault="009B0617" w:rsidP="00BB41A4">
      <w:pPr>
        <w:numPr>
          <w:ilvl w:val="0"/>
          <w:numId w:val="32"/>
        </w:numPr>
        <w:spacing w:before="60" w:after="120"/>
        <w:contextualSpacing/>
        <w:rPr>
          <w:rFonts w:ascii="Candara" w:hAnsi="Candara"/>
          <w:b/>
          <w:color w:val="17365D"/>
        </w:rPr>
      </w:pPr>
      <w:r w:rsidRPr="009B0617">
        <w:rPr>
          <w:rFonts w:ascii="Candara" w:hAnsi="Candara"/>
        </w:rPr>
        <w:t>Extreme.</w:t>
      </w:r>
    </w:p>
    <w:p w14:paraId="2016BE43" w14:textId="77777777" w:rsidR="009B0617" w:rsidRPr="009B0617" w:rsidRDefault="009B0617" w:rsidP="009B0617">
      <w:r w:rsidRPr="009B0617">
        <w:t>Every pole and length of powerline in the electricity distribution network is able to be aligned with only one category. This is to ensure that a future ignition occurring on the electricity distribution network can be assigned to a single geographic risk category.</w:t>
      </w:r>
    </w:p>
    <w:p w14:paraId="238DC9BD" w14:textId="036CEAB3" w:rsidR="00AA37A7" w:rsidRDefault="009B0617" w:rsidP="009B0617">
      <w:r w:rsidRPr="009B0617">
        <w:t>These categories collectively cover the entire State, irrespective of whether or not powerlines are currently present in a location. In this sense, the geographic classification of risk conforms to the broadest notion of locational risk and is also flexible to future network changes.</w:t>
      </w:r>
    </w:p>
    <w:p w14:paraId="5AA83E5A" w14:textId="065206C8" w:rsidR="009B0617" w:rsidRPr="009B0617" w:rsidRDefault="00AA37A7" w:rsidP="009B0617">
      <w:r>
        <w:br w:type="page"/>
      </w:r>
    </w:p>
    <w:p w14:paraId="371CB97A" w14:textId="77777777" w:rsidR="009B0617" w:rsidRPr="009B0617" w:rsidRDefault="009B0617" w:rsidP="009B0617">
      <w:pPr>
        <w:pStyle w:val="BodyText"/>
        <w:rPr>
          <w:b/>
        </w:rPr>
      </w:pPr>
      <w:r w:rsidRPr="009B0617">
        <w:rPr>
          <w:b/>
        </w:rPr>
        <w:lastRenderedPageBreak/>
        <w:t>Framework for geographic classification</w:t>
      </w:r>
    </w:p>
    <w:p w14:paraId="64045F1A" w14:textId="77777777" w:rsidR="009B0617" w:rsidRPr="009B0617" w:rsidRDefault="009B0617" w:rsidP="00700509">
      <w:pPr>
        <w:spacing w:after="60" w:line="240" w:lineRule="auto"/>
      </w:pPr>
      <w:r w:rsidRPr="009B0617">
        <w:t xml:space="preserve">The </w:t>
      </w:r>
      <w:r w:rsidRPr="009B0617">
        <w:rPr>
          <w:i/>
        </w:rPr>
        <w:t>Electricity Safety Act 1998</w:t>
      </w:r>
      <w:r w:rsidRPr="009B0617">
        <w:t xml:space="preserve"> provides for a fire control authority to:</w:t>
      </w:r>
    </w:p>
    <w:p w14:paraId="16C143DC" w14:textId="77777777" w:rsidR="009B0617" w:rsidRPr="009B0617" w:rsidRDefault="009B0617" w:rsidP="009B0617">
      <w:pPr>
        <w:spacing w:after="160" w:line="240" w:lineRule="auto"/>
        <w:ind w:left="567"/>
      </w:pPr>
      <w:r w:rsidRPr="009B0617">
        <w:t>‘assign a fire hazard rating of "low" or "high" to any area of land for the purposes of this Act or the regulations’</w:t>
      </w:r>
      <w:r w:rsidRPr="009B0617">
        <w:rPr>
          <w:vertAlign w:val="superscript"/>
        </w:rPr>
        <w:footnoteReference w:id="49"/>
      </w:r>
    </w:p>
    <w:p w14:paraId="0F55197B" w14:textId="77777777" w:rsidR="009B0617" w:rsidRPr="009B0617" w:rsidRDefault="009B0617" w:rsidP="00700509">
      <w:pPr>
        <w:spacing w:after="60" w:line="240" w:lineRule="auto"/>
      </w:pPr>
      <w:r w:rsidRPr="009B0617">
        <w:t>The Country Fire Authority (CFA) has identified:</w:t>
      </w:r>
    </w:p>
    <w:p w14:paraId="4EBF2CE5" w14:textId="77777777" w:rsidR="009B0617" w:rsidRPr="009B0617" w:rsidRDefault="009B0617" w:rsidP="009B0617">
      <w:pPr>
        <w:spacing w:after="160" w:line="240" w:lineRule="auto"/>
        <w:ind w:left="567"/>
        <w:rPr>
          <w:i/>
        </w:rPr>
      </w:pPr>
      <w:r w:rsidRPr="009B0617">
        <w:rPr>
          <w:i/>
        </w:rPr>
        <w:t>“low and hazardous bushfire risk areas for the Electricity Safety (Electric Line Clearance) Regulations 2010, Electricity Safety (Installations) Regulations 2009 and Electricity Safety (Bushfire Mitigation) Regulations 2003.”</w:t>
      </w:r>
      <w:r w:rsidRPr="009B0617">
        <w:rPr>
          <w:i/>
          <w:vertAlign w:val="superscript"/>
        </w:rPr>
        <w:footnoteReference w:id="50"/>
      </w:r>
    </w:p>
    <w:p w14:paraId="172A2349" w14:textId="77777777" w:rsidR="009B0617" w:rsidRPr="009B0617" w:rsidRDefault="009B0617" w:rsidP="009B0617">
      <w:r w:rsidRPr="009B0617">
        <w:t>The division of Victoria into low bushfire risk areas (LBRA) and hazardous bushfire risk areas (HBRA) provides the foundation for the geographic classification underpinning the IRU methodology.</w:t>
      </w:r>
    </w:p>
    <w:p w14:paraId="40125EAC" w14:textId="13DAC89A" w:rsidR="007F7FFB" w:rsidRDefault="009B0617" w:rsidP="009B0617">
      <w:pPr>
        <w:spacing w:line="240" w:lineRule="auto"/>
      </w:pPr>
      <w:r w:rsidRPr="009B0617">
        <w:t>In 2010, the Victorian Government accepted the 67 Recommendations of the Victorian Bushfires Royal Commission (VBRC), eight of which relate to reducing the bushfire risk posed by powerlines. VBRC Recommendation 27 requires the introduction of safer powerlines and safer network protection devices. These measures are required to target areas of “highest” bushfire risk.</w:t>
      </w:r>
    </w:p>
    <w:p w14:paraId="61F56B9F" w14:textId="77777777" w:rsidR="009B0617" w:rsidRPr="00B211D5" w:rsidRDefault="009B0617" w:rsidP="009B0617">
      <w:pPr>
        <w:spacing w:line="240" w:lineRule="auto"/>
        <w:rPr>
          <w:rFonts w:ascii="Candara" w:hAnsi="Candara"/>
        </w:rPr>
      </w:pPr>
      <w:r w:rsidRPr="00B211D5">
        <w:rPr>
          <w:rFonts w:ascii="Candara" w:hAnsi="Candara"/>
        </w:rPr>
        <w:t xml:space="preserve">The Government’s Powerline Bushfire Safety Program (PBSP) has used bushfire modelling and mapping expertise in conjunction with the advice of the Emergency Management Commissioner Victoria (the Commissioner) to identify two new categories of geographic priority: </w:t>
      </w:r>
    </w:p>
    <w:tbl>
      <w:tblPr>
        <w:tblStyle w:val="TableGrid"/>
        <w:tblW w:w="0" w:type="auto"/>
        <w:tblInd w:w="113" w:type="dxa"/>
        <w:tblBorders>
          <w:top w:val="single" w:sz="4" w:space="0" w:color="17365D"/>
          <w:left w:val="none" w:sz="0" w:space="0" w:color="auto"/>
          <w:bottom w:val="single" w:sz="4" w:space="0" w:color="17365D"/>
          <w:right w:val="none" w:sz="0" w:space="0" w:color="auto"/>
          <w:insideH w:val="single" w:sz="4" w:space="0" w:color="17365D"/>
          <w:insideV w:val="none" w:sz="0" w:space="0" w:color="auto"/>
        </w:tblBorders>
        <w:tblLook w:val="04A0" w:firstRow="1" w:lastRow="0" w:firstColumn="1" w:lastColumn="0" w:noHBand="0" w:noVBand="1"/>
      </w:tblPr>
      <w:tblGrid>
        <w:gridCol w:w="4567"/>
        <w:gridCol w:w="4562"/>
      </w:tblGrid>
      <w:tr w:rsidR="009B0617" w:rsidRPr="00B211D5" w14:paraId="2F82E617" w14:textId="77777777" w:rsidTr="00290C47">
        <w:tc>
          <w:tcPr>
            <w:tcW w:w="4567" w:type="dxa"/>
          </w:tcPr>
          <w:p w14:paraId="1F2E949F" w14:textId="77777777" w:rsidR="009B0617" w:rsidRPr="00B211D5" w:rsidRDefault="009B0617" w:rsidP="00BB41A4">
            <w:pPr>
              <w:numPr>
                <w:ilvl w:val="0"/>
                <w:numId w:val="30"/>
              </w:numPr>
              <w:spacing w:after="120"/>
              <w:ind w:left="567" w:hanging="397"/>
              <w:contextualSpacing/>
              <w:rPr>
                <w:rFonts w:ascii="Candara" w:hAnsi="Candara"/>
              </w:rPr>
            </w:pPr>
            <w:r w:rsidRPr="00B211D5">
              <w:rPr>
                <w:rFonts w:ascii="Candara" w:hAnsi="Candara"/>
              </w:rPr>
              <w:t xml:space="preserve">areas of </w:t>
            </w:r>
            <w:r w:rsidRPr="00B211D5">
              <w:rPr>
                <w:rFonts w:ascii="Candara" w:hAnsi="Candara"/>
                <w:b/>
                <w:color w:val="17365D"/>
              </w:rPr>
              <w:t>extreme</w:t>
            </w:r>
            <w:r w:rsidRPr="00B211D5">
              <w:rPr>
                <w:rFonts w:ascii="Candara" w:hAnsi="Candara"/>
              </w:rPr>
              <w:t xml:space="preserve"> risk</w:t>
            </w:r>
            <w:r w:rsidRPr="00B211D5">
              <w:rPr>
                <w:rFonts w:ascii="Candara" w:hAnsi="Candara"/>
              </w:rPr>
              <w:br/>
            </w:r>
            <w:r w:rsidRPr="00B211D5">
              <w:rPr>
                <w:rFonts w:ascii="Candara" w:hAnsi="Candara"/>
                <w:sz w:val="20"/>
                <w:szCs w:val="20"/>
              </w:rPr>
              <w:t>(cover 3.9% of distribution network length)</w:t>
            </w:r>
          </w:p>
        </w:tc>
        <w:tc>
          <w:tcPr>
            <w:tcW w:w="4562" w:type="dxa"/>
          </w:tcPr>
          <w:p w14:paraId="590853C7" w14:textId="77777777" w:rsidR="009B0617" w:rsidRPr="00B211D5" w:rsidRDefault="009B0617" w:rsidP="009B0617">
            <w:pPr>
              <w:spacing w:after="60"/>
              <w:rPr>
                <w:rFonts w:ascii="Candara" w:hAnsi="Candara"/>
              </w:rPr>
            </w:pPr>
            <w:r w:rsidRPr="00B211D5">
              <w:rPr>
                <w:rFonts w:ascii="Candara" w:hAnsi="Candara"/>
              </w:rPr>
              <w:t>in which heightened standards for powerline installation and replacement will apply</w:t>
            </w:r>
          </w:p>
        </w:tc>
      </w:tr>
      <w:tr w:rsidR="009B0617" w:rsidRPr="00B211D5" w14:paraId="581F2E90" w14:textId="77777777" w:rsidTr="00290C47">
        <w:tc>
          <w:tcPr>
            <w:tcW w:w="4567" w:type="dxa"/>
          </w:tcPr>
          <w:p w14:paraId="4BC1D04E" w14:textId="77777777" w:rsidR="009B0617" w:rsidRPr="00B211D5" w:rsidRDefault="009B0617" w:rsidP="00BB41A4">
            <w:pPr>
              <w:numPr>
                <w:ilvl w:val="0"/>
                <w:numId w:val="30"/>
              </w:numPr>
              <w:spacing w:after="120"/>
              <w:ind w:left="567" w:hanging="397"/>
              <w:contextualSpacing/>
              <w:rPr>
                <w:rFonts w:ascii="Candara" w:hAnsi="Candara"/>
              </w:rPr>
            </w:pPr>
            <w:r w:rsidRPr="00B211D5">
              <w:rPr>
                <w:rFonts w:ascii="Candara" w:hAnsi="Candara"/>
              </w:rPr>
              <w:t xml:space="preserve">areas of </w:t>
            </w:r>
            <w:r w:rsidRPr="00B211D5">
              <w:rPr>
                <w:rFonts w:ascii="Candara" w:hAnsi="Candara"/>
                <w:b/>
                <w:color w:val="17365D"/>
              </w:rPr>
              <w:t>severe</w:t>
            </w:r>
            <w:r w:rsidRPr="00B211D5">
              <w:rPr>
                <w:rFonts w:ascii="Candara" w:hAnsi="Candara"/>
              </w:rPr>
              <w:t xml:space="preserve"> risk</w:t>
            </w:r>
            <w:r w:rsidRPr="00B211D5">
              <w:rPr>
                <w:rFonts w:ascii="Candara" w:hAnsi="Candara"/>
              </w:rPr>
              <w:br/>
            </w:r>
            <w:r w:rsidRPr="00B211D5">
              <w:rPr>
                <w:rFonts w:ascii="Candara" w:hAnsi="Candara"/>
                <w:sz w:val="20"/>
                <w:szCs w:val="20"/>
              </w:rPr>
              <w:t>(cover35.1% of distribution network length)</w:t>
            </w:r>
          </w:p>
        </w:tc>
        <w:tc>
          <w:tcPr>
            <w:tcW w:w="4562" w:type="dxa"/>
          </w:tcPr>
          <w:p w14:paraId="656112E8" w14:textId="77777777" w:rsidR="009B0617" w:rsidRPr="00B211D5" w:rsidRDefault="009B0617" w:rsidP="009B0617">
            <w:pPr>
              <w:spacing w:after="60"/>
              <w:rPr>
                <w:rFonts w:ascii="Candara" w:hAnsi="Candara"/>
              </w:rPr>
            </w:pPr>
            <w:r w:rsidRPr="00B211D5">
              <w:rPr>
                <w:rFonts w:ascii="Candara" w:hAnsi="Candara"/>
              </w:rPr>
              <w:t>in which powerlines will be protected through the installation of a new generation of network protection devices.</w:t>
            </w:r>
          </w:p>
        </w:tc>
      </w:tr>
    </w:tbl>
    <w:p w14:paraId="3F4A33D0" w14:textId="77777777" w:rsidR="009B0617" w:rsidRPr="00B211D5" w:rsidRDefault="009B0617" w:rsidP="009B0617">
      <w:pPr>
        <w:spacing w:before="120" w:after="120" w:line="240" w:lineRule="auto"/>
        <w:rPr>
          <w:rFonts w:ascii="Candara" w:hAnsi="Candara"/>
        </w:rPr>
      </w:pPr>
      <w:r w:rsidRPr="00B211D5">
        <w:rPr>
          <w:rFonts w:ascii="Candara" w:hAnsi="Candara"/>
        </w:rPr>
        <w:t xml:space="preserve">The requirement for DBs to provide this enhanced level of protection is stipulated in the </w:t>
      </w:r>
      <w:r w:rsidRPr="00B211D5">
        <w:rPr>
          <w:rFonts w:ascii="Candara" w:hAnsi="Candara"/>
          <w:i/>
        </w:rPr>
        <w:t>Electricity Safety (Bushfire Mitigation) Amendment Regulations 2016</w:t>
      </w:r>
      <w:r w:rsidRPr="00B211D5">
        <w:rPr>
          <w:rFonts w:ascii="Candara" w:hAnsi="Candara"/>
        </w:rPr>
        <w:t>.</w:t>
      </w:r>
    </w:p>
    <w:p w14:paraId="1CB282D0" w14:textId="77777777" w:rsidR="009B0617" w:rsidRPr="00B211D5" w:rsidRDefault="009B0617" w:rsidP="009B0617">
      <w:pPr>
        <w:spacing w:after="120" w:line="240" w:lineRule="auto"/>
        <w:rPr>
          <w:rFonts w:ascii="Candara" w:hAnsi="Candara"/>
        </w:rPr>
      </w:pPr>
      <w:r w:rsidRPr="00B211D5">
        <w:rPr>
          <w:rFonts w:ascii="Candara" w:hAnsi="Candara"/>
        </w:rPr>
        <w:t>This provides the IRU methodology with four categories of geographic risk:</w:t>
      </w:r>
    </w:p>
    <w:tbl>
      <w:tblPr>
        <w:tblStyle w:val="TableGrid"/>
        <w:tblW w:w="9356" w:type="dxa"/>
        <w:tblInd w:w="113" w:type="dxa"/>
        <w:tblBorders>
          <w:top w:val="single" w:sz="4" w:space="0" w:color="D6E1EF"/>
          <w:left w:val="none" w:sz="0" w:space="0" w:color="auto"/>
          <w:bottom w:val="single" w:sz="4" w:space="0" w:color="D6E1EF"/>
          <w:right w:val="none" w:sz="0" w:space="0" w:color="auto"/>
          <w:insideH w:val="single" w:sz="4" w:space="0" w:color="D6E1EF"/>
          <w:insideV w:val="none" w:sz="0" w:space="0" w:color="auto"/>
        </w:tblBorders>
        <w:shd w:val="clear" w:color="auto" w:fill="D6E1EF"/>
        <w:tblLook w:val="04A0" w:firstRow="1" w:lastRow="0" w:firstColumn="1" w:lastColumn="0" w:noHBand="0" w:noVBand="1"/>
      </w:tblPr>
      <w:tblGrid>
        <w:gridCol w:w="2099"/>
        <w:gridCol w:w="7257"/>
      </w:tblGrid>
      <w:tr w:rsidR="009B0617" w:rsidRPr="00B211D5" w14:paraId="4A1757A8" w14:textId="77777777" w:rsidTr="00290C47">
        <w:tc>
          <w:tcPr>
            <w:tcW w:w="2060" w:type="dxa"/>
            <w:tcBorders>
              <w:bottom w:val="single" w:sz="4" w:space="0" w:color="D6E1EF"/>
            </w:tcBorders>
            <w:shd w:val="clear" w:color="auto" w:fill="D6E1EF"/>
          </w:tcPr>
          <w:p w14:paraId="07512DA6" w14:textId="77777777" w:rsidR="009B0617" w:rsidRPr="00B211D5" w:rsidRDefault="009B0617" w:rsidP="00BB41A4">
            <w:pPr>
              <w:numPr>
                <w:ilvl w:val="0"/>
                <w:numId w:val="33"/>
              </w:numPr>
              <w:spacing w:after="120"/>
              <w:contextualSpacing/>
              <w:rPr>
                <w:rFonts w:ascii="Candara" w:hAnsi="Candara"/>
              </w:rPr>
            </w:pPr>
            <w:r w:rsidRPr="00B211D5">
              <w:rPr>
                <w:rFonts w:ascii="Candara" w:hAnsi="Candara"/>
                <w:b/>
                <w:color w:val="17365D"/>
              </w:rPr>
              <w:t>Low</w:t>
            </w:r>
          </w:p>
        </w:tc>
        <w:tc>
          <w:tcPr>
            <w:tcW w:w="7296" w:type="dxa"/>
            <w:tcBorders>
              <w:bottom w:val="single" w:sz="4" w:space="0" w:color="D6E1EF"/>
            </w:tcBorders>
            <w:shd w:val="clear" w:color="auto" w:fill="D6E1EF"/>
          </w:tcPr>
          <w:p w14:paraId="5050E2BD" w14:textId="77777777" w:rsidR="009B0617" w:rsidRPr="00B211D5" w:rsidRDefault="009B0617" w:rsidP="009B0617">
            <w:pPr>
              <w:spacing w:after="60"/>
              <w:rPr>
                <w:rFonts w:ascii="Candara" w:hAnsi="Candara"/>
              </w:rPr>
            </w:pPr>
            <w:r w:rsidRPr="00B211D5">
              <w:rPr>
                <w:rFonts w:ascii="Candara" w:hAnsi="Candara"/>
              </w:rPr>
              <w:t>Includes all areas designated low bushfire risk areas (LBRA).</w:t>
            </w:r>
          </w:p>
        </w:tc>
      </w:tr>
      <w:tr w:rsidR="009B0617" w:rsidRPr="00B211D5" w14:paraId="06795A8A" w14:textId="77777777" w:rsidTr="00290C47">
        <w:tc>
          <w:tcPr>
            <w:tcW w:w="2060" w:type="dxa"/>
            <w:shd w:val="clear" w:color="auto" w:fill="auto"/>
          </w:tcPr>
          <w:p w14:paraId="7C8AB08E" w14:textId="77777777" w:rsidR="009B0617" w:rsidRPr="00B211D5" w:rsidRDefault="009B0617" w:rsidP="00BB41A4">
            <w:pPr>
              <w:numPr>
                <w:ilvl w:val="0"/>
                <w:numId w:val="33"/>
              </w:numPr>
              <w:spacing w:after="120"/>
              <w:contextualSpacing/>
              <w:rPr>
                <w:rFonts w:ascii="Candara" w:hAnsi="Candara"/>
              </w:rPr>
            </w:pPr>
            <w:r w:rsidRPr="00B211D5">
              <w:rPr>
                <w:rFonts w:ascii="Candara" w:hAnsi="Candara"/>
                <w:b/>
                <w:color w:val="17365D"/>
              </w:rPr>
              <w:t>High</w:t>
            </w:r>
          </w:p>
        </w:tc>
        <w:tc>
          <w:tcPr>
            <w:tcW w:w="7296" w:type="dxa"/>
            <w:shd w:val="clear" w:color="auto" w:fill="auto"/>
          </w:tcPr>
          <w:p w14:paraId="6FA42055" w14:textId="77777777" w:rsidR="009B0617" w:rsidRPr="00B211D5" w:rsidRDefault="009B0617" w:rsidP="009B0617">
            <w:pPr>
              <w:spacing w:after="60"/>
              <w:rPr>
                <w:rFonts w:ascii="Candara" w:hAnsi="Candara"/>
              </w:rPr>
            </w:pPr>
            <w:r w:rsidRPr="00B211D5">
              <w:rPr>
                <w:rFonts w:ascii="Candara" w:hAnsi="Candara"/>
              </w:rPr>
              <w:t>Includes areas designated hazardous bushfire risk areas (HBRA)</w:t>
            </w:r>
            <w:r w:rsidRPr="00B211D5">
              <w:rPr>
                <w:rFonts w:ascii="Candara" w:hAnsi="Candara"/>
              </w:rPr>
              <w:br/>
            </w:r>
            <w:r w:rsidRPr="00B211D5">
              <w:rPr>
                <w:rFonts w:ascii="Candara" w:hAnsi="Candara"/>
                <w:sz w:val="20"/>
                <w:szCs w:val="20"/>
              </w:rPr>
              <w:t xml:space="preserve">(excluding </w:t>
            </w:r>
            <w:r w:rsidRPr="00B211D5">
              <w:rPr>
                <w:rFonts w:ascii="Candara" w:hAnsi="Candara"/>
              </w:rPr>
              <w:t xml:space="preserve">areas designated </w:t>
            </w:r>
            <w:r w:rsidRPr="00B211D5">
              <w:rPr>
                <w:rFonts w:ascii="Candara" w:hAnsi="Candara"/>
                <w:sz w:val="20"/>
                <w:szCs w:val="20"/>
              </w:rPr>
              <w:t>Extreme and Severe)</w:t>
            </w:r>
          </w:p>
        </w:tc>
      </w:tr>
      <w:tr w:rsidR="009B0617" w:rsidRPr="00B211D5" w14:paraId="79B73801" w14:textId="77777777" w:rsidTr="00290C47">
        <w:tc>
          <w:tcPr>
            <w:tcW w:w="1985" w:type="dxa"/>
            <w:tcBorders>
              <w:bottom w:val="single" w:sz="4" w:space="0" w:color="D6E1EF"/>
            </w:tcBorders>
            <w:shd w:val="clear" w:color="auto" w:fill="D6E1EF"/>
          </w:tcPr>
          <w:p w14:paraId="789304C5" w14:textId="77777777" w:rsidR="009B0617" w:rsidRPr="00B211D5" w:rsidRDefault="009B0617" w:rsidP="00BB41A4">
            <w:pPr>
              <w:numPr>
                <w:ilvl w:val="0"/>
                <w:numId w:val="33"/>
              </w:numPr>
              <w:spacing w:after="120"/>
              <w:contextualSpacing/>
              <w:rPr>
                <w:rFonts w:ascii="Candara" w:hAnsi="Candara"/>
                <w:b/>
              </w:rPr>
            </w:pPr>
            <w:r w:rsidRPr="00B211D5">
              <w:rPr>
                <w:rFonts w:ascii="Candara" w:hAnsi="Candara"/>
              </w:rPr>
              <w:t>S</w:t>
            </w:r>
            <w:r w:rsidRPr="00B211D5">
              <w:rPr>
                <w:rFonts w:ascii="Candara" w:hAnsi="Candara"/>
                <w:b/>
                <w:color w:val="17365D"/>
              </w:rPr>
              <w:t>evere</w:t>
            </w:r>
          </w:p>
        </w:tc>
        <w:tc>
          <w:tcPr>
            <w:tcW w:w="7371" w:type="dxa"/>
            <w:tcBorders>
              <w:bottom w:val="single" w:sz="4" w:space="0" w:color="D6E1EF"/>
            </w:tcBorders>
            <w:shd w:val="clear" w:color="auto" w:fill="D6E1EF"/>
          </w:tcPr>
          <w:p w14:paraId="3B2AF2F3" w14:textId="77777777" w:rsidR="009B0617" w:rsidRPr="00B211D5" w:rsidRDefault="009B0617" w:rsidP="009B0617">
            <w:pPr>
              <w:spacing w:after="60"/>
              <w:rPr>
                <w:rFonts w:ascii="Candara" w:hAnsi="Candara"/>
              </w:rPr>
            </w:pPr>
            <w:r w:rsidRPr="00B211D5">
              <w:rPr>
                <w:rFonts w:ascii="Candara" w:hAnsi="Candara"/>
              </w:rPr>
              <w:t>Areas capturing the networks of 45 Zone Substations in which a new standard of network protection must be met over a seven year period</w:t>
            </w:r>
            <w:r w:rsidRPr="00B211D5">
              <w:rPr>
                <w:rFonts w:ascii="Candara" w:hAnsi="Candara"/>
              </w:rPr>
              <w:br/>
            </w:r>
            <w:r w:rsidRPr="00B211D5">
              <w:rPr>
                <w:rFonts w:ascii="Candara" w:hAnsi="Candara"/>
                <w:sz w:val="20"/>
                <w:szCs w:val="20"/>
              </w:rPr>
              <w:t xml:space="preserve">(excluding </w:t>
            </w:r>
            <w:r w:rsidRPr="00B211D5">
              <w:rPr>
                <w:rFonts w:ascii="Candara" w:hAnsi="Candara"/>
              </w:rPr>
              <w:t>areas designated as LBRA</w:t>
            </w:r>
            <w:r w:rsidRPr="00B211D5">
              <w:rPr>
                <w:rFonts w:ascii="Candara" w:hAnsi="Candara"/>
                <w:sz w:val="20"/>
                <w:szCs w:val="20"/>
              </w:rPr>
              <w:t xml:space="preserve"> and Extreme)</w:t>
            </w:r>
          </w:p>
        </w:tc>
      </w:tr>
      <w:tr w:rsidR="009B0617" w:rsidRPr="00B211D5" w14:paraId="70DBECF3" w14:textId="77777777" w:rsidTr="00290C47">
        <w:tc>
          <w:tcPr>
            <w:tcW w:w="2060" w:type="dxa"/>
            <w:tcBorders>
              <w:bottom w:val="single" w:sz="12" w:space="0" w:color="D6E1EF"/>
            </w:tcBorders>
            <w:shd w:val="clear" w:color="auto" w:fill="auto"/>
          </w:tcPr>
          <w:p w14:paraId="04EC7581" w14:textId="77777777" w:rsidR="009B0617" w:rsidRPr="00B211D5" w:rsidRDefault="009B0617" w:rsidP="00BB41A4">
            <w:pPr>
              <w:numPr>
                <w:ilvl w:val="0"/>
                <w:numId w:val="33"/>
              </w:numPr>
              <w:spacing w:after="120"/>
              <w:contextualSpacing/>
              <w:rPr>
                <w:rFonts w:ascii="Candara" w:hAnsi="Candara"/>
                <w:b/>
                <w:color w:val="17365D"/>
              </w:rPr>
            </w:pPr>
            <w:r w:rsidRPr="00B211D5">
              <w:rPr>
                <w:rFonts w:ascii="Candara" w:hAnsi="Candara"/>
                <w:b/>
                <w:color w:val="17365D"/>
              </w:rPr>
              <w:t>Extreme</w:t>
            </w:r>
          </w:p>
        </w:tc>
        <w:tc>
          <w:tcPr>
            <w:tcW w:w="7296" w:type="dxa"/>
            <w:tcBorders>
              <w:bottom w:val="single" w:sz="12" w:space="0" w:color="D6E1EF"/>
            </w:tcBorders>
            <w:shd w:val="clear" w:color="auto" w:fill="auto"/>
          </w:tcPr>
          <w:p w14:paraId="7E6481FE" w14:textId="77777777" w:rsidR="009B0617" w:rsidRPr="00B211D5" w:rsidRDefault="009B0617" w:rsidP="009B0617">
            <w:pPr>
              <w:spacing w:after="60"/>
              <w:rPr>
                <w:rFonts w:ascii="Candara" w:hAnsi="Candara"/>
              </w:rPr>
            </w:pPr>
            <w:r w:rsidRPr="00B211D5">
              <w:rPr>
                <w:rFonts w:ascii="Candara" w:hAnsi="Candara"/>
              </w:rPr>
              <w:t>Encompassing 33 declared Electric Line Construction areas in which future powerline installation ad replacement work must conform to new standards.</w:t>
            </w:r>
            <w:r w:rsidRPr="00B211D5">
              <w:rPr>
                <w:rFonts w:ascii="Candara" w:hAnsi="Candara"/>
              </w:rPr>
              <w:br/>
              <w:t>(excluding areas designated as LBRA)</w:t>
            </w:r>
          </w:p>
        </w:tc>
      </w:tr>
    </w:tbl>
    <w:p w14:paraId="401E13E6" w14:textId="77777777" w:rsidR="009B0617" w:rsidRPr="00B211D5" w:rsidRDefault="009B0617" w:rsidP="009B0617">
      <w:pPr>
        <w:spacing w:before="60" w:after="60" w:line="240" w:lineRule="auto"/>
        <w:ind w:right="-510"/>
        <w:rPr>
          <w:rFonts w:ascii="Candara" w:hAnsi="Candara"/>
        </w:rPr>
      </w:pPr>
      <w:r w:rsidRPr="00B211D5">
        <w:rPr>
          <w:rFonts w:ascii="Candara" w:hAnsi="Candara"/>
        </w:rPr>
        <w:t xml:space="preserve">This is a hierarchical framework. </w:t>
      </w:r>
    </w:p>
    <w:p w14:paraId="5CEE2E80" w14:textId="77777777" w:rsidR="009B0617" w:rsidRPr="00B211D5" w:rsidRDefault="009B0617" w:rsidP="00BB41A4">
      <w:pPr>
        <w:numPr>
          <w:ilvl w:val="0"/>
          <w:numId w:val="30"/>
        </w:numPr>
        <w:spacing w:after="60" w:line="240" w:lineRule="auto"/>
        <w:ind w:left="568" w:hanging="284"/>
        <w:rPr>
          <w:rFonts w:ascii="Candara" w:hAnsi="Candara"/>
        </w:rPr>
      </w:pPr>
      <w:r w:rsidRPr="00B211D5">
        <w:rPr>
          <w:rFonts w:ascii="Candara" w:hAnsi="Candara"/>
        </w:rPr>
        <w:t xml:space="preserve">All locations declared to be LBRA are classified as “Low” under the f-factor framework for classifying geographic risk. </w:t>
      </w:r>
    </w:p>
    <w:p w14:paraId="387ADD6F" w14:textId="77777777" w:rsidR="009B0617" w:rsidRPr="00B211D5" w:rsidRDefault="009B0617" w:rsidP="00BB41A4">
      <w:pPr>
        <w:numPr>
          <w:ilvl w:val="0"/>
          <w:numId w:val="30"/>
        </w:numPr>
        <w:spacing w:after="0" w:line="240" w:lineRule="auto"/>
        <w:ind w:left="568" w:hanging="284"/>
        <w:rPr>
          <w:rFonts w:ascii="Candara" w:hAnsi="Candara"/>
        </w:rPr>
      </w:pPr>
      <w:r w:rsidRPr="00B211D5">
        <w:rPr>
          <w:rFonts w:ascii="Candara" w:hAnsi="Candara"/>
        </w:rPr>
        <w:t>All locations declared to be HBRA are classified as “High” under the f-factor, except where a level of heightened bushfire risk exposure has been defined.</w:t>
      </w:r>
    </w:p>
    <w:p w14:paraId="5C8DCB9B" w14:textId="77777777" w:rsidR="009B0617" w:rsidRPr="00B211D5" w:rsidRDefault="009B0617" w:rsidP="009B0617">
      <w:pPr>
        <w:pStyle w:val="BodyText"/>
        <w:rPr>
          <w:rFonts w:ascii="Candara" w:hAnsi="Candara"/>
          <w:b/>
        </w:rPr>
      </w:pPr>
      <w:r w:rsidRPr="00B211D5">
        <w:rPr>
          <w:rFonts w:ascii="Candara" w:hAnsi="Candara"/>
          <w:b/>
        </w:rPr>
        <w:lastRenderedPageBreak/>
        <w:t>Defining geographic risk priorities</w:t>
      </w:r>
    </w:p>
    <w:p w14:paraId="46C8E2CF" w14:textId="77777777" w:rsidR="009B0617" w:rsidRPr="00B211D5" w:rsidRDefault="009B0617" w:rsidP="009B0617">
      <w:pPr>
        <w:autoSpaceDE w:val="0"/>
        <w:autoSpaceDN w:val="0"/>
        <w:adjustRightInd w:val="0"/>
        <w:spacing w:before="120" w:after="80"/>
        <w:rPr>
          <w:rFonts w:ascii="Candara" w:hAnsi="Candara" w:cs="Calibri"/>
        </w:rPr>
      </w:pPr>
      <w:r w:rsidRPr="00B211D5">
        <w:rPr>
          <w:rFonts w:ascii="Candara" w:hAnsi="Candara" w:cs="Calibri"/>
        </w:rPr>
        <w:t>In determining the areas of extreme and severe bushfire risk, an approach was devised to assess the relative bushfire risk of each part of the Victorian electricity distribution network.</w:t>
      </w:r>
    </w:p>
    <w:p w14:paraId="23B1EF73" w14:textId="77777777" w:rsidR="009B0617" w:rsidRPr="00B211D5" w:rsidRDefault="009B0617" w:rsidP="00700509">
      <w:pPr>
        <w:spacing w:after="60" w:line="240" w:lineRule="auto"/>
        <w:rPr>
          <w:rFonts w:ascii="Candara" w:hAnsi="Candara"/>
        </w:rPr>
      </w:pPr>
      <w:r w:rsidRPr="00B211D5">
        <w:rPr>
          <w:rFonts w:ascii="Candara" w:hAnsi="Candara"/>
        </w:rPr>
        <w:t>For each part of the powerline network three risk elements have been considered:</w:t>
      </w:r>
    </w:p>
    <w:p w14:paraId="7C3BD6DB" w14:textId="77777777" w:rsidR="009B0617" w:rsidRPr="00B211D5" w:rsidRDefault="009B0617" w:rsidP="00BB41A4">
      <w:pPr>
        <w:numPr>
          <w:ilvl w:val="0"/>
          <w:numId w:val="29"/>
        </w:numPr>
        <w:spacing w:after="0"/>
        <w:ind w:left="1282"/>
        <w:rPr>
          <w:rFonts w:ascii="Candara" w:hAnsi="Candara"/>
          <w:b/>
        </w:rPr>
      </w:pPr>
      <w:r w:rsidRPr="00B211D5">
        <w:rPr>
          <w:rFonts w:ascii="Candara" w:hAnsi="Candara"/>
          <w:b/>
        </w:rPr>
        <w:t>Fire loss consequence</w:t>
      </w:r>
    </w:p>
    <w:p w14:paraId="1EAE85B9" w14:textId="77777777" w:rsidR="009B0617" w:rsidRPr="00B211D5" w:rsidRDefault="009B0617" w:rsidP="009B0617">
      <w:pPr>
        <w:spacing w:after="120"/>
        <w:ind w:left="924"/>
        <w:rPr>
          <w:rFonts w:ascii="Candara" w:hAnsi="Candara"/>
        </w:rPr>
      </w:pPr>
      <w:r w:rsidRPr="00B211D5">
        <w:rPr>
          <w:rFonts w:ascii="Candara" w:hAnsi="Candara"/>
        </w:rPr>
        <w:t>How many people and houses would be lost, if a fire were to start on a powerline in a particular location?</w:t>
      </w:r>
    </w:p>
    <w:p w14:paraId="284CCEEB" w14:textId="77777777" w:rsidR="009B0617" w:rsidRPr="00B211D5" w:rsidRDefault="009B0617" w:rsidP="00BB41A4">
      <w:pPr>
        <w:numPr>
          <w:ilvl w:val="0"/>
          <w:numId w:val="29"/>
        </w:numPr>
        <w:spacing w:after="0"/>
        <w:ind w:left="1282"/>
        <w:rPr>
          <w:rFonts w:ascii="Candara" w:hAnsi="Candara"/>
          <w:b/>
        </w:rPr>
      </w:pPr>
      <w:r w:rsidRPr="00B211D5">
        <w:rPr>
          <w:rFonts w:ascii="Candara" w:hAnsi="Candara"/>
          <w:b/>
        </w:rPr>
        <w:t>Ignition likelihood</w:t>
      </w:r>
    </w:p>
    <w:p w14:paraId="25AAD681" w14:textId="77777777" w:rsidR="009B0617" w:rsidRPr="00B211D5" w:rsidRDefault="009B0617" w:rsidP="009B0617">
      <w:pPr>
        <w:spacing w:after="120"/>
        <w:ind w:left="924"/>
        <w:rPr>
          <w:rFonts w:ascii="Candara" w:hAnsi="Candara"/>
        </w:rPr>
      </w:pPr>
      <w:r w:rsidRPr="00B211D5">
        <w:rPr>
          <w:rFonts w:ascii="Candara" w:hAnsi="Candara"/>
        </w:rPr>
        <w:t>How likely is it that a bushfire will start on a particular part of the powerline network?</w:t>
      </w:r>
    </w:p>
    <w:p w14:paraId="25F3D121" w14:textId="77777777" w:rsidR="009B0617" w:rsidRPr="00B211D5" w:rsidRDefault="009B0617" w:rsidP="00BB41A4">
      <w:pPr>
        <w:numPr>
          <w:ilvl w:val="0"/>
          <w:numId w:val="29"/>
        </w:numPr>
        <w:spacing w:after="0"/>
        <w:rPr>
          <w:rFonts w:ascii="Candara" w:hAnsi="Candara"/>
          <w:b/>
        </w:rPr>
      </w:pPr>
      <w:r w:rsidRPr="00B211D5">
        <w:rPr>
          <w:rFonts w:ascii="Candara" w:hAnsi="Candara"/>
          <w:b/>
        </w:rPr>
        <w:t>Fire response complexity</w:t>
      </w:r>
    </w:p>
    <w:p w14:paraId="45883BF8" w14:textId="4B4E7A49" w:rsidR="007F7FFB" w:rsidRPr="00B211D5" w:rsidRDefault="009B0617" w:rsidP="00AA37A7">
      <w:pPr>
        <w:ind w:left="927"/>
        <w:rPr>
          <w:rFonts w:ascii="Candara" w:hAnsi="Candara"/>
        </w:rPr>
      </w:pPr>
      <w:r w:rsidRPr="00B211D5">
        <w:rPr>
          <w:rFonts w:ascii="Candara" w:hAnsi="Candara"/>
        </w:rPr>
        <w:t>How readily can the fire be suppressed and people protected, if a bushfire were to start on a particular part of the powerline network?</w:t>
      </w:r>
    </w:p>
    <w:p w14:paraId="512E1270" w14:textId="77777777" w:rsidR="009B0617" w:rsidRDefault="009B0617" w:rsidP="009B0617">
      <w:pPr>
        <w:spacing w:after="120"/>
        <w:rPr>
          <w:rFonts w:ascii="Candara" w:hAnsi="Candara"/>
        </w:rPr>
      </w:pPr>
      <w:r w:rsidRPr="00B211D5">
        <w:rPr>
          <w:rFonts w:ascii="Candara" w:hAnsi="Candara"/>
        </w:rPr>
        <w:t>A high level depiction of the Powerline Risk Profiling model is presented below:</w:t>
      </w:r>
    </w:p>
    <w:p w14:paraId="29B8426B" w14:textId="0938401A" w:rsidR="006F0521" w:rsidRPr="006F0521" w:rsidRDefault="006F0521" w:rsidP="006F0521">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w:t>
      </w:r>
      <w:r w:rsidR="008519EB">
        <w:rPr>
          <w:rStyle w:val="Heading6Char"/>
        </w:rPr>
        <w:t>2</w:t>
      </w:r>
      <w:r>
        <w:rPr>
          <w:rStyle w:val="Heading6Char"/>
        </w:rPr>
        <w:t>.</w:t>
      </w:r>
      <w:r w:rsidR="008519EB">
        <w:rPr>
          <w:rStyle w:val="Heading6Char"/>
        </w:rPr>
        <w:t>3</w:t>
      </w:r>
      <w:r>
        <w:rPr>
          <w:rStyle w:val="Heading6Char"/>
        </w:rPr>
        <w:t xml:space="preserve">: </w:t>
      </w:r>
      <w:r w:rsidR="008519EB">
        <w:rPr>
          <w:rStyle w:val="Heading6Char"/>
        </w:rPr>
        <w:t>Powerline risk profiling model</w:t>
      </w:r>
    </w:p>
    <w:p w14:paraId="6F86307F" w14:textId="77777777" w:rsidR="009B0617" w:rsidRPr="00B211D5" w:rsidRDefault="009B0617" w:rsidP="009B0617">
      <w:pPr>
        <w:spacing w:after="120"/>
        <w:rPr>
          <w:rFonts w:ascii="Candara" w:hAnsi="Candara"/>
        </w:rPr>
      </w:pPr>
      <w:r w:rsidRPr="00B211D5">
        <w:rPr>
          <w:rFonts w:ascii="Candara" w:hAnsi="Candara"/>
          <w:noProof/>
          <w:lang w:eastAsia="en-AU"/>
        </w:rPr>
        <w:drawing>
          <wp:inline distT="0" distB="0" distL="0" distR="0" wp14:anchorId="1667127F" wp14:editId="429C929E">
            <wp:extent cx="5731510" cy="1979398"/>
            <wp:effectExtent l="0" t="0" r="254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979398"/>
                    </a:xfrm>
                    <a:prstGeom prst="rect">
                      <a:avLst/>
                    </a:prstGeom>
                    <a:noFill/>
                    <a:ln>
                      <a:noFill/>
                    </a:ln>
                  </pic:spPr>
                </pic:pic>
              </a:graphicData>
            </a:graphic>
          </wp:inline>
        </w:drawing>
      </w:r>
    </w:p>
    <w:p w14:paraId="09FF61DD" w14:textId="77777777" w:rsidR="009B0617" w:rsidRPr="00B211D5" w:rsidRDefault="009B0617" w:rsidP="009B0617">
      <w:pPr>
        <w:spacing w:after="60"/>
        <w:rPr>
          <w:rFonts w:ascii="Candara" w:hAnsi="Candara"/>
        </w:rPr>
      </w:pPr>
      <w:r w:rsidRPr="00B211D5">
        <w:rPr>
          <w:rFonts w:ascii="Candara" w:hAnsi="Candara"/>
        </w:rPr>
        <w:t>By integrating data models used to estimate fire loss consequence</w:t>
      </w:r>
      <w:r w:rsidRPr="00B211D5">
        <w:rPr>
          <w:rFonts w:ascii="Candara" w:hAnsi="Candara"/>
          <w:vertAlign w:val="superscript"/>
        </w:rPr>
        <w:footnoteReference w:id="51"/>
      </w:r>
      <w:r w:rsidRPr="00B211D5">
        <w:rPr>
          <w:rFonts w:ascii="Candara" w:hAnsi="Candara"/>
        </w:rPr>
        <w:t xml:space="preserve"> and ignition likelihood</w:t>
      </w:r>
      <w:r w:rsidRPr="00B211D5">
        <w:rPr>
          <w:rFonts w:ascii="Candara" w:hAnsi="Candara"/>
          <w:vertAlign w:val="superscript"/>
        </w:rPr>
        <w:footnoteReference w:id="52"/>
      </w:r>
      <w:r w:rsidRPr="00B211D5">
        <w:rPr>
          <w:rFonts w:ascii="Candara" w:hAnsi="Candara"/>
        </w:rPr>
        <w:t>, estimates of the relative risk associated with individual powerline assets have been calculated. These models take into account important locational features, such as:</w:t>
      </w:r>
    </w:p>
    <w:p w14:paraId="255A1A27"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environmental features (vegetation and terrain); and</w:t>
      </w:r>
    </w:p>
    <w:p w14:paraId="0CAA0CDC" w14:textId="77777777" w:rsidR="009B0617" w:rsidRPr="00B211D5" w:rsidRDefault="009B0617" w:rsidP="00BB41A4">
      <w:pPr>
        <w:numPr>
          <w:ilvl w:val="0"/>
          <w:numId w:val="30"/>
        </w:numPr>
        <w:spacing w:after="120"/>
        <w:contextualSpacing/>
        <w:rPr>
          <w:rFonts w:ascii="Candara" w:hAnsi="Candara"/>
        </w:rPr>
      </w:pPr>
      <w:r w:rsidRPr="00B211D5">
        <w:rPr>
          <w:rFonts w:ascii="Candara" w:hAnsi="Candara"/>
        </w:rPr>
        <w:t>weather conditions (temperature, wind, humidity and dryness of vegetation and soil).</w:t>
      </w:r>
    </w:p>
    <w:p w14:paraId="72BBFA5B" w14:textId="77777777" w:rsidR="009B0617" w:rsidRPr="00B211D5" w:rsidRDefault="009B0617" w:rsidP="009B0617">
      <w:pPr>
        <w:spacing w:after="60"/>
        <w:rPr>
          <w:rFonts w:ascii="Candara" w:hAnsi="Candara"/>
        </w:rPr>
      </w:pPr>
      <w:r w:rsidRPr="00B211D5">
        <w:rPr>
          <w:rFonts w:ascii="Candara" w:hAnsi="Candara"/>
        </w:rPr>
        <w:t>The assessment of the relative bushfire risk associated with a location was further informed by practical “emergency management thinking” and the knowledge of factors such as:</w:t>
      </w:r>
    </w:p>
    <w:p w14:paraId="30807C3B"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Location of fire detection and fighting resources;</w:t>
      </w:r>
    </w:p>
    <w:p w14:paraId="4C2AB0FC"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Assessment of suppression risk;</w:t>
      </w:r>
    </w:p>
    <w:p w14:paraId="1CD48D50"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Assessment of evacuation risk; and</w:t>
      </w:r>
    </w:p>
    <w:p w14:paraId="213E00C5"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 xml:space="preserve">Location of critical infrastructure (e.g. hospitals, bridges). </w:t>
      </w:r>
    </w:p>
    <w:p w14:paraId="62B03CB6" w14:textId="77777777" w:rsidR="009B0617" w:rsidRPr="00B211D5" w:rsidRDefault="009B0617" w:rsidP="009B0617">
      <w:pPr>
        <w:spacing w:after="60"/>
        <w:rPr>
          <w:rFonts w:ascii="Candara" w:hAnsi="Candara"/>
        </w:rPr>
      </w:pPr>
      <w:r w:rsidRPr="00B211D5">
        <w:rPr>
          <w:rFonts w:ascii="Candara" w:hAnsi="Candara"/>
        </w:rPr>
        <w:t>Data drawn from the Victorian Fire Risk Register (VFRR) was used to support this latter assessment.</w:t>
      </w:r>
    </w:p>
    <w:p w14:paraId="1E160655" w14:textId="77777777" w:rsidR="009B0617" w:rsidRPr="00B211D5" w:rsidRDefault="009B0617" w:rsidP="009B0617">
      <w:pPr>
        <w:pStyle w:val="BodyText"/>
        <w:rPr>
          <w:rFonts w:ascii="Candara" w:hAnsi="Candara"/>
          <w:b/>
        </w:rPr>
      </w:pPr>
      <w:r w:rsidRPr="00B211D5">
        <w:rPr>
          <w:rFonts w:ascii="Candara" w:hAnsi="Candara"/>
          <w:b/>
        </w:rPr>
        <w:lastRenderedPageBreak/>
        <w:t xml:space="preserve">Spatial representation of geographic risk </w:t>
      </w:r>
    </w:p>
    <w:p w14:paraId="4DFDBA27" w14:textId="77777777" w:rsidR="009B0617" w:rsidRPr="00B211D5" w:rsidRDefault="009B0617" w:rsidP="009B0617">
      <w:pPr>
        <w:rPr>
          <w:rFonts w:ascii="Candara" w:hAnsi="Candara"/>
        </w:rPr>
      </w:pPr>
      <w:r w:rsidRPr="00B211D5">
        <w:rPr>
          <w:rFonts w:ascii="Candara" w:hAnsi="Candara"/>
        </w:rPr>
        <w:t>The IRU methodology relies on a capacity to specify the boundaries of each risk level in fine detail. Through the use of Geographic Information System (GIS) software and expertise, the areas associated with all four geographic risk categories can be mapped at a high spatial resolution.</w:t>
      </w:r>
    </w:p>
    <w:p w14:paraId="19DB4AC1" w14:textId="77777777" w:rsidR="009B0617" w:rsidRDefault="009B0617" w:rsidP="009B0617">
      <w:pPr>
        <w:rPr>
          <w:rFonts w:ascii="Candara" w:hAnsi="Candara"/>
        </w:rPr>
      </w:pPr>
      <w:r w:rsidRPr="00B211D5">
        <w:rPr>
          <w:rFonts w:ascii="Candara" w:hAnsi="Candara"/>
        </w:rPr>
        <w:t>This high degree of geographic specificity is essential to the effective functioning of an f-factor scheme with different geographic priorities.</w:t>
      </w:r>
    </w:p>
    <w:p w14:paraId="6BDB3FC6" w14:textId="3A8BBA3A" w:rsidR="008519EB" w:rsidRPr="008519EB" w:rsidRDefault="008519EB" w:rsidP="008519EB">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A2.4: Geographic risk maps</w:t>
      </w:r>
    </w:p>
    <w:tbl>
      <w:tblPr>
        <w:tblStyle w:val="TableGrid"/>
        <w:tblW w:w="10206" w:type="dxa"/>
        <w:tblBorders>
          <w:top w:val="single" w:sz="12" w:space="0" w:color="D6E1EF"/>
          <w:left w:val="none" w:sz="0" w:space="0" w:color="auto"/>
          <w:bottom w:val="single" w:sz="12" w:space="0" w:color="D6E1EF"/>
          <w:right w:val="none" w:sz="0" w:space="0" w:color="auto"/>
          <w:insideH w:val="single" w:sz="12" w:space="0" w:color="D6E1EF"/>
          <w:insideV w:val="none" w:sz="0" w:space="0" w:color="auto"/>
        </w:tblBorders>
        <w:tblLayout w:type="fixed"/>
        <w:tblLook w:val="04A0" w:firstRow="1" w:lastRow="0" w:firstColumn="1" w:lastColumn="0" w:noHBand="0" w:noVBand="1"/>
      </w:tblPr>
      <w:tblGrid>
        <w:gridCol w:w="3232"/>
        <w:gridCol w:w="6974"/>
      </w:tblGrid>
      <w:tr w:rsidR="009B0617" w:rsidRPr="00B211D5" w14:paraId="7A7F5989" w14:textId="77777777" w:rsidTr="00290C47">
        <w:trPr>
          <w:cantSplit/>
        </w:trPr>
        <w:tc>
          <w:tcPr>
            <w:tcW w:w="3232" w:type="dxa"/>
            <w:tcBorders>
              <w:top w:val="single" w:sz="8" w:space="0" w:color="4F81BD"/>
              <w:bottom w:val="single" w:sz="8" w:space="0" w:color="4F81BD"/>
            </w:tcBorders>
            <w:shd w:val="clear" w:color="auto" w:fill="D6E1EF"/>
          </w:tcPr>
          <w:p w14:paraId="0CCF86C3" w14:textId="77777777" w:rsidR="009B0617" w:rsidRPr="00B211D5" w:rsidRDefault="009B0617" w:rsidP="009B0617">
            <w:pPr>
              <w:spacing w:before="120" w:after="200" w:line="276" w:lineRule="auto"/>
              <w:rPr>
                <w:rFonts w:ascii="Candara" w:hAnsi="Candara"/>
                <w:b/>
                <w:color w:val="17365D"/>
              </w:rPr>
            </w:pPr>
            <w:r w:rsidRPr="00B211D5">
              <w:rPr>
                <w:rFonts w:ascii="Candara" w:hAnsi="Candara"/>
                <w:b/>
                <w:color w:val="17365D"/>
              </w:rPr>
              <w:t>Overall bushfire risk</w:t>
            </w:r>
          </w:p>
          <w:p w14:paraId="1071A69B" w14:textId="77777777" w:rsidR="009B0617" w:rsidRPr="00B211D5" w:rsidRDefault="009B0617" w:rsidP="009B0617">
            <w:pPr>
              <w:spacing w:after="200" w:line="276" w:lineRule="auto"/>
              <w:rPr>
                <w:rFonts w:ascii="Candara" w:hAnsi="Candara"/>
              </w:rPr>
            </w:pPr>
            <w:r w:rsidRPr="00B211D5">
              <w:rPr>
                <w:rFonts w:ascii="Candara" w:hAnsi="Candara"/>
              </w:rPr>
              <w:t>State-wide powerline bushfire risk is often represented through the map for fire loss consequence for 2014/15</w:t>
            </w:r>
            <w:r w:rsidRPr="00B211D5">
              <w:rPr>
                <w:rFonts w:ascii="Candara" w:hAnsi="Candara"/>
                <w:vertAlign w:val="superscript"/>
              </w:rPr>
              <w:footnoteReference w:id="53"/>
            </w:r>
            <w:r w:rsidRPr="00B211D5">
              <w:rPr>
                <w:rFonts w:ascii="Candara" w:hAnsi="Candara"/>
              </w:rPr>
              <w:t xml:space="preserve"> (presented on the right), which shows different levels of estimated property loss for fires starting at 27,860 locations proximate to powerlines.</w:t>
            </w:r>
          </w:p>
        </w:tc>
        <w:tc>
          <w:tcPr>
            <w:tcW w:w="6974" w:type="dxa"/>
            <w:tcBorders>
              <w:top w:val="single" w:sz="8" w:space="0" w:color="4F81BD"/>
              <w:bottom w:val="single" w:sz="8" w:space="0" w:color="4F81BD"/>
            </w:tcBorders>
          </w:tcPr>
          <w:p w14:paraId="731151E3" w14:textId="77777777" w:rsidR="009B0617" w:rsidRPr="00B211D5" w:rsidRDefault="009B0617" w:rsidP="009B0617">
            <w:pPr>
              <w:spacing w:before="240" w:after="240"/>
              <w:rPr>
                <w:rFonts w:ascii="Candara" w:hAnsi="Candara"/>
              </w:rPr>
            </w:pPr>
            <w:r w:rsidRPr="00B211D5">
              <w:rPr>
                <w:rFonts w:ascii="Candara" w:hAnsi="Candara"/>
                <w:noProof/>
                <w:lang w:eastAsia="en-AU"/>
              </w:rPr>
              <w:drawing>
                <wp:inline distT="0" distB="0" distL="0" distR="0" wp14:anchorId="4A28783F" wp14:editId="0BB1A206">
                  <wp:extent cx="4284000" cy="2628000"/>
                  <wp:effectExtent l="19050" t="19050" r="21590" b="203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15 55633 PBSP_Cons_1415_VIC_5km.JPG"/>
                          <pic:cNvPicPr/>
                        </pic:nvPicPr>
                        <pic:blipFill rotWithShape="1">
                          <a:blip r:embed="rId28" cstate="print">
                            <a:extLst>
                              <a:ext uri="{28A0092B-C50C-407E-A947-70E740481C1C}">
                                <a14:useLocalDpi xmlns:a14="http://schemas.microsoft.com/office/drawing/2010/main" val="0"/>
                              </a:ext>
                            </a:extLst>
                          </a:blip>
                          <a:srcRect l="3989" t="14085" r="3627" b="5869"/>
                          <a:stretch/>
                        </pic:blipFill>
                        <pic:spPr bwMode="auto">
                          <a:xfrm>
                            <a:off x="0" y="0"/>
                            <a:ext cx="4284000" cy="2628000"/>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9B0617" w:rsidRPr="00B211D5" w14:paraId="173FD494" w14:textId="77777777" w:rsidTr="00290C47">
        <w:trPr>
          <w:cantSplit/>
        </w:trPr>
        <w:tc>
          <w:tcPr>
            <w:tcW w:w="3232" w:type="dxa"/>
            <w:tcBorders>
              <w:top w:val="single" w:sz="8" w:space="0" w:color="4F81BD"/>
              <w:bottom w:val="single" w:sz="8" w:space="0" w:color="4F81BD"/>
            </w:tcBorders>
            <w:shd w:val="clear" w:color="auto" w:fill="D6E1EF"/>
          </w:tcPr>
          <w:p w14:paraId="029AE884" w14:textId="77777777" w:rsidR="009B0617" w:rsidRPr="00B211D5" w:rsidRDefault="009B0617" w:rsidP="009B0617">
            <w:pPr>
              <w:spacing w:before="120" w:after="200" w:line="276" w:lineRule="auto"/>
              <w:rPr>
                <w:rFonts w:ascii="Candara" w:hAnsi="Candara"/>
                <w:b/>
                <w:color w:val="17365D"/>
              </w:rPr>
            </w:pPr>
            <w:r w:rsidRPr="00B211D5">
              <w:rPr>
                <w:rFonts w:ascii="Candara" w:hAnsi="Candara"/>
                <w:b/>
                <w:color w:val="17365D"/>
              </w:rPr>
              <w:t>Extreme geographic risk</w:t>
            </w:r>
          </w:p>
          <w:p w14:paraId="0BD6BA4B" w14:textId="77777777" w:rsidR="009B0617" w:rsidRPr="00B211D5" w:rsidRDefault="009B0617" w:rsidP="009B0617">
            <w:pPr>
              <w:spacing w:after="200" w:line="276" w:lineRule="auto"/>
              <w:rPr>
                <w:rFonts w:ascii="Candara" w:hAnsi="Candara"/>
              </w:rPr>
            </w:pPr>
            <w:r w:rsidRPr="00B211D5">
              <w:rPr>
                <w:rFonts w:ascii="Candara" w:hAnsi="Candara"/>
              </w:rPr>
              <w:t>The 33 Electric Line Construction Areas declared in the Electricity Safety (Bushfire Mitigation) Amendment Regulations 2016 are shown to the right, overlayed on the state-wide map for fire loss consequence.</w:t>
            </w:r>
          </w:p>
        </w:tc>
        <w:tc>
          <w:tcPr>
            <w:tcW w:w="6974" w:type="dxa"/>
            <w:tcBorders>
              <w:top w:val="single" w:sz="8" w:space="0" w:color="4F81BD"/>
              <w:bottom w:val="single" w:sz="8" w:space="0" w:color="4F81BD"/>
            </w:tcBorders>
          </w:tcPr>
          <w:p w14:paraId="47B5746A" w14:textId="77777777" w:rsidR="009B0617" w:rsidRPr="00B211D5" w:rsidRDefault="009B0617" w:rsidP="009B0617">
            <w:pPr>
              <w:spacing w:before="240" w:after="240"/>
              <w:rPr>
                <w:rFonts w:ascii="Candara" w:hAnsi="Candara"/>
              </w:rPr>
            </w:pPr>
            <w:r w:rsidRPr="00B211D5">
              <w:rPr>
                <w:rFonts w:ascii="Candara" w:hAnsi="Candara"/>
                <w:noProof/>
                <w:lang w:eastAsia="en-AU"/>
              </w:rPr>
              <w:drawing>
                <wp:inline distT="0" distB="0" distL="0" distR="0" wp14:anchorId="66678B0A" wp14:editId="38A185DD">
                  <wp:extent cx="4284000" cy="2584752"/>
                  <wp:effectExtent l="19050" t="19050" r="21590" b="2540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F_33 Target Areas_Map.jpg"/>
                          <pic:cNvPicPr/>
                        </pic:nvPicPr>
                        <pic:blipFill rotWithShape="1">
                          <a:blip r:embed="rId29" cstate="print">
                            <a:extLst>
                              <a:ext uri="{28A0092B-C50C-407E-A947-70E740481C1C}">
                                <a14:useLocalDpi xmlns:a14="http://schemas.microsoft.com/office/drawing/2010/main" val="0"/>
                              </a:ext>
                            </a:extLst>
                          </a:blip>
                          <a:srcRect l="5324" t="16000" r="5324" b="7743"/>
                          <a:stretch/>
                        </pic:blipFill>
                        <pic:spPr bwMode="auto">
                          <a:xfrm>
                            <a:off x="0" y="0"/>
                            <a:ext cx="4284000" cy="2584752"/>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tc>
      </w:tr>
      <w:tr w:rsidR="009B0617" w:rsidRPr="00B211D5" w14:paraId="7BA9786D" w14:textId="77777777" w:rsidTr="00290C47">
        <w:trPr>
          <w:cantSplit/>
        </w:trPr>
        <w:tc>
          <w:tcPr>
            <w:tcW w:w="3232" w:type="dxa"/>
            <w:tcBorders>
              <w:top w:val="single" w:sz="8" w:space="0" w:color="4F81BD"/>
              <w:bottom w:val="single" w:sz="8" w:space="0" w:color="4F81BD"/>
            </w:tcBorders>
            <w:shd w:val="clear" w:color="auto" w:fill="D6E1EF"/>
          </w:tcPr>
          <w:p w14:paraId="06CAE04D" w14:textId="77777777" w:rsidR="009B0617" w:rsidRPr="00B211D5" w:rsidRDefault="009B0617" w:rsidP="009B0617">
            <w:pPr>
              <w:spacing w:before="120" w:after="200" w:line="276" w:lineRule="auto"/>
              <w:rPr>
                <w:rFonts w:ascii="Candara" w:hAnsi="Candara"/>
                <w:b/>
                <w:color w:val="17365D"/>
              </w:rPr>
            </w:pPr>
            <w:r w:rsidRPr="00B211D5">
              <w:rPr>
                <w:rFonts w:ascii="Candara" w:hAnsi="Candara"/>
                <w:b/>
                <w:color w:val="17365D"/>
              </w:rPr>
              <w:lastRenderedPageBreak/>
              <w:t>Severe geographic risk</w:t>
            </w:r>
          </w:p>
          <w:p w14:paraId="300B95BB" w14:textId="77777777" w:rsidR="009B0617" w:rsidRPr="00B211D5" w:rsidRDefault="009B0617" w:rsidP="009B0617">
            <w:pPr>
              <w:spacing w:after="200" w:line="276" w:lineRule="auto"/>
              <w:rPr>
                <w:rFonts w:ascii="Candara" w:hAnsi="Candara"/>
                <w:b/>
                <w:color w:val="17365D"/>
              </w:rPr>
            </w:pPr>
            <w:r w:rsidRPr="00B211D5">
              <w:rPr>
                <w:rFonts w:ascii="Candara" w:hAnsi="Candara"/>
              </w:rPr>
              <w:t>The 45 Zone Substations which are required to achieve an enhanced level of network protection over the next seven years to 2022 are covered by areas represented to the right.</w:t>
            </w:r>
          </w:p>
        </w:tc>
        <w:tc>
          <w:tcPr>
            <w:tcW w:w="6974" w:type="dxa"/>
            <w:tcBorders>
              <w:top w:val="single" w:sz="8" w:space="0" w:color="4F81BD"/>
              <w:bottom w:val="single" w:sz="8" w:space="0" w:color="4F81BD"/>
            </w:tcBorders>
          </w:tcPr>
          <w:p w14:paraId="477C03C5" w14:textId="050FB7B5" w:rsidR="009B0617" w:rsidRPr="00B211D5" w:rsidRDefault="00F74E4A" w:rsidP="009B0617">
            <w:pPr>
              <w:spacing w:before="240" w:after="240"/>
              <w:rPr>
                <w:rFonts w:ascii="Candara" w:hAnsi="Candara"/>
                <w:noProof/>
                <w:lang w:eastAsia="en-AU"/>
              </w:rPr>
            </w:pPr>
            <w:r>
              <w:rPr>
                <w:rFonts w:ascii="Candara" w:hAnsi="Candara"/>
                <w:noProof/>
                <w:lang w:eastAsia="en-AU"/>
              </w:rPr>
              <w:drawing>
                <wp:inline distT="0" distB="0" distL="0" distR="0" wp14:anchorId="4707593E" wp14:editId="2A007D4F">
                  <wp:extent cx="4284000" cy="24471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tor map - Severe - V2 (final - severe includes swer).jpg"/>
                          <pic:cNvPicPr/>
                        </pic:nvPicPr>
                        <pic:blipFill rotWithShape="1">
                          <a:blip r:embed="rId30" cstate="print">
                            <a:extLst>
                              <a:ext uri="{28A0092B-C50C-407E-A947-70E740481C1C}">
                                <a14:useLocalDpi xmlns:a14="http://schemas.microsoft.com/office/drawing/2010/main" val="0"/>
                              </a:ext>
                            </a:extLst>
                          </a:blip>
                          <a:srcRect l="7360" t="17058" r="6033" b="12964"/>
                          <a:stretch/>
                        </pic:blipFill>
                        <pic:spPr bwMode="auto">
                          <a:xfrm>
                            <a:off x="0" y="0"/>
                            <a:ext cx="4284000" cy="2447140"/>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noProof/>
                <w:lang w:eastAsia="en-AU"/>
              </w:rPr>
              <w:drawing>
                <wp:anchor distT="0" distB="0" distL="114300" distR="114300" simplePos="0" relativeHeight="251686912" behindDoc="0" locked="0" layoutInCell="1" allowOverlap="1" wp14:anchorId="4B9C3CA7" wp14:editId="597AA53B">
                  <wp:simplePos x="0" y="0"/>
                  <wp:positionH relativeFrom="column">
                    <wp:posOffset>3447020</wp:posOffset>
                  </wp:positionH>
                  <wp:positionV relativeFrom="paragraph">
                    <wp:posOffset>1948204</wp:posOffset>
                  </wp:positionV>
                  <wp:extent cx="790575" cy="466725"/>
                  <wp:effectExtent l="0" t="0" r="9525"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rotWithShape="1">
                          <a:blip r:embed="rId31" cstate="print">
                            <a:extLst>
                              <a:ext uri="{28A0092B-C50C-407E-A947-70E740481C1C}">
                                <a14:useLocalDpi xmlns:a14="http://schemas.microsoft.com/office/drawing/2010/main" val="0"/>
                              </a:ext>
                            </a:extLst>
                          </a:blip>
                          <a:srcRect l="75376" t="71548" r="7819" b="14333"/>
                          <a:stretch/>
                        </pic:blipFill>
                        <pic:spPr bwMode="auto">
                          <a:xfrm>
                            <a:off x="0" y="0"/>
                            <a:ext cx="790575" cy="466725"/>
                          </a:xfrm>
                          <a:prstGeom prst="rect">
                            <a:avLst/>
                          </a:prstGeom>
                          <a:ln>
                            <a:noFill/>
                          </a:ln>
                          <a:extLst>
                            <a:ext uri="{53640926-AAD7-44D8-BBD7-CCE9431645EC}">
                              <a14:shadowObscured xmlns:a14="http://schemas.microsoft.com/office/drawing/2010/main"/>
                            </a:ext>
                          </a:extLst>
                        </pic:spPr>
                      </pic:pic>
                    </a:graphicData>
                  </a:graphic>
                </wp:anchor>
              </w:drawing>
            </w:r>
          </w:p>
        </w:tc>
      </w:tr>
      <w:tr w:rsidR="009B0617" w:rsidRPr="00B211D5" w14:paraId="268EF276" w14:textId="77777777" w:rsidTr="00290C47">
        <w:trPr>
          <w:cantSplit/>
        </w:trPr>
        <w:tc>
          <w:tcPr>
            <w:tcW w:w="3232" w:type="dxa"/>
            <w:tcBorders>
              <w:top w:val="single" w:sz="8" w:space="0" w:color="4F81BD"/>
              <w:bottom w:val="single" w:sz="8" w:space="0" w:color="4F81BD"/>
            </w:tcBorders>
            <w:shd w:val="clear" w:color="auto" w:fill="D6E1EF"/>
          </w:tcPr>
          <w:p w14:paraId="2F7DE1F6" w14:textId="77777777" w:rsidR="009B0617" w:rsidRPr="00B211D5" w:rsidRDefault="009B0617" w:rsidP="009B0617">
            <w:pPr>
              <w:spacing w:before="120" w:after="200" w:line="276" w:lineRule="auto"/>
              <w:rPr>
                <w:rFonts w:ascii="Candara" w:hAnsi="Candara"/>
                <w:b/>
                <w:color w:val="17365D"/>
              </w:rPr>
            </w:pPr>
            <w:r w:rsidRPr="00B211D5">
              <w:rPr>
                <w:rFonts w:ascii="Candara" w:hAnsi="Candara"/>
                <w:b/>
                <w:color w:val="17365D"/>
              </w:rPr>
              <w:t>High and low geographic risk</w:t>
            </w:r>
          </w:p>
          <w:p w14:paraId="0B5277A8" w14:textId="77777777" w:rsidR="009B0617" w:rsidRPr="00B211D5" w:rsidRDefault="009B0617" w:rsidP="009B0617">
            <w:pPr>
              <w:spacing w:after="200" w:line="276" w:lineRule="auto"/>
              <w:rPr>
                <w:rFonts w:ascii="Candara" w:hAnsi="Candara"/>
                <w:b/>
                <w:color w:val="17365D"/>
              </w:rPr>
            </w:pPr>
            <w:r w:rsidRPr="00B211D5">
              <w:rPr>
                <w:rFonts w:ascii="Candara" w:hAnsi="Candara"/>
              </w:rPr>
              <w:t>The separation of Victoria intro hazardous bushfire risk areas and low bushfire risk areas is represented in the map to the right.</w:t>
            </w:r>
          </w:p>
        </w:tc>
        <w:tc>
          <w:tcPr>
            <w:tcW w:w="6974" w:type="dxa"/>
            <w:tcBorders>
              <w:top w:val="single" w:sz="8" w:space="0" w:color="4F81BD"/>
              <w:bottom w:val="single" w:sz="8" w:space="0" w:color="4F81BD"/>
            </w:tcBorders>
          </w:tcPr>
          <w:p w14:paraId="75C520F9" w14:textId="77777777" w:rsidR="009B0617" w:rsidRPr="00B211D5" w:rsidRDefault="009B0617" w:rsidP="009B0617">
            <w:pPr>
              <w:spacing w:before="60" w:after="240"/>
              <w:rPr>
                <w:rFonts w:ascii="Candara" w:hAnsi="Candara"/>
                <w:noProof/>
                <w:highlight w:val="yellow"/>
                <w:lang w:eastAsia="en-AU"/>
              </w:rPr>
            </w:pPr>
            <w:r w:rsidRPr="00B211D5">
              <w:rPr>
                <w:rFonts w:ascii="Candara" w:hAnsi="Candara"/>
                <w:noProof/>
                <w:lang w:eastAsia="en-AU"/>
              </w:rPr>
              <w:drawing>
                <wp:inline distT="0" distB="0" distL="0" distR="0" wp14:anchorId="1DC65E85" wp14:editId="5E24CF0F">
                  <wp:extent cx="4284000" cy="2355114"/>
                  <wp:effectExtent l="0" t="0" r="254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A_LBRA_Areas_Map_V2.jpg"/>
                          <pic:cNvPicPr/>
                        </pic:nvPicPr>
                        <pic:blipFill rotWithShape="1">
                          <a:blip r:embed="rId32" cstate="print">
                            <a:extLst>
                              <a:ext uri="{28A0092B-C50C-407E-A947-70E740481C1C}">
                                <a14:useLocalDpi xmlns:a14="http://schemas.microsoft.com/office/drawing/2010/main" val="0"/>
                              </a:ext>
                            </a:extLst>
                          </a:blip>
                          <a:srcRect l="5129" t="16845" r="5429" b="13602"/>
                          <a:stretch/>
                        </pic:blipFill>
                        <pic:spPr bwMode="auto">
                          <a:xfrm>
                            <a:off x="0" y="0"/>
                            <a:ext cx="4284000" cy="23551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0034F6" w14:textId="3E740C7C" w:rsidR="008519EB" w:rsidRDefault="008519EB" w:rsidP="009B0617">
      <w:pPr>
        <w:spacing w:before="200"/>
        <w:rPr>
          <w:rFonts w:ascii="Candara" w:hAnsi="Candara"/>
        </w:rPr>
      </w:pPr>
    </w:p>
    <w:p w14:paraId="54F85209" w14:textId="77777777" w:rsidR="009B0617" w:rsidRPr="00B211D5" w:rsidRDefault="009B0617" w:rsidP="009B0617">
      <w:pPr>
        <w:spacing w:before="200"/>
        <w:rPr>
          <w:rFonts w:ascii="Candara" w:hAnsi="Candara"/>
        </w:rPr>
      </w:pPr>
      <w:r w:rsidRPr="00B211D5">
        <w:rPr>
          <w:rFonts w:ascii="Candara" w:hAnsi="Candara"/>
        </w:rPr>
        <w:t>Bringing these maps together in a way that allocates each part of Victoria to one geographic risk category only, in a hierarchical manner, yields the map presented overleaf.</w:t>
      </w:r>
    </w:p>
    <w:p w14:paraId="5481FA96" w14:textId="77777777" w:rsidR="009B0617" w:rsidRPr="00B211D5" w:rsidRDefault="009B0617" w:rsidP="009B0617">
      <w:pPr>
        <w:spacing w:before="200"/>
        <w:rPr>
          <w:rFonts w:ascii="Candara" w:hAnsi="Candara"/>
        </w:rPr>
      </w:pPr>
    </w:p>
    <w:p w14:paraId="19771F5E" w14:textId="77777777" w:rsidR="009B0617" w:rsidRPr="00B211D5" w:rsidRDefault="009B0617" w:rsidP="009B0617">
      <w:pPr>
        <w:rPr>
          <w:rFonts w:ascii="Candara" w:hAnsi="Candara"/>
        </w:rPr>
        <w:sectPr w:rsidR="009B0617" w:rsidRPr="00B211D5" w:rsidSect="003543AF">
          <w:headerReference w:type="even" r:id="rId33"/>
          <w:headerReference w:type="default" r:id="rId34"/>
          <w:footerReference w:type="default" r:id="rId35"/>
          <w:headerReference w:type="first" r:id="rId36"/>
          <w:pgSz w:w="11906" w:h="16838"/>
          <w:pgMar w:top="1440" w:right="1440" w:bottom="1440" w:left="1440" w:header="708" w:footer="708" w:gutter="0"/>
          <w:cols w:space="708"/>
          <w:docGrid w:linePitch="360"/>
        </w:sectPr>
      </w:pPr>
    </w:p>
    <w:p w14:paraId="19BB08BE" w14:textId="394DA658" w:rsidR="008519EB" w:rsidRPr="008519EB" w:rsidRDefault="008519EB" w:rsidP="008519EB">
      <w:pPr>
        <w:autoSpaceDE w:val="0"/>
        <w:autoSpaceDN w:val="0"/>
        <w:adjustRightInd w:val="0"/>
        <w:spacing w:before="120" w:after="80"/>
        <w:rPr>
          <w:rFonts w:asciiTheme="majorHAnsi" w:eastAsiaTheme="majorEastAsia" w:hAnsiTheme="majorHAnsi" w:cstheme="majorBidi"/>
          <w:i/>
          <w:iCs/>
          <w:color w:val="243F60" w:themeColor="accent1" w:themeShade="7F"/>
        </w:rPr>
      </w:pPr>
      <w:r w:rsidRPr="008519EB">
        <w:rPr>
          <w:rStyle w:val="Heading6Char"/>
        </w:rPr>
        <w:lastRenderedPageBreak/>
        <w:t xml:space="preserve"> </w:t>
      </w:r>
      <w:r>
        <w:rPr>
          <w:rStyle w:val="Heading6Char"/>
        </w:rPr>
        <w:t>Figure A2.5: State-wide overlay of geographic risk areas</w:t>
      </w:r>
    </w:p>
    <w:p w14:paraId="09FB1F96" w14:textId="72F34526" w:rsidR="009B0617" w:rsidRPr="00B211D5" w:rsidRDefault="00F74E4A" w:rsidP="009B0617">
      <w:pPr>
        <w:keepNext/>
        <w:keepLines/>
        <w:tabs>
          <w:tab w:val="left" w:pos="1701"/>
        </w:tabs>
        <w:spacing w:before="120" w:after="120" w:line="240" w:lineRule="auto"/>
        <w:ind w:left="1247" w:right="-170" w:hanging="1134"/>
        <w:rPr>
          <w:rFonts w:ascii="Candara" w:eastAsia="Times New Roman" w:hAnsi="Candara" w:cs="Times New Roman"/>
          <w:i/>
        </w:rPr>
      </w:pPr>
      <w:r>
        <w:rPr>
          <w:rFonts w:ascii="Candara" w:eastAsia="Times New Roman" w:hAnsi="Candara" w:cs="Times New Roman"/>
          <w:i/>
          <w:noProof/>
          <w:lang w:eastAsia="en-AU"/>
        </w:rPr>
        <w:drawing>
          <wp:anchor distT="0" distB="0" distL="114300" distR="114300" simplePos="0" relativeHeight="251745280" behindDoc="0" locked="0" layoutInCell="1" allowOverlap="1" wp14:anchorId="1785206F" wp14:editId="06DD4FB1">
            <wp:simplePos x="0" y="0"/>
            <wp:positionH relativeFrom="column">
              <wp:posOffset>-2276</wp:posOffset>
            </wp:positionH>
            <wp:positionV relativeFrom="paragraph">
              <wp:posOffset>-635</wp:posOffset>
            </wp:positionV>
            <wp:extent cx="9467850" cy="571309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tor map - all levels - V4 (final - severe includes swer).jpg"/>
                    <pic:cNvPicPr/>
                  </pic:nvPicPr>
                  <pic:blipFill rotWithShape="1">
                    <a:blip r:embed="rId37" cstate="print">
                      <a:extLst>
                        <a:ext uri="{28A0092B-C50C-407E-A947-70E740481C1C}">
                          <a14:useLocalDpi xmlns:a14="http://schemas.microsoft.com/office/drawing/2010/main" val="0"/>
                        </a:ext>
                      </a:extLst>
                    </a:blip>
                    <a:srcRect l="5644" t="16703" r="5431" b="7377"/>
                    <a:stretch/>
                  </pic:blipFill>
                  <pic:spPr bwMode="auto">
                    <a:xfrm>
                      <a:off x="0" y="0"/>
                      <a:ext cx="9467850" cy="571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76715" w14:textId="2E554001" w:rsidR="009B0617" w:rsidRPr="00B211D5" w:rsidRDefault="009B0617" w:rsidP="009B0617">
      <w:pPr>
        <w:rPr>
          <w:rFonts w:ascii="Candara" w:hAnsi="Candara"/>
        </w:rPr>
      </w:pPr>
    </w:p>
    <w:p w14:paraId="0B3A3CD7" w14:textId="77777777" w:rsidR="009B0617" w:rsidRPr="00B211D5" w:rsidRDefault="009B0617" w:rsidP="009B0617">
      <w:pPr>
        <w:rPr>
          <w:rFonts w:ascii="Candara" w:hAnsi="Candara"/>
        </w:rPr>
        <w:sectPr w:rsidR="009B0617" w:rsidRPr="00B211D5" w:rsidSect="003543AF">
          <w:headerReference w:type="default" r:id="rId38"/>
          <w:pgSz w:w="16838" w:h="11906" w:orient="landscape"/>
          <w:pgMar w:top="1440" w:right="1440" w:bottom="1440" w:left="1440" w:header="708" w:footer="708" w:gutter="0"/>
          <w:cols w:space="708"/>
          <w:docGrid w:linePitch="360"/>
        </w:sectPr>
      </w:pPr>
    </w:p>
    <w:p w14:paraId="543CBE07" w14:textId="77777777" w:rsidR="009B0617" w:rsidRPr="00B211D5" w:rsidRDefault="009B0617" w:rsidP="009B0617">
      <w:pPr>
        <w:pStyle w:val="BodyText"/>
        <w:rPr>
          <w:rFonts w:ascii="Candara" w:hAnsi="Candara"/>
          <w:b/>
        </w:rPr>
      </w:pPr>
      <w:r w:rsidRPr="00B211D5">
        <w:rPr>
          <w:rFonts w:ascii="Candara" w:hAnsi="Candara"/>
          <w:b/>
        </w:rPr>
        <w:lastRenderedPageBreak/>
        <w:t xml:space="preserve">Rating geographic risk </w:t>
      </w:r>
    </w:p>
    <w:p w14:paraId="3952ECAC" w14:textId="77777777" w:rsidR="009B0617" w:rsidRPr="00B211D5" w:rsidRDefault="009B0617" w:rsidP="009B7E67">
      <w:pPr>
        <w:spacing w:after="180"/>
        <w:rPr>
          <w:rFonts w:ascii="Candara" w:hAnsi="Candara"/>
        </w:rPr>
      </w:pPr>
      <w:r w:rsidRPr="00B211D5">
        <w:rPr>
          <w:rFonts w:ascii="Candara" w:hAnsi="Candara"/>
        </w:rPr>
        <w:t>To support the move to a weighted f-factor scheme it is necessary to quantify the difference in risk between each of the four geographic risk categories.</w:t>
      </w:r>
    </w:p>
    <w:p w14:paraId="3D4E60BF" w14:textId="77777777" w:rsidR="009B0617" w:rsidRPr="00B211D5" w:rsidRDefault="009B0617" w:rsidP="009B7E67">
      <w:pPr>
        <w:spacing w:after="180"/>
        <w:rPr>
          <w:rFonts w:ascii="Candara" w:hAnsi="Candara"/>
        </w:rPr>
      </w:pPr>
      <w:r w:rsidRPr="00B211D5">
        <w:rPr>
          <w:rFonts w:ascii="Candara" w:hAnsi="Candara"/>
        </w:rPr>
        <w:t>The Phoenix RapidFire fire behaviour modelling has been used to show that there are large differences in bushfire risk for different parts of the State (as identified by estimates of fire loss consequence associated with house loss).</w:t>
      </w:r>
    </w:p>
    <w:p w14:paraId="02E24633" w14:textId="77777777" w:rsidR="009B0617" w:rsidRPr="00B211D5" w:rsidRDefault="009B0617" w:rsidP="009B7E67">
      <w:pPr>
        <w:spacing w:after="180"/>
        <w:rPr>
          <w:rFonts w:ascii="Candara" w:hAnsi="Candara"/>
        </w:rPr>
      </w:pPr>
      <w:r w:rsidRPr="00B211D5">
        <w:rPr>
          <w:rFonts w:ascii="Candara" w:hAnsi="Candara"/>
        </w:rPr>
        <w:t>Assuming a bare-wire powerline configuration (typical of the bulk of the Victorian network), the estimate of fire loss consequence has the most significant influence as a differentiator of geographic risk (consequence x likelihood), as the fire loss consequence point estimates cover a range from zero to over 17,000.</w:t>
      </w:r>
    </w:p>
    <w:p w14:paraId="3DABB897" w14:textId="77777777" w:rsidR="009B0617" w:rsidRPr="00B211D5" w:rsidRDefault="009B0617" w:rsidP="009B7E67">
      <w:pPr>
        <w:spacing w:after="180"/>
        <w:rPr>
          <w:rFonts w:ascii="Candara" w:hAnsi="Candara"/>
        </w:rPr>
      </w:pPr>
      <w:r w:rsidRPr="00B211D5">
        <w:rPr>
          <w:rFonts w:ascii="Candara" w:hAnsi="Candara"/>
        </w:rPr>
        <w:t>Integrating the estimates for fire loss consequence for 2014/15</w:t>
      </w:r>
      <w:r w:rsidRPr="00B211D5">
        <w:rPr>
          <w:rFonts w:ascii="Candara" w:hAnsi="Candara"/>
          <w:vertAlign w:val="superscript"/>
        </w:rPr>
        <w:footnoteReference w:id="54"/>
      </w:r>
      <w:r w:rsidRPr="00B211D5">
        <w:rPr>
          <w:rFonts w:ascii="Candara" w:hAnsi="Candara"/>
        </w:rPr>
        <w:t xml:space="preserve"> with the power pole and line data provided by DBs through specialist GIS software, the IRU methodology was used to estimate the relative risk associated with each category of geographic risk.</w:t>
      </w:r>
    </w:p>
    <w:p w14:paraId="7FD55D2F" w14:textId="77777777" w:rsidR="009B0617" w:rsidRDefault="009B0617" w:rsidP="009B7E67">
      <w:pPr>
        <w:spacing w:after="180"/>
        <w:ind w:right="-454"/>
        <w:rPr>
          <w:rFonts w:ascii="Candara" w:hAnsi="Candara"/>
        </w:rPr>
      </w:pPr>
      <w:r w:rsidRPr="00B211D5">
        <w:rPr>
          <w:rFonts w:ascii="Candara" w:hAnsi="Candara"/>
        </w:rPr>
        <w:t xml:space="preserve">The table below shows the number of High Voltage (HV) poles across the State that are assigned to each risk category and the average estimated property loss associated with all HV poles in a category. </w:t>
      </w:r>
    </w:p>
    <w:p w14:paraId="07FD9561" w14:textId="744F363D" w:rsidR="008519EB" w:rsidRPr="008519EB" w:rsidRDefault="008519EB" w:rsidP="009B7E67">
      <w:pPr>
        <w:autoSpaceDE w:val="0"/>
        <w:autoSpaceDN w:val="0"/>
        <w:adjustRightInd w:val="0"/>
        <w:spacing w:before="120" w:after="40"/>
        <w:rPr>
          <w:rFonts w:asciiTheme="majorHAnsi" w:eastAsiaTheme="majorEastAsia" w:hAnsiTheme="majorHAnsi" w:cstheme="majorBidi"/>
          <w:i/>
          <w:iCs/>
          <w:color w:val="243F60" w:themeColor="accent1" w:themeShade="7F"/>
        </w:rPr>
      </w:pPr>
      <w:r>
        <w:rPr>
          <w:rStyle w:val="Heading6Char"/>
        </w:rPr>
        <w:t>Figure A2.6: Number of high voltage poles by geographic risk categories</w:t>
      </w:r>
    </w:p>
    <w:tbl>
      <w:tblPr>
        <w:tblW w:w="7371" w:type="dxa"/>
        <w:tblInd w:w="113" w:type="dxa"/>
        <w:tblLook w:val="04A0" w:firstRow="1" w:lastRow="0" w:firstColumn="1" w:lastColumn="0" w:noHBand="0" w:noVBand="1"/>
      </w:tblPr>
      <w:tblGrid>
        <w:gridCol w:w="2825"/>
        <w:gridCol w:w="2273"/>
        <w:gridCol w:w="2273"/>
      </w:tblGrid>
      <w:tr w:rsidR="009B0617" w:rsidRPr="00B211D5" w14:paraId="33C2CFD2" w14:textId="77777777" w:rsidTr="009B7E67">
        <w:trPr>
          <w:trHeight w:val="510"/>
        </w:trPr>
        <w:tc>
          <w:tcPr>
            <w:tcW w:w="2825"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3764CD3C" w14:textId="77777777" w:rsidR="009B0617" w:rsidRPr="00B211D5" w:rsidRDefault="009B0617" w:rsidP="009B0617">
            <w:pPr>
              <w:spacing w:before="60" w:after="60" w:line="240" w:lineRule="auto"/>
              <w:jc w:val="center"/>
              <w:rPr>
                <w:rFonts w:ascii="Candara" w:eastAsia="Times New Roman" w:hAnsi="Candara" w:cs="Times New Roman"/>
                <w:b/>
                <w:bCs/>
                <w:color w:val="FFFFFF"/>
                <w:sz w:val="20"/>
                <w:szCs w:val="20"/>
                <w:lang w:eastAsia="en-AU"/>
              </w:rPr>
            </w:pPr>
            <w:r w:rsidRPr="00B211D5">
              <w:rPr>
                <w:rFonts w:ascii="Candara" w:eastAsia="Times New Roman" w:hAnsi="Candara" w:cs="Times New Roman"/>
                <w:b/>
                <w:bCs/>
                <w:color w:val="FFFFFF"/>
                <w:sz w:val="20"/>
                <w:szCs w:val="20"/>
                <w:lang w:eastAsia="en-AU"/>
              </w:rPr>
              <w:t>Geographic risk category</w:t>
            </w:r>
          </w:p>
        </w:tc>
        <w:tc>
          <w:tcPr>
            <w:tcW w:w="2273"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312245B3" w14:textId="77777777" w:rsidR="009B0617" w:rsidRPr="00B211D5" w:rsidRDefault="009B0617" w:rsidP="009B0617">
            <w:pPr>
              <w:spacing w:before="60" w:after="60" w:line="240" w:lineRule="auto"/>
              <w:jc w:val="center"/>
              <w:rPr>
                <w:rFonts w:ascii="Candara" w:eastAsia="Times New Roman" w:hAnsi="Candara" w:cs="Times New Roman"/>
                <w:b/>
                <w:bCs/>
                <w:color w:val="FFFFFF"/>
                <w:sz w:val="20"/>
                <w:szCs w:val="20"/>
                <w:lang w:eastAsia="en-AU"/>
              </w:rPr>
            </w:pPr>
            <w:r w:rsidRPr="00B211D5">
              <w:rPr>
                <w:rFonts w:ascii="Candara" w:eastAsia="Times New Roman" w:hAnsi="Candara" w:cs="Times New Roman"/>
                <w:b/>
                <w:bCs/>
                <w:color w:val="FFFFFF"/>
                <w:sz w:val="20"/>
                <w:szCs w:val="20"/>
                <w:lang w:eastAsia="en-AU"/>
              </w:rPr>
              <w:t>Count of High Voltage (HV) Power Poles</w:t>
            </w:r>
          </w:p>
        </w:tc>
        <w:tc>
          <w:tcPr>
            <w:tcW w:w="2273"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0AD8A1C6" w14:textId="4A7E47ED" w:rsidR="009B0617" w:rsidRPr="00B211D5" w:rsidRDefault="009B0617" w:rsidP="009B0617">
            <w:pPr>
              <w:spacing w:before="60" w:after="60" w:line="240" w:lineRule="auto"/>
              <w:jc w:val="center"/>
              <w:rPr>
                <w:rFonts w:ascii="Candara" w:eastAsia="Times New Roman" w:hAnsi="Candara" w:cs="Times New Roman"/>
                <w:b/>
                <w:bCs/>
                <w:color w:val="FFFFFF"/>
                <w:sz w:val="20"/>
                <w:szCs w:val="20"/>
                <w:lang w:eastAsia="en-AU"/>
              </w:rPr>
            </w:pPr>
            <w:r w:rsidRPr="00B211D5">
              <w:rPr>
                <w:rFonts w:ascii="Candara" w:eastAsia="Times New Roman" w:hAnsi="Candara" w:cs="Times New Roman"/>
                <w:b/>
                <w:bCs/>
                <w:color w:val="FFFFFF"/>
                <w:sz w:val="20"/>
                <w:szCs w:val="20"/>
                <w:lang w:eastAsia="en-AU"/>
              </w:rPr>
              <w:t xml:space="preserve">Average Fire Loss Consequence per pole </w:t>
            </w:r>
            <w:r w:rsidR="00C841A9">
              <w:rPr>
                <w:rFonts w:ascii="Candara" w:eastAsia="Times New Roman" w:hAnsi="Candara" w:cs="Times New Roman"/>
                <w:b/>
                <w:bCs/>
                <w:color w:val="FFFFFF"/>
                <w:sz w:val="16"/>
                <w:szCs w:val="16"/>
                <w:lang w:eastAsia="en-AU"/>
              </w:rPr>
              <w:t>(AN</w:t>
            </w:r>
            <w:r w:rsidRPr="00B211D5">
              <w:rPr>
                <w:rFonts w:ascii="Candara" w:eastAsia="Times New Roman" w:hAnsi="Candara" w:cs="Times New Roman"/>
                <w:b/>
                <w:bCs/>
                <w:color w:val="FFFFFF"/>
                <w:sz w:val="16"/>
                <w:szCs w:val="16"/>
                <w:lang w:eastAsia="en-AU"/>
              </w:rPr>
              <w:t xml:space="preserve"> 140)</w:t>
            </w:r>
          </w:p>
        </w:tc>
      </w:tr>
      <w:tr w:rsidR="009B0617" w:rsidRPr="00B211D5" w14:paraId="708AC19C" w14:textId="77777777" w:rsidTr="009B7E67">
        <w:tc>
          <w:tcPr>
            <w:tcW w:w="2825"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53AB692E"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1.Low</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71EEE4E5"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194,186</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74D02790"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23.9</w:t>
            </w:r>
          </w:p>
        </w:tc>
      </w:tr>
      <w:tr w:rsidR="009B0617" w:rsidRPr="00B211D5" w14:paraId="12530DE4" w14:textId="77777777" w:rsidTr="009B7E67">
        <w:tc>
          <w:tcPr>
            <w:tcW w:w="2825"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6327915"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2. High</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295BD466"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165,748</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42F0289E"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113.9</w:t>
            </w:r>
          </w:p>
        </w:tc>
      </w:tr>
      <w:tr w:rsidR="009B0617" w:rsidRPr="00B211D5" w14:paraId="481625DB" w14:textId="77777777" w:rsidTr="009B7E67">
        <w:tc>
          <w:tcPr>
            <w:tcW w:w="2825"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1748AB2A"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3. Severe</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59DB1ABC"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283,039</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459D8C24"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523.0</w:t>
            </w:r>
          </w:p>
        </w:tc>
      </w:tr>
      <w:tr w:rsidR="009B0617" w:rsidRPr="00B211D5" w14:paraId="01CFA96E" w14:textId="77777777" w:rsidTr="009B7E67">
        <w:tc>
          <w:tcPr>
            <w:tcW w:w="2825"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tcPr>
          <w:p w14:paraId="14B7282A" w14:textId="77777777" w:rsidR="009B0617" w:rsidRPr="00CE08A3" w:rsidRDefault="009B0617" w:rsidP="009B0617">
            <w:pPr>
              <w:spacing w:before="60" w:after="60" w:line="240" w:lineRule="auto"/>
              <w:rPr>
                <w:rFonts w:ascii="Candara" w:hAnsi="Candara"/>
                <w:b/>
                <w:bCs/>
                <w:color w:val="FFFFFF" w:themeColor="background1"/>
                <w:sz w:val="20"/>
                <w:szCs w:val="20"/>
              </w:rPr>
            </w:pPr>
            <w:r w:rsidRPr="00CE08A3">
              <w:rPr>
                <w:rFonts w:ascii="Candara" w:hAnsi="Candara"/>
                <w:b/>
                <w:bCs/>
                <w:color w:val="FFFFFF" w:themeColor="background1"/>
                <w:sz w:val="20"/>
                <w:szCs w:val="20"/>
              </w:rPr>
              <w:t>4.Extreme</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518C926C"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21,846</w:t>
            </w:r>
          </w:p>
        </w:tc>
        <w:tc>
          <w:tcPr>
            <w:tcW w:w="2273" w:type="dxa"/>
            <w:tcBorders>
              <w:top w:val="single" w:sz="4" w:space="0" w:color="BFBFBF"/>
              <w:left w:val="nil"/>
              <w:bottom w:val="single" w:sz="4" w:space="0" w:color="BFBFBF"/>
              <w:right w:val="single" w:sz="4" w:space="0" w:color="BFBFBF"/>
            </w:tcBorders>
            <w:shd w:val="clear" w:color="auto" w:fill="auto"/>
            <w:vAlign w:val="center"/>
          </w:tcPr>
          <w:p w14:paraId="18DA17CC"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2,251.2</w:t>
            </w:r>
          </w:p>
        </w:tc>
      </w:tr>
    </w:tbl>
    <w:p w14:paraId="16A39CE8" w14:textId="77777777" w:rsidR="009B0617" w:rsidRPr="00B211D5" w:rsidRDefault="009B0617" w:rsidP="009B7E67">
      <w:pPr>
        <w:spacing w:after="180"/>
        <w:rPr>
          <w:rFonts w:ascii="Candara" w:hAnsi="Candara"/>
        </w:rPr>
      </w:pPr>
      <w:r w:rsidRPr="00B211D5">
        <w:rPr>
          <w:rFonts w:ascii="Candara" w:hAnsi="Candara"/>
        </w:rPr>
        <w:t>HBRA declared locations (associated with the ‘high’ category) are considered to be the foundation classification for heightened bushfire risk and deemed to be the baseline category.</w:t>
      </w:r>
    </w:p>
    <w:p w14:paraId="1DC72FC0" w14:textId="77777777" w:rsidR="009B0617" w:rsidRDefault="009B0617" w:rsidP="009B7E67">
      <w:pPr>
        <w:spacing w:after="180"/>
        <w:rPr>
          <w:rFonts w:ascii="Candara" w:hAnsi="Candara"/>
        </w:rPr>
      </w:pPr>
      <w:r w:rsidRPr="00B211D5">
        <w:rPr>
          <w:rFonts w:ascii="Candara" w:hAnsi="Candara"/>
        </w:rPr>
        <w:t>The high category was allocated a weighing of 1, and all other categories were assigned a weighting based on the ratio of average fire loss consequence per pole for that category relative to the average for the high category. The final calculated weightings are shown below.</w:t>
      </w:r>
    </w:p>
    <w:p w14:paraId="26585A32" w14:textId="3C15DE2E" w:rsidR="008519EB" w:rsidRPr="008519EB" w:rsidRDefault="008519EB" w:rsidP="009B7E67">
      <w:pPr>
        <w:autoSpaceDE w:val="0"/>
        <w:autoSpaceDN w:val="0"/>
        <w:adjustRightInd w:val="0"/>
        <w:spacing w:before="120" w:after="40"/>
        <w:rPr>
          <w:rFonts w:asciiTheme="majorHAnsi" w:eastAsiaTheme="majorEastAsia" w:hAnsiTheme="majorHAnsi" w:cstheme="majorBidi"/>
          <w:i/>
          <w:iCs/>
          <w:color w:val="243F60" w:themeColor="accent1" w:themeShade="7F"/>
        </w:rPr>
      </w:pPr>
      <w:r>
        <w:rPr>
          <w:rStyle w:val="Heading6Char"/>
        </w:rPr>
        <w:t xml:space="preserve">Figure A2.7: </w:t>
      </w:r>
      <w:r w:rsidR="00CA4C17">
        <w:rPr>
          <w:rStyle w:val="Heading6Char"/>
        </w:rPr>
        <w:t>Geographic category risk weightings</w:t>
      </w:r>
    </w:p>
    <w:tbl>
      <w:tblPr>
        <w:tblW w:w="4706" w:type="dxa"/>
        <w:tblInd w:w="113" w:type="dxa"/>
        <w:tblLook w:val="04A0" w:firstRow="1" w:lastRow="0" w:firstColumn="1" w:lastColumn="0" w:noHBand="0" w:noVBand="1"/>
      </w:tblPr>
      <w:tblGrid>
        <w:gridCol w:w="2608"/>
        <w:gridCol w:w="2098"/>
      </w:tblGrid>
      <w:tr w:rsidR="009B0617" w:rsidRPr="00B211D5" w14:paraId="5E099B44" w14:textId="77777777" w:rsidTr="009B7E67">
        <w:trPr>
          <w:trHeight w:val="510"/>
        </w:trPr>
        <w:tc>
          <w:tcPr>
            <w:tcW w:w="2608" w:type="dxa"/>
            <w:tcBorders>
              <w:top w:val="single" w:sz="4" w:space="0" w:color="BFBFBF"/>
              <w:left w:val="single" w:sz="4" w:space="0" w:color="BFBFBF"/>
              <w:bottom w:val="single" w:sz="4" w:space="0" w:color="BFBFBF"/>
              <w:right w:val="single" w:sz="4" w:space="0" w:color="BFBFBF"/>
            </w:tcBorders>
            <w:shd w:val="clear" w:color="000000" w:fill="365F91" w:themeFill="accent1" w:themeFillShade="BF"/>
            <w:vAlign w:val="center"/>
            <w:hideMark/>
          </w:tcPr>
          <w:p w14:paraId="7D7F9D75" w14:textId="77777777" w:rsidR="009B0617" w:rsidRPr="00B211D5" w:rsidRDefault="009B0617" w:rsidP="009B0617">
            <w:pPr>
              <w:spacing w:before="40" w:after="40" w:line="240" w:lineRule="auto"/>
              <w:jc w:val="center"/>
              <w:rPr>
                <w:rFonts w:ascii="Candara" w:eastAsia="Times New Roman" w:hAnsi="Candara" w:cs="Times New Roman"/>
                <w:b/>
                <w:bCs/>
                <w:color w:val="FFFFFF"/>
                <w:sz w:val="20"/>
                <w:szCs w:val="20"/>
                <w:lang w:eastAsia="en-AU"/>
              </w:rPr>
            </w:pPr>
            <w:r w:rsidRPr="00B211D5">
              <w:rPr>
                <w:rFonts w:ascii="Candara" w:eastAsia="Times New Roman" w:hAnsi="Candara" w:cs="Times New Roman"/>
                <w:b/>
                <w:bCs/>
                <w:color w:val="FFFFFF"/>
                <w:sz w:val="20"/>
                <w:szCs w:val="20"/>
                <w:lang w:eastAsia="en-AU"/>
              </w:rPr>
              <w:t>Geographic risk category</w:t>
            </w:r>
          </w:p>
        </w:tc>
        <w:tc>
          <w:tcPr>
            <w:tcW w:w="2098" w:type="dxa"/>
            <w:tcBorders>
              <w:top w:val="single" w:sz="4" w:space="0" w:color="BFBFBF"/>
              <w:left w:val="nil"/>
              <w:bottom w:val="single" w:sz="4" w:space="0" w:color="BFBFBF"/>
              <w:right w:val="single" w:sz="4" w:space="0" w:color="BFBFBF"/>
            </w:tcBorders>
            <w:shd w:val="clear" w:color="000000" w:fill="365F91" w:themeFill="accent1" w:themeFillShade="BF"/>
            <w:vAlign w:val="center"/>
            <w:hideMark/>
          </w:tcPr>
          <w:p w14:paraId="23C88100" w14:textId="77777777" w:rsidR="009B0617" w:rsidRPr="00B211D5" w:rsidRDefault="009B0617" w:rsidP="009B0617">
            <w:pPr>
              <w:spacing w:before="40" w:after="40" w:line="240" w:lineRule="auto"/>
              <w:jc w:val="center"/>
              <w:rPr>
                <w:rFonts w:ascii="Candara" w:eastAsia="Times New Roman" w:hAnsi="Candara" w:cs="Times New Roman"/>
                <w:b/>
                <w:bCs/>
                <w:color w:val="FFFFFF"/>
                <w:sz w:val="20"/>
                <w:szCs w:val="20"/>
                <w:lang w:eastAsia="en-AU"/>
              </w:rPr>
            </w:pPr>
            <w:r w:rsidRPr="00B211D5">
              <w:rPr>
                <w:rFonts w:ascii="Candara" w:eastAsia="Times New Roman" w:hAnsi="Candara" w:cs="Times New Roman"/>
                <w:b/>
                <w:bCs/>
                <w:color w:val="FFFFFF"/>
                <w:sz w:val="20"/>
                <w:szCs w:val="20"/>
                <w:lang w:eastAsia="en-AU"/>
              </w:rPr>
              <w:t>Weight</w:t>
            </w:r>
          </w:p>
        </w:tc>
      </w:tr>
      <w:tr w:rsidR="009B0617" w:rsidRPr="00B211D5" w14:paraId="4CB77B2E" w14:textId="77777777" w:rsidTr="009B7E67">
        <w:tc>
          <w:tcPr>
            <w:tcW w:w="2608"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hideMark/>
          </w:tcPr>
          <w:p w14:paraId="3196575F"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1.Low</w:t>
            </w:r>
          </w:p>
        </w:tc>
        <w:tc>
          <w:tcPr>
            <w:tcW w:w="2098" w:type="dxa"/>
            <w:tcBorders>
              <w:top w:val="single" w:sz="4" w:space="0" w:color="BFBFBF"/>
              <w:left w:val="nil"/>
              <w:bottom w:val="single" w:sz="4" w:space="0" w:color="BFBFBF"/>
              <w:right w:val="single" w:sz="4" w:space="0" w:color="BFBFBF"/>
            </w:tcBorders>
            <w:shd w:val="clear" w:color="auto" w:fill="auto"/>
            <w:vAlign w:val="center"/>
          </w:tcPr>
          <w:p w14:paraId="6FA29EEA"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0.2</w:t>
            </w:r>
          </w:p>
        </w:tc>
      </w:tr>
      <w:tr w:rsidR="009B0617" w:rsidRPr="00B211D5" w14:paraId="23335A67" w14:textId="77777777" w:rsidTr="009B7E67">
        <w:tc>
          <w:tcPr>
            <w:tcW w:w="2608"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hideMark/>
          </w:tcPr>
          <w:p w14:paraId="35FD7D70"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2. High</w:t>
            </w:r>
          </w:p>
        </w:tc>
        <w:tc>
          <w:tcPr>
            <w:tcW w:w="2098" w:type="dxa"/>
            <w:tcBorders>
              <w:top w:val="single" w:sz="4" w:space="0" w:color="BFBFBF"/>
              <w:left w:val="nil"/>
              <w:bottom w:val="single" w:sz="4" w:space="0" w:color="BFBFBF"/>
              <w:right w:val="single" w:sz="4" w:space="0" w:color="BFBFBF"/>
            </w:tcBorders>
            <w:shd w:val="clear" w:color="auto" w:fill="auto"/>
            <w:vAlign w:val="center"/>
          </w:tcPr>
          <w:p w14:paraId="58C1F07A"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1.0</w:t>
            </w:r>
          </w:p>
        </w:tc>
      </w:tr>
      <w:tr w:rsidR="009B0617" w:rsidRPr="00B211D5" w14:paraId="2CF354B5" w14:textId="77777777" w:rsidTr="009B7E67">
        <w:tc>
          <w:tcPr>
            <w:tcW w:w="2608"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hideMark/>
          </w:tcPr>
          <w:p w14:paraId="041FF258" w14:textId="77777777" w:rsidR="009B0617" w:rsidRPr="00CE08A3" w:rsidRDefault="009B0617" w:rsidP="009B0617">
            <w:pPr>
              <w:spacing w:before="60" w:after="60" w:line="240" w:lineRule="auto"/>
              <w:rPr>
                <w:rFonts w:ascii="Candara" w:eastAsia="Times New Roman" w:hAnsi="Candara" w:cs="Times New Roman"/>
                <w:b/>
                <w:bCs/>
                <w:color w:val="FFFFFF" w:themeColor="background1"/>
                <w:sz w:val="20"/>
                <w:szCs w:val="20"/>
                <w:lang w:eastAsia="en-AU"/>
              </w:rPr>
            </w:pPr>
            <w:r w:rsidRPr="00CE08A3">
              <w:rPr>
                <w:rFonts w:ascii="Candara" w:hAnsi="Candara"/>
                <w:b/>
                <w:bCs/>
                <w:color w:val="FFFFFF" w:themeColor="background1"/>
                <w:sz w:val="20"/>
                <w:szCs w:val="20"/>
              </w:rPr>
              <w:t>3. Severe</w:t>
            </w:r>
          </w:p>
        </w:tc>
        <w:tc>
          <w:tcPr>
            <w:tcW w:w="2098" w:type="dxa"/>
            <w:tcBorders>
              <w:top w:val="single" w:sz="4" w:space="0" w:color="BFBFBF"/>
              <w:left w:val="nil"/>
              <w:bottom w:val="single" w:sz="4" w:space="0" w:color="BFBFBF"/>
              <w:right w:val="single" w:sz="4" w:space="0" w:color="BFBFBF"/>
            </w:tcBorders>
            <w:shd w:val="clear" w:color="auto" w:fill="auto"/>
            <w:vAlign w:val="center"/>
          </w:tcPr>
          <w:p w14:paraId="58A0D409"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4.6</w:t>
            </w:r>
          </w:p>
        </w:tc>
      </w:tr>
      <w:tr w:rsidR="009B0617" w:rsidRPr="00B211D5" w14:paraId="0CCEEF3E" w14:textId="77777777" w:rsidTr="009B7E67">
        <w:tc>
          <w:tcPr>
            <w:tcW w:w="2608" w:type="dxa"/>
            <w:tcBorders>
              <w:top w:val="single" w:sz="4" w:space="0" w:color="BFBFBF"/>
              <w:left w:val="single" w:sz="4" w:space="0" w:color="BFBFBF"/>
              <w:bottom w:val="single" w:sz="4" w:space="0" w:color="BFBFBF"/>
              <w:right w:val="single" w:sz="4" w:space="0" w:color="BFBFBF"/>
            </w:tcBorders>
            <w:shd w:val="clear" w:color="auto" w:fill="365F91" w:themeFill="accent1" w:themeFillShade="BF"/>
            <w:vAlign w:val="center"/>
          </w:tcPr>
          <w:p w14:paraId="0E056BC3" w14:textId="77777777" w:rsidR="009B0617" w:rsidRPr="00CE08A3" w:rsidRDefault="009B0617" w:rsidP="009B0617">
            <w:pPr>
              <w:spacing w:before="60" w:after="60" w:line="240" w:lineRule="auto"/>
              <w:rPr>
                <w:rFonts w:ascii="Candara" w:hAnsi="Candara"/>
                <w:b/>
                <w:bCs/>
                <w:color w:val="FFFFFF" w:themeColor="background1"/>
                <w:sz w:val="20"/>
                <w:szCs w:val="20"/>
              </w:rPr>
            </w:pPr>
            <w:r w:rsidRPr="00CE08A3">
              <w:rPr>
                <w:rFonts w:ascii="Candara" w:hAnsi="Candara"/>
                <w:b/>
                <w:bCs/>
                <w:color w:val="FFFFFF" w:themeColor="background1"/>
                <w:sz w:val="20"/>
                <w:szCs w:val="20"/>
              </w:rPr>
              <w:t>4.Extreme</w:t>
            </w:r>
          </w:p>
        </w:tc>
        <w:tc>
          <w:tcPr>
            <w:tcW w:w="2098" w:type="dxa"/>
            <w:tcBorders>
              <w:top w:val="single" w:sz="4" w:space="0" w:color="BFBFBF"/>
              <w:left w:val="nil"/>
              <w:bottom w:val="single" w:sz="4" w:space="0" w:color="BFBFBF"/>
              <w:right w:val="single" w:sz="4" w:space="0" w:color="BFBFBF"/>
            </w:tcBorders>
            <w:shd w:val="clear" w:color="auto" w:fill="auto"/>
            <w:vAlign w:val="center"/>
          </w:tcPr>
          <w:p w14:paraId="0103E0AD" w14:textId="77777777" w:rsidR="009B0617" w:rsidRPr="00B211D5" w:rsidRDefault="009B0617" w:rsidP="009B0617">
            <w:pPr>
              <w:spacing w:before="60" w:after="60" w:line="240" w:lineRule="auto"/>
              <w:ind w:right="170"/>
              <w:jc w:val="right"/>
              <w:rPr>
                <w:rFonts w:ascii="Candara" w:eastAsia="Times New Roman" w:hAnsi="Candara" w:cs="Times New Roman"/>
                <w:color w:val="000000"/>
                <w:sz w:val="20"/>
                <w:szCs w:val="20"/>
                <w:lang w:eastAsia="en-AU"/>
              </w:rPr>
            </w:pPr>
            <w:r w:rsidRPr="00B211D5">
              <w:rPr>
                <w:rFonts w:ascii="Candara" w:eastAsia="Times New Roman" w:hAnsi="Candara" w:cs="Times New Roman"/>
                <w:color w:val="000000"/>
                <w:sz w:val="20"/>
                <w:szCs w:val="20"/>
                <w:lang w:eastAsia="en-AU"/>
              </w:rPr>
              <w:t>19.8</w:t>
            </w:r>
          </w:p>
        </w:tc>
      </w:tr>
    </w:tbl>
    <w:p w14:paraId="79BCDF4F" w14:textId="77777777" w:rsidR="009B0617" w:rsidRPr="00B211D5" w:rsidRDefault="009B0617" w:rsidP="009B0617">
      <w:pPr>
        <w:spacing w:before="120" w:after="120" w:line="240" w:lineRule="auto"/>
        <w:rPr>
          <w:rFonts w:ascii="Candara" w:hAnsi="Candara"/>
        </w:rPr>
      </w:pPr>
      <w:r w:rsidRPr="00B211D5">
        <w:rPr>
          <w:rFonts w:ascii="Candara" w:hAnsi="Candara"/>
        </w:rPr>
        <w:t>These weightings reflect the priority attached to preventing ignitions in these locations.</w:t>
      </w:r>
    </w:p>
    <w:p w14:paraId="5DCFD178" w14:textId="34438968" w:rsidR="009B0617" w:rsidRPr="00B211D5" w:rsidRDefault="009B0617" w:rsidP="009B0617">
      <w:pPr>
        <w:spacing w:before="120" w:after="120" w:line="240" w:lineRule="auto"/>
        <w:rPr>
          <w:rFonts w:ascii="Candara" w:hAnsi="Candara"/>
        </w:rPr>
      </w:pPr>
      <w:r w:rsidRPr="00B211D5">
        <w:rPr>
          <w:rFonts w:ascii="Candara" w:hAnsi="Candara"/>
        </w:rPr>
        <w:t xml:space="preserve">See </w:t>
      </w:r>
      <w:r w:rsidR="00CA4C17">
        <w:rPr>
          <w:rFonts w:ascii="Candara" w:hAnsi="Candara"/>
        </w:rPr>
        <w:t>Figure A2.8</w:t>
      </w:r>
      <w:r w:rsidRPr="00B211D5">
        <w:rPr>
          <w:rFonts w:ascii="Candara" w:hAnsi="Candara"/>
        </w:rPr>
        <w:t xml:space="preserve"> for an overview of the steps used in calculating geographic risk weightings.</w:t>
      </w:r>
      <w:r w:rsidRPr="00B211D5">
        <w:rPr>
          <w:rFonts w:ascii="Candara" w:hAnsi="Candara"/>
        </w:rPr>
        <w:br w:type="page"/>
      </w:r>
    </w:p>
    <w:p w14:paraId="6FCC176F" w14:textId="04ECF654" w:rsidR="00CA4C17" w:rsidRPr="008519EB" w:rsidRDefault="00CA4C17"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lastRenderedPageBreak/>
        <w:t>Figure A2.8: Steps used to calculate geographic risk weightings</w:t>
      </w:r>
    </w:p>
    <w:p w14:paraId="0F48DFB1" w14:textId="4FCFE46B" w:rsidR="007256B3" w:rsidRPr="00B211D5" w:rsidRDefault="00C71728" w:rsidP="009B0617">
      <w:pPr>
        <w:rPr>
          <w:rFonts w:ascii="Candara" w:hAnsi="Candara"/>
        </w:rPr>
      </w:pPr>
      <w:r w:rsidRPr="00C71728">
        <w:rPr>
          <w:noProof/>
          <w:lang w:eastAsia="en-AU"/>
        </w:rPr>
        <w:drawing>
          <wp:inline distT="0" distB="0" distL="0" distR="0" wp14:anchorId="341CD87C" wp14:editId="43F958C9">
            <wp:extent cx="5731510" cy="7979493"/>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979493"/>
                    </a:xfrm>
                    <a:prstGeom prst="rect">
                      <a:avLst/>
                    </a:prstGeom>
                    <a:noFill/>
                    <a:ln>
                      <a:noFill/>
                    </a:ln>
                  </pic:spPr>
                </pic:pic>
              </a:graphicData>
            </a:graphic>
          </wp:inline>
        </w:drawing>
      </w:r>
    </w:p>
    <w:p w14:paraId="10B1815C" w14:textId="77777777" w:rsidR="009B0617" w:rsidRPr="00B211D5" w:rsidRDefault="009B0617" w:rsidP="009B0617">
      <w:pPr>
        <w:rPr>
          <w:rFonts w:ascii="Candara" w:eastAsiaTheme="majorEastAsia" w:hAnsi="Candara" w:cstheme="majorBidi"/>
          <w:b/>
          <w:bCs/>
          <w:color w:val="17365D"/>
        </w:rPr>
      </w:pPr>
      <w:r w:rsidRPr="00B211D5">
        <w:rPr>
          <w:rFonts w:ascii="Candara" w:hAnsi="Candara"/>
          <w:color w:val="17365D"/>
        </w:rPr>
        <w:br w:type="page"/>
      </w:r>
    </w:p>
    <w:p w14:paraId="04BC582E" w14:textId="77777777" w:rsidR="009B0617" w:rsidRPr="003E3A46" w:rsidRDefault="009B0617" w:rsidP="009B7E67">
      <w:pPr>
        <w:pStyle w:val="BodyText"/>
        <w:spacing w:line="240" w:lineRule="auto"/>
        <w:rPr>
          <w:rFonts w:ascii="Candara" w:hAnsi="Candara"/>
          <w:b/>
          <w:u w:val="single"/>
        </w:rPr>
      </w:pPr>
      <w:r w:rsidRPr="003E3A46">
        <w:rPr>
          <w:rFonts w:ascii="Candara" w:hAnsi="Candara"/>
          <w:b/>
          <w:u w:val="single"/>
        </w:rPr>
        <w:lastRenderedPageBreak/>
        <w:t>Time risk</w:t>
      </w:r>
    </w:p>
    <w:p w14:paraId="488F8133" w14:textId="77777777" w:rsidR="009B0617" w:rsidRPr="00B211D5" w:rsidRDefault="009B0617" w:rsidP="009B0617">
      <w:pPr>
        <w:spacing w:before="200"/>
        <w:rPr>
          <w:rFonts w:ascii="Candara" w:hAnsi="Candara"/>
        </w:rPr>
      </w:pPr>
      <w:r w:rsidRPr="00B211D5">
        <w:rPr>
          <w:rFonts w:ascii="Candara" w:hAnsi="Candara"/>
        </w:rPr>
        <w:t>The IRU methodology recognises seven different categories of time.</w:t>
      </w:r>
    </w:p>
    <w:p w14:paraId="445C6CF9" w14:textId="77777777" w:rsidR="009B0617" w:rsidRPr="00B211D5" w:rsidRDefault="009B0617" w:rsidP="009B0617">
      <w:pPr>
        <w:spacing w:before="200"/>
        <w:rPr>
          <w:rFonts w:ascii="Candara" w:hAnsi="Candara"/>
        </w:rPr>
      </w:pPr>
      <w:r w:rsidRPr="00B211D5">
        <w:rPr>
          <w:rFonts w:ascii="Candara" w:hAnsi="Candara"/>
        </w:rPr>
        <w:t>These categories represent different levels of risk associated with weather. This risk factor is labelled “time”, as the highest risk weather conditions are experienced at particular times of year (summer), as are the lowest risk weather conditions (winter).</w:t>
      </w:r>
    </w:p>
    <w:p w14:paraId="28CD786E" w14:textId="77777777" w:rsidR="009B0617" w:rsidRPr="00B211D5" w:rsidRDefault="009B0617" w:rsidP="009B0617">
      <w:pPr>
        <w:spacing w:before="200"/>
        <w:rPr>
          <w:rFonts w:ascii="Candara" w:hAnsi="Candara"/>
        </w:rPr>
      </w:pPr>
      <w:r w:rsidRPr="00B211D5">
        <w:rPr>
          <w:rFonts w:ascii="Candara" w:hAnsi="Candara"/>
        </w:rPr>
        <w:t xml:space="preserve">The </w:t>
      </w:r>
      <w:r w:rsidRPr="00B211D5">
        <w:rPr>
          <w:rFonts w:ascii="Candara" w:hAnsi="Candara"/>
          <w:b/>
          <w:color w:val="17365D"/>
        </w:rPr>
        <w:t>time risk categories</w:t>
      </w:r>
      <w:r w:rsidRPr="00B211D5">
        <w:rPr>
          <w:rFonts w:ascii="Candara" w:hAnsi="Candara"/>
        </w:rPr>
        <w:t xml:space="preserve"> are:</w:t>
      </w:r>
    </w:p>
    <w:tbl>
      <w:tblPr>
        <w:tblStyle w:val="TableGrid"/>
        <w:tblW w:w="0" w:type="auto"/>
        <w:tblInd w:w="567" w:type="dxa"/>
        <w:tblBorders>
          <w:top w:val="single" w:sz="4" w:space="0" w:color="17365D"/>
          <w:left w:val="single" w:sz="4" w:space="0" w:color="17365D"/>
          <w:bottom w:val="single" w:sz="4" w:space="0" w:color="17365D"/>
          <w:right w:val="single" w:sz="4" w:space="0" w:color="17365D"/>
          <w:insideH w:val="none" w:sz="0" w:space="0" w:color="auto"/>
          <w:insideV w:val="none" w:sz="0" w:space="0" w:color="auto"/>
        </w:tblBorders>
        <w:tblLook w:val="04A0" w:firstRow="1" w:lastRow="0" w:firstColumn="1" w:lastColumn="0" w:noHBand="0" w:noVBand="1"/>
      </w:tblPr>
      <w:tblGrid>
        <w:gridCol w:w="4149"/>
        <w:gridCol w:w="4526"/>
      </w:tblGrid>
      <w:tr w:rsidR="009B0617" w:rsidRPr="00B211D5" w14:paraId="7A4672FC" w14:textId="77777777" w:rsidTr="00CE08A3">
        <w:tc>
          <w:tcPr>
            <w:tcW w:w="4149" w:type="dxa"/>
            <w:tcBorders>
              <w:top w:val="single" w:sz="4" w:space="0" w:color="17365D"/>
              <w:bottom w:val="single" w:sz="4" w:space="0" w:color="17365D"/>
            </w:tcBorders>
            <w:shd w:val="clear" w:color="auto" w:fill="365F91" w:themeFill="accent1" w:themeFillShade="BF"/>
          </w:tcPr>
          <w:p w14:paraId="6D91E3FB"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1.</w:t>
            </w:r>
            <w:r w:rsidRPr="00CE08A3">
              <w:rPr>
                <w:rFonts w:ascii="Candara" w:eastAsia="Calibri" w:hAnsi="Candara" w:cs="Times New Roman"/>
                <w:color w:val="FFFFFF" w:themeColor="background1"/>
                <w:sz w:val="20"/>
                <w:lang w:eastAsia="en-AU"/>
              </w:rPr>
              <w:tab/>
              <w:t>No forecast</w:t>
            </w:r>
          </w:p>
          <w:p w14:paraId="10E41417"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2.</w:t>
            </w:r>
            <w:r w:rsidRPr="00CE08A3">
              <w:rPr>
                <w:rFonts w:ascii="Candara" w:eastAsia="Calibri" w:hAnsi="Candara" w:cs="Times New Roman"/>
                <w:color w:val="FFFFFF" w:themeColor="background1"/>
                <w:sz w:val="20"/>
                <w:lang w:eastAsia="en-AU"/>
              </w:rPr>
              <w:tab/>
              <w:t>Low-moderate;</w:t>
            </w:r>
          </w:p>
          <w:p w14:paraId="18E36C3B"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3.</w:t>
            </w:r>
            <w:r w:rsidRPr="00CE08A3">
              <w:rPr>
                <w:rFonts w:ascii="Candara" w:eastAsia="Calibri" w:hAnsi="Candara" w:cs="Times New Roman"/>
                <w:color w:val="FFFFFF" w:themeColor="background1"/>
                <w:sz w:val="20"/>
                <w:lang w:eastAsia="en-AU"/>
              </w:rPr>
              <w:tab/>
              <w:t>High;</w:t>
            </w:r>
          </w:p>
          <w:p w14:paraId="67BBDDE9"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4.</w:t>
            </w:r>
            <w:r w:rsidRPr="00CE08A3">
              <w:rPr>
                <w:rFonts w:ascii="Candara" w:eastAsia="Calibri" w:hAnsi="Candara" w:cs="Times New Roman"/>
                <w:color w:val="FFFFFF" w:themeColor="background1"/>
                <w:sz w:val="20"/>
                <w:lang w:eastAsia="en-AU"/>
              </w:rPr>
              <w:tab/>
              <w:t>Very high;</w:t>
            </w:r>
          </w:p>
          <w:p w14:paraId="2D3D229D"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5.</w:t>
            </w:r>
            <w:r w:rsidRPr="00CE08A3">
              <w:rPr>
                <w:rFonts w:ascii="Candara" w:eastAsia="Calibri" w:hAnsi="Candara" w:cs="Times New Roman"/>
                <w:color w:val="FFFFFF" w:themeColor="background1"/>
                <w:sz w:val="20"/>
                <w:lang w:eastAsia="en-AU"/>
              </w:rPr>
              <w:tab/>
              <w:t xml:space="preserve">Severe; </w:t>
            </w:r>
          </w:p>
          <w:p w14:paraId="1D65BB40" w14:textId="77777777" w:rsidR="009B0617" w:rsidRPr="00CE08A3" w:rsidRDefault="009B0617" w:rsidP="009B0617">
            <w:pPr>
              <w:spacing w:before="60" w:after="60" w:line="264" w:lineRule="auto"/>
              <w:rPr>
                <w:rFonts w:ascii="Candara" w:eastAsia="Calibri" w:hAnsi="Candara" w:cs="Times New Roman"/>
                <w:color w:val="FFFFFF" w:themeColor="background1"/>
                <w:sz w:val="20"/>
                <w:lang w:eastAsia="en-AU"/>
              </w:rPr>
            </w:pPr>
            <w:r w:rsidRPr="00CE08A3">
              <w:rPr>
                <w:rFonts w:ascii="Candara" w:eastAsia="Calibri" w:hAnsi="Candara" w:cs="Times New Roman"/>
                <w:b/>
                <w:color w:val="FFFFFF" w:themeColor="background1"/>
                <w:sz w:val="20"/>
                <w:lang w:eastAsia="en-AU"/>
              </w:rPr>
              <w:t>6.</w:t>
            </w:r>
            <w:r w:rsidRPr="00CE08A3">
              <w:rPr>
                <w:rFonts w:ascii="Candara" w:eastAsia="Calibri" w:hAnsi="Candara" w:cs="Times New Roman"/>
                <w:color w:val="FFFFFF" w:themeColor="background1"/>
                <w:sz w:val="20"/>
                <w:lang w:eastAsia="en-AU"/>
              </w:rPr>
              <w:tab/>
              <w:t>Extreme; and</w:t>
            </w:r>
          </w:p>
          <w:p w14:paraId="62CD5466" w14:textId="77777777" w:rsidR="009B0617" w:rsidRPr="00B211D5" w:rsidRDefault="009B0617" w:rsidP="009B0617">
            <w:pPr>
              <w:spacing w:before="60" w:after="60" w:line="264" w:lineRule="auto"/>
              <w:rPr>
                <w:rFonts w:ascii="Candara" w:eastAsia="Calibri" w:hAnsi="Candara" w:cs="Times New Roman"/>
                <w:color w:val="000000"/>
                <w:sz w:val="20"/>
                <w:lang w:eastAsia="en-AU"/>
              </w:rPr>
            </w:pPr>
            <w:r w:rsidRPr="00CE08A3">
              <w:rPr>
                <w:rFonts w:ascii="Candara" w:eastAsia="Calibri" w:hAnsi="Candara" w:cs="Times New Roman"/>
                <w:b/>
                <w:color w:val="FFFFFF" w:themeColor="background1"/>
                <w:sz w:val="20"/>
                <w:lang w:eastAsia="en-AU"/>
              </w:rPr>
              <w:t>7.</w:t>
            </w:r>
            <w:r w:rsidRPr="00CE08A3">
              <w:rPr>
                <w:rFonts w:ascii="Candara" w:eastAsia="Calibri" w:hAnsi="Candara" w:cs="Times New Roman"/>
                <w:color w:val="FFFFFF" w:themeColor="background1"/>
                <w:sz w:val="20"/>
                <w:lang w:eastAsia="en-AU"/>
              </w:rPr>
              <w:tab/>
              <w:t>Code Red.</w:t>
            </w:r>
          </w:p>
        </w:tc>
        <w:tc>
          <w:tcPr>
            <w:tcW w:w="4526" w:type="dxa"/>
          </w:tcPr>
          <w:p w14:paraId="7A2BB833" w14:textId="77777777" w:rsidR="009B0617" w:rsidRPr="00B211D5" w:rsidRDefault="009B0617" w:rsidP="009B0617">
            <w:pPr>
              <w:spacing w:before="60" w:after="60" w:line="264" w:lineRule="auto"/>
              <w:jc w:val="center"/>
              <w:rPr>
                <w:rFonts w:ascii="Candara" w:eastAsia="Calibri" w:hAnsi="Candara" w:cs="Times New Roman"/>
                <w:color w:val="000000"/>
                <w:sz w:val="20"/>
                <w:lang w:eastAsia="en-AU"/>
              </w:rPr>
            </w:pPr>
            <w:r w:rsidRPr="00B211D5">
              <w:rPr>
                <w:rFonts w:ascii="Candara" w:eastAsia="Calibri" w:hAnsi="Candara" w:cs="Times New Roman"/>
                <w:noProof/>
                <w:color w:val="000000"/>
                <w:sz w:val="20"/>
                <w:lang w:eastAsia="en-AU"/>
              </w:rPr>
              <w:drawing>
                <wp:inline distT="0" distB="0" distL="0" distR="0" wp14:anchorId="4DDB59DD" wp14:editId="73134A0D">
                  <wp:extent cx="2340000" cy="1404000"/>
                  <wp:effectExtent l="0" t="0" r="3175"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0000" cy="1404000"/>
                          </a:xfrm>
                          <a:prstGeom prst="rect">
                            <a:avLst/>
                          </a:prstGeom>
                          <a:noFill/>
                          <a:ln>
                            <a:noFill/>
                          </a:ln>
                        </pic:spPr>
                      </pic:pic>
                    </a:graphicData>
                  </a:graphic>
                </wp:inline>
              </w:drawing>
            </w:r>
          </w:p>
        </w:tc>
      </w:tr>
    </w:tbl>
    <w:p w14:paraId="7BB6347D" w14:textId="77777777" w:rsidR="009B0617" w:rsidRPr="00B211D5" w:rsidRDefault="009B0617" w:rsidP="009B0617">
      <w:pPr>
        <w:spacing w:before="200"/>
        <w:ind w:right="-284"/>
        <w:rPr>
          <w:rFonts w:ascii="Candara" w:hAnsi="Candara"/>
        </w:rPr>
      </w:pPr>
      <w:r w:rsidRPr="00B211D5">
        <w:rPr>
          <w:rFonts w:ascii="Candara" w:hAnsi="Candara"/>
        </w:rPr>
        <w:t>Ratings are forecast using Bureau of Meteorology (BOM) data, based on weather and other environmental conditions such as fuel load.</w:t>
      </w:r>
    </w:p>
    <w:p w14:paraId="1808A4DC" w14:textId="77777777" w:rsidR="009B0617" w:rsidRPr="00B211D5" w:rsidRDefault="009B0617" w:rsidP="009B0617">
      <w:pPr>
        <w:spacing w:before="200"/>
        <w:rPr>
          <w:rFonts w:ascii="Candara" w:hAnsi="Candara"/>
        </w:rPr>
      </w:pPr>
      <w:r w:rsidRPr="00B211D5">
        <w:rPr>
          <w:rFonts w:ascii="Candara" w:hAnsi="Candara"/>
        </w:rPr>
        <w:t>The BOM provides the fire services with Fire Danger Rating (FDR) calculations from 1 November to 30 April each year. The “No forecast” category covers the period from 1 May to 31 October each year when Fire Danger Ratings are not assigned.</w:t>
      </w:r>
    </w:p>
    <w:p w14:paraId="1EA952BB" w14:textId="6F769FF4" w:rsidR="009B0617" w:rsidRPr="00B211D5" w:rsidRDefault="009B7E67" w:rsidP="009B0617">
      <w:pPr>
        <w:spacing w:before="200"/>
        <w:ind w:right="-284"/>
        <w:rPr>
          <w:rFonts w:ascii="Candara" w:hAnsi="Candara"/>
        </w:rPr>
      </w:pPr>
      <w:r w:rsidRPr="00B211D5">
        <w:rPr>
          <w:rFonts w:ascii="Candara" w:hAnsi="Candara"/>
          <w:noProof/>
          <w:lang w:eastAsia="en-AU"/>
        </w:rPr>
        <mc:AlternateContent>
          <mc:Choice Requires="wpg">
            <w:drawing>
              <wp:anchor distT="0" distB="0" distL="114300" distR="114300" simplePos="0" relativeHeight="251691008" behindDoc="0" locked="0" layoutInCell="1" allowOverlap="1" wp14:anchorId="460CBB99" wp14:editId="4CF02F6C">
                <wp:simplePos x="0" y="0"/>
                <wp:positionH relativeFrom="column">
                  <wp:posOffset>198120</wp:posOffset>
                </wp:positionH>
                <wp:positionV relativeFrom="paragraph">
                  <wp:posOffset>278394</wp:posOffset>
                </wp:positionV>
                <wp:extent cx="5436000" cy="3196224"/>
                <wp:effectExtent l="0" t="0" r="0" b="4445"/>
                <wp:wrapNone/>
                <wp:docPr id="292" name="Group 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6000" cy="3196224"/>
                          <a:chOff x="0" y="1"/>
                          <a:chExt cx="5016355" cy="2949573"/>
                        </a:xfrm>
                      </wpg:grpSpPr>
                      <pic:pic xmlns:pic="http://schemas.openxmlformats.org/drawingml/2006/picture">
                        <pic:nvPicPr>
                          <pic:cNvPr id="293" name="Picture 293"/>
                          <pic:cNvPicPr>
                            <a:picLocks noChangeAspect="1"/>
                          </pic:cNvPicPr>
                        </pic:nvPicPr>
                        <pic:blipFill rotWithShape="1">
                          <a:blip r:embed="rId41" cstate="print">
                            <a:extLst>
                              <a:ext uri="{28A0092B-C50C-407E-A947-70E740481C1C}">
                                <a14:useLocalDpi xmlns:a14="http://schemas.microsoft.com/office/drawing/2010/main" val="0"/>
                              </a:ext>
                            </a:extLst>
                          </a:blip>
                          <a:srcRect l="5195" t="17586" r="5182" b="7875"/>
                          <a:stretch/>
                        </pic:blipFill>
                        <pic:spPr bwMode="auto">
                          <a:xfrm>
                            <a:off x="0" y="1"/>
                            <a:ext cx="5016355" cy="2949573"/>
                          </a:xfrm>
                          <a:prstGeom prst="rect">
                            <a:avLst/>
                          </a:prstGeom>
                          <a:ln>
                            <a:noFill/>
                          </a:ln>
                          <a:extLst>
                            <a:ext uri="{53640926-AAD7-44D8-BBD7-CCE9431645EC}">
                              <a14:shadowObscured xmlns:a14="http://schemas.microsoft.com/office/drawing/2010/main"/>
                            </a:ext>
                          </a:extLst>
                        </pic:spPr>
                      </pic:pic>
                      <wps:wsp>
                        <wps:cNvPr id="294" name="Text Box 294"/>
                        <wps:cNvSpPr txBox="1"/>
                        <wps:spPr>
                          <a:xfrm>
                            <a:off x="350874" y="510362"/>
                            <a:ext cx="839470" cy="350875"/>
                          </a:xfrm>
                          <a:prstGeom prst="rect">
                            <a:avLst/>
                          </a:prstGeom>
                          <a:solidFill>
                            <a:srgbClr val="B8D69C"/>
                          </a:solidFill>
                          <a:ln w="6350">
                            <a:noFill/>
                          </a:ln>
                          <a:effectLst/>
                        </wps:spPr>
                        <wps:txbx>
                          <w:txbxContent>
                            <w:p w14:paraId="7A3A44EB" w14:textId="77777777" w:rsidR="007256B3" w:rsidRPr="00E22285" w:rsidRDefault="007256B3" w:rsidP="009B0617">
                              <w:pPr>
                                <w:spacing w:after="0" w:line="240" w:lineRule="auto"/>
                                <w:jc w:val="center"/>
                                <w:rPr>
                                  <w:b/>
                                  <w:bCs/>
                                  <w:sz w:val="15"/>
                                  <w:szCs w:val="15"/>
                                </w:rPr>
                              </w:pPr>
                              <w:r w:rsidRPr="00E22285">
                                <w:rPr>
                                  <w:b/>
                                  <w:bCs/>
                                  <w:sz w:val="15"/>
                                  <w:szCs w:val="15"/>
                                </w:rPr>
                                <w:t>MALLEE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85060" y="1201479"/>
                            <a:ext cx="839470" cy="435580"/>
                          </a:xfrm>
                          <a:prstGeom prst="rect">
                            <a:avLst/>
                          </a:prstGeom>
                          <a:solidFill>
                            <a:srgbClr val="B8D69C"/>
                          </a:solidFill>
                          <a:ln w="6350">
                            <a:noFill/>
                          </a:ln>
                          <a:effectLst/>
                        </wps:spPr>
                        <wps:txbx>
                          <w:txbxContent>
                            <w:p w14:paraId="2872DE8A" w14:textId="77777777" w:rsidR="007256B3" w:rsidRPr="00E22285" w:rsidRDefault="007256B3" w:rsidP="009B0617">
                              <w:pPr>
                                <w:spacing w:after="0" w:line="240" w:lineRule="auto"/>
                                <w:jc w:val="center"/>
                                <w:rPr>
                                  <w:b/>
                                  <w:bCs/>
                                  <w:sz w:val="15"/>
                                  <w:szCs w:val="15"/>
                                </w:rPr>
                              </w:pPr>
                              <w:r>
                                <w:rPr>
                                  <w:b/>
                                  <w:bCs/>
                                  <w:sz w:val="15"/>
                                  <w:szCs w:val="15"/>
                                </w:rPr>
                                <w:t>WIMMERA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531628" y="1967023"/>
                            <a:ext cx="839470" cy="434975"/>
                          </a:xfrm>
                          <a:prstGeom prst="rect">
                            <a:avLst/>
                          </a:prstGeom>
                          <a:solidFill>
                            <a:srgbClr val="B8D69C"/>
                          </a:solidFill>
                          <a:ln w="6350">
                            <a:noFill/>
                          </a:ln>
                          <a:effectLst/>
                        </wps:spPr>
                        <wps:txbx>
                          <w:txbxContent>
                            <w:p w14:paraId="59D00EA7" w14:textId="77777777" w:rsidR="007256B3" w:rsidRPr="00E22285" w:rsidRDefault="007256B3" w:rsidP="009B0617">
                              <w:pPr>
                                <w:spacing w:after="0" w:line="240" w:lineRule="auto"/>
                                <w:jc w:val="center"/>
                                <w:rPr>
                                  <w:b/>
                                  <w:bCs/>
                                  <w:sz w:val="15"/>
                                  <w:szCs w:val="15"/>
                                </w:rPr>
                              </w:pPr>
                              <w:r>
                                <w:rPr>
                                  <w:b/>
                                  <w:bCs/>
                                  <w:sz w:val="15"/>
                                  <w:szCs w:val="15"/>
                                </w:rPr>
                                <w:t>SOUTH WEST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97"/>
                        <wps:cNvSpPr txBox="1"/>
                        <wps:spPr>
                          <a:xfrm>
                            <a:off x="1605516" y="1244009"/>
                            <a:ext cx="712381" cy="392445"/>
                          </a:xfrm>
                          <a:prstGeom prst="rect">
                            <a:avLst/>
                          </a:prstGeom>
                          <a:solidFill>
                            <a:srgbClr val="B8D69C"/>
                          </a:solidFill>
                          <a:ln w="6350">
                            <a:noFill/>
                          </a:ln>
                          <a:effectLst/>
                        </wps:spPr>
                        <wps:txbx>
                          <w:txbxContent>
                            <w:p w14:paraId="1DCEF131" w14:textId="77777777" w:rsidR="007256B3" w:rsidRPr="00E22285" w:rsidRDefault="007256B3" w:rsidP="009B0617">
                              <w:pPr>
                                <w:spacing w:after="0" w:line="240" w:lineRule="auto"/>
                                <w:jc w:val="center"/>
                                <w:rPr>
                                  <w:b/>
                                  <w:bCs/>
                                  <w:sz w:val="15"/>
                                  <w:szCs w:val="15"/>
                                </w:rPr>
                              </w:pPr>
                              <w:r>
                                <w:rPr>
                                  <w:b/>
                                  <w:bCs/>
                                  <w:sz w:val="15"/>
                                  <w:szCs w:val="15"/>
                                </w:rPr>
                                <w:t>NORTHERN</w:t>
                              </w:r>
                              <w:r>
                                <w:rPr>
                                  <w:b/>
                                  <w:bCs/>
                                  <w:sz w:val="15"/>
                                  <w:szCs w:val="15"/>
                                </w:rPr>
                                <w:br/>
                                <w:t>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1594884" y="1892595"/>
                            <a:ext cx="584790" cy="361507"/>
                          </a:xfrm>
                          <a:prstGeom prst="rect">
                            <a:avLst/>
                          </a:prstGeom>
                          <a:solidFill>
                            <a:srgbClr val="B8D69C"/>
                          </a:solidFill>
                          <a:ln w="6350">
                            <a:noFill/>
                          </a:ln>
                          <a:effectLst/>
                        </wps:spPr>
                        <wps:txbx>
                          <w:txbxContent>
                            <w:p w14:paraId="27079415" w14:textId="77777777" w:rsidR="007256B3" w:rsidRPr="00E22285" w:rsidRDefault="007256B3" w:rsidP="009B0617">
                              <w:pPr>
                                <w:spacing w:after="0" w:line="240" w:lineRule="auto"/>
                                <w:jc w:val="center"/>
                                <w:rPr>
                                  <w:b/>
                                  <w:bCs/>
                                  <w:sz w:val="15"/>
                                  <w:szCs w:val="15"/>
                                </w:rPr>
                              </w:pPr>
                              <w:r>
                                <w:rPr>
                                  <w:b/>
                                  <w:bCs/>
                                  <w:sz w:val="15"/>
                                  <w:szCs w:val="15"/>
                                </w:rPr>
                                <w:t>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3009014" y="1329069"/>
                            <a:ext cx="552790" cy="446568"/>
                          </a:xfrm>
                          <a:prstGeom prst="rect">
                            <a:avLst/>
                          </a:prstGeom>
                          <a:solidFill>
                            <a:srgbClr val="B8D69C"/>
                          </a:solidFill>
                          <a:ln w="6350">
                            <a:noFill/>
                          </a:ln>
                          <a:effectLst/>
                        </wps:spPr>
                        <wps:txbx>
                          <w:txbxContent>
                            <w:p w14:paraId="68C8B4B4" w14:textId="77777777" w:rsidR="007256B3" w:rsidRDefault="007256B3" w:rsidP="009B0617">
                              <w:pPr>
                                <w:spacing w:after="0" w:line="240" w:lineRule="auto"/>
                                <w:jc w:val="center"/>
                                <w:rPr>
                                  <w:b/>
                                  <w:bCs/>
                                  <w:sz w:val="15"/>
                                  <w:szCs w:val="15"/>
                                </w:rPr>
                              </w:pPr>
                              <w:r>
                                <w:rPr>
                                  <w:b/>
                                  <w:bCs/>
                                  <w:sz w:val="15"/>
                                  <w:szCs w:val="15"/>
                                </w:rPr>
                                <w:t>NORTH</w:t>
                              </w:r>
                            </w:p>
                            <w:p w14:paraId="76C95DBD" w14:textId="77777777" w:rsidR="007256B3" w:rsidRPr="00E22285" w:rsidRDefault="007256B3" w:rsidP="009B0617">
                              <w:pPr>
                                <w:spacing w:after="0" w:line="240" w:lineRule="auto"/>
                                <w:jc w:val="center"/>
                                <w:rPr>
                                  <w:b/>
                                  <w:bCs/>
                                  <w:sz w:val="15"/>
                                  <w:szCs w:val="15"/>
                                </w:rPr>
                              </w:pPr>
                              <w:r>
                                <w:rPr>
                                  <w:b/>
                                  <w:bCs/>
                                  <w:sz w:val="15"/>
                                  <w:szCs w:val="15"/>
                                </w:rPr>
                                <w:t>EAST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3753293" y="1765004"/>
                            <a:ext cx="723600" cy="406800"/>
                          </a:xfrm>
                          <a:prstGeom prst="rect">
                            <a:avLst/>
                          </a:prstGeom>
                          <a:solidFill>
                            <a:srgbClr val="B8D69C"/>
                          </a:solidFill>
                          <a:ln w="6350">
                            <a:noFill/>
                          </a:ln>
                          <a:effectLst/>
                        </wps:spPr>
                        <wps:txbx>
                          <w:txbxContent>
                            <w:p w14:paraId="261E21A2" w14:textId="77777777" w:rsidR="007256B3" w:rsidRDefault="007256B3" w:rsidP="009B0617">
                              <w:pPr>
                                <w:spacing w:after="0" w:line="240" w:lineRule="auto"/>
                                <w:jc w:val="center"/>
                                <w:rPr>
                                  <w:b/>
                                  <w:bCs/>
                                  <w:sz w:val="15"/>
                                  <w:szCs w:val="15"/>
                                </w:rPr>
                              </w:pPr>
                              <w:r>
                                <w:rPr>
                                  <w:b/>
                                  <w:bCs/>
                                  <w:sz w:val="15"/>
                                  <w:szCs w:val="15"/>
                                </w:rPr>
                                <w:t>EAST</w:t>
                              </w:r>
                            </w:p>
                            <w:p w14:paraId="6CFD14FF" w14:textId="77777777" w:rsidR="007256B3" w:rsidRPr="00E22285" w:rsidRDefault="007256B3" w:rsidP="009B0617">
                              <w:pPr>
                                <w:spacing w:after="0" w:line="240" w:lineRule="auto"/>
                                <w:jc w:val="center"/>
                                <w:rPr>
                                  <w:b/>
                                  <w:bCs/>
                                  <w:sz w:val="15"/>
                                  <w:szCs w:val="15"/>
                                </w:rPr>
                              </w:pPr>
                              <w:r>
                                <w:rPr>
                                  <w:b/>
                                  <w:bCs/>
                                  <w:sz w:val="15"/>
                                  <w:szCs w:val="15"/>
                                </w:rPr>
                                <w:t>GIPPSLAND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2860158" y="2147776"/>
                            <a:ext cx="576000" cy="480990"/>
                          </a:xfrm>
                          <a:prstGeom prst="rect">
                            <a:avLst/>
                          </a:prstGeom>
                          <a:solidFill>
                            <a:srgbClr val="B8D69C"/>
                          </a:solidFill>
                          <a:ln w="6350">
                            <a:noFill/>
                          </a:ln>
                          <a:effectLst/>
                        </wps:spPr>
                        <wps:txbx>
                          <w:txbxContent>
                            <w:p w14:paraId="441B6FF9" w14:textId="77777777" w:rsidR="007256B3" w:rsidRPr="00011029" w:rsidRDefault="007256B3" w:rsidP="009B0617">
                              <w:pPr>
                                <w:spacing w:after="0" w:line="240" w:lineRule="auto"/>
                                <w:jc w:val="center"/>
                                <w:rPr>
                                  <w:b/>
                                  <w:bCs/>
                                  <w:sz w:val="14"/>
                                  <w:szCs w:val="14"/>
                                </w:rPr>
                              </w:pPr>
                              <w:r w:rsidRPr="00011029">
                                <w:rPr>
                                  <w:b/>
                                  <w:bCs/>
                                  <w:sz w:val="14"/>
                                  <w:szCs w:val="14"/>
                                </w:rPr>
                                <w:t>W</w:t>
                              </w:r>
                              <w:r>
                                <w:rPr>
                                  <w:b/>
                                  <w:bCs/>
                                  <w:sz w:val="14"/>
                                  <w:szCs w:val="14"/>
                                </w:rPr>
                                <w:t>ES</w:t>
                              </w:r>
                              <w:r w:rsidRPr="00011029">
                                <w:rPr>
                                  <w:b/>
                                  <w:bCs/>
                                  <w:sz w:val="14"/>
                                  <w:szCs w:val="14"/>
                                </w:rPr>
                                <w:t>T AND</w:t>
                              </w:r>
                            </w:p>
                            <w:p w14:paraId="6BA38E87" w14:textId="77777777" w:rsidR="007256B3" w:rsidRPr="00011029" w:rsidRDefault="007256B3" w:rsidP="009B0617">
                              <w:pPr>
                                <w:spacing w:after="0" w:line="240" w:lineRule="auto"/>
                                <w:jc w:val="center"/>
                                <w:rPr>
                                  <w:b/>
                                  <w:bCs/>
                                  <w:sz w:val="14"/>
                                  <w:szCs w:val="14"/>
                                </w:rPr>
                              </w:pPr>
                              <w:r w:rsidRPr="00011029">
                                <w:rPr>
                                  <w:b/>
                                  <w:bCs/>
                                  <w:sz w:val="14"/>
                                  <w:szCs w:val="14"/>
                                </w:rPr>
                                <w:t>SOUTH</w:t>
                              </w:r>
                            </w:p>
                            <w:p w14:paraId="7C9FC088" w14:textId="77777777" w:rsidR="007256B3" w:rsidRPr="00011029" w:rsidRDefault="007256B3" w:rsidP="009B0617">
                              <w:pPr>
                                <w:spacing w:after="0" w:line="240" w:lineRule="auto"/>
                                <w:jc w:val="center"/>
                                <w:rPr>
                                  <w:b/>
                                  <w:bCs/>
                                  <w:sz w:val="14"/>
                                  <w:szCs w:val="14"/>
                                </w:rPr>
                              </w:pPr>
                              <w:r w:rsidRPr="00011029">
                                <w:rPr>
                                  <w:b/>
                                  <w:bCs/>
                                  <w:sz w:val="14"/>
                                  <w:szCs w:val="14"/>
                                </w:rPr>
                                <w:t>GIPPSLAN</w:t>
                              </w:r>
                              <w:r>
                                <w:rPr>
                                  <w:b/>
                                  <w:bCs/>
                                  <w:sz w:val="14"/>
                                  <w:szCs w:val="14"/>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Text Box 302"/>
                        <wps:cNvSpPr txBox="1"/>
                        <wps:spPr>
                          <a:xfrm>
                            <a:off x="2286000" y="1765004"/>
                            <a:ext cx="406800" cy="234000"/>
                          </a:xfrm>
                          <a:prstGeom prst="rect">
                            <a:avLst/>
                          </a:prstGeom>
                          <a:solidFill>
                            <a:srgbClr val="B8D69C"/>
                          </a:solidFill>
                          <a:ln w="6350">
                            <a:noFill/>
                          </a:ln>
                          <a:effectLst/>
                        </wps:spPr>
                        <wps:txbx>
                          <w:txbxContent>
                            <w:p w14:paraId="17AA2C67" w14:textId="77777777" w:rsidR="007256B3" w:rsidRPr="00E22285" w:rsidRDefault="007256B3" w:rsidP="009B0617">
                              <w:pPr>
                                <w:spacing w:after="0" w:line="240" w:lineRule="auto"/>
                                <w:jc w:val="center"/>
                                <w:rPr>
                                  <w:b/>
                                  <w:bCs/>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303"/>
                        <wps:cNvSpPr txBox="1"/>
                        <wps:spPr>
                          <a:xfrm>
                            <a:off x="2445488" y="1988288"/>
                            <a:ext cx="489600" cy="54000"/>
                          </a:xfrm>
                          <a:prstGeom prst="rect">
                            <a:avLst/>
                          </a:prstGeom>
                          <a:solidFill>
                            <a:srgbClr val="B8D69C"/>
                          </a:solidFill>
                          <a:ln w="6350">
                            <a:noFill/>
                          </a:ln>
                          <a:effectLst/>
                        </wps:spPr>
                        <wps:txbx>
                          <w:txbxContent>
                            <w:p w14:paraId="76761CCB" w14:textId="77777777" w:rsidR="007256B3" w:rsidRPr="00E22285" w:rsidRDefault="007256B3" w:rsidP="009B0617">
                              <w:pPr>
                                <w:spacing w:after="0" w:line="240" w:lineRule="auto"/>
                                <w:jc w:val="center"/>
                                <w:rPr>
                                  <w:b/>
                                  <w:bCs/>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69042" y="74428"/>
                            <a:ext cx="2445488" cy="648586"/>
                          </a:xfrm>
                          <a:prstGeom prst="rect">
                            <a:avLst/>
                          </a:prstGeom>
                          <a:solidFill>
                            <a:sysClr val="window" lastClr="FFFFFF"/>
                          </a:solidFill>
                          <a:ln w="6350">
                            <a:noFill/>
                          </a:ln>
                          <a:effectLst/>
                        </wps:spPr>
                        <wps:txbx>
                          <w:txbxContent>
                            <w:p w14:paraId="2C3B8C7C" w14:textId="77777777" w:rsidR="007256B3" w:rsidRPr="00E22285" w:rsidRDefault="007256B3" w:rsidP="009B0617">
                              <w:pPr>
                                <w:spacing w:after="0" w:line="240" w:lineRule="auto"/>
                                <w:jc w:val="center"/>
                                <w:rPr>
                                  <w:b/>
                                  <w:bCs/>
                                  <w:sz w:val="15"/>
                                  <w:szCs w:val="15"/>
                                </w:rPr>
                              </w:pPr>
                              <w:r>
                                <w:rPr>
                                  <w:b/>
                                  <w:bCs/>
                                  <w:sz w:val="15"/>
                                  <w:szCs w:val="15"/>
                                </w:rPr>
                                <w:t>NORTH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Straight Arrow Connector 305"/>
                        <wps:cNvCnPr/>
                        <wps:spPr>
                          <a:xfrm flipH="1">
                            <a:off x="2541181" y="510362"/>
                            <a:ext cx="818707" cy="1382233"/>
                          </a:xfrm>
                          <a:prstGeom prst="straightConnector1">
                            <a:avLst/>
                          </a:prstGeom>
                          <a:noFill/>
                          <a:ln w="9525" cap="flat" cmpd="sng" algn="ctr">
                            <a:no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92" o:spid="_x0000_s1045" style="position:absolute;margin-left:15.6pt;margin-top:21.9pt;width:428.05pt;height:251.65pt;z-index:251691008;mso-width-relative:margin;mso-height-relative:margin" coordorigin="" coordsize="50163,29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NABRRRQAUUUUAFFFFABRRRQAUUUUAFFFFABRRRQAUUUUAF&#10;FFFABRRRQAUUUUAFFFFABRRRQAUUUUAFFFFABRRRQAUUUUAFFFFABRRRQAUUUUAFFFFABRRRQAUU&#10;UUAFFFFABRRRQAUUUUAFFFFABRRRm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EZoooAAM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46" type="#_x0000_t75" style="position:absolute;width:50163;height:29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z7uPGAAAA3AAAAA8AAABkcnMvZG93bnJldi54bWxEj09rwkAUxO+C32F5Qm+6qf9ao6s0rYqn&#10;QtMKHh/Z1yQ0+zZkt0n89t2C4HGYmd8wm11vKtFS40rLCh4nEQjizOqScwVfn4fxMwjnkTVWlknB&#10;lRzstsPBBmNtO/6gNvW5CBB2MSoovK9jKV1WkEE3sTVx8L5tY9AH2eRSN9gFuKnkNIqW0mDJYaHA&#10;ml4Lyn7SX6MAn1qzn70vrmc8viVJerks5quTUg+j/mUNwlPv7+Fb+6QVTFcz+D8Tjo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Pu48YAAADcAAAADwAAAAAAAAAAAAAA&#10;AACfAgAAZHJzL2Rvd25yZXYueG1sUEsFBgAAAAAEAAQA9wAAAJIDAAAAAA==&#10;">
                  <v:imagedata r:id="rId42" o:title="" croptop="11525f" cropbottom="5161f" cropleft="3405f" cropright="3396f"/>
                  <v:path arrowok="t"/>
                </v:shape>
                <v:shapetype id="_x0000_t202" coordsize="21600,21600" o:spt="202" path="m,l,21600r21600,l21600,xe">
                  <v:stroke joinstyle="miter"/>
                  <v:path gradientshapeok="t" o:connecttype="rect"/>
                </v:shapetype>
                <v:shape id="Text Box 294" o:spid="_x0000_s1047" type="#_x0000_t202" style="position:absolute;left:3508;top:5103;width:8395;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j+MIA&#10;AADcAAAADwAAAGRycy9kb3ducmV2LnhtbESP0WrCQBRE3wv+w3ILvjWbRpE2Zg2hVPC12g+4ZG+T&#10;YPZu3F1N9OvdguDjMDNnmKKcTC8u5HxnWcF7koIgrq3uuFHwe9i+fYDwAVljb5kUXMlDuZm9FJhr&#10;O/IPXfahERHCPkcFbQhDLqWvWzLoEzsQR+/POoMhStdI7XCMcNPLLE1X0mDHcaHFgb5aqo/7s1Hg&#10;ut0Ybosha65L606ySvVp8a3U/HWq1iACTeEZfrR3WkH2uYT/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P4wgAAANwAAAAPAAAAAAAAAAAAAAAAAJgCAABkcnMvZG93&#10;bnJldi54bWxQSwUGAAAAAAQABAD1AAAAhwMAAAAA&#10;" fillcolor="#b8d69c" stroked="f" strokeweight=".5pt">
                  <v:textbox>
                    <w:txbxContent>
                      <w:p w14:paraId="7A3A44EB" w14:textId="77777777" w:rsidR="007256B3" w:rsidRPr="00E22285" w:rsidRDefault="007256B3" w:rsidP="009B0617">
                        <w:pPr>
                          <w:spacing w:after="0" w:line="240" w:lineRule="auto"/>
                          <w:jc w:val="center"/>
                          <w:rPr>
                            <w:b/>
                            <w:bCs/>
                            <w:sz w:val="15"/>
                            <w:szCs w:val="15"/>
                          </w:rPr>
                        </w:pPr>
                        <w:r w:rsidRPr="00E22285">
                          <w:rPr>
                            <w:b/>
                            <w:bCs/>
                            <w:sz w:val="15"/>
                            <w:szCs w:val="15"/>
                          </w:rPr>
                          <w:t>MALLEE</w:t>
                        </w:r>
                      </w:p>
                    </w:txbxContent>
                  </v:textbox>
                </v:shape>
                <v:shape id="Text Box 295" o:spid="_x0000_s1048" type="#_x0000_t202" style="position:absolute;left:850;top:12014;width:8395;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GY8EA&#10;AADcAAAADwAAAGRycy9kb3ducmV2LnhtbESP0YrCMBRE3xf8h3AF39bU6opWo4go+Kq7H3Bprm2x&#10;ualJtNWvN4Kwj8PMnGGW687U4k7OV5YVjIYJCOLc6ooLBX+/++8ZCB+QNdaWScGDPKxXva8lZtq2&#10;fKT7KRQiQthnqKAMocmk9HlJBv3QNsTRO1tnMETpCqkdthFuapkmyVQarDgulNjQtqT8croZBa46&#10;tOE5btLiMbHuKjeJvo53Sg363WYBIlAX/sOf9kErSOc/8D4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xmPBAAAA3AAAAA8AAAAAAAAAAAAAAAAAmAIAAGRycy9kb3du&#10;cmV2LnhtbFBLBQYAAAAABAAEAPUAAACGAwAAAAA=&#10;" fillcolor="#b8d69c" stroked="f" strokeweight=".5pt">
                  <v:textbox>
                    <w:txbxContent>
                      <w:p w14:paraId="2872DE8A" w14:textId="77777777" w:rsidR="007256B3" w:rsidRPr="00E22285" w:rsidRDefault="007256B3" w:rsidP="009B0617">
                        <w:pPr>
                          <w:spacing w:after="0" w:line="240" w:lineRule="auto"/>
                          <w:jc w:val="center"/>
                          <w:rPr>
                            <w:b/>
                            <w:bCs/>
                            <w:sz w:val="15"/>
                            <w:szCs w:val="15"/>
                          </w:rPr>
                        </w:pPr>
                        <w:r>
                          <w:rPr>
                            <w:b/>
                            <w:bCs/>
                            <w:sz w:val="15"/>
                            <w:szCs w:val="15"/>
                          </w:rPr>
                          <w:t>WIMMERA</w:t>
                        </w:r>
                      </w:p>
                    </w:txbxContent>
                  </v:textbox>
                </v:shape>
                <v:shape id="Text Box 296" o:spid="_x0000_s1049" type="#_x0000_t202" style="position:absolute;left:5316;top:19670;width:83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YFMIA&#10;AADcAAAADwAAAGRycy9kb3ducmV2LnhtbESP3WrCQBSE74W+w3IK3ummUUKbuoqIgreNfYBD9jQJ&#10;zZ6Nu9v8+PRuQfBymJlvmM1uNK3oyfnGsoK3ZQKCuLS64UrB9+W0eAfhA7LG1jIpmMjDbvsy22Cu&#10;7cBf1BehEhHCPkcFdQhdLqUvazLol7Yjjt6PdQZDlK6S2uEQ4aaVaZJk0mDDcaHGjg41lb/Fn1Hg&#10;mvMQbqsuraa1dVe5T/R1dVRq/jruP0EEGsMz/GiftYL0I4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1gUwgAAANwAAAAPAAAAAAAAAAAAAAAAAJgCAABkcnMvZG93&#10;bnJldi54bWxQSwUGAAAAAAQABAD1AAAAhwMAAAAA&#10;" fillcolor="#b8d69c" stroked="f" strokeweight=".5pt">
                  <v:textbox>
                    <w:txbxContent>
                      <w:p w14:paraId="59D00EA7" w14:textId="77777777" w:rsidR="007256B3" w:rsidRPr="00E22285" w:rsidRDefault="007256B3" w:rsidP="009B0617">
                        <w:pPr>
                          <w:spacing w:after="0" w:line="240" w:lineRule="auto"/>
                          <w:jc w:val="center"/>
                          <w:rPr>
                            <w:b/>
                            <w:bCs/>
                            <w:sz w:val="15"/>
                            <w:szCs w:val="15"/>
                          </w:rPr>
                        </w:pPr>
                        <w:r>
                          <w:rPr>
                            <w:b/>
                            <w:bCs/>
                            <w:sz w:val="15"/>
                            <w:szCs w:val="15"/>
                          </w:rPr>
                          <w:t>SOUTH WEST</w:t>
                        </w:r>
                      </w:p>
                    </w:txbxContent>
                  </v:textbox>
                </v:shape>
                <v:shape id="Text Box 297" o:spid="_x0000_s1050" type="#_x0000_t202" style="position:absolute;left:16055;top:12440;width:7123;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9j8EA&#10;AADcAAAADwAAAGRycy9kb3ducmV2LnhtbESP0YrCMBRE3xf8h3AF39bUKqtWo4go+Kq7H3Bprm2x&#10;ualJtNWvN4Kwj8PMnGGW687U4k7OV5YVjIYJCOLc6ooLBX+/++8ZCB+QNdaWScGDPKxXva8lZtq2&#10;fKT7KRQiQthnqKAMocmk9HlJBv3QNsTRO1tnMETpCqkdthFuapkmyY80WHFcKLGhbUn55XQzClx1&#10;aMNz3KTFY2LdVW4SfR3vlBr0u80CRKAu/Ic/7YNWkM6n8D4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Y/BAAAA3AAAAA8AAAAAAAAAAAAAAAAAmAIAAGRycy9kb3du&#10;cmV2LnhtbFBLBQYAAAAABAAEAPUAAACGAwAAAAA=&#10;" fillcolor="#b8d69c" stroked="f" strokeweight=".5pt">
                  <v:textbox>
                    <w:txbxContent>
                      <w:p w14:paraId="1DCEF131" w14:textId="77777777" w:rsidR="007256B3" w:rsidRPr="00E22285" w:rsidRDefault="007256B3" w:rsidP="009B0617">
                        <w:pPr>
                          <w:spacing w:after="0" w:line="240" w:lineRule="auto"/>
                          <w:jc w:val="center"/>
                          <w:rPr>
                            <w:b/>
                            <w:bCs/>
                            <w:sz w:val="15"/>
                            <w:szCs w:val="15"/>
                          </w:rPr>
                        </w:pPr>
                        <w:r>
                          <w:rPr>
                            <w:b/>
                            <w:bCs/>
                            <w:sz w:val="15"/>
                            <w:szCs w:val="15"/>
                          </w:rPr>
                          <w:t>NORTHERN</w:t>
                        </w:r>
                        <w:r>
                          <w:rPr>
                            <w:b/>
                            <w:bCs/>
                            <w:sz w:val="15"/>
                            <w:szCs w:val="15"/>
                          </w:rPr>
                          <w:br/>
                          <w:t>COUNTRY</w:t>
                        </w:r>
                      </w:p>
                    </w:txbxContent>
                  </v:textbox>
                </v:shape>
                <v:shape id="Text Box 298" o:spid="_x0000_s1051" type="#_x0000_t202" style="position:absolute;left:15948;top:18925;width:5848;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p/b4A&#10;AADcAAAADwAAAGRycy9kb3ducmV2LnhtbERPzYrCMBC+C75DGMGbplaRtRqLiIJX3X2AoRnbYjNp&#10;k2jrPv3mIOzx4/vf5YNpxIucry0rWMwTEMSF1TWXCn6+z7MvED4ga2wsk4I3ecj349EOM217vtLr&#10;FkoRQ9hnqKAKoc2k9EVFBv3ctsSRu1tnMEToSqkd9jHcNDJNkrU0WHNsqLClY0XF4/Y0Clx96cPv&#10;sk3L98q6Th4S3S1PSk0nw2ELItAQ/sUf90UrSDdxbTwTj4D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4af2+AAAA3AAAAA8AAAAAAAAAAAAAAAAAmAIAAGRycy9kb3ducmV2&#10;LnhtbFBLBQYAAAAABAAEAPUAAACDAwAAAAA=&#10;" fillcolor="#b8d69c" stroked="f" strokeweight=".5pt">
                  <v:textbox>
                    <w:txbxContent>
                      <w:p w14:paraId="27079415" w14:textId="77777777" w:rsidR="007256B3" w:rsidRPr="00E22285" w:rsidRDefault="007256B3" w:rsidP="009B0617">
                        <w:pPr>
                          <w:spacing w:after="0" w:line="240" w:lineRule="auto"/>
                          <w:jc w:val="center"/>
                          <w:rPr>
                            <w:b/>
                            <w:bCs/>
                            <w:sz w:val="15"/>
                            <w:szCs w:val="15"/>
                          </w:rPr>
                        </w:pPr>
                        <w:r>
                          <w:rPr>
                            <w:b/>
                            <w:bCs/>
                            <w:sz w:val="15"/>
                            <w:szCs w:val="15"/>
                          </w:rPr>
                          <w:t>CENTRAL</w:t>
                        </w:r>
                      </w:p>
                    </w:txbxContent>
                  </v:textbox>
                </v:shape>
                <v:shape id="Text Box 299" o:spid="_x0000_s1052" type="#_x0000_t202" style="position:absolute;left:30090;top:13290;width:5528;height:4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MZsEA&#10;AADcAAAADwAAAGRycy9kb3ducmV2LnhtbESP0YrCMBRE3wX/IVzBN02ti6y1qciyC76u7gdcmmtb&#10;bG5qkrXVrzeC4OMwM2eYfDuYVlzJ+caygsU8AUFcWt1wpeDv+DP7BOEDssbWMim4kYdtMR7lmGnb&#10;8y9dD6ESEcI+QwV1CF0mpS9rMujntiOO3sk6gyFKV0ntsI9w08o0SVbSYMNxocaOvmoqz4d/o8A1&#10;+z7cl11a3T6su8hdoi/Lb6Wmk2G3ARFoCO/wq73XCtL1Gp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0zGbBAAAA3AAAAA8AAAAAAAAAAAAAAAAAmAIAAGRycy9kb3du&#10;cmV2LnhtbFBLBQYAAAAABAAEAPUAAACGAwAAAAA=&#10;" fillcolor="#b8d69c" stroked="f" strokeweight=".5pt">
                  <v:textbox>
                    <w:txbxContent>
                      <w:p w14:paraId="68C8B4B4" w14:textId="77777777" w:rsidR="007256B3" w:rsidRDefault="007256B3" w:rsidP="009B0617">
                        <w:pPr>
                          <w:spacing w:after="0" w:line="240" w:lineRule="auto"/>
                          <w:jc w:val="center"/>
                          <w:rPr>
                            <w:b/>
                            <w:bCs/>
                            <w:sz w:val="15"/>
                            <w:szCs w:val="15"/>
                          </w:rPr>
                        </w:pPr>
                        <w:r>
                          <w:rPr>
                            <w:b/>
                            <w:bCs/>
                            <w:sz w:val="15"/>
                            <w:szCs w:val="15"/>
                          </w:rPr>
                          <w:t>NORTH</w:t>
                        </w:r>
                      </w:p>
                      <w:p w14:paraId="76C95DBD" w14:textId="77777777" w:rsidR="007256B3" w:rsidRPr="00E22285" w:rsidRDefault="007256B3" w:rsidP="009B0617">
                        <w:pPr>
                          <w:spacing w:after="0" w:line="240" w:lineRule="auto"/>
                          <w:jc w:val="center"/>
                          <w:rPr>
                            <w:b/>
                            <w:bCs/>
                            <w:sz w:val="15"/>
                            <w:szCs w:val="15"/>
                          </w:rPr>
                        </w:pPr>
                        <w:r>
                          <w:rPr>
                            <w:b/>
                            <w:bCs/>
                            <w:sz w:val="15"/>
                            <w:szCs w:val="15"/>
                          </w:rPr>
                          <w:t>EAST</w:t>
                        </w:r>
                      </w:p>
                    </w:txbxContent>
                  </v:textbox>
                </v:shape>
                <v:shape id="Text Box 300" o:spid="_x0000_s1053" type="#_x0000_t202" style="position:absolute;left:37532;top:17650;width:7236;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4b4A&#10;AADcAAAADwAAAGRycy9kb3ducmV2LnhtbERPy4rCMBTdD/gP4QruxkQ7DFJNiwwKbn18wKW5tsXm&#10;piYZW/16sxiY5eG8N+VoO/EgH1rHGhZzBYK4cqblWsPlvP9cgQgR2WDnmDQ8KUBZTD42mBs38JEe&#10;p1iLFMIhRw1NjH0uZagashjmridO3NV5izFBX0vjcUjhtpNLpb6lxZZTQ4M9/TRU3U6/VoNvD0N8&#10;Zf2yfn45f5dbZe7ZTuvZdNyuQUQa47/4z30wGjKV5qcz6QjI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l/+G+AAAA3AAAAA8AAAAAAAAAAAAAAAAAmAIAAGRycy9kb3ducmV2&#10;LnhtbFBLBQYAAAAABAAEAPUAAACDAwAAAAA=&#10;" fillcolor="#b8d69c" stroked="f" strokeweight=".5pt">
                  <v:textbox>
                    <w:txbxContent>
                      <w:p w14:paraId="261E21A2" w14:textId="77777777" w:rsidR="007256B3" w:rsidRDefault="007256B3" w:rsidP="009B0617">
                        <w:pPr>
                          <w:spacing w:after="0" w:line="240" w:lineRule="auto"/>
                          <w:jc w:val="center"/>
                          <w:rPr>
                            <w:b/>
                            <w:bCs/>
                            <w:sz w:val="15"/>
                            <w:szCs w:val="15"/>
                          </w:rPr>
                        </w:pPr>
                        <w:r>
                          <w:rPr>
                            <w:b/>
                            <w:bCs/>
                            <w:sz w:val="15"/>
                            <w:szCs w:val="15"/>
                          </w:rPr>
                          <w:t>EAST</w:t>
                        </w:r>
                      </w:p>
                      <w:p w14:paraId="6CFD14FF" w14:textId="77777777" w:rsidR="007256B3" w:rsidRPr="00E22285" w:rsidRDefault="007256B3" w:rsidP="009B0617">
                        <w:pPr>
                          <w:spacing w:after="0" w:line="240" w:lineRule="auto"/>
                          <w:jc w:val="center"/>
                          <w:rPr>
                            <w:b/>
                            <w:bCs/>
                            <w:sz w:val="15"/>
                            <w:szCs w:val="15"/>
                          </w:rPr>
                        </w:pPr>
                        <w:r>
                          <w:rPr>
                            <w:b/>
                            <w:bCs/>
                            <w:sz w:val="15"/>
                            <w:szCs w:val="15"/>
                          </w:rPr>
                          <w:t>GIPPSLAND</w:t>
                        </w:r>
                      </w:p>
                    </w:txbxContent>
                  </v:textbox>
                </v:shape>
                <v:shape id="Text Box 301" o:spid="_x0000_s1054" type="#_x0000_t202" style="position:absolute;left:28601;top:21477;width:5760;height:4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QNsUA&#10;AADcAAAADwAAAGRycy9kb3ducmV2LnhtbESPUWvCMBSF34X9h3AFX8ZM64bbOqMMceKTsG4/4NLc&#10;NZ3NTWhirf/eCIKPh3POdziL1WBb0VMXGscK8mkGgrhyuuFawe/P19MbiBCRNbaOScGZAqyWD6MF&#10;Ftqd+Jv6MtYiQTgUqMDE6AspQ2XIYpg6T5y8P9dZjEl2tdQdnhLctnKWZXNpseG0YNDT2lB1KI9W&#10;wXaT/9OsfDe7/YvvX+v50ZfmUanJePj8ABFpiPfwrb3TCp6zHK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VA2xQAAANwAAAAPAAAAAAAAAAAAAAAAAJgCAABkcnMv&#10;ZG93bnJldi54bWxQSwUGAAAAAAQABAD1AAAAigMAAAAA&#10;" fillcolor="#b8d69c" stroked="f" strokeweight=".5pt">
                  <v:textbox inset="0,0,0,0">
                    <w:txbxContent>
                      <w:p w14:paraId="441B6FF9" w14:textId="77777777" w:rsidR="007256B3" w:rsidRPr="00011029" w:rsidRDefault="007256B3" w:rsidP="009B0617">
                        <w:pPr>
                          <w:spacing w:after="0" w:line="240" w:lineRule="auto"/>
                          <w:jc w:val="center"/>
                          <w:rPr>
                            <w:b/>
                            <w:bCs/>
                            <w:sz w:val="14"/>
                            <w:szCs w:val="14"/>
                          </w:rPr>
                        </w:pPr>
                        <w:r w:rsidRPr="00011029">
                          <w:rPr>
                            <w:b/>
                            <w:bCs/>
                            <w:sz w:val="14"/>
                            <w:szCs w:val="14"/>
                          </w:rPr>
                          <w:t>W</w:t>
                        </w:r>
                        <w:r>
                          <w:rPr>
                            <w:b/>
                            <w:bCs/>
                            <w:sz w:val="14"/>
                            <w:szCs w:val="14"/>
                          </w:rPr>
                          <w:t>ES</w:t>
                        </w:r>
                        <w:r w:rsidRPr="00011029">
                          <w:rPr>
                            <w:b/>
                            <w:bCs/>
                            <w:sz w:val="14"/>
                            <w:szCs w:val="14"/>
                          </w:rPr>
                          <w:t>T AND</w:t>
                        </w:r>
                      </w:p>
                      <w:p w14:paraId="6BA38E87" w14:textId="77777777" w:rsidR="007256B3" w:rsidRPr="00011029" w:rsidRDefault="007256B3" w:rsidP="009B0617">
                        <w:pPr>
                          <w:spacing w:after="0" w:line="240" w:lineRule="auto"/>
                          <w:jc w:val="center"/>
                          <w:rPr>
                            <w:b/>
                            <w:bCs/>
                            <w:sz w:val="14"/>
                            <w:szCs w:val="14"/>
                          </w:rPr>
                        </w:pPr>
                        <w:r w:rsidRPr="00011029">
                          <w:rPr>
                            <w:b/>
                            <w:bCs/>
                            <w:sz w:val="14"/>
                            <w:szCs w:val="14"/>
                          </w:rPr>
                          <w:t>SOUTH</w:t>
                        </w:r>
                      </w:p>
                      <w:p w14:paraId="7C9FC088" w14:textId="77777777" w:rsidR="007256B3" w:rsidRPr="00011029" w:rsidRDefault="007256B3" w:rsidP="009B0617">
                        <w:pPr>
                          <w:spacing w:after="0" w:line="240" w:lineRule="auto"/>
                          <w:jc w:val="center"/>
                          <w:rPr>
                            <w:b/>
                            <w:bCs/>
                            <w:sz w:val="14"/>
                            <w:szCs w:val="14"/>
                          </w:rPr>
                        </w:pPr>
                        <w:r w:rsidRPr="00011029">
                          <w:rPr>
                            <w:b/>
                            <w:bCs/>
                            <w:sz w:val="14"/>
                            <w:szCs w:val="14"/>
                          </w:rPr>
                          <w:t>GIPPSLAN</w:t>
                        </w:r>
                        <w:r>
                          <w:rPr>
                            <w:b/>
                            <w:bCs/>
                            <w:sz w:val="14"/>
                            <w:szCs w:val="14"/>
                          </w:rPr>
                          <w:t>D</w:t>
                        </w:r>
                      </w:p>
                    </w:txbxContent>
                  </v:textbox>
                </v:shape>
                <v:shape id="Text Box 302" o:spid="_x0000_s1055" type="#_x0000_t202" style="position:absolute;left:22860;top:17650;width:4068;height:2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DcEA&#10;AADcAAAADwAAAGRycy9kb3ducmV2LnhtbESP0YrCMBRE34X9h3CFfdPEVkSqUWRxwddVP+DSXNti&#10;c1OTaOt+/WZB8HGYmTPMejvYVjzIh8axhtlUgSAunWm40nA+fU+WIEJENtg6Jg1PCrDdfIzWWBjX&#10;8w89jrESCcKhQA11jF0hZShrshimriNO3sV5izFJX0njsU9w28pMqYW02HBaqLGjr5rK6/FuNfjm&#10;0MffvMuq59z5m9wpc8v3Wn+Oh90KRKQhvsOv9sFoyFUG/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7xA3BAAAA3AAAAA8AAAAAAAAAAAAAAAAAmAIAAGRycy9kb3du&#10;cmV2LnhtbFBLBQYAAAAABAAEAPUAAACGAwAAAAA=&#10;" fillcolor="#b8d69c" stroked="f" strokeweight=".5pt">
                  <v:textbox>
                    <w:txbxContent>
                      <w:p w14:paraId="17AA2C67" w14:textId="77777777" w:rsidR="007256B3" w:rsidRPr="00E22285" w:rsidRDefault="007256B3" w:rsidP="009B0617">
                        <w:pPr>
                          <w:spacing w:after="0" w:line="240" w:lineRule="auto"/>
                          <w:jc w:val="center"/>
                          <w:rPr>
                            <w:b/>
                            <w:bCs/>
                            <w:sz w:val="15"/>
                            <w:szCs w:val="15"/>
                          </w:rPr>
                        </w:pPr>
                      </w:p>
                    </w:txbxContent>
                  </v:textbox>
                </v:shape>
                <v:shape id="Text Box 303" o:spid="_x0000_s1056" type="#_x0000_t202" style="position:absolute;left:24454;top:19882;width:4896;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hlsEA&#10;AADcAAAADwAAAGRycy9kb3ducmV2LnhtbESP3YrCMBSE74V9h3AW9s4ma0WkaxRZFLz15wEOzbEt&#10;25zUJNrq028EwcthZr5hFqvBtuJGPjSONXxnCgRx6UzDlYbTcTuegwgR2WDrmDTcKcBq+TFaYGFc&#10;z3u6HWIlEoRDgRrqGLtCylDWZDFkriNO3tl5izFJX0njsU9w28qJUjNpseG0UGNHvzWVf4er1eCb&#10;XR8feTep7lPnL3KtzCXfaP31Oax/QEQa4jv8au+Mhlzl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YZbBAAAA3AAAAA8AAAAAAAAAAAAAAAAAmAIAAGRycy9kb3du&#10;cmV2LnhtbFBLBQYAAAAABAAEAPUAAACGAwAAAAA=&#10;" fillcolor="#b8d69c" stroked="f" strokeweight=".5pt">
                  <v:textbox>
                    <w:txbxContent>
                      <w:p w14:paraId="76761CCB" w14:textId="77777777" w:rsidR="007256B3" w:rsidRPr="00E22285" w:rsidRDefault="007256B3" w:rsidP="009B0617">
                        <w:pPr>
                          <w:spacing w:after="0" w:line="240" w:lineRule="auto"/>
                          <w:jc w:val="center"/>
                          <w:rPr>
                            <w:b/>
                            <w:bCs/>
                            <w:sz w:val="15"/>
                            <w:szCs w:val="15"/>
                          </w:rPr>
                        </w:pPr>
                      </w:p>
                    </w:txbxContent>
                  </v:textbox>
                </v:shape>
                <v:shape id="Text Box 304" o:spid="_x0000_s1057" type="#_x0000_t202" style="position:absolute;left:21690;top:744;width:24455;height:6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2vsMA&#10;AADcAAAADwAAAGRycy9kb3ducmV2LnhtbESPQYvCMBSE74L/IbyFvWm6rqjUpiKii3pTF9zjo3m2&#10;xealNLF2/70RBI/DzHzDJIvOVKKlxpWWFXwNIxDEmdUl5wp+T5vBDITzyBory6Tgnxws0n4vwVjb&#10;Ox+oPfpcBAi7GBUU3texlC4ryKAb2po4eBfbGPRBNrnUDd4D3FRyFEUTabDksFBgTauCsuvxZhSM&#10;Z9xed397cy5Xbm3sdHTG9Y9Snx/dcg7CU+ff4Vd7qxV8R2N4nglH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2vsMAAADcAAAADwAAAAAAAAAAAAAAAACYAgAAZHJzL2Rv&#10;d25yZXYueG1sUEsFBgAAAAAEAAQA9QAAAIgDAAAAAA==&#10;" fillcolor="window" stroked="f" strokeweight=".5pt">
                  <v:textbox>
                    <w:txbxContent>
                      <w:p w14:paraId="2C3B8C7C" w14:textId="77777777" w:rsidR="007256B3" w:rsidRPr="00E22285" w:rsidRDefault="007256B3" w:rsidP="009B0617">
                        <w:pPr>
                          <w:spacing w:after="0" w:line="240" w:lineRule="auto"/>
                          <w:jc w:val="center"/>
                          <w:rPr>
                            <w:b/>
                            <w:bCs/>
                            <w:sz w:val="15"/>
                            <w:szCs w:val="15"/>
                          </w:rPr>
                        </w:pPr>
                        <w:r>
                          <w:rPr>
                            <w:b/>
                            <w:bCs/>
                            <w:sz w:val="15"/>
                            <w:szCs w:val="15"/>
                          </w:rPr>
                          <w:t>NORTH CENTRAL</w:t>
                        </w:r>
                      </w:p>
                    </w:txbxContent>
                  </v:textbox>
                </v:shape>
                <v:shapetype id="_x0000_t32" coordsize="21600,21600" o:spt="32" o:oned="t" path="m,l21600,21600e" filled="f">
                  <v:path arrowok="t" fillok="f" o:connecttype="none"/>
                  <o:lock v:ext="edit" shapetype="t"/>
                </v:shapetype>
                <v:shape id="Straight Arrow Connector 305" o:spid="_x0000_s1058" type="#_x0000_t32" style="position:absolute;left:25411;top:5103;width:8187;height:13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FS8IAAADcAAAADwAAAGRycy9kb3ducmV2LnhtbESPT4vCMBTE74LfITzBmyZWXNZqWkQU&#10;vPrnsrdH82yLzUtpoq3f3iws7HGYmd8w23ywjXhR52vHGhZzBYK4cKbmUsPtepx9g/AB2WDjmDS8&#10;yUOejUdbTI3r+UyvSyhFhLBPUUMVQptK6YuKLPq5a4mjd3edxRBlV0rTYR/htpGJUl/SYs1xocKW&#10;9hUVj8vTaqj9fXlIyr5fFz/X9W2/SJRJrNbTybDbgAg0hP/wX/tkNCzVCn7PxCMgs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UFS8IAAADcAAAADwAAAAAAAAAAAAAA&#10;AAChAgAAZHJzL2Rvd25yZXYueG1sUEsFBgAAAAAEAAQA+QAAAJADAAAAAA==&#10;" stroked="f">
                  <v:stroke endarrow="block"/>
                </v:shape>
              </v:group>
            </w:pict>
          </mc:Fallback>
        </mc:AlternateContent>
      </w:r>
      <w:r w:rsidR="009B0617" w:rsidRPr="00B211D5">
        <w:rPr>
          <w:rFonts w:ascii="Candara" w:hAnsi="Candara"/>
        </w:rPr>
        <w:t>Ratings are assigned separately to each of nine Fire Districts, as are identified below.</w:t>
      </w:r>
    </w:p>
    <w:p w14:paraId="60D79C5C" w14:textId="46CADC6A" w:rsidR="009B0617" w:rsidRPr="00B211D5" w:rsidRDefault="009B0617" w:rsidP="009B0617">
      <w:pPr>
        <w:spacing w:before="200" w:after="60"/>
        <w:ind w:right="-284"/>
        <w:rPr>
          <w:rFonts w:ascii="Candara" w:hAnsi="Candara"/>
        </w:rPr>
      </w:pPr>
    </w:p>
    <w:p w14:paraId="4A9659C0" w14:textId="77777777" w:rsidR="009B0617" w:rsidRPr="00B211D5" w:rsidRDefault="009B0617" w:rsidP="009B0617">
      <w:pPr>
        <w:spacing w:before="200" w:after="60"/>
        <w:ind w:right="-284"/>
        <w:rPr>
          <w:rFonts w:ascii="Candara" w:hAnsi="Candara"/>
        </w:rPr>
      </w:pPr>
    </w:p>
    <w:p w14:paraId="04FDFCE9" w14:textId="77777777" w:rsidR="009B0617" w:rsidRPr="00B211D5" w:rsidRDefault="009B0617" w:rsidP="009B0617">
      <w:pPr>
        <w:spacing w:before="200" w:after="60"/>
        <w:ind w:right="-284"/>
        <w:rPr>
          <w:rFonts w:ascii="Candara" w:hAnsi="Candara"/>
        </w:rPr>
      </w:pPr>
    </w:p>
    <w:p w14:paraId="1EDC282D" w14:textId="77777777" w:rsidR="009B0617" w:rsidRPr="00B211D5" w:rsidRDefault="009B0617" w:rsidP="009B0617">
      <w:pPr>
        <w:spacing w:before="200" w:after="60"/>
        <w:ind w:right="-284"/>
        <w:rPr>
          <w:rFonts w:ascii="Candara" w:hAnsi="Candara"/>
        </w:rPr>
      </w:pPr>
    </w:p>
    <w:p w14:paraId="7EFDFC4B" w14:textId="77777777" w:rsidR="009B0617" w:rsidRPr="00B211D5" w:rsidRDefault="009B0617" w:rsidP="009B0617">
      <w:pPr>
        <w:spacing w:before="200" w:after="60"/>
        <w:ind w:right="-284"/>
        <w:rPr>
          <w:rFonts w:ascii="Candara" w:hAnsi="Candara"/>
        </w:rPr>
      </w:pPr>
    </w:p>
    <w:p w14:paraId="70C4C10E" w14:textId="77777777" w:rsidR="009B0617" w:rsidRPr="00B211D5" w:rsidRDefault="009B0617" w:rsidP="009B0617">
      <w:pPr>
        <w:spacing w:before="200" w:after="60"/>
        <w:ind w:right="-284"/>
        <w:rPr>
          <w:rFonts w:ascii="Candara" w:hAnsi="Candara"/>
        </w:rPr>
      </w:pPr>
    </w:p>
    <w:p w14:paraId="472F2102" w14:textId="77777777" w:rsidR="009B0617" w:rsidRPr="00B211D5" w:rsidRDefault="009B0617" w:rsidP="009B0617">
      <w:pPr>
        <w:spacing w:before="200" w:after="60"/>
        <w:ind w:right="-284"/>
        <w:rPr>
          <w:rFonts w:ascii="Candara" w:hAnsi="Candara"/>
        </w:rPr>
      </w:pPr>
    </w:p>
    <w:p w14:paraId="76122B5B" w14:textId="77777777" w:rsidR="009B0617" w:rsidRPr="00B211D5" w:rsidRDefault="009B0617" w:rsidP="009B0617">
      <w:pPr>
        <w:spacing w:before="200" w:after="60"/>
        <w:ind w:right="-284"/>
        <w:rPr>
          <w:rFonts w:ascii="Candara" w:hAnsi="Candara"/>
        </w:rPr>
      </w:pPr>
    </w:p>
    <w:p w14:paraId="321635E6" w14:textId="77777777" w:rsidR="009B0617" w:rsidRPr="00B211D5" w:rsidRDefault="009B0617" w:rsidP="009B0617">
      <w:pPr>
        <w:spacing w:before="200" w:after="60"/>
        <w:ind w:right="-284"/>
        <w:rPr>
          <w:rFonts w:ascii="Candara" w:hAnsi="Candara"/>
        </w:rPr>
      </w:pPr>
    </w:p>
    <w:p w14:paraId="43D4CA85" w14:textId="77777777" w:rsidR="009B0617" w:rsidRPr="00B211D5" w:rsidRDefault="009B0617" w:rsidP="009B0617">
      <w:pPr>
        <w:spacing w:before="200" w:after="60"/>
        <w:ind w:right="-284"/>
        <w:rPr>
          <w:rFonts w:ascii="Candara" w:hAnsi="Candara"/>
        </w:rPr>
      </w:pPr>
    </w:p>
    <w:p w14:paraId="556A2D74" w14:textId="77777777" w:rsidR="009B0617" w:rsidRPr="00B211D5" w:rsidRDefault="009B0617" w:rsidP="009B0617">
      <w:pPr>
        <w:spacing w:before="200" w:after="60"/>
        <w:ind w:right="-397"/>
        <w:rPr>
          <w:rFonts w:ascii="Candara" w:hAnsi="Candara"/>
        </w:rPr>
      </w:pPr>
      <w:r w:rsidRPr="00B211D5">
        <w:rPr>
          <w:rFonts w:ascii="Candara" w:hAnsi="Candara"/>
        </w:rPr>
        <w:t>Each CFA Fire District has defined boundaries covering designated local government areas (LGA). All LGAs align to a single Fire District, except for Yarriambiack Shire, which is part in Mallee and part in Wimmera.</w:t>
      </w:r>
      <w:r w:rsidRPr="00B211D5">
        <w:rPr>
          <w:rFonts w:ascii="Candara" w:hAnsi="Candara"/>
        </w:rPr>
        <w:br w:type="page"/>
      </w:r>
    </w:p>
    <w:p w14:paraId="655E8C83" w14:textId="77777777" w:rsidR="009B0617" w:rsidRPr="00B211D5" w:rsidRDefault="009B0617" w:rsidP="009B0617">
      <w:pPr>
        <w:rPr>
          <w:rFonts w:ascii="Candara" w:hAnsi="Candara"/>
        </w:rPr>
      </w:pPr>
      <w:r w:rsidRPr="00B211D5">
        <w:rPr>
          <w:rFonts w:ascii="Candara" w:hAnsi="Candara"/>
        </w:rPr>
        <w:lastRenderedPageBreak/>
        <w:t>Fire Danger Ratings can be declared for a given day and CFA Fire District up to four days in advance. Ratings are reviewed as the day approaches and may be modified to enable affected parties to assist them in preparing for potential fires in a manner that is sensitive to changes in the forecast weather conditions.</w:t>
      </w:r>
    </w:p>
    <w:p w14:paraId="77416177" w14:textId="77777777" w:rsidR="009B0617" w:rsidRPr="00B211D5" w:rsidRDefault="009B0617" w:rsidP="009B0617">
      <w:pPr>
        <w:rPr>
          <w:rFonts w:ascii="Candara" w:hAnsi="Candara"/>
        </w:rPr>
      </w:pPr>
      <w:r w:rsidRPr="00B211D5">
        <w:rPr>
          <w:rFonts w:ascii="Candara" w:hAnsi="Candara"/>
        </w:rPr>
        <w:t>The f-factor will apply the risk weighting associated with the last official FDR declared by the CFA prior to the date and time of a powerline ignition.</w:t>
      </w:r>
    </w:p>
    <w:p w14:paraId="2245174E" w14:textId="77777777" w:rsidR="009B0617" w:rsidRPr="00B211D5" w:rsidRDefault="009B0617" w:rsidP="009B0617">
      <w:pPr>
        <w:rPr>
          <w:rFonts w:ascii="Candara" w:hAnsi="Candara"/>
        </w:rPr>
      </w:pPr>
      <w:r w:rsidRPr="00B211D5">
        <w:rPr>
          <w:rFonts w:ascii="Candara" w:hAnsi="Candara"/>
        </w:rPr>
        <w:t>The FDR framework has been used for the f-factor as it an established Victorian mechanism for differentiating fire risk at different times and locations (it should be noted that the spatial aspect of the FDR is considered too coarse an indicator of spatial risk for f-factor purposes, which is why a separate weighting framework has been adopted for weighting geographic risk).</w:t>
      </w:r>
    </w:p>
    <w:p w14:paraId="4F9BD597" w14:textId="77777777" w:rsidR="009B0617" w:rsidRPr="00B211D5" w:rsidRDefault="009B0617" w:rsidP="009B0617">
      <w:pPr>
        <w:rPr>
          <w:rFonts w:ascii="Candara" w:hAnsi="Candara"/>
        </w:rPr>
      </w:pPr>
      <w:r w:rsidRPr="00B211D5">
        <w:rPr>
          <w:rFonts w:ascii="Candara" w:hAnsi="Candara"/>
        </w:rPr>
        <w:t>Furthermore, DBs already apply risk based operational practices that are sensitive to FDR declarations, insofar as network devices are set more sensitively on declared Total Fire Ban (TFB) days.</w:t>
      </w:r>
    </w:p>
    <w:p w14:paraId="285DDBEC" w14:textId="77777777" w:rsidR="009B0617" w:rsidRPr="00B211D5" w:rsidRDefault="009B0617" w:rsidP="009B0617">
      <w:pPr>
        <w:pStyle w:val="BodyText"/>
        <w:rPr>
          <w:rFonts w:ascii="Candara" w:hAnsi="Candara"/>
          <w:b/>
        </w:rPr>
      </w:pPr>
      <w:r w:rsidRPr="00B211D5">
        <w:rPr>
          <w:rFonts w:ascii="Candara" w:hAnsi="Candara"/>
          <w:b/>
        </w:rPr>
        <w:t>Rating time based risk</w:t>
      </w:r>
    </w:p>
    <w:p w14:paraId="33CAACF3" w14:textId="77777777" w:rsidR="009B0617" w:rsidRPr="00B211D5" w:rsidRDefault="009B0617" w:rsidP="009B0617">
      <w:pPr>
        <w:spacing w:after="60"/>
        <w:rPr>
          <w:rFonts w:ascii="Candara" w:hAnsi="Candara"/>
        </w:rPr>
      </w:pPr>
      <w:r w:rsidRPr="00B211D5">
        <w:rPr>
          <w:rFonts w:ascii="Candara" w:hAnsi="Candara"/>
        </w:rPr>
        <w:t>Two indices are being used to quantify bushfire risk associated with the “time” of year:</w:t>
      </w:r>
    </w:p>
    <w:p w14:paraId="0159B34F"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the Forest Fire Danger Index (FFDI); and</w:t>
      </w:r>
    </w:p>
    <w:p w14:paraId="694086AF"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the Grass Fire Danger Index (GFDI).</w:t>
      </w:r>
    </w:p>
    <w:p w14:paraId="6B7BCF20" w14:textId="77777777" w:rsidR="009B0617" w:rsidRPr="00B211D5" w:rsidRDefault="009B0617" w:rsidP="009B0617">
      <w:pPr>
        <w:rPr>
          <w:rFonts w:ascii="Candara" w:hAnsi="Candara"/>
        </w:rPr>
      </w:pPr>
      <w:r w:rsidRPr="00B211D5">
        <w:rPr>
          <w:rFonts w:ascii="Candara" w:hAnsi="Candara"/>
        </w:rPr>
        <w:t>The BOM provides the CFA with fire danger index forecasts based on the McArthur Mk V Forest and modified CSIRO Mk IV grassland fire danger meters. Although the CFA consider other factors in their determination of the Fire Danger Ratings, these forecasts are the primary input.</w:t>
      </w:r>
    </w:p>
    <w:p w14:paraId="07C5E4FB" w14:textId="31AFA65A" w:rsidR="009B0617" w:rsidRPr="00B211D5" w:rsidRDefault="009B0617" w:rsidP="009B0617">
      <w:pPr>
        <w:spacing w:after="60"/>
        <w:ind w:right="-397"/>
        <w:rPr>
          <w:rFonts w:ascii="Candara" w:hAnsi="Candara"/>
        </w:rPr>
      </w:pPr>
      <w:r w:rsidRPr="00B211D5">
        <w:rPr>
          <w:rFonts w:ascii="Candara" w:hAnsi="Candara"/>
        </w:rPr>
        <w:t>The weightings for temporal risk under th</w:t>
      </w:r>
      <w:r w:rsidR="002E5B68">
        <w:rPr>
          <w:rFonts w:ascii="Candara" w:hAnsi="Candara"/>
        </w:rPr>
        <w:t>e f-factor are based on the FFDI</w:t>
      </w:r>
      <w:r w:rsidRPr="00B211D5">
        <w:rPr>
          <w:rFonts w:ascii="Candara" w:hAnsi="Candara"/>
        </w:rPr>
        <w:t xml:space="preserve"> and GFDI in combination, with:</w:t>
      </w:r>
    </w:p>
    <w:p w14:paraId="4DEE294E"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threshold values for each category of time based risk identified;</w:t>
      </w:r>
    </w:p>
    <w:p w14:paraId="44B3710C"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a single measure calculated for each category, based on a combination of FFDI and GFDI;</w:t>
      </w:r>
    </w:p>
    <w:p w14:paraId="3304BFCA"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a baseline category for time base risk defined (the “Very High” category); and</w:t>
      </w:r>
    </w:p>
    <w:p w14:paraId="583E6779"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a weighting calculated for each category relative to the baseline category.</w:t>
      </w:r>
    </w:p>
    <w:p w14:paraId="6D14648C" w14:textId="77777777" w:rsidR="009B0617" w:rsidRPr="00B211D5" w:rsidRDefault="009B0617" w:rsidP="009B0617">
      <w:pPr>
        <w:rPr>
          <w:rFonts w:ascii="Candara" w:hAnsi="Candara"/>
        </w:rPr>
      </w:pPr>
      <w:r w:rsidRPr="00B211D5">
        <w:rPr>
          <w:rFonts w:ascii="Candara" w:hAnsi="Candara"/>
        </w:rPr>
        <w:t>These steps yield the following weightings for the time dimension of f-factor risk.</w:t>
      </w:r>
    </w:p>
    <w:p w14:paraId="426235A9" w14:textId="77777777" w:rsidR="009B0617" w:rsidRPr="00B211D5" w:rsidRDefault="009B0617" w:rsidP="009B0617">
      <w:pPr>
        <w:spacing w:before="120" w:after="60" w:line="240" w:lineRule="auto"/>
        <w:jc w:val="center"/>
        <w:rPr>
          <w:rFonts w:ascii="Candara" w:eastAsia="Calibri" w:hAnsi="Candara" w:cs="Times New Roman"/>
          <w:color w:val="000000"/>
          <w:sz w:val="20"/>
          <w:lang w:eastAsia="en-AU"/>
        </w:rPr>
      </w:pPr>
      <w:r w:rsidRPr="00B211D5">
        <w:rPr>
          <w:rFonts w:ascii="Candara" w:eastAsia="Calibri" w:hAnsi="Candara" w:cs="Times New Roman"/>
          <w:noProof/>
          <w:color w:val="000000"/>
          <w:sz w:val="20"/>
          <w:lang w:eastAsia="en-AU"/>
        </w:rPr>
        <w:drawing>
          <wp:inline distT="0" distB="0" distL="0" distR="0" wp14:anchorId="33F8C4C9" wp14:editId="69A21195">
            <wp:extent cx="2380615" cy="2061845"/>
            <wp:effectExtent l="0" t="0" r="63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0615" cy="2061845"/>
                    </a:xfrm>
                    <a:prstGeom prst="rect">
                      <a:avLst/>
                    </a:prstGeom>
                    <a:noFill/>
                    <a:ln>
                      <a:noFill/>
                    </a:ln>
                  </pic:spPr>
                </pic:pic>
              </a:graphicData>
            </a:graphic>
          </wp:inline>
        </w:drawing>
      </w:r>
    </w:p>
    <w:p w14:paraId="4CB17653" w14:textId="77777777" w:rsidR="009B0617" w:rsidRPr="00B211D5" w:rsidRDefault="009B0617" w:rsidP="009B0617">
      <w:pPr>
        <w:spacing w:before="200"/>
        <w:rPr>
          <w:rFonts w:ascii="Candara" w:hAnsi="Candara"/>
        </w:rPr>
      </w:pPr>
      <w:r w:rsidRPr="00B211D5">
        <w:rPr>
          <w:rFonts w:ascii="Candara" w:hAnsi="Candara"/>
        </w:rPr>
        <w:t>The figure overleaf illustrates the steps used in the calculation that led to these weightings</w:t>
      </w:r>
      <w:r w:rsidRPr="00B211D5">
        <w:rPr>
          <w:rFonts w:ascii="Candara" w:hAnsi="Candara"/>
        </w:rPr>
        <w:br w:type="page"/>
      </w:r>
    </w:p>
    <w:p w14:paraId="0FD4D693" w14:textId="590614A9" w:rsidR="00CA4C17" w:rsidRPr="008519EB" w:rsidRDefault="00CA4C17"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lastRenderedPageBreak/>
        <w:t>Figure A2.9: Steps used to calculate time risk weightings</w:t>
      </w:r>
    </w:p>
    <w:p w14:paraId="7BFF122C" w14:textId="77777777" w:rsidR="009B0617" w:rsidRPr="00B211D5" w:rsidRDefault="009B0617" w:rsidP="009B0617">
      <w:pPr>
        <w:rPr>
          <w:rFonts w:ascii="Candara" w:hAnsi="Candara"/>
        </w:rPr>
      </w:pPr>
      <w:r w:rsidRPr="00B211D5">
        <w:rPr>
          <w:rFonts w:ascii="Candara" w:hAnsi="Candara"/>
          <w:noProof/>
          <w:lang w:eastAsia="en-AU"/>
        </w:rPr>
        <w:drawing>
          <wp:inline distT="0" distB="0" distL="0" distR="0" wp14:anchorId="098974AC" wp14:editId="794DA167">
            <wp:extent cx="5731510" cy="7831424"/>
            <wp:effectExtent l="0" t="0" r="254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7831424"/>
                    </a:xfrm>
                    <a:prstGeom prst="rect">
                      <a:avLst/>
                    </a:prstGeom>
                    <a:noFill/>
                    <a:ln>
                      <a:noFill/>
                    </a:ln>
                  </pic:spPr>
                </pic:pic>
              </a:graphicData>
            </a:graphic>
          </wp:inline>
        </w:drawing>
      </w:r>
    </w:p>
    <w:p w14:paraId="036918AD" w14:textId="77777777" w:rsidR="009B0617" w:rsidRPr="00B211D5" w:rsidRDefault="009B0617" w:rsidP="009B0617">
      <w:pPr>
        <w:rPr>
          <w:rFonts w:ascii="Candara" w:hAnsi="Candara"/>
        </w:rPr>
      </w:pPr>
      <w:r w:rsidRPr="00B211D5">
        <w:rPr>
          <w:rFonts w:ascii="Candara" w:hAnsi="Candara"/>
        </w:rPr>
        <w:br w:type="page"/>
      </w:r>
    </w:p>
    <w:p w14:paraId="71E44D88" w14:textId="34A5E2DD" w:rsidR="009B0617" w:rsidRPr="00B022BB" w:rsidRDefault="00B022BB" w:rsidP="00DF4694">
      <w:pPr>
        <w:spacing w:after="120"/>
        <w:rPr>
          <w:rFonts w:ascii="Candara" w:hAnsi="Candara"/>
          <w:b/>
          <w:sz w:val="28"/>
          <w:szCs w:val="28"/>
        </w:rPr>
      </w:pPr>
      <w:r>
        <w:rPr>
          <w:rFonts w:ascii="Candara" w:hAnsi="Candara"/>
          <w:b/>
          <w:sz w:val="28"/>
          <w:szCs w:val="28"/>
        </w:rPr>
        <w:lastRenderedPageBreak/>
        <w:t xml:space="preserve">B. </w:t>
      </w:r>
      <w:r w:rsidR="009B0617" w:rsidRPr="00B022BB">
        <w:rPr>
          <w:rFonts w:ascii="Candara" w:hAnsi="Candara"/>
          <w:b/>
          <w:sz w:val="28"/>
          <w:szCs w:val="28"/>
        </w:rPr>
        <w:t>Calculating an IRU baseline</w:t>
      </w:r>
    </w:p>
    <w:p w14:paraId="5E7F4C72" w14:textId="77777777" w:rsidR="009B0617" w:rsidRPr="00B211D5" w:rsidRDefault="009B0617" w:rsidP="009B0617">
      <w:pPr>
        <w:rPr>
          <w:rFonts w:ascii="Candara" w:hAnsi="Candara"/>
        </w:rPr>
      </w:pPr>
      <w:r w:rsidRPr="00B211D5">
        <w:rPr>
          <w:rFonts w:ascii="Candara" w:hAnsi="Candara"/>
        </w:rPr>
        <w:t>The preceding section described the inputs for calculating a weighted measure of risk associated with an ignition on a powerline.</w:t>
      </w:r>
    </w:p>
    <w:p w14:paraId="54A49CC9" w14:textId="77777777" w:rsidR="009B0617" w:rsidRDefault="009B0617" w:rsidP="009B0617">
      <w:pPr>
        <w:rPr>
          <w:rFonts w:ascii="Candara" w:hAnsi="Candara"/>
        </w:rPr>
      </w:pPr>
      <w:r w:rsidRPr="00B211D5">
        <w:rPr>
          <w:rFonts w:ascii="Candara" w:hAnsi="Candara"/>
        </w:rPr>
        <w:t>From 1 July 2016, each ignition that occurs on a powerline will be assigned a value expressed in Ignition Risk Units (IRU). The IRU value will combine the weightings for geographic and time based risk, as illustrated below.</w:t>
      </w:r>
    </w:p>
    <w:p w14:paraId="59538324" w14:textId="0FAF9D2A" w:rsidR="00CA4C17" w:rsidRPr="00CA4C17" w:rsidRDefault="0043728A"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A2.10</w:t>
      </w:r>
      <w:r w:rsidR="00CA4C17">
        <w:rPr>
          <w:rStyle w:val="Heading6Char"/>
        </w:rPr>
        <w:t xml:space="preserve">: IRU value from combined geography and time weightings </w:t>
      </w:r>
    </w:p>
    <w:p w14:paraId="4A1FB006" w14:textId="77777777" w:rsidR="009B0617" w:rsidRPr="00B211D5" w:rsidRDefault="009B0617" w:rsidP="009B0617">
      <w:pPr>
        <w:jc w:val="center"/>
        <w:rPr>
          <w:rFonts w:ascii="Candara" w:hAnsi="Candara"/>
        </w:rPr>
      </w:pPr>
      <w:r w:rsidRPr="00B211D5">
        <w:rPr>
          <w:rFonts w:ascii="Candara" w:hAnsi="Candara"/>
          <w:noProof/>
          <w:lang w:eastAsia="en-AU"/>
        </w:rPr>
        <w:drawing>
          <wp:inline distT="0" distB="0" distL="0" distR="0" wp14:anchorId="3235F217" wp14:editId="33F08F30">
            <wp:extent cx="3356141" cy="241200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6141" cy="2412000"/>
                    </a:xfrm>
                    <a:prstGeom prst="rect">
                      <a:avLst/>
                    </a:prstGeom>
                    <a:noFill/>
                    <a:ln>
                      <a:noFill/>
                    </a:ln>
                  </pic:spPr>
                </pic:pic>
              </a:graphicData>
            </a:graphic>
          </wp:inline>
        </w:drawing>
      </w:r>
    </w:p>
    <w:p w14:paraId="3CB0AA53" w14:textId="77777777" w:rsidR="009B0617" w:rsidRPr="00B211D5" w:rsidRDefault="009B0617" w:rsidP="009B0617">
      <w:pPr>
        <w:rPr>
          <w:rFonts w:ascii="Candara" w:hAnsi="Candara"/>
        </w:rPr>
      </w:pPr>
      <w:r w:rsidRPr="00B211D5">
        <w:rPr>
          <w:rFonts w:ascii="Candara" w:hAnsi="Candara"/>
        </w:rPr>
        <w:t>Under the revised f-factor, the IRU value of individual ignitions can range from 0.02 (0.2 x 0.1) to 99.0 (19.8 x 5.0).</w:t>
      </w:r>
    </w:p>
    <w:p w14:paraId="60830B51" w14:textId="77777777" w:rsidR="009B0617" w:rsidRPr="00B211D5" w:rsidRDefault="009B0617" w:rsidP="009B0617">
      <w:pPr>
        <w:rPr>
          <w:rFonts w:ascii="Candara" w:hAnsi="Candara"/>
        </w:rPr>
      </w:pPr>
      <w:r w:rsidRPr="00B211D5">
        <w:rPr>
          <w:rFonts w:ascii="Candara" w:hAnsi="Candara"/>
        </w:rPr>
        <w:t xml:space="preserve">Future ignition events will be evaluated against an IRU baseline, developed on the basis of historical powerline ignition events. </w:t>
      </w:r>
    </w:p>
    <w:p w14:paraId="1E56021D" w14:textId="19C6B51D" w:rsidR="009B0617" w:rsidRPr="00B211D5" w:rsidRDefault="009B0617" w:rsidP="009B0617">
      <w:pPr>
        <w:rPr>
          <w:rFonts w:ascii="Candara" w:hAnsi="Candara"/>
        </w:rPr>
      </w:pPr>
      <w:r w:rsidRPr="00B211D5">
        <w:rPr>
          <w:rFonts w:ascii="Candara" w:hAnsi="Candara"/>
        </w:rPr>
        <w:t xml:space="preserve">Over the calendar year period from 2012 to 2014, the five Victorian electricity DBs reported the details of </w:t>
      </w:r>
      <w:r w:rsidR="00DF4694">
        <w:rPr>
          <w:rFonts w:ascii="Candara" w:hAnsi="Candara"/>
        </w:rPr>
        <w:t>3,171</w:t>
      </w:r>
      <w:r w:rsidRPr="00B211D5">
        <w:rPr>
          <w:rFonts w:ascii="Candara" w:hAnsi="Candara"/>
        </w:rPr>
        <w:t xml:space="preserve"> ignitions to the AER.</w:t>
      </w:r>
    </w:p>
    <w:p w14:paraId="649BC449" w14:textId="77777777" w:rsidR="009B0617" w:rsidRPr="00B211D5" w:rsidRDefault="009B0617" w:rsidP="00DF4694">
      <w:pPr>
        <w:spacing w:after="0"/>
        <w:rPr>
          <w:rFonts w:ascii="Candara" w:hAnsi="Candara"/>
        </w:rPr>
      </w:pPr>
      <w:r w:rsidRPr="00B211D5">
        <w:rPr>
          <w:rFonts w:ascii="Candara" w:hAnsi="Candara"/>
        </w:rPr>
        <w:t>An IRU score has been calculated for each ignition using data referencing:</w:t>
      </w:r>
    </w:p>
    <w:p w14:paraId="46C615BC"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the date of the ignition; and</w:t>
      </w:r>
    </w:p>
    <w:p w14:paraId="383CB8BF" w14:textId="77777777" w:rsidR="009B0617" w:rsidRPr="00B211D5" w:rsidRDefault="009B0617" w:rsidP="00BB41A4">
      <w:pPr>
        <w:numPr>
          <w:ilvl w:val="0"/>
          <w:numId w:val="30"/>
        </w:numPr>
        <w:spacing w:after="120"/>
        <w:ind w:left="714" w:hanging="357"/>
        <w:rPr>
          <w:rFonts w:ascii="Candara" w:hAnsi="Candara"/>
        </w:rPr>
      </w:pPr>
      <w:r w:rsidRPr="00B211D5">
        <w:rPr>
          <w:rFonts w:ascii="Candara" w:hAnsi="Candara"/>
        </w:rPr>
        <w:t>the location of the ignition.</w:t>
      </w:r>
    </w:p>
    <w:p w14:paraId="0C883D00" w14:textId="329597C6" w:rsidR="009B0617" w:rsidRPr="00B211D5" w:rsidRDefault="009B0617" w:rsidP="009B0617">
      <w:pPr>
        <w:rPr>
          <w:rFonts w:ascii="Candara" w:hAnsi="Candara"/>
        </w:rPr>
      </w:pPr>
      <w:r w:rsidRPr="00B211D5">
        <w:rPr>
          <w:rFonts w:ascii="Candara" w:hAnsi="Candara"/>
        </w:rPr>
        <w:t xml:space="preserve">As a result of this calculation, the </w:t>
      </w:r>
      <w:r w:rsidR="00DF4694">
        <w:rPr>
          <w:rFonts w:ascii="Candara" w:hAnsi="Candara"/>
        </w:rPr>
        <w:t>3,171</w:t>
      </w:r>
      <w:r w:rsidRPr="00B211D5">
        <w:rPr>
          <w:rFonts w:ascii="Candara" w:hAnsi="Candara"/>
        </w:rPr>
        <w:t xml:space="preserve"> raw ignitions from 2012 to 201</w:t>
      </w:r>
      <w:r w:rsidR="00DF4694">
        <w:rPr>
          <w:rFonts w:ascii="Candara" w:hAnsi="Candara"/>
        </w:rPr>
        <w:t>5</w:t>
      </w:r>
      <w:r w:rsidRPr="00B211D5">
        <w:rPr>
          <w:rFonts w:ascii="Candara" w:hAnsi="Candara"/>
        </w:rPr>
        <w:t xml:space="preserve"> equate to 2,</w:t>
      </w:r>
      <w:r w:rsidR="00DF4694">
        <w:rPr>
          <w:rFonts w:ascii="Candara" w:hAnsi="Candara"/>
        </w:rPr>
        <w:t>993.5</w:t>
      </w:r>
      <w:r w:rsidRPr="00B211D5">
        <w:rPr>
          <w:rFonts w:ascii="Candara" w:hAnsi="Candara"/>
        </w:rPr>
        <w:t xml:space="preserve"> IRUs.</w:t>
      </w:r>
    </w:p>
    <w:p w14:paraId="6198D2A9" w14:textId="77777777" w:rsidR="009B0617" w:rsidRPr="00B211D5" w:rsidRDefault="009B0617" w:rsidP="009B0617">
      <w:pPr>
        <w:rPr>
          <w:rFonts w:ascii="Candara" w:hAnsi="Candara"/>
        </w:rPr>
      </w:pPr>
      <w:r w:rsidRPr="00B211D5">
        <w:rPr>
          <w:rFonts w:ascii="Candara" w:hAnsi="Candara"/>
        </w:rPr>
        <w:t>The IRU based interpretation of the historical ignition records has been used to set an IRU Baseline for each DB.</w:t>
      </w:r>
    </w:p>
    <w:p w14:paraId="3ED676EF" w14:textId="77777777" w:rsidR="009B0617" w:rsidRPr="00B211D5" w:rsidRDefault="009B0617" w:rsidP="009B0617">
      <w:pPr>
        <w:pStyle w:val="BodyText"/>
        <w:rPr>
          <w:rFonts w:ascii="Candara" w:hAnsi="Candara"/>
          <w:b/>
        </w:rPr>
      </w:pPr>
      <w:r w:rsidRPr="00B211D5">
        <w:rPr>
          <w:rFonts w:ascii="Candara" w:hAnsi="Candara"/>
          <w:b/>
        </w:rPr>
        <w:t>Approach to IRU coding</w:t>
      </w:r>
    </w:p>
    <w:p w14:paraId="449D8AFC" w14:textId="77777777" w:rsidR="009B0617" w:rsidRPr="00B211D5" w:rsidRDefault="009B0617" w:rsidP="00DF4694">
      <w:pPr>
        <w:spacing w:after="0"/>
        <w:rPr>
          <w:rFonts w:ascii="Candara" w:hAnsi="Candara"/>
        </w:rPr>
      </w:pPr>
      <w:r w:rsidRPr="00B211D5">
        <w:rPr>
          <w:rFonts w:ascii="Candara" w:hAnsi="Candara"/>
        </w:rPr>
        <w:t>To ensure the highest possible level of precision in calculating an IRU score for an historical ignition, it was necessary to define:</w:t>
      </w:r>
    </w:p>
    <w:p w14:paraId="6AE9CF6B"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the exact date of the ignition; and</w:t>
      </w:r>
    </w:p>
    <w:p w14:paraId="26C72EF6" w14:textId="77777777" w:rsidR="009B0617" w:rsidRPr="00B211D5" w:rsidRDefault="009B0617" w:rsidP="00BB41A4">
      <w:pPr>
        <w:numPr>
          <w:ilvl w:val="0"/>
          <w:numId w:val="30"/>
        </w:numPr>
        <w:spacing w:after="120"/>
        <w:ind w:left="714" w:right="-284" w:hanging="357"/>
        <w:rPr>
          <w:rFonts w:ascii="Candara" w:hAnsi="Candara"/>
        </w:rPr>
      </w:pPr>
      <w:r w:rsidRPr="00B211D5">
        <w:rPr>
          <w:rFonts w:ascii="Candara" w:hAnsi="Candara"/>
        </w:rPr>
        <w:t>the precise location of the ignition (ideally represented as latitude/longitude coordinates).</w:t>
      </w:r>
    </w:p>
    <w:p w14:paraId="42616D35" w14:textId="2E9E7198" w:rsidR="009B0617" w:rsidRPr="00B211D5" w:rsidRDefault="009B0617" w:rsidP="009B0617">
      <w:pPr>
        <w:rPr>
          <w:rFonts w:ascii="Candara" w:hAnsi="Candara"/>
        </w:rPr>
      </w:pPr>
      <w:r w:rsidRPr="00B211D5">
        <w:rPr>
          <w:rFonts w:ascii="Candara" w:hAnsi="Candara"/>
        </w:rPr>
        <w:t xml:space="preserve">For the ignition data reported to the AER, a date was specified for 100% of the </w:t>
      </w:r>
      <w:r w:rsidR="00DF4694">
        <w:rPr>
          <w:rFonts w:ascii="Candara" w:hAnsi="Candara"/>
        </w:rPr>
        <w:t>3,171</w:t>
      </w:r>
      <w:r w:rsidRPr="00B211D5">
        <w:rPr>
          <w:rFonts w:ascii="Candara" w:hAnsi="Candara"/>
        </w:rPr>
        <w:t xml:space="preserve"> records.</w:t>
      </w:r>
    </w:p>
    <w:p w14:paraId="2EA75BED" w14:textId="77777777" w:rsidR="009B0617" w:rsidRPr="00B211D5" w:rsidRDefault="009B0617" w:rsidP="009B0617">
      <w:pPr>
        <w:rPr>
          <w:rFonts w:ascii="Candara" w:hAnsi="Candara"/>
        </w:rPr>
      </w:pPr>
      <w:r w:rsidRPr="00B211D5">
        <w:rPr>
          <w:rFonts w:ascii="Candara" w:hAnsi="Candara"/>
        </w:rPr>
        <w:lastRenderedPageBreak/>
        <w:t>As the current f-factor does not require it, none of the records reported latitude/longitude coordinates. The data preparation phase of the analysis therefore involved the identification of representative coordinates for each ignition, in order to achieve the high degree of precision sought.</w:t>
      </w:r>
    </w:p>
    <w:p w14:paraId="657E6C7C" w14:textId="77777777" w:rsidR="009B0617" w:rsidRPr="00B211D5" w:rsidRDefault="009B0617" w:rsidP="009B0617">
      <w:pPr>
        <w:rPr>
          <w:rFonts w:ascii="Candara" w:hAnsi="Candara"/>
        </w:rPr>
      </w:pPr>
      <w:r w:rsidRPr="00B211D5">
        <w:rPr>
          <w:rFonts w:ascii="Candara" w:hAnsi="Candara"/>
        </w:rPr>
        <w:t>This task of geo-coding (providing coordinates) ignition records was undertaken using the best locational information available, which varied significantly from DB to DB and from record to record.</w:t>
      </w:r>
    </w:p>
    <w:p w14:paraId="3E14C5A3" w14:textId="77777777" w:rsidR="009B0617" w:rsidRPr="00B211D5" w:rsidRDefault="009B0617" w:rsidP="009B0617">
      <w:pPr>
        <w:rPr>
          <w:rFonts w:ascii="Candara" w:hAnsi="Candara"/>
        </w:rPr>
      </w:pPr>
      <w:r w:rsidRPr="00B211D5">
        <w:rPr>
          <w:rFonts w:ascii="Candara" w:hAnsi="Candara"/>
        </w:rPr>
        <w:t>An estimate of the IRU baseline for each DB was calculated and presented to DBs in May 2016, along with a copy of the data used to make the calculations. Through this process of engagement with industry and state and national regulators, the Government has endeavoured to explain the forthcoming changes to the f-factor and provide a mechanism for testing and improving (where possible) the accuracy of IRU calculations.</w:t>
      </w:r>
    </w:p>
    <w:p w14:paraId="3DEEC9F8" w14:textId="4AB6281B" w:rsidR="009B0617" w:rsidRPr="00B211D5" w:rsidRDefault="009B0617" w:rsidP="009B0617">
      <w:pPr>
        <w:rPr>
          <w:rFonts w:ascii="Candara" w:hAnsi="Candara"/>
        </w:rPr>
      </w:pPr>
      <w:r w:rsidRPr="00B211D5">
        <w:rPr>
          <w:rFonts w:ascii="Candara" w:hAnsi="Candara"/>
        </w:rPr>
        <w:t xml:space="preserve">During June 2016, the DBs provided additional locational data for each historical ignition for the 2012 to 2014 period in addition to fully geo-coded ignition data for the 2015 calendar year, which was released by the AER in late April 2016. This updated data </w:t>
      </w:r>
      <w:r w:rsidR="0021039C">
        <w:rPr>
          <w:rFonts w:ascii="Candara" w:hAnsi="Candara"/>
        </w:rPr>
        <w:t>has</w:t>
      </w:r>
      <w:r w:rsidRPr="00B211D5">
        <w:rPr>
          <w:rFonts w:ascii="Candara" w:hAnsi="Candara"/>
        </w:rPr>
        <w:t xml:space="preserve"> be</w:t>
      </w:r>
      <w:r w:rsidR="0021039C">
        <w:rPr>
          <w:rFonts w:ascii="Candara" w:hAnsi="Candara"/>
        </w:rPr>
        <w:t>en</w:t>
      </w:r>
      <w:r w:rsidRPr="00B211D5">
        <w:rPr>
          <w:rFonts w:ascii="Candara" w:hAnsi="Candara"/>
        </w:rPr>
        <w:t xml:space="preserve"> incorporated in the final version of the Regulatory Impact Statement.</w:t>
      </w:r>
    </w:p>
    <w:p w14:paraId="0CC6FB13" w14:textId="77777777" w:rsidR="009B0617" w:rsidRPr="00B211D5" w:rsidRDefault="009B0617" w:rsidP="00DF4694">
      <w:pPr>
        <w:pStyle w:val="BodyText"/>
        <w:spacing w:after="60"/>
        <w:rPr>
          <w:rFonts w:ascii="Candara" w:hAnsi="Candara"/>
          <w:b/>
        </w:rPr>
      </w:pPr>
      <w:r w:rsidRPr="00B211D5">
        <w:rPr>
          <w:rFonts w:ascii="Candara" w:hAnsi="Candara"/>
          <w:b/>
        </w:rPr>
        <w:t>Intended impact of an IRU based scheme</w:t>
      </w:r>
    </w:p>
    <w:p w14:paraId="489AC26C" w14:textId="77777777" w:rsidR="009B0617" w:rsidRPr="00B211D5" w:rsidRDefault="009B0617" w:rsidP="009B0617">
      <w:pPr>
        <w:rPr>
          <w:rFonts w:ascii="Candara" w:hAnsi="Candara"/>
        </w:rPr>
      </w:pPr>
      <w:r w:rsidRPr="00B211D5">
        <w:rPr>
          <w:rFonts w:ascii="Candara" w:hAnsi="Candara"/>
        </w:rPr>
        <w:t>The revised f-factor scheme is designed to better focus the bushfire safety planning of DBs on those days and places that pose the greatest bushfire risk.</w:t>
      </w:r>
    </w:p>
    <w:p w14:paraId="74217DC0" w14:textId="77777777" w:rsidR="009B0617" w:rsidRPr="00B211D5" w:rsidRDefault="009B0617" w:rsidP="009B0617">
      <w:pPr>
        <w:rPr>
          <w:rFonts w:ascii="Candara" w:hAnsi="Candara"/>
        </w:rPr>
      </w:pPr>
      <w:r w:rsidRPr="00B211D5">
        <w:rPr>
          <w:rFonts w:ascii="Candara" w:hAnsi="Candara"/>
        </w:rPr>
        <w:t>From an f-factor perspective, heightened risk is reflected in the IRU vale of individual ignitions.</w:t>
      </w:r>
    </w:p>
    <w:p w14:paraId="43E22AC2" w14:textId="611AE23E" w:rsidR="009B0617" w:rsidRPr="00B211D5" w:rsidRDefault="009B0617" w:rsidP="009B0617">
      <w:pPr>
        <w:rPr>
          <w:rFonts w:ascii="Candara" w:hAnsi="Candara"/>
        </w:rPr>
      </w:pPr>
      <w:r w:rsidRPr="00B211D5">
        <w:rPr>
          <w:rFonts w:ascii="Candara" w:hAnsi="Candara"/>
        </w:rPr>
        <w:t xml:space="preserve">It is observed that </w:t>
      </w:r>
      <w:r w:rsidR="0021039C">
        <w:rPr>
          <w:rFonts w:ascii="Candara" w:hAnsi="Candara"/>
        </w:rPr>
        <w:t>83.5</w:t>
      </w:r>
      <w:r w:rsidRPr="00B211D5">
        <w:rPr>
          <w:rFonts w:ascii="Candara" w:hAnsi="Candara"/>
        </w:rPr>
        <w:t>% of historical fire starts (2012 to 201</w:t>
      </w:r>
      <w:r w:rsidR="0021039C">
        <w:rPr>
          <w:rFonts w:ascii="Candara" w:hAnsi="Candara"/>
        </w:rPr>
        <w:t>5</w:t>
      </w:r>
      <w:r w:rsidRPr="00B211D5">
        <w:rPr>
          <w:rFonts w:ascii="Candara" w:hAnsi="Candara"/>
        </w:rPr>
        <w:t xml:space="preserve">) have an IRU score of </w:t>
      </w:r>
      <w:r w:rsidR="0021039C">
        <w:rPr>
          <w:rFonts w:ascii="Candara" w:hAnsi="Candara"/>
        </w:rPr>
        <w:t xml:space="preserve">1 or </w:t>
      </w:r>
      <w:r w:rsidRPr="00B211D5">
        <w:rPr>
          <w:rFonts w:ascii="Candara" w:hAnsi="Candara"/>
        </w:rPr>
        <w:t>less.</w:t>
      </w:r>
    </w:p>
    <w:p w14:paraId="61A439EE" w14:textId="534D713A" w:rsidR="00CA4C17" w:rsidRPr="00CA4C17" w:rsidRDefault="0043728A" w:rsidP="00CA4C17">
      <w:pPr>
        <w:keepNext/>
        <w:keepLines/>
        <w:tabs>
          <w:tab w:val="left" w:pos="1701"/>
        </w:tabs>
        <w:spacing w:before="120" w:after="120" w:line="240" w:lineRule="auto"/>
        <w:ind w:left="1247" w:right="-170" w:hanging="1134"/>
        <w:rPr>
          <w:rStyle w:val="Heading6Char"/>
          <w:i w:val="0"/>
        </w:rPr>
      </w:pPr>
      <w:r>
        <w:rPr>
          <w:rStyle w:val="Heading6Char"/>
        </w:rPr>
        <w:t>Figure A2.11</w:t>
      </w:r>
      <w:r w:rsidR="00CA4C17">
        <w:rPr>
          <w:rStyle w:val="Heading6Char"/>
        </w:rPr>
        <w:t xml:space="preserve">: </w:t>
      </w:r>
      <w:r w:rsidR="00CA4C17" w:rsidRPr="00CA4C17">
        <w:rPr>
          <w:rStyle w:val="Heading6Char"/>
          <w:i w:val="0"/>
        </w:rPr>
        <w:t>Percentage distribution of IRU scores for fire starts on powerlines (2012</w:t>
      </w:r>
      <w:r w:rsidR="00DF4694">
        <w:rPr>
          <w:rStyle w:val="Heading6Char"/>
          <w:i w:val="0"/>
        </w:rPr>
        <w:t xml:space="preserve"> to</w:t>
      </w:r>
      <w:r w:rsidR="00CA4C17" w:rsidRPr="00CA4C17">
        <w:rPr>
          <w:rStyle w:val="Heading6Char"/>
          <w:i w:val="0"/>
        </w:rPr>
        <w:t xml:space="preserve"> 201</w:t>
      </w:r>
      <w:r w:rsidR="00DF4694">
        <w:rPr>
          <w:rStyle w:val="Heading6Char"/>
          <w:i w:val="0"/>
        </w:rPr>
        <w:t>5</w:t>
      </w:r>
      <w:r w:rsidR="00CA4C17" w:rsidRPr="00CA4C17">
        <w:rPr>
          <w:rStyle w:val="Heading6Char"/>
          <w:i w:val="0"/>
        </w:rPr>
        <w:t>)</w:t>
      </w:r>
    </w:p>
    <w:p w14:paraId="712A990B" w14:textId="6F1BE5DD" w:rsidR="00DF4694" w:rsidRDefault="00DF4694" w:rsidP="00DF4694">
      <w:pPr>
        <w:spacing w:before="120" w:after="60" w:line="240" w:lineRule="auto"/>
        <w:rPr>
          <w:rFonts w:ascii="Candara" w:hAnsi="Candara"/>
        </w:rPr>
      </w:pPr>
      <w:r w:rsidRPr="00B211D5">
        <w:rPr>
          <w:rFonts w:ascii="Candara" w:eastAsia="Calibri" w:hAnsi="Candara" w:cs="Times New Roman"/>
          <w:noProof/>
          <w:color w:val="000000"/>
          <w:sz w:val="20"/>
          <w:lang w:eastAsia="en-AU"/>
        </w:rPr>
        <mc:AlternateContent>
          <mc:Choice Requires="wps">
            <w:drawing>
              <wp:anchor distT="0" distB="0" distL="114300" distR="114300" simplePos="0" relativeHeight="251693056" behindDoc="0" locked="0" layoutInCell="1" allowOverlap="1" wp14:anchorId="1EDE1F20" wp14:editId="4DBB2FC3">
                <wp:simplePos x="0" y="0"/>
                <wp:positionH relativeFrom="column">
                  <wp:posOffset>1897811</wp:posOffset>
                </wp:positionH>
                <wp:positionV relativeFrom="paragraph">
                  <wp:posOffset>2908300</wp:posOffset>
                </wp:positionV>
                <wp:extent cx="1095555" cy="473710"/>
                <wp:effectExtent l="0" t="38100" r="47625" b="21590"/>
                <wp:wrapNone/>
                <wp:docPr id="188" name="Straight Arrow Connector 188"/>
                <wp:cNvGraphicFramePr/>
                <a:graphic xmlns:a="http://schemas.openxmlformats.org/drawingml/2006/main">
                  <a:graphicData uri="http://schemas.microsoft.com/office/word/2010/wordprocessingShape">
                    <wps:wsp>
                      <wps:cNvCnPr/>
                      <wps:spPr>
                        <a:xfrm flipV="1">
                          <a:off x="0" y="0"/>
                          <a:ext cx="1095555" cy="47371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8" o:spid="_x0000_s1026" type="#_x0000_t32" style="position:absolute;margin-left:149.45pt;margin-top:229pt;width:86.25pt;height:37.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" strokecolor="red">
                <v:stroke endarrow="block"/>
              </v:shape>
            </w:pict>
          </mc:Fallback>
        </mc:AlternateContent>
      </w:r>
      <w:r w:rsidRPr="00B211D5">
        <w:rPr>
          <w:rFonts w:ascii="Candara" w:eastAsia="Calibri" w:hAnsi="Candara" w:cs="Times New Roman"/>
          <w:noProof/>
          <w:color w:val="000000"/>
          <w:sz w:val="20"/>
          <w:lang w:eastAsia="en-AU"/>
        </w:rPr>
        <mc:AlternateContent>
          <mc:Choice Requires="wps">
            <w:drawing>
              <wp:anchor distT="0" distB="0" distL="114300" distR="114300" simplePos="0" relativeHeight="251692032" behindDoc="0" locked="0" layoutInCell="1" allowOverlap="1" wp14:anchorId="2991EABC" wp14:editId="462E63C4">
                <wp:simplePos x="0" y="0"/>
                <wp:positionH relativeFrom="column">
                  <wp:posOffset>2928249</wp:posOffset>
                </wp:positionH>
                <wp:positionV relativeFrom="paragraph">
                  <wp:posOffset>2301875</wp:posOffset>
                </wp:positionV>
                <wp:extent cx="1758950" cy="767715"/>
                <wp:effectExtent l="0" t="0" r="12700" b="13335"/>
                <wp:wrapNone/>
                <wp:docPr id="189" name="Oval 189"/>
                <wp:cNvGraphicFramePr/>
                <a:graphic xmlns:a="http://schemas.openxmlformats.org/drawingml/2006/main">
                  <a:graphicData uri="http://schemas.microsoft.com/office/word/2010/wordprocessingShape">
                    <wps:wsp>
                      <wps:cNvSpPr/>
                      <wps:spPr>
                        <a:xfrm>
                          <a:off x="0" y="0"/>
                          <a:ext cx="1758950" cy="7677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9" o:spid="_x0000_s1026" style="position:absolute;margin-left:230.55pt;margin-top:181.25pt;width:138.5pt;height:6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" filled="f" strokecolor="red" strokeweight="2pt"/>
            </w:pict>
          </mc:Fallback>
        </mc:AlternateContent>
      </w:r>
      <w:r w:rsidRPr="00B211D5">
        <w:rPr>
          <w:rFonts w:ascii="Candara" w:eastAsia="Calibri" w:hAnsi="Candara" w:cs="Times New Roman"/>
          <w:noProof/>
          <w:color w:val="000000"/>
          <w:sz w:val="20"/>
          <w:lang w:eastAsia="en-AU"/>
        </w:rPr>
        <mc:AlternateContent>
          <mc:Choice Requires="wps">
            <w:drawing>
              <wp:anchor distT="0" distB="0" distL="114300" distR="114300" simplePos="0" relativeHeight="251694080" behindDoc="0" locked="0" layoutInCell="1" allowOverlap="1" wp14:anchorId="7FCBDF71" wp14:editId="03233F9B">
                <wp:simplePos x="0" y="0"/>
                <wp:positionH relativeFrom="column">
                  <wp:posOffset>1544128</wp:posOffset>
                </wp:positionH>
                <wp:positionV relativeFrom="paragraph">
                  <wp:posOffset>2818442</wp:posOffset>
                </wp:positionV>
                <wp:extent cx="1388745" cy="223520"/>
                <wp:effectExtent l="0" t="0" r="0" b="5080"/>
                <wp:wrapNone/>
                <wp:docPr id="187" name="Text Box 187"/>
                <wp:cNvGraphicFramePr/>
                <a:graphic xmlns:a="http://schemas.openxmlformats.org/drawingml/2006/main">
                  <a:graphicData uri="http://schemas.microsoft.com/office/word/2010/wordprocessingShape">
                    <wps:wsp>
                      <wps:cNvSpPr txBox="1"/>
                      <wps:spPr>
                        <a:xfrm>
                          <a:off x="0" y="0"/>
                          <a:ext cx="1388745" cy="223520"/>
                        </a:xfrm>
                        <a:prstGeom prst="rect">
                          <a:avLst/>
                        </a:prstGeom>
                        <a:noFill/>
                        <a:ln w="6350">
                          <a:noFill/>
                        </a:ln>
                        <a:effectLst/>
                      </wps:spPr>
                      <wps:txbx>
                        <w:txbxContent>
                          <w:p w14:paraId="03894ABD" w14:textId="77777777" w:rsidR="007256B3" w:rsidRPr="00FD3231" w:rsidRDefault="007256B3" w:rsidP="00DF4694">
                            <w:pPr>
                              <w:spacing w:after="0" w:line="240" w:lineRule="auto"/>
                              <w:jc w:val="center"/>
                              <w:rPr>
                                <w:b/>
                                <w:color w:val="072F67"/>
                                <w:sz w:val="16"/>
                                <w:szCs w:val="16"/>
                              </w:rPr>
                            </w:pPr>
                            <w:r w:rsidRPr="00FD3231">
                              <w:rPr>
                                <w:b/>
                                <w:color w:val="072F67"/>
                                <w:sz w:val="16"/>
                                <w:szCs w:val="16"/>
                              </w:rPr>
                              <w:t>IRU Score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059" type="#_x0000_t202" style="position:absolute;margin-left:121.6pt;margin-top:221.9pt;width:109.35pt;height:17.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" filled="f" stroked="f" strokeweight=".5pt">
                <v:textbox inset=",0,,0">
                  <w:txbxContent>
                    <w:p w14:paraId="03894ABD" w14:textId="77777777" w:rsidR="007256B3" w:rsidRPr="00FD3231" w:rsidRDefault="007256B3" w:rsidP="00DF4694">
                      <w:pPr>
                        <w:spacing w:after="0" w:line="240" w:lineRule="auto"/>
                        <w:jc w:val="center"/>
                        <w:rPr>
                          <w:b/>
                          <w:color w:val="072F67"/>
                          <w:sz w:val="16"/>
                          <w:szCs w:val="16"/>
                        </w:rPr>
                      </w:pPr>
                      <w:r w:rsidRPr="00FD3231">
                        <w:rPr>
                          <w:b/>
                          <w:color w:val="072F67"/>
                          <w:sz w:val="16"/>
                          <w:szCs w:val="16"/>
                        </w:rPr>
                        <w:t>IRU Score</w:t>
                      </w:r>
                    </w:p>
                  </w:txbxContent>
                </v:textbox>
              </v:shape>
            </w:pict>
          </mc:Fallback>
        </mc:AlternateContent>
      </w:r>
      <w:r w:rsidRPr="00DF4694">
        <w:rPr>
          <w:noProof/>
          <w:lang w:eastAsia="en-AU"/>
        </w:rPr>
        <w:drawing>
          <wp:inline distT="0" distB="0" distL="0" distR="0" wp14:anchorId="4E31C7DA" wp14:editId="45DC0F7A">
            <wp:extent cx="4892564" cy="306000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2564" cy="3060000"/>
                    </a:xfrm>
                    <a:prstGeom prst="rect">
                      <a:avLst/>
                    </a:prstGeom>
                    <a:noFill/>
                    <a:ln>
                      <a:noFill/>
                    </a:ln>
                  </pic:spPr>
                </pic:pic>
              </a:graphicData>
            </a:graphic>
          </wp:inline>
        </w:drawing>
      </w:r>
    </w:p>
    <w:p w14:paraId="36F7A4E7" w14:textId="7298E87D" w:rsidR="009B0617" w:rsidRDefault="009B0617" w:rsidP="00DF4694">
      <w:pPr>
        <w:spacing w:before="120"/>
        <w:rPr>
          <w:rFonts w:ascii="Candara" w:hAnsi="Candara"/>
        </w:rPr>
      </w:pPr>
      <w:r w:rsidRPr="00B211D5">
        <w:rPr>
          <w:rFonts w:ascii="Candara" w:hAnsi="Candara"/>
        </w:rPr>
        <w:t xml:space="preserve">It is anticipated that DB activity will be largely focussed on preventing ignitions that have a low incidence, but pose the </w:t>
      </w:r>
      <w:r w:rsidRPr="00B211D5">
        <w:rPr>
          <w:rFonts w:ascii="Candara" w:hAnsi="Candara"/>
          <w:b/>
          <w:color w:val="17365D"/>
        </w:rPr>
        <w:t>greatest risk</w:t>
      </w:r>
      <w:r w:rsidRPr="00B211D5">
        <w:rPr>
          <w:rFonts w:ascii="Candara" w:hAnsi="Candara"/>
        </w:rPr>
        <w:t xml:space="preserve"> to the Victorian community.</w:t>
      </w:r>
    </w:p>
    <w:p w14:paraId="23EC0124" w14:textId="77777777" w:rsidR="00326522" w:rsidRPr="00B211D5" w:rsidRDefault="00326522" w:rsidP="009B0617">
      <w:pPr>
        <w:spacing w:before="200"/>
        <w:rPr>
          <w:rFonts w:ascii="Candara" w:hAnsi="Candara"/>
        </w:rPr>
      </w:pPr>
    </w:p>
    <w:p w14:paraId="557E0370" w14:textId="77777777" w:rsidR="009B0617" w:rsidRPr="00B211D5" w:rsidRDefault="009B0617" w:rsidP="009B0617">
      <w:pPr>
        <w:pStyle w:val="BodyText"/>
        <w:rPr>
          <w:rFonts w:ascii="Candara" w:hAnsi="Candara"/>
          <w:b/>
        </w:rPr>
      </w:pPr>
      <w:r w:rsidRPr="00B211D5">
        <w:rPr>
          <w:rFonts w:ascii="Candara" w:hAnsi="Candara"/>
          <w:b/>
        </w:rPr>
        <w:t>Analysis of geography</w:t>
      </w:r>
    </w:p>
    <w:p w14:paraId="5E56D181" w14:textId="4248C24C" w:rsidR="009B0617" w:rsidRPr="00B211D5" w:rsidRDefault="009B0617" w:rsidP="009B0617">
      <w:pPr>
        <w:rPr>
          <w:rFonts w:ascii="Candara" w:hAnsi="Candara"/>
        </w:rPr>
      </w:pPr>
      <w:r w:rsidRPr="00B211D5">
        <w:rPr>
          <w:rFonts w:ascii="Candara" w:hAnsi="Candara"/>
        </w:rPr>
        <w:t xml:space="preserve">About </w:t>
      </w:r>
      <w:r w:rsidRPr="00B211D5">
        <w:rPr>
          <w:rFonts w:ascii="Candara" w:hAnsi="Candara"/>
          <w:b/>
          <w:color w:val="17365D"/>
        </w:rPr>
        <w:t>one out of four ignitions (23.</w:t>
      </w:r>
      <w:r w:rsidR="003746F0">
        <w:rPr>
          <w:rFonts w:ascii="Candara" w:hAnsi="Candara"/>
          <w:b/>
          <w:color w:val="17365D"/>
        </w:rPr>
        <w:t>8</w:t>
      </w:r>
      <w:r w:rsidRPr="00B211D5">
        <w:rPr>
          <w:rFonts w:ascii="Candara" w:hAnsi="Candara"/>
          <w:b/>
          <w:color w:val="17365D"/>
        </w:rPr>
        <w:t>%)</w:t>
      </w:r>
      <w:r w:rsidRPr="00B211D5">
        <w:rPr>
          <w:rFonts w:ascii="Candara" w:hAnsi="Candara"/>
        </w:rPr>
        <w:t xml:space="preserve"> occurred in areas in which raised standards of powerline protection will be required under the proposed regulations (i.e. areas in which higher powerline construction standards will apply and/or heightened fault detection).</w:t>
      </w:r>
    </w:p>
    <w:p w14:paraId="43B01855" w14:textId="77594773" w:rsidR="009B0617" w:rsidRPr="00CA4C17" w:rsidRDefault="0043728A"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A2.12</w:t>
      </w:r>
      <w:r w:rsidR="00CA4C17">
        <w:rPr>
          <w:rStyle w:val="Heading6Char"/>
        </w:rPr>
        <w:t xml:space="preserve">: </w:t>
      </w:r>
      <w:r w:rsidR="009B0617" w:rsidRPr="00CA4C17">
        <w:rPr>
          <w:rStyle w:val="Heading6Char"/>
          <w:i w:val="0"/>
        </w:rPr>
        <w:t>Count of ignitions on powerlines by geography and by distribution business (2012</w:t>
      </w:r>
      <w:r w:rsidR="003746F0">
        <w:rPr>
          <w:rStyle w:val="Heading6Char"/>
          <w:i w:val="0"/>
        </w:rPr>
        <w:t> to</w:t>
      </w:r>
      <w:r w:rsidR="009B0617" w:rsidRPr="00CA4C17">
        <w:rPr>
          <w:rStyle w:val="Heading6Char"/>
          <w:i w:val="0"/>
        </w:rPr>
        <w:t xml:space="preserve"> 201</w:t>
      </w:r>
      <w:r w:rsidR="003746F0">
        <w:rPr>
          <w:rStyle w:val="Heading6Char"/>
          <w:i w:val="0"/>
        </w:rPr>
        <w:t>5</w:t>
      </w:r>
      <w:r w:rsidR="009B0617" w:rsidRPr="00CA4C17">
        <w:rPr>
          <w:rStyle w:val="Heading6Char"/>
          <w:i w:val="0"/>
        </w:rPr>
        <w:t>)</w:t>
      </w:r>
    </w:p>
    <w:tbl>
      <w:tblPr>
        <w:tblW w:w="4662" w:type="pct"/>
        <w:tblLook w:val="04A0" w:firstRow="1" w:lastRow="0" w:firstColumn="1" w:lastColumn="0" w:noHBand="0" w:noVBand="1"/>
      </w:tblPr>
      <w:tblGrid>
        <w:gridCol w:w="2150"/>
        <w:gridCol w:w="1305"/>
        <w:gridCol w:w="1291"/>
        <w:gridCol w:w="1291"/>
        <w:gridCol w:w="1291"/>
        <w:gridCol w:w="1289"/>
      </w:tblGrid>
      <w:tr w:rsidR="009B0617" w:rsidRPr="00B211D5" w14:paraId="6F344CFD" w14:textId="77777777" w:rsidTr="00CE08A3">
        <w:trPr>
          <w:trHeight w:val="300"/>
        </w:trPr>
        <w:tc>
          <w:tcPr>
            <w:tcW w:w="1248"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5A23FE2" w14:textId="77777777" w:rsidR="009B0617" w:rsidRPr="00B211D5" w:rsidRDefault="009B0617"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Distribution Business</w:t>
            </w:r>
          </w:p>
        </w:tc>
        <w:tc>
          <w:tcPr>
            <w:tcW w:w="3752" w:type="pct"/>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65F91" w:themeFill="accent1" w:themeFillShade="BF"/>
          </w:tcPr>
          <w:p w14:paraId="4C79941F"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Geography of ignitions (locational risk)</w:t>
            </w:r>
          </w:p>
        </w:tc>
      </w:tr>
      <w:tr w:rsidR="009B0617" w:rsidRPr="00B211D5" w14:paraId="0503DE64" w14:textId="77777777" w:rsidTr="00CE08A3">
        <w:trPr>
          <w:trHeight w:val="300"/>
        </w:trPr>
        <w:tc>
          <w:tcPr>
            <w:tcW w:w="1248"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47A7D0C" w14:textId="77777777" w:rsidR="009B0617" w:rsidRPr="00B211D5" w:rsidRDefault="009B0617" w:rsidP="009B0617">
            <w:pPr>
              <w:spacing w:before="60" w:after="60" w:line="240" w:lineRule="auto"/>
              <w:rPr>
                <w:rFonts w:ascii="Candara" w:eastAsia="Times New Roman" w:hAnsi="Candara" w:cs="Times New Roman"/>
                <w:b/>
                <w:color w:val="FFFFFF" w:themeColor="background1"/>
                <w:sz w:val="18"/>
                <w:szCs w:val="18"/>
                <w:lang w:eastAsia="en-AU"/>
              </w:rPr>
            </w:pP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2A1C07DB"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Low (LBRA)</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06635E0"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High (HBRA)</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Pr>
          <w:p w14:paraId="3C2D99A2"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 xml:space="preserve">Severe </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tcPr>
          <w:p w14:paraId="3C6BABBA"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Extreme</w:t>
            </w: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9A7CA2D"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Total</w:t>
            </w:r>
          </w:p>
        </w:tc>
      </w:tr>
      <w:tr w:rsidR="003746F0" w:rsidRPr="00B211D5" w14:paraId="765CD7E4" w14:textId="77777777" w:rsidTr="00345F5E">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0776518" w14:textId="77777777" w:rsidR="003746F0" w:rsidRPr="00CE08A3" w:rsidRDefault="003746F0"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AusNet Services</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6DF71F" w14:textId="1EC26293"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194</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AE6350" w14:textId="67C551DD"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181</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24CD74" w14:textId="63EC672F"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243</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EAA95E" w14:textId="3B5F7061"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38</w:t>
            </w: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7046E7" w14:textId="4A27155E" w:rsidR="003746F0" w:rsidRPr="00B211D5" w:rsidRDefault="003746F0" w:rsidP="009B0617">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656</w:t>
            </w:r>
          </w:p>
        </w:tc>
      </w:tr>
      <w:tr w:rsidR="003746F0" w:rsidRPr="00B211D5" w14:paraId="37883074" w14:textId="77777777" w:rsidTr="00345F5E">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2D34D12" w14:textId="77777777" w:rsidR="003746F0" w:rsidRPr="00CE08A3" w:rsidRDefault="003746F0"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CitiPower</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40A67F" w14:textId="25F2535B"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108</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4032BF" w14:textId="32254885" w:rsidR="003746F0" w:rsidRPr="00B211D5" w:rsidRDefault="003746F0" w:rsidP="003746F0">
            <w:pPr>
              <w:spacing w:before="60" w:after="60" w:line="240" w:lineRule="auto"/>
              <w:jc w:val="right"/>
              <w:rPr>
                <w:rFonts w:ascii="Candara" w:eastAsia="Times New Roman" w:hAnsi="Candara" w:cs="Times New Roman"/>
                <w:color w:val="000000"/>
                <w:sz w:val="18"/>
                <w:szCs w:val="18"/>
                <w:lang w:eastAsia="en-AU"/>
              </w:rPr>
            </w:pP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E7B6B6" w14:textId="5B5BD57B" w:rsidR="003746F0" w:rsidRPr="00B211D5" w:rsidRDefault="003746F0" w:rsidP="003746F0">
            <w:pPr>
              <w:spacing w:before="60" w:after="60" w:line="240" w:lineRule="auto"/>
              <w:jc w:val="right"/>
              <w:rPr>
                <w:rFonts w:ascii="Candara" w:eastAsia="Times New Roman" w:hAnsi="Candara" w:cs="Times New Roman"/>
                <w:color w:val="000000"/>
                <w:sz w:val="18"/>
                <w:szCs w:val="18"/>
                <w:lang w:eastAsia="en-AU"/>
              </w:rPr>
            </w:pP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59181E" w14:textId="6D19AE3E" w:rsidR="003746F0" w:rsidRPr="00B211D5" w:rsidRDefault="003746F0" w:rsidP="003746F0">
            <w:pPr>
              <w:spacing w:before="60" w:after="60" w:line="240" w:lineRule="auto"/>
              <w:jc w:val="right"/>
              <w:rPr>
                <w:rFonts w:ascii="Candara" w:eastAsia="Times New Roman" w:hAnsi="Candara" w:cs="Times New Roman"/>
                <w:color w:val="000000"/>
                <w:sz w:val="18"/>
                <w:szCs w:val="18"/>
                <w:lang w:eastAsia="en-AU"/>
              </w:rPr>
            </w:pP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FF12FC" w14:textId="55BEBF1D" w:rsidR="003746F0" w:rsidRPr="00B211D5" w:rsidRDefault="003746F0" w:rsidP="009B0617">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108</w:t>
            </w:r>
          </w:p>
        </w:tc>
      </w:tr>
      <w:tr w:rsidR="003746F0" w:rsidRPr="00B211D5" w14:paraId="732BB138" w14:textId="77777777" w:rsidTr="00345F5E">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7EB7A2FC" w14:textId="77777777" w:rsidR="003746F0" w:rsidRPr="00CE08A3" w:rsidRDefault="003746F0"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Jemena</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5F49D5F" w14:textId="609912D7"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258</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464111" w14:textId="73CBC1DE"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13</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3B172C" w14:textId="0D3E6335"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F4BF56" w14:textId="2D70A446" w:rsidR="003746F0" w:rsidRPr="00B211D5" w:rsidRDefault="003746F0" w:rsidP="003746F0">
            <w:pPr>
              <w:spacing w:before="60" w:after="60" w:line="240" w:lineRule="auto"/>
              <w:jc w:val="right"/>
              <w:rPr>
                <w:rFonts w:ascii="Candara" w:eastAsia="Times New Roman" w:hAnsi="Candara" w:cs="Times New Roman"/>
                <w:color w:val="000000"/>
                <w:sz w:val="18"/>
                <w:szCs w:val="18"/>
                <w:lang w:eastAsia="en-AU"/>
              </w:rPr>
            </w:pP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5D239A" w14:textId="52BB752E" w:rsidR="003746F0" w:rsidRPr="00B211D5" w:rsidRDefault="003746F0" w:rsidP="009B0617">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271</w:t>
            </w:r>
          </w:p>
        </w:tc>
      </w:tr>
      <w:tr w:rsidR="003746F0" w:rsidRPr="00B211D5" w14:paraId="0CA9B180" w14:textId="77777777" w:rsidTr="00345F5E">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E3AAF39" w14:textId="77777777" w:rsidR="003746F0" w:rsidRPr="00CE08A3" w:rsidRDefault="003746F0"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Powercor</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C60FD8A" w14:textId="4D4B230B"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707</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FEB7D43" w14:textId="5C3D401F"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428</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313CEB" w14:textId="6D1E9FCE"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449</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FAEB72" w14:textId="64E27E42"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sidRPr="003746F0">
              <w:rPr>
                <w:rFonts w:ascii="Candara" w:eastAsia="Times New Roman" w:hAnsi="Candara" w:cs="Times New Roman"/>
                <w:color w:val="000000"/>
                <w:sz w:val="18"/>
                <w:szCs w:val="18"/>
                <w:lang w:eastAsia="en-AU"/>
              </w:rPr>
              <w:t>25</w:t>
            </w: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2759B7" w14:textId="06309E28" w:rsidR="003746F0" w:rsidRPr="00B211D5" w:rsidRDefault="003746F0" w:rsidP="009B0617">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1,609</w:t>
            </w:r>
          </w:p>
        </w:tc>
      </w:tr>
      <w:tr w:rsidR="003746F0" w:rsidRPr="00B211D5" w14:paraId="4E493ABA" w14:textId="77777777" w:rsidTr="00CE08A3">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50B4441" w14:textId="77777777" w:rsidR="003746F0" w:rsidRPr="00CE08A3" w:rsidRDefault="003746F0"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United Energy</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4659C3" w14:textId="4DAAA794"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473</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1EE7A1D" w14:textId="7564ABF2" w:rsidR="003746F0" w:rsidRPr="00B211D5" w:rsidRDefault="003746F0"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54</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4CF7025" w14:textId="77777777" w:rsidR="003746F0" w:rsidRPr="00B211D5" w:rsidRDefault="003746F0" w:rsidP="003746F0">
            <w:pPr>
              <w:spacing w:before="60" w:after="60" w:line="240" w:lineRule="auto"/>
              <w:jc w:val="right"/>
              <w:rPr>
                <w:rFonts w:ascii="Candara" w:eastAsia="Times New Roman" w:hAnsi="Candara" w:cs="Times New Roman"/>
                <w:color w:val="000000"/>
                <w:sz w:val="18"/>
                <w:szCs w:val="18"/>
                <w:lang w:eastAsia="en-AU"/>
              </w:rPr>
            </w:pP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0E0B77" w14:textId="77777777" w:rsidR="003746F0" w:rsidRPr="00B211D5" w:rsidRDefault="003746F0" w:rsidP="003746F0">
            <w:pPr>
              <w:spacing w:before="60" w:after="60" w:line="240" w:lineRule="auto"/>
              <w:jc w:val="right"/>
              <w:rPr>
                <w:rFonts w:ascii="Candara" w:eastAsia="Times New Roman" w:hAnsi="Candara" w:cs="Times New Roman"/>
                <w:b/>
                <w:color w:val="000000"/>
                <w:sz w:val="18"/>
                <w:szCs w:val="18"/>
                <w:lang w:eastAsia="en-AU"/>
              </w:rPr>
            </w:pP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6DAADC5" w14:textId="5A129033" w:rsidR="003746F0" w:rsidRPr="00B211D5" w:rsidRDefault="003746F0" w:rsidP="009B0617">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527</w:t>
            </w:r>
          </w:p>
        </w:tc>
      </w:tr>
      <w:tr w:rsidR="003746F0" w:rsidRPr="00B211D5" w14:paraId="513FD68D" w14:textId="77777777" w:rsidTr="00CE08A3">
        <w:trPr>
          <w:trHeight w:val="300"/>
        </w:trPr>
        <w:tc>
          <w:tcPr>
            <w:tcW w:w="12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A5EDB71" w14:textId="77777777" w:rsidR="003746F0" w:rsidRPr="00B211D5" w:rsidRDefault="003746F0"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Total</w:t>
            </w:r>
          </w:p>
        </w:tc>
        <w:tc>
          <w:tcPr>
            <w:tcW w:w="7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4157124" w14:textId="1906EBEB" w:rsidR="003746F0" w:rsidRPr="00B211D5" w:rsidRDefault="003746F0"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1,740</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5A24BEB" w14:textId="7DDE5B80" w:rsidR="003746F0" w:rsidRPr="00B211D5" w:rsidRDefault="003746F0"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676</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tcPr>
          <w:p w14:paraId="4E47480B" w14:textId="77777777" w:rsidR="003746F0" w:rsidRPr="00B211D5" w:rsidRDefault="003746F0" w:rsidP="009B0617">
            <w:pPr>
              <w:spacing w:before="60" w:after="60" w:line="240" w:lineRule="auto"/>
              <w:jc w:val="right"/>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553</w:t>
            </w:r>
          </w:p>
        </w:tc>
        <w:tc>
          <w:tcPr>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tcPr>
          <w:p w14:paraId="1FA3A763" w14:textId="147CAAAA" w:rsidR="003746F0" w:rsidRPr="00B211D5" w:rsidRDefault="003746F0"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63</w:t>
            </w:r>
          </w:p>
        </w:tc>
        <w:tc>
          <w:tcPr>
            <w:tcW w:w="7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4594F30" w14:textId="1161A47A" w:rsidR="003746F0" w:rsidRPr="00B211D5" w:rsidRDefault="003746F0"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3,171</w:t>
            </w:r>
          </w:p>
        </w:tc>
      </w:tr>
    </w:tbl>
    <w:p w14:paraId="1916D191" w14:textId="24289B72" w:rsidR="009B0617" w:rsidRPr="00B211D5" w:rsidRDefault="009B0617" w:rsidP="009B0617">
      <w:pPr>
        <w:spacing w:after="60" w:line="240" w:lineRule="auto"/>
        <w:rPr>
          <w:rFonts w:ascii="Candara" w:hAnsi="Candara"/>
          <w:i/>
          <w:sz w:val="18"/>
          <w:szCs w:val="18"/>
        </w:rPr>
      </w:pPr>
      <w:r w:rsidRPr="00B211D5">
        <w:rPr>
          <w:rFonts w:ascii="Candara" w:hAnsi="Candara"/>
          <w:i/>
          <w:sz w:val="18"/>
          <w:szCs w:val="18"/>
        </w:rPr>
        <w:t>Source: Raw fire counts - Electricity Distribution Businesses via the Australian Energy Regulator, 201</w:t>
      </w:r>
      <w:r w:rsidR="003746F0">
        <w:rPr>
          <w:rFonts w:ascii="Candara" w:hAnsi="Candara"/>
          <w:i/>
          <w:sz w:val="18"/>
          <w:szCs w:val="18"/>
        </w:rPr>
        <w:t>6</w:t>
      </w:r>
    </w:p>
    <w:p w14:paraId="1B726233" w14:textId="77777777" w:rsidR="009B0617" w:rsidRPr="00B211D5" w:rsidRDefault="009B0617" w:rsidP="003746F0">
      <w:pPr>
        <w:spacing w:before="200"/>
        <w:rPr>
          <w:rFonts w:ascii="Candara" w:hAnsi="Candara"/>
        </w:rPr>
      </w:pPr>
      <w:r w:rsidRPr="00B211D5">
        <w:rPr>
          <w:rFonts w:ascii="Candara" w:hAnsi="Candara"/>
        </w:rPr>
        <w:t>This geographic distribution of historical ignitions determines the IRU weighting that will apply with respect to geographic risk.</w:t>
      </w:r>
    </w:p>
    <w:p w14:paraId="0E2DECB0" w14:textId="77777777" w:rsidR="009B0617" w:rsidRPr="00B211D5" w:rsidRDefault="009B0617" w:rsidP="009B0617">
      <w:pPr>
        <w:pStyle w:val="BodyText"/>
        <w:rPr>
          <w:rFonts w:ascii="Candara" w:hAnsi="Candara"/>
          <w:b/>
        </w:rPr>
      </w:pPr>
      <w:r w:rsidRPr="00B211D5">
        <w:rPr>
          <w:rFonts w:ascii="Candara" w:hAnsi="Candara"/>
          <w:b/>
        </w:rPr>
        <w:t>Analysis of time</w:t>
      </w:r>
    </w:p>
    <w:p w14:paraId="12DDCB38" w14:textId="0A488A1C" w:rsidR="009B0617" w:rsidRPr="00B211D5" w:rsidRDefault="004D00A5" w:rsidP="009B0617">
      <w:pPr>
        <w:rPr>
          <w:rFonts w:ascii="Candara" w:hAnsi="Candara"/>
        </w:rPr>
      </w:pPr>
      <w:r>
        <w:rPr>
          <w:rFonts w:ascii="Candara" w:hAnsi="Candara"/>
        </w:rPr>
        <w:t>About</w:t>
      </w:r>
      <w:r w:rsidR="009B0617" w:rsidRPr="00B211D5">
        <w:rPr>
          <w:rFonts w:ascii="Candara" w:hAnsi="Candara"/>
        </w:rPr>
        <w:t xml:space="preserve"> </w:t>
      </w:r>
      <w:r w:rsidR="009B0617" w:rsidRPr="00B211D5">
        <w:rPr>
          <w:rFonts w:ascii="Candara" w:hAnsi="Candara"/>
          <w:b/>
          <w:color w:val="17365D"/>
        </w:rPr>
        <w:t>1 in 20 ignitions (</w:t>
      </w:r>
      <w:r>
        <w:rPr>
          <w:rFonts w:ascii="Candara" w:hAnsi="Candara"/>
          <w:b/>
          <w:color w:val="17365D"/>
        </w:rPr>
        <w:t>5.7</w:t>
      </w:r>
      <w:r w:rsidR="009B0617" w:rsidRPr="00B211D5">
        <w:rPr>
          <w:rFonts w:ascii="Candara" w:hAnsi="Candara"/>
          <w:b/>
          <w:color w:val="17365D"/>
        </w:rPr>
        <w:t>%)</w:t>
      </w:r>
      <w:r w:rsidR="009B0617" w:rsidRPr="00B211D5">
        <w:rPr>
          <w:rFonts w:ascii="Candara" w:hAnsi="Candara"/>
        </w:rPr>
        <w:t xml:space="preserve"> occurred on days where the fire danger rating was either ‘severe’ or ‘extreme’. There were no ‘Code Red’ days in the 2012 to 201</w:t>
      </w:r>
      <w:r>
        <w:rPr>
          <w:rFonts w:ascii="Candara" w:hAnsi="Candara"/>
        </w:rPr>
        <w:t>5</w:t>
      </w:r>
      <w:r w:rsidR="009B0617" w:rsidRPr="00B211D5">
        <w:rPr>
          <w:rFonts w:ascii="Candara" w:hAnsi="Candara"/>
        </w:rPr>
        <w:t xml:space="preserve"> period.</w:t>
      </w:r>
    </w:p>
    <w:p w14:paraId="61C9EE6C" w14:textId="4F4C1004" w:rsidR="009B0617" w:rsidRPr="00CA4C17" w:rsidRDefault="0043728A"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A2.13</w:t>
      </w:r>
      <w:r w:rsidR="00CA4C17">
        <w:rPr>
          <w:rStyle w:val="Heading6Char"/>
        </w:rPr>
        <w:t xml:space="preserve">: </w:t>
      </w:r>
      <w:r w:rsidR="00CA4C17" w:rsidRPr="00CA4C17">
        <w:rPr>
          <w:rStyle w:val="Heading6Char"/>
          <w:i w:val="0"/>
        </w:rPr>
        <w:t>Count of ignitions on powerlines by Fire Danger Rating (2012</w:t>
      </w:r>
      <w:r w:rsidR="004D00A5">
        <w:rPr>
          <w:rStyle w:val="Heading6Char"/>
          <w:i w:val="0"/>
        </w:rPr>
        <w:t xml:space="preserve"> to</w:t>
      </w:r>
      <w:r w:rsidR="00CA4C17" w:rsidRPr="00CA4C17">
        <w:rPr>
          <w:rStyle w:val="Heading6Char"/>
          <w:i w:val="0"/>
        </w:rPr>
        <w:t xml:space="preserve"> 201</w:t>
      </w:r>
      <w:r w:rsidR="004D00A5">
        <w:rPr>
          <w:rStyle w:val="Heading6Char"/>
          <w:i w:val="0"/>
        </w:rPr>
        <w:t>5</w:t>
      </w:r>
      <w:r w:rsidR="00CA4C17" w:rsidRPr="00CA4C17">
        <w:rPr>
          <w:rStyle w:val="Heading6Char"/>
          <w:i w:val="0"/>
        </w:rPr>
        <w:t>)</w:t>
      </w:r>
    </w:p>
    <w:tbl>
      <w:tblPr>
        <w:tblW w:w="5000" w:type="pct"/>
        <w:tblInd w:w="113" w:type="dxa"/>
        <w:tblLook w:val="04A0" w:firstRow="1" w:lastRow="0" w:firstColumn="1" w:lastColumn="0" w:noHBand="0" w:noVBand="1"/>
      </w:tblPr>
      <w:tblGrid>
        <w:gridCol w:w="2287"/>
        <w:gridCol w:w="1014"/>
        <w:gridCol w:w="991"/>
        <w:gridCol w:w="990"/>
        <w:gridCol w:w="990"/>
        <w:gridCol w:w="990"/>
        <w:gridCol w:w="990"/>
        <w:gridCol w:w="990"/>
      </w:tblGrid>
      <w:tr w:rsidR="009B0617" w:rsidRPr="00B211D5" w14:paraId="64EF2D92" w14:textId="77777777" w:rsidTr="00CE08A3">
        <w:trPr>
          <w:trHeight w:val="300"/>
        </w:trPr>
        <w:tc>
          <w:tcPr>
            <w:tcW w:w="2287"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ACC7F3A" w14:textId="77777777" w:rsidR="009B0617" w:rsidRPr="00B211D5" w:rsidRDefault="009B0617"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Distribution Business</w:t>
            </w:r>
          </w:p>
        </w:tc>
        <w:tc>
          <w:tcPr>
            <w:tcW w:w="6955"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32398D51"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Fire Danger Rating</w:t>
            </w:r>
          </w:p>
        </w:tc>
      </w:tr>
      <w:tr w:rsidR="009B0617" w:rsidRPr="00B211D5" w14:paraId="6B778CCE" w14:textId="77777777" w:rsidTr="00CE08A3">
        <w:trPr>
          <w:trHeight w:val="300"/>
        </w:trPr>
        <w:tc>
          <w:tcPr>
            <w:tcW w:w="2287"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6B42F60" w14:textId="77777777" w:rsidR="009B0617" w:rsidRPr="00B211D5" w:rsidRDefault="009B0617" w:rsidP="009B0617">
            <w:pPr>
              <w:spacing w:before="60" w:after="60" w:line="240" w:lineRule="auto"/>
              <w:rPr>
                <w:rFonts w:ascii="Candara" w:eastAsia="Times New Roman" w:hAnsi="Candara" w:cs="Times New Roman"/>
                <w:b/>
                <w:color w:val="FFFFFF" w:themeColor="background1"/>
                <w:sz w:val="18"/>
                <w:szCs w:val="18"/>
                <w:lang w:eastAsia="en-AU"/>
              </w:rPr>
            </w:pP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98A60F4"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No Forecast</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CB61369"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Low-Moderate</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013616A"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High</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28CD0CF"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Very High</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7F3382F7"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Severe</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763441E7"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Extreme</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DD124A4"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Total</w:t>
            </w:r>
          </w:p>
        </w:tc>
      </w:tr>
      <w:tr w:rsidR="009A0F5A" w:rsidRPr="00B211D5" w14:paraId="604B4D8D" w14:textId="77777777" w:rsidTr="00345F5E">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461A3E2" w14:textId="77777777" w:rsidR="009A0F5A" w:rsidRPr="00CE08A3" w:rsidRDefault="009A0F5A"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AusNet Services</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D90845" w14:textId="66CF4248"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186</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1EF982" w14:textId="7386623B"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174</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56E424" w14:textId="38349377"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186</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C7B12EB" w14:textId="1E8B09EB"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79</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91930B" w14:textId="6FEF8BB3"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23</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C2E662" w14:textId="52815F64"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8</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0D3231" w14:textId="486C0D23" w:rsidR="009A0F5A" w:rsidRPr="00B211D5" w:rsidRDefault="009A0F5A" w:rsidP="009B0617">
            <w:pPr>
              <w:spacing w:before="60" w:after="60" w:line="240" w:lineRule="auto"/>
              <w:jc w:val="right"/>
              <w:rPr>
                <w:rFonts w:ascii="Candara" w:eastAsia="Times New Roman" w:hAnsi="Candara" w:cs="Times New Roman"/>
                <w:b/>
                <w:color w:val="000000"/>
                <w:sz w:val="18"/>
                <w:szCs w:val="18"/>
                <w:lang w:eastAsia="en-AU"/>
              </w:rPr>
            </w:pPr>
            <w:r w:rsidRPr="004D00A5">
              <w:rPr>
                <w:rFonts w:ascii="Candara" w:eastAsia="Times New Roman" w:hAnsi="Candara" w:cs="Times New Roman"/>
                <w:b/>
                <w:color w:val="000000"/>
                <w:sz w:val="18"/>
                <w:szCs w:val="18"/>
                <w:lang w:eastAsia="en-AU"/>
              </w:rPr>
              <w:t>656</w:t>
            </w:r>
          </w:p>
        </w:tc>
      </w:tr>
      <w:tr w:rsidR="009A0F5A" w:rsidRPr="00B211D5" w14:paraId="4AF54A74" w14:textId="77777777" w:rsidTr="00345F5E">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3EB0C90" w14:textId="77777777" w:rsidR="009A0F5A" w:rsidRPr="00CE08A3" w:rsidRDefault="009A0F5A"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CitiPower</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B4DD132" w14:textId="42C72B7D"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26</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5F3FAE" w14:textId="35D59584"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24</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1AF237" w14:textId="6A03D56B"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24</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CCB196D" w14:textId="3FB0F286"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23</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69B1E39" w14:textId="0B9BBCA6"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9</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7E35050" w14:textId="65E12DE4"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68D0492" w14:textId="7612E1FD" w:rsidR="009A0F5A" w:rsidRPr="00B211D5" w:rsidRDefault="009A0F5A" w:rsidP="009B0617">
            <w:pPr>
              <w:spacing w:before="60" w:after="60" w:line="240" w:lineRule="auto"/>
              <w:jc w:val="right"/>
              <w:rPr>
                <w:rFonts w:ascii="Candara" w:eastAsia="Times New Roman" w:hAnsi="Candara" w:cs="Times New Roman"/>
                <w:b/>
                <w:color w:val="000000"/>
                <w:sz w:val="18"/>
                <w:szCs w:val="18"/>
                <w:lang w:eastAsia="en-AU"/>
              </w:rPr>
            </w:pPr>
            <w:r w:rsidRPr="004D00A5">
              <w:rPr>
                <w:rFonts w:ascii="Candara" w:eastAsia="Times New Roman" w:hAnsi="Candara" w:cs="Times New Roman"/>
                <w:b/>
                <w:color w:val="000000"/>
                <w:sz w:val="18"/>
                <w:szCs w:val="18"/>
                <w:lang w:eastAsia="en-AU"/>
              </w:rPr>
              <w:t>108</w:t>
            </w:r>
          </w:p>
        </w:tc>
      </w:tr>
      <w:tr w:rsidR="009A0F5A" w:rsidRPr="00B211D5" w14:paraId="2D0CBF7E" w14:textId="77777777" w:rsidTr="00345F5E">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3F360FD2" w14:textId="77777777" w:rsidR="009A0F5A" w:rsidRPr="00CE08A3" w:rsidRDefault="009A0F5A"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Jemena</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809B04D" w14:textId="4698A69E"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46</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6BD389D" w14:textId="5F208792"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47</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431B32E" w14:textId="0D6905B9"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123</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1B3C4E0" w14:textId="42DF0170"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41</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94A50F" w14:textId="3E753356"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5</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98D0892" w14:textId="631DF9F2"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9</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28E6D89" w14:textId="0C0B7A04" w:rsidR="009A0F5A" w:rsidRPr="00B211D5" w:rsidRDefault="009A0F5A" w:rsidP="009B0617">
            <w:pPr>
              <w:spacing w:before="60" w:after="60" w:line="240" w:lineRule="auto"/>
              <w:jc w:val="right"/>
              <w:rPr>
                <w:rFonts w:ascii="Candara" w:eastAsia="Times New Roman" w:hAnsi="Candara" w:cs="Times New Roman"/>
                <w:b/>
                <w:color w:val="000000"/>
                <w:sz w:val="18"/>
                <w:szCs w:val="18"/>
                <w:lang w:eastAsia="en-AU"/>
              </w:rPr>
            </w:pPr>
            <w:r w:rsidRPr="004D00A5">
              <w:rPr>
                <w:rFonts w:ascii="Candara" w:eastAsia="Times New Roman" w:hAnsi="Candara" w:cs="Times New Roman"/>
                <w:b/>
                <w:color w:val="000000"/>
                <w:sz w:val="18"/>
                <w:szCs w:val="18"/>
                <w:lang w:eastAsia="en-AU"/>
              </w:rPr>
              <w:t>271</w:t>
            </w:r>
          </w:p>
        </w:tc>
      </w:tr>
      <w:tr w:rsidR="009A0F5A" w:rsidRPr="00B211D5" w14:paraId="57547F24" w14:textId="77777777" w:rsidTr="00345F5E">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D1B0A62" w14:textId="77777777" w:rsidR="009A0F5A" w:rsidRPr="00CE08A3" w:rsidRDefault="009A0F5A"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Powercor</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6A38A0" w14:textId="011FC29E"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258</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30B48F7" w14:textId="6E08697B"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326</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FAE25B" w14:textId="0CCBCE28"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622</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DCA807E" w14:textId="6AA6BA2F"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310</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CB04DE5" w14:textId="01EB9B9F"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72</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A92827" w14:textId="7E5A569A"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sidRPr="004D00A5">
              <w:rPr>
                <w:rFonts w:ascii="Candara" w:eastAsia="Times New Roman" w:hAnsi="Candara" w:cs="Times New Roman"/>
                <w:color w:val="000000"/>
                <w:sz w:val="18"/>
                <w:szCs w:val="18"/>
                <w:lang w:eastAsia="en-AU"/>
              </w:rPr>
              <w:t>21</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763177" w14:textId="5A879778" w:rsidR="009A0F5A" w:rsidRPr="00B211D5" w:rsidRDefault="009A0F5A" w:rsidP="009B0617">
            <w:pPr>
              <w:spacing w:before="60" w:after="60" w:line="240" w:lineRule="auto"/>
              <w:jc w:val="right"/>
              <w:rPr>
                <w:rFonts w:ascii="Candara" w:eastAsia="Times New Roman" w:hAnsi="Candara" w:cs="Times New Roman"/>
                <w:b/>
                <w:color w:val="000000"/>
                <w:sz w:val="18"/>
                <w:szCs w:val="18"/>
                <w:lang w:eastAsia="en-AU"/>
              </w:rPr>
            </w:pPr>
            <w:r w:rsidRPr="004D00A5">
              <w:rPr>
                <w:rFonts w:ascii="Candara" w:eastAsia="Times New Roman" w:hAnsi="Candara" w:cs="Times New Roman"/>
                <w:b/>
                <w:color w:val="000000"/>
                <w:sz w:val="18"/>
                <w:szCs w:val="18"/>
                <w:lang w:eastAsia="en-AU"/>
              </w:rPr>
              <w:t>1,609</w:t>
            </w:r>
          </w:p>
        </w:tc>
      </w:tr>
      <w:tr w:rsidR="009A0F5A" w:rsidRPr="00B211D5" w14:paraId="1E8358F6" w14:textId="77777777" w:rsidTr="00CE08A3">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F9E6AE8" w14:textId="77777777" w:rsidR="009A0F5A" w:rsidRPr="00CE08A3" w:rsidRDefault="009A0F5A" w:rsidP="009B0617">
            <w:pPr>
              <w:spacing w:before="60" w:after="60" w:line="240" w:lineRule="auto"/>
              <w:rPr>
                <w:rFonts w:ascii="Candara" w:eastAsia="Times New Roman" w:hAnsi="Candara" w:cs="Times New Roman"/>
                <w:color w:val="FFFFFF" w:themeColor="background1"/>
                <w:sz w:val="18"/>
                <w:szCs w:val="18"/>
                <w:lang w:eastAsia="en-AU"/>
              </w:rPr>
            </w:pPr>
            <w:r w:rsidRPr="00CE08A3">
              <w:rPr>
                <w:rFonts w:ascii="Candara" w:eastAsia="Times New Roman" w:hAnsi="Candara" w:cs="Times New Roman"/>
                <w:color w:val="FFFFFF" w:themeColor="background1"/>
                <w:sz w:val="18"/>
                <w:szCs w:val="18"/>
                <w:lang w:eastAsia="en-AU"/>
              </w:rPr>
              <w:t>United Energy</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B783686" w14:textId="57536D77"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63</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DD09044" w14:textId="16865B81"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98</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53B5586" w14:textId="51E252BD"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262</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4CC0D5" w14:textId="2626FB6A"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72</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B8E8C56" w14:textId="443451D8"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26</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AA9ABC" w14:textId="4E8284AE" w:rsidR="009A0F5A" w:rsidRPr="00B211D5" w:rsidRDefault="009A0F5A"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6</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FEC974" w14:textId="70DF5450" w:rsidR="009A0F5A" w:rsidRPr="00B211D5" w:rsidRDefault="009A0F5A" w:rsidP="009A0F5A">
            <w:pPr>
              <w:spacing w:before="60" w:after="60" w:line="240" w:lineRule="auto"/>
              <w:jc w:val="right"/>
              <w:rPr>
                <w:rFonts w:ascii="Candara" w:eastAsia="Times New Roman" w:hAnsi="Candara" w:cs="Times New Roman"/>
                <w:b/>
                <w:color w:val="000000"/>
                <w:sz w:val="18"/>
                <w:szCs w:val="18"/>
                <w:lang w:eastAsia="en-AU"/>
              </w:rPr>
            </w:pPr>
            <w:r>
              <w:rPr>
                <w:rFonts w:ascii="Candara" w:eastAsia="Times New Roman" w:hAnsi="Candara" w:cs="Times New Roman"/>
                <w:b/>
                <w:color w:val="000000"/>
                <w:sz w:val="18"/>
                <w:szCs w:val="18"/>
                <w:lang w:eastAsia="en-AU"/>
              </w:rPr>
              <w:t>527</w:t>
            </w:r>
          </w:p>
        </w:tc>
      </w:tr>
      <w:tr w:rsidR="009A0F5A" w:rsidRPr="00B211D5" w14:paraId="4636669B" w14:textId="77777777" w:rsidTr="00290C47">
        <w:trPr>
          <w:trHeight w:val="300"/>
        </w:trPr>
        <w:tc>
          <w:tcPr>
            <w:tcW w:w="22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2FF88579" w14:textId="77777777" w:rsidR="009A0F5A" w:rsidRPr="00B211D5" w:rsidRDefault="009A0F5A"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Total</w:t>
            </w:r>
          </w:p>
        </w:tc>
        <w:tc>
          <w:tcPr>
            <w:tcW w:w="10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C253DF5" w14:textId="6900A3D8"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579</w:t>
            </w:r>
          </w:p>
        </w:tc>
        <w:tc>
          <w:tcPr>
            <w:tcW w:w="9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BC6D963" w14:textId="701D5778"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669</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468E8EB2" w14:textId="25B6DB85" w:rsidR="009A0F5A" w:rsidRPr="00B211D5" w:rsidRDefault="009A0F5A" w:rsidP="009A0F5A">
            <w:pPr>
              <w:spacing w:before="60" w:after="60" w:line="240" w:lineRule="auto"/>
              <w:jc w:val="right"/>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1,</w:t>
            </w:r>
            <w:r>
              <w:rPr>
                <w:rFonts w:ascii="Candara" w:eastAsia="Times New Roman" w:hAnsi="Candara" w:cs="Times New Roman"/>
                <w:b/>
                <w:color w:val="FFFFFF" w:themeColor="background1"/>
                <w:sz w:val="18"/>
                <w:szCs w:val="18"/>
                <w:lang w:eastAsia="en-AU"/>
              </w:rPr>
              <w:t>2</w:t>
            </w:r>
            <w:r w:rsidRPr="00B211D5">
              <w:rPr>
                <w:rFonts w:ascii="Candara" w:eastAsia="Times New Roman" w:hAnsi="Candara" w:cs="Times New Roman"/>
                <w:b/>
                <w:color w:val="FFFFFF" w:themeColor="background1"/>
                <w:sz w:val="18"/>
                <w:szCs w:val="18"/>
                <w:lang w:eastAsia="en-AU"/>
              </w:rPr>
              <w:t>17</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6051382" w14:textId="0D7514E5"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525</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6BCA620D" w14:textId="622764A5"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135</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4E208847" w14:textId="46E85871"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46</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118F9DD" w14:textId="1A3F347F" w:rsidR="009A0F5A" w:rsidRPr="00B211D5" w:rsidRDefault="009A0F5A"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3,171</w:t>
            </w:r>
          </w:p>
        </w:tc>
      </w:tr>
    </w:tbl>
    <w:p w14:paraId="300B218D" w14:textId="492BBB9E" w:rsidR="009B0617" w:rsidRPr="00B211D5" w:rsidRDefault="009B0617" w:rsidP="009B0617">
      <w:pPr>
        <w:spacing w:after="120" w:line="240" w:lineRule="auto"/>
        <w:rPr>
          <w:rFonts w:ascii="Candara" w:hAnsi="Candara"/>
          <w:i/>
          <w:sz w:val="18"/>
          <w:szCs w:val="18"/>
        </w:rPr>
      </w:pPr>
      <w:r w:rsidRPr="00B211D5">
        <w:rPr>
          <w:rFonts w:ascii="Candara" w:hAnsi="Candara"/>
          <w:i/>
          <w:sz w:val="18"/>
          <w:szCs w:val="18"/>
        </w:rPr>
        <w:t>Source: Raw fire counts - Electricity Distribution Businesses via the Australian Energy Regulator, 201</w:t>
      </w:r>
      <w:r w:rsidR="004D00A5">
        <w:rPr>
          <w:rFonts w:ascii="Candara" w:hAnsi="Candara"/>
          <w:i/>
          <w:sz w:val="18"/>
          <w:szCs w:val="18"/>
        </w:rPr>
        <w:t>6</w:t>
      </w:r>
    </w:p>
    <w:p w14:paraId="3612DE83" w14:textId="77777777" w:rsidR="009B0617" w:rsidRPr="00B211D5" w:rsidRDefault="009B0617" w:rsidP="009B0617">
      <w:pPr>
        <w:rPr>
          <w:rFonts w:ascii="Candara" w:eastAsiaTheme="majorEastAsia" w:hAnsi="Candara" w:cstheme="majorBidi"/>
          <w:b/>
          <w:bCs/>
          <w:color w:val="17365D"/>
        </w:rPr>
      </w:pPr>
      <w:r w:rsidRPr="00B211D5">
        <w:rPr>
          <w:rFonts w:ascii="Candara" w:hAnsi="Candara"/>
          <w:color w:val="17365D"/>
        </w:rPr>
        <w:br w:type="page"/>
      </w:r>
    </w:p>
    <w:p w14:paraId="0CEF1B97" w14:textId="77777777" w:rsidR="009B0617" w:rsidRPr="00B211D5" w:rsidRDefault="009B0617" w:rsidP="009B0617">
      <w:pPr>
        <w:pStyle w:val="BodyText"/>
        <w:rPr>
          <w:rFonts w:ascii="Candara" w:hAnsi="Candara"/>
          <w:b/>
        </w:rPr>
      </w:pPr>
      <w:r w:rsidRPr="00B211D5">
        <w:rPr>
          <w:rFonts w:ascii="Candara" w:hAnsi="Candara"/>
          <w:b/>
        </w:rPr>
        <w:lastRenderedPageBreak/>
        <w:t>Calculated IRU baseline</w:t>
      </w:r>
    </w:p>
    <w:p w14:paraId="4C0214B8" w14:textId="310A6180" w:rsidR="009B0617" w:rsidRPr="00B211D5" w:rsidRDefault="009B0617" w:rsidP="009B0617">
      <w:pPr>
        <w:rPr>
          <w:rFonts w:ascii="Candara" w:hAnsi="Candara"/>
        </w:rPr>
      </w:pPr>
      <w:r w:rsidRPr="00B211D5">
        <w:rPr>
          <w:rFonts w:ascii="Candara" w:hAnsi="Candara"/>
        </w:rPr>
        <w:t>Based on the powerline ignition history for 2012 to 201</w:t>
      </w:r>
      <w:r w:rsidR="009A0F5A">
        <w:rPr>
          <w:rFonts w:ascii="Candara" w:hAnsi="Candara"/>
        </w:rPr>
        <w:t>5</w:t>
      </w:r>
      <w:r w:rsidRPr="00B211D5">
        <w:rPr>
          <w:rFonts w:ascii="Candara" w:hAnsi="Candara"/>
        </w:rPr>
        <w:t xml:space="preserve"> and the coding assumptions for designating an IRU weighting for time and geographic risk, the annual IRU baseline for each DB is as follows.</w:t>
      </w:r>
    </w:p>
    <w:p w14:paraId="06E1BEC6" w14:textId="74C34F87" w:rsidR="009B0617" w:rsidRDefault="009B0617" w:rsidP="009B0617">
      <w:pPr>
        <w:rPr>
          <w:rFonts w:ascii="Candara" w:hAnsi="Candara"/>
        </w:rPr>
      </w:pPr>
      <w:r w:rsidRPr="00B211D5">
        <w:rPr>
          <w:rFonts w:ascii="Candara" w:hAnsi="Candara"/>
        </w:rPr>
        <w:t>The annual IRU Baseline is calculated by dividing the IRU total for 2012-201</w:t>
      </w:r>
      <w:r w:rsidR="009A0F5A">
        <w:rPr>
          <w:rFonts w:ascii="Candara" w:hAnsi="Candara"/>
        </w:rPr>
        <w:t>5</w:t>
      </w:r>
      <w:r w:rsidRPr="00B211D5">
        <w:rPr>
          <w:rFonts w:ascii="Candara" w:hAnsi="Candara"/>
        </w:rPr>
        <w:t xml:space="preserve"> by </w:t>
      </w:r>
      <w:r w:rsidR="009A0F5A">
        <w:rPr>
          <w:rFonts w:ascii="Candara" w:hAnsi="Candara"/>
        </w:rPr>
        <w:t>4</w:t>
      </w:r>
      <w:r w:rsidRPr="00B211D5">
        <w:rPr>
          <w:rFonts w:ascii="Candara" w:hAnsi="Candara"/>
        </w:rPr>
        <w:t>.</w:t>
      </w:r>
    </w:p>
    <w:p w14:paraId="32BC5B61" w14:textId="141E9A1F" w:rsidR="00CA4C17" w:rsidRPr="00CA4C17" w:rsidRDefault="0043728A" w:rsidP="00CA4C17">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A2.14</w:t>
      </w:r>
      <w:r w:rsidR="00CA4C17">
        <w:rPr>
          <w:rStyle w:val="Heading6Char"/>
        </w:rPr>
        <w:t>: IRU Baselines</w:t>
      </w:r>
    </w:p>
    <w:tbl>
      <w:tblPr>
        <w:tblW w:w="6806" w:type="dxa"/>
        <w:tblLook w:val="04A0" w:firstRow="1" w:lastRow="0" w:firstColumn="1" w:lastColumn="0" w:noHBand="0" w:noVBand="1"/>
      </w:tblPr>
      <w:tblGrid>
        <w:gridCol w:w="2552"/>
        <w:gridCol w:w="1418"/>
        <w:gridCol w:w="1418"/>
        <w:gridCol w:w="1418"/>
      </w:tblGrid>
      <w:tr w:rsidR="009B0617" w:rsidRPr="00B211D5" w14:paraId="2B182D6E" w14:textId="77777777" w:rsidTr="009A0F5A">
        <w:trPr>
          <w:trHeight w:val="300"/>
        </w:trPr>
        <w:tc>
          <w:tcPr>
            <w:tcW w:w="2552"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D6062EF" w14:textId="77777777" w:rsidR="009B0617" w:rsidRPr="00B211D5" w:rsidRDefault="009B0617"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Distribution Business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5C03CB9" w14:textId="390FC1A2" w:rsidR="009B0617" w:rsidRPr="00B211D5" w:rsidRDefault="009B0617" w:rsidP="009A0F5A">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Raw Ignition Count</w:t>
            </w:r>
            <w:r w:rsidRPr="00B211D5">
              <w:rPr>
                <w:rFonts w:ascii="Candara" w:eastAsia="Times New Roman" w:hAnsi="Candara" w:cs="Times New Roman"/>
                <w:b/>
                <w:color w:val="FFFFFF" w:themeColor="background1"/>
                <w:sz w:val="18"/>
                <w:szCs w:val="18"/>
                <w:lang w:eastAsia="en-AU"/>
              </w:rPr>
              <w:br/>
              <w:t>(2012-1</w:t>
            </w:r>
            <w:r w:rsidR="009A0F5A">
              <w:rPr>
                <w:rFonts w:ascii="Candara" w:eastAsia="Times New Roman" w:hAnsi="Candara" w:cs="Times New Roman"/>
                <w:b/>
                <w:color w:val="FFFFFF" w:themeColor="background1"/>
                <w:sz w:val="18"/>
                <w:szCs w:val="18"/>
                <w:lang w:eastAsia="en-AU"/>
              </w:rPr>
              <w:t>5</w:t>
            </w:r>
            <w:r w:rsidRPr="00B211D5">
              <w:rPr>
                <w:rFonts w:ascii="Candara" w:eastAsia="Times New Roman" w:hAnsi="Candara" w:cs="Times New Roman"/>
                <w:b/>
                <w:color w:val="FFFFFF" w:themeColor="background1"/>
                <w:sz w:val="18"/>
                <w:szCs w:val="18"/>
                <w:lang w:eastAsia="en-AU"/>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0AE64D24" w14:textId="68FD386F" w:rsidR="009B0617" w:rsidRPr="00B211D5" w:rsidRDefault="009B0617" w:rsidP="009A0F5A">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IRU Total</w:t>
            </w:r>
            <w:r w:rsidRPr="00B211D5">
              <w:rPr>
                <w:rFonts w:ascii="Candara" w:eastAsia="Times New Roman" w:hAnsi="Candara" w:cs="Times New Roman"/>
                <w:b/>
                <w:color w:val="FFFFFF" w:themeColor="background1"/>
                <w:sz w:val="18"/>
                <w:szCs w:val="18"/>
                <w:lang w:eastAsia="en-AU"/>
              </w:rPr>
              <w:br/>
              <w:t>(2012-1</w:t>
            </w:r>
            <w:r w:rsidR="009A0F5A">
              <w:rPr>
                <w:rFonts w:ascii="Candara" w:eastAsia="Times New Roman" w:hAnsi="Candara" w:cs="Times New Roman"/>
                <w:b/>
                <w:color w:val="FFFFFF" w:themeColor="background1"/>
                <w:sz w:val="18"/>
                <w:szCs w:val="18"/>
                <w:lang w:eastAsia="en-AU"/>
              </w:rPr>
              <w:t>5</w:t>
            </w:r>
            <w:r w:rsidRPr="00B211D5">
              <w:rPr>
                <w:rFonts w:ascii="Candara" w:eastAsia="Times New Roman" w:hAnsi="Candara" w:cs="Times New Roman"/>
                <w:b/>
                <w:color w:val="FFFFFF" w:themeColor="background1"/>
                <w:sz w:val="18"/>
                <w:szCs w:val="18"/>
                <w:lang w:eastAsia="en-AU"/>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402A1FF1" w14:textId="77777777" w:rsidR="009B0617" w:rsidRPr="00B211D5" w:rsidRDefault="009B0617" w:rsidP="009B0617">
            <w:pPr>
              <w:spacing w:before="60" w:after="60" w:line="240" w:lineRule="auto"/>
              <w:jc w:val="center"/>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IRU Baseline</w:t>
            </w:r>
            <w:r w:rsidRPr="00B211D5">
              <w:rPr>
                <w:rFonts w:ascii="Candara" w:eastAsia="Times New Roman" w:hAnsi="Candara" w:cs="Times New Roman"/>
                <w:b/>
                <w:color w:val="FFFFFF" w:themeColor="background1"/>
                <w:sz w:val="18"/>
                <w:szCs w:val="18"/>
                <w:lang w:eastAsia="en-AU"/>
              </w:rPr>
              <w:br/>
              <w:t>(annual)</w:t>
            </w:r>
          </w:p>
        </w:tc>
      </w:tr>
      <w:tr w:rsidR="007F4F2B" w:rsidRPr="00B211D5" w14:paraId="34883CC5" w14:textId="77777777" w:rsidTr="00345F5E">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5993965F" w14:textId="1DFECA6B" w:rsidR="007F4F2B" w:rsidRPr="00CE08A3"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AusNet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DFCAA4F" w14:textId="5F45A84D"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656</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11E4C7A" w14:textId="40611D2A" w:rsidR="007F4F2B" w:rsidRPr="00B211D5" w:rsidRDefault="007F4F2B" w:rsidP="00CD65D3">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9</w:t>
            </w:r>
            <w:r w:rsidR="00CD65D3">
              <w:rPr>
                <w:rFonts w:ascii="Candara" w:eastAsia="Times New Roman" w:hAnsi="Candara" w:cs="Times New Roman"/>
                <w:color w:val="000000"/>
                <w:sz w:val="18"/>
                <w:szCs w:val="18"/>
                <w:lang w:eastAsia="en-AU"/>
              </w:rPr>
              <w:t>90.94</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268AB80" w14:textId="3A234B9F" w:rsidR="007F4F2B" w:rsidRPr="00B211D5" w:rsidRDefault="00CD65D3" w:rsidP="00CD65D3">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247.7</w:t>
            </w:r>
          </w:p>
        </w:tc>
      </w:tr>
      <w:tr w:rsidR="007F4F2B" w:rsidRPr="00B211D5" w14:paraId="394DDB29" w14:textId="77777777" w:rsidTr="00345F5E">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990215D" w14:textId="77777777" w:rsidR="007F4F2B" w:rsidRPr="00CE08A3"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CitiPower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5CD7C8" w14:textId="2544B2CC"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108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9CEFC2E" w14:textId="62628DE7"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13.48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4AD5975" w14:textId="762265F1"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3.4</w:t>
            </w:r>
          </w:p>
        </w:tc>
      </w:tr>
      <w:tr w:rsidR="007F4F2B" w:rsidRPr="00B211D5" w14:paraId="28551620" w14:textId="77777777" w:rsidTr="00345F5E">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7ADD7EE5" w14:textId="77777777" w:rsidR="007F4F2B" w:rsidRPr="00CE08A3"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Jemena</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E5A1094" w14:textId="2F4AB577"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271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03ABB23" w14:textId="3C5ACAD6"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38.8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829D81F" w14:textId="42CB42EF"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9.7</w:t>
            </w:r>
          </w:p>
        </w:tc>
      </w:tr>
      <w:tr w:rsidR="007F4F2B" w:rsidRPr="00B211D5" w14:paraId="35298A44" w14:textId="77777777" w:rsidTr="00345F5E">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633E8AF6" w14:textId="77777777" w:rsidR="007F4F2B" w:rsidRPr="00CE08A3"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Powercor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165E830" w14:textId="571398BC"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1,609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D897E0F" w14:textId="4736CDFD"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1,871.98</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EB5F29F" w14:textId="75F06D73"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sidRPr="009A0F5A">
              <w:rPr>
                <w:rFonts w:ascii="Candara" w:eastAsia="Times New Roman" w:hAnsi="Candara" w:cs="Times New Roman"/>
                <w:color w:val="000000"/>
                <w:sz w:val="18"/>
                <w:szCs w:val="18"/>
                <w:lang w:eastAsia="en-AU"/>
              </w:rPr>
              <w:t>468.0</w:t>
            </w:r>
          </w:p>
        </w:tc>
      </w:tr>
      <w:tr w:rsidR="007F4F2B" w:rsidRPr="00B211D5" w14:paraId="6DC3E13A" w14:textId="77777777" w:rsidTr="009A0F5A">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65F91" w:themeFill="accent1" w:themeFillShade="BF"/>
            <w:noWrap/>
            <w:vAlign w:val="bottom"/>
            <w:hideMark/>
          </w:tcPr>
          <w:p w14:paraId="15AA17A4" w14:textId="566FE707" w:rsidR="007F4F2B" w:rsidRPr="00CE08A3"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CE08A3">
              <w:rPr>
                <w:rFonts w:ascii="Candara" w:eastAsia="Times New Roman" w:hAnsi="Candara" w:cs="Times New Roman"/>
                <w:b/>
                <w:color w:val="FFFFFF" w:themeColor="background1"/>
                <w:sz w:val="18"/>
                <w:szCs w:val="18"/>
                <w:lang w:eastAsia="en-AU"/>
              </w:rPr>
              <w:t>United Energy</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959A640" w14:textId="279054AD"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527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4BBD84" w14:textId="5FDE6E20"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89.10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7B249BE" w14:textId="08DE9252" w:rsidR="007F4F2B" w:rsidRPr="00B211D5" w:rsidRDefault="007F4F2B" w:rsidP="009B0617">
            <w:pPr>
              <w:spacing w:before="60" w:after="60" w:line="240" w:lineRule="auto"/>
              <w:jc w:val="right"/>
              <w:rPr>
                <w:rFonts w:ascii="Candara" w:eastAsia="Times New Roman" w:hAnsi="Candara" w:cs="Times New Roman"/>
                <w:color w:val="000000"/>
                <w:sz w:val="18"/>
                <w:szCs w:val="18"/>
                <w:lang w:eastAsia="en-AU"/>
              </w:rPr>
            </w:pPr>
            <w:r>
              <w:rPr>
                <w:rFonts w:ascii="Candara" w:eastAsia="Times New Roman" w:hAnsi="Candara" w:cs="Times New Roman"/>
                <w:color w:val="000000"/>
                <w:sz w:val="18"/>
                <w:szCs w:val="18"/>
                <w:lang w:eastAsia="en-AU"/>
              </w:rPr>
              <w:t>22.3</w:t>
            </w:r>
          </w:p>
        </w:tc>
      </w:tr>
      <w:tr w:rsidR="007F4F2B" w:rsidRPr="00B211D5" w14:paraId="00A2141D" w14:textId="77777777" w:rsidTr="009A0F5A">
        <w:trPr>
          <w:trHeight w:val="300"/>
        </w:trPr>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0EA45ACB" w14:textId="77777777" w:rsidR="007F4F2B" w:rsidRPr="00B211D5" w:rsidRDefault="007F4F2B" w:rsidP="009B0617">
            <w:pPr>
              <w:spacing w:before="60" w:after="60" w:line="240" w:lineRule="auto"/>
              <w:rPr>
                <w:rFonts w:ascii="Candara" w:eastAsia="Times New Roman" w:hAnsi="Candara" w:cs="Times New Roman"/>
                <w:b/>
                <w:color w:val="FFFFFF" w:themeColor="background1"/>
                <w:sz w:val="18"/>
                <w:szCs w:val="18"/>
                <w:lang w:eastAsia="en-AU"/>
              </w:rPr>
            </w:pPr>
            <w:r w:rsidRPr="00B211D5">
              <w:rPr>
                <w:rFonts w:ascii="Candara" w:eastAsia="Times New Roman" w:hAnsi="Candara" w:cs="Times New Roman"/>
                <w:b/>
                <w:color w:val="FFFFFF" w:themeColor="background1"/>
                <w:sz w:val="18"/>
                <w:szCs w:val="18"/>
                <w:lang w:eastAsia="en-AU"/>
              </w:rPr>
              <w:t>Total</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23BE6CD" w14:textId="5D051907" w:rsidR="007F4F2B" w:rsidRPr="00B211D5" w:rsidRDefault="007F4F2B" w:rsidP="009B0617">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3,171</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F122422" w14:textId="68A89D63" w:rsidR="007F4F2B" w:rsidRPr="00B211D5" w:rsidRDefault="00CD65D3" w:rsidP="00CD65D3">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3004.3</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0000" w:themeFill="text1"/>
            <w:noWrap/>
            <w:vAlign w:val="bottom"/>
            <w:hideMark/>
          </w:tcPr>
          <w:p w14:paraId="56010823" w14:textId="519AE4D2" w:rsidR="007F4F2B" w:rsidRPr="00B211D5" w:rsidRDefault="00CD65D3" w:rsidP="00CD65D3">
            <w:pPr>
              <w:spacing w:before="60" w:after="60" w:line="240" w:lineRule="auto"/>
              <w:jc w:val="right"/>
              <w:rPr>
                <w:rFonts w:ascii="Candara" w:eastAsia="Times New Roman" w:hAnsi="Candara" w:cs="Times New Roman"/>
                <w:b/>
                <w:color w:val="FFFFFF" w:themeColor="background1"/>
                <w:sz w:val="18"/>
                <w:szCs w:val="18"/>
                <w:lang w:eastAsia="en-AU"/>
              </w:rPr>
            </w:pPr>
            <w:r>
              <w:rPr>
                <w:rFonts w:ascii="Candara" w:eastAsia="Times New Roman" w:hAnsi="Candara" w:cs="Times New Roman"/>
                <w:b/>
                <w:color w:val="FFFFFF" w:themeColor="background1"/>
                <w:sz w:val="18"/>
                <w:szCs w:val="18"/>
                <w:lang w:eastAsia="en-AU"/>
              </w:rPr>
              <w:t>751.1</w:t>
            </w:r>
          </w:p>
        </w:tc>
      </w:tr>
    </w:tbl>
    <w:p w14:paraId="7F971CA0" w14:textId="77777777" w:rsidR="003E3A46" w:rsidRDefault="003E3A46" w:rsidP="007F7FFB">
      <w:pPr>
        <w:rPr>
          <w:rFonts w:ascii="Candara" w:hAnsi="Candara"/>
          <w:b/>
          <w:sz w:val="28"/>
          <w:szCs w:val="28"/>
        </w:rPr>
      </w:pPr>
    </w:p>
    <w:tbl>
      <w:tblPr>
        <w:tblW w:w="6200" w:type="dxa"/>
        <w:tblInd w:w="93" w:type="dxa"/>
        <w:tblLook w:val="04A0" w:firstRow="1" w:lastRow="0" w:firstColumn="1" w:lastColumn="0" w:noHBand="0" w:noVBand="1"/>
      </w:tblPr>
      <w:tblGrid>
        <w:gridCol w:w="2180"/>
        <w:gridCol w:w="1340"/>
        <w:gridCol w:w="1340"/>
        <w:gridCol w:w="1340"/>
      </w:tblGrid>
      <w:tr w:rsidR="00CD65D3" w:rsidRPr="00CD65D3" w14:paraId="6E05A02A" w14:textId="77777777" w:rsidTr="00CD65D3">
        <w:trPr>
          <w:trHeight w:val="480"/>
        </w:trPr>
        <w:tc>
          <w:tcPr>
            <w:tcW w:w="2180" w:type="dxa"/>
            <w:vMerge w:val="restart"/>
            <w:tcBorders>
              <w:top w:val="single" w:sz="4" w:space="0" w:color="BFBFBF"/>
              <w:left w:val="single" w:sz="4" w:space="0" w:color="BFBFBF"/>
              <w:bottom w:val="single" w:sz="4" w:space="0" w:color="BFBFBF"/>
              <w:right w:val="single" w:sz="4" w:space="0" w:color="BFBFBF"/>
            </w:tcBorders>
            <w:shd w:val="clear" w:color="000000" w:fill="365F91"/>
            <w:noWrap/>
            <w:vAlign w:val="center"/>
            <w:hideMark/>
          </w:tcPr>
          <w:p w14:paraId="3A9510C2"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Distribution Business</w:t>
            </w:r>
          </w:p>
        </w:tc>
        <w:tc>
          <w:tcPr>
            <w:tcW w:w="1340" w:type="dxa"/>
            <w:tcBorders>
              <w:top w:val="single" w:sz="4" w:space="0" w:color="BFBFBF"/>
              <w:left w:val="nil"/>
              <w:bottom w:val="single" w:sz="4" w:space="0" w:color="BFBFBF"/>
              <w:right w:val="single" w:sz="4" w:space="0" w:color="BFBFBF"/>
            </w:tcBorders>
            <w:shd w:val="clear" w:color="000000" w:fill="365F91"/>
            <w:vAlign w:val="center"/>
            <w:hideMark/>
          </w:tcPr>
          <w:p w14:paraId="03B0BBF2"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Raw</w:t>
            </w:r>
            <w:r w:rsidRPr="00CD65D3">
              <w:rPr>
                <w:rFonts w:ascii="Candara" w:eastAsia="Times New Roman" w:hAnsi="Candara" w:cs="Times New Roman"/>
                <w:b/>
                <w:bCs/>
                <w:color w:val="FFFFFF"/>
                <w:sz w:val="18"/>
                <w:szCs w:val="18"/>
                <w:lang w:eastAsia="en-AU"/>
              </w:rPr>
              <w:br/>
              <w:t xml:space="preserve"> Ignition Count</w:t>
            </w:r>
          </w:p>
        </w:tc>
        <w:tc>
          <w:tcPr>
            <w:tcW w:w="1340" w:type="dxa"/>
            <w:tcBorders>
              <w:top w:val="single" w:sz="4" w:space="0" w:color="BFBFBF"/>
              <w:left w:val="nil"/>
              <w:bottom w:val="single" w:sz="4" w:space="0" w:color="BFBFBF"/>
              <w:right w:val="single" w:sz="4" w:space="0" w:color="BFBFBF"/>
            </w:tcBorders>
            <w:shd w:val="clear" w:color="000000" w:fill="365F91"/>
            <w:noWrap/>
            <w:vAlign w:val="center"/>
            <w:hideMark/>
          </w:tcPr>
          <w:p w14:paraId="2E26E1BF"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IRU Total</w:t>
            </w:r>
          </w:p>
        </w:tc>
        <w:tc>
          <w:tcPr>
            <w:tcW w:w="1340" w:type="dxa"/>
            <w:tcBorders>
              <w:top w:val="single" w:sz="4" w:space="0" w:color="BFBFBF"/>
              <w:left w:val="nil"/>
              <w:bottom w:val="single" w:sz="4" w:space="0" w:color="BFBFBF"/>
              <w:right w:val="single" w:sz="4" w:space="0" w:color="BFBFBF"/>
            </w:tcBorders>
            <w:shd w:val="clear" w:color="000000" w:fill="365F91"/>
            <w:noWrap/>
            <w:vAlign w:val="center"/>
            <w:hideMark/>
          </w:tcPr>
          <w:p w14:paraId="24AF2405"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IRU Baseline</w:t>
            </w:r>
          </w:p>
        </w:tc>
      </w:tr>
      <w:tr w:rsidR="00CD65D3" w:rsidRPr="00CD65D3" w14:paraId="2C6E0E61" w14:textId="77777777" w:rsidTr="00CD65D3">
        <w:trPr>
          <w:trHeight w:val="300"/>
        </w:trPr>
        <w:tc>
          <w:tcPr>
            <w:tcW w:w="2180" w:type="dxa"/>
            <w:vMerge/>
            <w:tcBorders>
              <w:top w:val="single" w:sz="4" w:space="0" w:color="BFBFBF"/>
              <w:left w:val="single" w:sz="4" w:space="0" w:color="BFBFBF"/>
              <w:bottom w:val="single" w:sz="4" w:space="0" w:color="BFBFBF"/>
              <w:right w:val="single" w:sz="4" w:space="0" w:color="BFBFBF"/>
            </w:tcBorders>
            <w:vAlign w:val="center"/>
            <w:hideMark/>
          </w:tcPr>
          <w:p w14:paraId="68DE6EFB"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p>
        </w:tc>
        <w:tc>
          <w:tcPr>
            <w:tcW w:w="1340" w:type="dxa"/>
            <w:tcBorders>
              <w:top w:val="nil"/>
              <w:left w:val="nil"/>
              <w:bottom w:val="single" w:sz="4" w:space="0" w:color="BFBFBF"/>
              <w:right w:val="single" w:sz="4" w:space="0" w:color="BFBFBF"/>
            </w:tcBorders>
            <w:shd w:val="clear" w:color="000000" w:fill="365F91"/>
            <w:noWrap/>
            <w:vAlign w:val="center"/>
            <w:hideMark/>
          </w:tcPr>
          <w:p w14:paraId="38547976"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(2012-15)</w:t>
            </w:r>
          </w:p>
        </w:tc>
        <w:tc>
          <w:tcPr>
            <w:tcW w:w="1340" w:type="dxa"/>
            <w:tcBorders>
              <w:top w:val="nil"/>
              <w:left w:val="nil"/>
              <w:bottom w:val="single" w:sz="4" w:space="0" w:color="BFBFBF"/>
              <w:right w:val="single" w:sz="4" w:space="0" w:color="BFBFBF"/>
            </w:tcBorders>
            <w:shd w:val="clear" w:color="000000" w:fill="365F91"/>
            <w:noWrap/>
            <w:vAlign w:val="center"/>
            <w:hideMark/>
          </w:tcPr>
          <w:p w14:paraId="1BC47B63"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(2012-15)</w:t>
            </w:r>
          </w:p>
        </w:tc>
        <w:tc>
          <w:tcPr>
            <w:tcW w:w="1340" w:type="dxa"/>
            <w:tcBorders>
              <w:top w:val="nil"/>
              <w:left w:val="nil"/>
              <w:bottom w:val="single" w:sz="4" w:space="0" w:color="BFBFBF"/>
              <w:right w:val="single" w:sz="4" w:space="0" w:color="BFBFBF"/>
            </w:tcBorders>
            <w:shd w:val="clear" w:color="000000" w:fill="365F91"/>
            <w:noWrap/>
            <w:vAlign w:val="center"/>
            <w:hideMark/>
          </w:tcPr>
          <w:p w14:paraId="5BBE3E6F" w14:textId="77777777" w:rsidR="00CD65D3" w:rsidRPr="00CD65D3" w:rsidRDefault="00CD65D3" w:rsidP="00CD65D3">
            <w:pPr>
              <w:spacing w:after="0" w:line="240" w:lineRule="auto"/>
              <w:jc w:val="center"/>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(annual)</w:t>
            </w:r>
          </w:p>
        </w:tc>
      </w:tr>
      <w:tr w:rsidR="00CD65D3" w:rsidRPr="00CD65D3" w14:paraId="047367A5"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365F91"/>
            <w:noWrap/>
            <w:vAlign w:val="center"/>
            <w:hideMark/>
          </w:tcPr>
          <w:p w14:paraId="152A61DA"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AusNet Services</w:t>
            </w:r>
          </w:p>
        </w:tc>
        <w:tc>
          <w:tcPr>
            <w:tcW w:w="1340" w:type="dxa"/>
            <w:tcBorders>
              <w:top w:val="nil"/>
              <w:left w:val="nil"/>
              <w:bottom w:val="single" w:sz="4" w:space="0" w:color="BFBFBF"/>
              <w:right w:val="single" w:sz="4" w:space="0" w:color="BFBFBF"/>
            </w:tcBorders>
            <w:shd w:val="clear" w:color="auto" w:fill="auto"/>
            <w:noWrap/>
            <w:vAlign w:val="center"/>
            <w:hideMark/>
          </w:tcPr>
          <w:p w14:paraId="15F8AE08"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656</w:t>
            </w:r>
          </w:p>
        </w:tc>
        <w:tc>
          <w:tcPr>
            <w:tcW w:w="1340" w:type="dxa"/>
            <w:tcBorders>
              <w:top w:val="nil"/>
              <w:left w:val="nil"/>
              <w:bottom w:val="single" w:sz="4" w:space="0" w:color="BFBFBF"/>
              <w:right w:val="single" w:sz="4" w:space="0" w:color="BFBFBF"/>
            </w:tcBorders>
            <w:shd w:val="clear" w:color="auto" w:fill="auto"/>
            <w:noWrap/>
            <w:vAlign w:val="center"/>
            <w:hideMark/>
          </w:tcPr>
          <w:p w14:paraId="0039277A"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990.94</w:t>
            </w:r>
          </w:p>
        </w:tc>
        <w:tc>
          <w:tcPr>
            <w:tcW w:w="1340" w:type="dxa"/>
            <w:tcBorders>
              <w:top w:val="nil"/>
              <w:left w:val="nil"/>
              <w:bottom w:val="single" w:sz="4" w:space="0" w:color="BFBFBF"/>
              <w:right w:val="single" w:sz="4" w:space="0" w:color="BFBFBF"/>
            </w:tcBorders>
            <w:shd w:val="clear" w:color="auto" w:fill="auto"/>
            <w:noWrap/>
            <w:vAlign w:val="center"/>
            <w:hideMark/>
          </w:tcPr>
          <w:p w14:paraId="2BAC1A22"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247.7</w:t>
            </w:r>
          </w:p>
        </w:tc>
      </w:tr>
      <w:tr w:rsidR="00CD65D3" w:rsidRPr="00CD65D3" w14:paraId="3F133EE9"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365F91"/>
            <w:noWrap/>
            <w:vAlign w:val="center"/>
            <w:hideMark/>
          </w:tcPr>
          <w:p w14:paraId="5A5BC5E9"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CitiPower</w:t>
            </w:r>
          </w:p>
        </w:tc>
        <w:tc>
          <w:tcPr>
            <w:tcW w:w="1340" w:type="dxa"/>
            <w:tcBorders>
              <w:top w:val="nil"/>
              <w:left w:val="nil"/>
              <w:bottom w:val="single" w:sz="4" w:space="0" w:color="BFBFBF"/>
              <w:right w:val="single" w:sz="4" w:space="0" w:color="BFBFBF"/>
            </w:tcBorders>
            <w:shd w:val="clear" w:color="auto" w:fill="auto"/>
            <w:noWrap/>
            <w:vAlign w:val="center"/>
            <w:hideMark/>
          </w:tcPr>
          <w:p w14:paraId="0DC4527D"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108</w:t>
            </w:r>
          </w:p>
        </w:tc>
        <w:tc>
          <w:tcPr>
            <w:tcW w:w="1340" w:type="dxa"/>
            <w:tcBorders>
              <w:top w:val="nil"/>
              <w:left w:val="nil"/>
              <w:bottom w:val="single" w:sz="4" w:space="0" w:color="BFBFBF"/>
              <w:right w:val="single" w:sz="4" w:space="0" w:color="BFBFBF"/>
            </w:tcBorders>
            <w:shd w:val="clear" w:color="auto" w:fill="auto"/>
            <w:noWrap/>
            <w:vAlign w:val="center"/>
            <w:hideMark/>
          </w:tcPr>
          <w:p w14:paraId="3F9D4CE4"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13.48</w:t>
            </w:r>
          </w:p>
        </w:tc>
        <w:tc>
          <w:tcPr>
            <w:tcW w:w="1340" w:type="dxa"/>
            <w:tcBorders>
              <w:top w:val="nil"/>
              <w:left w:val="nil"/>
              <w:bottom w:val="single" w:sz="4" w:space="0" w:color="BFBFBF"/>
              <w:right w:val="single" w:sz="4" w:space="0" w:color="BFBFBF"/>
            </w:tcBorders>
            <w:shd w:val="clear" w:color="auto" w:fill="auto"/>
            <w:noWrap/>
            <w:vAlign w:val="center"/>
            <w:hideMark/>
          </w:tcPr>
          <w:p w14:paraId="109BAB9C"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3.4</w:t>
            </w:r>
          </w:p>
        </w:tc>
      </w:tr>
      <w:tr w:rsidR="00CD65D3" w:rsidRPr="00CD65D3" w14:paraId="2C3D3F7F"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365F91"/>
            <w:noWrap/>
            <w:vAlign w:val="center"/>
            <w:hideMark/>
          </w:tcPr>
          <w:p w14:paraId="6061562C"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Jemena</w:t>
            </w:r>
          </w:p>
        </w:tc>
        <w:tc>
          <w:tcPr>
            <w:tcW w:w="1340" w:type="dxa"/>
            <w:tcBorders>
              <w:top w:val="nil"/>
              <w:left w:val="nil"/>
              <w:bottom w:val="single" w:sz="4" w:space="0" w:color="BFBFBF"/>
              <w:right w:val="single" w:sz="4" w:space="0" w:color="BFBFBF"/>
            </w:tcBorders>
            <w:shd w:val="clear" w:color="auto" w:fill="auto"/>
            <w:noWrap/>
            <w:vAlign w:val="center"/>
            <w:hideMark/>
          </w:tcPr>
          <w:p w14:paraId="1133B48C"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271</w:t>
            </w:r>
          </w:p>
        </w:tc>
        <w:tc>
          <w:tcPr>
            <w:tcW w:w="1340" w:type="dxa"/>
            <w:tcBorders>
              <w:top w:val="nil"/>
              <w:left w:val="nil"/>
              <w:bottom w:val="single" w:sz="4" w:space="0" w:color="BFBFBF"/>
              <w:right w:val="single" w:sz="4" w:space="0" w:color="BFBFBF"/>
            </w:tcBorders>
            <w:shd w:val="clear" w:color="auto" w:fill="auto"/>
            <w:noWrap/>
            <w:vAlign w:val="center"/>
            <w:hideMark/>
          </w:tcPr>
          <w:p w14:paraId="07A21B2E"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38.8</w:t>
            </w:r>
          </w:p>
        </w:tc>
        <w:tc>
          <w:tcPr>
            <w:tcW w:w="1340" w:type="dxa"/>
            <w:tcBorders>
              <w:top w:val="nil"/>
              <w:left w:val="nil"/>
              <w:bottom w:val="single" w:sz="4" w:space="0" w:color="BFBFBF"/>
              <w:right w:val="single" w:sz="4" w:space="0" w:color="BFBFBF"/>
            </w:tcBorders>
            <w:shd w:val="clear" w:color="auto" w:fill="auto"/>
            <w:noWrap/>
            <w:vAlign w:val="center"/>
            <w:hideMark/>
          </w:tcPr>
          <w:p w14:paraId="70F96FA7"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9.7</w:t>
            </w:r>
          </w:p>
        </w:tc>
      </w:tr>
      <w:tr w:rsidR="00CD65D3" w:rsidRPr="00CD65D3" w14:paraId="0EBEC4C2"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365F91"/>
            <w:noWrap/>
            <w:vAlign w:val="center"/>
            <w:hideMark/>
          </w:tcPr>
          <w:p w14:paraId="44B9BF48"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Powercor</w:t>
            </w:r>
          </w:p>
        </w:tc>
        <w:tc>
          <w:tcPr>
            <w:tcW w:w="1340" w:type="dxa"/>
            <w:tcBorders>
              <w:top w:val="nil"/>
              <w:left w:val="nil"/>
              <w:bottom w:val="single" w:sz="4" w:space="0" w:color="BFBFBF"/>
              <w:right w:val="single" w:sz="4" w:space="0" w:color="BFBFBF"/>
            </w:tcBorders>
            <w:shd w:val="clear" w:color="auto" w:fill="auto"/>
            <w:noWrap/>
            <w:vAlign w:val="center"/>
            <w:hideMark/>
          </w:tcPr>
          <w:p w14:paraId="24EC0653"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1,609</w:t>
            </w:r>
          </w:p>
        </w:tc>
        <w:tc>
          <w:tcPr>
            <w:tcW w:w="1340" w:type="dxa"/>
            <w:tcBorders>
              <w:top w:val="nil"/>
              <w:left w:val="nil"/>
              <w:bottom w:val="single" w:sz="4" w:space="0" w:color="BFBFBF"/>
              <w:right w:val="single" w:sz="4" w:space="0" w:color="BFBFBF"/>
            </w:tcBorders>
            <w:shd w:val="clear" w:color="auto" w:fill="auto"/>
            <w:noWrap/>
            <w:vAlign w:val="center"/>
            <w:hideMark/>
          </w:tcPr>
          <w:p w14:paraId="0DBB577A"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1,871.98</w:t>
            </w:r>
          </w:p>
        </w:tc>
        <w:tc>
          <w:tcPr>
            <w:tcW w:w="1340" w:type="dxa"/>
            <w:tcBorders>
              <w:top w:val="nil"/>
              <w:left w:val="nil"/>
              <w:bottom w:val="single" w:sz="4" w:space="0" w:color="BFBFBF"/>
              <w:right w:val="single" w:sz="4" w:space="0" w:color="BFBFBF"/>
            </w:tcBorders>
            <w:shd w:val="clear" w:color="auto" w:fill="auto"/>
            <w:noWrap/>
            <w:vAlign w:val="center"/>
            <w:hideMark/>
          </w:tcPr>
          <w:p w14:paraId="67179512"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468.0</w:t>
            </w:r>
          </w:p>
        </w:tc>
      </w:tr>
      <w:tr w:rsidR="00CD65D3" w:rsidRPr="00CD65D3" w14:paraId="40C53E9D"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365F91"/>
            <w:noWrap/>
            <w:vAlign w:val="center"/>
            <w:hideMark/>
          </w:tcPr>
          <w:p w14:paraId="478F0B8F"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United Energy</w:t>
            </w:r>
          </w:p>
        </w:tc>
        <w:tc>
          <w:tcPr>
            <w:tcW w:w="1340" w:type="dxa"/>
            <w:tcBorders>
              <w:top w:val="nil"/>
              <w:left w:val="nil"/>
              <w:bottom w:val="single" w:sz="4" w:space="0" w:color="BFBFBF"/>
              <w:right w:val="single" w:sz="4" w:space="0" w:color="BFBFBF"/>
            </w:tcBorders>
            <w:shd w:val="clear" w:color="auto" w:fill="auto"/>
            <w:noWrap/>
            <w:vAlign w:val="center"/>
            <w:hideMark/>
          </w:tcPr>
          <w:p w14:paraId="55BB58EB"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527</w:t>
            </w:r>
          </w:p>
        </w:tc>
        <w:tc>
          <w:tcPr>
            <w:tcW w:w="1340" w:type="dxa"/>
            <w:tcBorders>
              <w:top w:val="nil"/>
              <w:left w:val="nil"/>
              <w:bottom w:val="single" w:sz="4" w:space="0" w:color="BFBFBF"/>
              <w:right w:val="single" w:sz="4" w:space="0" w:color="BFBFBF"/>
            </w:tcBorders>
            <w:shd w:val="clear" w:color="auto" w:fill="auto"/>
            <w:noWrap/>
            <w:vAlign w:val="center"/>
            <w:hideMark/>
          </w:tcPr>
          <w:p w14:paraId="0F4F25C3"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89.1</w:t>
            </w:r>
          </w:p>
        </w:tc>
        <w:tc>
          <w:tcPr>
            <w:tcW w:w="1340" w:type="dxa"/>
            <w:tcBorders>
              <w:top w:val="nil"/>
              <w:left w:val="nil"/>
              <w:bottom w:val="single" w:sz="4" w:space="0" w:color="BFBFBF"/>
              <w:right w:val="single" w:sz="4" w:space="0" w:color="BFBFBF"/>
            </w:tcBorders>
            <w:shd w:val="clear" w:color="auto" w:fill="auto"/>
            <w:noWrap/>
            <w:vAlign w:val="center"/>
            <w:hideMark/>
          </w:tcPr>
          <w:p w14:paraId="6A685D03" w14:textId="77777777" w:rsidR="00CD65D3" w:rsidRPr="00CD65D3" w:rsidRDefault="00CD65D3" w:rsidP="00CD65D3">
            <w:pPr>
              <w:spacing w:after="0" w:line="240" w:lineRule="auto"/>
              <w:jc w:val="right"/>
              <w:rPr>
                <w:rFonts w:ascii="Candara" w:eastAsia="Times New Roman" w:hAnsi="Candara" w:cs="Times New Roman"/>
                <w:color w:val="000000"/>
                <w:sz w:val="18"/>
                <w:szCs w:val="18"/>
                <w:lang w:eastAsia="en-AU"/>
              </w:rPr>
            </w:pPr>
            <w:r w:rsidRPr="00CD65D3">
              <w:rPr>
                <w:rFonts w:ascii="Candara" w:eastAsia="Times New Roman" w:hAnsi="Candara" w:cs="Times New Roman"/>
                <w:color w:val="000000"/>
                <w:sz w:val="18"/>
                <w:szCs w:val="18"/>
                <w:lang w:eastAsia="en-AU"/>
              </w:rPr>
              <w:t>22.3</w:t>
            </w:r>
          </w:p>
        </w:tc>
      </w:tr>
      <w:tr w:rsidR="00CD65D3" w:rsidRPr="00CD65D3" w14:paraId="7697F489" w14:textId="77777777" w:rsidTr="00CD65D3">
        <w:trPr>
          <w:trHeight w:val="300"/>
        </w:trPr>
        <w:tc>
          <w:tcPr>
            <w:tcW w:w="2180" w:type="dxa"/>
            <w:tcBorders>
              <w:top w:val="nil"/>
              <w:left w:val="single" w:sz="4" w:space="0" w:color="BFBFBF"/>
              <w:bottom w:val="single" w:sz="4" w:space="0" w:color="BFBFBF"/>
              <w:right w:val="single" w:sz="4" w:space="0" w:color="BFBFBF"/>
            </w:tcBorders>
            <w:shd w:val="clear" w:color="000000" w:fill="000000"/>
            <w:noWrap/>
            <w:vAlign w:val="center"/>
            <w:hideMark/>
          </w:tcPr>
          <w:p w14:paraId="69FFF6E8" w14:textId="77777777" w:rsidR="00CD65D3" w:rsidRPr="00CD65D3" w:rsidRDefault="00CD65D3" w:rsidP="00CD65D3">
            <w:pPr>
              <w:spacing w:after="0" w:line="240" w:lineRule="auto"/>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Total</w:t>
            </w:r>
          </w:p>
        </w:tc>
        <w:tc>
          <w:tcPr>
            <w:tcW w:w="1340" w:type="dxa"/>
            <w:tcBorders>
              <w:top w:val="nil"/>
              <w:left w:val="nil"/>
              <w:bottom w:val="single" w:sz="4" w:space="0" w:color="BFBFBF"/>
              <w:right w:val="single" w:sz="4" w:space="0" w:color="BFBFBF"/>
            </w:tcBorders>
            <w:shd w:val="clear" w:color="000000" w:fill="000000"/>
            <w:noWrap/>
            <w:vAlign w:val="center"/>
            <w:hideMark/>
          </w:tcPr>
          <w:p w14:paraId="1BB01560" w14:textId="77777777" w:rsidR="00CD65D3" w:rsidRPr="00CD65D3" w:rsidRDefault="00CD65D3" w:rsidP="00CD65D3">
            <w:pPr>
              <w:spacing w:after="0" w:line="240" w:lineRule="auto"/>
              <w:jc w:val="right"/>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3,171</w:t>
            </w:r>
          </w:p>
        </w:tc>
        <w:tc>
          <w:tcPr>
            <w:tcW w:w="1340" w:type="dxa"/>
            <w:tcBorders>
              <w:top w:val="nil"/>
              <w:left w:val="nil"/>
              <w:bottom w:val="single" w:sz="4" w:space="0" w:color="BFBFBF"/>
              <w:right w:val="single" w:sz="4" w:space="0" w:color="BFBFBF"/>
            </w:tcBorders>
            <w:shd w:val="clear" w:color="000000" w:fill="000000"/>
            <w:noWrap/>
            <w:vAlign w:val="center"/>
            <w:hideMark/>
          </w:tcPr>
          <w:p w14:paraId="4D30B75A" w14:textId="77777777" w:rsidR="00CD65D3" w:rsidRPr="00CD65D3" w:rsidRDefault="00CD65D3" w:rsidP="00CD65D3">
            <w:pPr>
              <w:spacing w:after="0" w:line="240" w:lineRule="auto"/>
              <w:jc w:val="right"/>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3,004.3</w:t>
            </w:r>
          </w:p>
        </w:tc>
        <w:tc>
          <w:tcPr>
            <w:tcW w:w="1340" w:type="dxa"/>
            <w:tcBorders>
              <w:top w:val="nil"/>
              <w:left w:val="nil"/>
              <w:bottom w:val="single" w:sz="4" w:space="0" w:color="BFBFBF"/>
              <w:right w:val="single" w:sz="4" w:space="0" w:color="BFBFBF"/>
            </w:tcBorders>
            <w:shd w:val="clear" w:color="000000" w:fill="000000"/>
            <w:noWrap/>
            <w:vAlign w:val="center"/>
            <w:hideMark/>
          </w:tcPr>
          <w:p w14:paraId="60F6C95E" w14:textId="77777777" w:rsidR="00CD65D3" w:rsidRPr="00CD65D3" w:rsidRDefault="00CD65D3" w:rsidP="00CD65D3">
            <w:pPr>
              <w:spacing w:after="0" w:line="240" w:lineRule="auto"/>
              <w:jc w:val="right"/>
              <w:rPr>
                <w:rFonts w:ascii="Candara" w:eastAsia="Times New Roman" w:hAnsi="Candara" w:cs="Times New Roman"/>
                <w:b/>
                <w:bCs/>
                <w:color w:val="FFFFFF"/>
                <w:sz w:val="18"/>
                <w:szCs w:val="18"/>
                <w:lang w:eastAsia="en-AU"/>
              </w:rPr>
            </w:pPr>
            <w:r w:rsidRPr="00CD65D3">
              <w:rPr>
                <w:rFonts w:ascii="Candara" w:eastAsia="Times New Roman" w:hAnsi="Candara" w:cs="Times New Roman"/>
                <w:b/>
                <w:bCs/>
                <w:color w:val="FFFFFF"/>
                <w:sz w:val="18"/>
                <w:szCs w:val="18"/>
                <w:lang w:eastAsia="en-AU"/>
              </w:rPr>
              <w:t>751.1</w:t>
            </w:r>
          </w:p>
        </w:tc>
      </w:tr>
    </w:tbl>
    <w:p w14:paraId="04FE5108" w14:textId="77777777" w:rsidR="00BD3D3A" w:rsidRDefault="00BD3D3A" w:rsidP="007F7FFB">
      <w:pPr>
        <w:rPr>
          <w:rFonts w:ascii="Candara" w:hAnsi="Candara"/>
          <w:b/>
          <w:sz w:val="28"/>
          <w:szCs w:val="28"/>
        </w:rPr>
      </w:pPr>
    </w:p>
    <w:p w14:paraId="3BE4F3FA" w14:textId="77777777" w:rsidR="00BD3D3A" w:rsidRDefault="00BD3D3A" w:rsidP="007F7FFB">
      <w:pPr>
        <w:rPr>
          <w:rFonts w:ascii="Candara" w:hAnsi="Candara"/>
          <w:b/>
          <w:sz w:val="28"/>
          <w:szCs w:val="28"/>
        </w:rPr>
      </w:pPr>
    </w:p>
    <w:p w14:paraId="17238FD9" w14:textId="77777777" w:rsidR="00BD3D3A" w:rsidRDefault="00BD3D3A" w:rsidP="007F7FFB">
      <w:pPr>
        <w:rPr>
          <w:rFonts w:ascii="Candara" w:hAnsi="Candara"/>
          <w:b/>
          <w:sz w:val="28"/>
          <w:szCs w:val="28"/>
        </w:rPr>
        <w:sectPr w:rsidR="00BD3D3A" w:rsidSect="009B7E67">
          <w:headerReference w:type="even" r:id="rId47"/>
          <w:headerReference w:type="default" r:id="rId48"/>
          <w:footerReference w:type="default" r:id="rId49"/>
          <w:headerReference w:type="first" r:id="rId50"/>
          <w:footerReference w:type="first" r:id="rId51"/>
          <w:pgSz w:w="11906" w:h="16838" w:code="9"/>
          <w:pgMar w:top="1440" w:right="1440" w:bottom="1440" w:left="1440" w:header="709" w:footer="624" w:gutter="0"/>
          <w:cols w:space="708"/>
          <w:titlePg/>
          <w:docGrid w:linePitch="360"/>
        </w:sectPr>
      </w:pPr>
    </w:p>
    <w:p w14:paraId="639DFEC2" w14:textId="7B4E22B9" w:rsidR="009B0617" w:rsidRPr="00B022BB" w:rsidRDefault="00B022BB" w:rsidP="007F7FFB">
      <w:pPr>
        <w:rPr>
          <w:rFonts w:ascii="Candara" w:hAnsi="Candara"/>
          <w:b/>
          <w:sz w:val="28"/>
          <w:szCs w:val="28"/>
        </w:rPr>
      </w:pPr>
      <w:r>
        <w:rPr>
          <w:rFonts w:ascii="Candara" w:hAnsi="Candara"/>
          <w:b/>
          <w:sz w:val="28"/>
          <w:szCs w:val="28"/>
        </w:rPr>
        <w:lastRenderedPageBreak/>
        <w:t xml:space="preserve">C. </w:t>
      </w:r>
      <w:r w:rsidR="009B0617" w:rsidRPr="00B022BB">
        <w:rPr>
          <w:rFonts w:ascii="Candara" w:hAnsi="Candara"/>
          <w:b/>
          <w:sz w:val="28"/>
          <w:szCs w:val="28"/>
        </w:rPr>
        <w:t>Setting the Incentive Rate for a single IRU</w:t>
      </w:r>
    </w:p>
    <w:p w14:paraId="3F434426" w14:textId="77777777" w:rsidR="009B0617" w:rsidRPr="00B211D5" w:rsidRDefault="009B0617" w:rsidP="009B0617">
      <w:pPr>
        <w:rPr>
          <w:rFonts w:ascii="Candara" w:hAnsi="Candara"/>
        </w:rPr>
      </w:pPr>
      <w:r w:rsidRPr="00B211D5">
        <w:rPr>
          <w:rFonts w:ascii="Candara" w:hAnsi="Candara"/>
        </w:rPr>
        <w:t>The next part of the methodology has been designed to inform the determination of the dollar value that will be assigned to a single IRU.</w:t>
      </w:r>
    </w:p>
    <w:p w14:paraId="129A4052" w14:textId="77777777" w:rsidR="009B0617" w:rsidRPr="00B211D5" w:rsidRDefault="009B0617" w:rsidP="009B0617">
      <w:pPr>
        <w:rPr>
          <w:rFonts w:ascii="Candara" w:hAnsi="Candara"/>
        </w:rPr>
      </w:pPr>
      <w:r w:rsidRPr="00B211D5">
        <w:rPr>
          <w:rFonts w:ascii="Candara" w:hAnsi="Candara"/>
        </w:rPr>
        <w:t xml:space="preserve">Under the </w:t>
      </w:r>
      <w:r w:rsidRPr="00B211D5">
        <w:rPr>
          <w:rFonts w:ascii="Candara" w:hAnsi="Candara"/>
          <w:b/>
          <w:color w:val="17365D"/>
        </w:rPr>
        <w:t>present f-factor</w:t>
      </w:r>
      <w:r w:rsidRPr="00B211D5">
        <w:rPr>
          <w:rFonts w:ascii="Candara" w:hAnsi="Candara"/>
        </w:rPr>
        <w:t>, every individual ignition has a value of $25,000.</w:t>
      </w:r>
    </w:p>
    <w:p w14:paraId="42A24D73" w14:textId="77777777" w:rsidR="009B0617" w:rsidRPr="00B211D5" w:rsidRDefault="009B0617" w:rsidP="009B0617">
      <w:pPr>
        <w:rPr>
          <w:rFonts w:ascii="Candara" w:hAnsi="Candara"/>
        </w:rPr>
      </w:pPr>
      <w:r w:rsidRPr="00B211D5">
        <w:rPr>
          <w:rFonts w:ascii="Candara" w:hAnsi="Candara"/>
        </w:rPr>
        <w:t xml:space="preserve">Under the </w:t>
      </w:r>
      <w:r w:rsidRPr="00B211D5">
        <w:rPr>
          <w:rFonts w:ascii="Candara" w:hAnsi="Candara"/>
          <w:b/>
          <w:color w:val="17365D"/>
        </w:rPr>
        <w:t>revised f-factor</w:t>
      </w:r>
      <w:r w:rsidRPr="00B211D5">
        <w:rPr>
          <w:rFonts w:ascii="Candara" w:hAnsi="Candara"/>
        </w:rPr>
        <w:t xml:space="preserve">, an individual ignition no longer has a unit value of 1 but will range in value from 0.02 to 99 IRUs </w:t>
      </w:r>
    </w:p>
    <w:p w14:paraId="67820F70" w14:textId="77777777" w:rsidR="009B0617" w:rsidRPr="00B211D5" w:rsidRDefault="009B0617" w:rsidP="009B0617">
      <w:pPr>
        <w:spacing w:after="60"/>
        <w:rPr>
          <w:rFonts w:ascii="Candara" w:hAnsi="Candara"/>
        </w:rPr>
      </w:pPr>
      <w:r w:rsidRPr="00B211D5">
        <w:rPr>
          <w:rFonts w:ascii="Candara" w:hAnsi="Candara"/>
        </w:rPr>
        <w:t>Appreciating this range of possible IRU scores for an ignition, the value for a single IRU needs to be set at a level that balances the need to both:</w:t>
      </w:r>
    </w:p>
    <w:p w14:paraId="039733A7"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provide the necessary financial incentive for DBs to focus upon all categories of ignition with a high risk profile; and</w:t>
      </w:r>
    </w:p>
    <w:p w14:paraId="5AA539B9"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ensure that both consumers and DBs are not unduly burdened financially by the application of the revised f-factor scheme.</w:t>
      </w:r>
    </w:p>
    <w:p w14:paraId="0FA466EB" w14:textId="77777777" w:rsidR="009B0617" w:rsidRPr="00B211D5" w:rsidRDefault="009B0617" w:rsidP="009B0617">
      <w:pPr>
        <w:rPr>
          <w:rFonts w:ascii="Candara" w:hAnsi="Candara"/>
        </w:rPr>
      </w:pPr>
      <w:r w:rsidRPr="00B211D5">
        <w:rPr>
          <w:rFonts w:ascii="Candara" w:hAnsi="Candara"/>
        </w:rPr>
        <w:t xml:space="preserve">Under the revised f-factor, </w:t>
      </w:r>
      <w:r w:rsidRPr="00B211D5">
        <w:rPr>
          <w:rFonts w:ascii="Candara" w:hAnsi="Candara"/>
          <w:b/>
          <w:color w:val="17365D"/>
        </w:rPr>
        <w:t>the IRU Incentive Rate will have a value of $15,000</w:t>
      </w:r>
      <w:r w:rsidRPr="00B211D5">
        <w:rPr>
          <w:rFonts w:ascii="Candara" w:hAnsi="Candara"/>
        </w:rPr>
        <w:t>.</w:t>
      </w:r>
    </w:p>
    <w:p w14:paraId="310D10C0" w14:textId="514A54AC" w:rsidR="009B0617" w:rsidRPr="00B211D5" w:rsidRDefault="009B0617" w:rsidP="009B0617">
      <w:pPr>
        <w:rPr>
          <w:rFonts w:ascii="Candara" w:hAnsi="Candara"/>
        </w:rPr>
      </w:pPr>
      <w:r w:rsidRPr="00B211D5">
        <w:rPr>
          <w:rFonts w:ascii="Candara" w:hAnsi="Candara"/>
        </w:rPr>
        <w:t xml:space="preserve">This section sets out the analysis and data preparation steps used to inform an IRU Incentive Rate determination. The discussion associated with the assessment of the merit of alternative IRU price points is provided in section </w:t>
      </w:r>
      <w:r w:rsidR="00D91DE1">
        <w:rPr>
          <w:rFonts w:ascii="Candara" w:hAnsi="Candara"/>
        </w:rPr>
        <w:t>4.3</w:t>
      </w:r>
      <w:r w:rsidRPr="00B211D5">
        <w:rPr>
          <w:rFonts w:ascii="Candara" w:hAnsi="Candara"/>
        </w:rPr>
        <w:t>.</w:t>
      </w:r>
    </w:p>
    <w:p w14:paraId="5D48653F" w14:textId="77777777" w:rsidR="009B0617" w:rsidRPr="00B211D5" w:rsidRDefault="009B0617" w:rsidP="009B0617">
      <w:pPr>
        <w:pStyle w:val="BodyText"/>
        <w:rPr>
          <w:rFonts w:ascii="Candara" w:hAnsi="Candara"/>
          <w:b/>
        </w:rPr>
      </w:pPr>
      <w:r w:rsidRPr="00B211D5">
        <w:rPr>
          <w:rFonts w:ascii="Candara" w:hAnsi="Candara"/>
          <w:b/>
        </w:rPr>
        <w:t>Testing IRU sensitivity to weather</w:t>
      </w:r>
    </w:p>
    <w:p w14:paraId="3D611760" w14:textId="77777777" w:rsidR="009B0617" w:rsidRPr="00B211D5" w:rsidRDefault="009B0617" w:rsidP="009B0617">
      <w:pPr>
        <w:rPr>
          <w:rFonts w:ascii="Candara" w:hAnsi="Candara"/>
        </w:rPr>
      </w:pPr>
      <w:r w:rsidRPr="00B211D5">
        <w:rPr>
          <w:rFonts w:ascii="Candara" w:hAnsi="Candara"/>
        </w:rPr>
        <w:t>The revised f-factor is designed to provide an incentive for DBs to put in place operational actions that are within their control while not exposing them unduly to risks associated with factors outside their control. A key facet of the analysis is therefore directed to the potential impacts of future variations in weather on a weighted IRU based scheme, recognising that extreme weather, both cooler and hotter, may impact upon ignition performance.</w:t>
      </w:r>
    </w:p>
    <w:p w14:paraId="50CA9085" w14:textId="77777777" w:rsidR="009B0617" w:rsidRPr="00B211D5" w:rsidRDefault="009B0617" w:rsidP="009B0617">
      <w:pPr>
        <w:rPr>
          <w:rFonts w:ascii="Candara" w:hAnsi="Candara"/>
        </w:rPr>
      </w:pPr>
      <w:r w:rsidRPr="00B211D5">
        <w:rPr>
          <w:rFonts w:ascii="Candara" w:hAnsi="Candara"/>
        </w:rPr>
        <w:t>Like the existing f-factor scheme, the revised scheme is symmetric in design and has been constructed to be cost neutral over time.</w:t>
      </w:r>
    </w:p>
    <w:p w14:paraId="06172592" w14:textId="77777777" w:rsidR="009B0617" w:rsidRPr="00B211D5" w:rsidRDefault="009B0617" w:rsidP="009B0617">
      <w:pPr>
        <w:rPr>
          <w:rFonts w:ascii="Candara" w:hAnsi="Candara"/>
        </w:rPr>
      </w:pPr>
      <w:r w:rsidRPr="00B211D5">
        <w:rPr>
          <w:rFonts w:ascii="Candara" w:hAnsi="Candara"/>
        </w:rPr>
        <w:t>The new scheme will apply initially over a five year period (2016 to 2020), which may or may not experience extremes of weather.</w:t>
      </w:r>
    </w:p>
    <w:p w14:paraId="4109110E" w14:textId="77777777" w:rsidR="009B0617" w:rsidRPr="00B211D5" w:rsidRDefault="009B0617" w:rsidP="009B0617">
      <w:pPr>
        <w:rPr>
          <w:rFonts w:ascii="Candara" w:hAnsi="Candara"/>
        </w:rPr>
      </w:pPr>
      <w:r w:rsidRPr="00B211D5">
        <w:rPr>
          <w:rFonts w:ascii="Candara" w:hAnsi="Candara"/>
        </w:rPr>
        <w:t xml:space="preserve">Due to uncertainty about future weather behaviour, it is necessary to consider the impact that alternative weather scenarios may have on IRU outcomes on a year by year basis, and therefore on the cost transfer between DBs and electricity consumers. </w:t>
      </w:r>
    </w:p>
    <w:p w14:paraId="13E016B6" w14:textId="77777777" w:rsidR="009B0617" w:rsidRPr="00B211D5" w:rsidRDefault="009B0617" w:rsidP="009B0617">
      <w:pPr>
        <w:spacing w:after="60"/>
        <w:rPr>
          <w:rFonts w:ascii="Candara" w:hAnsi="Candara"/>
        </w:rPr>
      </w:pPr>
      <w:r w:rsidRPr="00B211D5">
        <w:rPr>
          <w:rFonts w:ascii="Candara" w:hAnsi="Candara"/>
        </w:rPr>
        <w:t>In a year in which the weather is:</w:t>
      </w:r>
    </w:p>
    <w:p w14:paraId="16D408AE"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b/>
          <w:color w:val="17365D"/>
        </w:rPr>
        <w:t>hotter than average</w:t>
      </w:r>
      <w:r w:rsidRPr="00B211D5">
        <w:rPr>
          <w:rFonts w:ascii="Candara" w:hAnsi="Candara"/>
        </w:rPr>
        <w:t>, there is an increased likelihood that the DB performance will exceed the IRU baseline (increasing the prospects of a DB being penalised); and</w:t>
      </w:r>
    </w:p>
    <w:p w14:paraId="5F5DB667"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b/>
          <w:color w:val="17365D"/>
        </w:rPr>
        <w:t>cooler than average</w:t>
      </w:r>
      <w:r w:rsidRPr="00B211D5">
        <w:rPr>
          <w:rFonts w:ascii="Candara" w:hAnsi="Candara"/>
        </w:rPr>
        <w:t>, there is an increased likelihood that the DB performance will fall below the IRU baseline (increasing the prospects of customer tariff increases).</w:t>
      </w:r>
    </w:p>
    <w:p w14:paraId="192B4C38" w14:textId="6512F91F" w:rsidR="007F7FFB" w:rsidRDefault="009B0617" w:rsidP="009B0617">
      <w:pPr>
        <w:rPr>
          <w:rFonts w:ascii="Candara" w:hAnsi="Candara"/>
        </w:rPr>
      </w:pPr>
      <w:r w:rsidRPr="00B211D5">
        <w:rPr>
          <w:rFonts w:ascii="Candara" w:hAnsi="Candara"/>
        </w:rPr>
        <w:t xml:space="preserve">The Department engaged the Commonwealth Scientific and Industrial Research Organisation (CSIRO) to carry out modelling to estimate the impact of variation in </w:t>
      </w:r>
      <w:r w:rsidR="00326522">
        <w:rPr>
          <w:rFonts w:ascii="Candara" w:hAnsi="Candara"/>
        </w:rPr>
        <w:t>future weather on IRU outcomes.</w:t>
      </w:r>
    </w:p>
    <w:p w14:paraId="03FF3FCE" w14:textId="77777777" w:rsidR="009B0617" w:rsidRPr="00B211D5" w:rsidRDefault="009B0617" w:rsidP="009B0617">
      <w:pPr>
        <w:pStyle w:val="BodyText"/>
        <w:rPr>
          <w:rFonts w:ascii="Candara" w:hAnsi="Candara"/>
          <w:b/>
        </w:rPr>
      </w:pPr>
      <w:r w:rsidRPr="00B211D5">
        <w:rPr>
          <w:rFonts w:ascii="Candara" w:hAnsi="Candara"/>
          <w:b/>
        </w:rPr>
        <w:lastRenderedPageBreak/>
        <w:t>Simulation of future weather years</w:t>
      </w:r>
    </w:p>
    <w:p w14:paraId="723F69EB" w14:textId="1605D4FE" w:rsidR="009B0617" w:rsidRPr="00B211D5" w:rsidRDefault="00CE08A3" w:rsidP="009B0617">
      <w:pPr>
        <w:rPr>
          <w:rFonts w:ascii="Candara" w:hAnsi="Candara"/>
        </w:rPr>
      </w:pPr>
      <w:r>
        <w:rPr>
          <w:rFonts w:ascii="Candara" w:hAnsi="Candara"/>
        </w:rPr>
        <w:t>In setting an IRU basel</w:t>
      </w:r>
      <w:r w:rsidR="009B0617" w:rsidRPr="00B211D5">
        <w:rPr>
          <w:rFonts w:ascii="Candara" w:hAnsi="Candara"/>
        </w:rPr>
        <w:t>ine for each DB, consideration has been given to how much the IRU outcome may vary from year to year under different weather conditions.</w:t>
      </w:r>
    </w:p>
    <w:p w14:paraId="05CF6365" w14:textId="77777777" w:rsidR="009B0617" w:rsidRPr="00B211D5" w:rsidRDefault="009B0617" w:rsidP="009B0617">
      <w:pPr>
        <w:rPr>
          <w:rFonts w:ascii="Candara" w:hAnsi="Candara"/>
        </w:rPr>
      </w:pPr>
      <w:r w:rsidRPr="00B211D5">
        <w:rPr>
          <w:rFonts w:ascii="Candara" w:hAnsi="Candara"/>
        </w:rPr>
        <w:t xml:space="preserve">The CSIRO analysed the powerline ignition history of distribution businesses in the three years from 2012 to 2014. To test how the proposed f-factor may function under different weather scenarios, CSIRO generated 30,000 simulated ignition years using the 2012-14 data. </w:t>
      </w:r>
    </w:p>
    <w:p w14:paraId="0024D94F" w14:textId="77777777" w:rsidR="009B0617" w:rsidRPr="00B211D5" w:rsidRDefault="009B0617" w:rsidP="009B0617">
      <w:pPr>
        <w:rPr>
          <w:rFonts w:ascii="Candara" w:hAnsi="Candara"/>
        </w:rPr>
      </w:pPr>
      <w:r w:rsidRPr="00B211D5">
        <w:rPr>
          <w:rFonts w:ascii="Candara" w:hAnsi="Candara"/>
        </w:rPr>
        <w:t>All simulated sample years were based on the observed data in 2012 to 2014. This means, for example, that as no Code Red day appeared in the source data, a Code Red day could not appear in any of the simulated years.</w:t>
      </w:r>
    </w:p>
    <w:tbl>
      <w:tblPr>
        <w:tblStyle w:val="TableGrid"/>
        <w:tblW w:w="0" w:type="auto"/>
        <w:tblInd w:w="434"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shd w:val="clear" w:color="auto" w:fill="365F91" w:themeFill="accent1" w:themeFillShade="BF"/>
        <w:tblLook w:val="04A0" w:firstRow="1" w:lastRow="0" w:firstColumn="1" w:lastColumn="0" w:noHBand="0" w:noVBand="1"/>
      </w:tblPr>
      <w:tblGrid>
        <w:gridCol w:w="8808"/>
      </w:tblGrid>
      <w:tr w:rsidR="009B0617" w:rsidRPr="00B211D5" w14:paraId="4BEAA4AD" w14:textId="77777777" w:rsidTr="00CE08A3">
        <w:tc>
          <w:tcPr>
            <w:tcW w:w="9242" w:type="dxa"/>
            <w:shd w:val="clear" w:color="auto" w:fill="365F91" w:themeFill="accent1" w:themeFillShade="BF"/>
          </w:tcPr>
          <w:p w14:paraId="20B16758" w14:textId="77777777" w:rsidR="009B0617" w:rsidRPr="00CE08A3" w:rsidRDefault="009B0617" w:rsidP="009B0617">
            <w:pPr>
              <w:spacing w:before="120" w:after="120"/>
              <w:rPr>
                <w:rFonts w:ascii="Candara" w:eastAsia="Calibri" w:hAnsi="Candara" w:cs="Times New Roman"/>
                <w:b/>
                <w:bCs/>
                <w:noProof/>
                <w:color w:val="FFFFFF" w:themeColor="background1"/>
                <w:lang w:eastAsia="en-AU"/>
              </w:rPr>
            </w:pPr>
            <w:r w:rsidRPr="00CE08A3">
              <w:rPr>
                <w:rFonts w:ascii="Candara" w:eastAsia="Calibri" w:hAnsi="Candara" w:cs="Times New Roman"/>
                <w:b/>
                <w:bCs/>
                <w:noProof/>
                <w:color w:val="FFFFFF" w:themeColor="background1"/>
                <w:lang w:eastAsia="en-AU"/>
              </w:rPr>
              <w:t>Simulation method</w:t>
            </w:r>
          </w:p>
          <w:p w14:paraId="50D664EC" w14:textId="77777777" w:rsidR="009B0617" w:rsidRPr="00B211D5" w:rsidRDefault="009B0617" w:rsidP="009B0617">
            <w:pPr>
              <w:spacing w:before="120" w:after="120" w:line="276" w:lineRule="auto"/>
              <w:rPr>
                <w:rFonts w:ascii="Candara" w:eastAsia="Calibri" w:hAnsi="Candara" w:cs="Times New Roman"/>
                <w:color w:val="000000"/>
                <w:lang w:eastAsia="en-AU"/>
              </w:rPr>
            </w:pPr>
            <w:r w:rsidRPr="00CE08A3">
              <w:rPr>
                <w:rFonts w:ascii="Candara" w:eastAsia="Calibri" w:hAnsi="Candara" w:cs="Times New Roman"/>
                <w:noProof/>
                <w:color w:val="FFFFFF" w:themeColor="background1"/>
                <w:lang w:eastAsia="en-AU"/>
              </w:rPr>
              <w:t>The simulation approach that was used is also known as a bootstrap</w:t>
            </w:r>
            <w:r w:rsidRPr="00CE08A3">
              <w:rPr>
                <w:rFonts w:ascii="Candara" w:eastAsia="Calibri" w:hAnsi="Candara" w:cs="Times New Roman"/>
                <w:noProof/>
                <w:color w:val="FFFFFF" w:themeColor="background1"/>
                <w:vertAlign w:val="superscript"/>
                <w:lang w:eastAsia="en-AU"/>
              </w:rPr>
              <w:footnoteReference w:id="55"/>
            </w:r>
            <w:r w:rsidRPr="00CE08A3">
              <w:rPr>
                <w:rFonts w:ascii="Candara" w:eastAsia="Calibri" w:hAnsi="Candara" w:cs="Times New Roman"/>
                <w:noProof/>
                <w:color w:val="FFFFFF" w:themeColor="background1"/>
                <w:lang w:eastAsia="en-AU"/>
              </w:rPr>
              <w:t xml:space="preserve"> sampling approach and is particularly useful to develop an understanding of uncertainty in cases where the distribution of quantities of interest is complex. In this case, IRU values are dependent on weather, geography, etc. which have complex interactions that are only partially understood.</w:t>
            </w:r>
          </w:p>
        </w:tc>
      </w:tr>
    </w:tbl>
    <w:p w14:paraId="03BC4CC1" w14:textId="77777777" w:rsidR="009B0617" w:rsidRPr="00B211D5" w:rsidRDefault="009B0617" w:rsidP="009B0617">
      <w:pPr>
        <w:pStyle w:val="BodyText"/>
        <w:rPr>
          <w:rFonts w:ascii="Candara" w:hAnsi="Candara"/>
          <w:b/>
        </w:rPr>
      </w:pPr>
      <w:r w:rsidRPr="00B211D5">
        <w:rPr>
          <w:rFonts w:ascii="Candara" w:hAnsi="Candara"/>
          <w:b/>
        </w:rPr>
        <w:t>Generating samples</w:t>
      </w:r>
    </w:p>
    <w:p w14:paraId="69D93BA9" w14:textId="77777777" w:rsidR="009B0617" w:rsidRPr="00B211D5" w:rsidRDefault="009B0617" w:rsidP="009B0617">
      <w:pPr>
        <w:spacing w:before="200" w:after="60"/>
        <w:rPr>
          <w:rFonts w:ascii="Candara" w:hAnsi="Candara"/>
        </w:rPr>
      </w:pPr>
      <w:r w:rsidRPr="00B211D5">
        <w:rPr>
          <w:rFonts w:ascii="Candara" w:hAnsi="Candara"/>
        </w:rPr>
        <w:t>The generation of 30,000 simulated ignition year datasets was undertaken in accordance with the following rules:</w:t>
      </w:r>
    </w:p>
    <w:p w14:paraId="4DD2C166" w14:textId="77777777" w:rsidR="009B0617" w:rsidRPr="00B211D5" w:rsidRDefault="009B0617" w:rsidP="009B0617">
      <w:pPr>
        <w:spacing w:after="60"/>
        <w:ind w:left="568" w:hanging="284"/>
        <w:rPr>
          <w:rFonts w:ascii="Candara" w:hAnsi="Candara"/>
        </w:rPr>
      </w:pPr>
      <w:r w:rsidRPr="00B211D5">
        <w:rPr>
          <w:rFonts w:ascii="Candara" w:hAnsi="Candara"/>
          <w:b/>
          <w:bCs/>
          <w:color w:val="17365D"/>
        </w:rPr>
        <w:t>1.</w:t>
      </w:r>
      <w:r w:rsidRPr="00B211D5">
        <w:rPr>
          <w:rFonts w:ascii="Candara" w:hAnsi="Candara"/>
        </w:rPr>
        <w:tab/>
        <w:t>10,000 simulated three year datasets were first generated;</w:t>
      </w:r>
    </w:p>
    <w:p w14:paraId="29523B53" w14:textId="77777777" w:rsidR="009B0617" w:rsidRPr="00B211D5" w:rsidRDefault="009B0617" w:rsidP="00BB41A4">
      <w:pPr>
        <w:numPr>
          <w:ilvl w:val="0"/>
          <w:numId w:val="30"/>
        </w:numPr>
        <w:spacing w:after="120"/>
        <w:ind w:left="851" w:hanging="284"/>
        <w:contextualSpacing/>
        <w:rPr>
          <w:rFonts w:ascii="Candara" w:hAnsi="Candara"/>
        </w:rPr>
      </w:pPr>
      <w:r w:rsidRPr="00B211D5">
        <w:rPr>
          <w:rFonts w:ascii="Candara" w:hAnsi="Candara"/>
        </w:rPr>
        <w:t>each three year dataset contained exactly 2,537 ignitions, the exact number of ignitions reported for the period 2012 to 2014;</w:t>
      </w:r>
    </w:p>
    <w:p w14:paraId="52BAADC0" w14:textId="77777777" w:rsidR="009B0617" w:rsidRPr="00B211D5" w:rsidRDefault="009B0617" w:rsidP="00BB41A4">
      <w:pPr>
        <w:numPr>
          <w:ilvl w:val="0"/>
          <w:numId w:val="30"/>
        </w:numPr>
        <w:spacing w:after="120"/>
        <w:ind w:left="851" w:hanging="284"/>
        <w:contextualSpacing/>
        <w:rPr>
          <w:rFonts w:ascii="Candara" w:hAnsi="Candara"/>
        </w:rPr>
      </w:pPr>
      <w:r w:rsidRPr="00B211D5">
        <w:rPr>
          <w:rFonts w:ascii="Candara" w:hAnsi="Candara"/>
        </w:rPr>
        <w:t>sample sets were built by drawing ignitions from the actual ignitions recorded between 2012 and 2014;</w:t>
      </w:r>
    </w:p>
    <w:p w14:paraId="5EA88D58" w14:textId="77777777" w:rsidR="009B0617" w:rsidRPr="00B211D5" w:rsidRDefault="009B0617" w:rsidP="00BB41A4">
      <w:pPr>
        <w:numPr>
          <w:ilvl w:val="0"/>
          <w:numId w:val="30"/>
        </w:numPr>
        <w:spacing w:after="120"/>
        <w:ind w:left="851" w:hanging="284"/>
        <w:contextualSpacing/>
        <w:rPr>
          <w:rFonts w:ascii="Candara" w:hAnsi="Candara"/>
        </w:rPr>
      </w:pPr>
      <w:r w:rsidRPr="00B211D5">
        <w:rPr>
          <w:rFonts w:ascii="Candara" w:hAnsi="Candara"/>
        </w:rPr>
        <w:t>a record was able to be selected multiple times in a single sample dataset (i.e. sampling with replacement);</w:t>
      </w:r>
    </w:p>
    <w:p w14:paraId="034346B5" w14:textId="77777777" w:rsidR="009B0617" w:rsidRPr="00B211D5" w:rsidRDefault="009B0617" w:rsidP="009B0617">
      <w:pPr>
        <w:spacing w:after="60"/>
        <w:ind w:left="568" w:hanging="284"/>
        <w:rPr>
          <w:rFonts w:ascii="Candara" w:hAnsi="Candara"/>
        </w:rPr>
      </w:pPr>
      <w:r w:rsidRPr="00B211D5">
        <w:rPr>
          <w:rFonts w:ascii="Candara" w:hAnsi="Candara"/>
          <w:b/>
          <w:bCs/>
          <w:color w:val="17365D"/>
        </w:rPr>
        <w:t>2</w:t>
      </w:r>
      <w:r w:rsidRPr="00B211D5">
        <w:rPr>
          <w:rFonts w:ascii="Candara" w:hAnsi="Candara"/>
        </w:rPr>
        <w:t>.</w:t>
      </w:r>
      <w:r w:rsidRPr="00B211D5">
        <w:rPr>
          <w:rFonts w:ascii="Candara" w:hAnsi="Candara"/>
        </w:rPr>
        <w:tab/>
        <w:t>30,000 simulated annual datasets were generated from the 10,000 three year datasets;</w:t>
      </w:r>
    </w:p>
    <w:p w14:paraId="46FC4A25" w14:textId="77777777" w:rsidR="009B0617" w:rsidRPr="00B211D5" w:rsidRDefault="009B0617" w:rsidP="00BB41A4">
      <w:pPr>
        <w:numPr>
          <w:ilvl w:val="0"/>
          <w:numId w:val="30"/>
        </w:numPr>
        <w:spacing w:after="60"/>
        <w:ind w:left="851" w:hanging="284"/>
        <w:contextualSpacing/>
        <w:rPr>
          <w:rFonts w:ascii="Candara" w:hAnsi="Candara"/>
        </w:rPr>
      </w:pPr>
      <w:r w:rsidRPr="00B211D5">
        <w:rPr>
          <w:rFonts w:ascii="Candara" w:hAnsi="Candara"/>
        </w:rPr>
        <w:t>each three year simulated dataset was used to create three separate annual simulated datasets, one representing 2012, another 2013 and the other 2014;</w:t>
      </w:r>
    </w:p>
    <w:p w14:paraId="57B556B8" w14:textId="77777777" w:rsidR="009B0617" w:rsidRPr="00B211D5" w:rsidRDefault="009B0617" w:rsidP="00BB41A4">
      <w:pPr>
        <w:numPr>
          <w:ilvl w:val="0"/>
          <w:numId w:val="30"/>
        </w:numPr>
        <w:spacing w:after="60"/>
        <w:ind w:left="851" w:hanging="284"/>
        <w:contextualSpacing/>
        <w:rPr>
          <w:rFonts w:ascii="Candara" w:hAnsi="Candara"/>
        </w:rPr>
      </w:pPr>
      <w:r w:rsidRPr="00B211D5">
        <w:rPr>
          <w:rFonts w:ascii="Candara" w:hAnsi="Candara"/>
        </w:rPr>
        <w:t>an ignition could only be allocated to the year it was drawn from (i.e. if it was a 2012 ignition originally, it could only be allocated to a 2012 simulated year); and</w:t>
      </w:r>
    </w:p>
    <w:p w14:paraId="62CCA330" w14:textId="77777777" w:rsidR="009B0617" w:rsidRPr="00B211D5" w:rsidRDefault="009B0617" w:rsidP="00BB41A4">
      <w:pPr>
        <w:numPr>
          <w:ilvl w:val="0"/>
          <w:numId w:val="30"/>
        </w:numPr>
        <w:spacing w:after="120"/>
        <w:ind w:left="851" w:hanging="284"/>
        <w:contextualSpacing/>
        <w:rPr>
          <w:rFonts w:ascii="Candara" w:hAnsi="Candara"/>
        </w:rPr>
      </w:pPr>
      <w:r w:rsidRPr="00B211D5">
        <w:rPr>
          <w:rFonts w:ascii="Candara" w:hAnsi="Candara"/>
        </w:rPr>
        <w:t>an ignition could only be allocated to the DB who reported it.</w:t>
      </w:r>
    </w:p>
    <w:p w14:paraId="5F9D5A2D" w14:textId="77777777" w:rsidR="009B0617" w:rsidRPr="00B211D5" w:rsidRDefault="009B0617" w:rsidP="009B0617">
      <w:pPr>
        <w:spacing w:before="200"/>
        <w:rPr>
          <w:rFonts w:ascii="Candara" w:hAnsi="Candara"/>
        </w:rPr>
      </w:pPr>
      <w:r w:rsidRPr="00B211D5">
        <w:rPr>
          <w:rFonts w:ascii="Candara" w:hAnsi="Candara"/>
        </w:rPr>
        <w:t>This approach preserved the inherent differences between years and DBs in relation to fire starts, without restricting the number and weighting of ignitions sampled.</w:t>
      </w:r>
    </w:p>
    <w:p w14:paraId="32996636" w14:textId="77777777" w:rsidR="009B0617" w:rsidRPr="00B211D5" w:rsidRDefault="009B0617" w:rsidP="009B0617">
      <w:pPr>
        <w:spacing w:before="200"/>
        <w:rPr>
          <w:rFonts w:ascii="Candara" w:hAnsi="Candara"/>
        </w:rPr>
      </w:pPr>
      <w:r w:rsidRPr="00B211D5">
        <w:rPr>
          <w:rFonts w:ascii="Candara" w:hAnsi="Candara"/>
        </w:rPr>
        <w:t>An IRU value was calculated for each of the 30,000 sample years for each DB and the distribution of simulated values analysed.</w:t>
      </w:r>
      <w:r w:rsidRPr="00B211D5">
        <w:rPr>
          <w:rFonts w:ascii="Candara" w:hAnsi="Candara"/>
        </w:rPr>
        <w:br w:type="page"/>
      </w:r>
    </w:p>
    <w:p w14:paraId="12ADDC07" w14:textId="32DEC0A0" w:rsidR="003E3A46" w:rsidRPr="00B211D5" w:rsidRDefault="009B0617" w:rsidP="009B0617">
      <w:pPr>
        <w:spacing w:before="200"/>
        <w:rPr>
          <w:rFonts w:ascii="Candara" w:hAnsi="Candara"/>
        </w:rPr>
      </w:pPr>
      <w:r w:rsidRPr="00B211D5">
        <w:rPr>
          <w:rFonts w:ascii="Candara" w:hAnsi="Candara"/>
        </w:rPr>
        <w:lastRenderedPageBreak/>
        <w:t>The figure</w:t>
      </w:r>
      <w:r w:rsidR="00CA4C17">
        <w:rPr>
          <w:rFonts w:ascii="Candara" w:hAnsi="Candara"/>
        </w:rPr>
        <w:t xml:space="preserve"> below</w:t>
      </w:r>
      <w:r w:rsidRPr="00B211D5">
        <w:rPr>
          <w:rFonts w:ascii="Candara" w:hAnsi="Candara"/>
        </w:rPr>
        <w:t xml:space="preserve"> follows further illustrates the steps in the sampling method.</w:t>
      </w:r>
    </w:p>
    <w:p w14:paraId="20A3EFAC" w14:textId="7E90B620" w:rsidR="009B0617" w:rsidRPr="00CA4C17" w:rsidRDefault="0043728A" w:rsidP="00CA4C17">
      <w:pPr>
        <w:autoSpaceDE w:val="0"/>
        <w:autoSpaceDN w:val="0"/>
        <w:adjustRightInd w:val="0"/>
        <w:spacing w:before="120" w:after="80"/>
        <w:rPr>
          <w:rStyle w:val="Heading6Char"/>
          <w:i w:val="0"/>
          <w:iCs w:val="0"/>
        </w:rPr>
      </w:pPr>
      <w:r>
        <w:rPr>
          <w:rStyle w:val="Heading6Char"/>
        </w:rPr>
        <w:t>Figure A2.</w:t>
      </w:r>
      <w:r w:rsidR="00C53166">
        <w:rPr>
          <w:rStyle w:val="Heading6Char"/>
        </w:rPr>
        <w:t>15</w:t>
      </w:r>
      <w:r w:rsidR="00CA4C17">
        <w:rPr>
          <w:rStyle w:val="Heading6Char"/>
        </w:rPr>
        <w:t xml:space="preserve">: </w:t>
      </w:r>
      <w:r w:rsidR="009B0617" w:rsidRPr="00CA4C17">
        <w:rPr>
          <w:rStyle w:val="Heading6Char"/>
          <w:i w:val="0"/>
        </w:rPr>
        <w:t>Steps for developing sample of simulated weather years</w:t>
      </w:r>
    </w:p>
    <w:p w14:paraId="4C2E5A5F" w14:textId="77777777" w:rsidR="009B0617" w:rsidRPr="00B211D5" w:rsidRDefault="009B0617" w:rsidP="009B0617">
      <w:pPr>
        <w:rPr>
          <w:rFonts w:ascii="Candara" w:hAnsi="Candara"/>
        </w:rPr>
      </w:pPr>
      <w:r w:rsidRPr="00B211D5">
        <w:rPr>
          <w:rFonts w:ascii="Candara" w:hAnsi="Candara"/>
          <w:noProof/>
          <w:lang w:eastAsia="en-AU"/>
        </w:rPr>
        <w:drawing>
          <wp:inline distT="0" distB="0" distL="0" distR="0" wp14:anchorId="00097DDF" wp14:editId="072E967A">
            <wp:extent cx="5731510" cy="7476941"/>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7476941"/>
                    </a:xfrm>
                    <a:prstGeom prst="rect">
                      <a:avLst/>
                    </a:prstGeom>
                    <a:noFill/>
                    <a:ln>
                      <a:noFill/>
                    </a:ln>
                  </pic:spPr>
                </pic:pic>
              </a:graphicData>
            </a:graphic>
          </wp:inline>
        </w:drawing>
      </w:r>
    </w:p>
    <w:p w14:paraId="294DD3E4" w14:textId="77777777" w:rsidR="009B0617" w:rsidRPr="00B211D5" w:rsidRDefault="009B0617" w:rsidP="009B0617">
      <w:pPr>
        <w:rPr>
          <w:rFonts w:ascii="Candara" w:hAnsi="Candara"/>
        </w:rPr>
      </w:pPr>
    </w:p>
    <w:p w14:paraId="29C6A274" w14:textId="77777777" w:rsidR="009B0617" w:rsidRPr="00B211D5" w:rsidRDefault="009B0617" w:rsidP="009B0617">
      <w:pPr>
        <w:rPr>
          <w:rFonts w:ascii="Candara" w:hAnsi="Candara"/>
        </w:rPr>
      </w:pPr>
      <w:r w:rsidRPr="00B211D5">
        <w:rPr>
          <w:rFonts w:ascii="Candara" w:hAnsi="Candara"/>
        </w:rPr>
        <w:br w:type="page"/>
      </w:r>
    </w:p>
    <w:p w14:paraId="445300B3" w14:textId="77777777" w:rsidR="009B0617" w:rsidRPr="00B211D5" w:rsidRDefault="009B0617" w:rsidP="009B0617">
      <w:pPr>
        <w:pStyle w:val="BodyText"/>
        <w:rPr>
          <w:rFonts w:ascii="Candara" w:hAnsi="Candara"/>
          <w:b/>
        </w:rPr>
      </w:pPr>
      <w:r w:rsidRPr="00B211D5">
        <w:rPr>
          <w:rFonts w:ascii="Candara" w:hAnsi="Candara"/>
          <w:b/>
        </w:rPr>
        <w:lastRenderedPageBreak/>
        <w:t>Observations about the 2012 to 2014 data</w:t>
      </w:r>
    </w:p>
    <w:p w14:paraId="3F4EB496" w14:textId="77777777" w:rsidR="009B0617" w:rsidRPr="00B211D5" w:rsidRDefault="009B0617" w:rsidP="009B0617">
      <w:pPr>
        <w:rPr>
          <w:rFonts w:ascii="Candara" w:hAnsi="Candara"/>
        </w:rPr>
      </w:pPr>
      <w:r w:rsidRPr="00B211D5">
        <w:rPr>
          <w:rFonts w:ascii="Candara" w:hAnsi="Candara"/>
        </w:rPr>
        <w:t>The Country Fire Authority (CFA) has collected a history of Total Fire Ban (TFB) day declarations dating back to 1945.</w:t>
      </w:r>
    </w:p>
    <w:p w14:paraId="4972A500" w14:textId="77777777" w:rsidR="009B0617" w:rsidRPr="00B211D5" w:rsidRDefault="009B0617" w:rsidP="009B0617">
      <w:pPr>
        <w:rPr>
          <w:rFonts w:ascii="Candara" w:hAnsi="Candara"/>
        </w:rPr>
      </w:pPr>
      <w:r w:rsidRPr="00B211D5">
        <w:rPr>
          <w:rFonts w:ascii="Candara" w:hAnsi="Candara"/>
        </w:rPr>
        <w:t xml:space="preserve">Two of the years (2013 and 2014) in the analysis experienced relatively high numbers of TFB days compared to historical averages, placing them at the 75th percentile of TFB day occurrences. On this measure, the studied years are “hotter” on average than most years in the past 70 years. </w:t>
      </w:r>
    </w:p>
    <w:p w14:paraId="4E30C7EB" w14:textId="77777777" w:rsidR="009B0617" w:rsidRPr="00B211D5" w:rsidRDefault="009B0617" w:rsidP="009B0617">
      <w:pPr>
        <w:rPr>
          <w:rFonts w:ascii="Candara" w:hAnsi="Candara"/>
        </w:rPr>
      </w:pPr>
      <w:r w:rsidRPr="00B211D5">
        <w:rPr>
          <w:rFonts w:ascii="Candara" w:hAnsi="Candara"/>
        </w:rPr>
        <w:t>This observation does not provide a basis for predicting future weather behaviour. It merely suggests that the baseline for IRU scores has been set using data for years that are historically hotter than average based on the incidence of TFB day declarations.</w:t>
      </w:r>
    </w:p>
    <w:p w14:paraId="407250D2" w14:textId="77777777" w:rsidR="009B0617" w:rsidRPr="00B211D5" w:rsidRDefault="009B0617" w:rsidP="007F4F2B">
      <w:pPr>
        <w:ind w:right="-680"/>
        <w:rPr>
          <w:rFonts w:ascii="Candara" w:hAnsi="Candara"/>
        </w:rPr>
      </w:pPr>
      <w:r w:rsidRPr="00B211D5">
        <w:rPr>
          <w:rFonts w:ascii="Candara" w:hAnsi="Candara"/>
        </w:rPr>
        <w:t>This observation, of itself, provides no indication of the likelihood of hotter or cooler years in the future.</w:t>
      </w:r>
    </w:p>
    <w:p w14:paraId="7C9368F1" w14:textId="77777777" w:rsidR="009B0617" w:rsidRPr="00B211D5" w:rsidRDefault="009B0617" w:rsidP="00290C47">
      <w:pPr>
        <w:pStyle w:val="BodyText"/>
        <w:rPr>
          <w:rFonts w:ascii="Candara" w:hAnsi="Candara"/>
          <w:b/>
        </w:rPr>
      </w:pPr>
      <w:r w:rsidRPr="00B211D5">
        <w:rPr>
          <w:rFonts w:ascii="Candara" w:hAnsi="Candara"/>
          <w:b/>
        </w:rPr>
        <w:t>Simulation outcomes by DB</w:t>
      </w:r>
    </w:p>
    <w:p w14:paraId="3E2DF1E4" w14:textId="77777777" w:rsidR="009B0617" w:rsidRPr="00B211D5" w:rsidRDefault="009B0617" w:rsidP="009B0617">
      <w:pPr>
        <w:rPr>
          <w:rFonts w:ascii="Candara" w:hAnsi="Candara"/>
        </w:rPr>
      </w:pPr>
      <w:r w:rsidRPr="00B211D5">
        <w:rPr>
          <w:rFonts w:ascii="Candara" w:hAnsi="Candara"/>
        </w:rPr>
        <w:t>The distribution of 30,000 simulated IRU values was considered for each DB.</w:t>
      </w:r>
    </w:p>
    <w:p w14:paraId="03A599EA" w14:textId="77777777" w:rsidR="009B0617" w:rsidRPr="00B211D5" w:rsidRDefault="009B0617" w:rsidP="009B0617">
      <w:pPr>
        <w:spacing w:after="60"/>
        <w:rPr>
          <w:rFonts w:ascii="Candara" w:hAnsi="Candara"/>
        </w:rPr>
      </w:pPr>
      <w:r w:rsidRPr="00B211D5">
        <w:rPr>
          <w:rFonts w:ascii="Candara" w:hAnsi="Candara"/>
        </w:rPr>
        <w:t>These calculations consider all 30,000 simulated years including:</w:t>
      </w:r>
    </w:p>
    <w:p w14:paraId="030E5092" w14:textId="77777777" w:rsidR="009B0617" w:rsidRPr="00B211D5" w:rsidRDefault="009B0617" w:rsidP="00BB41A4">
      <w:pPr>
        <w:numPr>
          <w:ilvl w:val="0"/>
          <w:numId w:val="30"/>
        </w:numPr>
        <w:spacing w:after="120"/>
        <w:ind w:left="568" w:hanging="284"/>
        <w:contextualSpacing/>
        <w:rPr>
          <w:rFonts w:ascii="Candara" w:hAnsi="Candara"/>
        </w:rPr>
      </w:pPr>
      <w:r w:rsidRPr="00B211D5">
        <w:rPr>
          <w:rFonts w:ascii="Candara" w:hAnsi="Candara"/>
        </w:rPr>
        <w:t>10,000 x simulated years for 2012;</w:t>
      </w:r>
    </w:p>
    <w:p w14:paraId="5735AB1B" w14:textId="77777777" w:rsidR="009B0617" w:rsidRPr="00B211D5" w:rsidRDefault="009B0617" w:rsidP="00BB41A4">
      <w:pPr>
        <w:numPr>
          <w:ilvl w:val="0"/>
          <w:numId w:val="30"/>
        </w:numPr>
        <w:spacing w:after="120"/>
        <w:ind w:left="568" w:hanging="284"/>
        <w:contextualSpacing/>
        <w:rPr>
          <w:rFonts w:ascii="Candara" w:hAnsi="Candara"/>
        </w:rPr>
      </w:pPr>
      <w:r w:rsidRPr="00B211D5">
        <w:rPr>
          <w:rFonts w:ascii="Candara" w:hAnsi="Candara"/>
        </w:rPr>
        <w:t>10,000 x simulated years for 2013; and</w:t>
      </w:r>
    </w:p>
    <w:p w14:paraId="40F2223F" w14:textId="77777777" w:rsidR="009B0617" w:rsidRDefault="009B0617" w:rsidP="00BB41A4">
      <w:pPr>
        <w:numPr>
          <w:ilvl w:val="0"/>
          <w:numId w:val="30"/>
        </w:numPr>
        <w:spacing w:after="120"/>
        <w:ind w:left="568" w:hanging="284"/>
        <w:rPr>
          <w:rFonts w:ascii="Candara" w:hAnsi="Candara"/>
        </w:rPr>
      </w:pPr>
      <w:r w:rsidRPr="00B211D5">
        <w:rPr>
          <w:rFonts w:ascii="Candara" w:hAnsi="Candara"/>
        </w:rPr>
        <w:t>10,000 x simulated years for 2014.</w:t>
      </w:r>
    </w:p>
    <w:p w14:paraId="73661DC1" w14:textId="122759C5" w:rsidR="0051585F" w:rsidRPr="003E3A46" w:rsidRDefault="0043728A" w:rsidP="003E3A46">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w:t>
      </w:r>
      <w:r w:rsidR="00C53166">
        <w:rPr>
          <w:rStyle w:val="Heading6Char"/>
        </w:rPr>
        <w:t>6</w:t>
      </w:r>
      <w:r w:rsidR="00CA4C17">
        <w:rPr>
          <w:rStyle w:val="Heading6Char"/>
        </w:rPr>
        <w:t>: Simulation outcomes by distribution businesses</w:t>
      </w:r>
    </w:p>
    <w:tbl>
      <w:tblPr>
        <w:tblW w:w="9639" w:type="dxa"/>
        <w:tblInd w:w="93" w:type="dxa"/>
        <w:tblBorders>
          <w:top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581"/>
        <w:gridCol w:w="828"/>
        <w:gridCol w:w="952"/>
        <w:gridCol w:w="989"/>
        <w:gridCol w:w="1065"/>
        <w:gridCol w:w="1065"/>
        <w:gridCol w:w="1065"/>
        <w:gridCol w:w="1065"/>
        <w:gridCol w:w="1065"/>
      </w:tblGrid>
      <w:tr w:rsidR="009B0617" w:rsidRPr="00B211D5" w14:paraId="23B1504D" w14:textId="77777777" w:rsidTr="00B172D3">
        <w:trPr>
          <w:trHeight w:val="315"/>
        </w:trPr>
        <w:tc>
          <w:tcPr>
            <w:tcW w:w="1581" w:type="dxa"/>
            <w:tcBorders>
              <w:left w:val="single" w:sz="8" w:space="0" w:color="BFBFBF" w:themeColor="background1" w:themeShade="BF"/>
              <w:bottom w:val="single" w:sz="8" w:space="0" w:color="BFBFBF" w:themeColor="background1" w:themeShade="BF"/>
            </w:tcBorders>
            <w:shd w:val="clear" w:color="auto" w:fill="365F91" w:themeFill="accent1" w:themeFillShade="BF"/>
            <w:noWrap/>
            <w:vAlign w:val="center"/>
            <w:hideMark/>
          </w:tcPr>
          <w:p w14:paraId="2418A9E6"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Category</w:t>
            </w:r>
          </w:p>
        </w:tc>
        <w:tc>
          <w:tcPr>
            <w:tcW w:w="828" w:type="dxa"/>
            <w:shd w:val="clear" w:color="auto" w:fill="365F91" w:themeFill="accent1" w:themeFillShade="BF"/>
            <w:noWrap/>
            <w:vAlign w:val="center"/>
            <w:hideMark/>
          </w:tcPr>
          <w:p w14:paraId="613A9C51"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mean</w:t>
            </w:r>
          </w:p>
        </w:tc>
        <w:tc>
          <w:tcPr>
            <w:tcW w:w="937" w:type="dxa"/>
            <w:shd w:val="clear" w:color="auto" w:fill="365F91" w:themeFill="accent1" w:themeFillShade="BF"/>
            <w:noWrap/>
            <w:vAlign w:val="center"/>
            <w:hideMark/>
          </w:tcPr>
          <w:p w14:paraId="208BBF5F"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minimum</w:t>
            </w:r>
          </w:p>
        </w:tc>
        <w:tc>
          <w:tcPr>
            <w:tcW w:w="968" w:type="dxa"/>
            <w:shd w:val="clear" w:color="auto" w:fill="365F91" w:themeFill="accent1" w:themeFillShade="BF"/>
            <w:noWrap/>
            <w:vAlign w:val="center"/>
            <w:hideMark/>
          </w:tcPr>
          <w:p w14:paraId="2C39613A"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maximum</w:t>
            </w:r>
          </w:p>
        </w:tc>
        <w:tc>
          <w:tcPr>
            <w:tcW w:w="1065" w:type="dxa"/>
            <w:shd w:val="clear" w:color="auto" w:fill="365F91" w:themeFill="accent1" w:themeFillShade="BF"/>
            <w:noWrap/>
            <w:vAlign w:val="center"/>
            <w:hideMark/>
          </w:tcPr>
          <w:p w14:paraId="3053AD03"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5th Percentile</w:t>
            </w:r>
          </w:p>
        </w:tc>
        <w:tc>
          <w:tcPr>
            <w:tcW w:w="1065" w:type="dxa"/>
            <w:shd w:val="clear" w:color="auto" w:fill="365F91" w:themeFill="accent1" w:themeFillShade="BF"/>
            <w:noWrap/>
            <w:vAlign w:val="center"/>
            <w:hideMark/>
          </w:tcPr>
          <w:p w14:paraId="152115BF"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25th Percentile</w:t>
            </w:r>
          </w:p>
        </w:tc>
        <w:tc>
          <w:tcPr>
            <w:tcW w:w="1065" w:type="dxa"/>
            <w:shd w:val="clear" w:color="auto" w:fill="365F91" w:themeFill="accent1" w:themeFillShade="BF"/>
            <w:noWrap/>
            <w:vAlign w:val="center"/>
            <w:hideMark/>
          </w:tcPr>
          <w:p w14:paraId="314C0912"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50th Percentile</w:t>
            </w:r>
          </w:p>
        </w:tc>
        <w:tc>
          <w:tcPr>
            <w:tcW w:w="1065" w:type="dxa"/>
            <w:shd w:val="clear" w:color="auto" w:fill="365F91" w:themeFill="accent1" w:themeFillShade="BF"/>
            <w:noWrap/>
            <w:vAlign w:val="center"/>
            <w:hideMark/>
          </w:tcPr>
          <w:p w14:paraId="4D04B25B"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75th Percentile</w:t>
            </w:r>
          </w:p>
        </w:tc>
        <w:tc>
          <w:tcPr>
            <w:tcW w:w="1065" w:type="dxa"/>
            <w:shd w:val="clear" w:color="auto" w:fill="365F91" w:themeFill="accent1" w:themeFillShade="BF"/>
            <w:noWrap/>
            <w:vAlign w:val="center"/>
            <w:hideMark/>
          </w:tcPr>
          <w:p w14:paraId="483B3D73" w14:textId="77777777" w:rsidR="009B0617" w:rsidRPr="00B211D5" w:rsidRDefault="009B0617" w:rsidP="009B0617">
            <w:pPr>
              <w:spacing w:after="0" w:line="240" w:lineRule="auto"/>
              <w:jc w:val="center"/>
              <w:rPr>
                <w:rFonts w:ascii="Candara" w:eastAsia="Times New Roman" w:hAnsi="Candara" w:cs="Times New Roman"/>
                <w:b/>
                <w:bCs/>
                <w:color w:val="FFFFFF" w:themeColor="background1"/>
                <w:sz w:val="18"/>
                <w:szCs w:val="18"/>
                <w:lang w:eastAsia="en-AU"/>
              </w:rPr>
            </w:pPr>
            <w:r w:rsidRPr="00B211D5">
              <w:rPr>
                <w:rFonts w:ascii="Candara" w:eastAsia="Times New Roman" w:hAnsi="Candara" w:cs="Times New Roman"/>
                <w:b/>
                <w:bCs/>
                <w:color w:val="FFFFFF" w:themeColor="background1"/>
                <w:sz w:val="18"/>
                <w:szCs w:val="18"/>
                <w:lang w:eastAsia="en-AU"/>
              </w:rPr>
              <w:t>95th Percentile</w:t>
            </w:r>
          </w:p>
        </w:tc>
      </w:tr>
      <w:tr w:rsidR="009B0617" w:rsidRPr="00B211D5" w14:paraId="0538514C" w14:textId="77777777" w:rsidTr="00B172D3">
        <w:trPr>
          <w:trHeight w:val="315"/>
        </w:trPr>
        <w:tc>
          <w:tcPr>
            <w:tcW w:w="1581" w:type="dxa"/>
            <w:tcBorders>
              <w:left w:val="single" w:sz="8" w:space="0" w:color="BFBFBF" w:themeColor="background1" w:themeShade="BF"/>
            </w:tcBorders>
            <w:shd w:val="clear" w:color="auto" w:fill="365F91" w:themeFill="accent1" w:themeFillShade="BF"/>
            <w:noWrap/>
            <w:vAlign w:val="center"/>
            <w:hideMark/>
          </w:tcPr>
          <w:p w14:paraId="6462668C" w14:textId="77777777" w:rsidR="009B0617" w:rsidRPr="003E3A46" w:rsidRDefault="009B0617" w:rsidP="009B0617">
            <w:pPr>
              <w:spacing w:after="0" w:line="240" w:lineRule="auto"/>
              <w:rPr>
                <w:rFonts w:ascii="Candara" w:eastAsia="Times New Roman" w:hAnsi="Candara" w:cs="Times New Roman"/>
                <w:color w:val="FFFFFF" w:themeColor="background1"/>
                <w:sz w:val="18"/>
                <w:szCs w:val="18"/>
                <w:lang w:eastAsia="en-AU"/>
              </w:rPr>
            </w:pPr>
            <w:r w:rsidRPr="003E3A46">
              <w:rPr>
                <w:rFonts w:ascii="Candara" w:eastAsia="Times New Roman" w:hAnsi="Candara" w:cs="Times New Roman"/>
                <w:color w:val="FFFFFF" w:themeColor="background1"/>
                <w:sz w:val="18"/>
                <w:szCs w:val="18"/>
                <w:lang w:eastAsia="en-AU"/>
              </w:rPr>
              <w:t>AusNet Services</w:t>
            </w:r>
          </w:p>
        </w:tc>
        <w:tc>
          <w:tcPr>
            <w:tcW w:w="828" w:type="dxa"/>
            <w:shd w:val="clear" w:color="auto" w:fill="auto"/>
            <w:noWrap/>
            <w:vAlign w:val="center"/>
            <w:hideMark/>
          </w:tcPr>
          <w:p w14:paraId="2E04FB20"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274.34</w:t>
            </w:r>
          </w:p>
        </w:tc>
        <w:tc>
          <w:tcPr>
            <w:tcW w:w="937" w:type="dxa"/>
            <w:shd w:val="clear" w:color="auto" w:fill="auto"/>
            <w:noWrap/>
            <w:vAlign w:val="center"/>
            <w:hideMark/>
          </w:tcPr>
          <w:p w14:paraId="1022D48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92.44</w:t>
            </w:r>
          </w:p>
        </w:tc>
        <w:tc>
          <w:tcPr>
            <w:tcW w:w="968" w:type="dxa"/>
            <w:shd w:val="clear" w:color="auto" w:fill="auto"/>
            <w:noWrap/>
            <w:vAlign w:val="center"/>
            <w:hideMark/>
          </w:tcPr>
          <w:p w14:paraId="23408AC6"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931.58</w:t>
            </w:r>
          </w:p>
        </w:tc>
        <w:tc>
          <w:tcPr>
            <w:tcW w:w="1065" w:type="dxa"/>
            <w:shd w:val="clear" w:color="auto" w:fill="auto"/>
            <w:noWrap/>
            <w:vAlign w:val="center"/>
            <w:hideMark/>
          </w:tcPr>
          <w:p w14:paraId="7E18A332"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161.31</w:t>
            </w:r>
          </w:p>
        </w:tc>
        <w:tc>
          <w:tcPr>
            <w:tcW w:w="1065" w:type="dxa"/>
            <w:shd w:val="clear" w:color="auto" w:fill="auto"/>
            <w:noWrap/>
            <w:vAlign w:val="center"/>
            <w:hideMark/>
          </w:tcPr>
          <w:p w14:paraId="1239AA21"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205.92</w:t>
            </w:r>
          </w:p>
        </w:tc>
        <w:tc>
          <w:tcPr>
            <w:tcW w:w="1065" w:type="dxa"/>
            <w:shd w:val="clear" w:color="auto" w:fill="auto"/>
            <w:noWrap/>
            <w:vAlign w:val="center"/>
            <w:hideMark/>
          </w:tcPr>
          <w:p w14:paraId="49407C4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256.26</w:t>
            </w:r>
          </w:p>
        </w:tc>
        <w:tc>
          <w:tcPr>
            <w:tcW w:w="1065" w:type="dxa"/>
            <w:shd w:val="clear" w:color="auto" w:fill="auto"/>
            <w:noWrap/>
            <w:vAlign w:val="center"/>
            <w:hideMark/>
          </w:tcPr>
          <w:p w14:paraId="49ED2DF3"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327.24</w:t>
            </w:r>
          </w:p>
        </w:tc>
        <w:tc>
          <w:tcPr>
            <w:tcW w:w="1065" w:type="dxa"/>
            <w:shd w:val="clear" w:color="auto" w:fill="auto"/>
            <w:noWrap/>
            <w:vAlign w:val="center"/>
            <w:hideMark/>
          </w:tcPr>
          <w:p w14:paraId="2B08A1EA"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445.82</w:t>
            </w:r>
          </w:p>
        </w:tc>
      </w:tr>
      <w:tr w:rsidR="009B0617" w:rsidRPr="00B211D5" w14:paraId="3BD136FE" w14:textId="77777777" w:rsidTr="00B172D3">
        <w:trPr>
          <w:trHeight w:val="315"/>
        </w:trPr>
        <w:tc>
          <w:tcPr>
            <w:tcW w:w="1581" w:type="dxa"/>
            <w:tcBorders>
              <w:left w:val="single" w:sz="8" w:space="0" w:color="BFBFBF" w:themeColor="background1" w:themeShade="BF"/>
            </w:tcBorders>
            <w:shd w:val="clear" w:color="auto" w:fill="365F91" w:themeFill="accent1" w:themeFillShade="BF"/>
            <w:noWrap/>
            <w:vAlign w:val="center"/>
            <w:hideMark/>
          </w:tcPr>
          <w:p w14:paraId="5C93886E" w14:textId="77777777" w:rsidR="009B0617" w:rsidRPr="003E3A46" w:rsidRDefault="009B0617" w:rsidP="009B0617">
            <w:pPr>
              <w:spacing w:after="0" w:line="240" w:lineRule="auto"/>
              <w:rPr>
                <w:rFonts w:ascii="Candara" w:eastAsia="Times New Roman" w:hAnsi="Candara" w:cs="Times New Roman"/>
                <w:color w:val="FFFFFF" w:themeColor="background1"/>
                <w:sz w:val="18"/>
                <w:szCs w:val="18"/>
                <w:lang w:eastAsia="en-AU"/>
              </w:rPr>
            </w:pPr>
            <w:r w:rsidRPr="003E3A46">
              <w:rPr>
                <w:rFonts w:ascii="Candara" w:eastAsia="Times New Roman" w:hAnsi="Candara" w:cs="Times New Roman"/>
                <w:color w:val="FFFFFF" w:themeColor="background1"/>
                <w:sz w:val="18"/>
                <w:szCs w:val="18"/>
                <w:lang w:eastAsia="en-AU"/>
              </w:rPr>
              <w:t>CitiPower</w:t>
            </w:r>
          </w:p>
        </w:tc>
        <w:tc>
          <w:tcPr>
            <w:tcW w:w="828" w:type="dxa"/>
            <w:shd w:val="clear" w:color="auto" w:fill="auto"/>
            <w:noWrap/>
            <w:vAlign w:val="center"/>
            <w:hideMark/>
          </w:tcPr>
          <w:p w14:paraId="22E5CA2A"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4.09</w:t>
            </w:r>
          </w:p>
        </w:tc>
        <w:tc>
          <w:tcPr>
            <w:tcW w:w="937" w:type="dxa"/>
            <w:shd w:val="clear" w:color="auto" w:fill="auto"/>
            <w:noWrap/>
            <w:vAlign w:val="center"/>
            <w:hideMark/>
          </w:tcPr>
          <w:p w14:paraId="64897DCE"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0.40</w:t>
            </w:r>
          </w:p>
        </w:tc>
        <w:tc>
          <w:tcPr>
            <w:tcW w:w="968" w:type="dxa"/>
            <w:shd w:val="clear" w:color="auto" w:fill="auto"/>
            <w:noWrap/>
            <w:vAlign w:val="center"/>
            <w:hideMark/>
          </w:tcPr>
          <w:p w14:paraId="09AC2BC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11.74</w:t>
            </w:r>
          </w:p>
        </w:tc>
        <w:tc>
          <w:tcPr>
            <w:tcW w:w="1065" w:type="dxa"/>
            <w:shd w:val="clear" w:color="auto" w:fill="auto"/>
            <w:noWrap/>
            <w:vAlign w:val="center"/>
            <w:hideMark/>
          </w:tcPr>
          <w:p w14:paraId="2D18CA10"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1.24</w:t>
            </w:r>
          </w:p>
        </w:tc>
        <w:tc>
          <w:tcPr>
            <w:tcW w:w="1065" w:type="dxa"/>
            <w:shd w:val="clear" w:color="auto" w:fill="auto"/>
            <w:noWrap/>
            <w:vAlign w:val="center"/>
            <w:hideMark/>
          </w:tcPr>
          <w:p w14:paraId="2B0C8DF2"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1.88</w:t>
            </w:r>
          </w:p>
        </w:tc>
        <w:tc>
          <w:tcPr>
            <w:tcW w:w="1065" w:type="dxa"/>
            <w:shd w:val="clear" w:color="auto" w:fill="auto"/>
            <w:noWrap/>
            <w:vAlign w:val="center"/>
            <w:hideMark/>
          </w:tcPr>
          <w:p w14:paraId="1BAE575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4.38</w:t>
            </w:r>
          </w:p>
        </w:tc>
        <w:tc>
          <w:tcPr>
            <w:tcW w:w="1065" w:type="dxa"/>
            <w:shd w:val="clear" w:color="auto" w:fill="auto"/>
            <w:noWrap/>
            <w:vAlign w:val="center"/>
            <w:hideMark/>
          </w:tcPr>
          <w:p w14:paraId="0A59FAC1"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5.72</w:t>
            </w:r>
          </w:p>
        </w:tc>
        <w:tc>
          <w:tcPr>
            <w:tcW w:w="1065" w:type="dxa"/>
            <w:shd w:val="clear" w:color="auto" w:fill="auto"/>
            <w:noWrap/>
            <w:vAlign w:val="center"/>
            <w:hideMark/>
          </w:tcPr>
          <w:p w14:paraId="38F57689"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7.30</w:t>
            </w:r>
          </w:p>
        </w:tc>
      </w:tr>
      <w:tr w:rsidR="009B0617" w:rsidRPr="00B211D5" w14:paraId="31667A1E" w14:textId="77777777" w:rsidTr="00B172D3">
        <w:trPr>
          <w:trHeight w:val="315"/>
        </w:trPr>
        <w:tc>
          <w:tcPr>
            <w:tcW w:w="1581" w:type="dxa"/>
            <w:tcBorders>
              <w:left w:val="single" w:sz="8" w:space="0" w:color="BFBFBF" w:themeColor="background1" w:themeShade="BF"/>
            </w:tcBorders>
            <w:shd w:val="clear" w:color="auto" w:fill="365F91" w:themeFill="accent1" w:themeFillShade="BF"/>
            <w:noWrap/>
            <w:vAlign w:val="center"/>
            <w:hideMark/>
          </w:tcPr>
          <w:p w14:paraId="64378437" w14:textId="77777777" w:rsidR="009B0617" w:rsidRPr="003E3A46" w:rsidRDefault="009B0617" w:rsidP="009B0617">
            <w:pPr>
              <w:spacing w:after="0" w:line="240" w:lineRule="auto"/>
              <w:rPr>
                <w:rFonts w:ascii="Candara" w:eastAsia="Times New Roman" w:hAnsi="Candara" w:cs="Times New Roman"/>
                <w:color w:val="FFFFFF" w:themeColor="background1"/>
                <w:sz w:val="18"/>
                <w:szCs w:val="18"/>
                <w:lang w:eastAsia="en-AU"/>
              </w:rPr>
            </w:pPr>
            <w:r w:rsidRPr="003E3A46">
              <w:rPr>
                <w:rFonts w:ascii="Candara" w:eastAsia="Times New Roman" w:hAnsi="Candara" w:cs="Times New Roman"/>
                <w:color w:val="FFFFFF" w:themeColor="background1"/>
                <w:sz w:val="18"/>
                <w:szCs w:val="18"/>
                <w:lang w:eastAsia="en-AU"/>
              </w:rPr>
              <w:t>Jemena</w:t>
            </w:r>
          </w:p>
        </w:tc>
        <w:tc>
          <w:tcPr>
            <w:tcW w:w="828" w:type="dxa"/>
            <w:shd w:val="clear" w:color="auto" w:fill="auto"/>
            <w:noWrap/>
            <w:vAlign w:val="center"/>
            <w:hideMark/>
          </w:tcPr>
          <w:p w14:paraId="40D818EF"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8.88</w:t>
            </w:r>
          </w:p>
        </w:tc>
        <w:tc>
          <w:tcPr>
            <w:tcW w:w="937" w:type="dxa"/>
            <w:shd w:val="clear" w:color="auto" w:fill="auto"/>
            <w:noWrap/>
            <w:vAlign w:val="center"/>
            <w:hideMark/>
          </w:tcPr>
          <w:p w14:paraId="3D415254"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1.14</w:t>
            </w:r>
          </w:p>
        </w:tc>
        <w:tc>
          <w:tcPr>
            <w:tcW w:w="968" w:type="dxa"/>
            <w:shd w:val="clear" w:color="auto" w:fill="auto"/>
            <w:noWrap/>
            <w:vAlign w:val="center"/>
            <w:hideMark/>
          </w:tcPr>
          <w:p w14:paraId="0E0041A0"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21.54</w:t>
            </w:r>
          </w:p>
        </w:tc>
        <w:tc>
          <w:tcPr>
            <w:tcW w:w="1065" w:type="dxa"/>
            <w:shd w:val="clear" w:color="auto" w:fill="auto"/>
            <w:noWrap/>
            <w:vAlign w:val="center"/>
            <w:hideMark/>
          </w:tcPr>
          <w:p w14:paraId="3AE25A30"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2.92</w:t>
            </w:r>
          </w:p>
        </w:tc>
        <w:tc>
          <w:tcPr>
            <w:tcW w:w="1065" w:type="dxa"/>
            <w:shd w:val="clear" w:color="auto" w:fill="auto"/>
            <w:noWrap/>
            <w:vAlign w:val="center"/>
            <w:hideMark/>
          </w:tcPr>
          <w:p w14:paraId="18AAACB8"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6.22</w:t>
            </w:r>
          </w:p>
        </w:tc>
        <w:tc>
          <w:tcPr>
            <w:tcW w:w="1065" w:type="dxa"/>
            <w:shd w:val="clear" w:color="auto" w:fill="auto"/>
            <w:noWrap/>
            <w:vAlign w:val="center"/>
            <w:hideMark/>
          </w:tcPr>
          <w:p w14:paraId="66B0DB0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9.22</w:t>
            </w:r>
          </w:p>
        </w:tc>
        <w:tc>
          <w:tcPr>
            <w:tcW w:w="1065" w:type="dxa"/>
            <w:shd w:val="clear" w:color="auto" w:fill="auto"/>
            <w:noWrap/>
            <w:vAlign w:val="center"/>
            <w:hideMark/>
          </w:tcPr>
          <w:p w14:paraId="29D02AC9"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11.32</w:t>
            </w:r>
          </w:p>
        </w:tc>
        <w:tc>
          <w:tcPr>
            <w:tcW w:w="1065" w:type="dxa"/>
            <w:shd w:val="clear" w:color="auto" w:fill="auto"/>
            <w:noWrap/>
            <w:vAlign w:val="center"/>
            <w:hideMark/>
          </w:tcPr>
          <w:p w14:paraId="3206292D"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14.24</w:t>
            </w:r>
          </w:p>
        </w:tc>
      </w:tr>
      <w:tr w:rsidR="009B0617" w:rsidRPr="00B211D5" w14:paraId="40DCB26D" w14:textId="77777777" w:rsidTr="00B172D3">
        <w:trPr>
          <w:trHeight w:val="315"/>
        </w:trPr>
        <w:tc>
          <w:tcPr>
            <w:tcW w:w="1581" w:type="dxa"/>
            <w:tcBorders>
              <w:left w:val="single" w:sz="8" w:space="0" w:color="BFBFBF" w:themeColor="background1" w:themeShade="BF"/>
            </w:tcBorders>
            <w:shd w:val="clear" w:color="auto" w:fill="365F91" w:themeFill="accent1" w:themeFillShade="BF"/>
            <w:noWrap/>
            <w:vAlign w:val="center"/>
            <w:hideMark/>
          </w:tcPr>
          <w:p w14:paraId="43679169" w14:textId="77777777" w:rsidR="009B0617" w:rsidRPr="003E3A46" w:rsidRDefault="009B0617" w:rsidP="009B0617">
            <w:pPr>
              <w:spacing w:after="0" w:line="240" w:lineRule="auto"/>
              <w:rPr>
                <w:rFonts w:ascii="Candara" w:eastAsia="Times New Roman" w:hAnsi="Candara" w:cs="Times New Roman"/>
                <w:color w:val="FFFFFF" w:themeColor="background1"/>
                <w:sz w:val="18"/>
                <w:szCs w:val="18"/>
                <w:lang w:eastAsia="en-AU"/>
              </w:rPr>
            </w:pPr>
            <w:r w:rsidRPr="003E3A46">
              <w:rPr>
                <w:rFonts w:ascii="Candara" w:eastAsia="Times New Roman" w:hAnsi="Candara" w:cs="Times New Roman"/>
                <w:color w:val="FFFFFF" w:themeColor="background1"/>
                <w:sz w:val="18"/>
                <w:szCs w:val="18"/>
                <w:lang w:eastAsia="en-AU"/>
              </w:rPr>
              <w:t>Powercor</w:t>
            </w:r>
          </w:p>
        </w:tc>
        <w:tc>
          <w:tcPr>
            <w:tcW w:w="828" w:type="dxa"/>
            <w:shd w:val="clear" w:color="auto" w:fill="auto"/>
            <w:noWrap/>
            <w:vAlign w:val="center"/>
            <w:hideMark/>
          </w:tcPr>
          <w:p w14:paraId="7742520B"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472.87</w:t>
            </w:r>
          </w:p>
        </w:tc>
        <w:tc>
          <w:tcPr>
            <w:tcW w:w="937" w:type="dxa"/>
            <w:shd w:val="clear" w:color="auto" w:fill="auto"/>
            <w:noWrap/>
            <w:vAlign w:val="center"/>
            <w:hideMark/>
          </w:tcPr>
          <w:p w14:paraId="46525539"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132.96</w:t>
            </w:r>
          </w:p>
        </w:tc>
        <w:tc>
          <w:tcPr>
            <w:tcW w:w="968" w:type="dxa"/>
            <w:shd w:val="clear" w:color="auto" w:fill="auto"/>
            <w:noWrap/>
            <w:vAlign w:val="center"/>
            <w:hideMark/>
          </w:tcPr>
          <w:p w14:paraId="5F9C54D4"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935.38</w:t>
            </w:r>
          </w:p>
        </w:tc>
        <w:tc>
          <w:tcPr>
            <w:tcW w:w="1065" w:type="dxa"/>
            <w:shd w:val="clear" w:color="auto" w:fill="auto"/>
            <w:noWrap/>
            <w:vAlign w:val="center"/>
            <w:hideMark/>
          </w:tcPr>
          <w:p w14:paraId="0B6F4327"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203.46</w:t>
            </w:r>
          </w:p>
        </w:tc>
        <w:tc>
          <w:tcPr>
            <w:tcW w:w="1065" w:type="dxa"/>
            <w:shd w:val="clear" w:color="auto" w:fill="auto"/>
            <w:noWrap/>
            <w:vAlign w:val="center"/>
            <w:hideMark/>
          </w:tcPr>
          <w:p w14:paraId="466FE57E"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284.28</w:t>
            </w:r>
          </w:p>
        </w:tc>
        <w:tc>
          <w:tcPr>
            <w:tcW w:w="1065" w:type="dxa"/>
            <w:shd w:val="clear" w:color="auto" w:fill="auto"/>
            <w:noWrap/>
            <w:vAlign w:val="center"/>
            <w:hideMark/>
          </w:tcPr>
          <w:p w14:paraId="4DC3E0B3"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505.19</w:t>
            </w:r>
          </w:p>
        </w:tc>
        <w:tc>
          <w:tcPr>
            <w:tcW w:w="1065" w:type="dxa"/>
            <w:shd w:val="clear" w:color="auto" w:fill="auto"/>
            <w:noWrap/>
            <w:vAlign w:val="center"/>
            <w:hideMark/>
          </w:tcPr>
          <w:p w14:paraId="6E900944"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614.44</w:t>
            </w:r>
          </w:p>
        </w:tc>
        <w:tc>
          <w:tcPr>
            <w:tcW w:w="1065" w:type="dxa"/>
            <w:shd w:val="clear" w:color="auto" w:fill="auto"/>
            <w:noWrap/>
            <w:vAlign w:val="center"/>
            <w:hideMark/>
          </w:tcPr>
          <w:p w14:paraId="26C07888"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727.31</w:t>
            </w:r>
          </w:p>
        </w:tc>
      </w:tr>
      <w:tr w:rsidR="009B0617" w:rsidRPr="00B211D5" w14:paraId="3E6CE110" w14:textId="77777777" w:rsidTr="00B172D3">
        <w:trPr>
          <w:trHeight w:val="315"/>
        </w:trPr>
        <w:tc>
          <w:tcPr>
            <w:tcW w:w="1581" w:type="dxa"/>
            <w:tcBorders>
              <w:left w:val="single" w:sz="8" w:space="0" w:color="BFBFBF" w:themeColor="background1" w:themeShade="BF"/>
            </w:tcBorders>
            <w:shd w:val="clear" w:color="auto" w:fill="365F91" w:themeFill="accent1" w:themeFillShade="BF"/>
            <w:noWrap/>
            <w:vAlign w:val="center"/>
            <w:hideMark/>
          </w:tcPr>
          <w:p w14:paraId="6DB5E233" w14:textId="77777777" w:rsidR="009B0617" w:rsidRPr="003E3A46" w:rsidRDefault="009B0617" w:rsidP="009B0617">
            <w:pPr>
              <w:spacing w:after="0" w:line="240" w:lineRule="auto"/>
              <w:rPr>
                <w:rFonts w:ascii="Candara" w:eastAsia="Times New Roman" w:hAnsi="Candara" w:cs="Times New Roman"/>
                <w:color w:val="FFFFFF" w:themeColor="background1"/>
                <w:sz w:val="18"/>
                <w:szCs w:val="18"/>
                <w:lang w:eastAsia="en-AU"/>
              </w:rPr>
            </w:pPr>
            <w:r w:rsidRPr="003E3A46">
              <w:rPr>
                <w:rFonts w:ascii="Candara" w:eastAsia="Times New Roman" w:hAnsi="Candara" w:cs="Times New Roman"/>
                <w:color w:val="FFFFFF" w:themeColor="background1"/>
                <w:sz w:val="18"/>
                <w:szCs w:val="18"/>
                <w:lang w:eastAsia="en-AU"/>
              </w:rPr>
              <w:t>United Energy</w:t>
            </w:r>
          </w:p>
        </w:tc>
        <w:tc>
          <w:tcPr>
            <w:tcW w:w="828" w:type="dxa"/>
            <w:shd w:val="clear" w:color="auto" w:fill="auto"/>
            <w:noWrap/>
            <w:vAlign w:val="center"/>
            <w:hideMark/>
          </w:tcPr>
          <w:p w14:paraId="75B3C03A"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21.04</w:t>
            </w:r>
          </w:p>
        </w:tc>
        <w:tc>
          <w:tcPr>
            <w:tcW w:w="937" w:type="dxa"/>
            <w:shd w:val="clear" w:color="auto" w:fill="auto"/>
            <w:noWrap/>
            <w:vAlign w:val="center"/>
            <w:hideMark/>
          </w:tcPr>
          <w:p w14:paraId="0BE25B19"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4.06</w:t>
            </w:r>
          </w:p>
        </w:tc>
        <w:tc>
          <w:tcPr>
            <w:tcW w:w="968" w:type="dxa"/>
            <w:shd w:val="clear" w:color="auto" w:fill="auto"/>
            <w:noWrap/>
            <w:vAlign w:val="center"/>
            <w:hideMark/>
          </w:tcPr>
          <w:p w14:paraId="05CD8276"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48.64</w:t>
            </w:r>
          </w:p>
        </w:tc>
        <w:tc>
          <w:tcPr>
            <w:tcW w:w="1065" w:type="dxa"/>
            <w:shd w:val="clear" w:color="auto" w:fill="auto"/>
            <w:noWrap/>
            <w:vAlign w:val="center"/>
            <w:hideMark/>
          </w:tcPr>
          <w:p w14:paraId="38129B12"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6.32</w:t>
            </w:r>
          </w:p>
        </w:tc>
        <w:tc>
          <w:tcPr>
            <w:tcW w:w="1065" w:type="dxa"/>
            <w:shd w:val="clear" w:color="auto" w:fill="auto"/>
            <w:noWrap/>
            <w:vAlign w:val="center"/>
            <w:hideMark/>
          </w:tcPr>
          <w:p w14:paraId="3CD3CFD7"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8.12</w:t>
            </w:r>
          </w:p>
        </w:tc>
        <w:tc>
          <w:tcPr>
            <w:tcW w:w="1065" w:type="dxa"/>
            <w:shd w:val="clear" w:color="auto" w:fill="auto"/>
            <w:noWrap/>
            <w:vAlign w:val="center"/>
            <w:hideMark/>
          </w:tcPr>
          <w:p w14:paraId="24D93DD4"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24.44</w:t>
            </w:r>
          </w:p>
        </w:tc>
        <w:tc>
          <w:tcPr>
            <w:tcW w:w="1065" w:type="dxa"/>
            <w:shd w:val="clear" w:color="auto" w:fill="auto"/>
            <w:noWrap/>
            <w:vAlign w:val="center"/>
            <w:hideMark/>
          </w:tcPr>
          <w:p w14:paraId="3D25B5DF"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29.90</w:t>
            </w:r>
          </w:p>
        </w:tc>
        <w:tc>
          <w:tcPr>
            <w:tcW w:w="1065" w:type="dxa"/>
            <w:shd w:val="clear" w:color="auto" w:fill="auto"/>
            <w:noWrap/>
            <w:vAlign w:val="center"/>
            <w:hideMark/>
          </w:tcPr>
          <w:p w14:paraId="6ABF0D44" w14:textId="77777777" w:rsidR="009B0617" w:rsidRPr="00B211D5" w:rsidRDefault="009B0617" w:rsidP="009B0617">
            <w:pPr>
              <w:spacing w:after="0" w:line="240" w:lineRule="auto"/>
              <w:jc w:val="right"/>
              <w:rPr>
                <w:rFonts w:ascii="Candara" w:eastAsia="Times New Roman" w:hAnsi="Candara" w:cs="Times New Roman"/>
                <w:color w:val="000000"/>
                <w:sz w:val="18"/>
                <w:szCs w:val="18"/>
                <w:lang w:eastAsia="en-AU"/>
              </w:rPr>
            </w:pPr>
            <w:r w:rsidRPr="00B211D5">
              <w:rPr>
                <w:rFonts w:ascii="Candara" w:eastAsia="Times New Roman" w:hAnsi="Candara" w:cs="Times New Roman"/>
                <w:color w:val="000000"/>
                <w:sz w:val="18"/>
                <w:szCs w:val="18"/>
                <w:lang w:eastAsia="en-AU"/>
              </w:rPr>
              <w:t>34.40</w:t>
            </w:r>
          </w:p>
        </w:tc>
      </w:tr>
    </w:tbl>
    <w:p w14:paraId="72030A36" w14:textId="77777777" w:rsidR="009B0617" w:rsidRPr="007F4F2B" w:rsidRDefault="009B0617" w:rsidP="009B0617">
      <w:pPr>
        <w:ind w:right="-284"/>
        <w:rPr>
          <w:rFonts w:ascii="Candara" w:hAnsi="Candara"/>
          <w:sz w:val="16"/>
          <w:szCs w:val="16"/>
        </w:rPr>
      </w:pPr>
      <w:r w:rsidRPr="007F4F2B">
        <w:rPr>
          <w:rFonts w:ascii="Candara" w:hAnsi="Candara"/>
          <w:b/>
          <w:i/>
          <w:iCs/>
          <w:sz w:val="16"/>
          <w:szCs w:val="16"/>
        </w:rPr>
        <w:t>NB</w:t>
      </w:r>
      <w:r w:rsidRPr="007F4F2B">
        <w:rPr>
          <w:rFonts w:ascii="Candara" w:hAnsi="Candara"/>
          <w:i/>
          <w:iCs/>
          <w:sz w:val="16"/>
          <w:szCs w:val="16"/>
        </w:rPr>
        <w:t>: Percentile figures indicate the percentage of simulated years in which the IRU total is below the stated value.</w:t>
      </w:r>
    </w:p>
    <w:p w14:paraId="79ABACEE" w14:textId="77777777" w:rsidR="009B0617" w:rsidRPr="00B211D5" w:rsidRDefault="009B0617" w:rsidP="007F4F2B">
      <w:pPr>
        <w:ind w:right="-284"/>
        <w:rPr>
          <w:rFonts w:ascii="Candara" w:hAnsi="Candara"/>
        </w:rPr>
      </w:pPr>
      <w:r w:rsidRPr="00B211D5">
        <w:rPr>
          <w:rFonts w:ascii="Candara" w:hAnsi="Candara"/>
        </w:rPr>
        <w:t>To test the financial impacts of future weather scenarios, IRU performance outcomes for selected years were compared to the mean IRU value (the value at which the IRU baseline will be set).</w:t>
      </w:r>
    </w:p>
    <w:p w14:paraId="4A161548" w14:textId="77777777" w:rsidR="009B0617" w:rsidRPr="00B211D5" w:rsidRDefault="009B0617" w:rsidP="009B0617">
      <w:pPr>
        <w:spacing w:after="60"/>
        <w:rPr>
          <w:rFonts w:ascii="Candara" w:hAnsi="Candara"/>
        </w:rPr>
      </w:pPr>
      <w:r w:rsidRPr="00B211D5">
        <w:rPr>
          <w:rFonts w:ascii="Candara" w:hAnsi="Candara"/>
        </w:rPr>
        <w:t>The simulated years used for comparative purposes included:</w:t>
      </w:r>
    </w:p>
    <w:p w14:paraId="4C3B3782"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 xml:space="preserve">a </w:t>
      </w:r>
      <w:r w:rsidRPr="00B211D5">
        <w:rPr>
          <w:rFonts w:ascii="Candara" w:hAnsi="Candara"/>
          <w:b/>
          <w:bCs/>
          <w:color w:val="17365D"/>
        </w:rPr>
        <w:t>cool</w:t>
      </w:r>
      <w:r w:rsidRPr="00B211D5">
        <w:rPr>
          <w:rFonts w:ascii="Candara" w:hAnsi="Candara"/>
          <w:color w:val="17365D"/>
        </w:rPr>
        <w:t xml:space="preserve"> </w:t>
      </w:r>
      <w:r w:rsidRPr="00B211D5">
        <w:rPr>
          <w:rFonts w:ascii="Candara" w:hAnsi="Candara"/>
        </w:rPr>
        <w:t xml:space="preserve">year (taken to be represented by the IRU score at the </w:t>
      </w:r>
      <w:r w:rsidRPr="00B211D5">
        <w:rPr>
          <w:rFonts w:ascii="Candara" w:hAnsi="Candara"/>
          <w:b/>
          <w:bCs/>
          <w:color w:val="17365D"/>
        </w:rPr>
        <w:t>25</w:t>
      </w:r>
      <w:r w:rsidRPr="00B211D5">
        <w:rPr>
          <w:rFonts w:ascii="Candara" w:hAnsi="Candara"/>
          <w:b/>
          <w:bCs/>
          <w:color w:val="17365D"/>
          <w:vertAlign w:val="superscript"/>
        </w:rPr>
        <w:t>th</w:t>
      </w:r>
      <w:r w:rsidRPr="00B211D5">
        <w:rPr>
          <w:rFonts w:ascii="Candara" w:hAnsi="Candara"/>
          <w:b/>
          <w:bCs/>
          <w:color w:val="17365D"/>
        </w:rPr>
        <w:t xml:space="preserve"> percentile</w:t>
      </w:r>
      <w:r w:rsidRPr="00B211D5">
        <w:rPr>
          <w:rFonts w:ascii="Candara" w:hAnsi="Candara"/>
        </w:rPr>
        <w:t>);</w:t>
      </w:r>
    </w:p>
    <w:p w14:paraId="16CD5397" w14:textId="77777777" w:rsidR="009B0617" w:rsidRPr="00B211D5" w:rsidRDefault="009B0617" w:rsidP="00BB41A4">
      <w:pPr>
        <w:numPr>
          <w:ilvl w:val="0"/>
          <w:numId w:val="30"/>
        </w:numPr>
        <w:spacing w:after="120"/>
        <w:ind w:left="714" w:hanging="357"/>
        <w:contextualSpacing/>
        <w:rPr>
          <w:rFonts w:ascii="Candara" w:hAnsi="Candara"/>
        </w:rPr>
      </w:pPr>
      <w:r w:rsidRPr="00B211D5">
        <w:rPr>
          <w:rFonts w:ascii="Candara" w:hAnsi="Candara"/>
        </w:rPr>
        <w:t xml:space="preserve">a </w:t>
      </w:r>
      <w:r w:rsidRPr="00B211D5">
        <w:rPr>
          <w:rFonts w:ascii="Candara" w:hAnsi="Candara"/>
          <w:b/>
          <w:bCs/>
          <w:color w:val="17365D"/>
        </w:rPr>
        <w:t>hot</w:t>
      </w:r>
      <w:r w:rsidRPr="00B211D5">
        <w:rPr>
          <w:rFonts w:ascii="Candara" w:hAnsi="Candara"/>
          <w:color w:val="17365D"/>
        </w:rPr>
        <w:t xml:space="preserve"> </w:t>
      </w:r>
      <w:r w:rsidRPr="00B211D5">
        <w:rPr>
          <w:rFonts w:ascii="Candara" w:hAnsi="Candara"/>
        </w:rPr>
        <w:t xml:space="preserve">year (taken to be represented by the IRU score at the </w:t>
      </w:r>
      <w:r w:rsidRPr="00B211D5">
        <w:rPr>
          <w:rFonts w:ascii="Candara" w:hAnsi="Candara"/>
          <w:b/>
          <w:bCs/>
          <w:color w:val="17365D"/>
        </w:rPr>
        <w:t>75</w:t>
      </w:r>
      <w:r w:rsidRPr="00B211D5">
        <w:rPr>
          <w:rFonts w:ascii="Candara" w:hAnsi="Candara"/>
          <w:b/>
          <w:bCs/>
          <w:color w:val="17365D"/>
          <w:vertAlign w:val="superscript"/>
        </w:rPr>
        <w:t>th</w:t>
      </w:r>
      <w:r w:rsidRPr="00B211D5">
        <w:rPr>
          <w:rFonts w:ascii="Candara" w:hAnsi="Candara"/>
          <w:b/>
          <w:bCs/>
          <w:color w:val="17365D"/>
        </w:rPr>
        <w:t xml:space="preserve"> percentile</w:t>
      </w:r>
      <w:r w:rsidRPr="00B211D5">
        <w:rPr>
          <w:rFonts w:ascii="Candara" w:hAnsi="Candara"/>
        </w:rPr>
        <w:t>);</w:t>
      </w:r>
    </w:p>
    <w:p w14:paraId="5E0C87C5" w14:textId="77777777" w:rsidR="009B0617" w:rsidRPr="00B211D5" w:rsidRDefault="009B0617" w:rsidP="00BB41A4">
      <w:pPr>
        <w:numPr>
          <w:ilvl w:val="0"/>
          <w:numId w:val="30"/>
        </w:numPr>
        <w:spacing w:after="120"/>
        <w:ind w:left="714" w:right="-284" w:hanging="357"/>
        <w:contextualSpacing/>
        <w:rPr>
          <w:rFonts w:ascii="Candara" w:hAnsi="Candara"/>
        </w:rPr>
      </w:pPr>
      <w:r w:rsidRPr="00B211D5">
        <w:rPr>
          <w:rFonts w:ascii="Candara" w:hAnsi="Candara"/>
        </w:rPr>
        <w:t xml:space="preserve">an </w:t>
      </w:r>
      <w:r w:rsidRPr="00B211D5">
        <w:rPr>
          <w:rFonts w:ascii="Candara" w:hAnsi="Candara"/>
          <w:b/>
          <w:bCs/>
          <w:color w:val="17365D"/>
        </w:rPr>
        <w:t>extremely</w:t>
      </w:r>
      <w:r w:rsidRPr="00B211D5">
        <w:rPr>
          <w:rFonts w:ascii="Candara" w:hAnsi="Candara"/>
          <w:color w:val="17365D"/>
        </w:rPr>
        <w:t xml:space="preserve"> </w:t>
      </w:r>
      <w:r w:rsidRPr="00B211D5">
        <w:rPr>
          <w:rFonts w:ascii="Candara" w:hAnsi="Candara"/>
          <w:b/>
          <w:bCs/>
          <w:color w:val="17365D"/>
        </w:rPr>
        <w:t>cool</w:t>
      </w:r>
      <w:r w:rsidRPr="00B211D5">
        <w:rPr>
          <w:rFonts w:ascii="Candara" w:hAnsi="Candara"/>
          <w:color w:val="17365D"/>
        </w:rPr>
        <w:t xml:space="preserve"> </w:t>
      </w:r>
      <w:r w:rsidRPr="00B211D5">
        <w:rPr>
          <w:rFonts w:ascii="Candara" w:hAnsi="Candara"/>
        </w:rPr>
        <w:t xml:space="preserve">year (taken to be represented by the IRU score at the </w:t>
      </w:r>
      <w:r w:rsidRPr="00B211D5">
        <w:rPr>
          <w:rFonts w:ascii="Candara" w:hAnsi="Candara"/>
          <w:b/>
          <w:bCs/>
          <w:color w:val="17365D"/>
        </w:rPr>
        <w:t>5</w:t>
      </w:r>
      <w:r w:rsidRPr="00B211D5">
        <w:rPr>
          <w:rFonts w:ascii="Candara" w:hAnsi="Candara"/>
          <w:b/>
          <w:bCs/>
          <w:color w:val="17365D"/>
          <w:vertAlign w:val="superscript"/>
        </w:rPr>
        <w:t>th</w:t>
      </w:r>
      <w:r w:rsidRPr="00B211D5">
        <w:rPr>
          <w:rFonts w:ascii="Candara" w:hAnsi="Candara"/>
          <w:b/>
          <w:bCs/>
          <w:color w:val="17365D"/>
        </w:rPr>
        <w:t xml:space="preserve"> percentile</w:t>
      </w:r>
      <w:r w:rsidRPr="00B211D5">
        <w:rPr>
          <w:rFonts w:ascii="Candara" w:hAnsi="Candara"/>
        </w:rPr>
        <w:t>); and</w:t>
      </w:r>
    </w:p>
    <w:p w14:paraId="21C16816" w14:textId="77777777" w:rsidR="009B0617" w:rsidRDefault="009B0617" w:rsidP="00BB41A4">
      <w:pPr>
        <w:numPr>
          <w:ilvl w:val="0"/>
          <w:numId w:val="30"/>
        </w:numPr>
        <w:spacing w:after="120"/>
        <w:ind w:left="714" w:hanging="357"/>
        <w:rPr>
          <w:rFonts w:ascii="Candara" w:hAnsi="Candara"/>
        </w:rPr>
      </w:pPr>
      <w:r w:rsidRPr="00B211D5">
        <w:rPr>
          <w:rFonts w:ascii="Candara" w:hAnsi="Candara"/>
        </w:rPr>
        <w:t xml:space="preserve">an </w:t>
      </w:r>
      <w:r w:rsidRPr="00B211D5">
        <w:rPr>
          <w:rFonts w:ascii="Candara" w:hAnsi="Candara"/>
          <w:b/>
          <w:bCs/>
          <w:color w:val="17365D"/>
        </w:rPr>
        <w:t>extremely</w:t>
      </w:r>
      <w:r w:rsidRPr="00B211D5">
        <w:rPr>
          <w:rFonts w:ascii="Candara" w:hAnsi="Candara"/>
          <w:color w:val="17365D"/>
        </w:rPr>
        <w:t xml:space="preserve"> </w:t>
      </w:r>
      <w:r w:rsidRPr="00C04B52">
        <w:rPr>
          <w:rFonts w:ascii="Candara" w:hAnsi="Candara"/>
          <w:b/>
          <w:color w:val="17365D"/>
        </w:rPr>
        <w:t>hot</w:t>
      </w:r>
      <w:r w:rsidRPr="00B211D5">
        <w:rPr>
          <w:rFonts w:ascii="Candara" w:hAnsi="Candara"/>
          <w:color w:val="17365D"/>
        </w:rPr>
        <w:t xml:space="preserve"> </w:t>
      </w:r>
      <w:r w:rsidRPr="00B211D5">
        <w:rPr>
          <w:rFonts w:ascii="Candara" w:hAnsi="Candara"/>
        </w:rPr>
        <w:t>year (taken to be represented by the IRU score at the 9</w:t>
      </w:r>
      <w:r w:rsidRPr="00B211D5">
        <w:rPr>
          <w:rFonts w:ascii="Candara" w:hAnsi="Candara"/>
          <w:b/>
          <w:bCs/>
          <w:color w:val="17365D"/>
        </w:rPr>
        <w:t>5</w:t>
      </w:r>
      <w:r w:rsidRPr="00B211D5">
        <w:rPr>
          <w:rFonts w:ascii="Candara" w:hAnsi="Candara"/>
          <w:b/>
          <w:bCs/>
          <w:color w:val="17365D"/>
          <w:vertAlign w:val="superscript"/>
        </w:rPr>
        <w:t>th</w:t>
      </w:r>
      <w:r w:rsidRPr="00B211D5">
        <w:rPr>
          <w:rFonts w:ascii="Candara" w:hAnsi="Candara"/>
          <w:b/>
          <w:bCs/>
          <w:color w:val="17365D"/>
        </w:rPr>
        <w:t xml:space="preserve"> percentile</w:t>
      </w:r>
      <w:r w:rsidRPr="00B211D5">
        <w:rPr>
          <w:rFonts w:ascii="Candara" w:hAnsi="Candara"/>
        </w:rPr>
        <w:t>).</w:t>
      </w:r>
    </w:p>
    <w:p w14:paraId="13C2CD77" w14:textId="77777777" w:rsidR="009B0617" w:rsidRPr="00B211D5" w:rsidRDefault="009B0617" w:rsidP="009B0617">
      <w:pPr>
        <w:spacing w:after="60"/>
        <w:rPr>
          <w:rFonts w:ascii="Candara" w:hAnsi="Candara"/>
        </w:rPr>
      </w:pPr>
      <w:r w:rsidRPr="00B211D5">
        <w:rPr>
          <w:rFonts w:ascii="Candara" w:hAnsi="Candara"/>
        </w:rPr>
        <w:t>This analysis provided one of three inputs into the decision on IRU unit price, a decision which also included consideration of:</w:t>
      </w:r>
    </w:p>
    <w:p w14:paraId="33510DEC" w14:textId="77777777" w:rsidR="009B0617" w:rsidRPr="00B211D5" w:rsidRDefault="009B0617" w:rsidP="00BB41A4">
      <w:pPr>
        <w:numPr>
          <w:ilvl w:val="0"/>
          <w:numId w:val="30"/>
        </w:numPr>
        <w:spacing w:after="120"/>
        <w:ind w:left="568" w:hanging="284"/>
        <w:contextualSpacing/>
        <w:rPr>
          <w:rFonts w:ascii="Candara" w:hAnsi="Candara"/>
        </w:rPr>
      </w:pPr>
      <w:r w:rsidRPr="00B211D5">
        <w:rPr>
          <w:rFonts w:ascii="Candara" w:hAnsi="Candara"/>
        </w:rPr>
        <w:t>the magnitude of the dollar value of individual ignitions, particularly at high IRU values; and</w:t>
      </w:r>
    </w:p>
    <w:p w14:paraId="478FD958" w14:textId="5CBBFC43" w:rsidR="009B0617" w:rsidRPr="00B211D5" w:rsidRDefault="009B0617" w:rsidP="00BB41A4">
      <w:pPr>
        <w:numPr>
          <w:ilvl w:val="0"/>
          <w:numId w:val="30"/>
        </w:numPr>
        <w:spacing w:after="120"/>
        <w:ind w:left="568" w:right="-567" w:hanging="284"/>
        <w:contextualSpacing/>
        <w:rPr>
          <w:rFonts w:ascii="Candara" w:hAnsi="Candara"/>
        </w:rPr>
      </w:pPr>
      <w:r w:rsidRPr="00B211D5">
        <w:rPr>
          <w:rFonts w:ascii="Candara" w:hAnsi="Candara"/>
        </w:rPr>
        <w:t>the risk that DBs may be inadvertently incentivised to “trade off” electricity supply reliability (with relatively low penalties) to avoid f-factor related costs at the extreme of IRU risk pricing (e.g. to avoid ignitions on code red days in extreme locations, under the proposed weightings).</w:t>
      </w:r>
    </w:p>
    <w:p w14:paraId="7491F12A" w14:textId="3F54CA1C" w:rsidR="009B0617" w:rsidRPr="00B022BB" w:rsidRDefault="007F4F2B" w:rsidP="00B022BB">
      <w:pPr>
        <w:rPr>
          <w:rFonts w:ascii="Candara" w:hAnsi="Candara"/>
          <w:b/>
          <w:sz w:val="28"/>
          <w:szCs w:val="28"/>
        </w:rPr>
      </w:pPr>
      <w:r>
        <w:rPr>
          <w:rFonts w:ascii="Candara" w:hAnsi="Candara"/>
          <w:b/>
          <w:sz w:val="28"/>
          <w:szCs w:val="28"/>
        </w:rPr>
        <w:lastRenderedPageBreak/>
        <w:t xml:space="preserve">D. </w:t>
      </w:r>
      <w:r w:rsidR="009B0617" w:rsidRPr="00B022BB">
        <w:rPr>
          <w:rFonts w:ascii="Candara" w:hAnsi="Candara"/>
          <w:b/>
          <w:sz w:val="28"/>
          <w:szCs w:val="28"/>
        </w:rPr>
        <w:t>Adjusting the IRU baseline</w:t>
      </w:r>
    </w:p>
    <w:p w14:paraId="1DDDBD30" w14:textId="77777777" w:rsidR="009B0617" w:rsidRPr="00B211D5" w:rsidRDefault="009B0617" w:rsidP="009B0617">
      <w:pPr>
        <w:rPr>
          <w:rFonts w:ascii="Candara" w:hAnsi="Candara"/>
        </w:rPr>
      </w:pPr>
      <w:r w:rsidRPr="00B211D5">
        <w:rPr>
          <w:rFonts w:ascii="Candara" w:hAnsi="Candara"/>
        </w:rPr>
        <w:t>The IRU methodology responds to the principle that consumers must not pay more than once for a safety benefit.</w:t>
      </w:r>
    </w:p>
    <w:p w14:paraId="5EAFA7B0" w14:textId="77777777" w:rsidR="009B0617" w:rsidRPr="00B211D5" w:rsidRDefault="009B0617" w:rsidP="009B0617">
      <w:pPr>
        <w:rPr>
          <w:rFonts w:ascii="Candara" w:hAnsi="Candara"/>
        </w:rPr>
      </w:pPr>
      <w:r w:rsidRPr="00B211D5">
        <w:rPr>
          <w:rFonts w:ascii="Candara" w:hAnsi="Candara"/>
        </w:rPr>
        <w:t>The proposed installation of Rapid Earth Fault Current Limiters (</w:t>
      </w:r>
      <w:r w:rsidRPr="00B211D5">
        <w:rPr>
          <w:rFonts w:ascii="Candara" w:hAnsi="Candara"/>
          <w:b/>
        </w:rPr>
        <w:t>REFCL</w:t>
      </w:r>
      <w:r w:rsidRPr="00B211D5">
        <w:rPr>
          <w:rFonts w:ascii="Candara" w:hAnsi="Candara"/>
        </w:rPr>
        <w:t>) at 45 Zone Substations (</w:t>
      </w:r>
      <w:r w:rsidRPr="00B211D5">
        <w:rPr>
          <w:rFonts w:ascii="Candara" w:hAnsi="Candara"/>
          <w:b/>
        </w:rPr>
        <w:t>ZSS</w:t>
      </w:r>
      <w:r w:rsidRPr="00B211D5">
        <w:rPr>
          <w:rFonts w:ascii="Candara" w:hAnsi="Candara"/>
        </w:rPr>
        <w:t>) by the end of 2022 is estimated to reduce relative state-wide powerline bushfire risk (likelihood x consequence) by over 40%.</w:t>
      </w:r>
    </w:p>
    <w:p w14:paraId="13C0EF32" w14:textId="77777777" w:rsidR="009B0617" w:rsidRPr="00B211D5" w:rsidRDefault="009B0617" w:rsidP="00C14E2E">
      <w:pPr>
        <w:ind w:right="-567"/>
        <w:rPr>
          <w:rFonts w:ascii="Candara" w:hAnsi="Candara"/>
        </w:rPr>
      </w:pPr>
      <w:r w:rsidRPr="00B211D5">
        <w:rPr>
          <w:rFonts w:ascii="Candara" w:hAnsi="Candara"/>
        </w:rPr>
        <w:t xml:space="preserve">In other words, the introduction of REFCLs will make the ignition events on 22kV powerlines less likely, making it easier for DBs to achieve a fire start performance level that is below their IRU baseline target. The CSIRO modelling shows that a REFCL will reduce the likelihood of ignition on 22kV powerlines by between </w:t>
      </w:r>
      <w:r w:rsidRPr="00345F5E">
        <w:rPr>
          <w:rFonts w:ascii="Candara" w:hAnsi="Candara"/>
        </w:rPr>
        <w:t>48% and 60%</w:t>
      </w:r>
      <w:r w:rsidRPr="00B211D5">
        <w:rPr>
          <w:rFonts w:ascii="Candara" w:hAnsi="Candara"/>
        </w:rPr>
        <w:t xml:space="preserve"> depending on the weather and environmental conditions experienced.</w:t>
      </w:r>
    </w:p>
    <w:p w14:paraId="6BA505FC" w14:textId="7231A742" w:rsidR="009B0617" w:rsidRPr="00B211D5" w:rsidRDefault="009B0617" w:rsidP="00C14E2E">
      <w:pPr>
        <w:spacing w:after="60"/>
        <w:ind w:right="-737"/>
        <w:rPr>
          <w:rFonts w:ascii="Candara" w:hAnsi="Candara"/>
        </w:rPr>
      </w:pPr>
      <w:r w:rsidRPr="00B211D5">
        <w:rPr>
          <w:rFonts w:ascii="Candara" w:hAnsi="Candara"/>
        </w:rPr>
        <w:t xml:space="preserve">If the IRU baseline </w:t>
      </w:r>
      <w:r w:rsidR="00C14E2E">
        <w:rPr>
          <w:rFonts w:ascii="Candara" w:hAnsi="Candara"/>
        </w:rPr>
        <w:t>is hel</w:t>
      </w:r>
      <w:r w:rsidRPr="00B211D5">
        <w:rPr>
          <w:rFonts w:ascii="Candara" w:hAnsi="Candara"/>
        </w:rPr>
        <w:t>d constant, that would mean consumers were paying twice for a safety benefit:</w:t>
      </w:r>
    </w:p>
    <w:p w14:paraId="34E396EC" w14:textId="77777777" w:rsidR="009B0617" w:rsidRPr="00B211D5" w:rsidRDefault="009B0617" w:rsidP="00BB41A4">
      <w:pPr>
        <w:numPr>
          <w:ilvl w:val="0"/>
          <w:numId w:val="30"/>
        </w:numPr>
        <w:ind w:left="568" w:hanging="284"/>
        <w:contextualSpacing/>
        <w:rPr>
          <w:rFonts w:ascii="Candara" w:hAnsi="Candara"/>
        </w:rPr>
      </w:pPr>
      <w:r w:rsidRPr="00B211D5">
        <w:rPr>
          <w:rFonts w:ascii="Candara" w:hAnsi="Candara"/>
        </w:rPr>
        <w:t xml:space="preserve">once for the cost of </w:t>
      </w:r>
      <w:r w:rsidRPr="00B211D5">
        <w:rPr>
          <w:rFonts w:ascii="Candara" w:hAnsi="Candara"/>
          <w:b/>
          <w:color w:val="17365D"/>
        </w:rPr>
        <w:t>installing REFCLs</w:t>
      </w:r>
      <w:r w:rsidRPr="00B211D5">
        <w:rPr>
          <w:rFonts w:ascii="Candara" w:hAnsi="Candara"/>
        </w:rPr>
        <w:t>; and</w:t>
      </w:r>
    </w:p>
    <w:p w14:paraId="1A21B7AD" w14:textId="77777777" w:rsidR="009B0617" w:rsidRPr="00B211D5" w:rsidRDefault="009B0617" w:rsidP="00BB41A4">
      <w:pPr>
        <w:numPr>
          <w:ilvl w:val="0"/>
          <w:numId w:val="30"/>
        </w:numPr>
        <w:ind w:left="568" w:hanging="284"/>
        <w:rPr>
          <w:rFonts w:ascii="Candara" w:hAnsi="Candara"/>
        </w:rPr>
      </w:pPr>
      <w:r w:rsidRPr="00B211D5">
        <w:rPr>
          <w:rFonts w:ascii="Candara" w:hAnsi="Candara"/>
        </w:rPr>
        <w:t xml:space="preserve">again through the f-factor scheme for the reduction in fire starts brought about through the </w:t>
      </w:r>
      <w:r w:rsidRPr="00B211D5">
        <w:rPr>
          <w:rFonts w:ascii="Candara" w:hAnsi="Candara"/>
          <w:b/>
          <w:color w:val="17365D"/>
        </w:rPr>
        <w:t>operation of REFCLs</w:t>
      </w:r>
      <w:r w:rsidRPr="00B211D5">
        <w:rPr>
          <w:rFonts w:ascii="Candara" w:hAnsi="Candara"/>
        </w:rPr>
        <w:t>.</w:t>
      </w:r>
    </w:p>
    <w:p w14:paraId="1A901675" w14:textId="77777777" w:rsidR="009B0617" w:rsidRPr="00B211D5" w:rsidRDefault="009B0617" w:rsidP="009B0617">
      <w:pPr>
        <w:rPr>
          <w:rFonts w:ascii="Candara" w:hAnsi="Candara"/>
        </w:rPr>
      </w:pPr>
      <w:r w:rsidRPr="00B211D5">
        <w:rPr>
          <w:rFonts w:ascii="Candara" w:hAnsi="Candara"/>
        </w:rPr>
        <w:t>The IRU methodology seeks to reduce the IRU baseline set for DBs in parallel with the ignition reduction benefit associated with the investment in REFCLs.</w:t>
      </w:r>
    </w:p>
    <w:p w14:paraId="24BA393B" w14:textId="77777777" w:rsidR="009B0617" w:rsidRPr="00B211D5" w:rsidRDefault="009B0617" w:rsidP="009B0617">
      <w:pPr>
        <w:pStyle w:val="BodyText"/>
        <w:rPr>
          <w:rFonts w:ascii="Candara" w:hAnsi="Candara"/>
          <w:b/>
        </w:rPr>
      </w:pPr>
      <w:r w:rsidRPr="00B211D5">
        <w:rPr>
          <w:rFonts w:ascii="Candara" w:hAnsi="Candara"/>
          <w:b/>
        </w:rPr>
        <w:t>IRU baseline adjustment method</w:t>
      </w:r>
    </w:p>
    <w:p w14:paraId="17326527" w14:textId="7870537D" w:rsidR="009B0617" w:rsidRPr="00B211D5" w:rsidRDefault="009B0617" w:rsidP="00C14E2E">
      <w:pPr>
        <w:ind w:right="-737"/>
        <w:rPr>
          <w:rFonts w:ascii="Candara" w:hAnsi="Candara"/>
        </w:rPr>
      </w:pPr>
      <w:r w:rsidRPr="00B211D5">
        <w:rPr>
          <w:rFonts w:ascii="Candara" w:hAnsi="Candara"/>
        </w:rPr>
        <w:t>Using the Risk Reduction Model (</w:t>
      </w:r>
      <w:r w:rsidRPr="00B211D5">
        <w:rPr>
          <w:rFonts w:ascii="Candara" w:hAnsi="Candara"/>
          <w:b/>
          <w:bCs/>
        </w:rPr>
        <w:t>RRM</w:t>
      </w:r>
      <w:r w:rsidRPr="00B211D5">
        <w:rPr>
          <w:rFonts w:ascii="Candara" w:hAnsi="Candara"/>
        </w:rPr>
        <w:t>), CSIRO has quantified how less likely each historical fire would have been if a REFCL had been in operation at the time. This ignition likelihood calculation takes into account weather and environmental conditions specific to each ignition reported between 2012 and 2014.</w:t>
      </w:r>
    </w:p>
    <w:p w14:paraId="035F3F0C" w14:textId="77777777" w:rsidR="009B0617" w:rsidRPr="00B211D5" w:rsidRDefault="009B0617" w:rsidP="009B0617">
      <w:pPr>
        <w:spacing w:after="60"/>
        <w:ind w:right="-454"/>
        <w:rPr>
          <w:rFonts w:ascii="Candara" w:hAnsi="Candara"/>
        </w:rPr>
      </w:pPr>
      <w:r w:rsidRPr="00B211D5">
        <w:rPr>
          <w:rFonts w:ascii="Candara" w:hAnsi="Candara"/>
        </w:rPr>
        <w:t>For every historical ignition that is associated with a 22kV powerline on one of the ZSSs targeted for enhanced protection, there is an expectation that the likelihood of an ignition occurring will be reduced. The RRM calculates the reduction in ignition likelihood for the installation of a REFCL relative to the bare-wire case, taking into account the unique features specific to the location and day of the event. These factors include:</w:t>
      </w:r>
    </w:p>
    <w:p w14:paraId="78025379"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temperature;</w:t>
      </w:r>
    </w:p>
    <w:p w14:paraId="0C4937EE"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wind speed;</w:t>
      </w:r>
    </w:p>
    <w:p w14:paraId="6FF35962"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humidity;</w:t>
      </w:r>
    </w:p>
    <w:p w14:paraId="65B90015"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dryness of vegetation;</w:t>
      </w:r>
    </w:p>
    <w:p w14:paraId="05450CA9"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category of vegetation; and</w:t>
      </w:r>
    </w:p>
    <w:p w14:paraId="45035981" w14:textId="77777777" w:rsidR="009B0617" w:rsidRPr="00B211D5" w:rsidRDefault="009B0617" w:rsidP="00BB41A4">
      <w:pPr>
        <w:numPr>
          <w:ilvl w:val="0"/>
          <w:numId w:val="30"/>
        </w:numPr>
        <w:spacing w:after="60"/>
        <w:ind w:left="568" w:hanging="284"/>
        <w:contextualSpacing/>
        <w:rPr>
          <w:rFonts w:ascii="Candara" w:hAnsi="Candara"/>
        </w:rPr>
      </w:pPr>
      <w:r w:rsidRPr="00B211D5">
        <w:rPr>
          <w:rFonts w:ascii="Candara" w:hAnsi="Candara"/>
        </w:rPr>
        <w:t>terrain.</w:t>
      </w:r>
    </w:p>
    <w:p w14:paraId="2C8D86DA" w14:textId="77777777" w:rsidR="009B0617" w:rsidRPr="00B211D5" w:rsidRDefault="009B0617" w:rsidP="009B0617">
      <w:pPr>
        <w:spacing w:after="120"/>
        <w:rPr>
          <w:rFonts w:ascii="Candara" w:hAnsi="Candara"/>
        </w:rPr>
      </w:pPr>
      <w:r w:rsidRPr="00B211D5">
        <w:rPr>
          <w:rFonts w:ascii="Candara" w:hAnsi="Candara"/>
        </w:rPr>
        <w:t xml:space="preserve">For a further description of the RRM developed by CSIRO refer to </w:t>
      </w:r>
      <w:r w:rsidRPr="00B211D5">
        <w:rPr>
          <w:rFonts w:ascii="Candara" w:hAnsi="Candara"/>
          <w:b/>
        </w:rPr>
        <w:t>Appendix 3</w:t>
      </w:r>
      <w:r w:rsidRPr="00B211D5">
        <w:rPr>
          <w:rFonts w:ascii="Candara" w:hAnsi="Candara"/>
        </w:rPr>
        <w:t>.</w:t>
      </w:r>
    </w:p>
    <w:p w14:paraId="4C7B1CA1" w14:textId="77777777" w:rsidR="009B0617" w:rsidRPr="00B211D5" w:rsidRDefault="009B0617" w:rsidP="009B0617">
      <w:pPr>
        <w:rPr>
          <w:rFonts w:ascii="Candara" w:hAnsi="Candara"/>
          <w:b/>
          <w:color w:val="17365D"/>
          <w:u w:val="single"/>
        </w:rPr>
      </w:pPr>
      <w:r w:rsidRPr="00B211D5">
        <w:rPr>
          <w:rFonts w:ascii="Candara" w:hAnsi="Candara"/>
          <w:b/>
          <w:color w:val="17365D"/>
          <w:u w:val="single"/>
        </w:rPr>
        <w:br w:type="page"/>
      </w:r>
    </w:p>
    <w:p w14:paraId="2A06389D" w14:textId="77777777" w:rsidR="009B0617" w:rsidRPr="00B211D5" w:rsidRDefault="009B0617" w:rsidP="009B0617">
      <w:pPr>
        <w:pStyle w:val="BodyText"/>
        <w:rPr>
          <w:rFonts w:ascii="Candara" w:hAnsi="Candara"/>
          <w:b/>
        </w:rPr>
      </w:pPr>
      <w:r w:rsidRPr="00B211D5">
        <w:rPr>
          <w:rFonts w:ascii="Candara" w:hAnsi="Candara"/>
          <w:b/>
        </w:rPr>
        <w:lastRenderedPageBreak/>
        <w:t>Sample calculation</w:t>
      </w:r>
    </w:p>
    <w:p w14:paraId="4BB696A2" w14:textId="77777777" w:rsidR="009B0617" w:rsidRPr="00B211D5" w:rsidRDefault="009B0617" w:rsidP="009B0617">
      <w:pPr>
        <w:spacing w:after="60"/>
        <w:ind w:right="-454"/>
        <w:rPr>
          <w:rFonts w:ascii="Candara" w:hAnsi="Candara"/>
        </w:rPr>
      </w:pPr>
      <w:r w:rsidRPr="00B211D5">
        <w:rPr>
          <w:rFonts w:ascii="Candara" w:hAnsi="Candara"/>
        </w:rPr>
        <w:t>An ignition that occurred on a 22kV powerline in an LBRA and on a day with a Fire Danger Rating of Very High, would have a baseline IRU score of:</w:t>
      </w:r>
    </w:p>
    <w:p w14:paraId="36BD9626" w14:textId="77777777" w:rsidR="009B0617" w:rsidRPr="00B211D5" w:rsidRDefault="009B0617" w:rsidP="009B0617">
      <w:pPr>
        <w:spacing w:before="60" w:after="60" w:line="240" w:lineRule="auto"/>
        <w:jc w:val="center"/>
        <w:rPr>
          <w:rFonts w:ascii="Candara" w:eastAsia="Calibri" w:hAnsi="Candara" w:cs="Times New Roman"/>
          <w:color w:val="000000"/>
          <w:sz w:val="20"/>
          <w:lang w:eastAsia="en-AU"/>
        </w:rPr>
      </w:pPr>
      <w:r w:rsidRPr="00B211D5">
        <w:rPr>
          <w:rFonts w:ascii="Candara" w:eastAsia="Calibri" w:hAnsi="Candara" w:cs="Times New Roman"/>
          <w:noProof/>
          <w:color w:val="000000"/>
          <w:sz w:val="20"/>
          <w:lang w:eastAsia="en-AU"/>
        </w:rPr>
        <w:drawing>
          <wp:inline distT="0" distB="0" distL="0" distR="0" wp14:anchorId="214F7E38" wp14:editId="01A9FED0">
            <wp:extent cx="3605530" cy="33655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5530" cy="336550"/>
                    </a:xfrm>
                    <a:prstGeom prst="rect">
                      <a:avLst/>
                    </a:prstGeom>
                    <a:noFill/>
                    <a:ln>
                      <a:noFill/>
                    </a:ln>
                  </pic:spPr>
                </pic:pic>
              </a:graphicData>
            </a:graphic>
          </wp:inline>
        </w:drawing>
      </w:r>
    </w:p>
    <w:p w14:paraId="22360CB8" w14:textId="135B439D" w:rsidR="009B0617" w:rsidRPr="00B211D5" w:rsidRDefault="009B0617" w:rsidP="009B0617">
      <w:pPr>
        <w:spacing w:after="60"/>
        <w:ind w:right="-454"/>
        <w:rPr>
          <w:rFonts w:ascii="Candara" w:hAnsi="Candara"/>
        </w:rPr>
      </w:pPr>
      <w:r w:rsidRPr="00B211D5">
        <w:rPr>
          <w:rFonts w:ascii="Candara" w:hAnsi="Candara"/>
        </w:rPr>
        <w:t>If a REFCL were to be installed by 201</w:t>
      </w:r>
      <w:r w:rsidR="00C04B52">
        <w:rPr>
          <w:rFonts w:ascii="Candara" w:hAnsi="Candara"/>
        </w:rPr>
        <w:t>9</w:t>
      </w:r>
      <w:r w:rsidRPr="00B211D5">
        <w:rPr>
          <w:rFonts w:ascii="Candara" w:hAnsi="Candara"/>
        </w:rPr>
        <w:t xml:space="preserve"> at the ZSS which supplies that 22kV powerline, and the RRM reduction in ignition likelihood was estimated to be 0.55, then the IRU value contributed to the IRU baseline from 201</w:t>
      </w:r>
      <w:r w:rsidR="00C04B52">
        <w:rPr>
          <w:rFonts w:ascii="Candara" w:hAnsi="Candara"/>
        </w:rPr>
        <w:t>9</w:t>
      </w:r>
      <w:r w:rsidRPr="00B211D5">
        <w:rPr>
          <w:rFonts w:ascii="Candara" w:hAnsi="Candara"/>
        </w:rPr>
        <w:t xml:space="preserve"> would reduce to:</w:t>
      </w:r>
    </w:p>
    <w:p w14:paraId="0E92AB50" w14:textId="77777777" w:rsidR="009B0617" w:rsidRPr="00B211D5" w:rsidRDefault="009B0617" w:rsidP="009B0617">
      <w:pPr>
        <w:spacing w:before="60" w:after="60" w:line="240" w:lineRule="auto"/>
        <w:jc w:val="center"/>
        <w:rPr>
          <w:rFonts w:ascii="Candara" w:eastAsia="Calibri" w:hAnsi="Candara" w:cs="Times New Roman"/>
          <w:color w:val="000000"/>
          <w:sz w:val="20"/>
          <w:lang w:eastAsia="en-AU"/>
        </w:rPr>
      </w:pPr>
      <w:r w:rsidRPr="00B211D5">
        <w:rPr>
          <w:rFonts w:ascii="Candara" w:eastAsia="Calibri" w:hAnsi="Candara" w:cs="Times New Roman"/>
          <w:noProof/>
          <w:color w:val="000000"/>
          <w:sz w:val="20"/>
          <w:lang w:eastAsia="en-AU"/>
        </w:rPr>
        <w:drawing>
          <wp:inline distT="0" distB="0" distL="0" distR="0" wp14:anchorId="71A1120B" wp14:editId="4B3E1317">
            <wp:extent cx="2294890" cy="33655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4890" cy="336550"/>
                    </a:xfrm>
                    <a:prstGeom prst="rect">
                      <a:avLst/>
                    </a:prstGeom>
                    <a:noFill/>
                    <a:ln>
                      <a:noFill/>
                    </a:ln>
                  </pic:spPr>
                </pic:pic>
              </a:graphicData>
            </a:graphic>
          </wp:inline>
        </w:drawing>
      </w:r>
    </w:p>
    <w:p w14:paraId="2BC2E5F1" w14:textId="4AE9F320" w:rsidR="009B0617" w:rsidRPr="00B211D5" w:rsidRDefault="006C454D" w:rsidP="00290C47">
      <w:pPr>
        <w:pStyle w:val="BodyText"/>
        <w:rPr>
          <w:rFonts w:ascii="Candara" w:hAnsi="Candara"/>
          <w:b/>
        </w:rPr>
      </w:pPr>
      <w:r>
        <w:rPr>
          <w:rFonts w:ascii="Candara" w:hAnsi="Candara"/>
          <w:b/>
        </w:rPr>
        <w:t>C</w:t>
      </w:r>
      <w:r w:rsidR="009B0617" w:rsidRPr="00B211D5">
        <w:rPr>
          <w:rFonts w:ascii="Candara" w:hAnsi="Candara"/>
          <w:b/>
        </w:rPr>
        <w:t xml:space="preserve">hange to </w:t>
      </w:r>
      <w:r>
        <w:rPr>
          <w:rFonts w:ascii="Candara" w:hAnsi="Candara"/>
          <w:b/>
        </w:rPr>
        <w:t xml:space="preserve">the </w:t>
      </w:r>
      <w:r w:rsidR="009B0617" w:rsidRPr="00B211D5">
        <w:rPr>
          <w:rFonts w:ascii="Candara" w:hAnsi="Candara"/>
          <w:b/>
        </w:rPr>
        <w:t>IRU baseline</w:t>
      </w:r>
    </w:p>
    <w:p w14:paraId="6EFC2C22" w14:textId="68F3A22E" w:rsidR="009B0617" w:rsidRPr="00B211D5" w:rsidRDefault="009B0617" w:rsidP="00C14E2E">
      <w:pPr>
        <w:spacing w:after="120"/>
        <w:ind w:right="-397"/>
        <w:rPr>
          <w:rFonts w:ascii="Candara" w:hAnsi="Candara"/>
        </w:rPr>
      </w:pPr>
      <w:r w:rsidRPr="00B211D5">
        <w:rPr>
          <w:rFonts w:ascii="Candara" w:hAnsi="Candara"/>
        </w:rPr>
        <w:t xml:space="preserve">In total, </w:t>
      </w:r>
      <w:r w:rsidR="00C151F7">
        <w:rPr>
          <w:rFonts w:ascii="Candara" w:hAnsi="Candara"/>
        </w:rPr>
        <w:t>8</w:t>
      </w:r>
      <w:r w:rsidR="00345F5E">
        <w:rPr>
          <w:rFonts w:ascii="Candara" w:hAnsi="Candara"/>
        </w:rPr>
        <w:t>01</w:t>
      </w:r>
      <w:r w:rsidRPr="00B211D5">
        <w:rPr>
          <w:rFonts w:ascii="Candara" w:hAnsi="Candara"/>
        </w:rPr>
        <w:t xml:space="preserve"> of the ignitions reported to the AER took place on 22kV powerlines that will be protected by a REFCL by 202</w:t>
      </w:r>
      <w:r w:rsidR="006C454D">
        <w:rPr>
          <w:rFonts w:ascii="Candara" w:hAnsi="Candara"/>
        </w:rPr>
        <w:t>3</w:t>
      </w:r>
      <w:r w:rsidRPr="00B211D5">
        <w:rPr>
          <w:rFonts w:ascii="Candara" w:hAnsi="Candara"/>
        </w:rPr>
        <w:t>. The table below shows how the IRU baseline would be decremented for each DB under two alternative REFCL deployment scenarios:</w:t>
      </w:r>
    </w:p>
    <w:p w14:paraId="5B360F88" w14:textId="77777777" w:rsidR="009B0617" w:rsidRPr="00B211D5" w:rsidRDefault="009B0617" w:rsidP="00BB41A4">
      <w:pPr>
        <w:numPr>
          <w:ilvl w:val="0"/>
          <w:numId w:val="30"/>
        </w:numPr>
        <w:ind w:right="-567"/>
        <w:contextualSpacing/>
        <w:rPr>
          <w:rFonts w:ascii="Candara" w:hAnsi="Candara"/>
        </w:rPr>
      </w:pPr>
      <w:r w:rsidRPr="00B211D5">
        <w:rPr>
          <w:rFonts w:ascii="Candara" w:hAnsi="Candara"/>
        </w:rPr>
        <w:t>a schedule favoured by the State, which would target the highest risk ZSSs first; and</w:t>
      </w:r>
    </w:p>
    <w:p w14:paraId="43FEC5EC" w14:textId="77777777" w:rsidR="009B0617" w:rsidRDefault="009B0617" w:rsidP="00BB41A4">
      <w:pPr>
        <w:numPr>
          <w:ilvl w:val="0"/>
          <w:numId w:val="30"/>
        </w:numPr>
        <w:ind w:left="714" w:right="-567" w:hanging="357"/>
        <w:rPr>
          <w:rFonts w:ascii="Candara" w:hAnsi="Candara"/>
        </w:rPr>
      </w:pPr>
      <w:r w:rsidRPr="00B211D5">
        <w:rPr>
          <w:rFonts w:ascii="Candara" w:hAnsi="Candara"/>
        </w:rPr>
        <w:t>a compliant schedule favoured by the DBs, which is preferred on operational/logistical grounds.</w:t>
      </w:r>
    </w:p>
    <w:p w14:paraId="107F5B2B" w14:textId="77777777" w:rsidR="008872AC" w:rsidRPr="008872AC" w:rsidRDefault="008872AC" w:rsidP="008872AC">
      <w:pPr>
        <w:spacing w:after="120"/>
        <w:ind w:right="-284"/>
        <w:rPr>
          <w:rFonts w:ascii="Candara" w:hAnsi="Candara"/>
        </w:rPr>
      </w:pPr>
      <w:r w:rsidRPr="008872AC">
        <w:rPr>
          <w:rFonts w:ascii="Candara" w:hAnsi="Candara"/>
        </w:rPr>
        <w:t xml:space="preserve">The two deployment scenarios yield very similar results, in terms of their impact on the IRU baseline. </w:t>
      </w:r>
    </w:p>
    <w:p w14:paraId="76E3EF3B" w14:textId="72FC2796" w:rsidR="00CA4C17" w:rsidRPr="00EE1FFF" w:rsidRDefault="0043728A" w:rsidP="00EE1FFF">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w:t>
      </w:r>
      <w:r w:rsidR="00C53166">
        <w:rPr>
          <w:rStyle w:val="Heading6Char"/>
        </w:rPr>
        <w:t>7</w:t>
      </w:r>
      <w:r w:rsidR="00CA4C17">
        <w:rPr>
          <w:rStyle w:val="Heading6Char"/>
        </w:rPr>
        <w:t>: Decremented baselines according to mandated asset deployment scenarios</w:t>
      </w:r>
    </w:p>
    <w:tbl>
      <w:tblPr>
        <w:tblW w:w="9923" w:type="dxa"/>
        <w:tblInd w:w="93" w:type="dxa"/>
        <w:tblLook w:val="04A0" w:firstRow="1" w:lastRow="0" w:firstColumn="1" w:lastColumn="0" w:noHBand="0" w:noVBand="1"/>
      </w:tblPr>
      <w:tblGrid>
        <w:gridCol w:w="1843"/>
        <w:gridCol w:w="1010"/>
        <w:gridCol w:w="1010"/>
        <w:gridCol w:w="1010"/>
        <w:gridCol w:w="1010"/>
        <w:gridCol w:w="1010"/>
        <w:gridCol w:w="1010"/>
        <w:gridCol w:w="1010"/>
        <w:gridCol w:w="1010"/>
      </w:tblGrid>
      <w:tr w:rsidR="00345F5E" w:rsidRPr="00345F5E" w14:paraId="1945C1BD" w14:textId="77777777" w:rsidTr="00B172D3">
        <w:tc>
          <w:tcPr>
            <w:tcW w:w="1843" w:type="dxa"/>
            <w:tcBorders>
              <w:top w:val="nil"/>
              <w:left w:val="single" w:sz="4" w:space="0" w:color="A6A6A6"/>
              <w:bottom w:val="nil"/>
              <w:right w:val="nil"/>
            </w:tcBorders>
            <w:shd w:val="clear" w:color="000000" w:fill="365F91" w:themeFill="accent1" w:themeFillShade="BF"/>
            <w:noWrap/>
            <w:vAlign w:val="center"/>
          </w:tcPr>
          <w:p w14:paraId="1FFBCFB2" w14:textId="77777777" w:rsidR="009B0617" w:rsidRPr="00345F5E" w:rsidRDefault="009B0617" w:rsidP="009B0617">
            <w:pPr>
              <w:spacing w:after="0" w:line="240" w:lineRule="auto"/>
              <w:rPr>
                <w:rFonts w:ascii="Candara" w:eastAsia="Times New Roman" w:hAnsi="Candara" w:cs="Times New Roman"/>
                <w:b/>
                <w:bCs/>
                <w:color w:val="FFFFFF" w:themeColor="background1"/>
                <w:sz w:val="20"/>
                <w:szCs w:val="20"/>
                <w:lang w:eastAsia="en-AU"/>
              </w:rPr>
            </w:pPr>
          </w:p>
        </w:tc>
        <w:tc>
          <w:tcPr>
            <w:tcW w:w="4040" w:type="dxa"/>
            <w:gridSpan w:val="4"/>
            <w:tcBorders>
              <w:top w:val="nil"/>
              <w:left w:val="single" w:sz="4" w:space="0" w:color="FFFFFF"/>
              <w:bottom w:val="single" w:sz="4" w:space="0" w:color="FFFFFF"/>
              <w:right w:val="single" w:sz="4" w:space="0" w:color="FFFFFF"/>
            </w:tcBorders>
            <w:shd w:val="clear" w:color="000000" w:fill="365F91" w:themeFill="accent1" w:themeFillShade="BF"/>
            <w:vAlign w:val="center"/>
          </w:tcPr>
          <w:p w14:paraId="1A5B94CA" w14:textId="77777777" w:rsidR="009B0617" w:rsidRPr="00345F5E" w:rsidRDefault="009B0617"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State Deployment Scenario</w:t>
            </w:r>
          </w:p>
        </w:tc>
        <w:tc>
          <w:tcPr>
            <w:tcW w:w="4040" w:type="dxa"/>
            <w:gridSpan w:val="4"/>
            <w:tcBorders>
              <w:top w:val="single" w:sz="4" w:space="0" w:color="FFFFFF"/>
              <w:left w:val="nil"/>
              <w:bottom w:val="nil"/>
              <w:right w:val="single" w:sz="4" w:space="0" w:color="A6A6A6"/>
            </w:tcBorders>
            <w:shd w:val="clear" w:color="000000" w:fill="365F91" w:themeFill="accent1" w:themeFillShade="BF"/>
            <w:vAlign w:val="center"/>
          </w:tcPr>
          <w:p w14:paraId="4667DAE8" w14:textId="77777777" w:rsidR="009B0617" w:rsidRPr="00345F5E" w:rsidRDefault="009B0617"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DB Deployment Scenario</w:t>
            </w:r>
          </w:p>
        </w:tc>
      </w:tr>
      <w:tr w:rsidR="00345F5E" w:rsidRPr="00345F5E" w14:paraId="53B8535F" w14:textId="77777777" w:rsidTr="00C14E2E">
        <w:trPr>
          <w:trHeight w:val="510"/>
        </w:trPr>
        <w:tc>
          <w:tcPr>
            <w:tcW w:w="1843" w:type="dxa"/>
            <w:tcBorders>
              <w:top w:val="nil"/>
              <w:left w:val="single" w:sz="4" w:space="0" w:color="A6A6A6"/>
              <w:bottom w:val="single" w:sz="4" w:space="0" w:color="A6A6A6"/>
              <w:right w:val="nil"/>
            </w:tcBorders>
            <w:shd w:val="clear" w:color="000000" w:fill="365F91" w:themeFill="accent1" w:themeFillShade="BF"/>
            <w:noWrap/>
            <w:vAlign w:val="center"/>
            <w:hideMark/>
          </w:tcPr>
          <w:p w14:paraId="24261FC4" w14:textId="77777777" w:rsidR="00C04B52" w:rsidRPr="00345F5E" w:rsidRDefault="00C04B52" w:rsidP="009B0617">
            <w:pPr>
              <w:spacing w:after="0" w:line="240" w:lineRule="auto"/>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Company</w:t>
            </w:r>
          </w:p>
        </w:tc>
        <w:tc>
          <w:tcPr>
            <w:tcW w:w="1010" w:type="dxa"/>
            <w:tcBorders>
              <w:top w:val="single" w:sz="4" w:space="0" w:color="FFFFFF"/>
              <w:left w:val="single" w:sz="4" w:space="0" w:color="FFFFFF"/>
              <w:bottom w:val="single" w:sz="4" w:space="0" w:color="A6A6A6"/>
              <w:right w:val="single" w:sz="4" w:space="0" w:color="FFFFFF"/>
            </w:tcBorders>
            <w:shd w:val="clear" w:color="000000" w:fill="365F91" w:themeFill="accent1" w:themeFillShade="BF"/>
            <w:vAlign w:val="center"/>
            <w:hideMark/>
          </w:tcPr>
          <w:p w14:paraId="659D6D34" w14:textId="7F5869FC"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2016 to 2019</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63735D46" w14:textId="20254C5C"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2019 to 2021</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5BCE2A28" w14:textId="5E2D6F1F"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2021 to 2023</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0F3437AC" w14:textId="569A447B"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After 2023</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61486D9E" w14:textId="383F80D6"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2016 to 2019</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32A21FB7" w14:textId="30CEC382"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2019 to 2021</w:t>
            </w:r>
          </w:p>
        </w:tc>
        <w:tc>
          <w:tcPr>
            <w:tcW w:w="1010" w:type="dxa"/>
            <w:tcBorders>
              <w:top w:val="single" w:sz="4" w:space="0" w:color="FFFFFF"/>
              <w:left w:val="nil"/>
              <w:bottom w:val="single" w:sz="4" w:space="0" w:color="A6A6A6"/>
              <w:right w:val="single" w:sz="4" w:space="0" w:color="FFFFFF"/>
            </w:tcBorders>
            <w:shd w:val="clear" w:color="000000" w:fill="365F91" w:themeFill="accent1" w:themeFillShade="BF"/>
            <w:vAlign w:val="center"/>
            <w:hideMark/>
          </w:tcPr>
          <w:p w14:paraId="10A776BE" w14:textId="373BDF8A"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2021 to 2023</w:t>
            </w:r>
          </w:p>
        </w:tc>
        <w:tc>
          <w:tcPr>
            <w:tcW w:w="1010" w:type="dxa"/>
            <w:tcBorders>
              <w:top w:val="single" w:sz="4" w:space="0" w:color="FFFFFF"/>
              <w:left w:val="nil"/>
              <w:bottom w:val="single" w:sz="4" w:space="0" w:color="A6A6A6"/>
              <w:right w:val="single" w:sz="4" w:space="0" w:color="A6A6A6"/>
            </w:tcBorders>
            <w:shd w:val="clear" w:color="000000" w:fill="365F91" w:themeFill="accent1" w:themeFillShade="BF"/>
            <w:vAlign w:val="center"/>
            <w:hideMark/>
          </w:tcPr>
          <w:p w14:paraId="0383008A" w14:textId="616B9702" w:rsidR="00C04B52" w:rsidRPr="00345F5E" w:rsidRDefault="00C04B52" w:rsidP="009B0617">
            <w:pPr>
              <w:spacing w:after="0" w:line="240" w:lineRule="auto"/>
              <w:jc w:val="center"/>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After 2023</w:t>
            </w:r>
          </w:p>
        </w:tc>
      </w:tr>
      <w:tr w:rsidR="00A85CC6" w:rsidRPr="00345F5E" w14:paraId="1BBAA8DC" w14:textId="77777777" w:rsidTr="00C14E2E">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616347EA" w14:textId="77777777" w:rsidR="00A85CC6" w:rsidRPr="00345F5E" w:rsidRDefault="00A85CC6" w:rsidP="009B0617">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AusNet Services</w:t>
            </w:r>
          </w:p>
        </w:tc>
        <w:tc>
          <w:tcPr>
            <w:tcW w:w="1010" w:type="dxa"/>
            <w:tcBorders>
              <w:top w:val="single" w:sz="4" w:space="0" w:color="A6A6A6"/>
              <w:left w:val="single" w:sz="4" w:space="0" w:color="A6A6A6"/>
              <w:bottom w:val="single" w:sz="4" w:space="0" w:color="A6A6A6"/>
              <w:right w:val="nil"/>
            </w:tcBorders>
            <w:shd w:val="clear" w:color="auto" w:fill="auto"/>
            <w:noWrap/>
            <w:vAlign w:val="center"/>
            <w:hideMark/>
          </w:tcPr>
          <w:p w14:paraId="38CAC522" w14:textId="1072324B"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247.7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55F97D1F" w14:textId="0A133A18"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208.9</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5F41EAF2" w14:textId="3CB98FC2"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155.7</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7EDF3A33" w14:textId="0F46DC1C"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136.0</w:t>
            </w:r>
          </w:p>
        </w:tc>
        <w:tc>
          <w:tcPr>
            <w:tcW w:w="1010" w:type="dxa"/>
            <w:tcBorders>
              <w:top w:val="single" w:sz="4" w:space="0" w:color="A6A6A6"/>
              <w:left w:val="nil"/>
              <w:bottom w:val="single" w:sz="4" w:space="0" w:color="A6A6A6"/>
              <w:right w:val="nil"/>
            </w:tcBorders>
            <w:shd w:val="clear" w:color="auto" w:fill="auto"/>
            <w:noWrap/>
            <w:vAlign w:val="center"/>
            <w:hideMark/>
          </w:tcPr>
          <w:p w14:paraId="54C8B322" w14:textId="672A29E5"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247.7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328CFBE4" w14:textId="35B214E5"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214.3</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65A819D1" w14:textId="07428D70"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155.3</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7CF34568" w14:textId="5E5CB47D"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136.0</w:t>
            </w:r>
          </w:p>
        </w:tc>
      </w:tr>
      <w:tr w:rsidR="00A85CC6" w:rsidRPr="00345F5E" w14:paraId="7F92D447" w14:textId="77777777" w:rsidTr="00C14E2E">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62ECBFFC" w14:textId="77777777" w:rsidR="00A85CC6" w:rsidRPr="00345F5E" w:rsidRDefault="00A85CC6" w:rsidP="009B0617">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CitiPower</w:t>
            </w:r>
          </w:p>
        </w:tc>
        <w:tc>
          <w:tcPr>
            <w:tcW w:w="1010" w:type="dxa"/>
            <w:tcBorders>
              <w:top w:val="single" w:sz="4" w:space="0" w:color="A6A6A6"/>
              <w:left w:val="single" w:sz="4" w:space="0" w:color="A6A6A6"/>
              <w:bottom w:val="single" w:sz="4" w:space="0" w:color="A6A6A6"/>
              <w:right w:val="nil"/>
            </w:tcBorders>
            <w:shd w:val="clear" w:color="auto" w:fill="auto"/>
            <w:noWrap/>
            <w:vAlign w:val="center"/>
            <w:hideMark/>
          </w:tcPr>
          <w:p w14:paraId="2F8E0C00" w14:textId="446AC143"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776F3397" w14:textId="609F06F7"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001B0EA9" w14:textId="253A44F7"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290E24F7" w14:textId="5CF8EB9C"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nil"/>
            </w:tcBorders>
            <w:shd w:val="clear" w:color="auto" w:fill="auto"/>
            <w:noWrap/>
            <w:vAlign w:val="center"/>
            <w:hideMark/>
          </w:tcPr>
          <w:p w14:paraId="1EACDAB8" w14:textId="711750CB"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3.4</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684F958A" w14:textId="1DA9E5DA"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5028C106" w14:textId="4F107159"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4681E09D" w14:textId="5CE17498"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3.4</w:t>
            </w:r>
          </w:p>
        </w:tc>
      </w:tr>
      <w:tr w:rsidR="00A85CC6" w:rsidRPr="00345F5E" w14:paraId="57BD2759" w14:textId="77777777" w:rsidTr="00C14E2E">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3EE6A18D" w14:textId="77777777" w:rsidR="00A85CC6" w:rsidRPr="00345F5E" w:rsidRDefault="00A85CC6" w:rsidP="009B0617">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Jemena</w:t>
            </w:r>
          </w:p>
        </w:tc>
        <w:tc>
          <w:tcPr>
            <w:tcW w:w="1010" w:type="dxa"/>
            <w:tcBorders>
              <w:top w:val="single" w:sz="4" w:space="0" w:color="A6A6A6"/>
              <w:left w:val="single" w:sz="4" w:space="0" w:color="A6A6A6"/>
              <w:bottom w:val="single" w:sz="4" w:space="0" w:color="A6A6A6"/>
              <w:right w:val="nil"/>
            </w:tcBorders>
            <w:shd w:val="clear" w:color="auto" w:fill="auto"/>
            <w:noWrap/>
            <w:vAlign w:val="center"/>
            <w:hideMark/>
          </w:tcPr>
          <w:p w14:paraId="30D07E82" w14:textId="30011A6B"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4992045D" w14:textId="254FFB25"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01BE340A" w14:textId="45B7A42B"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78DF0559" w14:textId="7C865807"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nil"/>
            </w:tcBorders>
            <w:shd w:val="clear" w:color="auto" w:fill="auto"/>
            <w:noWrap/>
            <w:vAlign w:val="center"/>
            <w:hideMark/>
          </w:tcPr>
          <w:p w14:paraId="1EDD1D80" w14:textId="1E34AAF4"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9.7</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23C16CC7" w14:textId="3D93BFEC"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4E76C763" w14:textId="0F200A3F"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3DCC0A8A" w14:textId="3852979B"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9.7</w:t>
            </w:r>
          </w:p>
        </w:tc>
      </w:tr>
      <w:tr w:rsidR="00A85CC6" w:rsidRPr="00345F5E" w14:paraId="71F871E7" w14:textId="77777777" w:rsidTr="00C14E2E">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0E9B6BA9" w14:textId="77777777" w:rsidR="00A85CC6" w:rsidRPr="00345F5E" w:rsidRDefault="00A85CC6" w:rsidP="009B0617">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Powercor</w:t>
            </w:r>
          </w:p>
        </w:tc>
        <w:tc>
          <w:tcPr>
            <w:tcW w:w="1010" w:type="dxa"/>
            <w:tcBorders>
              <w:top w:val="single" w:sz="4" w:space="0" w:color="A6A6A6"/>
              <w:left w:val="single" w:sz="4" w:space="0" w:color="A6A6A6"/>
              <w:bottom w:val="single" w:sz="4" w:space="0" w:color="A6A6A6"/>
              <w:right w:val="nil"/>
            </w:tcBorders>
            <w:shd w:val="clear" w:color="auto" w:fill="auto"/>
            <w:noWrap/>
            <w:vAlign w:val="center"/>
            <w:hideMark/>
          </w:tcPr>
          <w:p w14:paraId="7B7DDC34" w14:textId="7121396F"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468.0</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26759E5E" w14:textId="395E4759"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416.4</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09495026" w14:textId="719861A6"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365.6</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5C9466AB" w14:textId="26A31321"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311.2</w:t>
            </w:r>
          </w:p>
        </w:tc>
        <w:tc>
          <w:tcPr>
            <w:tcW w:w="1010" w:type="dxa"/>
            <w:tcBorders>
              <w:top w:val="single" w:sz="4" w:space="0" w:color="A6A6A6"/>
              <w:left w:val="nil"/>
              <w:bottom w:val="single" w:sz="4" w:space="0" w:color="A6A6A6"/>
              <w:right w:val="nil"/>
            </w:tcBorders>
            <w:shd w:val="clear" w:color="auto" w:fill="auto"/>
            <w:noWrap/>
            <w:vAlign w:val="center"/>
            <w:hideMark/>
          </w:tcPr>
          <w:p w14:paraId="4433960C" w14:textId="7BBC8D5C"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468.0</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0A1021BB" w14:textId="7910A5F1"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412.8</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27EAAE78" w14:textId="381B0055"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356.4</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7133F986" w14:textId="3883E9B4"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CD65D3">
              <w:rPr>
                <w:rFonts w:ascii="Candara" w:eastAsia="Times New Roman" w:hAnsi="Candara" w:cs="Times New Roman"/>
                <w:sz w:val="20"/>
                <w:szCs w:val="20"/>
                <w:lang w:eastAsia="en-AU"/>
              </w:rPr>
              <w:t>311.2</w:t>
            </w:r>
          </w:p>
        </w:tc>
      </w:tr>
      <w:tr w:rsidR="00A85CC6" w:rsidRPr="00345F5E" w14:paraId="2EB1AEC9" w14:textId="77777777" w:rsidTr="00C14E2E">
        <w:trPr>
          <w:trHeight w:val="360"/>
        </w:trPr>
        <w:tc>
          <w:tcPr>
            <w:tcW w:w="1843"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63369E3B" w14:textId="77777777" w:rsidR="00A85CC6" w:rsidRPr="00345F5E" w:rsidRDefault="00A85CC6" w:rsidP="009B0617">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United Energy</w:t>
            </w:r>
          </w:p>
        </w:tc>
        <w:tc>
          <w:tcPr>
            <w:tcW w:w="1010" w:type="dxa"/>
            <w:tcBorders>
              <w:top w:val="single" w:sz="4" w:space="0" w:color="A6A6A6"/>
              <w:left w:val="single" w:sz="4" w:space="0" w:color="A6A6A6"/>
              <w:bottom w:val="single" w:sz="4" w:space="0" w:color="A6A6A6"/>
              <w:right w:val="nil"/>
            </w:tcBorders>
            <w:shd w:val="clear" w:color="auto" w:fill="auto"/>
            <w:noWrap/>
            <w:vAlign w:val="center"/>
            <w:hideMark/>
          </w:tcPr>
          <w:p w14:paraId="41612C41" w14:textId="26EB50BA"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47EB85E4" w14:textId="78E58437"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317C5239" w14:textId="73CA8544"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096B18BF" w14:textId="0C401AD8"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nil"/>
            </w:tcBorders>
            <w:shd w:val="clear" w:color="auto" w:fill="auto"/>
            <w:noWrap/>
            <w:vAlign w:val="center"/>
            <w:hideMark/>
          </w:tcPr>
          <w:p w14:paraId="6CA1082A" w14:textId="05B8E8C4"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22.3</w:t>
            </w:r>
          </w:p>
        </w:tc>
        <w:tc>
          <w:tcPr>
            <w:tcW w:w="1010"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78C3169C" w14:textId="52E7A77E" w:rsidR="00A85CC6" w:rsidRPr="00C14E2E" w:rsidRDefault="00A85CC6" w:rsidP="009B0617">
            <w:pPr>
              <w:spacing w:after="0" w:line="240" w:lineRule="auto"/>
              <w:jc w:val="right"/>
              <w:rPr>
                <w:rFonts w:ascii="Candara" w:eastAsia="Times New Roman" w:hAnsi="Candara" w:cs="Times New Roman"/>
                <w:sz w:val="20"/>
                <w:szCs w:val="20"/>
                <w:lang w:eastAsia="en-AU"/>
              </w:rPr>
            </w:pPr>
            <w:r w:rsidRPr="00C14E2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single" w:sz="4" w:space="0" w:color="BFBFBF"/>
            </w:tcBorders>
            <w:shd w:val="clear" w:color="auto" w:fill="auto"/>
            <w:noWrap/>
            <w:vAlign w:val="center"/>
            <w:hideMark/>
          </w:tcPr>
          <w:p w14:paraId="6F475954" w14:textId="63C83920"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c>
          <w:tcPr>
            <w:tcW w:w="1010" w:type="dxa"/>
            <w:tcBorders>
              <w:top w:val="single" w:sz="4" w:space="0" w:color="A6A6A6"/>
              <w:left w:val="nil"/>
              <w:bottom w:val="single" w:sz="4" w:space="0" w:color="A6A6A6"/>
              <w:right w:val="single" w:sz="4" w:space="0" w:color="A6A6A6"/>
            </w:tcBorders>
            <w:shd w:val="clear" w:color="auto" w:fill="auto"/>
            <w:noWrap/>
            <w:vAlign w:val="center"/>
            <w:hideMark/>
          </w:tcPr>
          <w:p w14:paraId="1F3AD2B2" w14:textId="4462C9F5" w:rsidR="00A85CC6" w:rsidRPr="00345F5E" w:rsidRDefault="00A85CC6" w:rsidP="009B0617">
            <w:pPr>
              <w:spacing w:after="0" w:line="240" w:lineRule="auto"/>
              <w:jc w:val="right"/>
              <w:rPr>
                <w:rFonts w:ascii="Candara" w:eastAsia="Times New Roman" w:hAnsi="Candara" w:cs="Times New Roman"/>
                <w:sz w:val="20"/>
                <w:szCs w:val="20"/>
                <w:lang w:eastAsia="en-AU"/>
              </w:rPr>
            </w:pPr>
            <w:r w:rsidRPr="00345F5E">
              <w:rPr>
                <w:rFonts w:ascii="Candara" w:eastAsia="Times New Roman" w:hAnsi="Candara" w:cs="Times New Roman"/>
                <w:sz w:val="20"/>
                <w:szCs w:val="20"/>
                <w:lang w:eastAsia="en-AU"/>
              </w:rPr>
              <w:t>22.3</w:t>
            </w:r>
          </w:p>
        </w:tc>
      </w:tr>
      <w:tr w:rsidR="00A85CC6" w:rsidRPr="00345F5E" w14:paraId="2127E4CD" w14:textId="77777777" w:rsidTr="00290C47">
        <w:trPr>
          <w:trHeight w:val="360"/>
        </w:trPr>
        <w:tc>
          <w:tcPr>
            <w:tcW w:w="1843" w:type="dxa"/>
            <w:tcBorders>
              <w:top w:val="nil"/>
              <w:left w:val="single" w:sz="4" w:space="0" w:color="A6A6A6"/>
              <w:bottom w:val="single" w:sz="4" w:space="0" w:color="A6A6A6"/>
              <w:right w:val="nil"/>
            </w:tcBorders>
            <w:shd w:val="clear" w:color="000000" w:fill="000000"/>
            <w:noWrap/>
            <w:vAlign w:val="center"/>
            <w:hideMark/>
          </w:tcPr>
          <w:p w14:paraId="718B30BB" w14:textId="77777777" w:rsidR="00A85CC6" w:rsidRPr="00345F5E" w:rsidRDefault="00A85CC6" w:rsidP="009B0617">
            <w:pPr>
              <w:spacing w:after="0" w:line="240" w:lineRule="auto"/>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Grand Total</w:t>
            </w:r>
          </w:p>
        </w:tc>
        <w:tc>
          <w:tcPr>
            <w:tcW w:w="1010" w:type="dxa"/>
            <w:tcBorders>
              <w:top w:val="nil"/>
              <w:left w:val="single" w:sz="4" w:space="0" w:color="A6A6A6"/>
              <w:bottom w:val="single" w:sz="4" w:space="0" w:color="A6A6A6"/>
              <w:right w:val="nil"/>
            </w:tcBorders>
            <w:shd w:val="clear" w:color="000000" w:fill="000000"/>
            <w:noWrap/>
            <w:vAlign w:val="center"/>
            <w:hideMark/>
          </w:tcPr>
          <w:p w14:paraId="03D95C5D" w14:textId="4E1F3C8B"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748.4</w:t>
            </w:r>
          </w:p>
        </w:tc>
        <w:tc>
          <w:tcPr>
            <w:tcW w:w="1010" w:type="dxa"/>
            <w:tcBorders>
              <w:top w:val="nil"/>
              <w:left w:val="single" w:sz="4" w:space="0" w:color="BFBFBF"/>
              <w:bottom w:val="single" w:sz="4" w:space="0" w:color="A6A6A6"/>
              <w:right w:val="single" w:sz="4" w:space="0" w:color="BFBFBF"/>
            </w:tcBorders>
            <w:shd w:val="clear" w:color="000000" w:fill="000000"/>
            <w:noWrap/>
            <w:vAlign w:val="center"/>
            <w:hideMark/>
          </w:tcPr>
          <w:p w14:paraId="44B91AF3" w14:textId="1EFC326D"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661.4</w:t>
            </w:r>
          </w:p>
        </w:tc>
        <w:tc>
          <w:tcPr>
            <w:tcW w:w="1010" w:type="dxa"/>
            <w:tcBorders>
              <w:top w:val="nil"/>
              <w:left w:val="nil"/>
              <w:bottom w:val="single" w:sz="4" w:space="0" w:color="A6A6A6"/>
              <w:right w:val="single" w:sz="4" w:space="0" w:color="BFBFBF"/>
            </w:tcBorders>
            <w:shd w:val="clear" w:color="000000" w:fill="000000"/>
            <w:noWrap/>
            <w:vAlign w:val="center"/>
            <w:hideMark/>
          </w:tcPr>
          <w:p w14:paraId="0C4BBAD7" w14:textId="1A06ED3C"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558.6</w:t>
            </w:r>
          </w:p>
        </w:tc>
        <w:tc>
          <w:tcPr>
            <w:tcW w:w="1010" w:type="dxa"/>
            <w:tcBorders>
              <w:top w:val="nil"/>
              <w:left w:val="nil"/>
              <w:bottom w:val="single" w:sz="4" w:space="0" w:color="A6A6A6"/>
              <w:right w:val="single" w:sz="4" w:space="0" w:color="A6A6A6"/>
            </w:tcBorders>
            <w:shd w:val="clear" w:color="000000" w:fill="000000"/>
            <w:noWrap/>
            <w:vAlign w:val="center"/>
            <w:hideMark/>
          </w:tcPr>
          <w:p w14:paraId="504B866C" w14:textId="0E451BF4"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485.9</w:t>
            </w:r>
          </w:p>
        </w:tc>
        <w:tc>
          <w:tcPr>
            <w:tcW w:w="1010" w:type="dxa"/>
            <w:tcBorders>
              <w:top w:val="nil"/>
              <w:left w:val="nil"/>
              <w:bottom w:val="single" w:sz="4" w:space="0" w:color="A6A6A6"/>
              <w:right w:val="nil"/>
            </w:tcBorders>
            <w:shd w:val="clear" w:color="000000" w:fill="000000"/>
            <w:noWrap/>
            <w:vAlign w:val="center"/>
            <w:hideMark/>
          </w:tcPr>
          <w:p w14:paraId="7C70BF89" w14:textId="2951A24E"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748.4</w:t>
            </w:r>
          </w:p>
        </w:tc>
        <w:tc>
          <w:tcPr>
            <w:tcW w:w="1010" w:type="dxa"/>
            <w:tcBorders>
              <w:top w:val="nil"/>
              <w:left w:val="single" w:sz="4" w:space="0" w:color="BFBFBF"/>
              <w:bottom w:val="single" w:sz="4" w:space="0" w:color="A6A6A6"/>
              <w:right w:val="single" w:sz="4" w:space="0" w:color="BFBFBF"/>
            </w:tcBorders>
            <w:shd w:val="clear" w:color="000000" w:fill="000000"/>
            <w:noWrap/>
            <w:vAlign w:val="center"/>
            <w:hideMark/>
          </w:tcPr>
          <w:p w14:paraId="0C70F6F7" w14:textId="2A9F0A5C"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663.6</w:t>
            </w:r>
          </w:p>
        </w:tc>
        <w:tc>
          <w:tcPr>
            <w:tcW w:w="1010" w:type="dxa"/>
            <w:tcBorders>
              <w:top w:val="nil"/>
              <w:left w:val="nil"/>
              <w:bottom w:val="single" w:sz="4" w:space="0" w:color="A6A6A6"/>
              <w:right w:val="single" w:sz="4" w:space="0" w:color="BFBFBF"/>
            </w:tcBorders>
            <w:shd w:val="clear" w:color="000000" w:fill="000000"/>
            <w:noWrap/>
            <w:vAlign w:val="center"/>
            <w:hideMark/>
          </w:tcPr>
          <w:p w14:paraId="64BF0F82" w14:textId="3AE9FE8B"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sz w:val="20"/>
                <w:szCs w:val="20"/>
                <w:lang w:eastAsia="en-AU"/>
              </w:rPr>
              <w:t>548.4</w:t>
            </w:r>
          </w:p>
        </w:tc>
        <w:tc>
          <w:tcPr>
            <w:tcW w:w="1010" w:type="dxa"/>
            <w:tcBorders>
              <w:top w:val="nil"/>
              <w:left w:val="nil"/>
              <w:bottom w:val="single" w:sz="4" w:space="0" w:color="A6A6A6"/>
              <w:right w:val="single" w:sz="4" w:space="0" w:color="A6A6A6"/>
            </w:tcBorders>
            <w:shd w:val="clear" w:color="000000" w:fill="000000"/>
            <w:noWrap/>
            <w:vAlign w:val="center"/>
            <w:hideMark/>
          </w:tcPr>
          <w:p w14:paraId="10C2EDC2" w14:textId="1AF8C0B5" w:rsidR="00A85CC6" w:rsidRPr="00345F5E" w:rsidRDefault="00A85CC6" w:rsidP="009B0617">
            <w:pPr>
              <w:spacing w:after="0" w:line="240" w:lineRule="auto"/>
              <w:jc w:val="right"/>
              <w:rPr>
                <w:rFonts w:ascii="Candara" w:eastAsia="Times New Roman" w:hAnsi="Candara" w:cs="Times New Roman"/>
                <w:b/>
                <w:bCs/>
                <w:sz w:val="20"/>
                <w:szCs w:val="20"/>
                <w:lang w:eastAsia="en-AU"/>
              </w:rPr>
            </w:pPr>
            <w:r w:rsidRPr="00345F5E">
              <w:rPr>
                <w:rFonts w:ascii="Candara" w:eastAsia="Times New Roman" w:hAnsi="Candara" w:cs="Times New Roman"/>
                <w:b/>
                <w:bCs/>
                <w:color w:val="FFFFFF"/>
                <w:sz w:val="20"/>
                <w:szCs w:val="20"/>
                <w:lang w:eastAsia="en-AU"/>
              </w:rPr>
              <w:t>485.9</w:t>
            </w:r>
            <w:r w:rsidRPr="00345F5E">
              <w:rPr>
                <w:rFonts w:ascii="Candara" w:eastAsia="Times New Roman" w:hAnsi="Candara" w:cs="Times New Roman"/>
                <w:b/>
                <w:bCs/>
                <w:sz w:val="20"/>
                <w:szCs w:val="20"/>
                <w:lang w:eastAsia="en-AU"/>
              </w:rPr>
              <w:t>6</w:t>
            </w:r>
          </w:p>
        </w:tc>
      </w:tr>
    </w:tbl>
    <w:p w14:paraId="033D01ED" w14:textId="3CA65399" w:rsidR="009B0617" w:rsidRPr="00B211D5" w:rsidRDefault="009B0617" w:rsidP="008872AC">
      <w:pPr>
        <w:spacing w:before="200"/>
        <w:rPr>
          <w:rFonts w:ascii="Candara" w:hAnsi="Candara"/>
        </w:rPr>
      </w:pPr>
      <w:r w:rsidRPr="00B211D5">
        <w:rPr>
          <w:rFonts w:ascii="Candara" w:hAnsi="Candara"/>
        </w:rPr>
        <w:t>Over seven years to 202</w:t>
      </w:r>
      <w:r w:rsidR="0079713B">
        <w:rPr>
          <w:rFonts w:ascii="Candara" w:hAnsi="Candara"/>
        </w:rPr>
        <w:t>3</w:t>
      </w:r>
      <w:r w:rsidRPr="00B211D5">
        <w:rPr>
          <w:rFonts w:ascii="Candara" w:hAnsi="Candara"/>
        </w:rPr>
        <w:t xml:space="preserve">, the total IRU baseline across all DBs would reduce by </w:t>
      </w:r>
      <w:r w:rsidRPr="00C14E2E">
        <w:rPr>
          <w:rFonts w:ascii="Candara" w:hAnsi="Candara"/>
          <w:b/>
          <w:color w:val="17365D"/>
        </w:rPr>
        <w:t>3</w:t>
      </w:r>
      <w:r w:rsidR="0079713B" w:rsidRPr="00C14E2E">
        <w:rPr>
          <w:rFonts w:ascii="Candara" w:hAnsi="Candara"/>
          <w:b/>
          <w:color w:val="17365D"/>
        </w:rPr>
        <w:t>5.</w:t>
      </w:r>
      <w:r w:rsidR="00A85CC6">
        <w:rPr>
          <w:rFonts w:ascii="Candara" w:hAnsi="Candara"/>
          <w:b/>
          <w:color w:val="17365D"/>
        </w:rPr>
        <w:t>8</w:t>
      </w:r>
      <w:r w:rsidRPr="00C14E2E">
        <w:rPr>
          <w:rFonts w:ascii="Candara" w:hAnsi="Candara"/>
          <w:b/>
          <w:color w:val="17365D"/>
        </w:rPr>
        <w:t>%</w:t>
      </w:r>
      <w:r w:rsidRPr="00B211D5">
        <w:rPr>
          <w:rFonts w:ascii="Candara" w:hAnsi="Candara"/>
        </w:rPr>
        <w:t xml:space="preserve"> based on the analysis of the </w:t>
      </w:r>
      <w:r w:rsidR="00C151F7">
        <w:rPr>
          <w:rFonts w:ascii="Candara" w:hAnsi="Candara"/>
        </w:rPr>
        <w:t>3,171</w:t>
      </w:r>
      <w:r w:rsidRPr="00B211D5">
        <w:rPr>
          <w:rFonts w:ascii="Candara" w:hAnsi="Candara"/>
        </w:rPr>
        <w:t xml:space="preserve"> ignitions occurring in the period 2012 to 201</w:t>
      </w:r>
      <w:r w:rsidR="00C151F7">
        <w:rPr>
          <w:rFonts w:ascii="Candara" w:hAnsi="Candara"/>
        </w:rPr>
        <w:t>5</w:t>
      </w:r>
      <w:r w:rsidRPr="00B211D5">
        <w:rPr>
          <w:rFonts w:ascii="Candara" w:hAnsi="Candara"/>
        </w:rPr>
        <w:t>.</w:t>
      </w:r>
    </w:p>
    <w:p w14:paraId="37E6090C" w14:textId="7F959108" w:rsidR="0079713B" w:rsidRDefault="0079713B" w:rsidP="00C04B52">
      <w:pPr>
        <w:rPr>
          <w:rFonts w:ascii="Candara" w:hAnsi="Candara"/>
        </w:rPr>
      </w:pPr>
      <w:r w:rsidRPr="0079713B">
        <w:rPr>
          <w:rFonts w:ascii="Candara" w:hAnsi="Candara"/>
        </w:rPr>
        <w:t xml:space="preserve">While the table above shows how the IRU baseline for each distribution business would be reduced over the seven year period to 2023 </w:t>
      </w:r>
      <w:r w:rsidR="00F92347">
        <w:rPr>
          <w:rFonts w:ascii="Candara" w:hAnsi="Candara"/>
        </w:rPr>
        <w:t>via</w:t>
      </w:r>
      <w:r w:rsidRPr="0079713B">
        <w:rPr>
          <w:rFonts w:ascii="Candara" w:hAnsi="Candara"/>
        </w:rPr>
        <w:t xml:space="preserve"> this methodology, this RIS only deals with the first decrement in 2019 as it falls within the bounds of the current five-year Electricity Distribution Price Review (EDPR) period from 2016 to 2020. </w:t>
      </w:r>
    </w:p>
    <w:p w14:paraId="0F143D88" w14:textId="77777777" w:rsidR="006C454D" w:rsidRPr="0079713B" w:rsidRDefault="006C454D" w:rsidP="006C454D">
      <w:pPr>
        <w:rPr>
          <w:rFonts w:ascii="Candara" w:hAnsi="Candara"/>
        </w:rPr>
      </w:pPr>
      <w:r w:rsidRPr="0079713B">
        <w:rPr>
          <w:rFonts w:ascii="Candara" w:hAnsi="Candara"/>
        </w:rPr>
        <w:t>Decrements to the IRU baseline beyond 2020 will apply the same methodology, but will take into account updated powerline ignition data and powerline performance data that will be available at that time.</w:t>
      </w:r>
    </w:p>
    <w:p w14:paraId="42706281" w14:textId="77777777" w:rsidR="006C454D" w:rsidRDefault="006C454D">
      <w:pPr>
        <w:rPr>
          <w:rFonts w:ascii="Candara" w:hAnsi="Candara"/>
        </w:rPr>
      </w:pPr>
      <w:r>
        <w:rPr>
          <w:rFonts w:ascii="Candara" w:hAnsi="Candara"/>
        </w:rPr>
        <w:br w:type="page"/>
      </w:r>
    </w:p>
    <w:p w14:paraId="632AF190" w14:textId="66338574" w:rsidR="00A03DDD" w:rsidRDefault="00A03DDD" w:rsidP="00C04B52">
      <w:pPr>
        <w:rPr>
          <w:rFonts w:ascii="Candara" w:hAnsi="Candara"/>
        </w:rPr>
      </w:pPr>
      <w:r>
        <w:rPr>
          <w:rFonts w:ascii="Candara" w:hAnsi="Candara"/>
        </w:rPr>
        <w:lastRenderedPageBreak/>
        <w:t xml:space="preserve">The </w:t>
      </w:r>
      <w:r w:rsidR="00B6718B" w:rsidRPr="00B6718B">
        <w:rPr>
          <w:rFonts w:ascii="Candara" w:hAnsi="Candara"/>
          <w:i/>
        </w:rPr>
        <w:t>Electricity Safety (</w:t>
      </w:r>
      <w:r w:rsidRPr="00B6718B">
        <w:rPr>
          <w:rFonts w:ascii="Candara" w:hAnsi="Candara"/>
          <w:i/>
        </w:rPr>
        <w:t>Bushfire Mitigation Regulations</w:t>
      </w:r>
      <w:r w:rsidR="00B6718B" w:rsidRPr="00B6718B">
        <w:rPr>
          <w:rFonts w:ascii="Candara" w:hAnsi="Candara"/>
          <w:i/>
        </w:rPr>
        <w:t>) Amendment Regulations 2016</w:t>
      </w:r>
      <w:r w:rsidR="00B6718B">
        <w:rPr>
          <w:rFonts w:ascii="Candara" w:hAnsi="Candara"/>
        </w:rPr>
        <w:t xml:space="preserve"> require distribution businesses to achieve a heightened level of protection at a number of zone substations by 1 May 2019. The DBs (AusNet Services and Powercor) have proposed which zone substations they will provide enhanced protection for in order to meet this requirement.</w:t>
      </w:r>
    </w:p>
    <w:p w14:paraId="05CEB647" w14:textId="4DB8A126" w:rsidR="00B6718B" w:rsidRDefault="00B6718B" w:rsidP="00C04B52">
      <w:pPr>
        <w:rPr>
          <w:rFonts w:ascii="Candara" w:hAnsi="Candara"/>
        </w:rPr>
      </w:pPr>
      <w:r>
        <w:rPr>
          <w:rFonts w:ascii="Candara" w:hAnsi="Candara"/>
        </w:rPr>
        <w:t>The IRU baseline for each of AusNet Services and Powercor will be reduced for the subsequent financial year, commencing on 1 July 2019.</w:t>
      </w:r>
    </w:p>
    <w:p w14:paraId="164B646F" w14:textId="77777777" w:rsidR="004F4406" w:rsidRPr="00B211D5" w:rsidRDefault="004F4406" w:rsidP="004F4406">
      <w:pPr>
        <w:spacing w:before="200"/>
        <w:ind w:right="-397"/>
        <w:rPr>
          <w:rFonts w:ascii="Candara" w:hAnsi="Candara"/>
        </w:rPr>
      </w:pPr>
      <w:r>
        <w:rPr>
          <w:rFonts w:ascii="Candara" w:hAnsi="Candara"/>
        </w:rPr>
        <w:t>The DB proposed deployment scenarios comply with regulatory requirements and so it is appropriate to use these as the basis for IRU baseline adjustment.</w:t>
      </w:r>
    </w:p>
    <w:p w14:paraId="1286A150" w14:textId="70FADE31" w:rsidR="00C14E2E" w:rsidRPr="0079713B" w:rsidRDefault="00C14E2E" w:rsidP="00C04B52">
      <w:pPr>
        <w:rPr>
          <w:rFonts w:ascii="Candara" w:hAnsi="Candara"/>
        </w:rPr>
      </w:pPr>
      <w:r>
        <w:rPr>
          <w:rFonts w:ascii="Candara" w:hAnsi="Candara"/>
        </w:rPr>
        <w:t xml:space="preserve">The initial IRU baseline target for each DB </w:t>
      </w:r>
      <w:r w:rsidR="006C454D">
        <w:rPr>
          <w:rFonts w:ascii="Candara" w:hAnsi="Candara"/>
        </w:rPr>
        <w:t xml:space="preserve">and the adjusted </w:t>
      </w:r>
      <w:r w:rsidR="00A03DDD">
        <w:rPr>
          <w:rFonts w:ascii="Candara" w:hAnsi="Candara"/>
        </w:rPr>
        <w:t xml:space="preserve">IRU </w:t>
      </w:r>
      <w:r w:rsidR="006C454D">
        <w:rPr>
          <w:rFonts w:ascii="Candara" w:hAnsi="Candara"/>
        </w:rPr>
        <w:t xml:space="preserve">baseline </w:t>
      </w:r>
      <w:r w:rsidR="00A03DDD">
        <w:rPr>
          <w:rFonts w:ascii="Candara" w:hAnsi="Candara"/>
        </w:rPr>
        <w:t xml:space="preserve">for </w:t>
      </w:r>
      <w:r w:rsidR="006C454D">
        <w:rPr>
          <w:rFonts w:ascii="Candara" w:hAnsi="Candara"/>
        </w:rPr>
        <w:t xml:space="preserve">2019 </w:t>
      </w:r>
      <w:r w:rsidR="00A03DDD">
        <w:rPr>
          <w:rFonts w:ascii="Candara" w:hAnsi="Candara"/>
        </w:rPr>
        <w:t>are</w:t>
      </w:r>
      <w:r>
        <w:rPr>
          <w:rFonts w:ascii="Candara" w:hAnsi="Candara"/>
        </w:rPr>
        <w:t xml:space="preserve"> shown in the table </w:t>
      </w:r>
      <w:r w:rsidR="006C454D">
        <w:rPr>
          <w:rFonts w:ascii="Candara" w:hAnsi="Candara"/>
        </w:rPr>
        <w:t>below.</w:t>
      </w:r>
    </w:p>
    <w:p w14:paraId="511F0174" w14:textId="44935358" w:rsidR="00C14E2E" w:rsidRPr="00EE1FFF" w:rsidRDefault="00C14E2E" w:rsidP="00C14E2E">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A2.1</w:t>
      </w:r>
      <w:r w:rsidR="00C53166">
        <w:rPr>
          <w:rStyle w:val="Heading6Char"/>
        </w:rPr>
        <w:t>8</w:t>
      </w:r>
      <w:r>
        <w:rPr>
          <w:rStyle w:val="Heading6Char"/>
        </w:rPr>
        <w:t xml:space="preserve">: </w:t>
      </w:r>
      <w:r w:rsidR="006C454D">
        <w:rPr>
          <w:rStyle w:val="Heading6Char"/>
        </w:rPr>
        <w:t>Initial IRU baseline and Adjusted 2019 IRU baseline</w:t>
      </w:r>
    </w:p>
    <w:tbl>
      <w:tblPr>
        <w:tblW w:w="5670" w:type="dxa"/>
        <w:tblInd w:w="93" w:type="dxa"/>
        <w:tblLook w:val="04A0" w:firstRow="1" w:lastRow="0" w:firstColumn="1" w:lastColumn="0" w:noHBand="0" w:noVBand="1"/>
      </w:tblPr>
      <w:tblGrid>
        <w:gridCol w:w="2706"/>
        <w:gridCol w:w="1482"/>
        <w:gridCol w:w="1482"/>
      </w:tblGrid>
      <w:tr w:rsidR="00E72A94" w:rsidRPr="00345F5E" w14:paraId="75DBA100" w14:textId="77777777" w:rsidTr="006C454D">
        <w:trPr>
          <w:trHeight w:val="510"/>
        </w:trPr>
        <w:tc>
          <w:tcPr>
            <w:tcW w:w="2706" w:type="dxa"/>
            <w:tcBorders>
              <w:top w:val="single" w:sz="4" w:space="0" w:color="A6A6A6"/>
              <w:bottom w:val="single" w:sz="4" w:space="0" w:color="A6A6A6"/>
              <w:right w:val="single" w:sz="4" w:space="0" w:color="FFFFFF"/>
            </w:tcBorders>
            <w:shd w:val="clear" w:color="000000" w:fill="365F91" w:themeFill="accent1" w:themeFillShade="BF"/>
            <w:noWrap/>
            <w:vAlign w:val="center"/>
            <w:hideMark/>
          </w:tcPr>
          <w:p w14:paraId="6434315B" w14:textId="77777777" w:rsidR="00E72A94" w:rsidRPr="00345F5E" w:rsidRDefault="00E72A94" w:rsidP="00B81164">
            <w:pPr>
              <w:spacing w:after="0" w:line="240" w:lineRule="auto"/>
              <w:rPr>
                <w:rFonts w:ascii="Candara" w:eastAsia="Times New Roman" w:hAnsi="Candara" w:cs="Times New Roman"/>
                <w:b/>
                <w:bCs/>
                <w:color w:val="FFFFFF" w:themeColor="background1"/>
                <w:sz w:val="20"/>
                <w:szCs w:val="20"/>
                <w:lang w:eastAsia="en-AU"/>
              </w:rPr>
            </w:pPr>
            <w:r w:rsidRPr="00345F5E">
              <w:rPr>
                <w:rFonts w:ascii="Candara" w:eastAsia="Times New Roman" w:hAnsi="Candara" w:cs="Times New Roman"/>
                <w:b/>
                <w:bCs/>
                <w:color w:val="FFFFFF" w:themeColor="background1"/>
                <w:sz w:val="20"/>
                <w:szCs w:val="20"/>
                <w:lang w:eastAsia="en-AU"/>
              </w:rPr>
              <w:t>Company</w:t>
            </w:r>
          </w:p>
        </w:tc>
        <w:tc>
          <w:tcPr>
            <w:tcW w:w="1482" w:type="dxa"/>
            <w:tcBorders>
              <w:top w:val="single" w:sz="4" w:space="0" w:color="A6A6A6"/>
              <w:left w:val="single" w:sz="4" w:space="0" w:color="FFFFFF"/>
              <w:bottom w:val="single" w:sz="4" w:space="0" w:color="A6A6A6"/>
              <w:right w:val="single" w:sz="4" w:space="0" w:color="FFFFFF"/>
            </w:tcBorders>
            <w:shd w:val="clear" w:color="000000" w:fill="365F91" w:themeFill="accent1" w:themeFillShade="BF"/>
            <w:vAlign w:val="center"/>
            <w:hideMark/>
          </w:tcPr>
          <w:p w14:paraId="17780517" w14:textId="53FB8669" w:rsidR="00E72A94" w:rsidRPr="00345F5E" w:rsidRDefault="00E72A94" w:rsidP="00E72A94">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 xml:space="preserve">IRU Baseline </w:t>
            </w:r>
            <w:r w:rsidRPr="006C454D">
              <w:rPr>
                <w:rFonts w:ascii="Candara" w:eastAsia="Times New Roman" w:hAnsi="Candara" w:cs="Times New Roman"/>
                <w:b/>
                <w:bCs/>
                <w:color w:val="FFFFFF" w:themeColor="background1"/>
                <w:sz w:val="20"/>
                <w:szCs w:val="20"/>
                <w:u w:val="single"/>
                <w:lang w:eastAsia="en-AU"/>
              </w:rPr>
              <w:t>to</w:t>
            </w:r>
            <w:r>
              <w:rPr>
                <w:rFonts w:ascii="Candara" w:eastAsia="Times New Roman" w:hAnsi="Candara" w:cs="Times New Roman"/>
                <w:b/>
                <w:bCs/>
                <w:color w:val="FFFFFF" w:themeColor="background1"/>
                <w:sz w:val="20"/>
                <w:szCs w:val="20"/>
                <w:lang w:eastAsia="en-AU"/>
              </w:rPr>
              <w:br/>
              <w:t>30 June 2019</w:t>
            </w:r>
          </w:p>
        </w:tc>
        <w:tc>
          <w:tcPr>
            <w:tcW w:w="1482" w:type="dxa"/>
            <w:tcBorders>
              <w:top w:val="single" w:sz="4" w:space="0" w:color="A6A6A6"/>
              <w:left w:val="nil"/>
              <w:bottom w:val="single" w:sz="4" w:space="0" w:color="A6A6A6"/>
              <w:right w:val="single" w:sz="4" w:space="0" w:color="FFFFFF"/>
            </w:tcBorders>
            <w:shd w:val="clear" w:color="000000" w:fill="365F91" w:themeFill="accent1" w:themeFillShade="BF"/>
            <w:vAlign w:val="center"/>
            <w:hideMark/>
          </w:tcPr>
          <w:p w14:paraId="726800F2" w14:textId="0EA0CB09" w:rsidR="00E72A94" w:rsidRPr="00345F5E" w:rsidRDefault="00E72A94" w:rsidP="00E72A94">
            <w:pPr>
              <w:spacing w:after="0" w:line="240" w:lineRule="auto"/>
              <w:jc w:val="center"/>
              <w:rPr>
                <w:rFonts w:ascii="Candara" w:eastAsia="Times New Roman" w:hAnsi="Candara" w:cs="Times New Roman"/>
                <w:b/>
                <w:bCs/>
                <w:color w:val="FFFFFF" w:themeColor="background1"/>
                <w:sz w:val="20"/>
                <w:szCs w:val="20"/>
                <w:lang w:eastAsia="en-AU"/>
              </w:rPr>
            </w:pPr>
            <w:r>
              <w:rPr>
                <w:rFonts w:ascii="Candara" w:eastAsia="Times New Roman" w:hAnsi="Candara" w:cs="Times New Roman"/>
                <w:b/>
                <w:bCs/>
                <w:color w:val="FFFFFF" w:themeColor="background1"/>
                <w:sz w:val="20"/>
                <w:szCs w:val="20"/>
                <w:lang w:eastAsia="en-AU"/>
              </w:rPr>
              <w:t xml:space="preserve">IRU Baseline </w:t>
            </w:r>
            <w:r>
              <w:rPr>
                <w:rFonts w:ascii="Candara" w:eastAsia="Times New Roman" w:hAnsi="Candara" w:cs="Times New Roman"/>
                <w:b/>
                <w:bCs/>
                <w:color w:val="FFFFFF" w:themeColor="background1"/>
                <w:sz w:val="20"/>
                <w:szCs w:val="20"/>
                <w:u w:val="single"/>
                <w:lang w:eastAsia="en-AU"/>
              </w:rPr>
              <w:t>from</w:t>
            </w:r>
            <w:r>
              <w:rPr>
                <w:rFonts w:ascii="Candara" w:eastAsia="Times New Roman" w:hAnsi="Candara" w:cs="Times New Roman"/>
                <w:b/>
                <w:bCs/>
                <w:color w:val="FFFFFF" w:themeColor="background1"/>
                <w:sz w:val="20"/>
                <w:szCs w:val="20"/>
                <w:lang w:eastAsia="en-AU"/>
              </w:rPr>
              <w:br/>
              <w:t>1 July 2019</w:t>
            </w:r>
          </w:p>
        </w:tc>
      </w:tr>
      <w:tr w:rsidR="006C454D" w:rsidRPr="00345F5E" w14:paraId="60798D31" w14:textId="77777777" w:rsidTr="006C454D">
        <w:trPr>
          <w:trHeight w:val="360"/>
        </w:trPr>
        <w:tc>
          <w:tcPr>
            <w:tcW w:w="2706"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05BC824D" w14:textId="77777777" w:rsidR="006C454D" w:rsidRPr="00345F5E" w:rsidRDefault="006C454D" w:rsidP="00B81164">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AusNet Services</w:t>
            </w:r>
          </w:p>
        </w:tc>
        <w:tc>
          <w:tcPr>
            <w:tcW w:w="1482" w:type="dxa"/>
            <w:tcBorders>
              <w:top w:val="single" w:sz="4" w:space="0" w:color="A6A6A6"/>
              <w:left w:val="nil"/>
              <w:bottom w:val="single" w:sz="4" w:space="0" w:color="A6A6A6"/>
              <w:right w:val="nil"/>
            </w:tcBorders>
            <w:shd w:val="clear" w:color="auto" w:fill="auto"/>
            <w:noWrap/>
            <w:vAlign w:val="center"/>
            <w:hideMark/>
          </w:tcPr>
          <w:p w14:paraId="27F0AB27" w14:textId="558DBD73" w:rsidR="006C454D" w:rsidRPr="006C454D" w:rsidRDefault="006C454D" w:rsidP="00A85CC6">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24</w:t>
            </w:r>
            <w:r w:rsidR="00A85CC6">
              <w:rPr>
                <w:rFonts w:ascii="Candara" w:eastAsia="Times New Roman" w:hAnsi="Candara" w:cs="Times New Roman"/>
                <w:sz w:val="20"/>
                <w:szCs w:val="20"/>
                <w:lang w:eastAsia="en-AU"/>
              </w:rPr>
              <w:t>7.7</w:t>
            </w:r>
          </w:p>
        </w:tc>
        <w:tc>
          <w:tcPr>
            <w:tcW w:w="1482"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56E2CFBB" w14:textId="26511D24" w:rsidR="006C454D" w:rsidRPr="006C454D" w:rsidRDefault="006C454D" w:rsidP="00A85CC6">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214.</w:t>
            </w:r>
            <w:r w:rsidR="00A85CC6">
              <w:rPr>
                <w:rFonts w:ascii="Candara" w:eastAsia="Times New Roman" w:hAnsi="Candara" w:cs="Times New Roman"/>
                <w:sz w:val="20"/>
                <w:szCs w:val="20"/>
                <w:lang w:eastAsia="en-AU"/>
              </w:rPr>
              <w:t>3</w:t>
            </w:r>
          </w:p>
        </w:tc>
      </w:tr>
      <w:tr w:rsidR="006C454D" w:rsidRPr="00345F5E" w14:paraId="16981CBB" w14:textId="77777777" w:rsidTr="006C454D">
        <w:trPr>
          <w:trHeight w:val="360"/>
        </w:trPr>
        <w:tc>
          <w:tcPr>
            <w:tcW w:w="2706"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322A720F" w14:textId="77777777" w:rsidR="006C454D" w:rsidRPr="00345F5E" w:rsidRDefault="006C454D" w:rsidP="00B81164">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CitiPower</w:t>
            </w:r>
          </w:p>
        </w:tc>
        <w:tc>
          <w:tcPr>
            <w:tcW w:w="1482" w:type="dxa"/>
            <w:tcBorders>
              <w:top w:val="single" w:sz="4" w:space="0" w:color="A6A6A6"/>
              <w:left w:val="nil"/>
              <w:bottom w:val="single" w:sz="4" w:space="0" w:color="A6A6A6"/>
              <w:right w:val="nil"/>
            </w:tcBorders>
            <w:shd w:val="clear" w:color="auto" w:fill="auto"/>
            <w:noWrap/>
            <w:vAlign w:val="center"/>
            <w:hideMark/>
          </w:tcPr>
          <w:p w14:paraId="13F7DE72"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3.4</w:t>
            </w:r>
          </w:p>
        </w:tc>
        <w:tc>
          <w:tcPr>
            <w:tcW w:w="1482"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271D6B72"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3.4</w:t>
            </w:r>
          </w:p>
        </w:tc>
      </w:tr>
      <w:tr w:rsidR="006C454D" w:rsidRPr="00345F5E" w14:paraId="6ADD55EB" w14:textId="77777777" w:rsidTr="006C454D">
        <w:trPr>
          <w:trHeight w:val="360"/>
        </w:trPr>
        <w:tc>
          <w:tcPr>
            <w:tcW w:w="2706"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6492DFDD" w14:textId="77777777" w:rsidR="006C454D" w:rsidRPr="00345F5E" w:rsidRDefault="006C454D" w:rsidP="00B81164">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Jemena</w:t>
            </w:r>
          </w:p>
        </w:tc>
        <w:tc>
          <w:tcPr>
            <w:tcW w:w="1482" w:type="dxa"/>
            <w:tcBorders>
              <w:top w:val="single" w:sz="4" w:space="0" w:color="A6A6A6"/>
              <w:left w:val="nil"/>
              <w:bottom w:val="single" w:sz="4" w:space="0" w:color="A6A6A6"/>
              <w:right w:val="nil"/>
            </w:tcBorders>
            <w:shd w:val="clear" w:color="auto" w:fill="auto"/>
            <w:noWrap/>
            <w:vAlign w:val="center"/>
            <w:hideMark/>
          </w:tcPr>
          <w:p w14:paraId="70E88606"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9.7</w:t>
            </w:r>
          </w:p>
        </w:tc>
        <w:tc>
          <w:tcPr>
            <w:tcW w:w="1482"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236A8446"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9.7</w:t>
            </w:r>
          </w:p>
        </w:tc>
      </w:tr>
      <w:tr w:rsidR="006C454D" w:rsidRPr="00345F5E" w14:paraId="085D9EE6" w14:textId="77777777" w:rsidTr="006C454D">
        <w:trPr>
          <w:trHeight w:val="360"/>
        </w:trPr>
        <w:tc>
          <w:tcPr>
            <w:tcW w:w="2706"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4836005F" w14:textId="77777777" w:rsidR="006C454D" w:rsidRPr="00345F5E" w:rsidRDefault="006C454D" w:rsidP="00B81164">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Powercor</w:t>
            </w:r>
          </w:p>
        </w:tc>
        <w:tc>
          <w:tcPr>
            <w:tcW w:w="1482" w:type="dxa"/>
            <w:tcBorders>
              <w:top w:val="single" w:sz="4" w:space="0" w:color="A6A6A6"/>
              <w:left w:val="nil"/>
              <w:bottom w:val="single" w:sz="4" w:space="0" w:color="A6A6A6"/>
              <w:right w:val="nil"/>
            </w:tcBorders>
            <w:shd w:val="clear" w:color="auto" w:fill="auto"/>
            <w:noWrap/>
            <w:vAlign w:val="center"/>
            <w:hideMark/>
          </w:tcPr>
          <w:p w14:paraId="1F603E51"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468.0</w:t>
            </w:r>
          </w:p>
        </w:tc>
        <w:tc>
          <w:tcPr>
            <w:tcW w:w="1482"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4A436CB6" w14:textId="435575CB" w:rsidR="006C454D" w:rsidRPr="006C454D" w:rsidRDefault="006C454D" w:rsidP="00A85CC6">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41</w:t>
            </w:r>
            <w:r w:rsidR="00A85CC6">
              <w:rPr>
                <w:rFonts w:ascii="Candara" w:eastAsia="Times New Roman" w:hAnsi="Candara" w:cs="Times New Roman"/>
                <w:sz w:val="20"/>
                <w:szCs w:val="20"/>
                <w:lang w:eastAsia="en-AU"/>
              </w:rPr>
              <w:t>2</w:t>
            </w:r>
            <w:r w:rsidRPr="006C454D">
              <w:rPr>
                <w:rFonts w:ascii="Candara" w:eastAsia="Times New Roman" w:hAnsi="Candara" w:cs="Times New Roman"/>
                <w:sz w:val="20"/>
                <w:szCs w:val="20"/>
                <w:lang w:eastAsia="en-AU"/>
              </w:rPr>
              <w:t>.8</w:t>
            </w:r>
          </w:p>
        </w:tc>
      </w:tr>
      <w:tr w:rsidR="006C454D" w:rsidRPr="00345F5E" w14:paraId="29B9FCAC" w14:textId="77777777" w:rsidTr="006C454D">
        <w:trPr>
          <w:trHeight w:val="360"/>
        </w:trPr>
        <w:tc>
          <w:tcPr>
            <w:tcW w:w="2706" w:type="dxa"/>
            <w:tcBorders>
              <w:top w:val="single" w:sz="4" w:space="0" w:color="A6A6A6"/>
              <w:left w:val="single" w:sz="4" w:space="0" w:color="A6A6A6"/>
              <w:bottom w:val="single" w:sz="4" w:space="0" w:color="A6A6A6"/>
              <w:right w:val="nil"/>
            </w:tcBorders>
            <w:shd w:val="clear" w:color="000000" w:fill="365F91" w:themeFill="accent1" w:themeFillShade="BF"/>
            <w:noWrap/>
            <w:vAlign w:val="center"/>
            <w:hideMark/>
          </w:tcPr>
          <w:p w14:paraId="0AA59B26" w14:textId="77777777" w:rsidR="006C454D" w:rsidRPr="00345F5E" w:rsidRDefault="006C454D" w:rsidP="00B81164">
            <w:pPr>
              <w:spacing w:after="0" w:line="240" w:lineRule="auto"/>
              <w:rPr>
                <w:rFonts w:ascii="Candara" w:eastAsia="Times New Roman" w:hAnsi="Candara" w:cs="Times New Roman"/>
                <w:color w:val="FFFFFF" w:themeColor="background1"/>
                <w:sz w:val="20"/>
                <w:szCs w:val="20"/>
                <w:lang w:eastAsia="en-AU"/>
              </w:rPr>
            </w:pPr>
            <w:r w:rsidRPr="00345F5E">
              <w:rPr>
                <w:rFonts w:ascii="Candara" w:eastAsia="Times New Roman" w:hAnsi="Candara" w:cs="Times New Roman"/>
                <w:color w:val="FFFFFF" w:themeColor="background1"/>
                <w:sz w:val="20"/>
                <w:szCs w:val="20"/>
                <w:lang w:eastAsia="en-AU"/>
              </w:rPr>
              <w:t>United Energy</w:t>
            </w:r>
          </w:p>
        </w:tc>
        <w:tc>
          <w:tcPr>
            <w:tcW w:w="1482" w:type="dxa"/>
            <w:tcBorders>
              <w:top w:val="single" w:sz="4" w:space="0" w:color="A6A6A6"/>
              <w:left w:val="nil"/>
              <w:bottom w:val="single" w:sz="4" w:space="0" w:color="A6A6A6"/>
              <w:right w:val="nil"/>
            </w:tcBorders>
            <w:shd w:val="clear" w:color="auto" w:fill="auto"/>
            <w:noWrap/>
            <w:vAlign w:val="center"/>
            <w:hideMark/>
          </w:tcPr>
          <w:p w14:paraId="188541A7"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22.3</w:t>
            </w:r>
          </w:p>
        </w:tc>
        <w:tc>
          <w:tcPr>
            <w:tcW w:w="1482" w:type="dxa"/>
            <w:tcBorders>
              <w:top w:val="single" w:sz="4" w:space="0" w:color="A6A6A6"/>
              <w:left w:val="single" w:sz="4" w:space="0" w:color="BFBFBF"/>
              <w:bottom w:val="single" w:sz="4" w:space="0" w:color="A6A6A6"/>
              <w:right w:val="single" w:sz="4" w:space="0" w:color="BFBFBF"/>
            </w:tcBorders>
            <w:shd w:val="clear" w:color="auto" w:fill="auto"/>
            <w:noWrap/>
            <w:vAlign w:val="center"/>
            <w:hideMark/>
          </w:tcPr>
          <w:p w14:paraId="4B3470C5" w14:textId="77777777" w:rsidR="006C454D" w:rsidRPr="006C454D" w:rsidRDefault="006C454D" w:rsidP="00B81164">
            <w:pPr>
              <w:spacing w:after="0" w:line="240" w:lineRule="auto"/>
              <w:jc w:val="right"/>
              <w:rPr>
                <w:rFonts w:ascii="Candara" w:eastAsia="Times New Roman" w:hAnsi="Candara" w:cs="Times New Roman"/>
                <w:sz w:val="20"/>
                <w:szCs w:val="20"/>
                <w:lang w:eastAsia="en-AU"/>
              </w:rPr>
            </w:pPr>
            <w:r w:rsidRPr="006C454D">
              <w:rPr>
                <w:rFonts w:ascii="Candara" w:eastAsia="Times New Roman" w:hAnsi="Candara" w:cs="Times New Roman"/>
                <w:sz w:val="20"/>
                <w:szCs w:val="20"/>
                <w:lang w:eastAsia="en-AU"/>
              </w:rPr>
              <w:t>22.3</w:t>
            </w:r>
          </w:p>
        </w:tc>
      </w:tr>
    </w:tbl>
    <w:p w14:paraId="3D642ECE" w14:textId="77777777" w:rsidR="00A85CC6" w:rsidRPr="0079713B" w:rsidRDefault="00A85CC6" w:rsidP="00C04B52">
      <w:pPr>
        <w:rPr>
          <w:rFonts w:ascii="Candara" w:hAnsi="Candara"/>
        </w:rPr>
      </w:pPr>
    </w:p>
    <w:p w14:paraId="3B32EEFA" w14:textId="77777777" w:rsidR="000F3103" w:rsidRPr="00B211D5" w:rsidRDefault="000F3103">
      <w:pPr>
        <w:rPr>
          <w:rFonts w:ascii="Candara" w:hAnsi="Candara"/>
        </w:rPr>
      </w:pPr>
      <w:r w:rsidRPr="00B211D5">
        <w:rPr>
          <w:rFonts w:ascii="Candara" w:hAnsi="Candara"/>
        </w:rPr>
        <w:br w:type="page"/>
      </w:r>
    </w:p>
    <w:p w14:paraId="673F85B1" w14:textId="4399622B" w:rsidR="00290C47" w:rsidRDefault="00CC4638" w:rsidP="00290C47">
      <w:pPr>
        <w:pStyle w:val="Factsheetintroduction"/>
        <w:rPr>
          <w:rFonts w:ascii="Candara" w:eastAsiaTheme="majorEastAsia" w:hAnsi="Candara" w:cstheme="majorBidi"/>
          <w:b/>
          <w:iCs w:val="0"/>
          <w:color w:val="auto"/>
          <w:szCs w:val="28"/>
          <w:lang w:eastAsia="en-US"/>
        </w:rPr>
      </w:pPr>
      <w:r w:rsidRPr="00B211D5">
        <w:rPr>
          <w:noProof/>
        </w:rPr>
        <w:lastRenderedPageBreak/>
        <mc:AlternateContent>
          <mc:Choice Requires="wpg">
            <w:drawing>
              <wp:anchor distT="0" distB="0" distL="114300" distR="114300" simplePos="0" relativeHeight="251696128" behindDoc="0" locked="0" layoutInCell="1" allowOverlap="1" wp14:anchorId="4F2FCF16" wp14:editId="6E57E323">
                <wp:simplePos x="0" y="0"/>
                <wp:positionH relativeFrom="column">
                  <wp:posOffset>-3644265</wp:posOffset>
                </wp:positionH>
                <wp:positionV relativeFrom="paragraph">
                  <wp:posOffset>-121285</wp:posOffset>
                </wp:positionV>
                <wp:extent cx="11249025" cy="1381125"/>
                <wp:effectExtent l="0" t="0" r="9525" b="9525"/>
                <wp:wrapNone/>
                <wp:docPr id="163" name="Group 163"/>
                <wp:cNvGraphicFramePr/>
                <a:graphic xmlns:a="http://schemas.openxmlformats.org/drawingml/2006/main">
                  <a:graphicData uri="http://schemas.microsoft.com/office/word/2010/wordprocessingGroup">
                    <wpg:wgp>
                      <wpg:cNvGrpSpPr/>
                      <wpg:grpSpPr>
                        <a:xfrm>
                          <a:off x="0" y="0"/>
                          <a:ext cx="11249025" cy="1381125"/>
                          <a:chOff x="0" y="0"/>
                          <a:chExt cx="11249025" cy="1381125"/>
                        </a:xfrm>
                      </wpg:grpSpPr>
                      <pic:pic xmlns:pic="http://schemas.openxmlformats.org/drawingml/2006/picture">
                        <pic:nvPicPr>
                          <pic:cNvPr id="164" name="Picture 1" descr="background"/>
                          <pic:cNvPicPr>
                            <a:picLocks noChangeAspect="1"/>
                          </pic:cNvPicPr>
                        </pic:nvPicPr>
                        <pic:blipFill>
                          <a:blip r:embed="rId55" cstate="print"/>
                          <a:stretch>
                            <a:fillRect/>
                          </a:stretch>
                        </pic:blipFill>
                        <pic:spPr>
                          <a:xfrm>
                            <a:off x="0" y="0"/>
                            <a:ext cx="11249025" cy="1381125"/>
                          </a:xfrm>
                          <a:prstGeom prst="rect">
                            <a:avLst/>
                          </a:prstGeom>
                        </pic:spPr>
                      </pic:pic>
                      <pic:pic xmlns:pic="http://schemas.openxmlformats.org/drawingml/2006/picture">
                        <pic:nvPicPr>
                          <pic:cNvPr id="165" name="Picture 1" descr="Data 61 and CSIRO logo"/>
                          <pic:cNvPicPr>
                            <a:picLocks noChangeAspect="1"/>
                          </pic:cNvPicPr>
                        </pic:nvPicPr>
                        <pic:blipFill>
                          <a:blip r:embed="rId56" cstate="print"/>
                          <a:srcRect/>
                          <a:stretch>
                            <a:fillRect/>
                          </a:stretch>
                        </pic:blipFill>
                        <pic:spPr bwMode="auto">
                          <a:xfrm>
                            <a:off x="4286250" y="266700"/>
                            <a:ext cx="1362075" cy="828675"/>
                          </a:xfrm>
                          <a:prstGeom prst="rect">
                            <a:avLst/>
                          </a:prstGeom>
                          <a:noFill/>
                          <a:ln w="9525">
                            <a:noFill/>
                            <a:miter lim="800000"/>
                            <a:headEnd/>
                            <a:tailEnd/>
                          </a:ln>
                        </pic:spPr>
                      </pic:pic>
                    </wpg:wgp>
                  </a:graphicData>
                </a:graphic>
              </wp:anchor>
            </w:drawing>
          </mc:Choice>
          <mc:Fallback>
            <w:pict>
              <v:group id="Group 163" o:spid="_x0000_s1026" style="position:absolute;margin-left:-286.95pt;margin-top:-9.55pt;width:885.75pt;height:108.75pt;z-index:251696128" coordsize="112490,13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">
                <v:shape id="Picture 1" o:spid="_x0000_s1027" type="#_x0000_t75" alt="background" style="position:absolute;width:112490;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qXjCAAAA3AAAAA8AAABkcnMvZG93bnJldi54bWxET0tqwzAQ3RdyBzGB7hopTTHFiRKSgiF4&#10;Udq4BxisiW1ijRxL/vT2VaHQ3Tzed3aH2bZipN43jjWsVwoEcelMw5WGryJ7egXhA7LB1jFp+CYP&#10;h/3iYYepcRN/0ngJlYgh7FPUUIfQpVL6siaLfuU64shdXW8xRNhX0vQ4xXDbymelEmmx4dhQY0dv&#10;NZW3y2A1FFOusjtnp0EFk0+n96LZfBRaPy7n4xZEoDn8i//cZxPnJy/w+0y8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R6l4wgAAANwAAAAPAAAAAAAAAAAAAAAAAJ8C&#10;AABkcnMvZG93bnJldi54bWxQSwUGAAAAAAQABAD3AAAAjgMAAAAA&#10;">
                  <v:imagedata r:id="rId62" o:title="background"/>
                  <v:path arrowok="t"/>
                </v:shape>
                <v:shape id="Picture 1" o:spid="_x0000_s1028" type="#_x0000_t75" alt="Data 61 and CSIRO logo" style="position:absolute;left:42862;top:2667;width:13621;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ozC+AAAA3AAAAA8AAABkcnMvZG93bnJldi54bWxET02LwjAQvQv+hzCCN00t6Go1iiiC13UV&#10;r0MztsVmUpvU1n9vFgRv83ifs9p0phRPql1hWcFkHIEgTq0uOFNw/juM5iCcR9ZYWiYFL3KwWfd7&#10;K0y0bfmXniefiRDCLkEFufdVIqVLczLoxrYiDtzN1gZ9gHUmdY1tCDeljKNoJg0WHBpyrGiXU3o/&#10;NUbBz6NrG8M7d4ubSxXjtVjs+aXUcNBtlyA8df4r/riPOsyfTeH/mXCBXL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LBozC+AAAA3AAAAA8AAAAAAAAAAAAAAAAAnwIAAGRy&#10;cy9kb3ducmV2LnhtbFBLBQYAAAAABAAEAPcAAACKAwAAAAA=&#10;">
                  <v:imagedata r:id="rId63" o:title="Data 61 and CSIRO logo"/>
                  <v:path arrowok="t"/>
                </v:shape>
              </v:group>
            </w:pict>
          </mc:Fallback>
        </mc:AlternateContent>
      </w:r>
    </w:p>
    <w:p w14:paraId="7039B368" w14:textId="77777777" w:rsidR="00CC4638" w:rsidRPr="00CC4638" w:rsidRDefault="00CC4638" w:rsidP="00CC4638">
      <w:pPr>
        <w:pStyle w:val="BodyText"/>
        <w:rPr>
          <w:lang w:eastAsia="en-US"/>
        </w:rPr>
      </w:pPr>
    </w:p>
    <w:p w14:paraId="68D58C67" w14:textId="77777777" w:rsidR="00CC4638" w:rsidRPr="00CC4638" w:rsidRDefault="00CC4638" w:rsidP="00CC4638">
      <w:pPr>
        <w:pStyle w:val="BodyText"/>
        <w:rPr>
          <w:lang w:eastAsia="en-US"/>
        </w:rPr>
      </w:pPr>
    </w:p>
    <w:p w14:paraId="3C7919D0" w14:textId="77777777" w:rsidR="00CC4638" w:rsidRPr="00CC4638" w:rsidRDefault="00CC4638" w:rsidP="00CC4638">
      <w:pPr>
        <w:pStyle w:val="BodyText"/>
        <w:rPr>
          <w:lang w:eastAsia="en-US"/>
        </w:rPr>
      </w:pPr>
    </w:p>
    <w:p w14:paraId="0AF8B5CA" w14:textId="1C1D628E" w:rsidR="00290C47" w:rsidRPr="00BB41A4" w:rsidRDefault="00B25708" w:rsidP="00BB41A4">
      <w:pPr>
        <w:pStyle w:val="Heading1"/>
        <w:numPr>
          <w:ilvl w:val="0"/>
          <w:numId w:val="0"/>
        </w:numPr>
      </w:pPr>
      <w:bookmarkStart w:id="69" w:name="_Toc458675216"/>
      <w:r w:rsidRPr="00BB41A4">
        <w:t>Appendix 3 – The Risk Reduction Model</w:t>
      </w:r>
      <w:bookmarkEnd w:id="69"/>
    </w:p>
    <w:p w14:paraId="0262BBBC" w14:textId="64CA6534" w:rsidR="00290C47" w:rsidRPr="00BB41A4" w:rsidRDefault="00290C47" w:rsidP="00C151F7">
      <w:pPr>
        <w:pStyle w:val="Factsheetintroduction"/>
        <w:spacing w:after="240"/>
        <w:rPr>
          <w:rFonts w:ascii="Candara" w:hAnsi="Candara"/>
          <w:sz w:val="24"/>
          <w:szCs w:val="24"/>
        </w:rPr>
      </w:pPr>
      <w:r w:rsidRPr="00BB41A4">
        <w:rPr>
          <w:rFonts w:ascii="Candara" w:hAnsi="Candara"/>
          <w:sz w:val="24"/>
          <w:szCs w:val="24"/>
        </w:rPr>
        <w:t>The PBSP Risk Reduction Model (RRM) calculates the likelihood of an ignition at a particular location based on the vegetation, terrain, and type of electricity distribution assets present. The likelihood is dependent on fire weather conditions: wind speed, temperature, drought factor and relative humidity. RRM can predict the performance of new asset types, and can compute total risk given fire consequence information.</w:t>
      </w:r>
    </w:p>
    <w:p w14:paraId="20C8DB5D" w14:textId="77777777" w:rsidR="00290C47" w:rsidRPr="00B211D5" w:rsidRDefault="00290C47" w:rsidP="00290C47">
      <w:pPr>
        <w:pStyle w:val="Heading2"/>
        <w:sectPr w:rsidR="00290C47" w:rsidRPr="00B211D5" w:rsidSect="007F4F2B">
          <w:pgSz w:w="11906" w:h="16838" w:code="9"/>
          <w:pgMar w:top="1440" w:right="1440" w:bottom="1440" w:left="1440" w:header="709" w:footer="624" w:gutter="0"/>
          <w:cols w:space="708"/>
          <w:titlePg/>
          <w:docGrid w:linePitch="360"/>
        </w:sectPr>
      </w:pPr>
    </w:p>
    <w:p w14:paraId="54943DE0"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lastRenderedPageBreak/>
        <w:t>In 2014 the Victorian Government’s Powerline Bushfire Safety Program (PBSP) commissioned CSIRO to develop a quantitative model that could estimate the current and future risk of bushfire ignitions due to high voltage (HV) electricity distribution powerlines in non-urban areas.</w:t>
      </w:r>
    </w:p>
    <w:p w14:paraId="5616A8F8"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The model, known as the Risk Reduction Model (RRM) applies for current bare-wire assets with ACR and fuse protection, as well as future asset types such as insulated overhead cable with ACR and Rapid Earth Fault Current Limiting (REFCL) electrical protection.</w:t>
      </w:r>
    </w:p>
    <w:p w14:paraId="3E5D0FD4"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 xml:space="preserve">RRM is a collaborative effort by CSIRO, PBSP, Geomatic Technologies and FACIO Pty Ltd (Mr Gary Towns). Substantial electrical industry expertise has been combined with professional analytics knowhow. </w:t>
      </w:r>
    </w:p>
    <w:p w14:paraId="13351AC6"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The RRM has four main components:</w:t>
      </w:r>
    </w:p>
    <w:p w14:paraId="7750E0D6"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FAULTS MODEL. Estimating (pre-ignition) electrical fault rates using historical data on faults on bare wire assets.</w:t>
      </w:r>
    </w:p>
    <w:p w14:paraId="74CE79CF"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FAULT TO IGNITION MODEL. Converting pre-ignition electrical fault rates into fire ignition rates.</w:t>
      </w:r>
    </w:p>
    <w:p w14:paraId="3023F502"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FUTURE ASSETS MODEL (FAM). Estimating electrical fault rates and ignition rates for alternative asset types.</w:t>
      </w:r>
    </w:p>
    <w:p w14:paraId="6E7B1C79"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RISK CALCULATION. Using the other model components and pre-computed bushfire consequence data to</w:t>
      </w:r>
      <w:r w:rsidRPr="00B211D5">
        <w:rPr>
          <w:rFonts w:ascii="Candara" w:hAnsi="Candara"/>
        </w:rPr>
        <w:t xml:space="preserve"> </w:t>
      </w:r>
      <w:r w:rsidRPr="00B211D5">
        <w:rPr>
          <w:rFonts w:ascii="Candara" w:hAnsi="Candara"/>
          <w:sz w:val="20"/>
        </w:rPr>
        <w:t>create estimates of current and future bushfire powerline risk.</w:t>
      </w:r>
    </w:p>
    <w:p w14:paraId="04004A7E"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By using the RRM risk calculation in various ways, PBSP has been able to assess the current level of risk, prioritise areas for powerline replacement and for REFCL deployment, and estimate the total risk reduction in Victoria due to planned mitigation activity.</w:t>
      </w:r>
    </w:p>
    <w:p w14:paraId="1A3672E8" w14:textId="77777777" w:rsidR="00290C47" w:rsidRPr="00B211D5" w:rsidRDefault="00290C47" w:rsidP="00290C47">
      <w:pPr>
        <w:pStyle w:val="BodyText"/>
        <w:rPr>
          <w:rFonts w:ascii="Candara" w:hAnsi="Candara"/>
          <w:sz w:val="20"/>
        </w:rPr>
      </w:pPr>
      <w:r w:rsidRPr="00B211D5">
        <w:rPr>
          <w:rFonts w:ascii="Candara" w:hAnsi="Candara"/>
          <w:sz w:val="20"/>
        </w:rPr>
        <w:lastRenderedPageBreak/>
        <w:t>RRM has been used to predict that with optimal targeting of asset replacements and electrical</w:t>
      </w:r>
      <w:r w:rsidRPr="00B211D5">
        <w:rPr>
          <w:rFonts w:ascii="Candara" w:hAnsi="Candara"/>
        </w:rPr>
        <w:t xml:space="preserve"> </w:t>
      </w:r>
      <w:r w:rsidRPr="00B211D5">
        <w:rPr>
          <w:rFonts w:ascii="Candara" w:hAnsi="Candara"/>
          <w:sz w:val="20"/>
        </w:rPr>
        <w:t>protection upgrades, Victoria can achieve a two-thirds reduction in bushfire risk due to powerlines by addressing only a small percentage of the total electrical distribution system.</w:t>
      </w:r>
    </w:p>
    <w:p w14:paraId="35E2EB6C" w14:textId="77777777" w:rsidR="00290C47" w:rsidRPr="00326522" w:rsidRDefault="00290C47" w:rsidP="00C151F7">
      <w:pPr>
        <w:spacing w:after="120"/>
        <w:rPr>
          <w:b/>
        </w:rPr>
      </w:pPr>
      <w:r w:rsidRPr="00326522">
        <w:rPr>
          <w:b/>
        </w:rPr>
        <w:t>Principles</w:t>
      </w:r>
    </w:p>
    <w:p w14:paraId="5D6E7077" w14:textId="77777777" w:rsidR="00290C47" w:rsidRPr="00C151F7" w:rsidRDefault="00290C47" w:rsidP="00C151F7">
      <w:pPr>
        <w:pStyle w:val="BodyText"/>
        <w:spacing w:before="60" w:after="60"/>
        <w:rPr>
          <w:rFonts w:ascii="Candara" w:hAnsi="Candara"/>
          <w:sz w:val="20"/>
        </w:rPr>
      </w:pPr>
      <w:r w:rsidRPr="00C151F7">
        <w:rPr>
          <w:rFonts w:ascii="Candara" w:hAnsi="Candara"/>
          <w:sz w:val="20"/>
        </w:rPr>
        <w:t>The principles underpinning RRM are:</w:t>
      </w:r>
    </w:p>
    <w:p w14:paraId="70DD6416" w14:textId="77777777" w:rsidR="00290C47" w:rsidRPr="00B211D5" w:rsidRDefault="00290C47" w:rsidP="00290C47">
      <w:pPr>
        <w:pStyle w:val="ListBullet"/>
        <w:rPr>
          <w:rFonts w:ascii="Candara" w:hAnsi="Candara"/>
        </w:rPr>
      </w:pPr>
      <w:r w:rsidRPr="00B211D5">
        <w:rPr>
          <w:rFonts w:ascii="Candara" w:hAnsi="Candara"/>
        </w:rPr>
        <w:t>RRM needs to be spatially explicit, and concerned with ignition likelihood and risk (ignition likelihood multiplied by fire consequence).</w:t>
      </w:r>
    </w:p>
    <w:p w14:paraId="78559E8B" w14:textId="77777777" w:rsidR="00290C47" w:rsidRPr="00B211D5" w:rsidRDefault="00290C47" w:rsidP="00290C47">
      <w:pPr>
        <w:pStyle w:val="ListBullet"/>
        <w:rPr>
          <w:rFonts w:ascii="Candara" w:hAnsi="Candara"/>
        </w:rPr>
      </w:pPr>
      <w:r w:rsidRPr="00B211D5">
        <w:rPr>
          <w:rFonts w:ascii="Candara" w:hAnsi="Candara"/>
        </w:rPr>
        <w:t>There are too few ignitions on the Victorian electricity distribution system (relative to the range of influencing factors) to enable us to look primarily at ignitions when seeking reliable statistical models. Our focus needs to be on faults, and on how faults evolve into ignitions.</w:t>
      </w:r>
    </w:p>
    <w:p w14:paraId="07B032C3" w14:textId="77777777" w:rsidR="00290C47" w:rsidRPr="00B211D5" w:rsidRDefault="00290C47" w:rsidP="00290C47">
      <w:pPr>
        <w:pStyle w:val="ListBullet"/>
        <w:rPr>
          <w:rFonts w:ascii="Candara" w:hAnsi="Candara"/>
        </w:rPr>
      </w:pPr>
      <w:r w:rsidRPr="00B211D5">
        <w:rPr>
          <w:rFonts w:ascii="Candara" w:hAnsi="Candara"/>
        </w:rPr>
        <w:t>Meteorological conditions, vegetation dryness, vegetation-type/land-use, and line construction (SWER or 22kV, and bare, insulated or underground line) are the most important factors influencing the rates of faults and ignitions on the network, and need to be captured in RRM.</w:t>
      </w:r>
    </w:p>
    <w:p w14:paraId="0D98047C" w14:textId="77777777" w:rsidR="00290C47" w:rsidRPr="00B211D5" w:rsidRDefault="00290C47" w:rsidP="00290C47">
      <w:pPr>
        <w:pStyle w:val="ListBullet"/>
        <w:rPr>
          <w:rFonts w:ascii="Candara" w:hAnsi="Candara"/>
        </w:rPr>
      </w:pPr>
      <w:r w:rsidRPr="00B211D5">
        <w:rPr>
          <w:rFonts w:ascii="Candara" w:hAnsi="Candara"/>
        </w:rPr>
        <w:t>Because in-the-field historical data is not available for new assets like 22kV REFCL-protected line, statistical data analysis and electrical engineering models need to be combined in RRM. The electrical engineering models need to sufficiently describe how faults will occur and evolve in existing and new assets.</w:t>
      </w:r>
      <w:r w:rsidRPr="00B211D5">
        <w:rPr>
          <w:rFonts w:ascii="Candara" w:hAnsi="Candara"/>
        </w:rPr>
        <w:br w:type="page"/>
      </w:r>
    </w:p>
    <w:p w14:paraId="1BF0D1E1" w14:textId="77777777" w:rsidR="00290C47" w:rsidRPr="00326522" w:rsidRDefault="00290C47" w:rsidP="00326522">
      <w:pPr>
        <w:rPr>
          <w:b/>
        </w:rPr>
      </w:pPr>
      <w:r w:rsidRPr="00326522">
        <w:rPr>
          <w:b/>
        </w:rPr>
        <w:lastRenderedPageBreak/>
        <w:t>Faults Model</w:t>
      </w:r>
    </w:p>
    <w:p w14:paraId="00B06D7F"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The analysis of HV distribution system historical fault data (2007-2013) from Ausnet Services and Powercor is used to:</w:t>
      </w:r>
    </w:p>
    <w:p w14:paraId="0B6562ED" w14:textId="77777777" w:rsidR="00290C47" w:rsidRPr="00B211D5" w:rsidRDefault="00290C47" w:rsidP="00BB41A4">
      <w:pPr>
        <w:pStyle w:val="ListNumber"/>
        <w:numPr>
          <w:ilvl w:val="0"/>
          <w:numId w:val="41"/>
        </w:numPr>
        <w:ind w:left="426" w:hanging="426"/>
        <w:rPr>
          <w:rFonts w:ascii="Candara" w:hAnsi="Candara"/>
        </w:rPr>
      </w:pPr>
      <w:r w:rsidRPr="00B211D5">
        <w:rPr>
          <w:rFonts w:ascii="Candara" w:hAnsi="Candara"/>
        </w:rPr>
        <w:t>Determine which faults are relevant: i.e., unplanned, on the network, and on bare-wire HV lines.</w:t>
      </w:r>
    </w:p>
    <w:p w14:paraId="4B90E402" w14:textId="77777777" w:rsidR="00290C47" w:rsidRPr="00B211D5" w:rsidRDefault="00290C47" w:rsidP="00BB41A4">
      <w:pPr>
        <w:pStyle w:val="ListNumber"/>
        <w:numPr>
          <w:ilvl w:val="0"/>
          <w:numId w:val="41"/>
        </w:numPr>
        <w:ind w:left="426" w:hanging="426"/>
        <w:rPr>
          <w:rFonts w:ascii="Candara" w:hAnsi="Candara"/>
        </w:rPr>
      </w:pPr>
      <w:r w:rsidRPr="00B211D5">
        <w:rPr>
          <w:rFonts w:ascii="Candara" w:hAnsi="Candara"/>
        </w:rPr>
        <w:t>Determine whether the fault is on 22kV or SWER.</w:t>
      </w:r>
    </w:p>
    <w:p w14:paraId="1087F1C4" w14:textId="77777777" w:rsidR="00290C47" w:rsidRPr="00B211D5" w:rsidRDefault="00290C47" w:rsidP="00290C47">
      <w:pPr>
        <w:pStyle w:val="ListNumber"/>
        <w:rPr>
          <w:rFonts w:ascii="Candara" w:hAnsi="Candara"/>
        </w:rPr>
      </w:pPr>
      <w:r w:rsidRPr="00B211D5">
        <w:rPr>
          <w:rFonts w:ascii="Candara" w:hAnsi="Candara"/>
        </w:rPr>
        <w:t>Ensure that each fault is associated with a cause (e.g., private tree branch) and impact (e.g., broken conductor), according to a standard taxonomy.</w:t>
      </w:r>
    </w:p>
    <w:p w14:paraId="4A529D95" w14:textId="77777777" w:rsidR="00290C47" w:rsidRPr="00B211D5" w:rsidRDefault="00290C47" w:rsidP="00290C47">
      <w:pPr>
        <w:pStyle w:val="ListNumber"/>
        <w:rPr>
          <w:rFonts w:ascii="Candara" w:hAnsi="Candara"/>
        </w:rPr>
      </w:pPr>
      <w:r w:rsidRPr="00B211D5">
        <w:rPr>
          <w:rFonts w:ascii="Candara" w:hAnsi="Candara"/>
        </w:rPr>
        <w:t>Locate the fault, down to the smallest number of HV poles possible, using various techniques including text mining and address matching.</w:t>
      </w:r>
    </w:p>
    <w:p w14:paraId="5E742B81" w14:textId="77777777" w:rsidR="00290C47" w:rsidRPr="00B211D5" w:rsidRDefault="00290C47" w:rsidP="00290C47">
      <w:pPr>
        <w:pStyle w:val="ListNumber"/>
        <w:rPr>
          <w:rFonts w:ascii="Candara" w:hAnsi="Candara"/>
        </w:rPr>
      </w:pPr>
      <w:r w:rsidRPr="00B211D5">
        <w:rPr>
          <w:rFonts w:ascii="Candara" w:hAnsi="Candara"/>
        </w:rPr>
        <w:t>Determine the meteorological conditions that applied locally at the time of each fault.</w:t>
      </w:r>
    </w:p>
    <w:p w14:paraId="29B5CD8E" w14:textId="77777777" w:rsidR="00290C47" w:rsidRPr="00B211D5" w:rsidRDefault="00290C47" w:rsidP="00290C47">
      <w:pPr>
        <w:pStyle w:val="ListNumber"/>
        <w:rPr>
          <w:rFonts w:ascii="Candara" w:hAnsi="Candara"/>
        </w:rPr>
      </w:pPr>
      <w:r w:rsidRPr="00B211D5">
        <w:rPr>
          <w:rFonts w:ascii="Candara" w:hAnsi="Candara"/>
        </w:rPr>
        <w:t>Determine the total exposure of poles to different levels of meteorological conditions over time.</w:t>
      </w:r>
    </w:p>
    <w:p w14:paraId="3E9B8452" w14:textId="77777777" w:rsidR="00290C47" w:rsidRPr="00B211D5" w:rsidRDefault="00290C47" w:rsidP="00290C47">
      <w:pPr>
        <w:pStyle w:val="ListNumber"/>
        <w:rPr>
          <w:rFonts w:ascii="Candara" w:hAnsi="Candara"/>
        </w:rPr>
      </w:pPr>
      <w:r w:rsidRPr="00B211D5">
        <w:rPr>
          <w:rFonts w:ascii="Candara" w:hAnsi="Candara"/>
        </w:rPr>
        <w:t>Form a statistical understanding of fault occurrence rates (number of faults divided by exposure), in terms of line type, fire weather variables, vegetation, and terrain.</w:t>
      </w:r>
    </w:p>
    <w:p w14:paraId="6F301F6B" w14:textId="77777777" w:rsidR="00290C47" w:rsidRDefault="00290C47" w:rsidP="00B25708">
      <w:pPr>
        <w:pStyle w:val="BodyText"/>
        <w:spacing w:before="60" w:after="60"/>
        <w:rPr>
          <w:rFonts w:ascii="Candara" w:hAnsi="Candara"/>
          <w:sz w:val="20"/>
        </w:rPr>
      </w:pPr>
      <w:r w:rsidRPr="00B211D5">
        <w:rPr>
          <w:rFonts w:ascii="Candara" w:hAnsi="Candara"/>
          <w:sz w:val="20"/>
        </w:rPr>
        <w:t>Achieving this involved several months of data cleansing, data linking, text analysis and human interpretation. The result is that RRM provides a detailed quantitative view of how bare-wire fault rates are influenced by the major variables in Victorian rural HV networks. The cleansing, linking, analysis and interpretation tools offer ongoing collateral benefits.</w:t>
      </w:r>
    </w:p>
    <w:p w14:paraId="407E1579" w14:textId="77777777" w:rsidR="008835A2" w:rsidRPr="008835A2" w:rsidRDefault="008835A2" w:rsidP="008835A2">
      <w:pPr>
        <w:autoSpaceDE w:val="0"/>
        <w:autoSpaceDN w:val="0"/>
        <w:adjustRightInd w:val="0"/>
        <w:spacing w:before="120" w:after="80"/>
        <w:rPr>
          <w:rStyle w:val="Heading6Char"/>
        </w:rPr>
      </w:pPr>
      <w:r>
        <w:rPr>
          <w:rStyle w:val="Heading6Char"/>
        </w:rPr>
        <w:t xml:space="preserve">Figure A3.1: </w:t>
      </w:r>
      <w:r w:rsidRPr="008835A2">
        <w:rPr>
          <w:rStyle w:val="Heading6Char"/>
        </w:rPr>
        <w:t>Number of HV faults classified by cause and impact and geographically located in DB data</w:t>
      </w:r>
    </w:p>
    <w:p w14:paraId="24323FB6" w14:textId="77777777" w:rsidR="00290C47" w:rsidRPr="00B211D5" w:rsidRDefault="00290C47" w:rsidP="00290C47">
      <w:pPr>
        <w:pStyle w:val="BodyText"/>
        <w:rPr>
          <w:rFonts w:ascii="Candara" w:hAnsi="Candara"/>
        </w:rPr>
      </w:pPr>
      <w:r w:rsidRPr="00B211D5">
        <w:rPr>
          <w:rFonts w:ascii="Candara" w:hAnsi="Candara"/>
          <w:noProof/>
        </w:rPr>
        <w:drawing>
          <wp:inline distT="0" distB="0" distL="0" distR="0" wp14:anchorId="3F54D002" wp14:editId="33BCAEED">
            <wp:extent cx="2083783" cy="2418080"/>
            <wp:effectExtent l="0" t="0" r="0"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2263" cy="2427921"/>
                    </a:xfrm>
                    <a:prstGeom prst="rect">
                      <a:avLst/>
                    </a:prstGeom>
                    <a:noFill/>
                    <a:ln>
                      <a:noFill/>
                    </a:ln>
                  </pic:spPr>
                </pic:pic>
              </a:graphicData>
            </a:graphic>
          </wp:inline>
        </w:drawing>
      </w:r>
    </w:p>
    <w:p w14:paraId="71470ED4" w14:textId="77777777" w:rsidR="00290C47" w:rsidRPr="00326522" w:rsidRDefault="00290C47" w:rsidP="00326522">
      <w:pPr>
        <w:rPr>
          <w:b/>
        </w:rPr>
      </w:pPr>
      <w:r w:rsidRPr="00326522">
        <w:rPr>
          <w:b/>
        </w:rPr>
        <w:t>Fault to Ignition Model</w:t>
      </w:r>
    </w:p>
    <w:p w14:paraId="78353F66" w14:textId="7B474153" w:rsidR="00290C47" w:rsidRPr="00B211D5" w:rsidRDefault="00290C47" w:rsidP="00B25708">
      <w:pPr>
        <w:pStyle w:val="BodyText"/>
        <w:spacing w:before="60" w:after="60"/>
        <w:rPr>
          <w:rFonts w:ascii="Candara" w:hAnsi="Candara"/>
          <w:sz w:val="20"/>
        </w:rPr>
      </w:pPr>
      <w:r w:rsidRPr="00B211D5">
        <w:rPr>
          <w:rFonts w:ascii="Candara" w:hAnsi="Candara"/>
          <w:sz w:val="20"/>
        </w:rPr>
        <w:t xml:space="preserve">Powerline-initiated fire ignition history from 2007-2013 has been linked to faults and meteorological data to build a data-driven understanding of the probabilities of faults escalating into ignitions, depending on line type, the broad class of fault (i.e., animals, vegetation, </w:t>
      </w:r>
      <w:r w:rsidRPr="00B211D5">
        <w:rPr>
          <w:rFonts w:ascii="Candara" w:hAnsi="Candara"/>
          <w:sz w:val="20"/>
        </w:rPr>
        <w:lastRenderedPageBreak/>
        <w:t>deterioration and so on), vegetation</w:t>
      </w:r>
      <w:r w:rsidR="008835A2">
        <w:rPr>
          <w:rFonts w:ascii="Candara" w:hAnsi="Candara"/>
          <w:sz w:val="20"/>
        </w:rPr>
        <w:t xml:space="preserve">, and fire weather conditions. </w:t>
      </w:r>
    </w:p>
    <w:p w14:paraId="2DCE16E7"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This enables RRM to predict ignition rates in different locations and conditions, and for new asset types, from the fault rate estimations obtained from the RRM Faults Model.</w:t>
      </w:r>
    </w:p>
    <w:p w14:paraId="56517681" w14:textId="77777777" w:rsidR="00290C47" w:rsidRPr="008835A2" w:rsidRDefault="00290C47" w:rsidP="00B25708">
      <w:pPr>
        <w:pStyle w:val="BodyText"/>
        <w:spacing w:before="60" w:after="60"/>
        <w:rPr>
          <w:rFonts w:ascii="Candara" w:hAnsi="Candara"/>
          <w:b/>
          <w:sz w:val="20"/>
        </w:rPr>
      </w:pPr>
      <w:r w:rsidRPr="008835A2">
        <w:rPr>
          <w:rFonts w:ascii="Candara" w:hAnsi="Candara"/>
          <w:b/>
          <w:sz w:val="20"/>
        </w:rPr>
        <w:t>Future Assets Model (FAM)</w:t>
      </w:r>
    </w:p>
    <w:p w14:paraId="0E3C23DC" w14:textId="77777777" w:rsidR="00290C47" w:rsidRPr="00B211D5" w:rsidRDefault="00290C47" w:rsidP="00B25708">
      <w:pPr>
        <w:pStyle w:val="BodyText"/>
        <w:spacing w:before="60" w:after="60"/>
        <w:rPr>
          <w:rFonts w:ascii="Candara" w:hAnsi="Candara"/>
          <w:sz w:val="20"/>
        </w:rPr>
      </w:pPr>
      <w:r w:rsidRPr="00B211D5">
        <w:rPr>
          <w:rFonts w:ascii="Candara" w:hAnsi="Candara"/>
          <w:sz w:val="20"/>
        </w:rPr>
        <w:t>The FAM quantitatively estimates the performance of new 22kV and SWER HV distribution system technology options relative to the conventional bare-wire assets. The FAM is used to estimate relative fault and ignition likelihood rates (i.e., for new versus incumbent technology) with explicit consideration of the attributes of physical barriers (insulation and undergrounding) and electrical protection options, as well as vegetation, terrain slope, fire weather conditions (wind, temperature, drought factor, humidity), fault root cause, fault impact and fire danger rating (in accounting for ACR settings). This is done for over two dozen HV technology options.</w:t>
      </w:r>
    </w:p>
    <w:p w14:paraId="34385F1A" w14:textId="77777777" w:rsidR="00290C47" w:rsidRDefault="00290C47" w:rsidP="00B25708">
      <w:pPr>
        <w:pStyle w:val="BodyText"/>
        <w:spacing w:before="60" w:after="60"/>
        <w:rPr>
          <w:rFonts w:ascii="Candara" w:hAnsi="Candara"/>
          <w:sz w:val="20"/>
        </w:rPr>
      </w:pPr>
      <w:r w:rsidRPr="00B211D5">
        <w:rPr>
          <w:rFonts w:ascii="Candara" w:hAnsi="Candara"/>
          <w:sz w:val="20"/>
        </w:rPr>
        <w:t>The FAM approach involves estimating how faults partition into electrical impedance cases (Low, High and VH) and electrical mode (P-E, P-P and P-P-E) for every line type (22kV and SWER) and fault cause and impact combination. The actions of physical protection (insulation) and electrical protection (e.g., REFCL) in changing rates of fault detection and ignition-causing energy discharge is also quantitatively estimated. This information is combined with the historical fault data to form predictions of fault rates for the asset types (technology options) for which there is no substantial in-the-field history to draw upon. The RRM Fault to Ignition Model is then applied in order to estimate relative ignition rates for the range of asset types</w:t>
      </w:r>
    </w:p>
    <w:p w14:paraId="2A33B644" w14:textId="77777777" w:rsidR="008835A2" w:rsidRPr="008835A2" w:rsidRDefault="008835A2" w:rsidP="008835A2">
      <w:pPr>
        <w:autoSpaceDE w:val="0"/>
        <w:autoSpaceDN w:val="0"/>
        <w:adjustRightInd w:val="0"/>
        <w:spacing w:before="120" w:after="80"/>
        <w:rPr>
          <w:rStyle w:val="Heading6Char"/>
        </w:rPr>
      </w:pPr>
      <w:r>
        <w:rPr>
          <w:rStyle w:val="Heading6Char"/>
        </w:rPr>
        <w:t xml:space="preserve">Figure A3.2: </w:t>
      </w:r>
      <w:r w:rsidRPr="008835A2">
        <w:rPr>
          <w:rStyle w:val="Heading6Char"/>
        </w:rPr>
        <w:t>Data and processing flow in the RRM</w:t>
      </w:r>
    </w:p>
    <w:p w14:paraId="71A53A6A" w14:textId="77777777" w:rsidR="00290C47" w:rsidRPr="00B211D5" w:rsidRDefault="00290C47" w:rsidP="00290C47">
      <w:pPr>
        <w:pStyle w:val="Imageplacement"/>
        <w:rPr>
          <w:rFonts w:ascii="Candara" w:hAnsi="Candara"/>
        </w:rPr>
      </w:pPr>
      <w:r w:rsidRPr="00B211D5">
        <w:rPr>
          <w:rFonts w:ascii="Candara" w:hAnsi="Candara"/>
          <w:noProof/>
        </w:rPr>
        <w:drawing>
          <wp:inline distT="0" distB="0" distL="0" distR="0" wp14:anchorId="688F7789" wp14:editId="62E9C0DF">
            <wp:extent cx="3023870" cy="1840252"/>
            <wp:effectExtent l="0" t="0" r="5080" b="7620"/>
            <wp:docPr id="176" name="Picture 6" descr="C:\Users\dun286\PBSP\Risk-Reduction-Model\reporting\high-level-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n286\PBSP\Risk-Reduction-Model\reporting\high-level-workflow.jpg"/>
                    <pic:cNvPicPr>
                      <a:picLocks noChangeAspect="1" noChangeArrowheads="1"/>
                    </pic:cNvPicPr>
                  </pic:nvPicPr>
                  <pic:blipFill>
                    <a:blip r:embed="rId65" cstate="print"/>
                    <a:srcRect/>
                    <a:stretch>
                      <a:fillRect/>
                    </a:stretch>
                  </pic:blipFill>
                  <pic:spPr bwMode="auto">
                    <a:xfrm>
                      <a:off x="0" y="0"/>
                      <a:ext cx="3023870" cy="1840252"/>
                    </a:xfrm>
                    <a:prstGeom prst="rect">
                      <a:avLst/>
                    </a:prstGeom>
                    <a:noFill/>
                    <a:ln w="9525">
                      <a:noFill/>
                      <a:miter lim="800000"/>
                      <a:headEnd/>
                      <a:tailEnd/>
                    </a:ln>
                  </pic:spPr>
                </pic:pic>
              </a:graphicData>
            </a:graphic>
          </wp:inline>
        </w:drawing>
      </w:r>
    </w:p>
    <w:p w14:paraId="391B0EBF" w14:textId="77777777" w:rsidR="00290C47" w:rsidRPr="00B211D5" w:rsidRDefault="00290C47" w:rsidP="00290C47">
      <w:pPr>
        <w:pStyle w:val="BodyText"/>
        <w:rPr>
          <w:rFonts w:ascii="Candara" w:hAnsi="Candara"/>
        </w:rPr>
      </w:pPr>
    </w:p>
    <w:p w14:paraId="5E11899B" w14:textId="77777777" w:rsidR="00290C47" w:rsidRPr="00B211D5" w:rsidRDefault="00290C47" w:rsidP="00290C47">
      <w:pPr>
        <w:pStyle w:val="BodyText"/>
        <w:rPr>
          <w:rFonts w:ascii="Candara" w:hAnsi="Candara"/>
        </w:rPr>
      </w:pPr>
    </w:p>
    <w:p w14:paraId="61D8DF71" w14:textId="3CEDB03F" w:rsidR="00290C47" w:rsidRPr="00B211D5" w:rsidRDefault="00290C47" w:rsidP="00290C47">
      <w:pPr>
        <w:pStyle w:val="BodyText"/>
        <w:rPr>
          <w:rFonts w:ascii="Candara" w:hAnsi="Candara"/>
        </w:rPr>
        <w:sectPr w:rsidR="00290C47" w:rsidRPr="00B211D5" w:rsidSect="003543AF">
          <w:headerReference w:type="even" r:id="rId66"/>
          <w:headerReference w:type="default" r:id="rId67"/>
          <w:footerReference w:type="default" r:id="rId68"/>
          <w:headerReference w:type="first" r:id="rId69"/>
          <w:type w:val="continuous"/>
          <w:pgSz w:w="11906" w:h="16838" w:code="9"/>
          <w:pgMar w:top="851" w:right="907" w:bottom="851" w:left="907" w:header="454" w:footer="624" w:gutter="0"/>
          <w:cols w:num="2" w:space="567"/>
          <w:docGrid w:linePitch="360"/>
        </w:sectPr>
      </w:pPr>
    </w:p>
    <w:p w14:paraId="5800CD9D" w14:textId="77777777" w:rsidR="00290C47" w:rsidRPr="00326522" w:rsidRDefault="00290C47" w:rsidP="00326522">
      <w:pPr>
        <w:rPr>
          <w:b/>
        </w:rPr>
      </w:pPr>
      <w:r w:rsidRPr="00326522">
        <w:rPr>
          <w:b/>
        </w:rPr>
        <w:lastRenderedPageBreak/>
        <w:t>Risk Calculation</w:t>
      </w:r>
    </w:p>
    <w:p w14:paraId="31DCD887" w14:textId="77777777" w:rsidR="00290C47" w:rsidRPr="00B211D5" w:rsidRDefault="00290C47" w:rsidP="00290C47">
      <w:pPr>
        <w:pStyle w:val="BodyText"/>
        <w:rPr>
          <w:rFonts w:ascii="Candara" w:hAnsi="Candara"/>
          <w:sz w:val="20"/>
        </w:rPr>
      </w:pPr>
      <w:r w:rsidRPr="00B211D5">
        <w:rPr>
          <w:rFonts w:ascii="Candara" w:hAnsi="Candara"/>
          <w:sz w:val="20"/>
        </w:rPr>
        <w:t>RRM enables the fire ignition likelihood to be computed at the location of any pole or any region of poles in the entire network, for existing or future asset types.</w:t>
      </w:r>
    </w:p>
    <w:p w14:paraId="006B7A61" w14:textId="77777777" w:rsidR="00290C47" w:rsidRPr="00B211D5" w:rsidRDefault="00290C47" w:rsidP="00290C47">
      <w:pPr>
        <w:pStyle w:val="BodyText"/>
        <w:rPr>
          <w:rFonts w:ascii="Candara" w:hAnsi="Candara"/>
          <w:sz w:val="20"/>
        </w:rPr>
      </w:pPr>
      <w:r w:rsidRPr="00B211D5">
        <w:rPr>
          <w:rFonts w:ascii="Candara" w:hAnsi="Candara"/>
          <w:sz w:val="20"/>
        </w:rPr>
        <w:t>When the ignition likelihood data is combined with data on predicted fire consequence (number of dwelling losses) based on simulation experiments (with Pheonix Rapidfire), reductions in fire risk due to asset changes can be computed. In turn this can be used for asset replacement targeting and other analysis and decision-making.</w:t>
      </w:r>
    </w:p>
    <w:p w14:paraId="36428BB8" w14:textId="77777777" w:rsidR="00290C47" w:rsidRPr="00B211D5" w:rsidRDefault="00290C47" w:rsidP="00290C47">
      <w:pPr>
        <w:pStyle w:val="BodyText"/>
        <w:rPr>
          <w:rFonts w:ascii="Candara" w:hAnsi="Candara"/>
          <w:sz w:val="20"/>
        </w:rPr>
      </w:pPr>
      <w:r w:rsidRPr="00B211D5">
        <w:rPr>
          <w:rFonts w:ascii="Candara" w:hAnsi="Candara"/>
          <w:sz w:val="20"/>
        </w:rPr>
        <w:t>Relational database and GIS-based methods of applying RRM for risk assessment have been constructed, and have subsequently been used for a range of purposes by PBSP.</w:t>
      </w:r>
    </w:p>
    <w:p w14:paraId="31F6D954" w14:textId="77777777" w:rsidR="00290C47" w:rsidRPr="00326522" w:rsidRDefault="00290C47" w:rsidP="00326522">
      <w:pPr>
        <w:rPr>
          <w:b/>
        </w:rPr>
      </w:pPr>
      <w:r w:rsidRPr="00326522">
        <w:rPr>
          <w:b/>
        </w:rPr>
        <w:t>Estimates of Likelihood Reduction</w:t>
      </w:r>
    </w:p>
    <w:p w14:paraId="65FC3565" w14:textId="77777777" w:rsidR="00290C47" w:rsidRDefault="00290C47" w:rsidP="00290C47">
      <w:pPr>
        <w:pStyle w:val="BodyText"/>
        <w:rPr>
          <w:rFonts w:ascii="Candara" w:hAnsi="Candara"/>
          <w:sz w:val="20"/>
        </w:rPr>
      </w:pPr>
      <w:r w:rsidRPr="00B211D5">
        <w:rPr>
          <w:rFonts w:ascii="Candara" w:hAnsi="Candara"/>
          <w:sz w:val="20"/>
        </w:rPr>
        <w:t>RRM data can be mined to obtain estimates of the average ignition likelihood reduction due to technology changes.</w:t>
      </w:r>
    </w:p>
    <w:p w14:paraId="250CFEBA" w14:textId="0DB35C10" w:rsidR="008835A2" w:rsidRPr="008835A2" w:rsidRDefault="008835A2" w:rsidP="008835A2">
      <w:pPr>
        <w:autoSpaceDE w:val="0"/>
        <w:autoSpaceDN w:val="0"/>
        <w:adjustRightInd w:val="0"/>
        <w:spacing w:before="120" w:after="80"/>
        <w:rPr>
          <w:rFonts w:asciiTheme="majorHAnsi" w:eastAsiaTheme="majorEastAsia" w:hAnsiTheme="majorHAnsi" w:cstheme="majorBidi"/>
          <w:i/>
          <w:iCs/>
          <w:color w:val="243F60" w:themeColor="accent1" w:themeShade="7F"/>
        </w:rPr>
      </w:pPr>
      <w:r>
        <w:rPr>
          <w:rStyle w:val="Heading6Char"/>
        </w:rPr>
        <w:t>Figure A3.3: Estimates of Likelihood Reduction</w:t>
      </w:r>
    </w:p>
    <w:p w14:paraId="24194116" w14:textId="34A0116C" w:rsidR="00B25708" w:rsidRPr="00B211D5" w:rsidRDefault="00290C47" w:rsidP="00B25708">
      <w:pPr>
        <w:pStyle w:val="BodyText"/>
        <w:rPr>
          <w:rFonts w:ascii="Candara" w:hAnsi="Candara"/>
        </w:rPr>
      </w:pPr>
      <w:r w:rsidRPr="00B211D5">
        <w:rPr>
          <w:rFonts w:ascii="Candara" w:hAnsi="Candara"/>
          <w:noProof/>
        </w:rPr>
        <w:drawing>
          <wp:inline distT="0" distB="0" distL="0" distR="0" wp14:anchorId="3C991FC0" wp14:editId="6F2F7F76">
            <wp:extent cx="3023870" cy="1752294"/>
            <wp:effectExtent l="0" t="0" r="508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3870" cy="1752294"/>
                    </a:xfrm>
                    <a:prstGeom prst="rect">
                      <a:avLst/>
                    </a:prstGeom>
                    <a:noFill/>
                    <a:ln>
                      <a:noFill/>
                    </a:ln>
                  </pic:spPr>
                </pic:pic>
              </a:graphicData>
            </a:graphic>
          </wp:inline>
        </w:drawing>
      </w:r>
    </w:p>
    <w:p w14:paraId="014C0667" w14:textId="77777777" w:rsidR="00B25708" w:rsidRPr="00B211D5" w:rsidRDefault="00B25708" w:rsidP="00B25708">
      <w:pPr>
        <w:pStyle w:val="Heading2"/>
        <w:numPr>
          <w:ilvl w:val="0"/>
          <w:numId w:val="0"/>
        </w:numPr>
        <w:ind w:left="792"/>
      </w:pPr>
    </w:p>
    <w:p w14:paraId="5C9E5384" w14:textId="77777777" w:rsidR="00B25708" w:rsidRPr="00B211D5" w:rsidRDefault="00B25708" w:rsidP="00B25708">
      <w:pPr>
        <w:rPr>
          <w:rFonts w:ascii="Candara" w:hAnsi="Candara"/>
        </w:rPr>
      </w:pPr>
    </w:p>
    <w:p w14:paraId="40F6CE57" w14:textId="77777777" w:rsidR="00B25708" w:rsidRPr="00B211D5" w:rsidRDefault="00B25708" w:rsidP="00B25708">
      <w:pPr>
        <w:rPr>
          <w:rFonts w:ascii="Candara" w:hAnsi="Candara"/>
        </w:rPr>
      </w:pPr>
    </w:p>
    <w:p w14:paraId="5756A750" w14:textId="5DB1B87E" w:rsidR="00B25708" w:rsidRPr="00B211D5" w:rsidRDefault="00B211D5" w:rsidP="00B25708">
      <w:pPr>
        <w:rPr>
          <w:rFonts w:ascii="Candara" w:hAnsi="Candara"/>
        </w:rPr>
      </w:pPr>
      <w:r w:rsidRPr="00B211D5">
        <w:rPr>
          <w:rFonts w:ascii="Candara" w:hAnsi="Candara"/>
          <w:b/>
          <w:bCs/>
          <w:noProof/>
          <w:lang w:eastAsia="en-AU"/>
        </w:rPr>
        <mc:AlternateContent>
          <mc:Choice Requires="wpg">
            <w:drawing>
              <wp:anchor distT="0" distB="0" distL="114300" distR="114300" simplePos="0" relativeHeight="251697152" behindDoc="0" locked="0" layoutInCell="1" allowOverlap="1" wp14:anchorId="67F2CCC9" wp14:editId="07CD5F26">
                <wp:simplePos x="0" y="0"/>
                <wp:positionH relativeFrom="column">
                  <wp:posOffset>-949325</wp:posOffset>
                </wp:positionH>
                <wp:positionV relativeFrom="paragraph">
                  <wp:posOffset>109220</wp:posOffset>
                </wp:positionV>
                <wp:extent cx="8181975" cy="1800225"/>
                <wp:effectExtent l="0" t="0" r="9525" b="9525"/>
                <wp:wrapNone/>
                <wp:docPr id="166" name="Group 166"/>
                <wp:cNvGraphicFramePr/>
                <a:graphic xmlns:a="http://schemas.openxmlformats.org/drawingml/2006/main">
                  <a:graphicData uri="http://schemas.microsoft.com/office/word/2010/wordprocessingGroup">
                    <wpg:wgp>
                      <wpg:cNvGrpSpPr/>
                      <wpg:grpSpPr>
                        <a:xfrm>
                          <a:off x="0" y="0"/>
                          <a:ext cx="8181975" cy="1800225"/>
                          <a:chOff x="0" y="0"/>
                          <a:chExt cx="8181975" cy="1800225"/>
                        </a:xfrm>
                      </wpg:grpSpPr>
                      <pic:pic xmlns:pic="http://schemas.openxmlformats.org/drawingml/2006/picture">
                        <pic:nvPicPr>
                          <pic:cNvPr id="167" name="Picture 3" descr="background"/>
                          <pic:cNvPicPr>
                            <a:picLocks noChangeAspect="1"/>
                          </pic:cNvPicPr>
                        </pic:nvPicPr>
                        <pic:blipFill>
                          <a:blip r:embed="rId71" cstate="print"/>
                          <a:stretch>
                            <a:fillRect/>
                          </a:stretch>
                        </pic:blipFill>
                        <pic:spPr>
                          <a:xfrm>
                            <a:off x="0" y="0"/>
                            <a:ext cx="8181975" cy="1800225"/>
                          </a:xfrm>
                          <a:prstGeom prst="rect">
                            <a:avLst/>
                          </a:prstGeom>
                        </pic:spPr>
                      </pic:pic>
                      <wps:wsp>
                        <wps:cNvPr id="168" name="Text Box 168"/>
                        <wps:cNvSpPr txBox="1"/>
                        <wps:spPr>
                          <a:xfrm>
                            <a:off x="752475" y="114300"/>
                            <a:ext cx="173355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F4E7C" w14:textId="77777777" w:rsidR="007256B3" w:rsidRPr="00585C0D" w:rsidRDefault="007256B3" w:rsidP="00290C47">
                              <w:pPr>
                                <w:pStyle w:val="BackCoverContactHeading"/>
                              </w:pPr>
                              <w:r w:rsidRPr="00585C0D">
                                <w:t>CONTACT US</w:t>
                              </w:r>
                            </w:p>
                            <w:p w14:paraId="0E628E0B" w14:textId="77777777" w:rsidR="007256B3" w:rsidRPr="00585C0D" w:rsidRDefault="007256B3" w:rsidP="00290C47">
                              <w:pPr>
                                <w:pStyle w:val="BackCoverContactDetails"/>
                              </w:pPr>
                              <w:r w:rsidRPr="00585C0D">
                                <w:rPr>
                                  <w:rStyle w:val="BackCoverContactBold"/>
                                </w:rPr>
                                <w:t>t</w:t>
                              </w:r>
                              <w:r w:rsidRPr="00585C0D">
                                <w:t xml:space="preserve"> </w:t>
                              </w:r>
                              <w:r w:rsidRPr="00585C0D">
                                <w:tab/>
                                <w:t>1300 363 400</w:t>
                              </w:r>
                            </w:p>
                            <w:p w14:paraId="75EFE8CD" w14:textId="77777777" w:rsidR="007256B3" w:rsidRPr="00585C0D" w:rsidRDefault="007256B3" w:rsidP="00290C47">
                              <w:pPr>
                                <w:pStyle w:val="BackCoverContactDetails"/>
                              </w:pPr>
                              <w:r w:rsidRPr="00585C0D">
                                <w:tab/>
                                <w:t>+61 3 9545 2176</w:t>
                              </w:r>
                            </w:p>
                            <w:p w14:paraId="0FC2F224" w14:textId="77777777" w:rsidR="007256B3" w:rsidRPr="00585C0D" w:rsidRDefault="007256B3" w:rsidP="00290C47">
                              <w:pPr>
                                <w:pStyle w:val="BackCoverContactDetails"/>
                              </w:pPr>
                              <w:r w:rsidRPr="00585C0D">
                                <w:rPr>
                                  <w:rStyle w:val="BackCoverContactBold"/>
                                </w:rPr>
                                <w:t>e</w:t>
                              </w:r>
                              <w:r w:rsidRPr="00585C0D">
                                <w:t xml:space="preserve"> </w:t>
                              </w:r>
                              <w:r w:rsidRPr="00585C0D">
                                <w:tab/>
                              </w:r>
                              <w:r>
                                <w:t>csiro</w:t>
                              </w:r>
                              <w:r w:rsidRPr="00585C0D">
                                <w:t>enquiries@csiro.au</w:t>
                              </w:r>
                            </w:p>
                            <w:p w14:paraId="44D017AF" w14:textId="77777777" w:rsidR="007256B3" w:rsidRDefault="007256B3" w:rsidP="00290C47">
                              <w:pPr>
                                <w:pStyle w:val="BackCoverContactDetails"/>
                              </w:pPr>
                              <w:r w:rsidRPr="00585C0D">
                                <w:rPr>
                                  <w:rStyle w:val="BackCoverContactBold"/>
                                </w:rPr>
                                <w:t>w</w:t>
                              </w:r>
                              <w:r w:rsidRPr="00585C0D">
                                <w:t xml:space="preserve"> </w:t>
                              </w:r>
                              <w:r w:rsidRPr="00585C0D">
                                <w:tab/>
                                <w:t>www.</w:t>
                              </w:r>
                              <w:r>
                                <w:t>data61.</w:t>
                              </w:r>
                              <w:r w:rsidRPr="00585C0D">
                                <w:t>csiro.au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2409825" y="114300"/>
                            <a:ext cx="191452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C0989" w14:textId="77777777" w:rsidR="007256B3" w:rsidRPr="00585C0D" w:rsidRDefault="007256B3" w:rsidP="00290C47">
                              <w:pPr>
                                <w:pStyle w:val="BackCoverContactHeading"/>
                              </w:pPr>
                              <w:r>
                                <w:t>At CSIRO we shape the future</w:t>
                              </w:r>
                              <w:r w:rsidRPr="00585C0D">
                                <w:t xml:space="preserve"> </w:t>
                              </w:r>
                            </w:p>
                            <w:p w14:paraId="155691A2" w14:textId="77777777" w:rsidR="007256B3" w:rsidRPr="00A51923" w:rsidRDefault="007256B3" w:rsidP="00290C47">
                              <w:pPr>
                                <w:pStyle w:val="BackCoverContactDetails"/>
                              </w:pPr>
                              <w:r w:rsidRPr="00682523">
                                <w:t xml:space="preserve">We do this by using science </w:t>
                              </w:r>
                              <w:r>
                                <w:t xml:space="preserve">and technology </w:t>
                              </w:r>
                              <w:r w:rsidRPr="00682523">
                                <w:t xml:space="preserve">to solve real issues. </w:t>
                              </w:r>
                              <w:r>
                                <w:br/>
                              </w:r>
                              <w:r w:rsidRPr="00682523">
                                <w:t xml:space="preserve">Our research makes a difference to </w:t>
                              </w:r>
                              <w:r w:rsidRPr="00A51923">
                                <w:t>industry, people and the planet.</w:t>
                              </w:r>
                            </w:p>
                            <w:p w14:paraId="351DA48E" w14:textId="77777777" w:rsidR="007256B3" w:rsidRDefault="007256B3" w:rsidP="00290C47">
                              <w:pPr>
                                <w:pStyle w:val="BackCoverContactDetail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4419600" y="104775"/>
                            <a:ext cx="250507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4A3DF" w14:textId="77777777" w:rsidR="007256B3" w:rsidRPr="00585C0D" w:rsidRDefault="007256B3" w:rsidP="00290C47">
                              <w:pPr>
                                <w:pStyle w:val="BackCoverContactHeading"/>
                              </w:pPr>
                              <w:r w:rsidRPr="00585C0D">
                                <w:t>For further information</w:t>
                              </w:r>
                            </w:p>
                            <w:p w14:paraId="6AAF88BC" w14:textId="77777777" w:rsidR="007256B3" w:rsidRPr="00585C0D" w:rsidRDefault="007256B3" w:rsidP="00290C47">
                              <w:pPr>
                                <w:pStyle w:val="BackCoverContactDetails"/>
                              </w:pPr>
                              <w:r>
                                <w:t>Dr Simon Dunstall</w:t>
                              </w:r>
                              <w:r>
                                <w:br/>
                                <w:t>Research Director, Decision Sciences, Data61</w:t>
                              </w:r>
                            </w:p>
                            <w:p w14:paraId="6B1D95B2" w14:textId="77777777" w:rsidR="007256B3" w:rsidRPr="00585C0D" w:rsidRDefault="007256B3" w:rsidP="00290C47">
                              <w:pPr>
                                <w:pStyle w:val="BackCoverContactDetails"/>
                              </w:pPr>
                              <w:r w:rsidRPr="00585C0D">
                                <w:rPr>
                                  <w:rStyle w:val="BackCoverContactBold"/>
                                </w:rPr>
                                <w:t>t</w:t>
                              </w:r>
                              <w:r w:rsidRPr="00585C0D">
                                <w:t xml:space="preserve"> </w:t>
                              </w:r>
                              <w:r w:rsidRPr="00585C0D">
                                <w:tab/>
                                <w:t xml:space="preserve">+61 </w:t>
                              </w:r>
                              <w:r>
                                <w:t>3 9545 8022</w:t>
                              </w:r>
                            </w:p>
                            <w:p w14:paraId="6904C21A" w14:textId="77777777" w:rsidR="007256B3" w:rsidRPr="00585C0D" w:rsidRDefault="007256B3" w:rsidP="00290C47">
                              <w:pPr>
                                <w:pStyle w:val="BackCoverContactDetails"/>
                              </w:pPr>
                              <w:r w:rsidRPr="00585C0D">
                                <w:rPr>
                                  <w:rStyle w:val="BackCoverContactBold"/>
                                </w:rPr>
                                <w:t>e</w:t>
                              </w:r>
                              <w:r w:rsidRPr="00585C0D">
                                <w:t xml:space="preserve"> </w:t>
                              </w:r>
                              <w:r w:rsidRPr="00585C0D">
                                <w:tab/>
                              </w:r>
                              <w:r>
                                <w:t>simon.dunstall</w:t>
                              </w:r>
                              <w:r w:rsidRPr="00585C0D">
                                <w:t>@</w:t>
                              </w:r>
                              <w:r>
                                <w:t>data61.csiro</w:t>
                              </w:r>
                              <w:r w:rsidRPr="00585C0D">
                                <w:t>.au</w:t>
                              </w:r>
                            </w:p>
                            <w:p w14:paraId="7697439F" w14:textId="77777777" w:rsidR="007256B3" w:rsidRPr="00585C0D" w:rsidRDefault="007256B3" w:rsidP="00290C47">
                              <w:pPr>
                                <w:pStyle w:val="BackCoverContactDetails"/>
                              </w:pPr>
                              <w:r w:rsidRPr="00585C0D">
                                <w:rPr>
                                  <w:rStyle w:val="BackCoverContactBold"/>
                                </w:rPr>
                                <w:t>w</w:t>
                              </w:r>
                              <w:r>
                                <w:t xml:space="preserve"> </w:t>
                              </w:r>
                              <w:r>
                                <w:tab/>
                                <w:t xml:space="preserve">www.data61.csiro.au </w:t>
                              </w:r>
                            </w:p>
                            <w:p w14:paraId="240A2559" w14:textId="77777777" w:rsidR="007256B3" w:rsidRDefault="007256B3" w:rsidP="00290C47">
                              <w:pPr>
                                <w:pStyle w:val="BackCoverContactDetail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6" o:spid="_x0000_s1060" style="position:absolute;margin-left:-74.75pt;margin-top:8.6pt;width:644.25pt;height:141.75pt;z-index:251697152" coordsize="8181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&#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">
                <v:shape id="Picture 3" o:spid="_x0000_s1061" type="#_x0000_t75" alt="background" style="position:absolute;width:81819;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RjEAAAA3AAAAA8AAABkcnMvZG93bnJldi54bWxET01rwkAQvRf8D8sIvRTdWIpKdBUpiKU9&#10;SKKC3obsmASzs2l2o+m/dwuCt3m8z5kvO1OJKzWutKxgNIxAEGdWl5wr2O/WgykI55E1VpZJwR85&#10;WC56L3OMtb1xQtfU5yKEsItRQeF9HUvpsoIMuqGtiQN3to1BH2CTS93gLYSbSr5H0VgaLDk0FFjT&#10;Z0HZJW2Ngt/0hOZtc/zYJ9vsu+afQ9smI6Ve+91qBsJT55/ih/tLh/njCfw/Ey6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nRjEAAAA3AAAAA8AAAAAAAAAAAAAAAAA&#10;nwIAAGRycy9kb3ducmV2LnhtbFBLBQYAAAAABAAEAPcAAACQAwAAAAA=&#10;">
                  <v:imagedata r:id="rId72" o:title="background"/>
                  <v:path arrowok="t"/>
                </v:shape>
                <v:shape id="Text Box 168" o:spid="_x0000_s1062" type="#_x0000_t202" style="position:absolute;left:7524;top:1143;width:17336;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06AF4E7C" w14:textId="77777777" w:rsidR="007256B3" w:rsidRPr="00585C0D" w:rsidRDefault="007256B3" w:rsidP="00290C47">
                        <w:pPr>
                          <w:pStyle w:val="BackCoverContactHeading"/>
                        </w:pPr>
                        <w:r w:rsidRPr="00585C0D">
                          <w:t>CONTACT US</w:t>
                        </w:r>
                      </w:p>
                      <w:p w14:paraId="0E628E0B" w14:textId="77777777" w:rsidR="007256B3" w:rsidRPr="00585C0D" w:rsidRDefault="007256B3" w:rsidP="00290C47">
                        <w:pPr>
                          <w:pStyle w:val="BackCoverContactDetails"/>
                        </w:pPr>
                        <w:r w:rsidRPr="00585C0D">
                          <w:rPr>
                            <w:rStyle w:val="BackCoverContactBold"/>
                          </w:rPr>
                          <w:t>t</w:t>
                        </w:r>
                        <w:r w:rsidRPr="00585C0D">
                          <w:t xml:space="preserve"> </w:t>
                        </w:r>
                        <w:r w:rsidRPr="00585C0D">
                          <w:tab/>
                          <w:t>1300 363 400</w:t>
                        </w:r>
                      </w:p>
                      <w:p w14:paraId="75EFE8CD" w14:textId="77777777" w:rsidR="007256B3" w:rsidRPr="00585C0D" w:rsidRDefault="007256B3" w:rsidP="00290C47">
                        <w:pPr>
                          <w:pStyle w:val="BackCoverContactDetails"/>
                        </w:pPr>
                        <w:r w:rsidRPr="00585C0D">
                          <w:tab/>
                          <w:t>+61 3 9545 2176</w:t>
                        </w:r>
                      </w:p>
                      <w:p w14:paraId="0FC2F224" w14:textId="77777777" w:rsidR="007256B3" w:rsidRPr="00585C0D" w:rsidRDefault="007256B3" w:rsidP="00290C47">
                        <w:pPr>
                          <w:pStyle w:val="BackCoverContactDetails"/>
                        </w:pPr>
                        <w:r w:rsidRPr="00585C0D">
                          <w:rPr>
                            <w:rStyle w:val="BackCoverContactBold"/>
                          </w:rPr>
                          <w:t>e</w:t>
                        </w:r>
                        <w:r w:rsidRPr="00585C0D">
                          <w:t xml:space="preserve"> </w:t>
                        </w:r>
                        <w:r w:rsidRPr="00585C0D">
                          <w:tab/>
                        </w:r>
                        <w:r>
                          <w:t>csiro</w:t>
                        </w:r>
                        <w:r w:rsidRPr="00585C0D">
                          <w:t>enquiries@csiro.au</w:t>
                        </w:r>
                      </w:p>
                      <w:p w14:paraId="44D017AF" w14:textId="77777777" w:rsidR="007256B3" w:rsidRDefault="007256B3" w:rsidP="00290C47">
                        <w:pPr>
                          <w:pStyle w:val="BackCoverContactDetails"/>
                        </w:pPr>
                        <w:r w:rsidRPr="00585C0D">
                          <w:rPr>
                            <w:rStyle w:val="BackCoverContactBold"/>
                          </w:rPr>
                          <w:t>w</w:t>
                        </w:r>
                        <w:r w:rsidRPr="00585C0D">
                          <w:t xml:space="preserve"> </w:t>
                        </w:r>
                        <w:r w:rsidRPr="00585C0D">
                          <w:tab/>
                          <w:t>www.</w:t>
                        </w:r>
                        <w:r>
                          <w:t>data61.</w:t>
                        </w:r>
                        <w:r w:rsidRPr="00585C0D">
                          <w:t>csiro.au</w:t>
                        </w:r>
                      </w:p>
                    </w:txbxContent>
                  </v:textbox>
                </v:shape>
                <v:shape id="Text Box 169" o:spid="_x0000_s1063" type="#_x0000_t202" style="position:absolute;left:24098;top:1143;width:19145;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168C0989" w14:textId="77777777" w:rsidR="007256B3" w:rsidRPr="00585C0D" w:rsidRDefault="007256B3" w:rsidP="00290C47">
                        <w:pPr>
                          <w:pStyle w:val="BackCoverContactHeading"/>
                        </w:pPr>
                        <w:r>
                          <w:t>At CSIRO we shape the future</w:t>
                        </w:r>
                        <w:r w:rsidRPr="00585C0D">
                          <w:t xml:space="preserve"> </w:t>
                        </w:r>
                      </w:p>
                      <w:p w14:paraId="155691A2" w14:textId="77777777" w:rsidR="007256B3" w:rsidRPr="00A51923" w:rsidRDefault="007256B3" w:rsidP="00290C47">
                        <w:pPr>
                          <w:pStyle w:val="BackCoverContactDetails"/>
                        </w:pPr>
                        <w:r w:rsidRPr="00682523">
                          <w:t xml:space="preserve">We do this by using science </w:t>
                        </w:r>
                        <w:r>
                          <w:t xml:space="preserve">and technology </w:t>
                        </w:r>
                        <w:r w:rsidRPr="00682523">
                          <w:t xml:space="preserve">to solve real issues. </w:t>
                        </w:r>
                        <w:r>
                          <w:br/>
                        </w:r>
                        <w:r w:rsidRPr="00682523">
                          <w:t xml:space="preserve">Our research makes a difference to </w:t>
                        </w:r>
                        <w:r w:rsidRPr="00A51923">
                          <w:t>industry, people and the planet.</w:t>
                        </w:r>
                      </w:p>
                      <w:p w14:paraId="351DA48E" w14:textId="77777777" w:rsidR="007256B3" w:rsidRDefault="007256B3" w:rsidP="00290C47">
                        <w:pPr>
                          <w:pStyle w:val="BackCoverContactDetails"/>
                        </w:pPr>
                      </w:p>
                    </w:txbxContent>
                  </v:textbox>
                </v:shape>
                <v:shape id="Text Box 170" o:spid="_x0000_s1064" type="#_x0000_t202" style="position:absolute;left:44196;top:1047;width:25050;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7A24A3DF" w14:textId="77777777" w:rsidR="007256B3" w:rsidRPr="00585C0D" w:rsidRDefault="007256B3" w:rsidP="00290C47">
                        <w:pPr>
                          <w:pStyle w:val="BackCoverContactHeading"/>
                        </w:pPr>
                        <w:r w:rsidRPr="00585C0D">
                          <w:t>For further information</w:t>
                        </w:r>
                      </w:p>
                      <w:p w14:paraId="6AAF88BC" w14:textId="77777777" w:rsidR="007256B3" w:rsidRPr="00585C0D" w:rsidRDefault="007256B3" w:rsidP="00290C47">
                        <w:pPr>
                          <w:pStyle w:val="BackCoverContactDetails"/>
                        </w:pPr>
                        <w:r>
                          <w:t xml:space="preserve">Dr Simon </w:t>
                        </w:r>
                        <w:proofErr w:type="spellStart"/>
                        <w:r>
                          <w:t>Dunstall</w:t>
                        </w:r>
                        <w:proofErr w:type="spellEnd"/>
                        <w:r>
                          <w:br/>
                          <w:t>Research Director, Decision Sciences, Data61</w:t>
                        </w:r>
                      </w:p>
                      <w:p w14:paraId="6B1D95B2" w14:textId="77777777" w:rsidR="007256B3" w:rsidRPr="00585C0D" w:rsidRDefault="007256B3" w:rsidP="00290C47">
                        <w:pPr>
                          <w:pStyle w:val="BackCoverContactDetails"/>
                        </w:pPr>
                        <w:r w:rsidRPr="00585C0D">
                          <w:rPr>
                            <w:rStyle w:val="BackCoverContactBold"/>
                          </w:rPr>
                          <w:t>t</w:t>
                        </w:r>
                        <w:r w:rsidRPr="00585C0D">
                          <w:t xml:space="preserve"> </w:t>
                        </w:r>
                        <w:r w:rsidRPr="00585C0D">
                          <w:tab/>
                          <w:t xml:space="preserve">+61 </w:t>
                        </w:r>
                        <w:r>
                          <w:t>3 9545 8022</w:t>
                        </w:r>
                      </w:p>
                      <w:p w14:paraId="6904C21A" w14:textId="77777777" w:rsidR="007256B3" w:rsidRPr="00585C0D" w:rsidRDefault="007256B3" w:rsidP="00290C47">
                        <w:pPr>
                          <w:pStyle w:val="BackCoverContactDetails"/>
                        </w:pPr>
                        <w:r w:rsidRPr="00585C0D">
                          <w:rPr>
                            <w:rStyle w:val="BackCoverContactBold"/>
                          </w:rPr>
                          <w:t>e</w:t>
                        </w:r>
                        <w:r w:rsidRPr="00585C0D">
                          <w:t xml:space="preserve"> </w:t>
                        </w:r>
                        <w:r w:rsidRPr="00585C0D">
                          <w:tab/>
                        </w:r>
                        <w:r>
                          <w:t>simon.dunstall</w:t>
                        </w:r>
                        <w:r w:rsidRPr="00585C0D">
                          <w:t>@</w:t>
                        </w:r>
                        <w:r>
                          <w:t>data61.csiro</w:t>
                        </w:r>
                        <w:r w:rsidRPr="00585C0D">
                          <w:t>.au</w:t>
                        </w:r>
                      </w:p>
                      <w:p w14:paraId="7697439F" w14:textId="77777777" w:rsidR="007256B3" w:rsidRPr="00585C0D" w:rsidRDefault="007256B3" w:rsidP="00290C47">
                        <w:pPr>
                          <w:pStyle w:val="BackCoverContactDetails"/>
                        </w:pPr>
                        <w:r w:rsidRPr="00585C0D">
                          <w:rPr>
                            <w:rStyle w:val="BackCoverContactBold"/>
                          </w:rPr>
                          <w:t>w</w:t>
                        </w:r>
                        <w:r>
                          <w:t xml:space="preserve"> </w:t>
                        </w:r>
                        <w:r>
                          <w:tab/>
                          <w:t xml:space="preserve">www.data61.csiro.au </w:t>
                        </w:r>
                      </w:p>
                      <w:p w14:paraId="240A2559" w14:textId="77777777" w:rsidR="007256B3" w:rsidRDefault="007256B3" w:rsidP="00290C47">
                        <w:pPr>
                          <w:pStyle w:val="BackCoverContactDetails"/>
                        </w:pPr>
                      </w:p>
                    </w:txbxContent>
                  </v:textbox>
                </v:shape>
              </v:group>
            </w:pict>
          </mc:Fallback>
        </mc:AlternateContent>
      </w:r>
    </w:p>
    <w:p w14:paraId="325D7B62" w14:textId="53C23D2D" w:rsidR="00B25708" w:rsidRPr="00B211D5" w:rsidRDefault="00B25708" w:rsidP="00B25708">
      <w:pPr>
        <w:rPr>
          <w:rFonts w:ascii="Candara" w:hAnsi="Candara"/>
        </w:rPr>
      </w:pPr>
    </w:p>
    <w:p w14:paraId="3FE1F607" w14:textId="77777777" w:rsidR="00326522" w:rsidRDefault="00326522" w:rsidP="00326522">
      <w:pPr>
        <w:rPr>
          <w:rFonts w:ascii="Candara" w:eastAsiaTheme="majorEastAsia" w:hAnsi="Candara" w:cstheme="majorBidi"/>
          <w:b/>
          <w:bCs/>
          <w:sz w:val="24"/>
          <w:szCs w:val="24"/>
        </w:rPr>
      </w:pPr>
    </w:p>
    <w:p w14:paraId="6DA59CCD" w14:textId="52B9E062" w:rsidR="00326522" w:rsidRPr="00326522" w:rsidRDefault="00326522" w:rsidP="00326522">
      <w:pPr>
        <w:rPr>
          <w:b/>
        </w:rPr>
      </w:pPr>
      <w:r w:rsidRPr="00326522">
        <w:rPr>
          <w:b/>
        </w:rPr>
        <w:lastRenderedPageBreak/>
        <w:t>Use of RRM for F-Factor Scheme Revisions</w:t>
      </w:r>
    </w:p>
    <w:p w14:paraId="19CBF331" w14:textId="61316DBD" w:rsidR="00290C47" w:rsidRPr="00B211D5" w:rsidRDefault="00290C47" w:rsidP="00290C47">
      <w:pPr>
        <w:pStyle w:val="BodyText"/>
        <w:rPr>
          <w:rFonts w:ascii="Candara" w:hAnsi="Candara"/>
          <w:sz w:val="20"/>
        </w:rPr>
      </w:pPr>
      <w:r w:rsidRPr="00B211D5">
        <w:rPr>
          <w:rFonts w:ascii="Candara" w:hAnsi="Candara"/>
          <w:sz w:val="20"/>
        </w:rPr>
        <w:t>RRM’s ability to estimate ignition likelihood reduction at a pole level (due to changes in asset construction, or section or feeder protection), under specified fire weather conditions, enables assessment of the likelihood that past ignition events would have occurred if different asset technology options were deployed. This enables us to sample past events (“bootstrap”) and create synthetic future years where the asset profile (i.e. REFCL rollout) is different, so as to understand how accumulated IRU values might be “decremented” compared to a 2016 baseline in accounting for future REFCL deployment and other asset replacement.</w:t>
      </w:r>
    </w:p>
    <w:p w14:paraId="403D5978" w14:textId="77777777" w:rsidR="00290C47" w:rsidRPr="00B211D5" w:rsidRDefault="00290C47" w:rsidP="00290C47">
      <w:pPr>
        <w:spacing w:after="0" w:line="240" w:lineRule="auto"/>
        <w:rPr>
          <w:rFonts w:ascii="Candara" w:hAnsi="Candara"/>
          <w:sz w:val="20"/>
        </w:rPr>
      </w:pPr>
    </w:p>
    <w:p w14:paraId="0C9E330E" w14:textId="77777777" w:rsidR="00290C47" w:rsidRPr="00B211D5" w:rsidRDefault="00290C47" w:rsidP="00290C47">
      <w:pPr>
        <w:pStyle w:val="BodyText"/>
        <w:rPr>
          <w:rFonts w:ascii="Candara" w:hAnsi="Candara"/>
        </w:rPr>
      </w:pPr>
    </w:p>
    <w:p w14:paraId="2C194720" w14:textId="77777777" w:rsidR="00290C47" w:rsidRPr="00B211D5" w:rsidRDefault="00290C47" w:rsidP="000F3841">
      <w:pPr>
        <w:pStyle w:val="ListBullet"/>
        <w:numPr>
          <w:ilvl w:val="0"/>
          <w:numId w:val="0"/>
        </w:numPr>
        <w:ind w:left="199"/>
        <w:rPr>
          <w:rFonts w:ascii="Candara" w:hAnsi="Candara"/>
        </w:rPr>
        <w:sectPr w:rsidR="00290C47" w:rsidRPr="00B211D5" w:rsidSect="003543AF">
          <w:headerReference w:type="even" r:id="rId73"/>
          <w:headerReference w:type="default" r:id="rId74"/>
          <w:footerReference w:type="default" r:id="rId75"/>
          <w:headerReference w:type="first" r:id="rId76"/>
          <w:pgSz w:w="11906" w:h="16838" w:code="9"/>
          <w:pgMar w:top="851" w:right="907" w:bottom="2835" w:left="907" w:header="454" w:footer="624" w:gutter="0"/>
          <w:cols w:num="2" w:space="567"/>
          <w:docGrid w:linePitch="360"/>
        </w:sectPr>
      </w:pPr>
    </w:p>
    <w:p w14:paraId="50CCE3DD" w14:textId="21AA5C86" w:rsidR="00613DC5" w:rsidRPr="00BB41A4" w:rsidRDefault="00613DC5" w:rsidP="00326522">
      <w:pPr>
        <w:pStyle w:val="Heading1"/>
        <w:numPr>
          <w:ilvl w:val="0"/>
          <w:numId w:val="0"/>
        </w:numPr>
      </w:pPr>
      <w:bookmarkStart w:id="70" w:name="_Toc458675217"/>
      <w:r w:rsidRPr="00BB41A4">
        <w:lastRenderedPageBreak/>
        <w:t xml:space="preserve">Appendix </w:t>
      </w:r>
      <w:r w:rsidR="00081213" w:rsidRPr="00BB41A4">
        <w:t>4</w:t>
      </w:r>
      <w:r w:rsidRPr="00BB41A4">
        <w:t xml:space="preserve"> – </w:t>
      </w:r>
      <w:r w:rsidR="00CA549F" w:rsidRPr="00BB41A4">
        <w:t>Analysis to support Incentive Rate Determination</w:t>
      </w:r>
      <w:bookmarkEnd w:id="70"/>
    </w:p>
    <w:p w14:paraId="7B450D73" w14:textId="77777777" w:rsidR="001E3377" w:rsidRPr="001E3377" w:rsidRDefault="001E3377" w:rsidP="001E3377">
      <w:pPr>
        <w:spacing w:before="200"/>
        <w:rPr>
          <w:rFonts w:ascii="Candara" w:hAnsi="Candara"/>
        </w:rPr>
      </w:pPr>
      <w:r w:rsidRPr="001E3377">
        <w:rPr>
          <w:rFonts w:ascii="Candara" w:hAnsi="Candara"/>
        </w:rPr>
        <w:t>From 1 July 2016, each ignition on a powerline in the Victorian electricity distribution network will be assessed for the relative bushfire risk associated with it. A weighted measure of that risk will be calculated, expressed in Ignition Risk Units (IRU), using the methodology described in Appendix 2.</w:t>
      </w:r>
    </w:p>
    <w:p w14:paraId="2321FD00" w14:textId="77777777" w:rsidR="001E3377" w:rsidRPr="001E3377" w:rsidRDefault="001E3377" w:rsidP="001E3377">
      <w:pPr>
        <w:spacing w:before="200"/>
        <w:rPr>
          <w:rFonts w:ascii="Candara" w:hAnsi="Candara"/>
        </w:rPr>
      </w:pPr>
      <w:r w:rsidRPr="001E3377">
        <w:rPr>
          <w:rFonts w:ascii="Candara" w:hAnsi="Candara"/>
        </w:rPr>
        <w:t>There are 28 possible categories of ignition, ranging in value from 0.02 to 99.0 IRUs.</w:t>
      </w:r>
    </w:p>
    <w:p w14:paraId="69F3A504" w14:textId="77777777" w:rsidR="001E3377" w:rsidRPr="001E3377" w:rsidRDefault="001E3377" w:rsidP="001E3377">
      <w:pPr>
        <w:spacing w:before="200"/>
        <w:rPr>
          <w:rFonts w:ascii="Candara" w:hAnsi="Candara"/>
        </w:rPr>
      </w:pPr>
      <w:r w:rsidRPr="001E3377">
        <w:rPr>
          <w:rFonts w:ascii="Candara" w:hAnsi="Candara"/>
        </w:rPr>
        <w:t>As the f-factor is an incentive scheme, an incentive rate needed to be determined for a single IRU.</w:t>
      </w:r>
    </w:p>
    <w:p w14:paraId="430E7740" w14:textId="77777777" w:rsidR="001E3377" w:rsidRPr="001E3377" w:rsidRDefault="001E3377" w:rsidP="001E3377">
      <w:pPr>
        <w:spacing w:after="60"/>
        <w:rPr>
          <w:rFonts w:ascii="Candara" w:hAnsi="Candara"/>
        </w:rPr>
      </w:pPr>
      <w:r w:rsidRPr="001E3377">
        <w:rPr>
          <w:rFonts w:ascii="Candara" w:hAnsi="Candara"/>
        </w:rPr>
        <w:t>An IRU value was determined guided by one of the five key principles underpinning the design of this revised f-factor scheme. That is:</w:t>
      </w:r>
    </w:p>
    <w:p w14:paraId="1D01A233" w14:textId="77777777" w:rsidR="001E3377" w:rsidRPr="001E3377" w:rsidRDefault="001E3377" w:rsidP="001E3377">
      <w:pPr>
        <w:ind w:left="568" w:right="-510" w:hanging="284"/>
        <w:rPr>
          <w:rFonts w:ascii="Candara" w:hAnsi="Candara"/>
          <w:b/>
          <w:bCs/>
          <w:i/>
          <w:iCs/>
          <w:color w:val="17365D"/>
        </w:rPr>
      </w:pPr>
      <w:r w:rsidRPr="001E3377">
        <w:rPr>
          <w:rFonts w:ascii="Candara" w:hAnsi="Candara"/>
          <w:b/>
          <w:bCs/>
          <w:i/>
          <w:iCs/>
          <w:color w:val="17365D"/>
        </w:rPr>
        <w:t>“4.</w:t>
      </w:r>
      <w:r w:rsidRPr="001E3377">
        <w:rPr>
          <w:rFonts w:ascii="Candara" w:hAnsi="Candara"/>
          <w:b/>
          <w:bCs/>
          <w:i/>
          <w:iCs/>
          <w:color w:val="17365D"/>
        </w:rPr>
        <w:tab/>
        <w:t>The unit penalty rate (i.e. Incentive Rate) is to be set at a level that will not unduly place financial burden on consumers or DBs over a five year period as a consequence of variations in weather.”</w:t>
      </w:r>
    </w:p>
    <w:p w14:paraId="62B85119" w14:textId="77777777" w:rsidR="001E3377" w:rsidRPr="001E3377" w:rsidRDefault="001E3377" w:rsidP="001E3377">
      <w:pPr>
        <w:spacing w:before="200"/>
        <w:rPr>
          <w:rFonts w:ascii="Candara" w:hAnsi="Candara"/>
        </w:rPr>
      </w:pPr>
      <w:r w:rsidRPr="001E3377">
        <w:rPr>
          <w:rFonts w:ascii="Candara" w:hAnsi="Candara"/>
        </w:rPr>
        <w:t xml:space="preserve">In keeping with this principle and the broader design principles of the scheme, an </w:t>
      </w:r>
      <w:r w:rsidRPr="001E3377">
        <w:rPr>
          <w:rFonts w:ascii="Candara" w:hAnsi="Candara"/>
          <w:b/>
          <w:bCs/>
          <w:color w:val="17365D"/>
        </w:rPr>
        <w:t>Incentive Rate</w:t>
      </w:r>
      <w:r w:rsidRPr="001E3377">
        <w:rPr>
          <w:rFonts w:ascii="Candara" w:hAnsi="Candara"/>
          <w:color w:val="17365D"/>
        </w:rPr>
        <w:t xml:space="preserve"> </w:t>
      </w:r>
      <w:r w:rsidRPr="001E3377">
        <w:rPr>
          <w:rFonts w:ascii="Candara" w:hAnsi="Candara"/>
        </w:rPr>
        <w:t xml:space="preserve">of </w:t>
      </w:r>
      <w:r w:rsidRPr="001E3377">
        <w:rPr>
          <w:rFonts w:ascii="Candara" w:hAnsi="Candara"/>
          <w:b/>
          <w:bCs/>
          <w:color w:val="17365D"/>
        </w:rPr>
        <w:t>$15,000</w:t>
      </w:r>
      <w:r w:rsidRPr="001E3377">
        <w:rPr>
          <w:rFonts w:ascii="Candara" w:hAnsi="Candara"/>
          <w:color w:val="17365D"/>
        </w:rPr>
        <w:t xml:space="preserve"> </w:t>
      </w:r>
      <w:r w:rsidRPr="001E3377">
        <w:rPr>
          <w:rFonts w:ascii="Candara" w:hAnsi="Candara"/>
        </w:rPr>
        <w:t>was determined. The rationale for this determination is set out in section 3.5.2.</w:t>
      </w:r>
    </w:p>
    <w:p w14:paraId="540C0C5D" w14:textId="77777777" w:rsidR="001E3377" w:rsidRPr="001E3377" w:rsidRDefault="001E3377" w:rsidP="001E3377">
      <w:pPr>
        <w:spacing w:after="60"/>
        <w:rPr>
          <w:rFonts w:ascii="Candara" w:hAnsi="Candara"/>
        </w:rPr>
      </w:pPr>
      <w:r w:rsidRPr="001E3377">
        <w:rPr>
          <w:rFonts w:ascii="Candara" w:hAnsi="Candara"/>
        </w:rPr>
        <w:t>This appendix captures some of the analysis that informed that determination. Two of the key areas of focus were the:</w:t>
      </w:r>
    </w:p>
    <w:p w14:paraId="6D433548" w14:textId="77777777" w:rsidR="001E3377" w:rsidRPr="001E3377" w:rsidRDefault="001E3377" w:rsidP="00BB41A4">
      <w:pPr>
        <w:numPr>
          <w:ilvl w:val="0"/>
          <w:numId w:val="42"/>
        </w:numPr>
        <w:spacing w:after="60"/>
        <w:ind w:left="568" w:hanging="284"/>
        <w:rPr>
          <w:rFonts w:ascii="Candara" w:hAnsi="Candara"/>
        </w:rPr>
      </w:pPr>
      <w:r w:rsidRPr="001E3377">
        <w:rPr>
          <w:rFonts w:ascii="Candara" w:hAnsi="Candara"/>
        </w:rPr>
        <w:t>Financial impacts on consumers and businesses; and</w:t>
      </w:r>
    </w:p>
    <w:p w14:paraId="466001C5" w14:textId="77777777" w:rsidR="001E3377" w:rsidRPr="001E3377" w:rsidRDefault="001E3377" w:rsidP="00BB41A4">
      <w:pPr>
        <w:numPr>
          <w:ilvl w:val="0"/>
          <w:numId w:val="42"/>
        </w:numPr>
        <w:ind w:left="568" w:hanging="284"/>
        <w:contextualSpacing/>
        <w:rPr>
          <w:rFonts w:ascii="Candara" w:hAnsi="Candara"/>
        </w:rPr>
      </w:pPr>
      <w:r w:rsidRPr="001E3377">
        <w:rPr>
          <w:rFonts w:ascii="Candara" w:hAnsi="Candara"/>
        </w:rPr>
        <w:t>Value of individual ignitions.</w:t>
      </w:r>
    </w:p>
    <w:p w14:paraId="6C30AAB8" w14:textId="77777777" w:rsidR="001E3377" w:rsidRPr="001E3377" w:rsidRDefault="001E3377" w:rsidP="001E3377">
      <w:pPr>
        <w:rPr>
          <w:rFonts w:ascii="Candara" w:hAnsi="Candara"/>
          <w:b/>
          <w:color w:val="17365D"/>
          <w:u w:val="single"/>
        </w:rPr>
      </w:pPr>
      <w:r w:rsidRPr="001E3377">
        <w:rPr>
          <w:rFonts w:ascii="Candara" w:hAnsi="Candara"/>
          <w:b/>
          <w:color w:val="17365D"/>
          <w:u w:val="single"/>
        </w:rPr>
        <w:t>Financial impacts on consumers and businesses</w:t>
      </w:r>
    </w:p>
    <w:p w14:paraId="221251FA" w14:textId="77777777" w:rsidR="001E3377" w:rsidRPr="001E3377" w:rsidRDefault="001E3377" w:rsidP="001E3377">
      <w:pPr>
        <w:spacing w:before="200"/>
        <w:rPr>
          <w:rFonts w:ascii="Candara" w:hAnsi="Candara"/>
        </w:rPr>
      </w:pPr>
      <w:r w:rsidRPr="001E3377">
        <w:rPr>
          <w:rFonts w:ascii="Candara" w:hAnsi="Candara"/>
        </w:rPr>
        <w:t>The five figures that follow present the results of analysis for each of the five Victorian electricity distribution businesses.</w:t>
      </w:r>
    </w:p>
    <w:p w14:paraId="33DFA456" w14:textId="77777777" w:rsidR="001E3377" w:rsidRPr="001E3377" w:rsidRDefault="001E3377" w:rsidP="001E3377">
      <w:pPr>
        <w:spacing w:after="120"/>
        <w:rPr>
          <w:rFonts w:ascii="Candara" w:hAnsi="Candara"/>
        </w:rPr>
      </w:pPr>
      <w:r w:rsidRPr="001E3377">
        <w:rPr>
          <w:rFonts w:ascii="Candara" w:hAnsi="Candara"/>
        </w:rPr>
        <w:t>Common to each analysis are six key components:</w:t>
      </w:r>
    </w:p>
    <w:p w14:paraId="25B039C8" w14:textId="77777777" w:rsidR="001E3377" w:rsidRPr="001E3377" w:rsidRDefault="001E3377" w:rsidP="00BB41A4">
      <w:pPr>
        <w:numPr>
          <w:ilvl w:val="0"/>
          <w:numId w:val="43"/>
        </w:numPr>
        <w:spacing w:after="120"/>
        <w:ind w:left="568" w:right="-397" w:hanging="284"/>
        <w:rPr>
          <w:rFonts w:ascii="Candara" w:hAnsi="Candara"/>
        </w:rPr>
      </w:pPr>
      <w:r w:rsidRPr="001E3377">
        <w:rPr>
          <w:rFonts w:ascii="Candara" w:hAnsi="Candara"/>
        </w:rPr>
        <w:t>An estimate of the annual household electricity bill applicable to consumers in that network;</w:t>
      </w:r>
    </w:p>
    <w:p w14:paraId="74A56C85" w14:textId="77777777" w:rsidR="001E3377" w:rsidRPr="001E3377" w:rsidRDefault="001E3377" w:rsidP="00BB41A4">
      <w:pPr>
        <w:numPr>
          <w:ilvl w:val="0"/>
          <w:numId w:val="43"/>
        </w:numPr>
        <w:spacing w:after="120"/>
        <w:ind w:left="568" w:right="-397" w:hanging="284"/>
        <w:rPr>
          <w:rFonts w:ascii="Candara" w:hAnsi="Candara"/>
        </w:rPr>
      </w:pPr>
      <w:r w:rsidRPr="001E3377">
        <w:rPr>
          <w:rFonts w:ascii="Candara" w:hAnsi="Candara"/>
        </w:rPr>
        <w:t>An estimate of the annual IRU value for ignitions under a range of weather scenarios, using the results of weather simulation research carried out by the CSIRO (see Appendix 2);</w:t>
      </w:r>
    </w:p>
    <w:p w14:paraId="0941135F" w14:textId="77777777" w:rsidR="001E3377" w:rsidRPr="001E3377" w:rsidRDefault="001E3377" w:rsidP="00BB41A4">
      <w:pPr>
        <w:numPr>
          <w:ilvl w:val="0"/>
          <w:numId w:val="43"/>
        </w:numPr>
        <w:spacing w:after="120"/>
        <w:ind w:left="568" w:right="-397" w:hanging="284"/>
        <w:rPr>
          <w:rFonts w:ascii="Candara" w:hAnsi="Candara"/>
        </w:rPr>
      </w:pPr>
      <w:r w:rsidRPr="001E3377">
        <w:rPr>
          <w:rFonts w:ascii="Candara" w:hAnsi="Candara"/>
        </w:rPr>
        <w:t>The total annual dollar value of IRU performance under the seven different weather scenarios for six different Incentive rates (ranging from $10,000 to $50,000);</w:t>
      </w:r>
    </w:p>
    <w:p w14:paraId="2090C9F4" w14:textId="77777777" w:rsidR="001E3377" w:rsidRPr="001E3377" w:rsidRDefault="001E3377" w:rsidP="00BB41A4">
      <w:pPr>
        <w:numPr>
          <w:ilvl w:val="0"/>
          <w:numId w:val="43"/>
        </w:numPr>
        <w:spacing w:after="120"/>
        <w:ind w:left="568" w:right="-397" w:hanging="284"/>
        <w:rPr>
          <w:rFonts w:ascii="Candara" w:hAnsi="Candara"/>
        </w:rPr>
      </w:pPr>
      <w:r w:rsidRPr="001E3377">
        <w:rPr>
          <w:rFonts w:ascii="Candara" w:hAnsi="Candara"/>
        </w:rPr>
        <w:t xml:space="preserve">The annualised penalty (payment from DBs to consumers – </w:t>
      </w:r>
      <w:r w:rsidRPr="001E3377">
        <w:rPr>
          <w:rFonts w:ascii="Candara" w:hAnsi="Candara"/>
          <w:b/>
          <w:bCs/>
        </w:rPr>
        <w:t>in black</w:t>
      </w:r>
      <w:r w:rsidRPr="001E3377">
        <w:rPr>
          <w:rFonts w:ascii="Candara" w:hAnsi="Candara"/>
        </w:rPr>
        <w:t xml:space="preserve">) or payment (from consumers to DB – </w:t>
      </w:r>
      <w:r w:rsidRPr="001E3377">
        <w:rPr>
          <w:rFonts w:ascii="Candara" w:hAnsi="Candara"/>
          <w:b/>
          <w:bCs/>
          <w:color w:val="FF0000"/>
        </w:rPr>
        <w:t>in red</w:t>
      </w:r>
      <w:r w:rsidRPr="001E3377">
        <w:rPr>
          <w:rFonts w:ascii="Candara" w:hAnsi="Candara"/>
        </w:rPr>
        <w:t>) that would apply for each weather scenario/incentive rate combination. These are calculated as variations from an annual benchmark, represented by  the mean (Typical year);</w:t>
      </w:r>
    </w:p>
    <w:p w14:paraId="6DA05015" w14:textId="77777777" w:rsidR="001E3377" w:rsidRPr="001E3377" w:rsidRDefault="001E3377" w:rsidP="00BB41A4">
      <w:pPr>
        <w:numPr>
          <w:ilvl w:val="0"/>
          <w:numId w:val="43"/>
        </w:numPr>
        <w:spacing w:after="120"/>
        <w:ind w:left="568" w:hanging="284"/>
        <w:rPr>
          <w:rFonts w:ascii="Candara" w:hAnsi="Candara"/>
        </w:rPr>
      </w:pPr>
      <w:r w:rsidRPr="001E3377">
        <w:rPr>
          <w:rFonts w:ascii="Candara" w:hAnsi="Candara"/>
        </w:rPr>
        <w:t xml:space="preserve">The annual aggregated penalties and payments (shown in 4) are then represented as a cost </w:t>
      </w:r>
      <w:r w:rsidRPr="001E3377">
        <w:rPr>
          <w:rFonts w:ascii="Candara" w:hAnsi="Candara"/>
          <w:color w:val="FF0000"/>
        </w:rPr>
        <w:t>increase</w:t>
      </w:r>
      <w:r w:rsidRPr="001E3377">
        <w:rPr>
          <w:rFonts w:ascii="Candara" w:hAnsi="Candara"/>
        </w:rPr>
        <w:t>/decrease per household; and</w:t>
      </w:r>
    </w:p>
    <w:p w14:paraId="3A2D298B" w14:textId="77777777" w:rsidR="001E3377" w:rsidRPr="001E3377" w:rsidRDefault="001E3377" w:rsidP="00BB41A4">
      <w:pPr>
        <w:numPr>
          <w:ilvl w:val="0"/>
          <w:numId w:val="43"/>
        </w:numPr>
        <w:spacing w:after="120"/>
        <w:ind w:left="568" w:hanging="284"/>
        <w:rPr>
          <w:rFonts w:ascii="Candara" w:hAnsi="Candara"/>
        </w:rPr>
      </w:pPr>
      <w:r w:rsidRPr="001E3377">
        <w:rPr>
          <w:rFonts w:ascii="Candara" w:hAnsi="Candara"/>
        </w:rPr>
        <w:t xml:space="preserve">The cost </w:t>
      </w:r>
      <w:r w:rsidRPr="001E3377">
        <w:rPr>
          <w:rFonts w:ascii="Candara" w:hAnsi="Candara"/>
          <w:color w:val="FF0000"/>
        </w:rPr>
        <w:t>increase</w:t>
      </w:r>
      <w:r w:rsidRPr="001E3377">
        <w:rPr>
          <w:rFonts w:ascii="Candara" w:hAnsi="Candara"/>
        </w:rPr>
        <w:t>/decrease per household is finally presented as a percentage change to the average annual household bill, as presented in 1.</w:t>
      </w:r>
    </w:p>
    <w:p w14:paraId="719F9355" w14:textId="77777777" w:rsidR="001E3377" w:rsidRPr="001E3377" w:rsidRDefault="001E3377" w:rsidP="001E3377">
      <w:pPr>
        <w:rPr>
          <w:rFonts w:ascii="Candara" w:hAnsi="Candara"/>
        </w:rPr>
      </w:pPr>
      <w:r w:rsidRPr="001E3377">
        <w:rPr>
          <w:rFonts w:ascii="Candara" w:hAnsi="Candara"/>
        </w:rPr>
        <w:br w:type="page"/>
      </w:r>
    </w:p>
    <w:p w14:paraId="7FCF651E" w14:textId="70A08B2F" w:rsidR="008835A2" w:rsidRPr="008519EB" w:rsidRDefault="001E3377" w:rsidP="008835A2">
      <w:pPr>
        <w:autoSpaceDE w:val="0"/>
        <w:autoSpaceDN w:val="0"/>
        <w:adjustRightInd w:val="0"/>
        <w:spacing w:before="120" w:after="80"/>
        <w:rPr>
          <w:rFonts w:asciiTheme="majorHAnsi" w:eastAsiaTheme="majorEastAsia" w:hAnsiTheme="majorHAnsi" w:cstheme="majorBidi"/>
          <w:i/>
          <w:iCs/>
          <w:color w:val="243F60" w:themeColor="accent1" w:themeShade="7F"/>
        </w:rPr>
      </w:pPr>
      <w:r w:rsidRPr="001E3377">
        <w:rPr>
          <w:rFonts w:ascii="Candara" w:eastAsia="Times New Roman" w:hAnsi="Candara" w:cs="Times New Roman"/>
          <w:b/>
          <w:i/>
          <w:noProof/>
          <w:sz w:val="20"/>
          <w:szCs w:val="20"/>
          <w:lang w:eastAsia="en-AU"/>
        </w:rPr>
        <w:lastRenderedPageBreak/>
        <w:drawing>
          <wp:anchor distT="0" distB="0" distL="114300" distR="114300" simplePos="0" relativeHeight="251699200" behindDoc="0" locked="0" layoutInCell="1" allowOverlap="1" wp14:anchorId="56F5C7E5" wp14:editId="4B921F89">
            <wp:simplePos x="0" y="0"/>
            <wp:positionH relativeFrom="column">
              <wp:posOffset>0</wp:posOffset>
            </wp:positionH>
            <wp:positionV relativeFrom="paragraph">
              <wp:posOffset>237490</wp:posOffset>
            </wp:positionV>
            <wp:extent cx="5908809" cy="7560000"/>
            <wp:effectExtent l="0" t="0" r="0" b="317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8809"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5A2" w:rsidRPr="008835A2">
        <w:rPr>
          <w:rStyle w:val="Heading6Char"/>
        </w:rPr>
        <w:t xml:space="preserve"> </w:t>
      </w:r>
      <w:r w:rsidR="008835A2">
        <w:rPr>
          <w:rStyle w:val="Heading6Char"/>
        </w:rPr>
        <w:t xml:space="preserve">Figure A4.1: </w:t>
      </w:r>
      <w:r w:rsidR="008835A2" w:rsidRPr="00147B12">
        <w:rPr>
          <w:rStyle w:val="Heading6Char"/>
        </w:rPr>
        <w:t>Financial impacts of f-factor associated with network of AusNet Services</w:t>
      </w:r>
    </w:p>
    <w:p w14:paraId="11E41BEB" w14:textId="34DF9121" w:rsidR="001E3377" w:rsidRPr="001E3377" w:rsidRDefault="001E3377" w:rsidP="001E3377">
      <w:pPr>
        <w:keepNext/>
        <w:keepLines/>
        <w:tabs>
          <w:tab w:val="left" w:pos="1701"/>
        </w:tabs>
        <w:spacing w:before="120" w:after="120" w:line="240" w:lineRule="auto"/>
        <w:ind w:left="1247" w:right="-170" w:hanging="1134"/>
        <w:rPr>
          <w:rFonts w:ascii="Candara" w:eastAsia="Times New Roman" w:hAnsi="Candara" w:cs="Times New Roman"/>
          <w:i/>
        </w:rPr>
      </w:pPr>
    </w:p>
    <w:p w14:paraId="770FB965" w14:textId="77777777" w:rsidR="001E3377" w:rsidRPr="001E3377" w:rsidRDefault="001E3377" w:rsidP="001E3377">
      <w:pPr>
        <w:spacing w:before="200"/>
        <w:rPr>
          <w:rFonts w:ascii="Candara" w:hAnsi="Candara"/>
        </w:rPr>
      </w:pPr>
    </w:p>
    <w:p w14:paraId="31484C48" w14:textId="77777777" w:rsidR="001E3377" w:rsidRPr="001E3377" w:rsidRDefault="001E3377" w:rsidP="001E3377">
      <w:pPr>
        <w:spacing w:before="200"/>
        <w:rPr>
          <w:rFonts w:ascii="Candara" w:hAnsi="Candara"/>
        </w:rPr>
      </w:pPr>
    </w:p>
    <w:p w14:paraId="3DA331E9" w14:textId="77777777" w:rsidR="001E3377" w:rsidRPr="001E3377" w:rsidRDefault="001E3377" w:rsidP="001E3377">
      <w:pPr>
        <w:spacing w:before="200"/>
        <w:rPr>
          <w:rFonts w:ascii="Candara" w:hAnsi="Candara"/>
        </w:rPr>
      </w:pPr>
    </w:p>
    <w:p w14:paraId="38BE839F" w14:textId="77777777" w:rsidR="001E3377" w:rsidRPr="001E3377" w:rsidRDefault="001E3377" w:rsidP="001E3377">
      <w:pPr>
        <w:spacing w:before="200"/>
        <w:rPr>
          <w:rFonts w:ascii="Candara" w:hAnsi="Candara"/>
        </w:rPr>
      </w:pPr>
    </w:p>
    <w:p w14:paraId="7FCC4BA4" w14:textId="77777777" w:rsidR="001E3377" w:rsidRPr="001E3377" w:rsidRDefault="001E3377" w:rsidP="001E3377">
      <w:pPr>
        <w:spacing w:before="200"/>
        <w:rPr>
          <w:rFonts w:ascii="Candara" w:hAnsi="Candara"/>
        </w:rPr>
      </w:pPr>
    </w:p>
    <w:p w14:paraId="5B7ECD76" w14:textId="77777777" w:rsidR="001E3377" w:rsidRPr="001E3377" w:rsidRDefault="001E3377" w:rsidP="001E3377">
      <w:pPr>
        <w:spacing w:before="200"/>
        <w:rPr>
          <w:rFonts w:ascii="Candara" w:hAnsi="Candara"/>
        </w:rPr>
      </w:pPr>
    </w:p>
    <w:p w14:paraId="2A9CFD83" w14:textId="77777777" w:rsidR="001E3377" w:rsidRPr="001E3377" w:rsidRDefault="001E3377" w:rsidP="001E3377">
      <w:pPr>
        <w:spacing w:before="200"/>
        <w:rPr>
          <w:rFonts w:ascii="Candara" w:hAnsi="Candara"/>
        </w:rPr>
      </w:pPr>
    </w:p>
    <w:p w14:paraId="63B655AB" w14:textId="77777777" w:rsidR="001E3377" w:rsidRPr="001E3377" w:rsidRDefault="001E3377" w:rsidP="001E3377">
      <w:pPr>
        <w:spacing w:before="200"/>
        <w:rPr>
          <w:rFonts w:ascii="Candara" w:hAnsi="Candara"/>
        </w:rPr>
      </w:pPr>
    </w:p>
    <w:p w14:paraId="65015B1C" w14:textId="77777777" w:rsidR="001E3377" w:rsidRPr="001E3377" w:rsidRDefault="001E3377" w:rsidP="001E3377">
      <w:pPr>
        <w:spacing w:before="200"/>
        <w:rPr>
          <w:rFonts w:ascii="Candara" w:hAnsi="Candara"/>
        </w:rPr>
      </w:pPr>
    </w:p>
    <w:p w14:paraId="001120C9" w14:textId="77777777" w:rsidR="001E3377" w:rsidRPr="001E3377" w:rsidRDefault="001E3377" w:rsidP="001E3377">
      <w:pPr>
        <w:spacing w:before="200"/>
        <w:rPr>
          <w:rFonts w:ascii="Candara" w:hAnsi="Candara"/>
        </w:rPr>
      </w:pPr>
    </w:p>
    <w:p w14:paraId="2C2369CE" w14:textId="77777777" w:rsidR="001E3377" w:rsidRPr="001E3377" w:rsidRDefault="001E3377" w:rsidP="001E3377">
      <w:pPr>
        <w:spacing w:before="200"/>
        <w:rPr>
          <w:rFonts w:ascii="Candara" w:hAnsi="Candara"/>
        </w:rPr>
      </w:pPr>
    </w:p>
    <w:p w14:paraId="659ED2CF" w14:textId="77777777" w:rsidR="001E3377" w:rsidRPr="001E3377" w:rsidRDefault="001E3377" w:rsidP="001E3377">
      <w:pPr>
        <w:spacing w:before="200"/>
        <w:rPr>
          <w:rFonts w:ascii="Candara" w:hAnsi="Candara"/>
        </w:rPr>
      </w:pPr>
    </w:p>
    <w:p w14:paraId="190A47E9" w14:textId="77777777" w:rsidR="001E3377" w:rsidRPr="001E3377" w:rsidRDefault="001E3377" w:rsidP="001E3377">
      <w:pPr>
        <w:spacing w:before="200"/>
        <w:rPr>
          <w:rFonts w:ascii="Candara" w:hAnsi="Candara"/>
        </w:rPr>
      </w:pPr>
    </w:p>
    <w:p w14:paraId="3A758106" w14:textId="77777777" w:rsidR="001E3377" w:rsidRPr="001E3377" w:rsidRDefault="001E3377" w:rsidP="001E3377">
      <w:pPr>
        <w:spacing w:before="200"/>
        <w:rPr>
          <w:rFonts w:ascii="Candara" w:hAnsi="Candara"/>
        </w:rPr>
      </w:pPr>
    </w:p>
    <w:p w14:paraId="48E392AE" w14:textId="77777777" w:rsidR="001E3377" w:rsidRPr="001E3377" w:rsidRDefault="001E3377" w:rsidP="001E3377">
      <w:pPr>
        <w:spacing w:before="200"/>
        <w:rPr>
          <w:rFonts w:ascii="Candara" w:hAnsi="Candara"/>
        </w:rPr>
      </w:pPr>
    </w:p>
    <w:p w14:paraId="5D7EEC55" w14:textId="77777777" w:rsidR="001E3377" w:rsidRPr="001E3377" w:rsidRDefault="001E3377" w:rsidP="001E3377">
      <w:pPr>
        <w:spacing w:before="200"/>
        <w:rPr>
          <w:rFonts w:ascii="Candara" w:hAnsi="Candara"/>
        </w:rPr>
      </w:pPr>
    </w:p>
    <w:p w14:paraId="693D71E3" w14:textId="77777777" w:rsidR="001E3377" w:rsidRPr="001E3377" w:rsidRDefault="001E3377" w:rsidP="001E3377">
      <w:pPr>
        <w:spacing w:before="200"/>
        <w:rPr>
          <w:rFonts w:ascii="Candara" w:hAnsi="Candara"/>
        </w:rPr>
      </w:pPr>
    </w:p>
    <w:p w14:paraId="7546F8B7" w14:textId="77777777" w:rsidR="001E3377" w:rsidRPr="001E3377" w:rsidRDefault="001E3377" w:rsidP="001E3377">
      <w:pPr>
        <w:spacing w:before="200"/>
        <w:rPr>
          <w:rFonts w:ascii="Candara" w:hAnsi="Candara"/>
        </w:rPr>
      </w:pPr>
    </w:p>
    <w:p w14:paraId="3EC069DC" w14:textId="77777777" w:rsidR="001E3377" w:rsidRPr="001E3377" w:rsidRDefault="001E3377" w:rsidP="001E3377">
      <w:pPr>
        <w:spacing w:before="200"/>
        <w:rPr>
          <w:rFonts w:ascii="Candara" w:hAnsi="Candara"/>
        </w:rPr>
      </w:pPr>
    </w:p>
    <w:p w14:paraId="76A9ED9E" w14:textId="77777777" w:rsidR="001E3377" w:rsidRPr="001E3377" w:rsidRDefault="001E3377" w:rsidP="001E3377">
      <w:pPr>
        <w:spacing w:after="0" w:line="240" w:lineRule="auto"/>
        <w:rPr>
          <w:rFonts w:ascii="Candara" w:hAnsi="Candara"/>
        </w:rPr>
      </w:pPr>
    </w:p>
    <w:p w14:paraId="700DB849" w14:textId="77777777" w:rsidR="001E3377" w:rsidRPr="001E3377" w:rsidRDefault="001E3377" w:rsidP="001E3377">
      <w:pPr>
        <w:spacing w:after="0" w:line="240" w:lineRule="auto"/>
        <w:rPr>
          <w:rFonts w:ascii="Candara" w:hAnsi="Candara"/>
        </w:rPr>
      </w:pPr>
    </w:p>
    <w:p w14:paraId="5963CC51" w14:textId="77777777" w:rsidR="001E3377" w:rsidRPr="001E3377" w:rsidRDefault="001E3377" w:rsidP="001E3377">
      <w:pPr>
        <w:spacing w:before="200"/>
        <w:rPr>
          <w:rFonts w:ascii="Candara" w:hAnsi="Candara"/>
        </w:rPr>
      </w:pPr>
    </w:p>
    <w:p w14:paraId="64A22CBF" w14:textId="77777777" w:rsidR="001E3377" w:rsidRPr="001E3377" w:rsidRDefault="001E3377" w:rsidP="00C151F7">
      <w:pPr>
        <w:spacing w:after="360"/>
        <w:rPr>
          <w:rFonts w:ascii="Candara" w:hAnsi="Candara"/>
        </w:rPr>
      </w:pPr>
    </w:p>
    <w:p w14:paraId="4DA24EA6" w14:textId="77777777" w:rsidR="001E3377" w:rsidRPr="001E3377" w:rsidRDefault="001E3377" w:rsidP="001E3377">
      <w:pPr>
        <w:spacing w:after="0" w:line="240" w:lineRule="auto"/>
        <w:rPr>
          <w:rFonts w:ascii="Candara" w:hAnsi="Candara"/>
          <w:b/>
          <w:bCs/>
          <w:sz w:val="16"/>
          <w:szCs w:val="16"/>
        </w:rPr>
      </w:pPr>
      <w:r w:rsidRPr="001E3377">
        <w:rPr>
          <w:rFonts w:ascii="Candara" w:hAnsi="Candara"/>
          <w:b/>
          <w:bCs/>
          <w:sz w:val="16"/>
          <w:szCs w:val="16"/>
        </w:rPr>
        <w:t>Notes</w:t>
      </w:r>
    </w:p>
    <w:p w14:paraId="66B00726"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1. Customer numbers sourced from publication, State of the Energy Market 2015, Australian Energy Regulator.</w:t>
      </w:r>
    </w:p>
    <w:p w14:paraId="0A0F3CA3"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2. Average household bill value derived from source data about tariff changes for 2016 published by the AER (https://www.aer.gov.au/news-release/lower-network-charges-for-victorian-electricity-customers-in-2016)</w:t>
      </w:r>
    </w:p>
    <w:p w14:paraId="0595E80D"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3. Household impact calculated assuming that 50% of the aggregate payment/penalty is attributable to residential customers and 50% to commercial customers.</w:t>
      </w:r>
    </w:p>
    <w:p w14:paraId="62F3DBFD" w14:textId="66FE32C1" w:rsidR="001E3377" w:rsidRPr="00147B12" w:rsidRDefault="008835A2" w:rsidP="008835A2">
      <w:pPr>
        <w:autoSpaceDE w:val="0"/>
        <w:autoSpaceDN w:val="0"/>
        <w:adjustRightInd w:val="0"/>
        <w:spacing w:before="120" w:after="80"/>
        <w:rPr>
          <w:rStyle w:val="Heading6Char"/>
        </w:rPr>
      </w:pPr>
      <w:r>
        <w:rPr>
          <w:rStyle w:val="Heading6Char"/>
        </w:rPr>
        <w:lastRenderedPageBreak/>
        <w:t>Figure A4</w:t>
      </w:r>
      <w:r w:rsidR="00147B12">
        <w:rPr>
          <w:rStyle w:val="Heading6Char"/>
        </w:rPr>
        <w:t>.2</w:t>
      </w:r>
      <w:r w:rsidRPr="00147B12">
        <w:rPr>
          <w:rStyle w:val="Heading6Char"/>
        </w:rPr>
        <w:t xml:space="preserve">: </w:t>
      </w:r>
      <w:r w:rsidR="001E3377" w:rsidRPr="00147B12">
        <w:rPr>
          <w:rStyle w:val="Heading6Char"/>
        </w:rPr>
        <w:t>Financial impacts of f-factor associated with network of CitiPower</w:t>
      </w:r>
    </w:p>
    <w:p w14:paraId="404B6BA0" w14:textId="77777777" w:rsidR="001E3377" w:rsidRPr="001E3377" w:rsidRDefault="001E3377" w:rsidP="001E3377">
      <w:pPr>
        <w:spacing w:before="200"/>
        <w:rPr>
          <w:rFonts w:ascii="Candara" w:hAnsi="Candara"/>
        </w:rPr>
      </w:pPr>
      <w:r w:rsidRPr="001E3377">
        <w:rPr>
          <w:rFonts w:ascii="Candara" w:hAnsi="Candara"/>
          <w:noProof/>
          <w:lang w:eastAsia="en-AU"/>
        </w:rPr>
        <w:drawing>
          <wp:anchor distT="0" distB="0" distL="114300" distR="114300" simplePos="0" relativeHeight="251700224" behindDoc="0" locked="0" layoutInCell="1" allowOverlap="1" wp14:anchorId="33D23067" wp14:editId="14561598">
            <wp:simplePos x="0" y="0"/>
            <wp:positionH relativeFrom="column">
              <wp:posOffset>0</wp:posOffset>
            </wp:positionH>
            <wp:positionV relativeFrom="paragraph">
              <wp:posOffset>1905</wp:posOffset>
            </wp:positionV>
            <wp:extent cx="5908451" cy="7560000"/>
            <wp:effectExtent l="0" t="0" r="0" b="317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8451"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CB67D" w14:textId="77777777" w:rsidR="001E3377" w:rsidRPr="001E3377" w:rsidRDefault="001E3377" w:rsidP="001E3377">
      <w:pPr>
        <w:spacing w:before="200"/>
        <w:rPr>
          <w:rFonts w:ascii="Candara" w:hAnsi="Candara"/>
        </w:rPr>
      </w:pPr>
    </w:p>
    <w:p w14:paraId="6DA19952" w14:textId="77777777" w:rsidR="001E3377" w:rsidRPr="001E3377" w:rsidRDefault="001E3377" w:rsidP="001E3377">
      <w:pPr>
        <w:spacing w:before="200"/>
        <w:rPr>
          <w:rFonts w:ascii="Candara" w:hAnsi="Candara"/>
        </w:rPr>
      </w:pPr>
    </w:p>
    <w:p w14:paraId="6B83DCAB" w14:textId="77777777" w:rsidR="001E3377" w:rsidRPr="001E3377" w:rsidRDefault="001E3377" w:rsidP="001E3377">
      <w:pPr>
        <w:spacing w:before="200"/>
        <w:rPr>
          <w:rFonts w:ascii="Candara" w:hAnsi="Candara"/>
        </w:rPr>
      </w:pPr>
    </w:p>
    <w:p w14:paraId="3CB56BF4" w14:textId="77777777" w:rsidR="001E3377" w:rsidRPr="001E3377" w:rsidRDefault="001E3377" w:rsidP="001E3377">
      <w:pPr>
        <w:spacing w:before="200"/>
        <w:rPr>
          <w:rFonts w:ascii="Candara" w:hAnsi="Candara"/>
        </w:rPr>
      </w:pPr>
    </w:p>
    <w:p w14:paraId="16FB55C5" w14:textId="77777777" w:rsidR="001E3377" w:rsidRPr="001E3377" w:rsidRDefault="001E3377" w:rsidP="001E3377">
      <w:pPr>
        <w:spacing w:before="200"/>
        <w:rPr>
          <w:rFonts w:ascii="Candara" w:hAnsi="Candara"/>
        </w:rPr>
      </w:pPr>
    </w:p>
    <w:p w14:paraId="43163025" w14:textId="77777777" w:rsidR="001E3377" w:rsidRPr="001E3377" w:rsidRDefault="001E3377" w:rsidP="001E3377">
      <w:pPr>
        <w:spacing w:before="200"/>
        <w:rPr>
          <w:rFonts w:ascii="Candara" w:hAnsi="Candara"/>
        </w:rPr>
      </w:pPr>
    </w:p>
    <w:p w14:paraId="4541E384" w14:textId="77777777" w:rsidR="001E3377" w:rsidRPr="001E3377" w:rsidRDefault="001E3377" w:rsidP="001E3377">
      <w:pPr>
        <w:spacing w:before="200"/>
        <w:rPr>
          <w:rFonts w:ascii="Candara" w:hAnsi="Candara"/>
        </w:rPr>
      </w:pPr>
    </w:p>
    <w:p w14:paraId="0BC22442" w14:textId="77777777" w:rsidR="001E3377" w:rsidRPr="001E3377" w:rsidRDefault="001E3377" w:rsidP="001E3377">
      <w:pPr>
        <w:spacing w:before="200"/>
        <w:rPr>
          <w:rFonts w:ascii="Candara" w:hAnsi="Candara"/>
        </w:rPr>
      </w:pPr>
    </w:p>
    <w:p w14:paraId="31F5C1A2" w14:textId="77777777" w:rsidR="001E3377" w:rsidRPr="001E3377" w:rsidRDefault="001E3377" w:rsidP="001E3377">
      <w:pPr>
        <w:spacing w:before="200"/>
        <w:rPr>
          <w:rFonts w:ascii="Candara" w:hAnsi="Candara"/>
        </w:rPr>
      </w:pPr>
    </w:p>
    <w:p w14:paraId="3C122C88" w14:textId="77777777" w:rsidR="001E3377" w:rsidRPr="001E3377" w:rsidRDefault="001E3377" w:rsidP="001E3377">
      <w:pPr>
        <w:spacing w:before="200"/>
        <w:rPr>
          <w:rFonts w:ascii="Candara" w:hAnsi="Candara"/>
        </w:rPr>
      </w:pPr>
    </w:p>
    <w:p w14:paraId="20433E97" w14:textId="77777777" w:rsidR="001E3377" w:rsidRPr="001E3377" w:rsidRDefault="001E3377" w:rsidP="001E3377">
      <w:pPr>
        <w:spacing w:before="200"/>
        <w:rPr>
          <w:rFonts w:ascii="Candara" w:hAnsi="Candara"/>
        </w:rPr>
      </w:pPr>
    </w:p>
    <w:p w14:paraId="4EC4F0E2" w14:textId="77777777" w:rsidR="001E3377" w:rsidRPr="001E3377" w:rsidRDefault="001E3377" w:rsidP="001E3377">
      <w:pPr>
        <w:spacing w:before="200"/>
        <w:rPr>
          <w:rFonts w:ascii="Candara" w:hAnsi="Candara"/>
        </w:rPr>
      </w:pPr>
    </w:p>
    <w:p w14:paraId="7459F99F" w14:textId="77777777" w:rsidR="001E3377" w:rsidRPr="001E3377" w:rsidRDefault="001E3377" w:rsidP="001E3377">
      <w:pPr>
        <w:spacing w:before="200"/>
        <w:rPr>
          <w:rFonts w:ascii="Candara" w:hAnsi="Candara"/>
        </w:rPr>
      </w:pPr>
    </w:p>
    <w:p w14:paraId="3ACA3BB4" w14:textId="77777777" w:rsidR="001E3377" w:rsidRPr="001E3377" w:rsidRDefault="001E3377" w:rsidP="001E3377">
      <w:pPr>
        <w:spacing w:before="200"/>
        <w:rPr>
          <w:rFonts w:ascii="Candara" w:hAnsi="Candara"/>
        </w:rPr>
      </w:pPr>
    </w:p>
    <w:p w14:paraId="7B61344A" w14:textId="77777777" w:rsidR="001E3377" w:rsidRPr="001E3377" w:rsidRDefault="001E3377" w:rsidP="001E3377">
      <w:pPr>
        <w:spacing w:before="200"/>
        <w:rPr>
          <w:rFonts w:ascii="Candara" w:hAnsi="Candara"/>
        </w:rPr>
      </w:pPr>
    </w:p>
    <w:p w14:paraId="5B1FFB29" w14:textId="77777777" w:rsidR="001E3377" w:rsidRPr="001E3377" w:rsidRDefault="001E3377" w:rsidP="001E3377">
      <w:pPr>
        <w:spacing w:before="200"/>
        <w:rPr>
          <w:rFonts w:ascii="Candara" w:hAnsi="Candara"/>
        </w:rPr>
      </w:pPr>
    </w:p>
    <w:p w14:paraId="74F32C88" w14:textId="77777777" w:rsidR="001E3377" w:rsidRPr="001E3377" w:rsidRDefault="001E3377" w:rsidP="001E3377">
      <w:pPr>
        <w:spacing w:before="200"/>
        <w:rPr>
          <w:rFonts w:ascii="Candara" w:hAnsi="Candara"/>
        </w:rPr>
      </w:pPr>
    </w:p>
    <w:p w14:paraId="3000590A" w14:textId="77777777" w:rsidR="001E3377" w:rsidRPr="001E3377" w:rsidRDefault="001E3377" w:rsidP="001E3377">
      <w:pPr>
        <w:spacing w:before="200"/>
        <w:rPr>
          <w:rFonts w:ascii="Candara" w:hAnsi="Candara"/>
        </w:rPr>
      </w:pPr>
    </w:p>
    <w:p w14:paraId="1864A33C" w14:textId="77777777" w:rsidR="001E3377" w:rsidRPr="001E3377" w:rsidRDefault="001E3377" w:rsidP="001E3377">
      <w:pPr>
        <w:spacing w:after="0" w:line="240" w:lineRule="auto"/>
        <w:rPr>
          <w:rFonts w:ascii="Candara" w:hAnsi="Candara"/>
        </w:rPr>
      </w:pPr>
    </w:p>
    <w:p w14:paraId="67D6FD07" w14:textId="77777777" w:rsidR="001E3377" w:rsidRPr="001E3377" w:rsidRDefault="001E3377" w:rsidP="001E3377">
      <w:pPr>
        <w:spacing w:after="0" w:line="240" w:lineRule="auto"/>
        <w:rPr>
          <w:rFonts w:ascii="Candara" w:hAnsi="Candara"/>
        </w:rPr>
      </w:pPr>
    </w:p>
    <w:p w14:paraId="3DB5D347" w14:textId="77777777" w:rsidR="001E3377" w:rsidRPr="001E3377" w:rsidRDefault="001E3377" w:rsidP="001E3377">
      <w:pPr>
        <w:spacing w:before="200"/>
        <w:rPr>
          <w:rFonts w:ascii="Candara" w:hAnsi="Candara"/>
        </w:rPr>
      </w:pPr>
    </w:p>
    <w:p w14:paraId="03772D8D" w14:textId="77777777" w:rsidR="001E3377" w:rsidRPr="001E3377" w:rsidRDefault="001E3377" w:rsidP="001E3377">
      <w:pPr>
        <w:spacing w:after="0"/>
        <w:rPr>
          <w:rFonts w:ascii="Candara" w:hAnsi="Candara"/>
        </w:rPr>
      </w:pPr>
    </w:p>
    <w:p w14:paraId="0E1B3D23" w14:textId="77777777" w:rsidR="001E3377" w:rsidRPr="001E3377" w:rsidRDefault="001E3377" w:rsidP="001E3377">
      <w:pPr>
        <w:spacing w:before="200"/>
        <w:rPr>
          <w:rFonts w:ascii="Candara" w:hAnsi="Candara"/>
        </w:rPr>
      </w:pPr>
    </w:p>
    <w:p w14:paraId="4E1ECAE5" w14:textId="77777777" w:rsidR="001E3377" w:rsidRPr="001E3377" w:rsidRDefault="001E3377" w:rsidP="001E3377">
      <w:pPr>
        <w:spacing w:after="0" w:line="240" w:lineRule="auto"/>
        <w:rPr>
          <w:rFonts w:ascii="Candara" w:hAnsi="Candara"/>
          <w:b/>
          <w:bCs/>
          <w:sz w:val="16"/>
          <w:szCs w:val="16"/>
        </w:rPr>
      </w:pPr>
      <w:r w:rsidRPr="001E3377">
        <w:rPr>
          <w:rFonts w:ascii="Candara" w:hAnsi="Candara"/>
          <w:b/>
          <w:bCs/>
          <w:sz w:val="16"/>
          <w:szCs w:val="16"/>
        </w:rPr>
        <w:t>Notes</w:t>
      </w:r>
    </w:p>
    <w:p w14:paraId="0E5A81DF"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1. Customer numbers sourced from publication, State of the Energy Market 2015, Australian Energy Regulator.</w:t>
      </w:r>
    </w:p>
    <w:p w14:paraId="4134F0D9"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2. Average household bill value derived from source data about tariff changes for 2016 published by the AER (https://www.aer.gov.au/news-release/lower-network-charges-for-victorian-electricity-customers-in-2016)</w:t>
      </w:r>
    </w:p>
    <w:p w14:paraId="27088E73"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3. Household impact calculated assuming that 50% of the aggregate payment/penalty is attributable to residential customers and 50% to commercial customers.</w:t>
      </w:r>
    </w:p>
    <w:p w14:paraId="0E4D8E8C" w14:textId="2190DCEB" w:rsidR="001E3377" w:rsidRPr="00147B12" w:rsidRDefault="00147B12" w:rsidP="00147B12">
      <w:pPr>
        <w:autoSpaceDE w:val="0"/>
        <w:autoSpaceDN w:val="0"/>
        <w:adjustRightInd w:val="0"/>
        <w:spacing w:before="120" w:after="80"/>
        <w:rPr>
          <w:rStyle w:val="Heading6Char"/>
          <w:i w:val="0"/>
        </w:rPr>
      </w:pPr>
      <w:r>
        <w:rPr>
          <w:rStyle w:val="Heading6Char"/>
        </w:rPr>
        <w:lastRenderedPageBreak/>
        <w:t>Figure A4.3</w:t>
      </w:r>
      <w:r w:rsidRPr="00147B12">
        <w:rPr>
          <w:rStyle w:val="Heading6Char"/>
        </w:rPr>
        <w:t>:</w:t>
      </w:r>
      <w:r>
        <w:rPr>
          <w:rStyle w:val="Heading6Char"/>
          <w:i w:val="0"/>
        </w:rPr>
        <w:t xml:space="preserve"> </w:t>
      </w:r>
      <w:r w:rsidR="001E3377" w:rsidRPr="00147B12">
        <w:rPr>
          <w:rStyle w:val="Heading6Char"/>
        </w:rPr>
        <w:t>Financial impacts of f-factor associated with network of Jemena</w:t>
      </w:r>
    </w:p>
    <w:p w14:paraId="5062503F" w14:textId="77777777" w:rsidR="001E3377" w:rsidRPr="001E3377" w:rsidRDefault="001E3377" w:rsidP="001E3377">
      <w:pPr>
        <w:spacing w:before="200"/>
        <w:rPr>
          <w:rFonts w:ascii="Candara" w:hAnsi="Candara"/>
        </w:rPr>
      </w:pPr>
      <w:r w:rsidRPr="001E3377">
        <w:rPr>
          <w:rFonts w:ascii="Candara" w:hAnsi="Candara"/>
          <w:noProof/>
          <w:lang w:eastAsia="en-AU"/>
        </w:rPr>
        <w:drawing>
          <wp:anchor distT="0" distB="0" distL="114300" distR="114300" simplePos="0" relativeHeight="251701248" behindDoc="0" locked="0" layoutInCell="1" allowOverlap="1" wp14:anchorId="50B1586E" wp14:editId="24148C57">
            <wp:simplePos x="0" y="0"/>
            <wp:positionH relativeFrom="column">
              <wp:posOffset>0</wp:posOffset>
            </wp:positionH>
            <wp:positionV relativeFrom="paragraph">
              <wp:posOffset>1905</wp:posOffset>
            </wp:positionV>
            <wp:extent cx="5908451" cy="7560000"/>
            <wp:effectExtent l="0" t="0" r="0" b="317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8451"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D7459" w14:textId="77777777" w:rsidR="001E3377" w:rsidRPr="001E3377" w:rsidRDefault="001E3377" w:rsidP="001E3377">
      <w:pPr>
        <w:spacing w:before="200"/>
        <w:rPr>
          <w:rFonts w:ascii="Candara" w:hAnsi="Candara"/>
        </w:rPr>
      </w:pPr>
    </w:p>
    <w:p w14:paraId="27557704" w14:textId="77777777" w:rsidR="001E3377" w:rsidRPr="001E3377" w:rsidRDefault="001E3377" w:rsidP="001E3377">
      <w:pPr>
        <w:spacing w:before="200"/>
        <w:rPr>
          <w:rFonts w:ascii="Candara" w:hAnsi="Candara"/>
        </w:rPr>
      </w:pPr>
    </w:p>
    <w:p w14:paraId="14C39186" w14:textId="77777777" w:rsidR="001E3377" w:rsidRPr="001E3377" w:rsidRDefault="001E3377" w:rsidP="001E3377">
      <w:pPr>
        <w:spacing w:before="200"/>
        <w:rPr>
          <w:rFonts w:ascii="Candara" w:hAnsi="Candara"/>
        </w:rPr>
      </w:pPr>
    </w:p>
    <w:p w14:paraId="2DB27695" w14:textId="77777777" w:rsidR="001E3377" w:rsidRPr="001E3377" w:rsidRDefault="001E3377" w:rsidP="001E3377">
      <w:pPr>
        <w:spacing w:before="200"/>
        <w:rPr>
          <w:rFonts w:ascii="Candara" w:hAnsi="Candara"/>
        </w:rPr>
      </w:pPr>
    </w:p>
    <w:p w14:paraId="327BEEBF" w14:textId="77777777" w:rsidR="001E3377" w:rsidRPr="001E3377" w:rsidRDefault="001E3377" w:rsidP="001E3377">
      <w:pPr>
        <w:spacing w:before="200"/>
        <w:rPr>
          <w:rFonts w:ascii="Candara" w:hAnsi="Candara"/>
        </w:rPr>
      </w:pPr>
    </w:p>
    <w:p w14:paraId="5782ED34" w14:textId="77777777" w:rsidR="001E3377" w:rsidRPr="001E3377" w:rsidRDefault="001E3377" w:rsidP="001E3377">
      <w:pPr>
        <w:spacing w:before="200"/>
        <w:rPr>
          <w:rFonts w:ascii="Candara" w:hAnsi="Candara"/>
        </w:rPr>
      </w:pPr>
    </w:p>
    <w:p w14:paraId="54D2B93C" w14:textId="77777777" w:rsidR="001E3377" w:rsidRPr="001E3377" w:rsidRDefault="001E3377" w:rsidP="001E3377">
      <w:pPr>
        <w:spacing w:before="200"/>
        <w:rPr>
          <w:rFonts w:ascii="Candara" w:hAnsi="Candara"/>
        </w:rPr>
      </w:pPr>
    </w:p>
    <w:p w14:paraId="3319085E" w14:textId="77777777" w:rsidR="001E3377" w:rsidRPr="001E3377" w:rsidRDefault="001E3377" w:rsidP="001E3377">
      <w:pPr>
        <w:spacing w:before="200"/>
        <w:rPr>
          <w:rFonts w:ascii="Candara" w:hAnsi="Candara"/>
        </w:rPr>
      </w:pPr>
    </w:p>
    <w:p w14:paraId="6262C242" w14:textId="77777777" w:rsidR="001E3377" w:rsidRPr="001E3377" w:rsidRDefault="001E3377" w:rsidP="001E3377">
      <w:pPr>
        <w:spacing w:before="200"/>
        <w:rPr>
          <w:rFonts w:ascii="Candara" w:hAnsi="Candara"/>
        </w:rPr>
      </w:pPr>
    </w:p>
    <w:p w14:paraId="01C33C17" w14:textId="77777777" w:rsidR="001E3377" w:rsidRPr="001E3377" w:rsidRDefault="001E3377" w:rsidP="001E3377">
      <w:pPr>
        <w:spacing w:before="200"/>
        <w:rPr>
          <w:rFonts w:ascii="Candara" w:hAnsi="Candara"/>
        </w:rPr>
      </w:pPr>
    </w:p>
    <w:p w14:paraId="39E4F73A" w14:textId="77777777" w:rsidR="001E3377" w:rsidRPr="001E3377" w:rsidRDefault="001E3377" w:rsidP="001E3377">
      <w:pPr>
        <w:spacing w:before="200"/>
        <w:rPr>
          <w:rFonts w:ascii="Candara" w:hAnsi="Candara"/>
        </w:rPr>
      </w:pPr>
    </w:p>
    <w:p w14:paraId="1FED40BE" w14:textId="77777777" w:rsidR="001E3377" w:rsidRPr="001E3377" w:rsidRDefault="001E3377" w:rsidP="001E3377">
      <w:pPr>
        <w:spacing w:before="200"/>
        <w:rPr>
          <w:rFonts w:ascii="Candara" w:hAnsi="Candara"/>
        </w:rPr>
      </w:pPr>
    </w:p>
    <w:p w14:paraId="6BD98D3E" w14:textId="77777777" w:rsidR="001E3377" w:rsidRPr="001E3377" w:rsidRDefault="001E3377" w:rsidP="001E3377">
      <w:pPr>
        <w:spacing w:before="200"/>
        <w:rPr>
          <w:rFonts w:ascii="Candara" w:hAnsi="Candara"/>
        </w:rPr>
      </w:pPr>
    </w:p>
    <w:p w14:paraId="140C63A9" w14:textId="77777777" w:rsidR="001E3377" w:rsidRPr="001E3377" w:rsidRDefault="001E3377" w:rsidP="001E3377">
      <w:pPr>
        <w:spacing w:before="200"/>
        <w:rPr>
          <w:rFonts w:ascii="Candara" w:hAnsi="Candara"/>
        </w:rPr>
      </w:pPr>
    </w:p>
    <w:p w14:paraId="3A57FFAB" w14:textId="77777777" w:rsidR="001E3377" w:rsidRPr="001E3377" w:rsidRDefault="001E3377" w:rsidP="001E3377">
      <w:pPr>
        <w:spacing w:before="200"/>
        <w:rPr>
          <w:rFonts w:ascii="Candara" w:hAnsi="Candara"/>
        </w:rPr>
      </w:pPr>
    </w:p>
    <w:p w14:paraId="5CF82294" w14:textId="77777777" w:rsidR="001E3377" w:rsidRPr="001E3377" w:rsidRDefault="001E3377" w:rsidP="001E3377">
      <w:pPr>
        <w:spacing w:before="200"/>
        <w:rPr>
          <w:rFonts w:ascii="Candara" w:hAnsi="Candara"/>
        </w:rPr>
      </w:pPr>
    </w:p>
    <w:p w14:paraId="36537157" w14:textId="77777777" w:rsidR="001E3377" w:rsidRPr="001E3377" w:rsidRDefault="001E3377" w:rsidP="001E3377">
      <w:pPr>
        <w:spacing w:before="200"/>
        <w:rPr>
          <w:rFonts w:ascii="Candara" w:hAnsi="Candara"/>
        </w:rPr>
      </w:pPr>
    </w:p>
    <w:p w14:paraId="3A2FEDD3" w14:textId="77777777" w:rsidR="001E3377" w:rsidRPr="001E3377" w:rsidRDefault="001E3377" w:rsidP="001E3377">
      <w:pPr>
        <w:spacing w:before="200"/>
        <w:rPr>
          <w:rFonts w:ascii="Candara" w:hAnsi="Candara"/>
        </w:rPr>
      </w:pPr>
    </w:p>
    <w:p w14:paraId="5BC37B9C" w14:textId="77777777" w:rsidR="001E3377" w:rsidRPr="001E3377" w:rsidRDefault="001E3377" w:rsidP="001E3377">
      <w:pPr>
        <w:spacing w:after="0" w:line="240" w:lineRule="auto"/>
        <w:rPr>
          <w:rFonts w:ascii="Candara" w:hAnsi="Candara"/>
        </w:rPr>
      </w:pPr>
    </w:p>
    <w:p w14:paraId="756A0635" w14:textId="77777777" w:rsidR="001E3377" w:rsidRPr="001E3377" w:rsidRDefault="001E3377" w:rsidP="001E3377">
      <w:pPr>
        <w:spacing w:after="0" w:line="240" w:lineRule="auto"/>
        <w:rPr>
          <w:rFonts w:ascii="Candara" w:hAnsi="Candara"/>
        </w:rPr>
      </w:pPr>
    </w:p>
    <w:p w14:paraId="7F7D06BA" w14:textId="77777777" w:rsidR="001E3377" w:rsidRPr="001E3377" w:rsidRDefault="001E3377" w:rsidP="001E3377">
      <w:pPr>
        <w:spacing w:before="200"/>
        <w:rPr>
          <w:rFonts w:ascii="Candara" w:hAnsi="Candara"/>
        </w:rPr>
      </w:pPr>
    </w:p>
    <w:p w14:paraId="7A7807ED" w14:textId="77777777" w:rsidR="001E3377" w:rsidRPr="001E3377" w:rsidRDefault="001E3377" w:rsidP="001E3377">
      <w:pPr>
        <w:spacing w:after="0"/>
        <w:rPr>
          <w:rFonts w:ascii="Candara" w:hAnsi="Candara"/>
        </w:rPr>
      </w:pPr>
    </w:p>
    <w:p w14:paraId="69D500C3" w14:textId="77777777" w:rsidR="001E3377" w:rsidRPr="001E3377" w:rsidRDefault="001E3377" w:rsidP="001E3377">
      <w:pPr>
        <w:spacing w:before="200"/>
        <w:rPr>
          <w:rFonts w:ascii="Candara" w:hAnsi="Candara"/>
        </w:rPr>
      </w:pPr>
    </w:p>
    <w:p w14:paraId="14830A6A" w14:textId="77777777" w:rsidR="001E3377" w:rsidRPr="001E3377" w:rsidRDefault="001E3377" w:rsidP="001E3377">
      <w:pPr>
        <w:spacing w:after="0" w:line="240" w:lineRule="auto"/>
        <w:rPr>
          <w:rFonts w:ascii="Candara" w:hAnsi="Candara"/>
          <w:b/>
          <w:bCs/>
          <w:sz w:val="16"/>
          <w:szCs w:val="16"/>
        </w:rPr>
      </w:pPr>
      <w:r w:rsidRPr="001E3377">
        <w:rPr>
          <w:rFonts w:ascii="Candara" w:hAnsi="Candara"/>
          <w:b/>
          <w:bCs/>
          <w:sz w:val="16"/>
          <w:szCs w:val="16"/>
        </w:rPr>
        <w:t>Notes</w:t>
      </w:r>
    </w:p>
    <w:p w14:paraId="023352AA"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1. Customer numbers sourced from publication, State of the Energy Market 2015, Australian Energy Regulator.</w:t>
      </w:r>
    </w:p>
    <w:p w14:paraId="05F6E22F"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2. Average household bill value derived from source data about tariff changes for 2016 published by the AER (https://www.aer.gov.au/news-release/lower-network-charges-for-victorian-electricity-customers-in-2016)</w:t>
      </w:r>
    </w:p>
    <w:p w14:paraId="6B4FCECF"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3. Household impact calculated assuming that 50% of the aggregate payment/penalty is attributable to residential customers and 50% to commercial customers.</w:t>
      </w:r>
    </w:p>
    <w:p w14:paraId="6FBDD2B4" w14:textId="4CCC7821" w:rsidR="001E3377" w:rsidRDefault="00425C51" w:rsidP="001E3377">
      <w:pPr>
        <w:keepNext/>
        <w:keepLines/>
        <w:tabs>
          <w:tab w:val="left" w:pos="1701"/>
        </w:tabs>
        <w:spacing w:before="120" w:after="120" w:line="240" w:lineRule="auto"/>
        <w:ind w:left="1247" w:right="-170" w:hanging="1134"/>
        <w:rPr>
          <w:rStyle w:val="Heading6Char"/>
          <w:i w:val="0"/>
        </w:rPr>
      </w:pPr>
      <w:r w:rsidRPr="001E3377">
        <w:rPr>
          <w:rFonts w:ascii="Candara" w:eastAsia="Times New Roman" w:hAnsi="Candara" w:cs="Times New Roman"/>
          <w:b/>
          <w:i/>
          <w:noProof/>
          <w:sz w:val="20"/>
          <w:szCs w:val="20"/>
          <w:lang w:eastAsia="en-AU"/>
        </w:rPr>
        <w:lastRenderedPageBreak/>
        <w:drawing>
          <wp:anchor distT="0" distB="0" distL="114300" distR="114300" simplePos="0" relativeHeight="251702272" behindDoc="0" locked="0" layoutInCell="1" allowOverlap="1" wp14:anchorId="40BE821C" wp14:editId="5B2979EE">
            <wp:simplePos x="0" y="0"/>
            <wp:positionH relativeFrom="column">
              <wp:posOffset>0</wp:posOffset>
            </wp:positionH>
            <wp:positionV relativeFrom="paragraph">
              <wp:posOffset>229870</wp:posOffset>
            </wp:positionV>
            <wp:extent cx="5908675" cy="7559675"/>
            <wp:effectExtent l="0" t="0" r="0" b="317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867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B12">
        <w:rPr>
          <w:rStyle w:val="Heading6Char"/>
        </w:rPr>
        <w:t>Figure A4.4</w:t>
      </w:r>
      <w:r w:rsidR="00147B12">
        <w:rPr>
          <w:rStyle w:val="Heading6Char"/>
          <w:i w:val="0"/>
        </w:rPr>
        <w:t xml:space="preserve">: </w:t>
      </w:r>
      <w:r w:rsidR="001E3377" w:rsidRPr="00147B12">
        <w:rPr>
          <w:rStyle w:val="Heading6Char"/>
        </w:rPr>
        <w:t>Financial impacts of f-factor associated with network of Powercor</w:t>
      </w:r>
    </w:p>
    <w:p w14:paraId="2AB6C39D" w14:textId="234297F6" w:rsidR="00147B12" w:rsidRPr="00147B12" w:rsidRDefault="00147B12" w:rsidP="001E3377">
      <w:pPr>
        <w:keepNext/>
        <w:keepLines/>
        <w:tabs>
          <w:tab w:val="left" w:pos="1701"/>
        </w:tabs>
        <w:spacing w:before="120" w:after="120" w:line="240" w:lineRule="auto"/>
        <w:ind w:left="1247" w:right="-170" w:hanging="1134"/>
        <w:rPr>
          <w:rStyle w:val="Heading6Char"/>
          <w:i w:val="0"/>
        </w:rPr>
      </w:pPr>
    </w:p>
    <w:p w14:paraId="60493129" w14:textId="77777777" w:rsidR="001E3377" w:rsidRPr="001E3377" w:rsidRDefault="001E3377" w:rsidP="001E3377">
      <w:pPr>
        <w:spacing w:before="200"/>
        <w:rPr>
          <w:rFonts w:ascii="Candara" w:hAnsi="Candara"/>
        </w:rPr>
      </w:pPr>
    </w:p>
    <w:p w14:paraId="72EFCFC7" w14:textId="77777777" w:rsidR="001E3377" w:rsidRPr="001E3377" w:rsidRDefault="001E3377" w:rsidP="001E3377">
      <w:pPr>
        <w:spacing w:before="200"/>
        <w:rPr>
          <w:rFonts w:ascii="Candara" w:hAnsi="Candara"/>
        </w:rPr>
      </w:pPr>
    </w:p>
    <w:p w14:paraId="7502F5FB" w14:textId="77777777" w:rsidR="001E3377" w:rsidRPr="001E3377" w:rsidRDefault="001E3377" w:rsidP="001E3377">
      <w:pPr>
        <w:spacing w:before="200"/>
        <w:rPr>
          <w:rFonts w:ascii="Candara" w:hAnsi="Candara"/>
        </w:rPr>
      </w:pPr>
    </w:p>
    <w:p w14:paraId="0DA3A595" w14:textId="77777777" w:rsidR="001E3377" w:rsidRPr="001E3377" w:rsidRDefault="001E3377" w:rsidP="001E3377">
      <w:pPr>
        <w:spacing w:before="200"/>
        <w:rPr>
          <w:rFonts w:ascii="Candara" w:hAnsi="Candara"/>
        </w:rPr>
      </w:pPr>
    </w:p>
    <w:p w14:paraId="5A14014C" w14:textId="77777777" w:rsidR="001E3377" w:rsidRPr="001E3377" w:rsidRDefault="001E3377" w:rsidP="001E3377">
      <w:pPr>
        <w:spacing w:before="200"/>
        <w:rPr>
          <w:rFonts w:ascii="Candara" w:hAnsi="Candara"/>
        </w:rPr>
      </w:pPr>
    </w:p>
    <w:p w14:paraId="4C8294FA" w14:textId="77777777" w:rsidR="001E3377" w:rsidRPr="001E3377" w:rsidRDefault="001E3377" w:rsidP="001E3377">
      <w:pPr>
        <w:spacing w:before="200"/>
        <w:rPr>
          <w:rFonts w:ascii="Candara" w:hAnsi="Candara"/>
        </w:rPr>
      </w:pPr>
    </w:p>
    <w:p w14:paraId="489A28E4" w14:textId="77777777" w:rsidR="001E3377" w:rsidRPr="001E3377" w:rsidRDefault="001E3377" w:rsidP="001E3377">
      <w:pPr>
        <w:spacing w:before="200"/>
        <w:rPr>
          <w:rFonts w:ascii="Candara" w:hAnsi="Candara"/>
        </w:rPr>
      </w:pPr>
    </w:p>
    <w:p w14:paraId="5D1F8626" w14:textId="77777777" w:rsidR="001E3377" w:rsidRPr="001E3377" w:rsidRDefault="001E3377" w:rsidP="001E3377">
      <w:pPr>
        <w:spacing w:before="200"/>
        <w:rPr>
          <w:rFonts w:ascii="Candara" w:hAnsi="Candara"/>
        </w:rPr>
      </w:pPr>
    </w:p>
    <w:p w14:paraId="1D6A390C" w14:textId="77777777" w:rsidR="001E3377" w:rsidRPr="001E3377" w:rsidRDefault="001E3377" w:rsidP="001E3377">
      <w:pPr>
        <w:spacing w:before="200"/>
        <w:rPr>
          <w:rFonts w:ascii="Candara" w:hAnsi="Candara"/>
        </w:rPr>
      </w:pPr>
    </w:p>
    <w:p w14:paraId="0F1B41A7" w14:textId="77777777" w:rsidR="001E3377" w:rsidRPr="001E3377" w:rsidRDefault="001E3377" w:rsidP="001E3377">
      <w:pPr>
        <w:spacing w:before="200"/>
        <w:rPr>
          <w:rFonts w:ascii="Candara" w:hAnsi="Candara"/>
        </w:rPr>
      </w:pPr>
    </w:p>
    <w:p w14:paraId="23B2514D" w14:textId="77777777" w:rsidR="001E3377" w:rsidRPr="001E3377" w:rsidRDefault="001E3377" w:rsidP="001E3377">
      <w:pPr>
        <w:spacing w:before="200"/>
        <w:rPr>
          <w:rFonts w:ascii="Candara" w:hAnsi="Candara"/>
        </w:rPr>
      </w:pPr>
    </w:p>
    <w:p w14:paraId="0AE5C234" w14:textId="77777777" w:rsidR="001E3377" w:rsidRPr="001E3377" w:rsidRDefault="001E3377" w:rsidP="001E3377">
      <w:pPr>
        <w:spacing w:before="200"/>
        <w:rPr>
          <w:rFonts w:ascii="Candara" w:hAnsi="Candara"/>
        </w:rPr>
      </w:pPr>
    </w:p>
    <w:p w14:paraId="2B580674" w14:textId="77777777" w:rsidR="001E3377" w:rsidRPr="001E3377" w:rsidRDefault="001E3377" w:rsidP="001E3377">
      <w:pPr>
        <w:spacing w:before="200"/>
        <w:rPr>
          <w:rFonts w:ascii="Candara" w:hAnsi="Candara"/>
        </w:rPr>
      </w:pPr>
    </w:p>
    <w:p w14:paraId="6AFC6781" w14:textId="77777777" w:rsidR="001E3377" w:rsidRPr="001E3377" w:rsidRDefault="001E3377" w:rsidP="001E3377">
      <w:pPr>
        <w:spacing w:before="200"/>
        <w:rPr>
          <w:rFonts w:ascii="Candara" w:hAnsi="Candara"/>
        </w:rPr>
      </w:pPr>
    </w:p>
    <w:p w14:paraId="701BB81F" w14:textId="77777777" w:rsidR="001E3377" w:rsidRPr="001E3377" w:rsidRDefault="001E3377" w:rsidP="001E3377">
      <w:pPr>
        <w:spacing w:before="200"/>
        <w:rPr>
          <w:rFonts w:ascii="Candara" w:hAnsi="Candara"/>
        </w:rPr>
      </w:pPr>
    </w:p>
    <w:p w14:paraId="72736BA1" w14:textId="77777777" w:rsidR="001E3377" w:rsidRPr="001E3377" w:rsidRDefault="001E3377" w:rsidP="001E3377">
      <w:pPr>
        <w:spacing w:before="200"/>
        <w:rPr>
          <w:rFonts w:ascii="Candara" w:hAnsi="Candara"/>
        </w:rPr>
      </w:pPr>
    </w:p>
    <w:p w14:paraId="50F4EEC2" w14:textId="77777777" w:rsidR="001E3377" w:rsidRPr="001E3377" w:rsidRDefault="001E3377" w:rsidP="001E3377">
      <w:pPr>
        <w:spacing w:before="200"/>
        <w:rPr>
          <w:rFonts w:ascii="Candara" w:hAnsi="Candara"/>
        </w:rPr>
      </w:pPr>
    </w:p>
    <w:p w14:paraId="5F785846" w14:textId="77777777" w:rsidR="001E3377" w:rsidRPr="001E3377" w:rsidRDefault="001E3377" w:rsidP="001E3377">
      <w:pPr>
        <w:spacing w:before="200"/>
        <w:rPr>
          <w:rFonts w:ascii="Candara" w:hAnsi="Candara"/>
        </w:rPr>
      </w:pPr>
    </w:p>
    <w:p w14:paraId="26DF606E" w14:textId="77777777" w:rsidR="001E3377" w:rsidRPr="001E3377" w:rsidRDefault="001E3377" w:rsidP="001E3377">
      <w:pPr>
        <w:spacing w:before="200"/>
        <w:rPr>
          <w:rFonts w:ascii="Candara" w:hAnsi="Candara"/>
        </w:rPr>
      </w:pPr>
    </w:p>
    <w:p w14:paraId="62831E1F" w14:textId="77777777" w:rsidR="001E3377" w:rsidRPr="001E3377" w:rsidRDefault="001E3377" w:rsidP="001E3377">
      <w:pPr>
        <w:spacing w:after="0" w:line="240" w:lineRule="auto"/>
        <w:rPr>
          <w:rFonts w:ascii="Candara" w:hAnsi="Candara"/>
        </w:rPr>
      </w:pPr>
    </w:p>
    <w:p w14:paraId="5B277403" w14:textId="77777777" w:rsidR="001E3377" w:rsidRPr="001E3377" w:rsidRDefault="001E3377" w:rsidP="001E3377">
      <w:pPr>
        <w:spacing w:after="0" w:line="240" w:lineRule="auto"/>
        <w:rPr>
          <w:rFonts w:ascii="Candara" w:hAnsi="Candara"/>
        </w:rPr>
      </w:pPr>
    </w:p>
    <w:p w14:paraId="139A6E62" w14:textId="77777777" w:rsidR="001E3377" w:rsidRPr="001E3377" w:rsidRDefault="001E3377" w:rsidP="001E3377">
      <w:pPr>
        <w:spacing w:before="200"/>
        <w:rPr>
          <w:rFonts w:ascii="Candara" w:hAnsi="Candara"/>
        </w:rPr>
      </w:pPr>
    </w:p>
    <w:p w14:paraId="26897088" w14:textId="77777777" w:rsidR="001E3377" w:rsidRPr="001E3377" w:rsidRDefault="001E3377" w:rsidP="00425C51">
      <w:pPr>
        <w:spacing w:after="360"/>
        <w:rPr>
          <w:rFonts w:ascii="Candara" w:hAnsi="Candara"/>
        </w:rPr>
      </w:pPr>
    </w:p>
    <w:p w14:paraId="483DA875" w14:textId="77777777" w:rsidR="001E3377" w:rsidRPr="001E3377" w:rsidRDefault="001E3377" w:rsidP="001E3377">
      <w:pPr>
        <w:spacing w:after="0" w:line="240" w:lineRule="auto"/>
        <w:rPr>
          <w:rFonts w:ascii="Candara" w:hAnsi="Candara"/>
          <w:b/>
          <w:bCs/>
          <w:sz w:val="16"/>
          <w:szCs w:val="16"/>
        </w:rPr>
      </w:pPr>
      <w:r w:rsidRPr="001E3377">
        <w:rPr>
          <w:rFonts w:ascii="Candara" w:hAnsi="Candara"/>
          <w:b/>
          <w:bCs/>
          <w:sz w:val="16"/>
          <w:szCs w:val="16"/>
        </w:rPr>
        <w:t>Notes</w:t>
      </w:r>
    </w:p>
    <w:p w14:paraId="00747D87"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1. Customer numbers sourced from publication, State of the Energy Market 2015, Australian Energy Regulator.</w:t>
      </w:r>
    </w:p>
    <w:p w14:paraId="10006289"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2. Average household bill value derived from source data about tariff changes for 2016 published by the AER (https://www.aer.gov.au/news-release/lower-network-charges-for-victorian-electricity-customers-in-2016)</w:t>
      </w:r>
    </w:p>
    <w:p w14:paraId="79D0E7FA"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3. Household impact calculated assuming that 50% of the aggregate payment/penalty is attributable to residential customers and 50% to commercial customers.</w:t>
      </w:r>
    </w:p>
    <w:p w14:paraId="5E604EBA" w14:textId="270DB74C" w:rsidR="001E3377" w:rsidRPr="00147B12" w:rsidRDefault="00425C51" w:rsidP="001E3377">
      <w:pPr>
        <w:keepNext/>
        <w:keepLines/>
        <w:tabs>
          <w:tab w:val="left" w:pos="1701"/>
        </w:tabs>
        <w:spacing w:before="120" w:after="120" w:line="240" w:lineRule="auto"/>
        <w:ind w:left="1247" w:right="-170" w:hanging="1134"/>
        <w:rPr>
          <w:rStyle w:val="Heading6Char"/>
        </w:rPr>
      </w:pPr>
      <w:r w:rsidRPr="00147B12">
        <w:rPr>
          <w:rStyle w:val="Heading6Char"/>
          <w:noProof/>
          <w:lang w:eastAsia="en-AU"/>
        </w:rPr>
        <w:lastRenderedPageBreak/>
        <w:drawing>
          <wp:anchor distT="0" distB="0" distL="114300" distR="114300" simplePos="0" relativeHeight="251703296" behindDoc="0" locked="0" layoutInCell="1" allowOverlap="1" wp14:anchorId="72526A39" wp14:editId="543DAE8F">
            <wp:simplePos x="0" y="0"/>
            <wp:positionH relativeFrom="column">
              <wp:posOffset>0</wp:posOffset>
            </wp:positionH>
            <wp:positionV relativeFrom="paragraph">
              <wp:posOffset>234315</wp:posOffset>
            </wp:positionV>
            <wp:extent cx="6042660" cy="773938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2660" cy="773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377" w:rsidRPr="00147B12">
        <w:rPr>
          <w:rStyle w:val="Heading6Char"/>
        </w:rPr>
        <w:t xml:space="preserve">Figure </w:t>
      </w:r>
      <w:r w:rsidR="00147B12">
        <w:rPr>
          <w:rStyle w:val="Heading6Char"/>
        </w:rPr>
        <w:t>A4.</w:t>
      </w:r>
      <w:r w:rsidR="001E3377" w:rsidRPr="00147B12">
        <w:rPr>
          <w:rStyle w:val="Heading6Char"/>
        </w:rPr>
        <w:t>5</w:t>
      </w:r>
      <w:r w:rsidR="00147B12">
        <w:rPr>
          <w:rStyle w:val="Heading6Char"/>
        </w:rPr>
        <w:t xml:space="preserve">: </w:t>
      </w:r>
      <w:r w:rsidR="001E3377" w:rsidRPr="00147B12">
        <w:rPr>
          <w:rStyle w:val="Heading6Char"/>
        </w:rPr>
        <w:t>Financial impacts of f-factor associated with network of United Energy</w:t>
      </w:r>
    </w:p>
    <w:p w14:paraId="2FB92331" w14:textId="26124C81" w:rsidR="001E3377" w:rsidRPr="001E3377" w:rsidRDefault="001E3377" w:rsidP="001E3377">
      <w:pPr>
        <w:spacing w:before="200"/>
      </w:pPr>
    </w:p>
    <w:p w14:paraId="6C87DEAC" w14:textId="77777777" w:rsidR="001E3377" w:rsidRPr="001E3377" w:rsidRDefault="001E3377" w:rsidP="001E3377">
      <w:pPr>
        <w:spacing w:before="200"/>
      </w:pPr>
    </w:p>
    <w:p w14:paraId="33765E74" w14:textId="77777777" w:rsidR="001E3377" w:rsidRPr="001E3377" w:rsidRDefault="001E3377" w:rsidP="001E3377">
      <w:pPr>
        <w:spacing w:before="200"/>
      </w:pPr>
    </w:p>
    <w:p w14:paraId="5F124641" w14:textId="77777777" w:rsidR="001E3377" w:rsidRPr="001E3377" w:rsidRDefault="001E3377" w:rsidP="001E3377">
      <w:pPr>
        <w:spacing w:before="200"/>
      </w:pPr>
    </w:p>
    <w:p w14:paraId="5B1E1BB4" w14:textId="77777777" w:rsidR="001E3377" w:rsidRPr="001E3377" w:rsidRDefault="001E3377" w:rsidP="001E3377">
      <w:pPr>
        <w:spacing w:before="200"/>
      </w:pPr>
    </w:p>
    <w:p w14:paraId="2D19BE67" w14:textId="77777777" w:rsidR="001E3377" w:rsidRPr="001E3377" w:rsidRDefault="001E3377" w:rsidP="001E3377">
      <w:pPr>
        <w:spacing w:before="200"/>
      </w:pPr>
    </w:p>
    <w:p w14:paraId="4FAA527A" w14:textId="77777777" w:rsidR="001E3377" w:rsidRPr="001E3377" w:rsidRDefault="001E3377" w:rsidP="001E3377">
      <w:pPr>
        <w:spacing w:before="200"/>
      </w:pPr>
    </w:p>
    <w:p w14:paraId="542B0316" w14:textId="77777777" w:rsidR="001E3377" w:rsidRPr="001E3377" w:rsidRDefault="001E3377" w:rsidP="001E3377">
      <w:pPr>
        <w:spacing w:before="200"/>
      </w:pPr>
    </w:p>
    <w:p w14:paraId="11224AFF" w14:textId="77777777" w:rsidR="001E3377" w:rsidRPr="001E3377" w:rsidRDefault="001E3377" w:rsidP="001E3377">
      <w:pPr>
        <w:spacing w:before="200"/>
      </w:pPr>
    </w:p>
    <w:p w14:paraId="6BA3D09B" w14:textId="77777777" w:rsidR="001E3377" w:rsidRPr="001E3377" w:rsidRDefault="001E3377" w:rsidP="001E3377">
      <w:pPr>
        <w:spacing w:before="200"/>
      </w:pPr>
    </w:p>
    <w:p w14:paraId="0686BE74" w14:textId="77777777" w:rsidR="001E3377" w:rsidRPr="001E3377" w:rsidRDefault="001E3377" w:rsidP="001E3377">
      <w:pPr>
        <w:spacing w:before="200"/>
      </w:pPr>
    </w:p>
    <w:p w14:paraId="7A450A14" w14:textId="77777777" w:rsidR="001E3377" w:rsidRPr="001E3377" w:rsidRDefault="001E3377" w:rsidP="001E3377">
      <w:pPr>
        <w:spacing w:before="200"/>
      </w:pPr>
    </w:p>
    <w:p w14:paraId="45A0AC55" w14:textId="77777777" w:rsidR="001E3377" w:rsidRPr="001E3377" w:rsidRDefault="001E3377" w:rsidP="001E3377">
      <w:pPr>
        <w:spacing w:before="200"/>
      </w:pPr>
    </w:p>
    <w:p w14:paraId="40001783" w14:textId="77777777" w:rsidR="001E3377" w:rsidRPr="001E3377" w:rsidRDefault="001E3377" w:rsidP="001E3377">
      <w:pPr>
        <w:spacing w:before="200"/>
      </w:pPr>
    </w:p>
    <w:p w14:paraId="5E92E63D" w14:textId="77777777" w:rsidR="001E3377" w:rsidRPr="001E3377" w:rsidRDefault="001E3377" w:rsidP="001E3377">
      <w:pPr>
        <w:spacing w:before="200"/>
      </w:pPr>
    </w:p>
    <w:p w14:paraId="44979058" w14:textId="77777777" w:rsidR="001E3377" w:rsidRPr="001E3377" w:rsidRDefault="001E3377" w:rsidP="001E3377">
      <w:pPr>
        <w:spacing w:before="200"/>
      </w:pPr>
    </w:p>
    <w:p w14:paraId="0589662D" w14:textId="77777777" w:rsidR="001E3377" w:rsidRPr="001E3377" w:rsidRDefault="001E3377" w:rsidP="001E3377">
      <w:pPr>
        <w:spacing w:before="200"/>
      </w:pPr>
    </w:p>
    <w:p w14:paraId="03217689" w14:textId="77777777" w:rsidR="001E3377" w:rsidRPr="001E3377" w:rsidRDefault="001E3377" w:rsidP="001E3377">
      <w:pPr>
        <w:spacing w:before="200"/>
      </w:pPr>
    </w:p>
    <w:p w14:paraId="35CD235D" w14:textId="77777777" w:rsidR="001E3377" w:rsidRPr="001E3377" w:rsidRDefault="001E3377" w:rsidP="001E3377">
      <w:pPr>
        <w:spacing w:before="200"/>
      </w:pPr>
    </w:p>
    <w:p w14:paraId="19D2661B" w14:textId="77777777" w:rsidR="001E3377" w:rsidRPr="001E3377" w:rsidRDefault="001E3377" w:rsidP="001E3377">
      <w:pPr>
        <w:spacing w:after="0" w:line="240" w:lineRule="auto"/>
      </w:pPr>
    </w:p>
    <w:p w14:paraId="37A3D095" w14:textId="77777777" w:rsidR="001E3377" w:rsidRPr="001E3377" w:rsidRDefault="001E3377" w:rsidP="001E3377">
      <w:pPr>
        <w:spacing w:after="0" w:line="240" w:lineRule="auto"/>
      </w:pPr>
    </w:p>
    <w:p w14:paraId="2285B581" w14:textId="77777777" w:rsidR="001E3377" w:rsidRPr="001E3377" w:rsidRDefault="001E3377" w:rsidP="001E3377">
      <w:pPr>
        <w:spacing w:before="200"/>
      </w:pPr>
    </w:p>
    <w:p w14:paraId="7E90D360" w14:textId="77777777" w:rsidR="001E3377" w:rsidRPr="001E3377" w:rsidRDefault="001E3377" w:rsidP="001E3377">
      <w:pPr>
        <w:spacing w:after="0"/>
      </w:pPr>
    </w:p>
    <w:p w14:paraId="150A0EF3" w14:textId="77777777" w:rsidR="001E3377" w:rsidRPr="001E3377" w:rsidRDefault="001E3377" w:rsidP="001E3377">
      <w:pPr>
        <w:spacing w:before="200"/>
      </w:pPr>
    </w:p>
    <w:p w14:paraId="3DEC4A88" w14:textId="77777777" w:rsidR="001E3377" w:rsidRPr="001E3377" w:rsidRDefault="001E3377" w:rsidP="001E3377">
      <w:pPr>
        <w:spacing w:after="0" w:line="240" w:lineRule="auto"/>
      </w:pPr>
    </w:p>
    <w:p w14:paraId="2CF41D79" w14:textId="77777777" w:rsidR="001E3377" w:rsidRPr="001E3377" w:rsidRDefault="001E3377" w:rsidP="001E3377">
      <w:pPr>
        <w:spacing w:after="0" w:line="240" w:lineRule="auto"/>
        <w:rPr>
          <w:b/>
          <w:bCs/>
          <w:sz w:val="16"/>
          <w:szCs w:val="16"/>
        </w:rPr>
      </w:pPr>
      <w:r w:rsidRPr="001E3377">
        <w:rPr>
          <w:b/>
          <w:bCs/>
          <w:sz w:val="16"/>
          <w:szCs w:val="16"/>
        </w:rPr>
        <w:t>Notes</w:t>
      </w:r>
    </w:p>
    <w:p w14:paraId="2C1B6B2C"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1. Customer numbers sourced from publication, State of the Energy Market 2015, Australian Energy Regulator.</w:t>
      </w:r>
    </w:p>
    <w:p w14:paraId="32EB4403"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2. Average household bill value derived from source data about tariff changes for 2016 published by the AER (https://www.aer.gov.au/news-release/lower-network-charges-for-victorian-electricity-customers-in-2016)</w:t>
      </w:r>
    </w:p>
    <w:p w14:paraId="069CF671" w14:textId="77777777" w:rsidR="001E3377" w:rsidRPr="001E3377" w:rsidRDefault="001E3377" w:rsidP="001E3377">
      <w:pPr>
        <w:spacing w:after="0" w:line="240" w:lineRule="auto"/>
        <w:rPr>
          <w:rFonts w:ascii="Candara" w:hAnsi="Candara"/>
          <w:sz w:val="16"/>
          <w:szCs w:val="16"/>
        </w:rPr>
      </w:pPr>
      <w:r w:rsidRPr="001E3377">
        <w:rPr>
          <w:rFonts w:ascii="Candara" w:hAnsi="Candara"/>
          <w:sz w:val="16"/>
          <w:szCs w:val="16"/>
        </w:rPr>
        <w:t>3. Household impact calculated assuming that 50% of the aggregate payment/penalty is attributable to residential customers and 50% to commercial customers.</w:t>
      </w:r>
    </w:p>
    <w:p w14:paraId="4EA70E3D" w14:textId="77777777" w:rsidR="001E3377" w:rsidRPr="001E3377" w:rsidRDefault="001E3377" w:rsidP="00425C51">
      <w:pPr>
        <w:spacing w:before="200"/>
        <w:ind w:right="-567"/>
        <w:rPr>
          <w:rFonts w:ascii="Candara" w:hAnsi="Candara"/>
        </w:rPr>
      </w:pPr>
      <w:r w:rsidRPr="001E3377">
        <w:rPr>
          <w:rFonts w:ascii="Candara" w:hAnsi="Candara"/>
        </w:rPr>
        <w:lastRenderedPageBreak/>
        <w:t>These figures were used to compare Incentive Rate price points under the modelled weather scenarios to the actual payment/penalty history of DBs under the original f-factor operating (2012 to 2015).</w:t>
      </w:r>
    </w:p>
    <w:p w14:paraId="79DA150C" w14:textId="77777777" w:rsidR="001E3377" w:rsidRPr="001E3377" w:rsidRDefault="001E3377" w:rsidP="001E3377">
      <w:pPr>
        <w:spacing w:before="200" w:after="60"/>
        <w:rPr>
          <w:rFonts w:ascii="Candara" w:hAnsi="Candara"/>
        </w:rPr>
      </w:pPr>
      <w:r w:rsidRPr="001E3377">
        <w:rPr>
          <w:rFonts w:ascii="Candara" w:hAnsi="Candara"/>
        </w:rPr>
        <w:t>Table1 below shows information associated with the current f-factor scheme, highlighting:</w:t>
      </w:r>
    </w:p>
    <w:p w14:paraId="3E6653DD" w14:textId="77777777" w:rsidR="001E3377" w:rsidRPr="001E3377" w:rsidRDefault="001E3377" w:rsidP="00BB41A4">
      <w:pPr>
        <w:numPr>
          <w:ilvl w:val="0"/>
          <w:numId w:val="30"/>
        </w:numPr>
        <w:spacing w:after="60" w:line="240" w:lineRule="auto"/>
        <w:ind w:left="714" w:hanging="357"/>
        <w:rPr>
          <w:rFonts w:ascii="Candara" w:hAnsi="Candara"/>
        </w:rPr>
      </w:pPr>
      <w:r w:rsidRPr="001E3377">
        <w:rPr>
          <w:rFonts w:ascii="Candara" w:hAnsi="Candara"/>
        </w:rPr>
        <w:t>The annual benchmark against which ignition outcomes have been assessed for each DB (e.g. 256.8 for AusNet Services);</w:t>
      </w:r>
    </w:p>
    <w:p w14:paraId="76AC0B57" w14:textId="77777777" w:rsidR="001E3377" w:rsidRPr="001E3377" w:rsidRDefault="001E3377" w:rsidP="00BB41A4">
      <w:pPr>
        <w:numPr>
          <w:ilvl w:val="0"/>
          <w:numId w:val="30"/>
        </w:numPr>
        <w:spacing w:after="60" w:line="240" w:lineRule="auto"/>
        <w:ind w:left="714" w:hanging="357"/>
        <w:rPr>
          <w:rFonts w:ascii="Candara" w:hAnsi="Candara"/>
        </w:rPr>
      </w:pPr>
      <w:r w:rsidRPr="001E3377">
        <w:rPr>
          <w:rFonts w:ascii="Candara" w:hAnsi="Candara"/>
        </w:rPr>
        <w:t>The actual count of ignition for each DB in each of the past four years (e.g. there were 54 ignitions on the Jemena network in 2015);</w:t>
      </w:r>
    </w:p>
    <w:p w14:paraId="413C0270" w14:textId="77777777" w:rsidR="001E3377" w:rsidRPr="001E3377" w:rsidRDefault="001E3377" w:rsidP="00BB41A4">
      <w:pPr>
        <w:numPr>
          <w:ilvl w:val="0"/>
          <w:numId w:val="30"/>
        </w:numPr>
        <w:spacing w:after="60" w:line="240" w:lineRule="auto"/>
        <w:ind w:left="714" w:hanging="357"/>
        <w:rPr>
          <w:rFonts w:ascii="Candara" w:hAnsi="Candara"/>
        </w:rPr>
      </w:pPr>
      <w:r w:rsidRPr="001E3377">
        <w:rPr>
          <w:rFonts w:ascii="Candara" w:hAnsi="Candara"/>
        </w:rPr>
        <w:t>The maximum payment to each DB over the four year ([ignition count – benchmark] x $25,000) – e.g. $2.470 million paid to Powercor;</w:t>
      </w:r>
    </w:p>
    <w:p w14:paraId="363669DD" w14:textId="77777777" w:rsidR="001E3377" w:rsidRPr="001E3377" w:rsidRDefault="001E3377" w:rsidP="00BB41A4">
      <w:pPr>
        <w:numPr>
          <w:ilvl w:val="0"/>
          <w:numId w:val="30"/>
        </w:numPr>
        <w:spacing w:after="60" w:line="240" w:lineRule="auto"/>
        <w:ind w:left="714" w:hanging="357"/>
        <w:rPr>
          <w:rFonts w:ascii="Candara" w:hAnsi="Candara"/>
        </w:rPr>
      </w:pPr>
      <w:r w:rsidRPr="001E3377">
        <w:rPr>
          <w:rFonts w:ascii="Candara" w:hAnsi="Candara"/>
        </w:rPr>
        <w:t>The annual change to annual household bills attributable to that payment (e.g. $1.61 per household for Powercor); and</w:t>
      </w:r>
    </w:p>
    <w:p w14:paraId="608821B1" w14:textId="77777777" w:rsidR="001E3377" w:rsidRPr="001E3377" w:rsidRDefault="001E3377" w:rsidP="00BB41A4">
      <w:pPr>
        <w:numPr>
          <w:ilvl w:val="0"/>
          <w:numId w:val="30"/>
        </w:numPr>
        <w:spacing w:after="60" w:line="240" w:lineRule="auto"/>
        <w:ind w:left="714" w:hanging="357"/>
        <w:rPr>
          <w:rFonts w:ascii="Candara" w:hAnsi="Candara"/>
        </w:rPr>
      </w:pPr>
      <w:r w:rsidRPr="001E3377">
        <w:rPr>
          <w:rFonts w:ascii="Candara" w:hAnsi="Candara"/>
        </w:rPr>
        <w:t>The maximum penalty payable by each DB over the four years ([ignition count – benchmark] x $25,000) – e.g. $2.245 million paid by United Energy.</w:t>
      </w:r>
    </w:p>
    <w:p w14:paraId="61817E68" w14:textId="20AB73CE" w:rsidR="001E3377" w:rsidRPr="001E3377" w:rsidRDefault="00147B12" w:rsidP="001E3377">
      <w:pPr>
        <w:keepNext/>
        <w:keepLines/>
        <w:tabs>
          <w:tab w:val="left" w:pos="1701"/>
        </w:tabs>
        <w:spacing w:before="180" w:after="120" w:line="240" w:lineRule="auto"/>
        <w:ind w:left="851" w:hanging="851"/>
        <w:rPr>
          <w:rFonts w:ascii="Candara" w:eastAsia="Times New Roman" w:hAnsi="Candara" w:cs="Times New Roman"/>
          <w:i/>
          <w:sz w:val="20"/>
          <w:szCs w:val="20"/>
        </w:rPr>
      </w:pPr>
      <w:r>
        <w:rPr>
          <w:rStyle w:val="Heading6Char"/>
        </w:rPr>
        <w:t>Figure A4.6</w:t>
      </w:r>
      <w:r>
        <w:rPr>
          <w:rStyle w:val="Heading6Char"/>
          <w:i w:val="0"/>
        </w:rPr>
        <w:t>:</w:t>
      </w:r>
      <w:r>
        <w:rPr>
          <w:rFonts w:ascii="Candara" w:eastAsia="Times New Roman" w:hAnsi="Candara" w:cs="Times New Roman"/>
          <w:i/>
          <w:sz w:val="20"/>
          <w:szCs w:val="20"/>
        </w:rPr>
        <w:t xml:space="preserve"> </w:t>
      </w:r>
      <w:r w:rsidR="001E3377" w:rsidRPr="00147B12">
        <w:rPr>
          <w:rStyle w:val="Heading6Char"/>
        </w:rPr>
        <w:t>Ignition performance (2012 to 2015) and maximum penalties and payments</w:t>
      </w:r>
    </w:p>
    <w:tbl>
      <w:tblPr>
        <w:tblW w:w="8388" w:type="dxa"/>
        <w:tblInd w:w="93" w:type="dxa"/>
        <w:tblLook w:val="04A0" w:firstRow="1" w:lastRow="0" w:firstColumn="1" w:lastColumn="0" w:noHBand="0" w:noVBand="1"/>
      </w:tblPr>
      <w:tblGrid>
        <w:gridCol w:w="1110"/>
        <w:gridCol w:w="1062"/>
        <w:gridCol w:w="638"/>
        <w:gridCol w:w="638"/>
        <w:gridCol w:w="638"/>
        <w:gridCol w:w="638"/>
        <w:gridCol w:w="979"/>
        <w:gridCol w:w="916"/>
        <w:gridCol w:w="916"/>
        <w:gridCol w:w="979"/>
      </w:tblGrid>
      <w:tr w:rsidR="001E3377" w:rsidRPr="001E3377" w14:paraId="30F9A9B5" w14:textId="77777777" w:rsidTr="00B172D3">
        <w:trPr>
          <w:trHeight w:val="239"/>
        </w:trPr>
        <w:tc>
          <w:tcPr>
            <w:tcW w:w="1387"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3FDB4654"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Distribution business</w:t>
            </w:r>
          </w:p>
        </w:tc>
        <w:tc>
          <w:tcPr>
            <w:tcW w:w="988"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5A25E998"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Benchmark target</w:t>
            </w:r>
          </w:p>
        </w:tc>
        <w:tc>
          <w:tcPr>
            <w:tcW w:w="663"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7B7F4754"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No. of fire starts in 2012</w:t>
            </w:r>
          </w:p>
        </w:tc>
        <w:tc>
          <w:tcPr>
            <w:tcW w:w="663"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5CE05CEC"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No. of fire starts in 2013</w:t>
            </w:r>
          </w:p>
        </w:tc>
        <w:tc>
          <w:tcPr>
            <w:tcW w:w="663"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2659A9DF"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No. of fire starts in 2014</w:t>
            </w:r>
          </w:p>
        </w:tc>
        <w:tc>
          <w:tcPr>
            <w:tcW w:w="663" w:type="dxa"/>
            <w:vMerge w:val="restart"/>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58D68536"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No. of fire starts in 2015</w:t>
            </w:r>
          </w:p>
        </w:tc>
        <w:tc>
          <w:tcPr>
            <w:tcW w:w="2508" w:type="dxa"/>
            <w:gridSpan w:val="3"/>
            <w:tcBorders>
              <w:top w:val="nil"/>
              <w:left w:val="nil"/>
              <w:bottom w:val="nil"/>
              <w:right w:val="single" w:sz="4" w:space="0" w:color="A6A6A6"/>
            </w:tcBorders>
            <w:shd w:val="clear" w:color="auto" w:fill="365F91" w:themeFill="accent1" w:themeFillShade="BF"/>
            <w:vAlign w:val="center"/>
            <w:hideMark/>
          </w:tcPr>
          <w:p w14:paraId="38C1411C" w14:textId="77777777" w:rsidR="001E3377" w:rsidRPr="001E3377" w:rsidRDefault="001E3377" w:rsidP="001E3377">
            <w:pPr>
              <w:spacing w:after="0" w:line="240" w:lineRule="auto"/>
              <w:jc w:val="center"/>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Payment</w:t>
            </w:r>
          </w:p>
        </w:tc>
        <w:tc>
          <w:tcPr>
            <w:tcW w:w="852" w:type="dxa"/>
            <w:tcBorders>
              <w:top w:val="nil"/>
              <w:left w:val="nil"/>
              <w:bottom w:val="nil"/>
              <w:right w:val="single" w:sz="4" w:space="0" w:color="A6A6A6"/>
            </w:tcBorders>
            <w:shd w:val="clear" w:color="auto" w:fill="365F91" w:themeFill="accent1" w:themeFillShade="BF"/>
            <w:vAlign w:val="center"/>
            <w:hideMark/>
          </w:tcPr>
          <w:p w14:paraId="68EB9680" w14:textId="77777777" w:rsidR="001E3377" w:rsidRPr="001E3377" w:rsidRDefault="001E3377" w:rsidP="001E3377">
            <w:pPr>
              <w:spacing w:after="0" w:line="240" w:lineRule="auto"/>
              <w:jc w:val="center"/>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Penalty</w:t>
            </w:r>
          </w:p>
        </w:tc>
      </w:tr>
      <w:tr w:rsidR="001E3377" w:rsidRPr="001E3377" w14:paraId="637D1679" w14:textId="77777777" w:rsidTr="00B172D3">
        <w:trPr>
          <w:trHeight w:val="1121"/>
        </w:trPr>
        <w:tc>
          <w:tcPr>
            <w:tcW w:w="1387"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74F04C3C"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988"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41A97E93"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663"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1E69B315"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663"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5807F2C3"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663"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43F8FD47"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663" w:type="dxa"/>
            <w:vMerge/>
            <w:tcBorders>
              <w:top w:val="single" w:sz="4" w:space="0" w:color="A6A6A6"/>
              <w:left w:val="single" w:sz="4" w:space="0" w:color="A6A6A6"/>
              <w:bottom w:val="single" w:sz="4" w:space="0" w:color="A6A6A6"/>
              <w:right w:val="single" w:sz="4" w:space="0" w:color="A6A6A6"/>
            </w:tcBorders>
            <w:shd w:val="clear" w:color="auto" w:fill="365F91" w:themeFill="accent1" w:themeFillShade="BF"/>
            <w:vAlign w:val="center"/>
            <w:hideMark/>
          </w:tcPr>
          <w:p w14:paraId="42196FD9"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p>
        </w:tc>
        <w:tc>
          <w:tcPr>
            <w:tcW w:w="852" w:type="dxa"/>
            <w:tcBorders>
              <w:top w:val="single" w:sz="4" w:space="0" w:color="A6A6A6"/>
              <w:left w:val="nil"/>
              <w:bottom w:val="single" w:sz="4" w:space="0" w:color="A6A6A6"/>
              <w:right w:val="single" w:sz="4" w:space="0" w:color="A6A6A6"/>
            </w:tcBorders>
            <w:shd w:val="clear" w:color="auto" w:fill="365F91" w:themeFill="accent1" w:themeFillShade="BF"/>
            <w:vAlign w:val="center"/>
            <w:hideMark/>
          </w:tcPr>
          <w:p w14:paraId="64E4B69D" w14:textId="77777777" w:rsidR="001E3377" w:rsidRPr="001E3377" w:rsidRDefault="001E3377" w:rsidP="001E3377">
            <w:pPr>
              <w:spacing w:after="0" w:line="240" w:lineRule="auto"/>
              <w:jc w:val="center"/>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xml:space="preserve">Maximum </w:t>
            </w:r>
            <w:r w:rsidRPr="001E3377">
              <w:rPr>
                <w:rFonts w:ascii="Calibri" w:eastAsia="Times New Roman" w:hAnsi="Calibri" w:cs="Times New Roman"/>
                <w:b/>
                <w:bCs/>
                <w:color w:val="FFFFFF"/>
                <w:sz w:val="18"/>
                <w:szCs w:val="18"/>
                <w:lang w:eastAsia="en-AU"/>
              </w:rPr>
              <w:br/>
              <w:t>($m)</w:t>
            </w:r>
          </w:p>
        </w:tc>
        <w:tc>
          <w:tcPr>
            <w:tcW w:w="812" w:type="dxa"/>
            <w:tcBorders>
              <w:top w:val="single" w:sz="4" w:space="0" w:color="A6A6A6"/>
              <w:left w:val="nil"/>
              <w:bottom w:val="single" w:sz="4" w:space="0" w:color="A6A6A6"/>
              <w:right w:val="single" w:sz="4" w:space="0" w:color="A6A6A6"/>
            </w:tcBorders>
            <w:shd w:val="clear" w:color="auto" w:fill="365F91" w:themeFill="accent1" w:themeFillShade="BF"/>
            <w:vAlign w:val="center"/>
            <w:hideMark/>
          </w:tcPr>
          <w:p w14:paraId="353E9C9F" w14:textId="77777777" w:rsidR="001E3377" w:rsidRPr="001E3377" w:rsidRDefault="001E3377" w:rsidP="001E3377">
            <w:pPr>
              <w:spacing w:after="0" w:line="240" w:lineRule="auto"/>
              <w:jc w:val="center"/>
              <w:rPr>
                <w:rFonts w:ascii="Calibri" w:eastAsia="Times New Roman" w:hAnsi="Calibri" w:cs="Times New Roman"/>
                <w:b/>
                <w:bCs/>
                <w:color w:val="FFFFFF"/>
                <w:sz w:val="16"/>
                <w:szCs w:val="16"/>
                <w:lang w:eastAsia="en-AU"/>
              </w:rPr>
            </w:pPr>
            <w:r w:rsidRPr="001E3377">
              <w:rPr>
                <w:rFonts w:ascii="Calibri" w:eastAsia="Times New Roman" w:hAnsi="Calibri" w:cs="Times New Roman"/>
                <w:b/>
                <w:bCs/>
                <w:color w:val="FFFFFF"/>
                <w:sz w:val="16"/>
                <w:szCs w:val="16"/>
                <w:lang w:eastAsia="en-AU"/>
              </w:rPr>
              <w:t xml:space="preserve">change in average household </w:t>
            </w:r>
            <w:r w:rsidRPr="001E3377">
              <w:rPr>
                <w:rFonts w:ascii="Calibri" w:eastAsia="Times New Roman" w:hAnsi="Calibri" w:cs="Times New Roman"/>
                <w:b/>
                <w:bCs/>
                <w:color w:val="FFFFFF"/>
                <w:sz w:val="16"/>
                <w:szCs w:val="16"/>
                <w:lang w:eastAsia="en-AU"/>
              </w:rPr>
              <w:br/>
              <w:t>bill ($)</w:t>
            </w:r>
          </w:p>
        </w:tc>
        <w:tc>
          <w:tcPr>
            <w:tcW w:w="845" w:type="dxa"/>
            <w:tcBorders>
              <w:top w:val="single" w:sz="4" w:space="0" w:color="A6A6A6"/>
              <w:left w:val="nil"/>
              <w:bottom w:val="single" w:sz="4" w:space="0" w:color="A6A6A6"/>
              <w:right w:val="single" w:sz="4" w:space="0" w:color="A6A6A6"/>
            </w:tcBorders>
            <w:shd w:val="clear" w:color="auto" w:fill="365F91" w:themeFill="accent1" w:themeFillShade="BF"/>
            <w:vAlign w:val="center"/>
            <w:hideMark/>
          </w:tcPr>
          <w:p w14:paraId="3E0B55B4" w14:textId="77777777" w:rsidR="001E3377" w:rsidRPr="001E3377" w:rsidRDefault="001E3377" w:rsidP="001E3377">
            <w:pPr>
              <w:spacing w:after="0" w:line="240" w:lineRule="auto"/>
              <w:jc w:val="center"/>
              <w:rPr>
                <w:rFonts w:ascii="Calibri" w:eastAsia="Times New Roman" w:hAnsi="Calibri" w:cs="Times New Roman"/>
                <w:b/>
                <w:bCs/>
                <w:color w:val="FFFFFF"/>
                <w:sz w:val="16"/>
                <w:szCs w:val="16"/>
                <w:lang w:eastAsia="en-AU"/>
              </w:rPr>
            </w:pPr>
            <w:r w:rsidRPr="001E3377">
              <w:rPr>
                <w:rFonts w:ascii="Calibri" w:eastAsia="Times New Roman" w:hAnsi="Calibri" w:cs="Times New Roman"/>
                <w:b/>
                <w:bCs/>
                <w:color w:val="FFFFFF"/>
                <w:sz w:val="16"/>
                <w:szCs w:val="16"/>
                <w:lang w:eastAsia="en-AU"/>
              </w:rPr>
              <w:t xml:space="preserve">% change in average household </w:t>
            </w:r>
            <w:r w:rsidRPr="001E3377">
              <w:rPr>
                <w:rFonts w:ascii="Calibri" w:eastAsia="Times New Roman" w:hAnsi="Calibri" w:cs="Times New Roman"/>
                <w:b/>
                <w:bCs/>
                <w:color w:val="FFFFFF"/>
                <w:sz w:val="16"/>
                <w:szCs w:val="16"/>
                <w:lang w:eastAsia="en-AU"/>
              </w:rPr>
              <w:br/>
              <w:t>bill ($)</w:t>
            </w:r>
          </w:p>
        </w:tc>
        <w:tc>
          <w:tcPr>
            <w:tcW w:w="852" w:type="dxa"/>
            <w:tcBorders>
              <w:top w:val="nil"/>
              <w:left w:val="nil"/>
              <w:bottom w:val="single" w:sz="4" w:space="0" w:color="A6A6A6"/>
              <w:right w:val="single" w:sz="4" w:space="0" w:color="A6A6A6"/>
            </w:tcBorders>
            <w:shd w:val="clear" w:color="auto" w:fill="365F91" w:themeFill="accent1" w:themeFillShade="BF"/>
            <w:vAlign w:val="center"/>
            <w:hideMark/>
          </w:tcPr>
          <w:p w14:paraId="53E3C157" w14:textId="77777777" w:rsidR="001E3377" w:rsidRPr="001E3377" w:rsidRDefault="001E3377" w:rsidP="001E3377">
            <w:pPr>
              <w:spacing w:after="0" w:line="240" w:lineRule="auto"/>
              <w:jc w:val="center"/>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xml:space="preserve">Maximum </w:t>
            </w:r>
            <w:r w:rsidRPr="001E3377">
              <w:rPr>
                <w:rFonts w:ascii="Calibri" w:eastAsia="Times New Roman" w:hAnsi="Calibri" w:cs="Times New Roman"/>
                <w:b/>
                <w:bCs/>
                <w:color w:val="FFFFFF"/>
                <w:sz w:val="18"/>
                <w:szCs w:val="18"/>
                <w:lang w:eastAsia="en-AU"/>
              </w:rPr>
              <w:br/>
              <w:t>($m)</w:t>
            </w:r>
          </w:p>
        </w:tc>
      </w:tr>
      <w:tr w:rsidR="001E3377" w:rsidRPr="001E3377" w14:paraId="345DBD35" w14:textId="77777777" w:rsidTr="00B172D3">
        <w:trPr>
          <w:trHeight w:val="400"/>
        </w:trPr>
        <w:tc>
          <w:tcPr>
            <w:tcW w:w="1387" w:type="dxa"/>
            <w:tcBorders>
              <w:top w:val="single" w:sz="4" w:space="0" w:color="A6A6A6"/>
              <w:left w:val="single" w:sz="4" w:space="0" w:color="A6A6A6"/>
              <w:bottom w:val="single" w:sz="4" w:space="0" w:color="A6A6A6"/>
              <w:right w:val="single" w:sz="4" w:space="0" w:color="A6A6A6"/>
            </w:tcBorders>
            <w:shd w:val="clear" w:color="000000" w:fill="365F91" w:themeFill="accent1" w:themeFillShade="BF"/>
            <w:vAlign w:val="center"/>
            <w:hideMark/>
          </w:tcPr>
          <w:p w14:paraId="50D40110"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AusNet Services</w:t>
            </w:r>
          </w:p>
        </w:tc>
        <w:tc>
          <w:tcPr>
            <w:tcW w:w="988" w:type="dxa"/>
            <w:tcBorders>
              <w:top w:val="single" w:sz="4" w:space="0" w:color="A6A6A6"/>
              <w:left w:val="nil"/>
              <w:bottom w:val="single" w:sz="4" w:space="0" w:color="A6A6A6"/>
              <w:right w:val="single" w:sz="4" w:space="0" w:color="A6A6A6"/>
            </w:tcBorders>
            <w:shd w:val="clear" w:color="auto" w:fill="auto"/>
            <w:vAlign w:val="center"/>
            <w:hideMark/>
          </w:tcPr>
          <w:p w14:paraId="7039AC3C"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256.8</w:t>
            </w:r>
          </w:p>
        </w:tc>
        <w:tc>
          <w:tcPr>
            <w:tcW w:w="663" w:type="dxa"/>
            <w:tcBorders>
              <w:top w:val="single" w:sz="4" w:space="0" w:color="A6A6A6"/>
              <w:left w:val="nil"/>
              <w:bottom w:val="single" w:sz="4" w:space="0" w:color="A6A6A6"/>
              <w:right w:val="single" w:sz="4" w:space="0" w:color="A6A6A6"/>
            </w:tcBorders>
            <w:shd w:val="clear" w:color="auto" w:fill="auto"/>
            <w:vAlign w:val="center"/>
            <w:hideMark/>
          </w:tcPr>
          <w:p w14:paraId="6F916970"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178</w:t>
            </w:r>
          </w:p>
        </w:tc>
        <w:tc>
          <w:tcPr>
            <w:tcW w:w="663" w:type="dxa"/>
            <w:tcBorders>
              <w:top w:val="single" w:sz="4" w:space="0" w:color="A6A6A6"/>
              <w:left w:val="nil"/>
              <w:bottom w:val="single" w:sz="4" w:space="0" w:color="A6A6A6"/>
              <w:right w:val="single" w:sz="4" w:space="0" w:color="A6A6A6"/>
            </w:tcBorders>
            <w:shd w:val="clear" w:color="auto" w:fill="auto"/>
            <w:vAlign w:val="center"/>
            <w:hideMark/>
          </w:tcPr>
          <w:p w14:paraId="3886E041"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176</w:t>
            </w:r>
          </w:p>
        </w:tc>
        <w:tc>
          <w:tcPr>
            <w:tcW w:w="663" w:type="dxa"/>
            <w:tcBorders>
              <w:top w:val="single" w:sz="4" w:space="0" w:color="A6A6A6"/>
              <w:left w:val="nil"/>
              <w:bottom w:val="single" w:sz="4" w:space="0" w:color="A6A6A6"/>
              <w:right w:val="single" w:sz="4" w:space="0" w:color="A6A6A6"/>
            </w:tcBorders>
            <w:shd w:val="clear" w:color="auto" w:fill="auto"/>
            <w:vAlign w:val="center"/>
            <w:hideMark/>
          </w:tcPr>
          <w:p w14:paraId="2955ED1D"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182</w:t>
            </w:r>
          </w:p>
        </w:tc>
        <w:tc>
          <w:tcPr>
            <w:tcW w:w="663" w:type="dxa"/>
            <w:tcBorders>
              <w:top w:val="single" w:sz="4" w:space="0" w:color="A6A6A6"/>
              <w:left w:val="nil"/>
              <w:bottom w:val="single" w:sz="4" w:space="0" w:color="A6A6A6"/>
              <w:right w:val="single" w:sz="4" w:space="0" w:color="A6A6A6"/>
            </w:tcBorders>
            <w:shd w:val="clear" w:color="auto" w:fill="auto"/>
            <w:vAlign w:val="center"/>
            <w:hideMark/>
          </w:tcPr>
          <w:p w14:paraId="607640A8"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120</w:t>
            </w:r>
          </w:p>
        </w:tc>
        <w:tc>
          <w:tcPr>
            <w:tcW w:w="852" w:type="dxa"/>
            <w:tcBorders>
              <w:top w:val="single" w:sz="4" w:space="0" w:color="A6A6A6"/>
              <w:left w:val="nil"/>
              <w:bottom w:val="single" w:sz="4" w:space="0" w:color="A6A6A6"/>
              <w:right w:val="single" w:sz="4" w:space="0" w:color="A6A6A6"/>
            </w:tcBorders>
            <w:shd w:val="clear" w:color="auto" w:fill="auto"/>
            <w:vAlign w:val="center"/>
            <w:hideMark/>
          </w:tcPr>
          <w:p w14:paraId="339B660B"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$3.420</w:t>
            </w:r>
          </w:p>
        </w:tc>
        <w:tc>
          <w:tcPr>
            <w:tcW w:w="812" w:type="dxa"/>
            <w:tcBorders>
              <w:top w:val="single" w:sz="4" w:space="0" w:color="A6A6A6"/>
              <w:left w:val="nil"/>
              <w:bottom w:val="single" w:sz="4" w:space="0" w:color="A6A6A6"/>
              <w:right w:val="single" w:sz="4" w:space="0" w:color="A6A6A6"/>
            </w:tcBorders>
            <w:shd w:val="clear" w:color="auto" w:fill="auto"/>
            <w:vAlign w:val="center"/>
            <w:hideMark/>
          </w:tcPr>
          <w:p w14:paraId="6BA674E2"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$2.50</w:t>
            </w:r>
          </w:p>
        </w:tc>
        <w:tc>
          <w:tcPr>
            <w:tcW w:w="845" w:type="dxa"/>
            <w:tcBorders>
              <w:top w:val="single" w:sz="4" w:space="0" w:color="A6A6A6"/>
              <w:left w:val="nil"/>
              <w:bottom w:val="single" w:sz="4" w:space="0" w:color="A6A6A6"/>
              <w:right w:val="single" w:sz="4" w:space="0" w:color="A6A6A6"/>
            </w:tcBorders>
            <w:shd w:val="clear" w:color="auto" w:fill="auto"/>
            <w:vAlign w:val="center"/>
            <w:hideMark/>
          </w:tcPr>
          <w:p w14:paraId="6BDEE77A"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0.15%</w:t>
            </w:r>
          </w:p>
        </w:tc>
        <w:tc>
          <w:tcPr>
            <w:tcW w:w="852" w:type="dxa"/>
            <w:tcBorders>
              <w:top w:val="single" w:sz="4" w:space="0" w:color="A6A6A6"/>
              <w:left w:val="nil"/>
              <w:bottom w:val="single" w:sz="4" w:space="0" w:color="A6A6A6"/>
              <w:right w:val="single" w:sz="4" w:space="0" w:color="A6A6A6"/>
            </w:tcBorders>
            <w:shd w:val="clear" w:color="auto" w:fill="auto"/>
            <w:vAlign w:val="center"/>
            <w:hideMark/>
          </w:tcPr>
          <w:p w14:paraId="61632A61" w14:textId="77777777" w:rsidR="001E3377" w:rsidRPr="001E3377" w:rsidRDefault="001E3377" w:rsidP="001E3377">
            <w:pPr>
              <w:spacing w:after="0" w:line="240" w:lineRule="auto"/>
              <w:jc w:val="center"/>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N/A</w:t>
            </w:r>
          </w:p>
        </w:tc>
      </w:tr>
      <w:tr w:rsidR="001E3377" w:rsidRPr="001E3377" w14:paraId="3F2C8AC5" w14:textId="77777777" w:rsidTr="00B172D3">
        <w:trPr>
          <w:trHeight w:val="400"/>
        </w:trPr>
        <w:tc>
          <w:tcPr>
            <w:tcW w:w="1387" w:type="dxa"/>
            <w:tcBorders>
              <w:top w:val="single" w:sz="4" w:space="0" w:color="A6A6A6"/>
              <w:left w:val="single" w:sz="4" w:space="0" w:color="A6A6A6"/>
              <w:bottom w:val="single" w:sz="4" w:space="0" w:color="A6A6A6"/>
              <w:right w:val="single" w:sz="4" w:space="0" w:color="A6A6A6"/>
            </w:tcBorders>
            <w:shd w:val="clear" w:color="000000" w:fill="365F91" w:themeFill="accent1" w:themeFillShade="BF"/>
            <w:vAlign w:val="center"/>
            <w:hideMark/>
          </w:tcPr>
          <w:p w14:paraId="0B30584C"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Citipower</w:t>
            </w:r>
          </w:p>
        </w:tc>
        <w:tc>
          <w:tcPr>
            <w:tcW w:w="988" w:type="dxa"/>
            <w:tcBorders>
              <w:top w:val="nil"/>
              <w:left w:val="nil"/>
              <w:bottom w:val="single" w:sz="4" w:space="0" w:color="A6A6A6"/>
              <w:right w:val="single" w:sz="4" w:space="0" w:color="A6A6A6"/>
            </w:tcBorders>
            <w:shd w:val="clear" w:color="auto" w:fill="auto"/>
            <w:vAlign w:val="center"/>
            <w:hideMark/>
          </w:tcPr>
          <w:p w14:paraId="58B81E5F"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30.4</w:t>
            </w:r>
          </w:p>
        </w:tc>
        <w:tc>
          <w:tcPr>
            <w:tcW w:w="663" w:type="dxa"/>
            <w:tcBorders>
              <w:top w:val="nil"/>
              <w:left w:val="nil"/>
              <w:bottom w:val="single" w:sz="4" w:space="0" w:color="A6A6A6"/>
              <w:right w:val="single" w:sz="4" w:space="0" w:color="A6A6A6"/>
            </w:tcBorders>
            <w:shd w:val="clear" w:color="auto" w:fill="auto"/>
            <w:vAlign w:val="center"/>
            <w:hideMark/>
          </w:tcPr>
          <w:p w14:paraId="2A71F648"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30</w:t>
            </w:r>
          </w:p>
        </w:tc>
        <w:tc>
          <w:tcPr>
            <w:tcW w:w="663" w:type="dxa"/>
            <w:tcBorders>
              <w:top w:val="nil"/>
              <w:left w:val="nil"/>
              <w:bottom w:val="single" w:sz="4" w:space="0" w:color="A6A6A6"/>
              <w:right w:val="single" w:sz="4" w:space="0" w:color="A6A6A6"/>
            </w:tcBorders>
            <w:shd w:val="clear" w:color="auto" w:fill="auto"/>
            <w:vAlign w:val="center"/>
            <w:hideMark/>
          </w:tcPr>
          <w:p w14:paraId="710204D7"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33</w:t>
            </w:r>
          </w:p>
        </w:tc>
        <w:tc>
          <w:tcPr>
            <w:tcW w:w="663" w:type="dxa"/>
            <w:tcBorders>
              <w:top w:val="nil"/>
              <w:left w:val="nil"/>
              <w:bottom w:val="single" w:sz="4" w:space="0" w:color="A6A6A6"/>
              <w:right w:val="single" w:sz="4" w:space="0" w:color="A6A6A6"/>
            </w:tcBorders>
            <w:shd w:val="clear" w:color="auto" w:fill="auto"/>
            <w:vAlign w:val="center"/>
            <w:hideMark/>
          </w:tcPr>
          <w:p w14:paraId="7580A064"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31</w:t>
            </w:r>
          </w:p>
        </w:tc>
        <w:tc>
          <w:tcPr>
            <w:tcW w:w="663" w:type="dxa"/>
            <w:tcBorders>
              <w:top w:val="nil"/>
              <w:left w:val="nil"/>
              <w:bottom w:val="single" w:sz="4" w:space="0" w:color="A6A6A6"/>
              <w:right w:val="single" w:sz="4" w:space="0" w:color="A6A6A6"/>
            </w:tcBorders>
            <w:shd w:val="clear" w:color="auto" w:fill="auto"/>
            <w:vAlign w:val="center"/>
            <w:hideMark/>
          </w:tcPr>
          <w:p w14:paraId="629618EF"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14</w:t>
            </w:r>
          </w:p>
        </w:tc>
        <w:tc>
          <w:tcPr>
            <w:tcW w:w="852" w:type="dxa"/>
            <w:tcBorders>
              <w:top w:val="nil"/>
              <w:left w:val="nil"/>
              <w:bottom w:val="single" w:sz="4" w:space="0" w:color="A6A6A6"/>
              <w:right w:val="single" w:sz="4" w:space="0" w:color="A6A6A6"/>
            </w:tcBorders>
            <w:shd w:val="clear" w:color="auto" w:fill="auto"/>
            <w:vAlign w:val="center"/>
            <w:hideMark/>
          </w:tcPr>
          <w:p w14:paraId="3347655D"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$0.410</w:t>
            </w:r>
          </w:p>
        </w:tc>
        <w:tc>
          <w:tcPr>
            <w:tcW w:w="812" w:type="dxa"/>
            <w:tcBorders>
              <w:top w:val="nil"/>
              <w:left w:val="nil"/>
              <w:bottom w:val="single" w:sz="4" w:space="0" w:color="A6A6A6"/>
              <w:right w:val="single" w:sz="4" w:space="0" w:color="A6A6A6"/>
            </w:tcBorders>
            <w:shd w:val="clear" w:color="auto" w:fill="auto"/>
            <w:vAlign w:val="center"/>
            <w:hideMark/>
          </w:tcPr>
          <w:p w14:paraId="550860C6"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$0.63</w:t>
            </w:r>
          </w:p>
        </w:tc>
        <w:tc>
          <w:tcPr>
            <w:tcW w:w="845" w:type="dxa"/>
            <w:tcBorders>
              <w:top w:val="nil"/>
              <w:left w:val="nil"/>
              <w:bottom w:val="single" w:sz="4" w:space="0" w:color="A6A6A6"/>
              <w:right w:val="single" w:sz="4" w:space="0" w:color="A6A6A6"/>
            </w:tcBorders>
            <w:shd w:val="clear" w:color="auto" w:fill="auto"/>
            <w:vAlign w:val="center"/>
            <w:hideMark/>
          </w:tcPr>
          <w:p w14:paraId="3D756A6A"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0.05%</w:t>
            </w:r>
          </w:p>
        </w:tc>
        <w:tc>
          <w:tcPr>
            <w:tcW w:w="852" w:type="dxa"/>
            <w:tcBorders>
              <w:top w:val="nil"/>
              <w:left w:val="nil"/>
              <w:bottom w:val="single" w:sz="4" w:space="0" w:color="A6A6A6"/>
              <w:right w:val="single" w:sz="4" w:space="0" w:color="A6A6A6"/>
            </w:tcBorders>
            <w:shd w:val="clear" w:color="auto" w:fill="auto"/>
            <w:vAlign w:val="center"/>
            <w:hideMark/>
          </w:tcPr>
          <w:p w14:paraId="5C804038"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$0.065</w:t>
            </w:r>
          </w:p>
        </w:tc>
      </w:tr>
      <w:tr w:rsidR="001E3377" w:rsidRPr="001E3377" w14:paraId="0E78FA73" w14:textId="77777777" w:rsidTr="00B172D3">
        <w:trPr>
          <w:trHeight w:val="400"/>
        </w:trPr>
        <w:tc>
          <w:tcPr>
            <w:tcW w:w="1387" w:type="dxa"/>
            <w:tcBorders>
              <w:top w:val="single" w:sz="4" w:space="0" w:color="A6A6A6"/>
              <w:left w:val="single" w:sz="4" w:space="0" w:color="A6A6A6"/>
              <w:bottom w:val="single" w:sz="4" w:space="0" w:color="A6A6A6"/>
              <w:right w:val="single" w:sz="4" w:space="0" w:color="A6A6A6"/>
            </w:tcBorders>
            <w:shd w:val="clear" w:color="000000" w:fill="365F91" w:themeFill="accent1" w:themeFillShade="BF"/>
            <w:vAlign w:val="center"/>
            <w:hideMark/>
          </w:tcPr>
          <w:p w14:paraId="2AD48D05"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Jemena</w:t>
            </w:r>
          </w:p>
        </w:tc>
        <w:tc>
          <w:tcPr>
            <w:tcW w:w="988" w:type="dxa"/>
            <w:tcBorders>
              <w:top w:val="nil"/>
              <w:left w:val="nil"/>
              <w:bottom w:val="single" w:sz="4" w:space="0" w:color="A6A6A6"/>
              <w:right w:val="single" w:sz="4" w:space="0" w:color="A6A6A6"/>
            </w:tcBorders>
            <w:shd w:val="clear" w:color="auto" w:fill="auto"/>
            <w:vAlign w:val="center"/>
            <w:hideMark/>
          </w:tcPr>
          <w:p w14:paraId="3732D069"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56.8</w:t>
            </w:r>
          </w:p>
        </w:tc>
        <w:tc>
          <w:tcPr>
            <w:tcW w:w="663" w:type="dxa"/>
            <w:tcBorders>
              <w:top w:val="nil"/>
              <w:left w:val="nil"/>
              <w:bottom w:val="single" w:sz="4" w:space="0" w:color="A6A6A6"/>
              <w:right w:val="single" w:sz="4" w:space="0" w:color="A6A6A6"/>
            </w:tcBorders>
            <w:shd w:val="clear" w:color="auto" w:fill="auto"/>
            <w:vAlign w:val="center"/>
            <w:hideMark/>
          </w:tcPr>
          <w:p w14:paraId="33720C95"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42</w:t>
            </w:r>
          </w:p>
        </w:tc>
        <w:tc>
          <w:tcPr>
            <w:tcW w:w="663" w:type="dxa"/>
            <w:tcBorders>
              <w:top w:val="nil"/>
              <w:left w:val="nil"/>
              <w:bottom w:val="single" w:sz="4" w:space="0" w:color="A6A6A6"/>
              <w:right w:val="single" w:sz="4" w:space="0" w:color="A6A6A6"/>
            </w:tcBorders>
            <w:shd w:val="clear" w:color="auto" w:fill="auto"/>
            <w:vAlign w:val="center"/>
            <w:hideMark/>
          </w:tcPr>
          <w:p w14:paraId="39599210"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91</w:t>
            </w:r>
          </w:p>
        </w:tc>
        <w:tc>
          <w:tcPr>
            <w:tcW w:w="663" w:type="dxa"/>
            <w:tcBorders>
              <w:top w:val="nil"/>
              <w:left w:val="nil"/>
              <w:bottom w:val="single" w:sz="4" w:space="0" w:color="A6A6A6"/>
              <w:right w:val="single" w:sz="4" w:space="0" w:color="A6A6A6"/>
            </w:tcBorders>
            <w:shd w:val="clear" w:color="auto" w:fill="auto"/>
            <w:vAlign w:val="center"/>
            <w:hideMark/>
          </w:tcPr>
          <w:p w14:paraId="3C4532CD"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84</w:t>
            </w:r>
          </w:p>
        </w:tc>
        <w:tc>
          <w:tcPr>
            <w:tcW w:w="663" w:type="dxa"/>
            <w:tcBorders>
              <w:top w:val="nil"/>
              <w:left w:val="nil"/>
              <w:bottom w:val="single" w:sz="4" w:space="0" w:color="A6A6A6"/>
              <w:right w:val="single" w:sz="4" w:space="0" w:color="A6A6A6"/>
            </w:tcBorders>
            <w:shd w:val="clear" w:color="auto" w:fill="auto"/>
            <w:vAlign w:val="center"/>
            <w:hideMark/>
          </w:tcPr>
          <w:p w14:paraId="45BAA4C9"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54</w:t>
            </w:r>
          </w:p>
        </w:tc>
        <w:tc>
          <w:tcPr>
            <w:tcW w:w="852" w:type="dxa"/>
            <w:tcBorders>
              <w:top w:val="nil"/>
              <w:left w:val="nil"/>
              <w:bottom w:val="single" w:sz="4" w:space="0" w:color="A6A6A6"/>
              <w:right w:val="single" w:sz="4" w:space="0" w:color="A6A6A6"/>
            </w:tcBorders>
            <w:shd w:val="clear" w:color="auto" w:fill="auto"/>
            <w:vAlign w:val="center"/>
            <w:hideMark/>
          </w:tcPr>
          <w:p w14:paraId="24508358"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$0.370</w:t>
            </w:r>
          </w:p>
        </w:tc>
        <w:tc>
          <w:tcPr>
            <w:tcW w:w="812" w:type="dxa"/>
            <w:tcBorders>
              <w:top w:val="nil"/>
              <w:left w:val="nil"/>
              <w:bottom w:val="single" w:sz="4" w:space="0" w:color="A6A6A6"/>
              <w:right w:val="single" w:sz="4" w:space="0" w:color="A6A6A6"/>
            </w:tcBorders>
            <w:shd w:val="clear" w:color="auto" w:fill="auto"/>
            <w:vAlign w:val="center"/>
            <w:hideMark/>
          </w:tcPr>
          <w:p w14:paraId="3FCB9605"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$0.58</w:t>
            </w:r>
          </w:p>
        </w:tc>
        <w:tc>
          <w:tcPr>
            <w:tcW w:w="845" w:type="dxa"/>
            <w:tcBorders>
              <w:top w:val="nil"/>
              <w:left w:val="nil"/>
              <w:bottom w:val="single" w:sz="4" w:space="0" w:color="A6A6A6"/>
              <w:right w:val="single" w:sz="4" w:space="0" w:color="A6A6A6"/>
            </w:tcBorders>
            <w:shd w:val="clear" w:color="auto" w:fill="auto"/>
            <w:vAlign w:val="center"/>
            <w:hideMark/>
          </w:tcPr>
          <w:p w14:paraId="00470980"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0.04%</w:t>
            </w:r>
          </w:p>
        </w:tc>
        <w:tc>
          <w:tcPr>
            <w:tcW w:w="852" w:type="dxa"/>
            <w:tcBorders>
              <w:top w:val="nil"/>
              <w:left w:val="nil"/>
              <w:bottom w:val="single" w:sz="4" w:space="0" w:color="A6A6A6"/>
              <w:right w:val="single" w:sz="4" w:space="0" w:color="A6A6A6"/>
            </w:tcBorders>
            <w:shd w:val="clear" w:color="auto" w:fill="auto"/>
            <w:vAlign w:val="center"/>
            <w:hideMark/>
          </w:tcPr>
          <w:p w14:paraId="40441225"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$0.855</w:t>
            </w:r>
          </w:p>
        </w:tc>
      </w:tr>
      <w:tr w:rsidR="001E3377" w:rsidRPr="001E3377" w14:paraId="0897E67E" w14:textId="77777777" w:rsidTr="00B172D3">
        <w:trPr>
          <w:trHeight w:val="400"/>
        </w:trPr>
        <w:tc>
          <w:tcPr>
            <w:tcW w:w="1387" w:type="dxa"/>
            <w:tcBorders>
              <w:top w:val="single" w:sz="4" w:space="0" w:color="A6A6A6"/>
              <w:left w:val="single" w:sz="4" w:space="0" w:color="A6A6A6"/>
              <w:bottom w:val="single" w:sz="4" w:space="0" w:color="A6A6A6"/>
              <w:right w:val="single" w:sz="4" w:space="0" w:color="A6A6A6"/>
            </w:tcBorders>
            <w:shd w:val="clear" w:color="000000" w:fill="365F91" w:themeFill="accent1" w:themeFillShade="BF"/>
            <w:vAlign w:val="center"/>
            <w:hideMark/>
          </w:tcPr>
          <w:p w14:paraId="522CC9F2"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Powercor</w:t>
            </w:r>
          </w:p>
        </w:tc>
        <w:tc>
          <w:tcPr>
            <w:tcW w:w="988" w:type="dxa"/>
            <w:tcBorders>
              <w:top w:val="nil"/>
              <w:left w:val="nil"/>
              <w:bottom w:val="single" w:sz="4" w:space="0" w:color="A6A6A6"/>
              <w:right w:val="single" w:sz="4" w:space="0" w:color="A6A6A6"/>
            </w:tcBorders>
            <w:shd w:val="clear" w:color="auto" w:fill="auto"/>
            <w:vAlign w:val="center"/>
            <w:hideMark/>
          </w:tcPr>
          <w:p w14:paraId="1B4C1D49"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401.8</w:t>
            </w:r>
          </w:p>
        </w:tc>
        <w:tc>
          <w:tcPr>
            <w:tcW w:w="663" w:type="dxa"/>
            <w:tcBorders>
              <w:top w:val="nil"/>
              <w:left w:val="nil"/>
              <w:bottom w:val="single" w:sz="4" w:space="0" w:color="A6A6A6"/>
              <w:right w:val="single" w:sz="4" w:space="0" w:color="A6A6A6"/>
            </w:tcBorders>
            <w:shd w:val="clear" w:color="auto" w:fill="auto"/>
            <w:vAlign w:val="center"/>
            <w:hideMark/>
          </w:tcPr>
          <w:p w14:paraId="520C413A"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303</w:t>
            </w:r>
          </w:p>
        </w:tc>
        <w:tc>
          <w:tcPr>
            <w:tcW w:w="663" w:type="dxa"/>
            <w:tcBorders>
              <w:top w:val="nil"/>
              <w:left w:val="nil"/>
              <w:bottom w:val="single" w:sz="4" w:space="0" w:color="A6A6A6"/>
              <w:right w:val="single" w:sz="4" w:space="0" w:color="A6A6A6"/>
            </w:tcBorders>
            <w:shd w:val="clear" w:color="auto" w:fill="auto"/>
            <w:vAlign w:val="center"/>
            <w:hideMark/>
          </w:tcPr>
          <w:p w14:paraId="3B2F2164"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498</w:t>
            </w:r>
          </w:p>
        </w:tc>
        <w:tc>
          <w:tcPr>
            <w:tcW w:w="663" w:type="dxa"/>
            <w:tcBorders>
              <w:top w:val="nil"/>
              <w:left w:val="nil"/>
              <w:bottom w:val="single" w:sz="4" w:space="0" w:color="A6A6A6"/>
              <w:right w:val="single" w:sz="4" w:space="0" w:color="A6A6A6"/>
            </w:tcBorders>
            <w:shd w:val="clear" w:color="auto" w:fill="auto"/>
            <w:vAlign w:val="center"/>
            <w:hideMark/>
          </w:tcPr>
          <w:p w14:paraId="1A20D292"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463</w:t>
            </w:r>
          </w:p>
        </w:tc>
        <w:tc>
          <w:tcPr>
            <w:tcW w:w="663" w:type="dxa"/>
            <w:tcBorders>
              <w:top w:val="nil"/>
              <w:left w:val="nil"/>
              <w:bottom w:val="single" w:sz="4" w:space="0" w:color="A6A6A6"/>
              <w:right w:val="single" w:sz="4" w:space="0" w:color="A6A6A6"/>
            </w:tcBorders>
            <w:shd w:val="clear" w:color="auto" w:fill="auto"/>
            <w:vAlign w:val="center"/>
            <w:hideMark/>
          </w:tcPr>
          <w:p w14:paraId="783AEB53"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345</w:t>
            </w:r>
          </w:p>
        </w:tc>
        <w:tc>
          <w:tcPr>
            <w:tcW w:w="852" w:type="dxa"/>
            <w:tcBorders>
              <w:top w:val="nil"/>
              <w:left w:val="nil"/>
              <w:bottom w:val="single" w:sz="4" w:space="0" w:color="A6A6A6"/>
              <w:right w:val="single" w:sz="4" w:space="0" w:color="A6A6A6"/>
            </w:tcBorders>
            <w:shd w:val="clear" w:color="auto" w:fill="auto"/>
            <w:vAlign w:val="center"/>
            <w:hideMark/>
          </w:tcPr>
          <w:p w14:paraId="0762C984"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$2.470</w:t>
            </w:r>
          </w:p>
        </w:tc>
        <w:tc>
          <w:tcPr>
            <w:tcW w:w="812" w:type="dxa"/>
            <w:tcBorders>
              <w:top w:val="nil"/>
              <w:left w:val="nil"/>
              <w:bottom w:val="single" w:sz="4" w:space="0" w:color="A6A6A6"/>
              <w:right w:val="single" w:sz="4" w:space="0" w:color="A6A6A6"/>
            </w:tcBorders>
            <w:shd w:val="clear" w:color="auto" w:fill="auto"/>
            <w:vAlign w:val="center"/>
            <w:hideMark/>
          </w:tcPr>
          <w:p w14:paraId="73D971E4"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$1.61</w:t>
            </w:r>
          </w:p>
        </w:tc>
        <w:tc>
          <w:tcPr>
            <w:tcW w:w="845" w:type="dxa"/>
            <w:tcBorders>
              <w:top w:val="nil"/>
              <w:left w:val="nil"/>
              <w:bottom w:val="single" w:sz="4" w:space="0" w:color="A6A6A6"/>
              <w:right w:val="single" w:sz="4" w:space="0" w:color="A6A6A6"/>
            </w:tcBorders>
            <w:shd w:val="clear" w:color="auto" w:fill="auto"/>
            <w:vAlign w:val="center"/>
            <w:hideMark/>
          </w:tcPr>
          <w:p w14:paraId="77F326B8"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0.10%</w:t>
            </w:r>
          </w:p>
        </w:tc>
        <w:tc>
          <w:tcPr>
            <w:tcW w:w="852" w:type="dxa"/>
            <w:tcBorders>
              <w:top w:val="nil"/>
              <w:left w:val="nil"/>
              <w:bottom w:val="single" w:sz="4" w:space="0" w:color="A6A6A6"/>
              <w:right w:val="single" w:sz="4" w:space="0" w:color="A6A6A6"/>
            </w:tcBorders>
            <w:shd w:val="clear" w:color="auto" w:fill="auto"/>
            <w:vAlign w:val="center"/>
            <w:hideMark/>
          </w:tcPr>
          <w:p w14:paraId="46215A74"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$2.405</w:t>
            </w:r>
          </w:p>
        </w:tc>
      </w:tr>
      <w:tr w:rsidR="001E3377" w:rsidRPr="001E3377" w14:paraId="393365E7" w14:textId="77777777" w:rsidTr="00B172D3">
        <w:trPr>
          <w:trHeight w:val="400"/>
        </w:trPr>
        <w:tc>
          <w:tcPr>
            <w:tcW w:w="1387" w:type="dxa"/>
            <w:tcBorders>
              <w:top w:val="single" w:sz="4" w:space="0" w:color="A6A6A6"/>
              <w:left w:val="single" w:sz="4" w:space="0" w:color="A6A6A6"/>
              <w:bottom w:val="single" w:sz="4" w:space="0" w:color="A6A6A6"/>
              <w:right w:val="single" w:sz="4" w:space="0" w:color="A6A6A6"/>
            </w:tcBorders>
            <w:shd w:val="clear" w:color="000000" w:fill="365F91" w:themeFill="accent1" w:themeFillShade="BF"/>
            <w:vAlign w:val="center"/>
            <w:hideMark/>
          </w:tcPr>
          <w:p w14:paraId="467214CA"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United Energy</w:t>
            </w:r>
          </w:p>
        </w:tc>
        <w:tc>
          <w:tcPr>
            <w:tcW w:w="988" w:type="dxa"/>
            <w:tcBorders>
              <w:top w:val="nil"/>
              <w:left w:val="nil"/>
              <w:bottom w:val="single" w:sz="4" w:space="0" w:color="A6A6A6"/>
              <w:right w:val="single" w:sz="4" w:space="0" w:color="A6A6A6"/>
            </w:tcBorders>
            <w:shd w:val="clear" w:color="auto" w:fill="auto"/>
            <w:vAlign w:val="center"/>
            <w:hideMark/>
          </w:tcPr>
          <w:p w14:paraId="219458E2"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124.2</w:t>
            </w:r>
          </w:p>
        </w:tc>
        <w:tc>
          <w:tcPr>
            <w:tcW w:w="663" w:type="dxa"/>
            <w:tcBorders>
              <w:top w:val="nil"/>
              <w:left w:val="nil"/>
              <w:bottom w:val="single" w:sz="4" w:space="0" w:color="A6A6A6"/>
              <w:right w:val="single" w:sz="4" w:space="0" w:color="A6A6A6"/>
            </w:tcBorders>
            <w:shd w:val="clear" w:color="auto" w:fill="auto"/>
            <w:vAlign w:val="center"/>
            <w:hideMark/>
          </w:tcPr>
          <w:p w14:paraId="5322A53A"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85</w:t>
            </w:r>
          </w:p>
        </w:tc>
        <w:tc>
          <w:tcPr>
            <w:tcW w:w="663" w:type="dxa"/>
            <w:tcBorders>
              <w:top w:val="nil"/>
              <w:left w:val="nil"/>
              <w:bottom w:val="single" w:sz="4" w:space="0" w:color="A6A6A6"/>
              <w:right w:val="single" w:sz="4" w:space="0" w:color="A6A6A6"/>
            </w:tcBorders>
            <w:shd w:val="clear" w:color="auto" w:fill="auto"/>
            <w:vAlign w:val="center"/>
            <w:hideMark/>
          </w:tcPr>
          <w:p w14:paraId="732974B7"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127</w:t>
            </w:r>
          </w:p>
        </w:tc>
        <w:tc>
          <w:tcPr>
            <w:tcW w:w="663" w:type="dxa"/>
            <w:tcBorders>
              <w:top w:val="nil"/>
              <w:left w:val="nil"/>
              <w:bottom w:val="single" w:sz="4" w:space="0" w:color="A6A6A6"/>
              <w:right w:val="single" w:sz="4" w:space="0" w:color="A6A6A6"/>
            </w:tcBorders>
            <w:shd w:val="clear" w:color="auto" w:fill="auto"/>
            <w:vAlign w:val="center"/>
            <w:hideMark/>
          </w:tcPr>
          <w:p w14:paraId="186F77BC"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214</w:t>
            </w:r>
          </w:p>
        </w:tc>
        <w:tc>
          <w:tcPr>
            <w:tcW w:w="663" w:type="dxa"/>
            <w:tcBorders>
              <w:top w:val="nil"/>
              <w:left w:val="nil"/>
              <w:bottom w:val="single" w:sz="4" w:space="0" w:color="A6A6A6"/>
              <w:right w:val="single" w:sz="4" w:space="0" w:color="A6A6A6"/>
            </w:tcBorders>
            <w:shd w:val="clear" w:color="auto" w:fill="auto"/>
            <w:vAlign w:val="center"/>
            <w:hideMark/>
          </w:tcPr>
          <w:p w14:paraId="07512651"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102</w:t>
            </w:r>
          </w:p>
        </w:tc>
        <w:tc>
          <w:tcPr>
            <w:tcW w:w="852" w:type="dxa"/>
            <w:tcBorders>
              <w:top w:val="nil"/>
              <w:left w:val="nil"/>
              <w:bottom w:val="single" w:sz="4" w:space="0" w:color="A6A6A6"/>
              <w:right w:val="single" w:sz="4" w:space="0" w:color="A6A6A6"/>
            </w:tcBorders>
            <w:shd w:val="clear" w:color="auto" w:fill="auto"/>
            <w:vAlign w:val="center"/>
            <w:hideMark/>
          </w:tcPr>
          <w:p w14:paraId="4F379BAF"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$0.980</w:t>
            </w:r>
          </w:p>
        </w:tc>
        <w:tc>
          <w:tcPr>
            <w:tcW w:w="812" w:type="dxa"/>
            <w:tcBorders>
              <w:top w:val="nil"/>
              <w:left w:val="nil"/>
              <w:bottom w:val="single" w:sz="4" w:space="0" w:color="A6A6A6"/>
              <w:right w:val="single" w:sz="4" w:space="0" w:color="A6A6A6"/>
            </w:tcBorders>
            <w:shd w:val="clear" w:color="auto" w:fill="auto"/>
            <w:vAlign w:val="center"/>
            <w:hideMark/>
          </w:tcPr>
          <w:p w14:paraId="235C7380"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$0.74</w:t>
            </w:r>
          </w:p>
        </w:tc>
        <w:tc>
          <w:tcPr>
            <w:tcW w:w="845" w:type="dxa"/>
            <w:tcBorders>
              <w:top w:val="nil"/>
              <w:left w:val="nil"/>
              <w:bottom w:val="single" w:sz="4" w:space="0" w:color="A6A6A6"/>
              <w:right w:val="single" w:sz="4" w:space="0" w:color="A6A6A6"/>
            </w:tcBorders>
            <w:shd w:val="clear" w:color="auto" w:fill="auto"/>
            <w:vAlign w:val="center"/>
            <w:hideMark/>
          </w:tcPr>
          <w:p w14:paraId="2CC7B0B2" w14:textId="77777777" w:rsidR="001E3377" w:rsidRPr="001E3377" w:rsidRDefault="001E3377" w:rsidP="001E3377">
            <w:pPr>
              <w:spacing w:after="0" w:line="240" w:lineRule="auto"/>
              <w:jc w:val="right"/>
              <w:rPr>
                <w:rFonts w:ascii="Calibri" w:eastAsia="Times New Roman" w:hAnsi="Calibri" w:cs="Times New Roman"/>
                <w:color w:val="000000"/>
                <w:sz w:val="18"/>
                <w:szCs w:val="18"/>
                <w:lang w:eastAsia="en-AU"/>
              </w:rPr>
            </w:pPr>
            <w:r w:rsidRPr="001E3377">
              <w:rPr>
                <w:rFonts w:ascii="Calibri" w:eastAsia="Times New Roman" w:hAnsi="Calibri" w:cs="Times New Roman"/>
                <w:color w:val="000000"/>
                <w:sz w:val="18"/>
                <w:szCs w:val="18"/>
                <w:lang w:eastAsia="en-AU"/>
              </w:rPr>
              <w:t>0.05%</w:t>
            </w:r>
          </w:p>
        </w:tc>
        <w:tc>
          <w:tcPr>
            <w:tcW w:w="852" w:type="dxa"/>
            <w:tcBorders>
              <w:top w:val="nil"/>
              <w:left w:val="nil"/>
              <w:bottom w:val="single" w:sz="4" w:space="0" w:color="A6A6A6"/>
              <w:right w:val="single" w:sz="4" w:space="0" w:color="A6A6A6"/>
            </w:tcBorders>
            <w:shd w:val="clear" w:color="auto" w:fill="auto"/>
            <w:vAlign w:val="center"/>
            <w:hideMark/>
          </w:tcPr>
          <w:p w14:paraId="03D2632D"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$2.245</w:t>
            </w:r>
          </w:p>
        </w:tc>
      </w:tr>
      <w:tr w:rsidR="002A4EC4" w:rsidRPr="001E3377" w14:paraId="2D184F7A" w14:textId="77777777" w:rsidTr="002A4EC4">
        <w:trPr>
          <w:trHeight w:val="239"/>
        </w:trPr>
        <w:tc>
          <w:tcPr>
            <w:tcW w:w="1387" w:type="dxa"/>
            <w:tcBorders>
              <w:top w:val="nil"/>
              <w:left w:val="single" w:sz="4" w:space="0" w:color="A6A6A6"/>
              <w:bottom w:val="single" w:sz="4" w:space="0" w:color="A6A6A6"/>
              <w:right w:val="single" w:sz="4" w:space="0" w:color="A6A6A6"/>
            </w:tcBorders>
            <w:shd w:val="clear" w:color="000000" w:fill="000000"/>
            <w:vAlign w:val="center"/>
            <w:hideMark/>
          </w:tcPr>
          <w:p w14:paraId="03D91D5F" w14:textId="77777777" w:rsidR="001E3377" w:rsidRPr="001E3377" w:rsidRDefault="001E3377" w:rsidP="001E3377">
            <w:pPr>
              <w:spacing w:after="0" w:line="240" w:lineRule="auto"/>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Total</w:t>
            </w:r>
          </w:p>
        </w:tc>
        <w:tc>
          <w:tcPr>
            <w:tcW w:w="988" w:type="dxa"/>
            <w:tcBorders>
              <w:top w:val="nil"/>
              <w:left w:val="nil"/>
              <w:bottom w:val="single" w:sz="4" w:space="0" w:color="A6A6A6"/>
              <w:right w:val="single" w:sz="4" w:space="0" w:color="A6A6A6"/>
            </w:tcBorders>
            <w:shd w:val="clear" w:color="000000" w:fill="000000"/>
            <w:vAlign w:val="center"/>
            <w:hideMark/>
          </w:tcPr>
          <w:p w14:paraId="3B487FCE"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870</w:t>
            </w:r>
          </w:p>
        </w:tc>
        <w:tc>
          <w:tcPr>
            <w:tcW w:w="663" w:type="dxa"/>
            <w:tcBorders>
              <w:top w:val="nil"/>
              <w:left w:val="nil"/>
              <w:bottom w:val="single" w:sz="4" w:space="0" w:color="A6A6A6"/>
              <w:right w:val="single" w:sz="4" w:space="0" w:color="A6A6A6"/>
            </w:tcBorders>
            <w:shd w:val="clear" w:color="000000" w:fill="000000"/>
            <w:vAlign w:val="center"/>
            <w:hideMark/>
          </w:tcPr>
          <w:p w14:paraId="675BE7D0"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638</w:t>
            </w:r>
          </w:p>
        </w:tc>
        <w:tc>
          <w:tcPr>
            <w:tcW w:w="663" w:type="dxa"/>
            <w:tcBorders>
              <w:top w:val="nil"/>
              <w:left w:val="nil"/>
              <w:bottom w:val="single" w:sz="4" w:space="0" w:color="A6A6A6"/>
              <w:right w:val="single" w:sz="4" w:space="0" w:color="A6A6A6"/>
            </w:tcBorders>
            <w:shd w:val="clear" w:color="000000" w:fill="000000"/>
            <w:vAlign w:val="center"/>
            <w:hideMark/>
          </w:tcPr>
          <w:p w14:paraId="4BD8F891"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925</w:t>
            </w:r>
          </w:p>
        </w:tc>
        <w:tc>
          <w:tcPr>
            <w:tcW w:w="663" w:type="dxa"/>
            <w:tcBorders>
              <w:top w:val="nil"/>
              <w:left w:val="nil"/>
              <w:bottom w:val="single" w:sz="4" w:space="0" w:color="A6A6A6"/>
              <w:right w:val="single" w:sz="4" w:space="0" w:color="A6A6A6"/>
            </w:tcBorders>
            <w:shd w:val="clear" w:color="000000" w:fill="000000"/>
            <w:vAlign w:val="center"/>
            <w:hideMark/>
          </w:tcPr>
          <w:p w14:paraId="5DC4C2FE"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974</w:t>
            </w:r>
          </w:p>
        </w:tc>
        <w:tc>
          <w:tcPr>
            <w:tcW w:w="663" w:type="dxa"/>
            <w:tcBorders>
              <w:top w:val="nil"/>
              <w:left w:val="nil"/>
              <w:bottom w:val="single" w:sz="4" w:space="0" w:color="A6A6A6"/>
              <w:right w:val="single" w:sz="4" w:space="0" w:color="A6A6A6"/>
            </w:tcBorders>
            <w:shd w:val="clear" w:color="000000" w:fill="000000"/>
            <w:vAlign w:val="center"/>
            <w:hideMark/>
          </w:tcPr>
          <w:p w14:paraId="60796ED3"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635</w:t>
            </w:r>
          </w:p>
        </w:tc>
        <w:tc>
          <w:tcPr>
            <w:tcW w:w="852" w:type="dxa"/>
            <w:tcBorders>
              <w:top w:val="nil"/>
              <w:left w:val="nil"/>
              <w:bottom w:val="single" w:sz="4" w:space="0" w:color="A6A6A6"/>
              <w:right w:val="single" w:sz="4" w:space="0" w:color="A6A6A6"/>
            </w:tcBorders>
            <w:shd w:val="clear" w:color="000000" w:fill="000000"/>
            <w:vAlign w:val="center"/>
            <w:hideMark/>
          </w:tcPr>
          <w:p w14:paraId="2D9D8BB7"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w:t>
            </w:r>
          </w:p>
        </w:tc>
        <w:tc>
          <w:tcPr>
            <w:tcW w:w="812" w:type="dxa"/>
            <w:tcBorders>
              <w:top w:val="nil"/>
              <w:left w:val="nil"/>
              <w:bottom w:val="single" w:sz="4" w:space="0" w:color="A6A6A6"/>
              <w:right w:val="single" w:sz="4" w:space="0" w:color="A6A6A6"/>
            </w:tcBorders>
            <w:shd w:val="clear" w:color="000000" w:fill="000000"/>
            <w:vAlign w:val="center"/>
            <w:hideMark/>
          </w:tcPr>
          <w:p w14:paraId="1005B703"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w:t>
            </w:r>
          </w:p>
        </w:tc>
        <w:tc>
          <w:tcPr>
            <w:tcW w:w="845" w:type="dxa"/>
            <w:tcBorders>
              <w:top w:val="nil"/>
              <w:left w:val="nil"/>
              <w:bottom w:val="single" w:sz="4" w:space="0" w:color="A6A6A6"/>
              <w:right w:val="single" w:sz="4" w:space="0" w:color="A6A6A6"/>
            </w:tcBorders>
            <w:shd w:val="clear" w:color="000000" w:fill="000000"/>
            <w:vAlign w:val="center"/>
            <w:hideMark/>
          </w:tcPr>
          <w:p w14:paraId="464AA529"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w:t>
            </w:r>
          </w:p>
        </w:tc>
        <w:tc>
          <w:tcPr>
            <w:tcW w:w="852" w:type="dxa"/>
            <w:tcBorders>
              <w:top w:val="nil"/>
              <w:left w:val="nil"/>
              <w:bottom w:val="single" w:sz="4" w:space="0" w:color="A6A6A6"/>
              <w:right w:val="single" w:sz="4" w:space="0" w:color="A6A6A6"/>
            </w:tcBorders>
            <w:shd w:val="clear" w:color="000000" w:fill="000000"/>
            <w:vAlign w:val="center"/>
            <w:hideMark/>
          </w:tcPr>
          <w:p w14:paraId="38AF0324" w14:textId="77777777" w:rsidR="001E3377" w:rsidRPr="001E3377" w:rsidRDefault="001E3377" w:rsidP="001E3377">
            <w:pPr>
              <w:spacing w:after="0" w:line="240" w:lineRule="auto"/>
              <w:jc w:val="right"/>
              <w:rPr>
                <w:rFonts w:ascii="Calibri" w:eastAsia="Times New Roman" w:hAnsi="Calibri" w:cs="Times New Roman"/>
                <w:b/>
                <w:bCs/>
                <w:color w:val="FFFFFF"/>
                <w:sz w:val="18"/>
                <w:szCs w:val="18"/>
                <w:lang w:eastAsia="en-AU"/>
              </w:rPr>
            </w:pPr>
            <w:r w:rsidRPr="001E3377">
              <w:rPr>
                <w:rFonts w:ascii="Calibri" w:eastAsia="Times New Roman" w:hAnsi="Calibri" w:cs="Times New Roman"/>
                <w:b/>
                <w:bCs/>
                <w:color w:val="FFFFFF"/>
                <w:sz w:val="18"/>
                <w:szCs w:val="18"/>
                <w:lang w:eastAsia="en-AU"/>
              </w:rPr>
              <w:t> </w:t>
            </w:r>
          </w:p>
        </w:tc>
      </w:tr>
    </w:tbl>
    <w:p w14:paraId="18ADB52B" w14:textId="77777777" w:rsidR="001E3377" w:rsidRPr="001E3377" w:rsidRDefault="001E3377" w:rsidP="001E3377">
      <w:pPr>
        <w:spacing w:before="120" w:after="60"/>
        <w:rPr>
          <w:rFonts w:ascii="Candara" w:hAnsi="Candara"/>
        </w:rPr>
      </w:pPr>
      <w:r w:rsidRPr="001E3377">
        <w:rPr>
          <w:rFonts w:ascii="Candara" w:hAnsi="Candara"/>
        </w:rPr>
        <w:t>One focus for the analysis was to identify the Incentive Rate threshold for each DB at which:</w:t>
      </w:r>
    </w:p>
    <w:p w14:paraId="5B0BEECA" w14:textId="77777777" w:rsidR="001E3377" w:rsidRPr="001E3377" w:rsidRDefault="001E3377" w:rsidP="00BB41A4">
      <w:pPr>
        <w:numPr>
          <w:ilvl w:val="0"/>
          <w:numId w:val="30"/>
        </w:numPr>
        <w:spacing w:after="60" w:line="240" w:lineRule="auto"/>
        <w:ind w:left="714" w:right="-454" w:hanging="357"/>
        <w:rPr>
          <w:rFonts w:ascii="Candara" w:hAnsi="Candara"/>
        </w:rPr>
      </w:pPr>
      <w:r w:rsidRPr="001E3377">
        <w:rPr>
          <w:rFonts w:ascii="Candara" w:hAnsi="Candara"/>
          <w:b/>
          <w:bCs/>
          <w:color w:val="427730"/>
        </w:rPr>
        <w:t>In a cool or extremely cool year</w:t>
      </w:r>
      <w:r w:rsidRPr="001E3377">
        <w:rPr>
          <w:rFonts w:ascii="Candara" w:hAnsi="Candara"/>
        </w:rPr>
        <w:t>, the maximum historical payment level will be breached; and</w:t>
      </w:r>
    </w:p>
    <w:p w14:paraId="73D48FC0" w14:textId="77777777" w:rsidR="001E3377" w:rsidRPr="001E3377" w:rsidRDefault="001E3377" w:rsidP="00BB41A4">
      <w:pPr>
        <w:numPr>
          <w:ilvl w:val="0"/>
          <w:numId w:val="30"/>
        </w:numPr>
        <w:spacing w:after="120" w:line="240" w:lineRule="auto"/>
        <w:ind w:left="714" w:right="-284" w:hanging="357"/>
        <w:rPr>
          <w:rFonts w:ascii="Candara" w:hAnsi="Candara"/>
        </w:rPr>
      </w:pPr>
      <w:r w:rsidRPr="001E3377">
        <w:rPr>
          <w:rFonts w:ascii="Candara" w:hAnsi="Candara"/>
          <w:b/>
          <w:bCs/>
          <w:color w:val="FF0000"/>
        </w:rPr>
        <w:t>In a hot or extremely hot year</w:t>
      </w:r>
      <w:r w:rsidRPr="001E3377">
        <w:rPr>
          <w:rFonts w:ascii="Candara" w:hAnsi="Candara"/>
        </w:rPr>
        <w:t>, the maximum historical payment level will be breached</w:t>
      </w:r>
    </w:p>
    <w:p w14:paraId="3C9BA6D2" w14:textId="544A4D04" w:rsidR="001E3377" w:rsidRDefault="001E3377" w:rsidP="001E3377">
      <w:pPr>
        <w:spacing w:before="120" w:after="120"/>
        <w:rPr>
          <w:rFonts w:ascii="Candara" w:hAnsi="Candara"/>
        </w:rPr>
      </w:pPr>
      <w:r w:rsidRPr="001E3377">
        <w:rPr>
          <w:rFonts w:ascii="Candara" w:hAnsi="Candara"/>
        </w:rPr>
        <w:t>These results are shown</w:t>
      </w:r>
      <w:r>
        <w:rPr>
          <w:rFonts w:ascii="Candara" w:hAnsi="Candara"/>
        </w:rPr>
        <w:t xml:space="preserve"> here</w:t>
      </w:r>
      <w:r w:rsidRPr="001E3377">
        <w:rPr>
          <w:rFonts w:ascii="Candara" w:hAnsi="Candara"/>
        </w:rPr>
        <w:t xml:space="preserve"> in </w:t>
      </w:r>
      <w:r w:rsidR="00147B12">
        <w:rPr>
          <w:rFonts w:ascii="Candara" w:hAnsi="Candara"/>
          <w:b/>
        </w:rPr>
        <w:t>figure A4.6</w:t>
      </w:r>
      <w:r w:rsidRPr="001E3377">
        <w:rPr>
          <w:rFonts w:ascii="Candara" w:hAnsi="Candara"/>
        </w:rPr>
        <w:t>.</w:t>
      </w:r>
    </w:p>
    <w:p w14:paraId="10EA394E" w14:textId="78AFE8A5" w:rsidR="00147B12" w:rsidRPr="00147B12" w:rsidRDefault="00147B12" w:rsidP="00147B12">
      <w:pPr>
        <w:keepNext/>
        <w:keepLines/>
        <w:tabs>
          <w:tab w:val="left" w:pos="1701"/>
        </w:tabs>
        <w:spacing w:before="180" w:after="120" w:line="240" w:lineRule="auto"/>
        <w:ind w:left="851" w:hanging="851"/>
        <w:rPr>
          <w:rStyle w:val="Heading6Char"/>
        </w:rPr>
      </w:pPr>
      <w:r w:rsidRPr="00147B12">
        <w:rPr>
          <w:rStyle w:val="Heading6Char"/>
        </w:rPr>
        <w:t>Figure A4.</w:t>
      </w:r>
      <w:r>
        <w:rPr>
          <w:rStyle w:val="Heading6Char"/>
        </w:rPr>
        <w:t>7</w:t>
      </w:r>
      <w:r w:rsidRPr="00147B12">
        <w:rPr>
          <w:rStyle w:val="Heading6Char"/>
        </w:rPr>
        <w:t xml:space="preserve">: Threshold IRU Payments and Penalties Benchmarking  </w:t>
      </w:r>
    </w:p>
    <w:tbl>
      <w:tblPr>
        <w:tblW w:w="8374" w:type="dxa"/>
        <w:tblInd w:w="93" w:type="dxa"/>
        <w:tblLook w:val="04A0" w:firstRow="1" w:lastRow="0" w:firstColumn="1" w:lastColumn="0" w:noHBand="0" w:noVBand="1"/>
      </w:tblPr>
      <w:tblGrid>
        <w:gridCol w:w="1840"/>
        <w:gridCol w:w="1902"/>
        <w:gridCol w:w="1158"/>
        <w:gridCol w:w="1158"/>
        <w:gridCol w:w="1158"/>
        <w:gridCol w:w="1158"/>
      </w:tblGrid>
      <w:tr w:rsidR="001E3377" w:rsidRPr="001E3377" w14:paraId="5EF5112F" w14:textId="77777777" w:rsidTr="00B172D3">
        <w:trPr>
          <w:trHeight w:val="274"/>
        </w:trPr>
        <w:tc>
          <w:tcPr>
            <w:tcW w:w="3742" w:type="dxa"/>
            <w:gridSpan w:val="2"/>
            <w:vMerge w:val="restart"/>
            <w:tcBorders>
              <w:top w:val="single" w:sz="4" w:space="0" w:color="A6A6A6"/>
              <w:left w:val="nil"/>
              <w:bottom w:val="single" w:sz="4" w:space="0" w:color="17365D"/>
              <w:right w:val="nil"/>
            </w:tcBorders>
            <w:shd w:val="clear" w:color="auto" w:fill="365F91" w:themeFill="accent1" w:themeFillShade="BF"/>
            <w:vAlign w:val="center"/>
            <w:hideMark/>
          </w:tcPr>
          <w:p w14:paraId="3A5B99AF" w14:textId="77777777" w:rsidR="001E3377" w:rsidRPr="001E3377" w:rsidRDefault="001E3377" w:rsidP="001E3377">
            <w:pPr>
              <w:spacing w:after="0" w:line="240" w:lineRule="auto"/>
              <w:rPr>
                <w:rFonts w:ascii="Calibri" w:eastAsia="Times New Roman" w:hAnsi="Calibri" w:cs="Times New Roman"/>
                <w:b/>
                <w:bCs/>
                <w:color w:val="FFFFFF"/>
                <w:lang w:eastAsia="en-AU"/>
              </w:rPr>
            </w:pPr>
            <w:r w:rsidRPr="001E3377">
              <w:rPr>
                <w:rFonts w:ascii="Calibri" w:eastAsia="Times New Roman" w:hAnsi="Calibri" w:cs="Times New Roman"/>
                <w:b/>
                <w:bCs/>
                <w:color w:val="FFFFFF"/>
                <w:lang w:eastAsia="en-AU"/>
              </w:rPr>
              <w:t>Distribution business</w:t>
            </w:r>
          </w:p>
        </w:tc>
        <w:tc>
          <w:tcPr>
            <w:tcW w:w="4631" w:type="dxa"/>
            <w:gridSpan w:val="4"/>
            <w:tcBorders>
              <w:top w:val="single" w:sz="4" w:space="0" w:color="77216F"/>
              <w:left w:val="single" w:sz="4" w:space="0" w:color="77216F"/>
              <w:bottom w:val="nil"/>
              <w:right w:val="nil"/>
            </w:tcBorders>
            <w:shd w:val="clear" w:color="000000" w:fill="77216F"/>
            <w:noWrap/>
            <w:vAlign w:val="center"/>
            <w:hideMark/>
          </w:tcPr>
          <w:p w14:paraId="6723AEC8" w14:textId="77777777" w:rsidR="001E3377" w:rsidRPr="001E3377" w:rsidRDefault="001E3377" w:rsidP="001E3377">
            <w:pPr>
              <w:spacing w:after="0" w:line="240" w:lineRule="auto"/>
              <w:jc w:val="center"/>
              <w:rPr>
                <w:rFonts w:ascii="Calibri" w:eastAsia="Times New Roman" w:hAnsi="Calibri" w:cs="Times New Roman"/>
                <w:b/>
                <w:bCs/>
                <w:color w:val="FFFFFF"/>
                <w:sz w:val="28"/>
                <w:szCs w:val="28"/>
                <w:lang w:eastAsia="en-AU"/>
              </w:rPr>
            </w:pPr>
            <w:r w:rsidRPr="001E3377">
              <w:rPr>
                <w:rFonts w:ascii="Calibri" w:eastAsia="Times New Roman" w:hAnsi="Calibri" w:cs="Times New Roman"/>
                <w:b/>
                <w:bCs/>
                <w:color w:val="FFFFFF"/>
                <w:sz w:val="28"/>
                <w:szCs w:val="28"/>
                <w:lang w:eastAsia="en-AU"/>
              </w:rPr>
              <w:t>IRU Price Benchmarking</w:t>
            </w:r>
          </w:p>
        </w:tc>
      </w:tr>
      <w:tr w:rsidR="001E3377" w:rsidRPr="001E3377" w14:paraId="750FCE0D" w14:textId="77777777" w:rsidTr="00B172D3">
        <w:trPr>
          <w:trHeight w:val="219"/>
        </w:trPr>
        <w:tc>
          <w:tcPr>
            <w:tcW w:w="3742" w:type="dxa"/>
            <w:gridSpan w:val="2"/>
            <w:vMerge/>
            <w:tcBorders>
              <w:top w:val="single" w:sz="4" w:space="0" w:color="A6A6A6"/>
              <w:left w:val="nil"/>
              <w:bottom w:val="single" w:sz="4" w:space="0" w:color="17365D"/>
              <w:right w:val="nil"/>
            </w:tcBorders>
            <w:shd w:val="clear" w:color="auto" w:fill="365F91" w:themeFill="accent1" w:themeFillShade="BF"/>
            <w:vAlign w:val="center"/>
            <w:hideMark/>
          </w:tcPr>
          <w:p w14:paraId="7AA132CE" w14:textId="77777777" w:rsidR="001E3377" w:rsidRPr="001E3377" w:rsidRDefault="001E3377" w:rsidP="001E3377">
            <w:pPr>
              <w:spacing w:after="0" w:line="240" w:lineRule="auto"/>
              <w:rPr>
                <w:rFonts w:ascii="Calibri" w:eastAsia="Times New Roman" w:hAnsi="Calibri" w:cs="Times New Roman"/>
                <w:b/>
                <w:bCs/>
                <w:color w:val="FFFFFF"/>
                <w:lang w:eastAsia="en-AU"/>
              </w:rPr>
            </w:pPr>
          </w:p>
        </w:tc>
        <w:tc>
          <w:tcPr>
            <w:tcW w:w="2315" w:type="dxa"/>
            <w:gridSpan w:val="2"/>
            <w:tcBorders>
              <w:top w:val="single" w:sz="4" w:space="0" w:color="FF0000"/>
              <w:left w:val="single" w:sz="4" w:space="0" w:color="427730"/>
              <w:bottom w:val="single" w:sz="4" w:space="0" w:color="FF0000"/>
              <w:right w:val="nil"/>
            </w:tcBorders>
            <w:shd w:val="clear" w:color="000000" w:fill="FF0000"/>
            <w:noWrap/>
            <w:vAlign w:val="center"/>
            <w:hideMark/>
          </w:tcPr>
          <w:p w14:paraId="1526F6E9" w14:textId="77777777" w:rsidR="001E3377" w:rsidRPr="001E3377" w:rsidRDefault="001E3377" w:rsidP="001E3377">
            <w:pPr>
              <w:spacing w:after="0" w:line="240" w:lineRule="auto"/>
              <w:jc w:val="center"/>
              <w:rPr>
                <w:rFonts w:ascii="Calibri" w:eastAsia="Times New Roman" w:hAnsi="Calibri" w:cs="Times New Roman"/>
                <w:b/>
                <w:bCs/>
                <w:color w:val="FFFFFF"/>
                <w:lang w:eastAsia="en-AU"/>
              </w:rPr>
            </w:pPr>
            <w:r w:rsidRPr="001E3377">
              <w:rPr>
                <w:rFonts w:ascii="Calibri" w:eastAsia="Times New Roman" w:hAnsi="Calibri" w:cs="Times New Roman"/>
                <w:b/>
                <w:bCs/>
                <w:color w:val="FFFFFF"/>
                <w:lang w:eastAsia="en-AU"/>
              </w:rPr>
              <w:t>Payment</w:t>
            </w:r>
          </w:p>
        </w:tc>
        <w:tc>
          <w:tcPr>
            <w:tcW w:w="2315" w:type="dxa"/>
            <w:gridSpan w:val="2"/>
            <w:tcBorders>
              <w:top w:val="single" w:sz="4" w:space="0" w:color="427730"/>
              <w:left w:val="single" w:sz="4" w:space="0" w:color="427730"/>
              <w:bottom w:val="single" w:sz="4" w:space="0" w:color="427730"/>
              <w:right w:val="nil"/>
            </w:tcBorders>
            <w:shd w:val="clear" w:color="000000" w:fill="427730"/>
            <w:noWrap/>
            <w:vAlign w:val="center"/>
            <w:hideMark/>
          </w:tcPr>
          <w:p w14:paraId="12DAF5AE" w14:textId="77777777" w:rsidR="001E3377" w:rsidRPr="001E3377" w:rsidRDefault="001E3377" w:rsidP="001E3377">
            <w:pPr>
              <w:spacing w:after="0" w:line="240" w:lineRule="auto"/>
              <w:jc w:val="center"/>
              <w:rPr>
                <w:rFonts w:ascii="Calibri" w:eastAsia="Times New Roman" w:hAnsi="Calibri" w:cs="Times New Roman"/>
                <w:b/>
                <w:bCs/>
                <w:color w:val="FFFFFF"/>
                <w:lang w:eastAsia="en-AU"/>
              </w:rPr>
            </w:pPr>
            <w:r w:rsidRPr="001E3377">
              <w:rPr>
                <w:rFonts w:ascii="Calibri" w:eastAsia="Times New Roman" w:hAnsi="Calibri" w:cs="Times New Roman"/>
                <w:b/>
                <w:bCs/>
                <w:color w:val="FFFFFF"/>
                <w:lang w:eastAsia="en-AU"/>
              </w:rPr>
              <w:t>Penalty</w:t>
            </w:r>
          </w:p>
        </w:tc>
      </w:tr>
      <w:tr w:rsidR="001E3377" w:rsidRPr="001E3377" w14:paraId="4123E706" w14:textId="77777777" w:rsidTr="00B172D3">
        <w:trPr>
          <w:trHeight w:val="658"/>
        </w:trPr>
        <w:tc>
          <w:tcPr>
            <w:tcW w:w="3742" w:type="dxa"/>
            <w:gridSpan w:val="2"/>
            <w:vMerge/>
            <w:tcBorders>
              <w:top w:val="single" w:sz="4" w:space="0" w:color="A6A6A6"/>
              <w:left w:val="nil"/>
              <w:bottom w:val="single" w:sz="4" w:space="0" w:color="17365D"/>
              <w:right w:val="nil"/>
            </w:tcBorders>
            <w:shd w:val="clear" w:color="auto" w:fill="365F91" w:themeFill="accent1" w:themeFillShade="BF"/>
            <w:vAlign w:val="center"/>
            <w:hideMark/>
          </w:tcPr>
          <w:p w14:paraId="7A60D19D" w14:textId="77777777" w:rsidR="001E3377" w:rsidRPr="001E3377" w:rsidRDefault="001E3377" w:rsidP="001E3377">
            <w:pPr>
              <w:spacing w:after="0" w:line="240" w:lineRule="auto"/>
              <w:rPr>
                <w:rFonts w:ascii="Calibri" w:eastAsia="Times New Roman" w:hAnsi="Calibri" w:cs="Times New Roman"/>
                <w:b/>
                <w:bCs/>
                <w:color w:val="FFFFFF"/>
                <w:lang w:eastAsia="en-AU"/>
              </w:rPr>
            </w:pPr>
          </w:p>
        </w:tc>
        <w:tc>
          <w:tcPr>
            <w:tcW w:w="1158" w:type="dxa"/>
            <w:tcBorders>
              <w:top w:val="nil"/>
              <w:left w:val="single" w:sz="4" w:space="0" w:color="A6A6A6"/>
              <w:bottom w:val="single" w:sz="4" w:space="0" w:color="A6A6A6"/>
              <w:right w:val="single" w:sz="4" w:space="0" w:color="A6A6A6"/>
            </w:tcBorders>
            <w:shd w:val="clear" w:color="000000" w:fill="FFC5C5"/>
            <w:vAlign w:val="bottom"/>
            <w:hideMark/>
          </w:tcPr>
          <w:p w14:paraId="6F566ED7" w14:textId="77777777" w:rsidR="001E3377" w:rsidRPr="001E3377" w:rsidRDefault="001E3377" w:rsidP="001E3377">
            <w:pPr>
              <w:spacing w:after="0" w:line="240" w:lineRule="auto"/>
              <w:jc w:val="center"/>
              <w:rPr>
                <w:rFonts w:ascii="Calibri" w:eastAsia="Times New Roman" w:hAnsi="Calibri" w:cs="Times New Roman"/>
                <w:color w:val="000000"/>
                <w:sz w:val="16"/>
                <w:szCs w:val="16"/>
                <w:lang w:eastAsia="en-AU"/>
              </w:rPr>
            </w:pPr>
            <w:r w:rsidRPr="001E3377">
              <w:rPr>
                <w:rFonts w:ascii="Calibri" w:eastAsia="Times New Roman" w:hAnsi="Calibri" w:cs="Times New Roman"/>
                <w:b/>
                <w:bCs/>
                <w:color w:val="000000"/>
                <w:sz w:val="16"/>
                <w:szCs w:val="16"/>
                <w:lang w:eastAsia="en-AU"/>
              </w:rPr>
              <w:t>Cool (25)</w:t>
            </w:r>
            <w:r w:rsidRPr="001E3377">
              <w:rPr>
                <w:rFonts w:ascii="Calibri" w:eastAsia="Times New Roman" w:hAnsi="Calibri" w:cs="Times New Roman"/>
                <w:b/>
                <w:bCs/>
                <w:color w:val="000000"/>
                <w:sz w:val="16"/>
                <w:szCs w:val="16"/>
                <w:lang w:eastAsia="en-AU"/>
              </w:rPr>
              <w:br/>
            </w:r>
            <w:r w:rsidRPr="001E3377">
              <w:rPr>
                <w:rFonts w:ascii="Calibri" w:eastAsia="Times New Roman" w:hAnsi="Calibri" w:cs="Times New Roman"/>
                <w:color w:val="000000"/>
                <w:sz w:val="16"/>
                <w:szCs w:val="16"/>
                <w:lang w:eastAsia="en-AU"/>
              </w:rPr>
              <w:t>Equals Historical Max</w:t>
            </w:r>
          </w:p>
        </w:tc>
        <w:tc>
          <w:tcPr>
            <w:tcW w:w="1158" w:type="dxa"/>
            <w:tcBorders>
              <w:top w:val="nil"/>
              <w:left w:val="nil"/>
              <w:bottom w:val="single" w:sz="4" w:space="0" w:color="A6A6A6"/>
              <w:right w:val="single" w:sz="4" w:space="0" w:color="A6A6A6"/>
            </w:tcBorders>
            <w:shd w:val="clear" w:color="000000" w:fill="FFC5C5"/>
            <w:vAlign w:val="bottom"/>
            <w:hideMark/>
          </w:tcPr>
          <w:p w14:paraId="61E72337" w14:textId="77777777" w:rsidR="001E3377" w:rsidRPr="001E3377" w:rsidRDefault="001E3377" w:rsidP="001E3377">
            <w:pPr>
              <w:spacing w:after="0" w:line="240" w:lineRule="auto"/>
              <w:jc w:val="center"/>
              <w:rPr>
                <w:rFonts w:ascii="Calibri" w:eastAsia="Times New Roman" w:hAnsi="Calibri" w:cs="Times New Roman"/>
                <w:color w:val="000000"/>
                <w:sz w:val="16"/>
                <w:szCs w:val="16"/>
                <w:lang w:eastAsia="en-AU"/>
              </w:rPr>
            </w:pPr>
            <w:r w:rsidRPr="001E3377">
              <w:rPr>
                <w:rFonts w:ascii="Calibri" w:eastAsia="Times New Roman" w:hAnsi="Calibri" w:cs="Times New Roman"/>
                <w:b/>
                <w:bCs/>
                <w:color w:val="000000"/>
                <w:sz w:val="16"/>
                <w:szCs w:val="16"/>
                <w:lang w:eastAsia="en-AU"/>
              </w:rPr>
              <w:t>Ext. Cool (5)</w:t>
            </w:r>
            <w:r w:rsidRPr="001E3377">
              <w:rPr>
                <w:rFonts w:ascii="Calibri" w:eastAsia="Times New Roman" w:hAnsi="Calibri" w:cs="Times New Roman"/>
                <w:b/>
                <w:bCs/>
                <w:color w:val="000000"/>
                <w:sz w:val="16"/>
                <w:szCs w:val="16"/>
                <w:lang w:eastAsia="en-AU"/>
              </w:rPr>
              <w:br/>
            </w:r>
            <w:r w:rsidRPr="001E3377">
              <w:rPr>
                <w:rFonts w:ascii="Calibri" w:eastAsia="Times New Roman" w:hAnsi="Calibri" w:cs="Times New Roman"/>
                <w:color w:val="000000"/>
                <w:sz w:val="16"/>
                <w:szCs w:val="16"/>
                <w:lang w:eastAsia="en-AU"/>
              </w:rPr>
              <w:t>Equals Historical Max</w:t>
            </w:r>
          </w:p>
        </w:tc>
        <w:tc>
          <w:tcPr>
            <w:tcW w:w="1158" w:type="dxa"/>
            <w:tcBorders>
              <w:top w:val="nil"/>
              <w:left w:val="nil"/>
              <w:bottom w:val="single" w:sz="4" w:space="0" w:color="A6A6A6"/>
              <w:right w:val="single" w:sz="4" w:space="0" w:color="A6A6A6"/>
            </w:tcBorders>
            <w:shd w:val="clear" w:color="000000" w:fill="E9F3E4"/>
            <w:vAlign w:val="bottom"/>
            <w:hideMark/>
          </w:tcPr>
          <w:p w14:paraId="7B3EF195" w14:textId="77777777" w:rsidR="001E3377" w:rsidRPr="001E3377" w:rsidRDefault="001E3377" w:rsidP="001E3377">
            <w:pPr>
              <w:spacing w:after="0" w:line="240" w:lineRule="auto"/>
              <w:jc w:val="center"/>
              <w:rPr>
                <w:rFonts w:ascii="Calibri" w:eastAsia="Times New Roman" w:hAnsi="Calibri" w:cs="Times New Roman"/>
                <w:color w:val="000000"/>
                <w:sz w:val="16"/>
                <w:szCs w:val="16"/>
                <w:lang w:eastAsia="en-AU"/>
              </w:rPr>
            </w:pPr>
            <w:r w:rsidRPr="001E3377">
              <w:rPr>
                <w:rFonts w:ascii="Calibri" w:eastAsia="Times New Roman" w:hAnsi="Calibri" w:cs="Times New Roman"/>
                <w:b/>
                <w:bCs/>
                <w:color w:val="000000"/>
                <w:sz w:val="16"/>
                <w:szCs w:val="16"/>
                <w:lang w:eastAsia="en-AU"/>
              </w:rPr>
              <w:t>Hot (75)</w:t>
            </w:r>
            <w:r w:rsidRPr="001E3377">
              <w:rPr>
                <w:rFonts w:ascii="Calibri" w:eastAsia="Times New Roman" w:hAnsi="Calibri" w:cs="Times New Roman"/>
                <w:b/>
                <w:bCs/>
                <w:color w:val="000000"/>
                <w:sz w:val="16"/>
                <w:szCs w:val="16"/>
                <w:lang w:eastAsia="en-AU"/>
              </w:rPr>
              <w:br/>
            </w:r>
            <w:r w:rsidRPr="001E3377">
              <w:rPr>
                <w:rFonts w:ascii="Calibri" w:eastAsia="Times New Roman" w:hAnsi="Calibri" w:cs="Times New Roman"/>
                <w:color w:val="000000"/>
                <w:sz w:val="16"/>
                <w:szCs w:val="16"/>
                <w:lang w:eastAsia="en-AU"/>
              </w:rPr>
              <w:t>Equals Historical Max</w:t>
            </w:r>
          </w:p>
        </w:tc>
        <w:tc>
          <w:tcPr>
            <w:tcW w:w="1158" w:type="dxa"/>
            <w:tcBorders>
              <w:top w:val="nil"/>
              <w:left w:val="nil"/>
              <w:bottom w:val="single" w:sz="4" w:space="0" w:color="A6A6A6"/>
              <w:right w:val="single" w:sz="4" w:space="0" w:color="A6A6A6"/>
            </w:tcBorders>
            <w:shd w:val="clear" w:color="000000" w:fill="E9F3E4"/>
            <w:vAlign w:val="bottom"/>
            <w:hideMark/>
          </w:tcPr>
          <w:p w14:paraId="38C6E3F4" w14:textId="77777777" w:rsidR="001E3377" w:rsidRPr="001E3377" w:rsidRDefault="001E3377" w:rsidP="001E3377">
            <w:pPr>
              <w:spacing w:after="0" w:line="240" w:lineRule="auto"/>
              <w:jc w:val="center"/>
              <w:rPr>
                <w:rFonts w:ascii="Calibri" w:eastAsia="Times New Roman" w:hAnsi="Calibri" w:cs="Times New Roman"/>
                <w:color w:val="000000"/>
                <w:sz w:val="16"/>
                <w:szCs w:val="16"/>
                <w:lang w:eastAsia="en-AU"/>
              </w:rPr>
            </w:pPr>
            <w:r w:rsidRPr="001E3377">
              <w:rPr>
                <w:rFonts w:ascii="Calibri" w:eastAsia="Times New Roman" w:hAnsi="Calibri" w:cs="Times New Roman"/>
                <w:b/>
                <w:bCs/>
                <w:color w:val="000000"/>
                <w:sz w:val="16"/>
                <w:szCs w:val="16"/>
                <w:lang w:eastAsia="en-AU"/>
              </w:rPr>
              <w:t>Ext. Hot (95)</w:t>
            </w:r>
            <w:r w:rsidRPr="001E3377">
              <w:rPr>
                <w:rFonts w:ascii="Calibri" w:eastAsia="Times New Roman" w:hAnsi="Calibri" w:cs="Times New Roman"/>
                <w:b/>
                <w:bCs/>
                <w:color w:val="000000"/>
                <w:sz w:val="16"/>
                <w:szCs w:val="16"/>
                <w:lang w:eastAsia="en-AU"/>
              </w:rPr>
              <w:br/>
            </w:r>
            <w:r w:rsidRPr="001E3377">
              <w:rPr>
                <w:rFonts w:ascii="Calibri" w:eastAsia="Times New Roman" w:hAnsi="Calibri" w:cs="Times New Roman"/>
                <w:color w:val="000000"/>
                <w:sz w:val="16"/>
                <w:szCs w:val="16"/>
                <w:lang w:eastAsia="en-AU"/>
              </w:rPr>
              <w:t>Equals Historical Max</w:t>
            </w:r>
          </w:p>
        </w:tc>
      </w:tr>
      <w:tr w:rsidR="001E3377" w:rsidRPr="001E3377" w14:paraId="677E9DE1" w14:textId="77777777" w:rsidTr="00B172D3">
        <w:trPr>
          <w:trHeight w:val="249"/>
        </w:trPr>
        <w:tc>
          <w:tcPr>
            <w:tcW w:w="1840" w:type="dxa"/>
            <w:tcBorders>
              <w:top w:val="single" w:sz="4" w:space="0" w:color="A6A6A6"/>
              <w:left w:val="single" w:sz="4" w:space="0" w:color="A6A6A6"/>
              <w:bottom w:val="single" w:sz="4" w:space="0" w:color="A6A6A6"/>
              <w:right w:val="nil"/>
            </w:tcBorders>
            <w:shd w:val="clear" w:color="auto" w:fill="365F91" w:themeFill="accent1" w:themeFillShade="BF"/>
            <w:vAlign w:val="center"/>
            <w:hideMark/>
          </w:tcPr>
          <w:p w14:paraId="1962B3CA"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AusNet Services</w:t>
            </w:r>
          </w:p>
        </w:tc>
        <w:tc>
          <w:tcPr>
            <w:tcW w:w="1902" w:type="dxa"/>
            <w:tcBorders>
              <w:top w:val="nil"/>
              <w:left w:val="nil"/>
              <w:bottom w:val="single" w:sz="4" w:space="0" w:color="A6A6A6"/>
              <w:right w:val="single" w:sz="4" w:space="0" w:color="A6A6A6"/>
            </w:tcBorders>
            <w:shd w:val="clear" w:color="auto" w:fill="365F91" w:themeFill="accent1" w:themeFillShade="BF"/>
            <w:vAlign w:val="center"/>
            <w:hideMark/>
          </w:tcPr>
          <w:p w14:paraId="7A98015B"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 </w:t>
            </w:r>
          </w:p>
        </w:tc>
        <w:tc>
          <w:tcPr>
            <w:tcW w:w="1158" w:type="dxa"/>
            <w:tcBorders>
              <w:top w:val="nil"/>
              <w:left w:val="nil"/>
              <w:bottom w:val="single" w:sz="4" w:space="0" w:color="A6A6A6"/>
              <w:right w:val="single" w:sz="4" w:space="0" w:color="A6A6A6"/>
            </w:tcBorders>
            <w:shd w:val="clear" w:color="auto" w:fill="auto"/>
            <w:noWrap/>
            <w:vAlign w:val="center"/>
            <w:hideMark/>
          </w:tcPr>
          <w:p w14:paraId="3478EA02"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$49,987</w:t>
            </w:r>
          </w:p>
        </w:tc>
        <w:tc>
          <w:tcPr>
            <w:tcW w:w="1158" w:type="dxa"/>
            <w:tcBorders>
              <w:top w:val="nil"/>
              <w:left w:val="nil"/>
              <w:bottom w:val="single" w:sz="4" w:space="0" w:color="A6A6A6"/>
              <w:right w:val="single" w:sz="4" w:space="0" w:color="A6A6A6"/>
            </w:tcBorders>
            <w:shd w:val="clear" w:color="auto" w:fill="auto"/>
            <w:noWrap/>
            <w:vAlign w:val="center"/>
            <w:hideMark/>
          </w:tcPr>
          <w:p w14:paraId="1DB6226D"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$30,257</w:t>
            </w:r>
          </w:p>
        </w:tc>
        <w:tc>
          <w:tcPr>
            <w:tcW w:w="1158" w:type="dxa"/>
            <w:tcBorders>
              <w:top w:val="nil"/>
              <w:left w:val="nil"/>
              <w:bottom w:val="single" w:sz="4" w:space="0" w:color="A6A6A6"/>
              <w:right w:val="single" w:sz="4" w:space="0" w:color="A6A6A6"/>
            </w:tcBorders>
            <w:shd w:val="clear" w:color="auto" w:fill="auto"/>
            <w:noWrap/>
            <w:vAlign w:val="center"/>
            <w:hideMark/>
          </w:tcPr>
          <w:p w14:paraId="6F535EF3" w14:textId="77777777" w:rsidR="001E3377" w:rsidRPr="001E3377" w:rsidRDefault="001E3377" w:rsidP="001E3377">
            <w:pPr>
              <w:spacing w:after="0" w:line="240" w:lineRule="auto"/>
              <w:jc w:val="center"/>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N/A</w:t>
            </w:r>
          </w:p>
        </w:tc>
        <w:tc>
          <w:tcPr>
            <w:tcW w:w="1158" w:type="dxa"/>
            <w:tcBorders>
              <w:top w:val="nil"/>
              <w:left w:val="nil"/>
              <w:bottom w:val="single" w:sz="4" w:space="0" w:color="A6A6A6"/>
              <w:right w:val="single" w:sz="4" w:space="0" w:color="A6A6A6"/>
            </w:tcBorders>
            <w:shd w:val="clear" w:color="auto" w:fill="auto"/>
            <w:noWrap/>
            <w:vAlign w:val="center"/>
            <w:hideMark/>
          </w:tcPr>
          <w:p w14:paraId="6C6E88AF" w14:textId="77777777" w:rsidR="001E3377" w:rsidRPr="001E3377" w:rsidRDefault="001E3377" w:rsidP="001E3377">
            <w:pPr>
              <w:spacing w:after="0" w:line="240" w:lineRule="auto"/>
              <w:jc w:val="center"/>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N/A</w:t>
            </w:r>
          </w:p>
        </w:tc>
      </w:tr>
      <w:tr w:rsidR="001E3377" w:rsidRPr="001E3377" w14:paraId="69A5876B" w14:textId="77777777" w:rsidTr="00B172D3">
        <w:trPr>
          <w:trHeight w:val="249"/>
        </w:trPr>
        <w:tc>
          <w:tcPr>
            <w:tcW w:w="1840" w:type="dxa"/>
            <w:tcBorders>
              <w:top w:val="single" w:sz="4" w:space="0" w:color="A6A6A6"/>
              <w:left w:val="single" w:sz="4" w:space="0" w:color="A6A6A6"/>
              <w:bottom w:val="single" w:sz="4" w:space="0" w:color="A6A6A6"/>
              <w:right w:val="nil"/>
            </w:tcBorders>
            <w:shd w:val="clear" w:color="000000" w:fill="365F91" w:themeFill="accent1" w:themeFillShade="BF"/>
            <w:vAlign w:val="center"/>
            <w:hideMark/>
          </w:tcPr>
          <w:p w14:paraId="7F7BA7C3"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Citipower</w:t>
            </w:r>
          </w:p>
        </w:tc>
        <w:tc>
          <w:tcPr>
            <w:tcW w:w="1902" w:type="dxa"/>
            <w:tcBorders>
              <w:top w:val="single" w:sz="4" w:space="0" w:color="A6A6A6"/>
              <w:left w:val="nil"/>
              <w:bottom w:val="single" w:sz="4" w:space="0" w:color="A6A6A6"/>
              <w:right w:val="single" w:sz="4" w:space="0" w:color="A6A6A6"/>
            </w:tcBorders>
            <w:shd w:val="clear" w:color="000000" w:fill="365F91" w:themeFill="accent1" w:themeFillShade="BF"/>
            <w:vAlign w:val="center"/>
            <w:hideMark/>
          </w:tcPr>
          <w:p w14:paraId="45DFDAAD"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 </w:t>
            </w:r>
          </w:p>
        </w:tc>
        <w:tc>
          <w:tcPr>
            <w:tcW w:w="1158" w:type="dxa"/>
            <w:tcBorders>
              <w:top w:val="nil"/>
              <w:left w:val="nil"/>
              <w:bottom w:val="single" w:sz="4" w:space="0" w:color="A6A6A6"/>
              <w:right w:val="single" w:sz="4" w:space="0" w:color="A6A6A6"/>
            </w:tcBorders>
            <w:shd w:val="clear" w:color="auto" w:fill="auto"/>
            <w:noWrap/>
            <w:vAlign w:val="center"/>
            <w:hideMark/>
          </w:tcPr>
          <w:p w14:paraId="37D4FBD6"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$185,905</w:t>
            </w:r>
          </w:p>
        </w:tc>
        <w:tc>
          <w:tcPr>
            <w:tcW w:w="1158" w:type="dxa"/>
            <w:tcBorders>
              <w:top w:val="nil"/>
              <w:left w:val="nil"/>
              <w:bottom w:val="single" w:sz="4" w:space="0" w:color="A6A6A6"/>
              <w:right w:val="single" w:sz="4" w:space="0" w:color="A6A6A6"/>
            </w:tcBorders>
            <w:shd w:val="clear" w:color="auto" w:fill="auto"/>
            <w:noWrap/>
            <w:vAlign w:val="center"/>
            <w:hideMark/>
          </w:tcPr>
          <w:p w14:paraId="00CE042F"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$144,091</w:t>
            </w:r>
          </w:p>
        </w:tc>
        <w:tc>
          <w:tcPr>
            <w:tcW w:w="1158" w:type="dxa"/>
            <w:tcBorders>
              <w:top w:val="nil"/>
              <w:left w:val="nil"/>
              <w:bottom w:val="single" w:sz="4" w:space="0" w:color="A6A6A6"/>
              <w:right w:val="single" w:sz="4" w:space="0" w:color="A6A6A6"/>
            </w:tcBorders>
            <w:shd w:val="clear" w:color="auto" w:fill="auto"/>
            <w:noWrap/>
            <w:vAlign w:val="center"/>
            <w:hideMark/>
          </w:tcPr>
          <w:p w14:paraId="7A831E77"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$39,766</w:t>
            </w:r>
          </w:p>
        </w:tc>
        <w:tc>
          <w:tcPr>
            <w:tcW w:w="1158" w:type="dxa"/>
            <w:tcBorders>
              <w:top w:val="nil"/>
              <w:left w:val="nil"/>
              <w:bottom w:val="single" w:sz="4" w:space="0" w:color="A6A6A6"/>
              <w:right w:val="single" w:sz="4" w:space="0" w:color="A6A6A6"/>
            </w:tcBorders>
            <w:shd w:val="clear" w:color="auto" w:fill="auto"/>
            <w:noWrap/>
            <w:vAlign w:val="center"/>
            <w:hideMark/>
          </w:tcPr>
          <w:p w14:paraId="1334BF8F"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$20,220</w:t>
            </w:r>
          </w:p>
        </w:tc>
      </w:tr>
      <w:tr w:rsidR="001E3377" w:rsidRPr="001E3377" w14:paraId="6C9DFC08" w14:textId="77777777" w:rsidTr="00B172D3">
        <w:trPr>
          <w:trHeight w:val="249"/>
        </w:trPr>
        <w:tc>
          <w:tcPr>
            <w:tcW w:w="1840" w:type="dxa"/>
            <w:tcBorders>
              <w:top w:val="single" w:sz="4" w:space="0" w:color="A6A6A6"/>
              <w:left w:val="single" w:sz="4" w:space="0" w:color="A6A6A6"/>
              <w:bottom w:val="single" w:sz="4" w:space="0" w:color="A6A6A6"/>
              <w:right w:val="nil"/>
            </w:tcBorders>
            <w:shd w:val="clear" w:color="000000" w:fill="365F91" w:themeFill="accent1" w:themeFillShade="BF"/>
            <w:vAlign w:val="center"/>
            <w:hideMark/>
          </w:tcPr>
          <w:p w14:paraId="0E49161A"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Jemena</w:t>
            </w:r>
          </w:p>
        </w:tc>
        <w:tc>
          <w:tcPr>
            <w:tcW w:w="1902" w:type="dxa"/>
            <w:tcBorders>
              <w:top w:val="single" w:sz="4" w:space="0" w:color="A6A6A6"/>
              <w:left w:val="nil"/>
              <w:bottom w:val="single" w:sz="4" w:space="0" w:color="A6A6A6"/>
              <w:right w:val="single" w:sz="4" w:space="0" w:color="A6A6A6"/>
            </w:tcBorders>
            <w:shd w:val="clear" w:color="000000" w:fill="365F91" w:themeFill="accent1" w:themeFillShade="BF"/>
            <w:vAlign w:val="center"/>
            <w:hideMark/>
          </w:tcPr>
          <w:p w14:paraId="24E18B16"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 </w:t>
            </w:r>
          </w:p>
        </w:tc>
        <w:tc>
          <w:tcPr>
            <w:tcW w:w="1158" w:type="dxa"/>
            <w:tcBorders>
              <w:top w:val="nil"/>
              <w:left w:val="nil"/>
              <w:bottom w:val="single" w:sz="4" w:space="0" w:color="A6A6A6"/>
              <w:right w:val="single" w:sz="4" w:space="0" w:color="A6A6A6"/>
            </w:tcBorders>
            <w:shd w:val="clear" w:color="auto" w:fill="auto"/>
            <w:noWrap/>
            <w:vAlign w:val="center"/>
            <w:hideMark/>
          </w:tcPr>
          <w:p w14:paraId="7BA181D6"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$139,263</w:t>
            </w:r>
          </w:p>
        </w:tc>
        <w:tc>
          <w:tcPr>
            <w:tcW w:w="1158" w:type="dxa"/>
            <w:tcBorders>
              <w:top w:val="nil"/>
              <w:left w:val="nil"/>
              <w:bottom w:val="single" w:sz="4" w:space="0" w:color="A6A6A6"/>
              <w:right w:val="single" w:sz="4" w:space="0" w:color="A6A6A6"/>
            </w:tcBorders>
            <w:shd w:val="clear" w:color="auto" w:fill="auto"/>
            <w:noWrap/>
            <w:vAlign w:val="center"/>
            <w:hideMark/>
          </w:tcPr>
          <w:p w14:paraId="7DFEED71"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$62,113</w:t>
            </w:r>
          </w:p>
        </w:tc>
        <w:tc>
          <w:tcPr>
            <w:tcW w:w="1158" w:type="dxa"/>
            <w:tcBorders>
              <w:top w:val="nil"/>
              <w:left w:val="nil"/>
              <w:bottom w:val="single" w:sz="4" w:space="0" w:color="A6A6A6"/>
              <w:right w:val="single" w:sz="4" w:space="0" w:color="A6A6A6"/>
            </w:tcBorders>
            <w:shd w:val="clear" w:color="auto" w:fill="auto"/>
            <w:noWrap/>
            <w:vAlign w:val="center"/>
            <w:hideMark/>
          </w:tcPr>
          <w:p w14:paraId="37E80E40"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$349,956</w:t>
            </w:r>
          </w:p>
        </w:tc>
        <w:tc>
          <w:tcPr>
            <w:tcW w:w="1158" w:type="dxa"/>
            <w:tcBorders>
              <w:top w:val="nil"/>
              <w:left w:val="nil"/>
              <w:bottom w:val="single" w:sz="4" w:space="0" w:color="A6A6A6"/>
              <w:right w:val="single" w:sz="4" w:space="0" w:color="A6A6A6"/>
            </w:tcBorders>
            <w:shd w:val="clear" w:color="auto" w:fill="auto"/>
            <w:noWrap/>
            <w:vAlign w:val="center"/>
            <w:hideMark/>
          </w:tcPr>
          <w:p w14:paraId="5C776D03"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$159,421</w:t>
            </w:r>
          </w:p>
        </w:tc>
      </w:tr>
      <w:tr w:rsidR="001E3377" w:rsidRPr="001E3377" w14:paraId="594F0326" w14:textId="77777777" w:rsidTr="00B172D3">
        <w:trPr>
          <w:trHeight w:val="249"/>
        </w:trPr>
        <w:tc>
          <w:tcPr>
            <w:tcW w:w="1840" w:type="dxa"/>
            <w:tcBorders>
              <w:top w:val="single" w:sz="4" w:space="0" w:color="A6A6A6"/>
              <w:left w:val="single" w:sz="4" w:space="0" w:color="A6A6A6"/>
              <w:bottom w:val="single" w:sz="4" w:space="0" w:color="A6A6A6"/>
              <w:right w:val="nil"/>
            </w:tcBorders>
            <w:shd w:val="clear" w:color="000000" w:fill="365F91" w:themeFill="accent1" w:themeFillShade="BF"/>
            <w:vAlign w:val="center"/>
            <w:hideMark/>
          </w:tcPr>
          <w:p w14:paraId="03DAA6FC"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Powercor</w:t>
            </w:r>
          </w:p>
        </w:tc>
        <w:tc>
          <w:tcPr>
            <w:tcW w:w="1902" w:type="dxa"/>
            <w:tcBorders>
              <w:top w:val="single" w:sz="4" w:space="0" w:color="A6A6A6"/>
              <w:left w:val="nil"/>
              <w:bottom w:val="single" w:sz="4" w:space="0" w:color="A6A6A6"/>
              <w:right w:val="single" w:sz="4" w:space="0" w:color="A6A6A6"/>
            </w:tcBorders>
            <w:shd w:val="clear" w:color="000000" w:fill="365F91" w:themeFill="accent1" w:themeFillShade="BF"/>
            <w:vAlign w:val="center"/>
            <w:hideMark/>
          </w:tcPr>
          <w:p w14:paraId="7644D08F"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 </w:t>
            </w:r>
          </w:p>
        </w:tc>
        <w:tc>
          <w:tcPr>
            <w:tcW w:w="1158" w:type="dxa"/>
            <w:tcBorders>
              <w:top w:val="nil"/>
              <w:left w:val="nil"/>
              <w:bottom w:val="single" w:sz="4" w:space="0" w:color="A6A6A6"/>
              <w:right w:val="single" w:sz="4" w:space="0" w:color="A6A6A6"/>
            </w:tcBorders>
            <w:shd w:val="clear" w:color="auto" w:fill="auto"/>
            <w:noWrap/>
            <w:vAlign w:val="center"/>
            <w:hideMark/>
          </w:tcPr>
          <w:p w14:paraId="4901F4EF"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$13,097</w:t>
            </w:r>
          </w:p>
        </w:tc>
        <w:tc>
          <w:tcPr>
            <w:tcW w:w="1158" w:type="dxa"/>
            <w:tcBorders>
              <w:top w:val="nil"/>
              <w:left w:val="nil"/>
              <w:bottom w:val="single" w:sz="4" w:space="0" w:color="A6A6A6"/>
              <w:right w:val="single" w:sz="4" w:space="0" w:color="A6A6A6"/>
            </w:tcBorders>
            <w:shd w:val="clear" w:color="auto" w:fill="auto"/>
            <w:noWrap/>
            <w:vAlign w:val="center"/>
            <w:hideMark/>
          </w:tcPr>
          <w:p w14:paraId="6B1E5FBF"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$9,168</w:t>
            </w:r>
          </w:p>
        </w:tc>
        <w:tc>
          <w:tcPr>
            <w:tcW w:w="1158" w:type="dxa"/>
            <w:tcBorders>
              <w:top w:val="nil"/>
              <w:left w:val="nil"/>
              <w:bottom w:val="single" w:sz="4" w:space="0" w:color="A6A6A6"/>
              <w:right w:val="single" w:sz="4" w:space="0" w:color="A6A6A6"/>
            </w:tcBorders>
            <w:shd w:val="clear" w:color="auto" w:fill="auto"/>
            <w:noWrap/>
            <w:vAlign w:val="center"/>
            <w:hideMark/>
          </w:tcPr>
          <w:p w14:paraId="074C03F2"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$16,988</w:t>
            </w:r>
          </w:p>
        </w:tc>
        <w:tc>
          <w:tcPr>
            <w:tcW w:w="1158" w:type="dxa"/>
            <w:tcBorders>
              <w:top w:val="nil"/>
              <w:left w:val="nil"/>
              <w:bottom w:val="single" w:sz="4" w:space="0" w:color="A6A6A6"/>
              <w:right w:val="single" w:sz="4" w:space="0" w:color="A6A6A6"/>
            </w:tcBorders>
            <w:shd w:val="clear" w:color="auto" w:fill="auto"/>
            <w:noWrap/>
            <w:vAlign w:val="center"/>
            <w:hideMark/>
          </w:tcPr>
          <w:p w14:paraId="0A40216D"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$9,452</w:t>
            </w:r>
          </w:p>
        </w:tc>
      </w:tr>
      <w:tr w:rsidR="001E3377" w:rsidRPr="001E3377" w14:paraId="356831F7" w14:textId="77777777" w:rsidTr="00B172D3">
        <w:trPr>
          <w:trHeight w:val="249"/>
        </w:trPr>
        <w:tc>
          <w:tcPr>
            <w:tcW w:w="1840" w:type="dxa"/>
            <w:tcBorders>
              <w:top w:val="single" w:sz="4" w:space="0" w:color="A6A6A6"/>
              <w:left w:val="single" w:sz="4" w:space="0" w:color="A6A6A6"/>
              <w:bottom w:val="single" w:sz="4" w:space="0" w:color="A6A6A6"/>
              <w:right w:val="nil"/>
            </w:tcBorders>
            <w:shd w:val="clear" w:color="000000" w:fill="365F91" w:themeFill="accent1" w:themeFillShade="BF"/>
            <w:vAlign w:val="center"/>
            <w:hideMark/>
          </w:tcPr>
          <w:p w14:paraId="4738BD9E"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United Energy</w:t>
            </w:r>
          </w:p>
        </w:tc>
        <w:tc>
          <w:tcPr>
            <w:tcW w:w="1902" w:type="dxa"/>
            <w:tcBorders>
              <w:top w:val="single" w:sz="4" w:space="0" w:color="A6A6A6"/>
              <w:left w:val="nil"/>
              <w:bottom w:val="single" w:sz="4" w:space="0" w:color="A6A6A6"/>
              <w:right w:val="single" w:sz="4" w:space="0" w:color="A6A6A6"/>
            </w:tcBorders>
            <w:shd w:val="clear" w:color="000000" w:fill="365F91" w:themeFill="accent1" w:themeFillShade="BF"/>
            <w:vAlign w:val="center"/>
            <w:hideMark/>
          </w:tcPr>
          <w:p w14:paraId="66CF370E" w14:textId="77777777" w:rsidR="001E3377" w:rsidRPr="00B172D3" w:rsidRDefault="001E3377" w:rsidP="001E3377">
            <w:pPr>
              <w:spacing w:after="0" w:line="240" w:lineRule="auto"/>
              <w:rPr>
                <w:rFonts w:ascii="Calibri" w:eastAsia="Times New Roman" w:hAnsi="Calibri" w:cs="Times New Roman"/>
                <w:b/>
                <w:color w:val="FFFFFF" w:themeColor="background1"/>
                <w:sz w:val="18"/>
                <w:szCs w:val="18"/>
                <w:lang w:eastAsia="en-AU"/>
              </w:rPr>
            </w:pPr>
            <w:r w:rsidRPr="00B172D3">
              <w:rPr>
                <w:rFonts w:ascii="Calibri" w:eastAsia="Times New Roman" w:hAnsi="Calibri" w:cs="Times New Roman"/>
                <w:b/>
                <w:color w:val="FFFFFF" w:themeColor="background1"/>
                <w:sz w:val="18"/>
                <w:szCs w:val="18"/>
                <w:lang w:eastAsia="en-AU"/>
              </w:rPr>
              <w:t> </w:t>
            </w:r>
          </w:p>
        </w:tc>
        <w:tc>
          <w:tcPr>
            <w:tcW w:w="1158" w:type="dxa"/>
            <w:tcBorders>
              <w:top w:val="nil"/>
              <w:left w:val="nil"/>
              <w:bottom w:val="single" w:sz="4" w:space="0" w:color="A6A6A6"/>
              <w:right w:val="single" w:sz="4" w:space="0" w:color="A6A6A6"/>
            </w:tcBorders>
            <w:shd w:val="clear" w:color="auto" w:fill="auto"/>
            <w:noWrap/>
            <w:vAlign w:val="center"/>
            <w:hideMark/>
          </w:tcPr>
          <w:p w14:paraId="367FFA10"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$75,849</w:t>
            </w:r>
          </w:p>
        </w:tc>
        <w:tc>
          <w:tcPr>
            <w:tcW w:w="1158" w:type="dxa"/>
            <w:tcBorders>
              <w:top w:val="nil"/>
              <w:left w:val="nil"/>
              <w:bottom w:val="single" w:sz="4" w:space="0" w:color="A6A6A6"/>
              <w:right w:val="single" w:sz="4" w:space="0" w:color="A6A6A6"/>
            </w:tcBorders>
            <w:shd w:val="clear" w:color="auto" w:fill="auto"/>
            <w:noWrap/>
            <w:vAlign w:val="center"/>
            <w:hideMark/>
          </w:tcPr>
          <w:p w14:paraId="66A919D1"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$66,574</w:t>
            </w:r>
          </w:p>
        </w:tc>
        <w:tc>
          <w:tcPr>
            <w:tcW w:w="1158" w:type="dxa"/>
            <w:tcBorders>
              <w:top w:val="nil"/>
              <w:left w:val="nil"/>
              <w:bottom w:val="single" w:sz="4" w:space="0" w:color="A6A6A6"/>
              <w:right w:val="single" w:sz="4" w:space="0" w:color="A6A6A6"/>
            </w:tcBorders>
            <w:shd w:val="clear" w:color="auto" w:fill="auto"/>
            <w:noWrap/>
            <w:vAlign w:val="center"/>
            <w:hideMark/>
          </w:tcPr>
          <w:p w14:paraId="0050573F"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$253,398</w:t>
            </w:r>
          </w:p>
        </w:tc>
        <w:tc>
          <w:tcPr>
            <w:tcW w:w="1158" w:type="dxa"/>
            <w:tcBorders>
              <w:top w:val="nil"/>
              <w:left w:val="nil"/>
              <w:bottom w:val="single" w:sz="4" w:space="0" w:color="A6A6A6"/>
              <w:right w:val="single" w:sz="4" w:space="0" w:color="A6A6A6"/>
            </w:tcBorders>
            <w:shd w:val="clear" w:color="auto" w:fill="auto"/>
            <w:noWrap/>
            <w:vAlign w:val="center"/>
            <w:hideMark/>
          </w:tcPr>
          <w:p w14:paraId="252FCA14" w14:textId="77777777" w:rsidR="001E3377" w:rsidRPr="001E3377" w:rsidRDefault="001E3377" w:rsidP="001E3377">
            <w:pPr>
              <w:spacing w:after="0" w:line="240" w:lineRule="auto"/>
              <w:jc w:val="right"/>
              <w:rPr>
                <w:rFonts w:ascii="Calibri" w:eastAsia="Times New Roman" w:hAnsi="Calibri" w:cs="Times New Roman"/>
                <w:b/>
                <w:bCs/>
                <w:color w:val="000000"/>
                <w:sz w:val="18"/>
                <w:szCs w:val="18"/>
                <w:lang w:eastAsia="en-AU"/>
              </w:rPr>
            </w:pPr>
            <w:r w:rsidRPr="001E3377">
              <w:rPr>
                <w:rFonts w:ascii="Calibri" w:eastAsia="Times New Roman" w:hAnsi="Calibri" w:cs="Times New Roman"/>
                <w:b/>
                <w:bCs/>
                <w:color w:val="000000"/>
                <w:sz w:val="18"/>
                <w:szCs w:val="18"/>
                <w:lang w:eastAsia="en-AU"/>
              </w:rPr>
              <w:t>$168,044</w:t>
            </w:r>
          </w:p>
        </w:tc>
      </w:tr>
    </w:tbl>
    <w:p w14:paraId="7951AAA4" w14:textId="77777777" w:rsidR="001E3377" w:rsidRPr="001E3377" w:rsidRDefault="001E3377" w:rsidP="001E3377">
      <w:pPr>
        <w:spacing w:before="200" w:after="0"/>
        <w:rPr>
          <w:rFonts w:ascii="Candara" w:hAnsi="Candara"/>
        </w:rPr>
      </w:pPr>
      <w:r w:rsidRPr="001E3377">
        <w:rPr>
          <w:rFonts w:ascii="Candara" w:hAnsi="Candara"/>
        </w:rPr>
        <w:t>Only the Powercor results are in a range that would affect a decision on the Incentive Rate.</w:t>
      </w:r>
    </w:p>
    <w:p w14:paraId="4D0C5495" w14:textId="77777777" w:rsidR="001E3377" w:rsidRPr="001E3377" w:rsidRDefault="001E3377" w:rsidP="001E3377">
      <w:pPr>
        <w:rPr>
          <w:rFonts w:ascii="Candara" w:hAnsi="Candara"/>
          <w:b/>
          <w:color w:val="17365D"/>
          <w:u w:val="single"/>
        </w:rPr>
      </w:pPr>
      <w:r w:rsidRPr="001E3377">
        <w:rPr>
          <w:rFonts w:ascii="Candara" w:hAnsi="Candara"/>
          <w:b/>
          <w:color w:val="17365D"/>
          <w:u w:val="single"/>
        </w:rPr>
        <w:lastRenderedPageBreak/>
        <w:t>Value of individual ignitions</w:t>
      </w:r>
    </w:p>
    <w:p w14:paraId="6D15AD78" w14:textId="71509653" w:rsidR="00147B12" w:rsidRDefault="001E3377" w:rsidP="00425C51">
      <w:pPr>
        <w:spacing w:before="200"/>
        <w:ind w:right="-284"/>
        <w:rPr>
          <w:rFonts w:ascii="Candara" w:hAnsi="Candara"/>
        </w:rPr>
      </w:pPr>
      <w:r w:rsidRPr="001E3377">
        <w:rPr>
          <w:rFonts w:ascii="Candara" w:hAnsi="Candara"/>
        </w:rPr>
        <w:t>Another focus of the analysis was consideration of the value of individual ignitions, as set out below.</w:t>
      </w:r>
    </w:p>
    <w:p w14:paraId="73ACD086" w14:textId="4D2B9B80" w:rsidR="001E3377" w:rsidRPr="00C04B52" w:rsidRDefault="00C04B52" w:rsidP="00C04B52">
      <w:pPr>
        <w:keepNext/>
        <w:keepLines/>
        <w:tabs>
          <w:tab w:val="left" w:pos="1701"/>
        </w:tabs>
        <w:spacing w:before="180" w:after="120" w:line="240" w:lineRule="auto"/>
        <w:ind w:left="851" w:hanging="851"/>
        <w:rPr>
          <w:rFonts w:asciiTheme="majorHAnsi" w:eastAsiaTheme="majorEastAsia" w:hAnsiTheme="majorHAnsi" w:cstheme="majorBidi"/>
          <w:iCs/>
          <w:color w:val="243F60" w:themeColor="accent1" w:themeShade="7F"/>
        </w:rPr>
      </w:pPr>
      <w:r w:rsidRPr="00737925">
        <w:rPr>
          <w:noProof/>
          <w:lang w:eastAsia="en-AU"/>
        </w:rPr>
        <w:drawing>
          <wp:anchor distT="0" distB="0" distL="114300" distR="114300" simplePos="0" relativeHeight="251726848" behindDoc="0" locked="0" layoutInCell="1" allowOverlap="1" wp14:anchorId="07AF18BC" wp14:editId="6E118A5D">
            <wp:simplePos x="0" y="0"/>
            <wp:positionH relativeFrom="column">
              <wp:posOffset>42545</wp:posOffset>
            </wp:positionH>
            <wp:positionV relativeFrom="paragraph">
              <wp:posOffset>191770</wp:posOffset>
            </wp:positionV>
            <wp:extent cx="5770880" cy="7616190"/>
            <wp:effectExtent l="0" t="0" r="127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0880" cy="761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B12" w:rsidRPr="00147B12">
        <w:rPr>
          <w:rStyle w:val="Heading6Char"/>
          <w:iCs w:val="0"/>
        </w:rPr>
        <w:t>Figure A4.</w:t>
      </w:r>
      <w:r w:rsidR="00147B12">
        <w:rPr>
          <w:rStyle w:val="Heading6Char"/>
          <w:iCs w:val="0"/>
        </w:rPr>
        <w:t>8</w:t>
      </w:r>
      <w:r w:rsidR="00147B12" w:rsidRPr="00147B12">
        <w:rPr>
          <w:rStyle w:val="Heading6Char"/>
          <w:iCs w:val="0"/>
        </w:rPr>
        <w:t>: Value of Individual</w:t>
      </w:r>
      <w:r w:rsidR="00147B12" w:rsidRPr="00147B12">
        <w:rPr>
          <w:rStyle w:val="Heading6Char"/>
          <w:i w:val="0"/>
        </w:rPr>
        <w:t xml:space="preserve"> </w:t>
      </w:r>
      <w:r w:rsidR="00147B12" w:rsidRPr="00147B12">
        <w:rPr>
          <w:rStyle w:val="Heading6Char"/>
          <w:iCs w:val="0"/>
        </w:rPr>
        <w:t>Ignitions</w:t>
      </w:r>
    </w:p>
    <w:p w14:paraId="47C88F27" w14:textId="1188EE53" w:rsidR="001E3377" w:rsidRPr="001E3377" w:rsidRDefault="001E3377" w:rsidP="001E3377">
      <w:pPr>
        <w:spacing w:before="200"/>
      </w:pPr>
    </w:p>
    <w:p w14:paraId="7428A95A" w14:textId="77777777" w:rsidR="001E3377" w:rsidRDefault="001E3377" w:rsidP="001E3377">
      <w:pPr>
        <w:spacing w:after="0" w:line="240" w:lineRule="auto"/>
      </w:pPr>
    </w:p>
    <w:p w14:paraId="2384E689" w14:textId="77777777" w:rsidR="00C04B52" w:rsidRDefault="00C04B52" w:rsidP="001E3377">
      <w:pPr>
        <w:spacing w:after="0" w:line="240" w:lineRule="auto"/>
      </w:pPr>
    </w:p>
    <w:p w14:paraId="3C8CD456" w14:textId="77777777" w:rsidR="00C04B52" w:rsidRDefault="00C04B52" w:rsidP="001E3377">
      <w:pPr>
        <w:spacing w:after="0" w:line="240" w:lineRule="auto"/>
      </w:pPr>
    </w:p>
    <w:p w14:paraId="01BAB46C" w14:textId="77777777" w:rsidR="00C04B52" w:rsidRDefault="00C04B52" w:rsidP="001E3377">
      <w:pPr>
        <w:spacing w:after="0" w:line="240" w:lineRule="auto"/>
      </w:pPr>
    </w:p>
    <w:p w14:paraId="72A84A27" w14:textId="77777777" w:rsidR="00C04B52" w:rsidRDefault="00C04B52" w:rsidP="001E3377">
      <w:pPr>
        <w:spacing w:after="0" w:line="240" w:lineRule="auto"/>
      </w:pPr>
    </w:p>
    <w:p w14:paraId="3D31BFD8" w14:textId="77777777" w:rsidR="00C04B52" w:rsidRDefault="00C04B52" w:rsidP="001E3377">
      <w:pPr>
        <w:spacing w:after="0" w:line="240" w:lineRule="auto"/>
      </w:pPr>
    </w:p>
    <w:p w14:paraId="38998DAC" w14:textId="77777777" w:rsidR="00C04B52" w:rsidRDefault="00C04B52" w:rsidP="001E3377">
      <w:pPr>
        <w:spacing w:after="0" w:line="240" w:lineRule="auto"/>
      </w:pPr>
    </w:p>
    <w:p w14:paraId="75DCCEE8" w14:textId="77777777" w:rsidR="00C04B52" w:rsidRDefault="00C04B52" w:rsidP="001E3377">
      <w:pPr>
        <w:spacing w:after="0" w:line="240" w:lineRule="auto"/>
      </w:pPr>
    </w:p>
    <w:p w14:paraId="32FA88CD" w14:textId="77777777" w:rsidR="00C04B52" w:rsidRDefault="00C04B52" w:rsidP="001E3377">
      <w:pPr>
        <w:spacing w:after="0" w:line="240" w:lineRule="auto"/>
      </w:pPr>
    </w:p>
    <w:p w14:paraId="505EF750" w14:textId="77777777" w:rsidR="00C04B52" w:rsidRDefault="00C04B52" w:rsidP="001E3377">
      <w:pPr>
        <w:spacing w:after="0" w:line="240" w:lineRule="auto"/>
      </w:pPr>
    </w:p>
    <w:p w14:paraId="6642A5E8" w14:textId="77777777" w:rsidR="00C04B52" w:rsidRDefault="00C04B52" w:rsidP="001E3377">
      <w:pPr>
        <w:spacing w:after="0" w:line="240" w:lineRule="auto"/>
      </w:pPr>
    </w:p>
    <w:p w14:paraId="25E39A10" w14:textId="77777777" w:rsidR="00C04B52" w:rsidRDefault="00C04B52" w:rsidP="001E3377">
      <w:pPr>
        <w:spacing w:after="0" w:line="240" w:lineRule="auto"/>
      </w:pPr>
    </w:p>
    <w:p w14:paraId="279A170E" w14:textId="77777777" w:rsidR="00C04B52" w:rsidRDefault="00C04B52" w:rsidP="001E3377">
      <w:pPr>
        <w:spacing w:after="0" w:line="240" w:lineRule="auto"/>
      </w:pPr>
    </w:p>
    <w:p w14:paraId="5D733340" w14:textId="77777777" w:rsidR="00C04B52" w:rsidRDefault="00C04B52" w:rsidP="001E3377">
      <w:pPr>
        <w:spacing w:after="0" w:line="240" w:lineRule="auto"/>
      </w:pPr>
    </w:p>
    <w:p w14:paraId="2781FCD0" w14:textId="77777777" w:rsidR="00C04B52" w:rsidRDefault="00C04B52" w:rsidP="001E3377">
      <w:pPr>
        <w:spacing w:after="0" w:line="240" w:lineRule="auto"/>
      </w:pPr>
    </w:p>
    <w:p w14:paraId="40CC73E1" w14:textId="77777777" w:rsidR="00C04B52" w:rsidRDefault="00C04B52" w:rsidP="001E3377">
      <w:pPr>
        <w:spacing w:after="0" w:line="240" w:lineRule="auto"/>
      </w:pPr>
    </w:p>
    <w:p w14:paraId="7E86610A" w14:textId="77777777" w:rsidR="00C04B52" w:rsidRDefault="00C04B52" w:rsidP="001E3377">
      <w:pPr>
        <w:spacing w:after="0" w:line="240" w:lineRule="auto"/>
      </w:pPr>
    </w:p>
    <w:p w14:paraId="0445C8D4" w14:textId="77777777" w:rsidR="00C04B52" w:rsidRDefault="00C04B52" w:rsidP="001E3377">
      <w:pPr>
        <w:spacing w:after="0" w:line="240" w:lineRule="auto"/>
      </w:pPr>
    </w:p>
    <w:p w14:paraId="04361ACD" w14:textId="77777777" w:rsidR="00C04B52" w:rsidRDefault="00C04B52" w:rsidP="001E3377">
      <w:pPr>
        <w:spacing w:after="0" w:line="240" w:lineRule="auto"/>
      </w:pPr>
    </w:p>
    <w:p w14:paraId="2AAEDD47" w14:textId="77777777" w:rsidR="00C04B52" w:rsidRDefault="00C04B52" w:rsidP="001E3377">
      <w:pPr>
        <w:spacing w:after="0" w:line="240" w:lineRule="auto"/>
      </w:pPr>
    </w:p>
    <w:p w14:paraId="116BA61E" w14:textId="77777777" w:rsidR="00C04B52" w:rsidRDefault="00C04B52" w:rsidP="001E3377">
      <w:pPr>
        <w:spacing w:after="0" w:line="240" w:lineRule="auto"/>
      </w:pPr>
    </w:p>
    <w:p w14:paraId="69D07EA6" w14:textId="77777777" w:rsidR="00C04B52" w:rsidRDefault="00C04B52" w:rsidP="001E3377">
      <w:pPr>
        <w:spacing w:after="0" w:line="240" w:lineRule="auto"/>
      </w:pPr>
    </w:p>
    <w:p w14:paraId="7E979785" w14:textId="77777777" w:rsidR="00C04B52" w:rsidRDefault="00C04B52" w:rsidP="001E3377">
      <w:pPr>
        <w:spacing w:after="0" w:line="240" w:lineRule="auto"/>
      </w:pPr>
    </w:p>
    <w:p w14:paraId="189CB4C4" w14:textId="77777777" w:rsidR="00C04B52" w:rsidRDefault="00C04B52" w:rsidP="001E3377">
      <w:pPr>
        <w:spacing w:after="0" w:line="240" w:lineRule="auto"/>
      </w:pPr>
    </w:p>
    <w:p w14:paraId="4ECF88D0" w14:textId="77777777" w:rsidR="00C04B52" w:rsidRDefault="00C04B52" w:rsidP="001E3377">
      <w:pPr>
        <w:spacing w:after="0" w:line="240" w:lineRule="auto"/>
      </w:pPr>
    </w:p>
    <w:p w14:paraId="0AC06397" w14:textId="77777777" w:rsidR="00C04B52" w:rsidRDefault="00C04B52" w:rsidP="001E3377">
      <w:pPr>
        <w:spacing w:after="0" w:line="240" w:lineRule="auto"/>
      </w:pPr>
    </w:p>
    <w:p w14:paraId="11B94B09" w14:textId="77777777" w:rsidR="00C04B52" w:rsidRDefault="00C04B52" w:rsidP="001E3377">
      <w:pPr>
        <w:spacing w:after="0" w:line="240" w:lineRule="auto"/>
      </w:pPr>
    </w:p>
    <w:p w14:paraId="0C804E12" w14:textId="77777777" w:rsidR="00C04B52" w:rsidRDefault="00C04B52" w:rsidP="001E3377">
      <w:pPr>
        <w:spacing w:after="0" w:line="240" w:lineRule="auto"/>
      </w:pPr>
    </w:p>
    <w:p w14:paraId="313FCC0D" w14:textId="77777777" w:rsidR="00C04B52" w:rsidRDefault="00C04B52" w:rsidP="001E3377">
      <w:pPr>
        <w:spacing w:after="0" w:line="240" w:lineRule="auto"/>
      </w:pPr>
    </w:p>
    <w:p w14:paraId="7783DB72" w14:textId="77777777" w:rsidR="00C04B52" w:rsidRDefault="00C04B52" w:rsidP="001E3377">
      <w:pPr>
        <w:spacing w:after="0" w:line="240" w:lineRule="auto"/>
      </w:pPr>
    </w:p>
    <w:p w14:paraId="1886A49E" w14:textId="77777777" w:rsidR="00C04B52" w:rsidRDefault="00C04B52" w:rsidP="001E3377">
      <w:pPr>
        <w:spacing w:after="0" w:line="240" w:lineRule="auto"/>
      </w:pPr>
    </w:p>
    <w:p w14:paraId="00661326" w14:textId="77777777" w:rsidR="00C04B52" w:rsidRDefault="00C04B52" w:rsidP="001E3377">
      <w:pPr>
        <w:spacing w:after="0" w:line="240" w:lineRule="auto"/>
      </w:pPr>
    </w:p>
    <w:p w14:paraId="66F952CC" w14:textId="77777777" w:rsidR="00C04B52" w:rsidRDefault="00C04B52" w:rsidP="001E3377">
      <w:pPr>
        <w:spacing w:after="0" w:line="240" w:lineRule="auto"/>
      </w:pPr>
    </w:p>
    <w:p w14:paraId="05EA4C95" w14:textId="77777777" w:rsidR="00C04B52" w:rsidRDefault="00C04B52" w:rsidP="001E3377">
      <w:pPr>
        <w:spacing w:after="0" w:line="240" w:lineRule="auto"/>
      </w:pPr>
    </w:p>
    <w:p w14:paraId="0888A448" w14:textId="77777777" w:rsidR="00C04B52" w:rsidRDefault="00C04B52" w:rsidP="001E3377">
      <w:pPr>
        <w:spacing w:after="0" w:line="240" w:lineRule="auto"/>
      </w:pPr>
    </w:p>
    <w:p w14:paraId="7D1321D0" w14:textId="77777777" w:rsidR="00C04B52" w:rsidRDefault="00C04B52" w:rsidP="001E3377">
      <w:pPr>
        <w:spacing w:after="0" w:line="240" w:lineRule="auto"/>
      </w:pPr>
    </w:p>
    <w:p w14:paraId="62052996" w14:textId="77777777" w:rsidR="00C04B52" w:rsidRDefault="00C04B52" w:rsidP="001E3377">
      <w:pPr>
        <w:spacing w:after="0" w:line="240" w:lineRule="auto"/>
      </w:pPr>
    </w:p>
    <w:p w14:paraId="7B195773" w14:textId="77777777" w:rsidR="00C04B52" w:rsidRDefault="00C04B52" w:rsidP="001E3377">
      <w:pPr>
        <w:spacing w:after="0" w:line="240" w:lineRule="auto"/>
      </w:pPr>
    </w:p>
    <w:p w14:paraId="163CCF91" w14:textId="77777777" w:rsidR="00C04B52" w:rsidRDefault="00C04B52" w:rsidP="001E3377">
      <w:pPr>
        <w:spacing w:after="0" w:line="240" w:lineRule="auto"/>
      </w:pPr>
    </w:p>
    <w:p w14:paraId="35F399A9" w14:textId="77777777" w:rsidR="00C04B52" w:rsidRDefault="00C04B52" w:rsidP="001E3377">
      <w:pPr>
        <w:spacing w:after="0" w:line="240" w:lineRule="auto"/>
      </w:pPr>
    </w:p>
    <w:p w14:paraId="5D5AB3C5" w14:textId="77777777" w:rsidR="00C04B52" w:rsidRDefault="00C04B52" w:rsidP="001E3377">
      <w:pPr>
        <w:spacing w:after="0" w:line="240" w:lineRule="auto"/>
      </w:pPr>
    </w:p>
    <w:p w14:paraId="7BAF826D" w14:textId="77777777" w:rsidR="00C04B52" w:rsidRDefault="00C04B52" w:rsidP="001E3377">
      <w:pPr>
        <w:spacing w:after="0" w:line="240" w:lineRule="auto"/>
      </w:pPr>
    </w:p>
    <w:p w14:paraId="7BD80FC9" w14:textId="77777777" w:rsidR="00C04B52" w:rsidRDefault="00C04B52" w:rsidP="001E3377">
      <w:pPr>
        <w:spacing w:after="0" w:line="240" w:lineRule="auto"/>
        <w:rPr>
          <w:b/>
        </w:rPr>
      </w:pPr>
    </w:p>
    <w:p w14:paraId="7E8ADEC1" w14:textId="30ED59FD" w:rsidR="006F2777" w:rsidRDefault="00C04B52" w:rsidP="00425C51">
      <w:pPr>
        <w:spacing w:after="0" w:line="240" w:lineRule="auto"/>
      </w:pPr>
      <w:r w:rsidRPr="0098728A">
        <w:rPr>
          <w:rFonts w:ascii="Candara" w:hAnsi="Candara"/>
          <w:b/>
          <w:sz w:val="16"/>
          <w:szCs w:val="16"/>
        </w:rPr>
        <w:t>Note 1</w:t>
      </w:r>
      <w:r w:rsidRPr="0098728A">
        <w:rPr>
          <w:rFonts w:ascii="Candara" w:hAnsi="Candara"/>
          <w:sz w:val="16"/>
          <w:szCs w:val="16"/>
        </w:rPr>
        <w:t>: An ignition occurring on a ‘no forecast’ day, cannot have an IRU score exceeding 1.</w:t>
      </w:r>
      <w:r w:rsidR="006F2777">
        <w:br w:type="page"/>
      </w:r>
    </w:p>
    <w:p w14:paraId="448416DD" w14:textId="463549C3" w:rsidR="006F2777" w:rsidRPr="00BB41A4" w:rsidRDefault="006F2777" w:rsidP="00326522">
      <w:pPr>
        <w:pStyle w:val="Heading1"/>
        <w:numPr>
          <w:ilvl w:val="0"/>
          <w:numId w:val="0"/>
        </w:numPr>
      </w:pPr>
      <w:bookmarkStart w:id="71" w:name="_Toc458675218"/>
      <w:r w:rsidRPr="00BB41A4">
        <w:lastRenderedPageBreak/>
        <w:t>Appendix 5 – Asymmetric Method</w:t>
      </w:r>
      <w:bookmarkEnd w:id="71"/>
    </w:p>
    <w:p w14:paraId="614316B0"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In an asymmetric incentive scheme a threshold for performance is set and a penalty imposed  if a business does not meet the threshold performance level.</w:t>
      </w:r>
      <w:r>
        <w:rPr>
          <w:rFonts w:ascii="Candara" w:hAnsi="Candara" w:cs="Calibri"/>
        </w:rPr>
        <w:t xml:space="preserve"> An example of such a scheme is</w:t>
      </w:r>
      <w:r w:rsidRPr="00582B4C">
        <w:rPr>
          <w:rFonts w:ascii="Candara" w:hAnsi="Candara" w:cs="Calibri"/>
        </w:rPr>
        <w:t xml:space="preserve"> the GSL Payments Scheme referred to in </w:t>
      </w:r>
      <w:r>
        <w:rPr>
          <w:rFonts w:ascii="Candara" w:hAnsi="Candara" w:cs="Calibri"/>
        </w:rPr>
        <w:t>Appendix 1. Under the GSL scheme,</w:t>
      </w:r>
      <w:r w:rsidRPr="00582B4C">
        <w:rPr>
          <w:rFonts w:ascii="Candara" w:hAnsi="Candara" w:cs="Calibri"/>
        </w:rPr>
        <w:t xml:space="preserve"> </w:t>
      </w:r>
      <w:r>
        <w:rPr>
          <w:rFonts w:ascii="Candara" w:hAnsi="Candara" w:cs="Calibri"/>
        </w:rPr>
        <w:t xml:space="preserve">consumers receive a payment if </w:t>
      </w:r>
      <w:r w:rsidRPr="00582B4C">
        <w:rPr>
          <w:rFonts w:ascii="Candara" w:hAnsi="Candara" w:cs="Calibri"/>
        </w:rPr>
        <w:t xml:space="preserve">they suffer unplanned interruptions exceeding a set number of hours annually, or if unplanned sustained interruptions exceed a given number. The scheme is </w:t>
      </w:r>
      <w:r>
        <w:rPr>
          <w:rFonts w:ascii="Candara" w:hAnsi="Candara" w:cs="Calibri"/>
        </w:rPr>
        <w:t>intended</w:t>
      </w:r>
      <w:r w:rsidRPr="00582B4C">
        <w:rPr>
          <w:rFonts w:ascii="Candara" w:hAnsi="Candara" w:cs="Calibri"/>
        </w:rPr>
        <w:t xml:space="preserve"> to improve the reliability for the </w:t>
      </w:r>
      <w:r w:rsidRPr="00582B4C">
        <w:rPr>
          <w:rFonts w:ascii="Candara" w:hAnsi="Candara" w:cs="Calibri"/>
          <w:b/>
        </w:rPr>
        <w:t>worst served</w:t>
      </w:r>
      <w:r>
        <w:rPr>
          <w:rFonts w:ascii="Candara" w:hAnsi="Candara" w:cs="Calibri"/>
        </w:rPr>
        <w:t xml:space="preserve"> customers. T</w:t>
      </w:r>
      <w:r w:rsidRPr="00582B4C">
        <w:rPr>
          <w:rFonts w:ascii="Candara" w:hAnsi="Candara" w:cs="Calibri"/>
        </w:rPr>
        <w:t xml:space="preserve">he threshold is set at a level intended to provide an incentive to address the more extreme low levels of reliability experienced by a small number of customers. </w:t>
      </w:r>
    </w:p>
    <w:p w14:paraId="65CA5359"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This incentive to improve reliability for the worst served customers is paid for by all customers</w:t>
      </w:r>
      <w:r>
        <w:rPr>
          <w:rFonts w:ascii="Candara" w:hAnsi="Candara" w:cs="Calibri"/>
        </w:rPr>
        <w:t xml:space="preserve"> and is therefore a cross-subsidy</w:t>
      </w:r>
      <w:r w:rsidRPr="00582B4C">
        <w:rPr>
          <w:rFonts w:ascii="Candara" w:hAnsi="Candara" w:cs="Calibri"/>
        </w:rPr>
        <w:t xml:space="preserve">. Distribution businesses are permitted to earn additional revenue to cover the payments expected to be made under the GSL scheme. The businesses have an incentive to at least maintain the current level of performance, and to improve performance where it is economically efficient to do so, to reduce GSL payments. </w:t>
      </w:r>
    </w:p>
    <w:p w14:paraId="1DEC6F60"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To develop an asymmetric scheme to incentivise bushfire risk reduction</w:t>
      </w:r>
      <w:r>
        <w:rPr>
          <w:rFonts w:ascii="Candara" w:hAnsi="Candara" w:cs="Calibri"/>
        </w:rPr>
        <w:t>,</w:t>
      </w:r>
      <w:r w:rsidRPr="00582B4C">
        <w:rPr>
          <w:rFonts w:ascii="Candara" w:hAnsi="Candara" w:cs="Calibri"/>
        </w:rPr>
        <w:t xml:space="preserve"> the performance measure and the threshold</w:t>
      </w:r>
      <w:r>
        <w:rPr>
          <w:rFonts w:ascii="Candara" w:hAnsi="Candara" w:cs="Calibri"/>
        </w:rPr>
        <w:t xml:space="preserve"> must be defined</w:t>
      </w:r>
      <w:r w:rsidRPr="00582B4C">
        <w:rPr>
          <w:rFonts w:ascii="Candara" w:hAnsi="Candara" w:cs="Calibri"/>
        </w:rPr>
        <w:t>.</w:t>
      </w:r>
    </w:p>
    <w:p w14:paraId="12797AE3" w14:textId="54A71C22" w:rsidR="00A86ADC" w:rsidRPr="003A3DF5" w:rsidRDefault="00A86ADC" w:rsidP="00A86ADC">
      <w:pPr>
        <w:autoSpaceDE w:val="0"/>
        <w:autoSpaceDN w:val="0"/>
        <w:adjustRightInd w:val="0"/>
        <w:spacing w:before="120" w:after="80"/>
        <w:rPr>
          <w:rFonts w:ascii="Candara" w:hAnsi="Candara" w:cs="Calibri"/>
        </w:rPr>
      </w:pPr>
      <w:r w:rsidRPr="00582B4C">
        <w:rPr>
          <w:rFonts w:ascii="Candara" w:hAnsi="Candara" w:cs="Calibri"/>
        </w:rPr>
        <w:t xml:space="preserve">As outlined </w:t>
      </w:r>
      <w:r w:rsidRPr="00B2536D">
        <w:rPr>
          <w:rFonts w:ascii="Candara" w:hAnsi="Candara" w:cs="Calibri"/>
        </w:rPr>
        <w:t xml:space="preserve">in Section </w:t>
      </w:r>
      <w:r w:rsidR="00C83DC3">
        <w:rPr>
          <w:rFonts w:ascii="Candara" w:hAnsi="Candara" w:cs="Calibri"/>
        </w:rPr>
        <w:t>4</w:t>
      </w:r>
      <w:r>
        <w:rPr>
          <w:rFonts w:ascii="Candara" w:hAnsi="Candara" w:cs="Calibri"/>
        </w:rPr>
        <w:t>,</w:t>
      </w:r>
      <w:r w:rsidRPr="00582B4C">
        <w:rPr>
          <w:rFonts w:ascii="Candara" w:hAnsi="Candara" w:cs="Calibri"/>
        </w:rPr>
        <w:t xml:space="preserve"> a weighted fire s</w:t>
      </w:r>
      <w:r w:rsidR="003604C6">
        <w:rPr>
          <w:rFonts w:ascii="Candara" w:hAnsi="Candara" w:cs="Calibri"/>
        </w:rPr>
        <w:t>tart measure (</w:t>
      </w:r>
      <w:r>
        <w:rPr>
          <w:rFonts w:ascii="Candara" w:hAnsi="Candara" w:cs="Calibri"/>
        </w:rPr>
        <w:t>the IRU approach</w:t>
      </w:r>
      <w:r w:rsidR="003604C6">
        <w:rPr>
          <w:rFonts w:ascii="Candara" w:hAnsi="Candara" w:cs="Calibri"/>
        </w:rPr>
        <w:t>)</w:t>
      </w:r>
      <w:r>
        <w:rPr>
          <w:rFonts w:ascii="Candara" w:hAnsi="Candara" w:cs="Calibri"/>
        </w:rPr>
        <w:t xml:space="preserve"> is the favou</w:t>
      </w:r>
      <w:r w:rsidR="003604C6">
        <w:rPr>
          <w:rFonts w:ascii="Candara" w:hAnsi="Candara" w:cs="Calibri"/>
        </w:rPr>
        <w:t>red method to set this threshold</w:t>
      </w:r>
      <w:r>
        <w:rPr>
          <w:rFonts w:ascii="Candara" w:hAnsi="Candara" w:cs="Calibri"/>
        </w:rPr>
        <w:t xml:space="preserve">. </w:t>
      </w:r>
    </w:p>
    <w:p w14:paraId="596C151B" w14:textId="77777777" w:rsidR="00A86ADC" w:rsidRPr="00A86ADC" w:rsidRDefault="00A86ADC" w:rsidP="00A86ADC">
      <w:pPr>
        <w:pStyle w:val="BodyText"/>
        <w:rPr>
          <w:rFonts w:ascii="Candara" w:hAnsi="Candara" w:cs="Calibri"/>
          <w:b/>
        </w:rPr>
      </w:pPr>
      <w:r w:rsidRPr="00A86ADC">
        <w:rPr>
          <w:rFonts w:ascii="Candara" w:hAnsi="Candara" w:cs="Calibri"/>
          <w:b/>
        </w:rPr>
        <w:t>Threshold</w:t>
      </w:r>
    </w:p>
    <w:p w14:paraId="227280F5"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 xml:space="preserve">In establishing a threshold IRU level </w:t>
      </w:r>
      <w:r>
        <w:rPr>
          <w:rFonts w:ascii="Candara" w:hAnsi="Candara" w:cs="Calibri"/>
        </w:rPr>
        <w:t xml:space="preserve">two </w:t>
      </w:r>
      <w:r w:rsidRPr="00582B4C">
        <w:rPr>
          <w:rFonts w:ascii="Candara" w:hAnsi="Candara" w:cs="Calibri"/>
        </w:rPr>
        <w:t xml:space="preserve">factors need to be </w:t>
      </w:r>
      <w:r>
        <w:rPr>
          <w:rFonts w:ascii="Candara" w:hAnsi="Candara" w:cs="Calibri"/>
        </w:rPr>
        <w:t>considered</w:t>
      </w:r>
      <w:r w:rsidRPr="00582B4C">
        <w:rPr>
          <w:rFonts w:ascii="Candara" w:hAnsi="Candara" w:cs="Calibri"/>
        </w:rPr>
        <w:t>:</w:t>
      </w:r>
    </w:p>
    <w:p w14:paraId="1DC9E9CF" w14:textId="77777777" w:rsidR="00A86ADC" w:rsidRPr="00582B4C" w:rsidRDefault="00A86ADC" w:rsidP="00345278">
      <w:pPr>
        <w:pStyle w:val="ListParagraph"/>
        <w:numPr>
          <w:ilvl w:val="0"/>
          <w:numId w:val="19"/>
        </w:numPr>
        <w:autoSpaceDE w:val="0"/>
        <w:autoSpaceDN w:val="0"/>
        <w:adjustRightInd w:val="0"/>
        <w:spacing w:before="120" w:after="80"/>
        <w:rPr>
          <w:rFonts w:ascii="Candara" w:hAnsi="Candara" w:cs="Calibri"/>
        </w:rPr>
      </w:pPr>
      <w:r w:rsidRPr="00582B4C">
        <w:rPr>
          <w:rFonts w:ascii="Candara" w:hAnsi="Candara" w:cs="Calibri"/>
        </w:rPr>
        <w:t>The degree and nature of the incentive provided to the businesses</w:t>
      </w:r>
      <w:r>
        <w:rPr>
          <w:rFonts w:ascii="Candara" w:hAnsi="Candara" w:cs="Calibri"/>
        </w:rPr>
        <w:t>; and</w:t>
      </w:r>
    </w:p>
    <w:p w14:paraId="661B6384" w14:textId="77777777" w:rsidR="00A86ADC" w:rsidRPr="00582B4C" w:rsidRDefault="00A86ADC" w:rsidP="00345278">
      <w:pPr>
        <w:pStyle w:val="ListParagraph"/>
        <w:numPr>
          <w:ilvl w:val="0"/>
          <w:numId w:val="19"/>
        </w:numPr>
        <w:autoSpaceDE w:val="0"/>
        <w:autoSpaceDN w:val="0"/>
        <w:adjustRightInd w:val="0"/>
        <w:spacing w:before="120" w:after="80"/>
        <w:rPr>
          <w:rFonts w:ascii="Candara" w:hAnsi="Candara" w:cs="Calibri"/>
        </w:rPr>
      </w:pPr>
      <w:r w:rsidRPr="00582B4C">
        <w:rPr>
          <w:rFonts w:ascii="Candara" w:hAnsi="Candara" w:cs="Calibri"/>
        </w:rPr>
        <w:t>The cost of scheme to consumers, both absolutely and in relation to the achievement of bushfire risk reduction benefits.</w:t>
      </w:r>
    </w:p>
    <w:p w14:paraId="43C5BD6F"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 xml:space="preserve">An inevitable outcome of weighting fire </w:t>
      </w:r>
      <w:r>
        <w:rPr>
          <w:rFonts w:ascii="Candara" w:hAnsi="Candara" w:cs="Calibri"/>
        </w:rPr>
        <w:t>starts to reflect bushfire risk</w:t>
      </w:r>
      <w:r w:rsidRPr="00582B4C">
        <w:rPr>
          <w:rFonts w:ascii="Candara" w:hAnsi="Candara" w:cs="Calibri"/>
        </w:rPr>
        <w:t xml:space="preserve"> is that IRU performance measures will be highly influenced by weather, and thus highly variable year to year. This has important implications for both of the above factors.</w:t>
      </w:r>
    </w:p>
    <w:p w14:paraId="1401162E"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 xml:space="preserve">If the threshold is set at zero or </w:t>
      </w:r>
      <w:r>
        <w:rPr>
          <w:rFonts w:ascii="Candara" w:hAnsi="Candara" w:cs="Calibri"/>
        </w:rPr>
        <w:t xml:space="preserve">a low </w:t>
      </w:r>
      <w:r w:rsidRPr="00582B4C">
        <w:rPr>
          <w:rFonts w:ascii="Candara" w:hAnsi="Candara" w:cs="Calibri"/>
        </w:rPr>
        <w:t>level</w:t>
      </w:r>
      <w:r>
        <w:rPr>
          <w:rFonts w:ascii="Candara" w:hAnsi="Candara" w:cs="Calibri"/>
        </w:rPr>
        <w:t>, the</w:t>
      </w:r>
      <w:r w:rsidRPr="00582B4C">
        <w:rPr>
          <w:rFonts w:ascii="Candara" w:hAnsi="Candara" w:cs="Calibri"/>
        </w:rPr>
        <w:t xml:space="preserve"> businesses will be strongly motivated to take steps to minimise IRU results regardless of weather. This would involve both refocussing existing expenditures as well as undertaking additional </w:t>
      </w:r>
      <w:r>
        <w:rPr>
          <w:rFonts w:ascii="Candara" w:hAnsi="Candara" w:cs="Calibri"/>
        </w:rPr>
        <w:t>expenditure</w:t>
      </w:r>
      <w:r w:rsidRPr="00582B4C">
        <w:rPr>
          <w:rFonts w:ascii="Candara" w:hAnsi="Candara" w:cs="Calibri"/>
        </w:rPr>
        <w:t xml:space="preserve"> where it </w:t>
      </w:r>
      <w:r>
        <w:rPr>
          <w:rFonts w:ascii="Candara" w:hAnsi="Candara" w:cs="Calibri"/>
        </w:rPr>
        <w:t xml:space="preserve">is </w:t>
      </w:r>
      <w:r w:rsidRPr="00582B4C">
        <w:rPr>
          <w:rFonts w:ascii="Candara" w:hAnsi="Candara" w:cs="Calibri"/>
        </w:rPr>
        <w:t xml:space="preserve">economic. </w:t>
      </w:r>
      <w:r>
        <w:rPr>
          <w:rFonts w:ascii="Candara" w:hAnsi="Candara" w:cs="Calibri"/>
        </w:rPr>
        <w:t>This will, h</w:t>
      </w:r>
      <w:r w:rsidRPr="00582B4C">
        <w:rPr>
          <w:rFonts w:ascii="Candara" w:hAnsi="Candara" w:cs="Calibri"/>
        </w:rPr>
        <w:t>owever</w:t>
      </w:r>
      <w:r>
        <w:rPr>
          <w:rFonts w:ascii="Candara" w:hAnsi="Candara" w:cs="Calibri"/>
        </w:rPr>
        <w:t>, impose additional</w:t>
      </w:r>
      <w:r w:rsidRPr="00582B4C">
        <w:rPr>
          <w:rFonts w:ascii="Candara" w:hAnsi="Candara" w:cs="Calibri"/>
        </w:rPr>
        <w:t xml:space="preserve"> cost</w:t>
      </w:r>
      <w:r>
        <w:rPr>
          <w:rFonts w:ascii="Candara" w:hAnsi="Candara" w:cs="Calibri"/>
        </w:rPr>
        <w:t>s</w:t>
      </w:r>
      <w:r w:rsidRPr="00582B4C">
        <w:rPr>
          <w:rFonts w:ascii="Candara" w:hAnsi="Candara" w:cs="Calibri"/>
        </w:rPr>
        <w:t xml:space="preserve"> </w:t>
      </w:r>
      <w:r>
        <w:rPr>
          <w:rFonts w:ascii="Candara" w:hAnsi="Candara" w:cs="Calibri"/>
        </w:rPr>
        <w:t>on</w:t>
      </w:r>
      <w:r w:rsidRPr="00582B4C">
        <w:rPr>
          <w:rFonts w:ascii="Candara" w:hAnsi="Candara" w:cs="Calibri"/>
        </w:rPr>
        <w:t xml:space="preserve"> </w:t>
      </w:r>
      <w:r>
        <w:rPr>
          <w:rFonts w:ascii="Candara" w:hAnsi="Candara" w:cs="Calibri"/>
        </w:rPr>
        <w:t>Victorian consumers</w:t>
      </w:r>
      <w:r w:rsidRPr="00582B4C">
        <w:rPr>
          <w:rFonts w:ascii="Candara" w:hAnsi="Candara" w:cs="Calibri"/>
        </w:rPr>
        <w:t xml:space="preserve">. </w:t>
      </w:r>
      <w:r>
        <w:rPr>
          <w:rFonts w:ascii="Candara" w:hAnsi="Candara" w:cs="Calibri"/>
        </w:rPr>
        <w:t>Currently</w:t>
      </w:r>
      <w:r w:rsidRPr="00582B4C">
        <w:rPr>
          <w:rFonts w:ascii="Candara" w:hAnsi="Candara" w:cs="Calibri"/>
        </w:rPr>
        <w:t xml:space="preserve"> distribution businesses are funded to</w:t>
      </w:r>
      <w:r>
        <w:rPr>
          <w:rFonts w:ascii="Candara" w:hAnsi="Candara" w:cs="Calibri"/>
        </w:rPr>
        <w:t xml:space="preserve"> </w:t>
      </w:r>
      <w:r w:rsidRPr="00582B4C">
        <w:rPr>
          <w:rFonts w:ascii="Candara" w:hAnsi="Candara" w:cs="Calibri"/>
        </w:rPr>
        <w:t xml:space="preserve">undertake works to reduce fire starts </w:t>
      </w:r>
      <w:r>
        <w:rPr>
          <w:rFonts w:ascii="Candara" w:hAnsi="Candara" w:cs="Calibri"/>
        </w:rPr>
        <w:t>but not eliminate them.</w:t>
      </w:r>
      <w:r w:rsidRPr="00582B4C">
        <w:rPr>
          <w:rFonts w:ascii="Candara" w:hAnsi="Candara" w:cs="Calibri"/>
        </w:rPr>
        <w:t xml:space="preserve"> </w:t>
      </w:r>
      <w:r>
        <w:rPr>
          <w:rFonts w:ascii="Candara" w:hAnsi="Candara" w:cs="Calibri"/>
        </w:rPr>
        <w:t xml:space="preserve">Consequently with a low threshold IRU scheme </w:t>
      </w:r>
      <w:r w:rsidRPr="00582B4C">
        <w:rPr>
          <w:rFonts w:ascii="Candara" w:hAnsi="Candara" w:cs="Calibri"/>
        </w:rPr>
        <w:t>they will always incur penalties and would receive a revenue allowance to cover the expected costs. As the level of penalties is weather dependent it will be difficult to estimate these costs and the likely amount of the allowance is unknown.</w:t>
      </w:r>
      <w:r>
        <w:rPr>
          <w:rFonts w:ascii="Candara" w:hAnsi="Candara" w:cs="Calibri"/>
        </w:rPr>
        <w:t xml:space="preserve"> </w:t>
      </w:r>
    </w:p>
    <w:p w14:paraId="253B1CDE" w14:textId="0803E5D8" w:rsidR="00A86ADC" w:rsidRPr="00C629A3" w:rsidRDefault="00A86ADC" w:rsidP="00A86ADC">
      <w:pPr>
        <w:autoSpaceDE w:val="0"/>
        <w:autoSpaceDN w:val="0"/>
        <w:adjustRightInd w:val="0"/>
        <w:spacing w:before="120" w:after="80"/>
        <w:rPr>
          <w:rFonts w:ascii="Candara" w:hAnsi="Candara" w:cs="Calibri"/>
        </w:rPr>
      </w:pPr>
      <w:r w:rsidRPr="00582B4C">
        <w:rPr>
          <w:rFonts w:ascii="Candara" w:hAnsi="Candara" w:cs="Calibri"/>
        </w:rPr>
        <w:t>If the threshold is set at a high IRU level</w:t>
      </w:r>
      <w:r>
        <w:rPr>
          <w:rFonts w:ascii="Candara" w:hAnsi="Candara" w:cs="Calibri"/>
        </w:rPr>
        <w:t>,</w:t>
      </w:r>
      <w:r w:rsidRPr="00582B4C">
        <w:rPr>
          <w:rFonts w:ascii="Candara" w:hAnsi="Candara" w:cs="Calibri"/>
        </w:rPr>
        <w:t xml:space="preserve"> then businesses will </w:t>
      </w:r>
      <w:r>
        <w:rPr>
          <w:rFonts w:ascii="Candara" w:hAnsi="Candara" w:cs="Calibri"/>
        </w:rPr>
        <w:t>be incentivised to</w:t>
      </w:r>
      <w:r w:rsidRPr="00582B4C">
        <w:rPr>
          <w:rFonts w:ascii="Candara" w:hAnsi="Candara" w:cs="Calibri"/>
        </w:rPr>
        <w:t xml:space="preserve"> focus on bushfire risk reduction in years </w:t>
      </w:r>
      <w:r>
        <w:rPr>
          <w:rFonts w:ascii="Candara" w:hAnsi="Candara" w:cs="Calibri"/>
        </w:rPr>
        <w:t>when</w:t>
      </w:r>
      <w:r w:rsidRPr="00582B4C">
        <w:rPr>
          <w:rFonts w:ascii="Candara" w:hAnsi="Candara" w:cs="Calibri"/>
        </w:rPr>
        <w:t xml:space="preserve"> they are at ri</w:t>
      </w:r>
      <w:r>
        <w:rPr>
          <w:rFonts w:ascii="Candara" w:hAnsi="Candara" w:cs="Calibri"/>
        </w:rPr>
        <w:t>sk of exceeding their threshold</w:t>
      </w:r>
      <w:r w:rsidRPr="00582B4C">
        <w:rPr>
          <w:rFonts w:ascii="Candara" w:hAnsi="Candara" w:cs="Calibri"/>
        </w:rPr>
        <w:t>. As penalties would be expected to be incurred less often, consumer costs would be lower, but still difficult to estimate.</w:t>
      </w:r>
    </w:p>
    <w:p w14:paraId="67CF4A30" w14:textId="77777777" w:rsidR="00A86ADC" w:rsidRPr="00A86ADC" w:rsidRDefault="00A86ADC" w:rsidP="00A86ADC">
      <w:pPr>
        <w:autoSpaceDE w:val="0"/>
        <w:autoSpaceDN w:val="0"/>
        <w:adjustRightInd w:val="0"/>
        <w:spacing w:before="120" w:after="80"/>
        <w:rPr>
          <w:rFonts w:ascii="Candara" w:hAnsi="Candara" w:cs="Calibri"/>
          <w:b/>
          <w:i/>
        </w:rPr>
      </w:pPr>
      <w:r w:rsidRPr="00A86ADC">
        <w:rPr>
          <w:rFonts w:ascii="Candara" w:hAnsi="Candara" w:cs="Calibri"/>
          <w:b/>
          <w:i/>
        </w:rPr>
        <w:t>Business Response to Asymmetric Method</w:t>
      </w:r>
    </w:p>
    <w:p w14:paraId="165DEF9A" w14:textId="77777777" w:rsidR="00A86ADC" w:rsidRPr="00582B4C" w:rsidRDefault="00A86ADC" w:rsidP="00A86ADC">
      <w:pPr>
        <w:rPr>
          <w:rFonts w:ascii="Candara" w:hAnsi="Candara" w:cs="Calibri"/>
        </w:rPr>
      </w:pPr>
      <w:r w:rsidRPr="00582B4C">
        <w:rPr>
          <w:rFonts w:ascii="Candara" w:hAnsi="Candara" w:cs="Calibri"/>
        </w:rPr>
        <w:t xml:space="preserve">Setting a low or zero IRU threshold level could be seen to imply a new safety standard. Distribution businesses may increase capital and operational expenditure bids to meet this </w:t>
      </w:r>
      <w:r w:rsidRPr="00582B4C">
        <w:rPr>
          <w:rFonts w:ascii="Candara" w:hAnsi="Candara" w:cs="Calibri"/>
        </w:rPr>
        <w:lastRenderedPageBreak/>
        <w:t>implied new standard. Both the safety and economic regulators would be in a difficult position to adjudicate such claims. This leaves consumers exposed to a higher costs as businesses may incur capex and opex to a level which is beyond that currently accepted as achieving the optimum fire reduction benefit.</w:t>
      </w:r>
    </w:p>
    <w:p w14:paraId="2CBDAA75" w14:textId="77777777" w:rsidR="00A86ADC" w:rsidRDefault="00A86ADC" w:rsidP="00A86ADC">
      <w:pPr>
        <w:rPr>
          <w:rFonts w:ascii="Candara" w:hAnsi="Candara" w:cs="Calibri"/>
        </w:rPr>
      </w:pPr>
      <w:r w:rsidRPr="00582B4C">
        <w:rPr>
          <w:rFonts w:ascii="Candara" w:hAnsi="Candara" w:cs="Calibri"/>
        </w:rPr>
        <w:t>T</w:t>
      </w:r>
      <w:r>
        <w:rPr>
          <w:rFonts w:ascii="Candara" w:hAnsi="Candara" w:cs="Calibri"/>
        </w:rPr>
        <w:t>his is shown conceptually below. T</w:t>
      </w:r>
      <w:r w:rsidRPr="00582B4C">
        <w:rPr>
          <w:rFonts w:ascii="Candara" w:hAnsi="Candara" w:cs="Calibri"/>
        </w:rPr>
        <w:t>he current cost structure (which would app</w:t>
      </w:r>
      <w:r>
        <w:rPr>
          <w:rFonts w:ascii="Candara" w:hAnsi="Candara" w:cs="Calibri"/>
        </w:rPr>
        <w:t>ly under an asymmetric scheme) is</w:t>
      </w:r>
      <w:r w:rsidRPr="00582B4C">
        <w:rPr>
          <w:rFonts w:ascii="Candara" w:hAnsi="Candara" w:cs="Calibri"/>
        </w:rPr>
        <w:t xml:space="preserve"> shown as Y1 and the bias towards a higher cost structure shown as Y2. This would lead to a </w:t>
      </w:r>
      <w:r>
        <w:rPr>
          <w:rFonts w:ascii="Candara" w:hAnsi="Candara" w:cs="Calibri"/>
        </w:rPr>
        <w:t>diminishing additional risk benefit</w:t>
      </w:r>
      <w:r w:rsidRPr="00582B4C">
        <w:rPr>
          <w:rFonts w:ascii="Candara" w:hAnsi="Candara" w:cs="Calibri"/>
        </w:rPr>
        <w:t xml:space="preserve"> at a higher cost to that achieved to date: </w:t>
      </w:r>
    </w:p>
    <w:p w14:paraId="1775536B" w14:textId="37EC7C37" w:rsidR="00147B12" w:rsidRPr="00147B12" w:rsidRDefault="00147B12" w:rsidP="00147B12">
      <w:pPr>
        <w:keepNext/>
        <w:keepLines/>
        <w:tabs>
          <w:tab w:val="left" w:pos="1701"/>
        </w:tabs>
        <w:spacing w:before="180" w:after="120" w:line="240" w:lineRule="auto"/>
        <w:ind w:left="851" w:hanging="851"/>
        <w:rPr>
          <w:rFonts w:ascii="Candara" w:eastAsia="Times New Roman" w:hAnsi="Candara" w:cs="Times New Roman"/>
          <w:i/>
          <w:sz w:val="20"/>
          <w:szCs w:val="20"/>
        </w:rPr>
      </w:pPr>
      <w:r w:rsidRPr="0084682C">
        <w:rPr>
          <w:rStyle w:val="Heading6Char"/>
        </w:rPr>
        <w:t>Figure A5.1</w:t>
      </w:r>
      <w:r w:rsidRPr="0084682C">
        <w:rPr>
          <w:rStyle w:val="Heading6Char"/>
          <w:i w:val="0"/>
        </w:rPr>
        <w:t>:</w:t>
      </w:r>
      <w:r w:rsidRPr="0084682C">
        <w:rPr>
          <w:rFonts w:ascii="Candara" w:eastAsia="Times New Roman" w:hAnsi="Candara" w:cs="Times New Roman"/>
          <w:i/>
          <w:sz w:val="20"/>
          <w:szCs w:val="20"/>
        </w:rPr>
        <w:t xml:space="preserve"> </w:t>
      </w:r>
      <w:r w:rsidRPr="0084682C">
        <w:rPr>
          <w:rStyle w:val="Heading6Char"/>
        </w:rPr>
        <w:t xml:space="preserve">Asymmetric </w:t>
      </w:r>
      <w:r w:rsidR="003A56BE">
        <w:rPr>
          <w:rStyle w:val="Heading6Char"/>
        </w:rPr>
        <w:t xml:space="preserve">mechanism </w:t>
      </w:r>
      <w:r w:rsidRPr="0084682C">
        <w:rPr>
          <w:rStyle w:val="Heading6Char"/>
        </w:rPr>
        <w:t xml:space="preserve">cost </w:t>
      </w:r>
      <w:r w:rsidR="003A56BE">
        <w:rPr>
          <w:rStyle w:val="Heading6Char"/>
        </w:rPr>
        <w:t xml:space="preserve">vs </w:t>
      </w:r>
      <w:r w:rsidRPr="0084682C">
        <w:rPr>
          <w:rStyle w:val="Heading6Char"/>
        </w:rPr>
        <w:t>risk</w:t>
      </w:r>
      <w:r w:rsidR="003A56BE">
        <w:rPr>
          <w:rStyle w:val="Heading6Char"/>
        </w:rPr>
        <w:t xml:space="preserve"> reduction benefit</w:t>
      </w:r>
      <w:r>
        <w:rPr>
          <w:rStyle w:val="Heading6Char"/>
        </w:rPr>
        <w:t xml:space="preserve">  </w:t>
      </w:r>
      <w:r w:rsidRPr="00147B12">
        <w:rPr>
          <w:rStyle w:val="Heading6Char"/>
        </w:rPr>
        <w:t xml:space="preserve"> </w:t>
      </w:r>
    </w:p>
    <w:p w14:paraId="0341173C" w14:textId="77777777" w:rsidR="00A86ADC" w:rsidRPr="00582B4C" w:rsidRDefault="00A86ADC" w:rsidP="00A86ADC">
      <w:pPr>
        <w:rPr>
          <w:rFonts w:ascii="Candara" w:hAnsi="Candara" w:cs="Calibri"/>
        </w:rPr>
      </w:pPr>
      <w:r w:rsidRPr="00A050E5">
        <w:rPr>
          <w:noProof/>
          <w:lang w:eastAsia="en-AU"/>
        </w:rPr>
        <w:drawing>
          <wp:inline distT="0" distB="0" distL="0" distR="0" wp14:anchorId="793F1E3A" wp14:editId="057782AC">
            <wp:extent cx="5731510" cy="34317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431763"/>
                    </a:xfrm>
                    <a:prstGeom prst="rect">
                      <a:avLst/>
                    </a:prstGeom>
                    <a:noFill/>
                    <a:ln>
                      <a:noFill/>
                    </a:ln>
                  </pic:spPr>
                </pic:pic>
              </a:graphicData>
            </a:graphic>
          </wp:inline>
        </w:drawing>
      </w:r>
    </w:p>
    <w:p w14:paraId="73250C45" w14:textId="77777777" w:rsidR="00A86ADC" w:rsidRPr="00A86ADC" w:rsidRDefault="00A86ADC" w:rsidP="00A86ADC">
      <w:pPr>
        <w:pStyle w:val="BodyText"/>
        <w:rPr>
          <w:b/>
        </w:rPr>
      </w:pPr>
      <w:r w:rsidRPr="00A86ADC">
        <w:rPr>
          <w:b/>
        </w:rPr>
        <w:t>Asymmetric with Mitigants</w:t>
      </w:r>
    </w:p>
    <w:p w14:paraId="6F54AB1A" w14:textId="77777777" w:rsidR="00A86ADC" w:rsidRPr="00C629A3" w:rsidRDefault="00A86ADC" w:rsidP="00A86ADC">
      <w:pPr>
        <w:autoSpaceDE w:val="0"/>
        <w:autoSpaceDN w:val="0"/>
        <w:adjustRightInd w:val="0"/>
        <w:spacing w:before="120" w:after="80"/>
        <w:rPr>
          <w:rFonts w:ascii="Candara" w:hAnsi="Candara" w:cs="Calibri"/>
        </w:rPr>
      </w:pPr>
      <w:r>
        <w:rPr>
          <w:rFonts w:ascii="Candara" w:hAnsi="Candara" w:cs="Calibri"/>
        </w:rPr>
        <w:t>In light of the above, m</w:t>
      </w:r>
      <w:r w:rsidRPr="00C629A3">
        <w:rPr>
          <w:rFonts w:ascii="Candara" w:hAnsi="Candara" w:cs="Calibri"/>
        </w:rPr>
        <w:t>easures may be applied to an asymmetric scheme to limit the impact of weather.</w:t>
      </w:r>
    </w:p>
    <w:p w14:paraId="1E34F4EA" w14:textId="77777777" w:rsidR="00A86ADC" w:rsidRPr="00C629A3" w:rsidRDefault="00A86ADC" w:rsidP="00A86ADC">
      <w:pPr>
        <w:autoSpaceDE w:val="0"/>
        <w:autoSpaceDN w:val="0"/>
        <w:adjustRightInd w:val="0"/>
        <w:spacing w:before="120" w:after="80"/>
        <w:rPr>
          <w:rFonts w:ascii="Candara" w:hAnsi="Candara" w:cs="Calibri"/>
          <w:b/>
          <w:i/>
        </w:rPr>
      </w:pPr>
      <w:r w:rsidRPr="00C629A3">
        <w:rPr>
          <w:rFonts w:ascii="Candara" w:hAnsi="Candara" w:cs="Calibri"/>
          <w:b/>
          <w:i/>
        </w:rPr>
        <w:t xml:space="preserve">Restrict </w:t>
      </w:r>
      <w:r>
        <w:rPr>
          <w:rFonts w:ascii="Candara" w:hAnsi="Candara" w:cs="Calibri"/>
          <w:b/>
          <w:i/>
        </w:rPr>
        <w:t>Penalties To E</w:t>
      </w:r>
      <w:r w:rsidRPr="00C629A3">
        <w:rPr>
          <w:rFonts w:ascii="Candara" w:hAnsi="Candara" w:cs="Calibri"/>
          <w:b/>
          <w:i/>
        </w:rPr>
        <w:t xml:space="preserve">xceeding </w:t>
      </w:r>
      <w:r>
        <w:rPr>
          <w:rFonts w:ascii="Candara" w:hAnsi="Candara" w:cs="Calibri"/>
          <w:b/>
          <w:i/>
        </w:rPr>
        <w:t>Multi-Year Threshold</w:t>
      </w:r>
    </w:p>
    <w:p w14:paraId="70A48135" w14:textId="77777777" w:rsidR="00A86ADC" w:rsidRPr="00C629A3" w:rsidRDefault="00A86ADC" w:rsidP="00A86ADC">
      <w:pPr>
        <w:autoSpaceDE w:val="0"/>
        <w:autoSpaceDN w:val="0"/>
        <w:adjustRightInd w:val="0"/>
        <w:spacing w:before="120" w:after="80"/>
        <w:rPr>
          <w:rFonts w:ascii="Candara" w:hAnsi="Candara" w:cs="Calibri"/>
        </w:rPr>
      </w:pPr>
      <w:r>
        <w:rPr>
          <w:rFonts w:ascii="Candara" w:hAnsi="Candara" w:cs="Calibri"/>
        </w:rPr>
        <w:t>B</w:t>
      </w:r>
      <w:r w:rsidRPr="00C629A3">
        <w:rPr>
          <w:rFonts w:ascii="Candara" w:hAnsi="Candara" w:cs="Calibri"/>
        </w:rPr>
        <w:t>usinesses</w:t>
      </w:r>
      <w:r>
        <w:rPr>
          <w:rFonts w:ascii="Candara" w:hAnsi="Candara" w:cs="Calibri"/>
        </w:rPr>
        <w:t>’</w:t>
      </w:r>
      <w:r w:rsidRPr="00C629A3">
        <w:rPr>
          <w:rFonts w:ascii="Candara" w:hAnsi="Candara" w:cs="Calibri"/>
        </w:rPr>
        <w:t xml:space="preserve"> ignition penalties could be restricted </w:t>
      </w:r>
      <w:r>
        <w:rPr>
          <w:rFonts w:ascii="Candara" w:hAnsi="Candara" w:cs="Calibri"/>
        </w:rPr>
        <w:t>to performance in excess of a set</w:t>
      </w:r>
      <w:r w:rsidRPr="00C629A3">
        <w:rPr>
          <w:rFonts w:ascii="Candara" w:hAnsi="Candara" w:cs="Calibri"/>
        </w:rPr>
        <w:t xml:space="preserve"> IRU </w:t>
      </w:r>
      <w:r>
        <w:rPr>
          <w:rFonts w:ascii="Candara" w:hAnsi="Candara" w:cs="Calibri"/>
        </w:rPr>
        <w:t>threshold</w:t>
      </w:r>
      <w:r w:rsidRPr="00C629A3">
        <w:rPr>
          <w:rFonts w:ascii="Candara" w:hAnsi="Candara" w:cs="Calibri"/>
        </w:rPr>
        <w:t xml:space="preserve">. </w:t>
      </w:r>
      <w:r>
        <w:rPr>
          <w:rFonts w:ascii="Candara" w:hAnsi="Candara" w:cs="Calibri"/>
        </w:rPr>
        <w:t xml:space="preserve">The threshold would be expended as IRUs over multiple years. </w:t>
      </w:r>
    </w:p>
    <w:p w14:paraId="71FDC40A" w14:textId="77777777" w:rsidR="00A86ADC" w:rsidRDefault="00A86ADC" w:rsidP="00A86ADC">
      <w:pPr>
        <w:autoSpaceDE w:val="0"/>
        <w:autoSpaceDN w:val="0"/>
        <w:adjustRightInd w:val="0"/>
        <w:spacing w:before="120" w:after="80"/>
        <w:rPr>
          <w:rFonts w:ascii="Candara" w:hAnsi="Candara" w:cs="Calibri"/>
        </w:rPr>
      </w:pPr>
      <w:r w:rsidRPr="00C629A3">
        <w:rPr>
          <w:rFonts w:ascii="Candara" w:hAnsi="Candara" w:cs="Calibri"/>
        </w:rPr>
        <w:t>At first glance, this option seems to provide an effective and fair way of limiting th</w:t>
      </w:r>
      <w:r>
        <w:rPr>
          <w:rFonts w:ascii="Candara" w:hAnsi="Candara" w:cs="Calibri"/>
        </w:rPr>
        <w:t>e businesses’ liabilities. Very hot years are a statistical minority. Consequently, in</w:t>
      </w:r>
      <w:r w:rsidRPr="00C629A3">
        <w:rPr>
          <w:rFonts w:ascii="Candara" w:hAnsi="Candara" w:cs="Calibri"/>
        </w:rPr>
        <w:t xml:space="preserve"> most years businesses will accrue a smaller penalty or none under this approach. </w:t>
      </w:r>
    </w:p>
    <w:p w14:paraId="2F56A227" w14:textId="77777777" w:rsidR="00A86ADC" w:rsidRPr="00C629A3" w:rsidRDefault="00A86ADC" w:rsidP="00A86ADC">
      <w:pPr>
        <w:autoSpaceDE w:val="0"/>
        <w:autoSpaceDN w:val="0"/>
        <w:adjustRightInd w:val="0"/>
        <w:spacing w:before="120" w:after="80"/>
        <w:rPr>
          <w:rFonts w:ascii="Candara" w:hAnsi="Candara" w:cs="Calibri"/>
        </w:rPr>
      </w:pPr>
      <w:r w:rsidRPr="00C629A3">
        <w:rPr>
          <w:rFonts w:ascii="Candara" w:hAnsi="Candara" w:cs="Calibri"/>
        </w:rPr>
        <w:t xml:space="preserve">The effectiveness of this approach lies in </w:t>
      </w:r>
      <w:r>
        <w:rPr>
          <w:rFonts w:ascii="Candara" w:hAnsi="Candara" w:cs="Calibri"/>
        </w:rPr>
        <w:t xml:space="preserve">creating </w:t>
      </w:r>
      <w:r w:rsidRPr="00C629A3">
        <w:rPr>
          <w:rFonts w:ascii="Candara" w:hAnsi="Candara" w:cs="Calibri"/>
        </w:rPr>
        <w:t xml:space="preserve">an incentive for businesses to minimise </w:t>
      </w:r>
      <w:r>
        <w:rPr>
          <w:rFonts w:ascii="Candara" w:hAnsi="Candara" w:cs="Calibri"/>
        </w:rPr>
        <w:t>penaltie</w:t>
      </w:r>
      <w:r w:rsidRPr="00C629A3">
        <w:rPr>
          <w:rFonts w:ascii="Candara" w:hAnsi="Candara" w:cs="Calibri"/>
        </w:rPr>
        <w:t xml:space="preserve">s beyond what they presently </w:t>
      </w:r>
      <w:r>
        <w:rPr>
          <w:rFonts w:ascii="Candara" w:hAnsi="Candara" w:cs="Calibri"/>
        </w:rPr>
        <w:t>incur</w:t>
      </w:r>
      <w:r w:rsidRPr="00C629A3">
        <w:rPr>
          <w:rFonts w:ascii="Candara" w:hAnsi="Candara" w:cs="Calibri"/>
        </w:rPr>
        <w:t xml:space="preserve">. </w:t>
      </w:r>
    </w:p>
    <w:p w14:paraId="29978903" w14:textId="77777777" w:rsidR="00A86ADC" w:rsidRPr="00C629A3" w:rsidRDefault="00A86ADC" w:rsidP="00A86ADC">
      <w:pPr>
        <w:autoSpaceDE w:val="0"/>
        <w:autoSpaceDN w:val="0"/>
        <w:adjustRightInd w:val="0"/>
        <w:spacing w:before="120" w:after="80"/>
        <w:rPr>
          <w:rFonts w:ascii="Candara" w:hAnsi="Candara" w:cs="Calibri"/>
        </w:rPr>
      </w:pPr>
      <w:r w:rsidRPr="00C629A3">
        <w:rPr>
          <w:rFonts w:ascii="Candara" w:hAnsi="Candara" w:cs="Calibri"/>
        </w:rPr>
        <w:t xml:space="preserve">The risk of this approach is that it is likely to fail to drive businesses to </w:t>
      </w:r>
      <w:r>
        <w:rPr>
          <w:rFonts w:ascii="Candara" w:hAnsi="Candara" w:cs="Calibri"/>
        </w:rPr>
        <w:t xml:space="preserve">reduce risk beyond their current practice through using existing funding </w:t>
      </w:r>
      <w:r w:rsidRPr="00C629A3">
        <w:rPr>
          <w:rFonts w:ascii="Candara" w:hAnsi="Candara" w:cs="Calibri"/>
        </w:rPr>
        <w:t xml:space="preserve">efficiently. </w:t>
      </w:r>
    </w:p>
    <w:p w14:paraId="356FFF93" w14:textId="77777777" w:rsidR="00A86ADC" w:rsidRPr="00C629A3" w:rsidRDefault="00A86ADC" w:rsidP="00A86ADC">
      <w:pPr>
        <w:autoSpaceDE w:val="0"/>
        <w:autoSpaceDN w:val="0"/>
        <w:adjustRightInd w:val="0"/>
        <w:spacing w:before="120" w:after="80"/>
        <w:rPr>
          <w:rFonts w:ascii="Candara" w:hAnsi="Candara" w:cs="Calibri"/>
        </w:rPr>
      </w:pPr>
      <w:r>
        <w:rPr>
          <w:rFonts w:ascii="Candara" w:hAnsi="Candara" w:cs="Calibri"/>
        </w:rPr>
        <w:lastRenderedPageBreak/>
        <w:t>Without</w:t>
      </w:r>
      <w:r w:rsidRPr="00C629A3">
        <w:rPr>
          <w:rFonts w:ascii="Candara" w:hAnsi="Candara" w:cs="Calibri"/>
        </w:rPr>
        <w:t xml:space="preserve"> the balancing effect of incentive payments, this option </w:t>
      </w:r>
      <w:r>
        <w:rPr>
          <w:rFonts w:ascii="Candara" w:hAnsi="Candara" w:cs="Calibri"/>
        </w:rPr>
        <w:t xml:space="preserve">still </w:t>
      </w:r>
      <w:r w:rsidRPr="00C629A3">
        <w:rPr>
          <w:rFonts w:ascii="Candara" w:hAnsi="Candara" w:cs="Calibri"/>
        </w:rPr>
        <w:t xml:space="preserve">exposes businesses to non-recoverable liabilities. The extent of these liabilities will be dependent on weather variability. It is likely that the businesses may make a case for significant further network investment under this option. </w:t>
      </w:r>
      <w:r>
        <w:rPr>
          <w:rFonts w:ascii="Candara" w:hAnsi="Candara" w:cs="Calibri"/>
        </w:rPr>
        <w:t xml:space="preserve">This approach is not recommended. </w:t>
      </w:r>
    </w:p>
    <w:p w14:paraId="24AC68D2" w14:textId="77777777" w:rsidR="00A86ADC" w:rsidRPr="00C629A3" w:rsidRDefault="00A86ADC" w:rsidP="00A86ADC">
      <w:pPr>
        <w:autoSpaceDE w:val="0"/>
        <w:autoSpaceDN w:val="0"/>
        <w:adjustRightInd w:val="0"/>
        <w:spacing w:before="120" w:after="80"/>
        <w:rPr>
          <w:rFonts w:ascii="Candara" w:hAnsi="Candara" w:cs="Calibri"/>
          <w:b/>
          <w:i/>
        </w:rPr>
      </w:pPr>
      <w:r>
        <w:rPr>
          <w:rFonts w:ascii="Candara" w:hAnsi="Candara" w:cs="Calibri"/>
          <w:b/>
          <w:i/>
        </w:rPr>
        <w:t>Impose A Maximum IRU Liability Cap</w:t>
      </w:r>
    </w:p>
    <w:p w14:paraId="053DFF88" w14:textId="77777777" w:rsidR="00A86ADC" w:rsidRPr="00C629A3" w:rsidRDefault="00A86ADC" w:rsidP="00A86ADC">
      <w:pPr>
        <w:autoSpaceDE w:val="0"/>
        <w:autoSpaceDN w:val="0"/>
        <w:adjustRightInd w:val="0"/>
        <w:spacing w:before="120" w:after="80"/>
        <w:rPr>
          <w:rFonts w:ascii="Candara" w:hAnsi="Candara" w:cs="Calibri"/>
        </w:rPr>
      </w:pPr>
      <w:r w:rsidRPr="00C629A3">
        <w:rPr>
          <w:rFonts w:ascii="Candara" w:hAnsi="Candara" w:cs="Calibri"/>
        </w:rPr>
        <w:t xml:space="preserve">Alternatively, </w:t>
      </w:r>
      <w:r>
        <w:rPr>
          <w:rFonts w:ascii="Candara" w:hAnsi="Candara" w:cs="Calibri"/>
        </w:rPr>
        <w:t>the reverse approach may be taken and a cap introduced which</w:t>
      </w:r>
      <w:r w:rsidRPr="00C629A3">
        <w:rPr>
          <w:rFonts w:ascii="Candara" w:hAnsi="Candara" w:cs="Calibri"/>
        </w:rPr>
        <w:t xml:space="preserve"> eliminate</w:t>
      </w:r>
      <w:r>
        <w:rPr>
          <w:rFonts w:ascii="Candara" w:hAnsi="Candara" w:cs="Calibri"/>
        </w:rPr>
        <w:t>s</w:t>
      </w:r>
      <w:r w:rsidRPr="00C629A3">
        <w:rPr>
          <w:rFonts w:ascii="Candara" w:hAnsi="Candara" w:cs="Calibri"/>
        </w:rPr>
        <w:t xml:space="preserve"> liability </w:t>
      </w:r>
      <w:r>
        <w:rPr>
          <w:rFonts w:ascii="Candara" w:hAnsi="Candara" w:cs="Calibri"/>
        </w:rPr>
        <w:t xml:space="preserve">beyond a set threshold </w:t>
      </w:r>
      <w:r w:rsidRPr="00C629A3">
        <w:rPr>
          <w:rFonts w:ascii="Candara" w:hAnsi="Candara" w:cs="Calibri"/>
        </w:rPr>
        <w:t xml:space="preserve">of probability which does not return investment. Such a cap provides a means to discourage over-investment for the cumulative maximum risk exposure which has a low probability. This cap could be established by limiting the maximum aggregate IRUs each business could accrue annually or over five year periods. </w:t>
      </w:r>
    </w:p>
    <w:p w14:paraId="3680C392" w14:textId="77777777" w:rsidR="00A86ADC" w:rsidRPr="00C629A3" w:rsidRDefault="00A86ADC" w:rsidP="00A86ADC">
      <w:pPr>
        <w:autoSpaceDE w:val="0"/>
        <w:autoSpaceDN w:val="0"/>
        <w:adjustRightInd w:val="0"/>
        <w:spacing w:before="120" w:after="80"/>
        <w:rPr>
          <w:rFonts w:ascii="Candara" w:hAnsi="Candara" w:cs="Calibri"/>
        </w:rPr>
      </w:pPr>
      <w:r>
        <w:rPr>
          <w:rFonts w:ascii="Candara" w:hAnsi="Candara" w:cs="Calibri"/>
        </w:rPr>
        <w:t xml:space="preserve">However, this would blunt the incentive of </w:t>
      </w:r>
      <w:r w:rsidR="00F41190">
        <w:rPr>
          <w:rFonts w:ascii="Candara" w:hAnsi="Candara" w:cs="Calibri"/>
        </w:rPr>
        <w:t xml:space="preserve">distribution </w:t>
      </w:r>
      <w:r>
        <w:rPr>
          <w:rFonts w:ascii="Candara" w:hAnsi="Candara" w:cs="Calibri"/>
        </w:rPr>
        <w:t xml:space="preserve">businesses to minimise bushfire risk in extreme weather periods. This would be counter to the intention of the initiative. Consequently it is not recommended. </w:t>
      </w:r>
    </w:p>
    <w:p w14:paraId="04DB969A" w14:textId="77777777" w:rsidR="00A86ADC" w:rsidRPr="00C629A3" w:rsidRDefault="00A86ADC" w:rsidP="00A86ADC">
      <w:pPr>
        <w:autoSpaceDE w:val="0"/>
        <w:autoSpaceDN w:val="0"/>
        <w:adjustRightInd w:val="0"/>
        <w:spacing w:before="120" w:after="80"/>
        <w:rPr>
          <w:rFonts w:ascii="Candara" w:hAnsi="Candara" w:cs="Calibri"/>
          <w:b/>
          <w:i/>
        </w:rPr>
      </w:pPr>
      <w:r w:rsidRPr="00C629A3">
        <w:rPr>
          <w:rFonts w:ascii="Candara" w:hAnsi="Candara" w:cs="Calibri"/>
          <w:b/>
          <w:i/>
        </w:rPr>
        <w:t>Conclusion</w:t>
      </w:r>
    </w:p>
    <w:p w14:paraId="772D4E42" w14:textId="77777777" w:rsidR="00A86ADC" w:rsidRPr="00582B4C" w:rsidRDefault="00A86ADC" w:rsidP="00A86ADC">
      <w:pPr>
        <w:autoSpaceDE w:val="0"/>
        <w:autoSpaceDN w:val="0"/>
        <w:adjustRightInd w:val="0"/>
        <w:spacing w:before="120" w:after="80"/>
        <w:rPr>
          <w:rFonts w:ascii="Candara" w:hAnsi="Candara" w:cs="Calibri"/>
        </w:rPr>
      </w:pPr>
      <w:r w:rsidRPr="00582B4C">
        <w:rPr>
          <w:rFonts w:ascii="Candara" w:hAnsi="Candara" w:cs="Calibri"/>
        </w:rPr>
        <w:t>The key challenges for an asymmetric incentive scheme are:</w:t>
      </w:r>
    </w:p>
    <w:p w14:paraId="202042A6" w14:textId="77777777" w:rsidR="00A86ADC" w:rsidRPr="00582B4C" w:rsidRDefault="00A86ADC" w:rsidP="00345278">
      <w:pPr>
        <w:numPr>
          <w:ilvl w:val="0"/>
          <w:numId w:val="23"/>
        </w:numPr>
        <w:autoSpaceDE w:val="0"/>
        <w:autoSpaceDN w:val="0"/>
        <w:adjustRightInd w:val="0"/>
        <w:spacing w:after="0"/>
        <w:ind w:left="714" w:hanging="357"/>
        <w:rPr>
          <w:rFonts w:ascii="Candara" w:hAnsi="Candara" w:cs="Calibri"/>
        </w:rPr>
      </w:pPr>
      <w:r w:rsidRPr="00582B4C">
        <w:rPr>
          <w:rFonts w:ascii="Candara" w:hAnsi="Candara" w:cs="Calibri"/>
        </w:rPr>
        <w:t xml:space="preserve">Setting </w:t>
      </w:r>
      <w:r>
        <w:rPr>
          <w:rFonts w:ascii="Candara" w:hAnsi="Candara" w:cs="Calibri"/>
        </w:rPr>
        <w:t>and defending a threshold level; and</w:t>
      </w:r>
    </w:p>
    <w:p w14:paraId="10A999C6" w14:textId="77777777" w:rsidR="00A86ADC" w:rsidRPr="00582B4C" w:rsidRDefault="00A86ADC" w:rsidP="00345278">
      <w:pPr>
        <w:numPr>
          <w:ilvl w:val="0"/>
          <w:numId w:val="23"/>
        </w:numPr>
        <w:autoSpaceDE w:val="0"/>
        <w:autoSpaceDN w:val="0"/>
        <w:adjustRightInd w:val="0"/>
        <w:spacing w:after="0"/>
        <w:ind w:left="714" w:hanging="357"/>
        <w:rPr>
          <w:rFonts w:ascii="Candara" w:hAnsi="Candara" w:cs="Calibri"/>
        </w:rPr>
      </w:pPr>
      <w:r w:rsidRPr="00582B4C">
        <w:rPr>
          <w:rFonts w:ascii="Candara" w:hAnsi="Candara" w:cs="Calibri"/>
        </w:rPr>
        <w:t>Managing the cost to consumers</w:t>
      </w:r>
      <w:r>
        <w:rPr>
          <w:rFonts w:ascii="Candara" w:hAnsi="Candara" w:cs="Calibri"/>
        </w:rPr>
        <w:t>.</w:t>
      </w:r>
    </w:p>
    <w:p w14:paraId="4B5A94CB" w14:textId="0A99943D" w:rsidR="005B0059" w:rsidRDefault="00A86ADC" w:rsidP="00081213">
      <w:pPr>
        <w:autoSpaceDE w:val="0"/>
        <w:autoSpaceDN w:val="0"/>
        <w:adjustRightInd w:val="0"/>
        <w:spacing w:before="120" w:after="80"/>
        <w:rPr>
          <w:rFonts w:ascii="Candara" w:hAnsi="Candara" w:cs="Calibri"/>
        </w:rPr>
      </w:pPr>
      <w:r w:rsidRPr="00582B4C">
        <w:rPr>
          <w:rFonts w:ascii="Candara" w:hAnsi="Candara" w:cs="Calibri"/>
        </w:rPr>
        <w:t>For these reasons, an asymmetric approach either with or with</w:t>
      </w:r>
      <w:r>
        <w:rPr>
          <w:rFonts w:ascii="Candara" w:hAnsi="Candara" w:cs="Calibri"/>
        </w:rPr>
        <w:t>out mitigants is not preferred.</w:t>
      </w:r>
    </w:p>
    <w:p w14:paraId="6ED1C064" w14:textId="77777777" w:rsidR="001F6512" w:rsidRDefault="00081213">
      <w:pPr>
        <w:rPr>
          <w:rFonts w:ascii="Candara" w:hAnsi="Candara" w:cs="Calibri"/>
        </w:rPr>
        <w:sectPr w:rsidR="001F6512" w:rsidSect="003543AF">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pPr>
      <w:r>
        <w:rPr>
          <w:rFonts w:ascii="Candara" w:hAnsi="Candara" w:cs="Calibri"/>
        </w:rPr>
        <w:br w:type="page"/>
      </w:r>
    </w:p>
    <w:p w14:paraId="20DA3CA6" w14:textId="42573005" w:rsidR="00081213" w:rsidRPr="00081213" w:rsidRDefault="00081213" w:rsidP="00326522">
      <w:pPr>
        <w:pStyle w:val="Heading1"/>
        <w:numPr>
          <w:ilvl w:val="0"/>
          <w:numId w:val="0"/>
        </w:numPr>
        <w:rPr>
          <w:sz w:val="22"/>
          <w:szCs w:val="22"/>
        </w:rPr>
      </w:pPr>
      <w:bookmarkStart w:id="72" w:name="_Toc458675219"/>
      <w:r w:rsidRPr="00BB41A4">
        <w:lastRenderedPageBreak/>
        <w:t xml:space="preserve">Appendix </w:t>
      </w:r>
      <w:r w:rsidR="006F2777" w:rsidRPr="00BB41A4">
        <w:t>6</w:t>
      </w:r>
      <w:r w:rsidRPr="00BB41A4">
        <w:t xml:space="preserve"> – Proposed </w:t>
      </w:r>
      <w:r w:rsidR="00671DEB">
        <w:t>Revised</w:t>
      </w:r>
      <w:r w:rsidRPr="00BB41A4">
        <w:t xml:space="preserve"> f-factor Order-in-Council</w:t>
      </w:r>
      <w:bookmarkEnd w:id="72"/>
      <w:r w:rsidRPr="00BB41A4">
        <w:t xml:space="preserve"> </w:t>
      </w:r>
    </w:p>
    <w:p w14:paraId="027DE46F" w14:textId="77777777" w:rsidR="009873F1" w:rsidRDefault="009873F1" w:rsidP="009873F1">
      <w:pPr>
        <w:spacing w:before="120" w:after="120"/>
        <w:rPr>
          <w:rFonts w:ascii="Times New Roman" w:hAnsi="Times New Roman" w:cs="Times New Roman"/>
          <w:sz w:val="20"/>
          <w:szCs w:val="20"/>
        </w:rPr>
      </w:pPr>
    </w:p>
    <w:p w14:paraId="521FDA52" w14:textId="77777777" w:rsidR="0035665F" w:rsidRDefault="0035665F" w:rsidP="0035665F">
      <w:pPr>
        <w:spacing w:before="120" w:after="120"/>
        <w:jc w:val="center"/>
        <w:rPr>
          <w:rFonts w:ascii="Times New Roman" w:hAnsi="Times New Roman" w:cs="Times New Roman"/>
          <w:b/>
          <w:sz w:val="20"/>
          <w:szCs w:val="20"/>
        </w:rPr>
      </w:pPr>
      <w:r>
        <w:rPr>
          <w:rFonts w:ascii="Times New Roman" w:hAnsi="Times New Roman" w:cs="Times New Roman"/>
          <w:b/>
          <w:sz w:val="20"/>
          <w:szCs w:val="20"/>
        </w:rPr>
        <w:t>National Electricity (Victoria) Act 2005</w:t>
      </w:r>
    </w:p>
    <w:p w14:paraId="2B075B53" w14:textId="77777777" w:rsidR="0035665F" w:rsidRDefault="0035665F" w:rsidP="0035665F">
      <w:pPr>
        <w:spacing w:before="120" w:after="120"/>
        <w:jc w:val="center"/>
        <w:rPr>
          <w:rFonts w:ascii="Times New Roman" w:hAnsi="Times New Roman" w:cs="Times New Roman"/>
          <w:sz w:val="20"/>
          <w:szCs w:val="20"/>
        </w:rPr>
      </w:pPr>
      <w:r>
        <w:rPr>
          <w:rFonts w:ascii="Times New Roman" w:hAnsi="Times New Roman" w:cs="Times New Roman"/>
          <w:sz w:val="20"/>
          <w:szCs w:val="20"/>
        </w:rPr>
        <w:t>F-FACTOR SCHEME ORDER 2016</w:t>
      </w:r>
    </w:p>
    <w:p w14:paraId="54474955" w14:textId="77777777" w:rsidR="0035665F" w:rsidRDefault="0035665F" w:rsidP="0035665F">
      <w:pPr>
        <w:spacing w:before="120" w:after="120"/>
        <w:jc w:val="center"/>
        <w:rPr>
          <w:rFonts w:ascii="Times New Roman" w:hAnsi="Times New Roman" w:cs="Times New Roman"/>
          <w:sz w:val="20"/>
          <w:szCs w:val="20"/>
        </w:rPr>
      </w:pPr>
      <w:r>
        <w:rPr>
          <w:rFonts w:ascii="Times New Roman" w:hAnsi="Times New Roman" w:cs="Times New Roman"/>
          <w:sz w:val="20"/>
          <w:szCs w:val="20"/>
        </w:rPr>
        <w:t xml:space="preserve">Order in Council </w:t>
      </w:r>
    </w:p>
    <w:p w14:paraId="4DD514F9" w14:textId="77777777" w:rsidR="0035665F" w:rsidRDefault="0035665F" w:rsidP="0035665F">
      <w:pPr>
        <w:spacing w:before="120" w:after="120"/>
        <w:rPr>
          <w:rFonts w:ascii="Times New Roman" w:hAnsi="Times New Roman" w:cs="Times New Roman"/>
          <w:sz w:val="20"/>
          <w:szCs w:val="20"/>
        </w:rPr>
      </w:pPr>
    </w:p>
    <w:p w14:paraId="1F31E3DC" w14:textId="77777777" w:rsidR="00671DEB" w:rsidRDefault="00671DEB" w:rsidP="00671DEB">
      <w:pPr>
        <w:spacing w:before="120" w:after="120"/>
        <w:rPr>
          <w:rFonts w:ascii="Times New Roman" w:hAnsi="Times New Roman" w:cs="Times New Roman"/>
          <w:sz w:val="20"/>
          <w:szCs w:val="20"/>
        </w:rPr>
      </w:pPr>
      <w:r>
        <w:rPr>
          <w:rFonts w:ascii="Times New Roman" w:hAnsi="Times New Roman" w:cs="Times New Roman"/>
          <w:sz w:val="20"/>
          <w:szCs w:val="20"/>
        </w:rPr>
        <w:t xml:space="preserve">The Governor in Council, under section 16C of the </w:t>
      </w:r>
      <w:r>
        <w:rPr>
          <w:rFonts w:ascii="Times New Roman" w:hAnsi="Times New Roman" w:cs="Times New Roman"/>
          <w:b/>
          <w:sz w:val="20"/>
          <w:szCs w:val="20"/>
        </w:rPr>
        <w:t>National Electricity (Victoria) Act 2005</w:t>
      </w:r>
      <w:r>
        <w:rPr>
          <w:rFonts w:ascii="Times New Roman" w:hAnsi="Times New Roman" w:cs="Times New Roman"/>
          <w:sz w:val="20"/>
          <w:szCs w:val="20"/>
        </w:rPr>
        <w:t>, makes the following Order:</w:t>
      </w:r>
    </w:p>
    <w:p w14:paraId="57FF2013"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r>
        <w:rPr>
          <w:rFonts w:ascii="Times New Roman" w:hAnsi="Times New Roman" w:cs="Times New Roman"/>
          <w:b/>
          <w:sz w:val="20"/>
          <w:szCs w:val="20"/>
        </w:rPr>
        <w:t>Purpose</w:t>
      </w:r>
    </w:p>
    <w:p w14:paraId="717E58BC"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t>The purpose of this Order is to revoke the previous f-factor scheme Order that commenced on 23 June 2011, and to provide for the establishment of a new f-factor scheme that targets incentives towards ignitions that pose the greatest risk of harm through the use of ignition risk units (</w:t>
      </w:r>
      <w:r w:rsidRPr="00B60DDD">
        <w:rPr>
          <w:rFonts w:ascii="Times New Roman" w:hAnsi="Times New Roman" w:cs="Times New Roman"/>
          <w:b/>
          <w:i/>
          <w:sz w:val="20"/>
          <w:szCs w:val="20"/>
        </w:rPr>
        <w:t>IRU</w:t>
      </w:r>
      <w:r>
        <w:rPr>
          <w:rFonts w:ascii="Times New Roman" w:hAnsi="Times New Roman" w:cs="Times New Roman"/>
          <w:sz w:val="20"/>
          <w:szCs w:val="20"/>
        </w:rPr>
        <w:t>s).</w:t>
      </w:r>
      <w:r>
        <w:rPr>
          <w:rFonts w:ascii="Times New Roman" w:hAnsi="Times New Roman" w:cs="Times New Roman"/>
          <w:sz w:val="20"/>
          <w:szCs w:val="20"/>
        </w:rPr>
        <w:br/>
      </w:r>
    </w:p>
    <w:p w14:paraId="171F0A5A"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73" w:name="_Ref457378248"/>
      <w:r>
        <w:rPr>
          <w:rFonts w:ascii="Times New Roman" w:hAnsi="Times New Roman" w:cs="Times New Roman"/>
          <w:b/>
          <w:sz w:val="20"/>
          <w:szCs w:val="20"/>
        </w:rPr>
        <w:t>Commencement</w:t>
      </w:r>
      <w:bookmarkEnd w:id="73"/>
    </w:p>
    <w:p w14:paraId="1CDCE14F"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t>This Order comes into effect on the day it is published in the Victoria Government Gazette.</w:t>
      </w:r>
      <w:r>
        <w:rPr>
          <w:rFonts w:ascii="Times New Roman" w:hAnsi="Times New Roman" w:cs="Times New Roman"/>
          <w:sz w:val="20"/>
          <w:szCs w:val="20"/>
        </w:rPr>
        <w:br/>
      </w:r>
    </w:p>
    <w:p w14:paraId="60BC5988"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r>
        <w:rPr>
          <w:rFonts w:ascii="Times New Roman" w:hAnsi="Times New Roman" w:cs="Times New Roman"/>
          <w:b/>
          <w:sz w:val="20"/>
          <w:szCs w:val="20"/>
        </w:rPr>
        <w:t xml:space="preserve">Revocation of previous f-factor Order </w:t>
      </w:r>
    </w:p>
    <w:p w14:paraId="34C39B56"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t xml:space="preserve">The f-factor scheme Order published in the Victoria Government Gazette No. G 25 on 23 June 2011, and dated 21 June 2011, is revoked. </w:t>
      </w:r>
    </w:p>
    <w:p w14:paraId="4F2AFF6B" w14:textId="77777777" w:rsidR="00671DEB" w:rsidRDefault="00671DEB" w:rsidP="00671DEB">
      <w:pPr>
        <w:pStyle w:val="ListParagraph"/>
        <w:spacing w:before="120" w:after="120"/>
        <w:rPr>
          <w:rFonts w:ascii="Times New Roman" w:hAnsi="Times New Roman" w:cs="Times New Roman"/>
          <w:sz w:val="20"/>
          <w:szCs w:val="20"/>
        </w:rPr>
      </w:pPr>
    </w:p>
    <w:p w14:paraId="3F958928"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74" w:name="_Ref457392910"/>
      <w:r>
        <w:rPr>
          <w:rFonts w:ascii="Times New Roman" w:hAnsi="Times New Roman" w:cs="Times New Roman"/>
          <w:b/>
          <w:sz w:val="20"/>
          <w:szCs w:val="20"/>
        </w:rPr>
        <w:t>Interpretation</w:t>
      </w:r>
      <w:bookmarkEnd w:id="74"/>
    </w:p>
    <w:p w14:paraId="66BBA2D7" w14:textId="77777777" w:rsidR="00671DEB" w:rsidRDefault="00671DEB" w:rsidP="00671DEB">
      <w:pPr>
        <w:pStyle w:val="ListParagraph"/>
        <w:numPr>
          <w:ilvl w:val="1"/>
          <w:numId w:val="47"/>
        </w:numPr>
        <w:spacing w:before="120" w:after="120"/>
        <w:rPr>
          <w:rFonts w:ascii="Times New Roman" w:hAnsi="Times New Roman" w:cs="Times New Roman"/>
          <w:b/>
          <w:i/>
          <w:sz w:val="20"/>
          <w:szCs w:val="20"/>
        </w:rPr>
      </w:pPr>
      <w:r>
        <w:rPr>
          <w:rFonts w:ascii="Times New Roman" w:hAnsi="Times New Roman" w:cs="Times New Roman"/>
          <w:sz w:val="20"/>
          <w:szCs w:val="20"/>
        </w:rPr>
        <w:t xml:space="preserve">In this Order and unless the context otherwise requires– </w:t>
      </w:r>
      <w:r>
        <w:rPr>
          <w:rFonts w:ascii="Times New Roman" w:hAnsi="Times New Roman" w:cs="Times New Roman"/>
          <w:sz w:val="20"/>
          <w:szCs w:val="20"/>
        </w:rPr>
        <w:br/>
      </w:r>
    </w:p>
    <w:p w14:paraId="4762EDBE"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 xml:space="preserve">2016-2020 regulatory control period </w:t>
      </w:r>
      <w:r>
        <w:rPr>
          <w:rFonts w:ascii="Times New Roman" w:hAnsi="Times New Roman" w:cs="Times New Roman"/>
          <w:sz w:val="20"/>
          <w:szCs w:val="20"/>
        </w:rPr>
        <w:t xml:space="preserve">means the regulatory control period 1 January 2016 to 31 December 2020; </w:t>
      </w:r>
    </w:p>
    <w:p w14:paraId="3947717C" w14:textId="77777777" w:rsidR="00671DEB" w:rsidRDefault="00671DEB" w:rsidP="00671DEB">
      <w:pPr>
        <w:pStyle w:val="ListParagraph"/>
        <w:spacing w:before="120" w:after="120"/>
        <w:ind w:left="1440"/>
        <w:rPr>
          <w:rFonts w:ascii="Times New Roman" w:hAnsi="Times New Roman" w:cs="Times New Roman"/>
          <w:b/>
          <w:i/>
          <w:sz w:val="20"/>
          <w:szCs w:val="20"/>
        </w:rPr>
      </w:pPr>
    </w:p>
    <w:p w14:paraId="04D96543"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 xml:space="preserve">Central Plan Office </w:t>
      </w:r>
      <w:r>
        <w:rPr>
          <w:rFonts w:ascii="Times New Roman" w:hAnsi="Times New Roman" w:cs="Times New Roman"/>
          <w:sz w:val="20"/>
          <w:szCs w:val="20"/>
        </w:rPr>
        <w:t>means the Central Plan Office of the Department of Environment, Land, Water and Planning;</w:t>
      </w:r>
    </w:p>
    <w:p w14:paraId="230E6C32" w14:textId="77777777" w:rsidR="00671DEB" w:rsidRDefault="00671DEB" w:rsidP="00671DEB">
      <w:pPr>
        <w:pStyle w:val="ListParagraph"/>
        <w:spacing w:before="120" w:after="120"/>
        <w:ind w:left="1440"/>
        <w:rPr>
          <w:rFonts w:ascii="Times New Roman" w:hAnsi="Times New Roman" w:cs="Times New Roman"/>
          <w:sz w:val="20"/>
          <w:szCs w:val="20"/>
        </w:rPr>
      </w:pPr>
    </w:p>
    <w:p w14:paraId="7B597E1F" w14:textId="77777777" w:rsidR="00671DEB" w:rsidRDefault="00671DEB" w:rsidP="00671DEB">
      <w:pPr>
        <w:pStyle w:val="ListParagraph"/>
        <w:spacing w:before="120" w:after="120"/>
        <w:ind w:left="1440"/>
        <w:rPr>
          <w:rFonts w:ascii="Times New Roman" w:hAnsi="Times New Roman" w:cs="Times New Roman"/>
          <w:b/>
          <w:i/>
          <w:sz w:val="20"/>
          <w:szCs w:val="20"/>
        </w:rPr>
      </w:pPr>
      <w:r>
        <w:rPr>
          <w:rFonts w:ascii="Times New Roman" w:hAnsi="Times New Roman" w:cs="Times New Roman"/>
          <w:b/>
          <w:i/>
          <w:sz w:val="20"/>
          <w:szCs w:val="20"/>
        </w:rPr>
        <w:t>electric line construction area</w:t>
      </w:r>
      <w:r>
        <w:rPr>
          <w:rFonts w:ascii="Times New Roman" w:hAnsi="Times New Roman" w:cs="Times New Roman"/>
          <w:sz w:val="20"/>
          <w:szCs w:val="20"/>
        </w:rPr>
        <w:t xml:space="preserve"> has the same meaning as it has in the </w:t>
      </w:r>
      <w:r w:rsidRPr="000B205E">
        <w:rPr>
          <w:rFonts w:ascii="Times New Roman" w:hAnsi="Times New Roman" w:cs="Times New Roman"/>
          <w:sz w:val="20"/>
          <w:szCs w:val="20"/>
        </w:rPr>
        <w:t>Electricity Safety (Bushfire Mitigation) Regulations 2013</w:t>
      </w:r>
      <w:r w:rsidRPr="00E16ADC">
        <w:rPr>
          <w:rFonts w:ascii="Times New Roman" w:hAnsi="Times New Roman" w:cs="Times New Roman"/>
          <w:sz w:val="20"/>
          <w:szCs w:val="20"/>
        </w:rPr>
        <w:t>;</w:t>
      </w:r>
      <w:r>
        <w:rPr>
          <w:rFonts w:ascii="Times New Roman" w:hAnsi="Times New Roman" w:cs="Times New Roman"/>
          <w:sz w:val="20"/>
          <w:szCs w:val="20"/>
        </w:rPr>
        <w:br/>
      </w:r>
    </w:p>
    <w:p w14:paraId="334861CD"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f-factor scheme</w:t>
      </w:r>
      <w:r>
        <w:rPr>
          <w:rFonts w:ascii="Times New Roman" w:hAnsi="Times New Roman" w:cs="Times New Roman"/>
          <w:b/>
          <w:sz w:val="20"/>
          <w:szCs w:val="20"/>
        </w:rPr>
        <w:t xml:space="preserve"> </w:t>
      </w:r>
      <w:r>
        <w:rPr>
          <w:rFonts w:ascii="Times New Roman" w:hAnsi="Times New Roman" w:cs="Times New Roman"/>
          <w:sz w:val="20"/>
          <w:szCs w:val="20"/>
        </w:rPr>
        <w:t xml:space="preserve">means an incentive scheme that provides incentives for Distribution Network Service Providers to reduce the risk of fire starts and reduce the risk of loss or damage caused by fire starts; </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b/>
          <w:i/>
          <w:sz w:val="20"/>
          <w:szCs w:val="20"/>
        </w:rPr>
        <w:t xml:space="preserve">fire danger rating </w:t>
      </w:r>
      <w:r>
        <w:rPr>
          <w:rFonts w:ascii="Times New Roman" w:hAnsi="Times New Roman" w:cs="Times New Roman"/>
          <w:sz w:val="20"/>
          <w:szCs w:val="20"/>
        </w:rPr>
        <w:t>means a forecast rating announced by the Bureau of Meteorology that represents the fire danger index predicted for a specific area in which a fire is located;</w:t>
      </w:r>
    </w:p>
    <w:p w14:paraId="7ADCB695" w14:textId="77777777" w:rsidR="00671DEB" w:rsidRDefault="00671DEB" w:rsidP="00671DEB">
      <w:pPr>
        <w:pStyle w:val="ListParagraph"/>
        <w:spacing w:before="120" w:after="120"/>
        <w:ind w:left="1440"/>
        <w:rPr>
          <w:rFonts w:ascii="Times New Roman" w:hAnsi="Times New Roman" w:cs="Times New Roman"/>
          <w:sz w:val="20"/>
          <w:szCs w:val="20"/>
        </w:rPr>
      </w:pPr>
    </w:p>
    <w:p w14:paraId="00556C6B"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fire start</w:t>
      </w:r>
      <w:r>
        <w:rPr>
          <w:rFonts w:ascii="Times New Roman" w:hAnsi="Times New Roman" w:cs="Times New Roman"/>
          <w:i/>
          <w:sz w:val="20"/>
          <w:szCs w:val="20"/>
        </w:rPr>
        <w:t xml:space="preserve"> – </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_Ref443564782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b/>
          <w:i/>
          <w:sz w:val="20"/>
          <w:szCs w:val="20"/>
        </w:rPr>
        <w:t>fire start report</w:t>
      </w:r>
      <w:r>
        <w:rPr>
          <w:rFonts w:ascii="Times New Roman" w:hAnsi="Times New Roman" w:cs="Times New Roman"/>
          <w:i/>
          <w:sz w:val="20"/>
          <w:szCs w:val="20"/>
        </w:rPr>
        <w:t xml:space="preserve"> – </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_Ref443664511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682CE2C4" w14:textId="77777777" w:rsidR="00671DEB" w:rsidRDefault="00671DEB" w:rsidP="00671DEB">
      <w:pPr>
        <w:pStyle w:val="ListParagraph"/>
        <w:spacing w:before="120" w:after="120"/>
        <w:ind w:left="1440"/>
        <w:rPr>
          <w:rFonts w:ascii="Times New Roman" w:hAnsi="Times New Roman" w:cs="Times New Roman"/>
          <w:sz w:val="20"/>
          <w:szCs w:val="20"/>
        </w:rPr>
      </w:pPr>
    </w:p>
    <w:p w14:paraId="1D046541" w14:textId="77777777" w:rsidR="00671DEB" w:rsidRDefault="00671DEB" w:rsidP="00671DEB">
      <w:pPr>
        <w:pStyle w:val="ListParagraph"/>
        <w:spacing w:before="120" w:after="120"/>
        <w:ind w:left="1440"/>
        <w:rPr>
          <w:rFonts w:ascii="Times New Roman" w:hAnsi="Times New Roman" w:cs="Times New Roman"/>
          <w:b/>
          <w:i/>
          <w:sz w:val="20"/>
          <w:szCs w:val="20"/>
        </w:rPr>
      </w:pPr>
      <w:r>
        <w:rPr>
          <w:rFonts w:ascii="Times New Roman" w:hAnsi="Times New Roman" w:cs="Times New Roman"/>
          <w:b/>
          <w:i/>
          <w:sz w:val="20"/>
          <w:szCs w:val="20"/>
        </w:rPr>
        <w:t>hazardous bushfire risk area</w:t>
      </w:r>
      <w:r>
        <w:rPr>
          <w:rFonts w:ascii="Times New Roman" w:hAnsi="Times New Roman" w:cs="Times New Roman"/>
          <w:sz w:val="20"/>
          <w:szCs w:val="20"/>
        </w:rPr>
        <w:t xml:space="preserve"> has the same meaning as it has in the </w:t>
      </w:r>
      <w:r>
        <w:rPr>
          <w:rFonts w:ascii="Times New Roman" w:hAnsi="Times New Roman" w:cs="Times New Roman"/>
          <w:b/>
          <w:sz w:val="20"/>
          <w:szCs w:val="20"/>
        </w:rPr>
        <w:t>Electricity Safety Act 1998</w:t>
      </w:r>
      <w:r w:rsidRPr="00B631F3">
        <w:rPr>
          <w:rFonts w:ascii="Times New Roman" w:hAnsi="Times New Roman" w:cs="Times New Roman"/>
          <w:sz w:val="20"/>
          <w:szCs w:val="20"/>
        </w:rPr>
        <w:t>;</w:t>
      </w:r>
    </w:p>
    <w:p w14:paraId="4CAD2DA1" w14:textId="77777777" w:rsidR="00671DEB" w:rsidRDefault="00671DEB" w:rsidP="00671DEB">
      <w:pPr>
        <w:pStyle w:val="ListParagraph"/>
        <w:spacing w:before="120" w:after="120"/>
        <w:ind w:left="1440"/>
        <w:rPr>
          <w:rFonts w:ascii="Times New Roman" w:hAnsi="Times New Roman" w:cs="Times New Roman"/>
          <w:b/>
          <w:i/>
          <w:sz w:val="20"/>
          <w:szCs w:val="20"/>
        </w:rPr>
      </w:pPr>
    </w:p>
    <w:p w14:paraId="2ABC4A1D"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 xml:space="preserve">IRU </w:t>
      </w:r>
      <w:r>
        <w:rPr>
          <w:rFonts w:ascii="Times New Roman" w:hAnsi="Times New Roman" w:cs="Times New Roman"/>
          <w:sz w:val="20"/>
          <w:szCs w:val="20"/>
        </w:rPr>
        <w:t>means ignition risk unit;</w:t>
      </w:r>
    </w:p>
    <w:p w14:paraId="1473FF19" w14:textId="77777777" w:rsidR="00671DEB" w:rsidRDefault="00671DEB" w:rsidP="00671DEB">
      <w:pPr>
        <w:pStyle w:val="ListParagraph"/>
        <w:spacing w:before="120" w:after="120"/>
        <w:ind w:left="1440"/>
        <w:rPr>
          <w:rFonts w:ascii="Times New Roman" w:hAnsi="Times New Roman" w:cs="Times New Roman"/>
          <w:b/>
          <w:i/>
          <w:sz w:val="20"/>
          <w:szCs w:val="20"/>
        </w:rPr>
      </w:pPr>
    </w:p>
    <w:p w14:paraId="410E1D47"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lastRenderedPageBreak/>
        <w:t>IRU amount</w:t>
      </w:r>
      <w:r>
        <w:rPr>
          <w:rFonts w:ascii="Times New Roman" w:hAnsi="Times New Roman" w:cs="Times New Roman"/>
          <w:i/>
          <w:sz w:val="20"/>
          <w:szCs w:val="20"/>
        </w:rPr>
        <w:t xml:space="preserve"> – </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_Ref457378114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11</w:t>
      </w:r>
      <w:r>
        <w:rPr>
          <w:rFonts w:ascii="Times New Roman" w:hAnsi="Times New Roman" w:cs="Times New Roman"/>
          <w:sz w:val="20"/>
          <w:szCs w:val="20"/>
        </w:rPr>
        <w:fldChar w:fldCharType="end"/>
      </w:r>
      <w:r>
        <w:rPr>
          <w:rFonts w:ascii="Times New Roman" w:hAnsi="Times New Roman" w:cs="Times New Roman"/>
          <w:sz w:val="20"/>
          <w:szCs w:val="20"/>
        </w:rPr>
        <w:t>;</w:t>
      </w:r>
    </w:p>
    <w:p w14:paraId="5585F34D" w14:textId="77777777" w:rsidR="00671DEB" w:rsidRDefault="00671DEB" w:rsidP="00671DEB">
      <w:pPr>
        <w:pStyle w:val="ListParagraph"/>
        <w:spacing w:before="120" w:after="120"/>
        <w:ind w:left="1440"/>
        <w:rPr>
          <w:rFonts w:ascii="Times New Roman" w:hAnsi="Times New Roman" w:cs="Times New Roman"/>
          <w:sz w:val="20"/>
          <w:szCs w:val="20"/>
        </w:rPr>
      </w:pPr>
    </w:p>
    <w:p w14:paraId="0ED3A7E5"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 xml:space="preserve">IRU target </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_Ref457485828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10</w:t>
      </w:r>
      <w:r>
        <w:rPr>
          <w:rFonts w:ascii="Times New Roman" w:hAnsi="Times New Roman" w:cs="Times New Roman"/>
          <w:sz w:val="20"/>
          <w:szCs w:val="20"/>
        </w:rPr>
        <w:fldChar w:fldCharType="end"/>
      </w:r>
      <w:r>
        <w:rPr>
          <w:rFonts w:ascii="Times New Roman" w:hAnsi="Times New Roman" w:cs="Times New Roman"/>
          <w:sz w:val="20"/>
          <w:szCs w:val="20"/>
        </w:rPr>
        <w:t>;</w:t>
      </w:r>
    </w:p>
    <w:p w14:paraId="68DCA447" w14:textId="77777777" w:rsidR="00671DEB" w:rsidRDefault="00671DEB" w:rsidP="00671DEB">
      <w:pPr>
        <w:pStyle w:val="ListParagraph"/>
        <w:spacing w:before="120" w:after="120"/>
        <w:ind w:left="1440"/>
        <w:rPr>
          <w:rFonts w:ascii="Times New Roman" w:hAnsi="Times New Roman" w:cs="Times New Roman"/>
          <w:sz w:val="20"/>
          <w:szCs w:val="20"/>
        </w:rPr>
      </w:pPr>
    </w:p>
    <w:p w14:paraId="73971873"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polyphase electric line</w:t>
      </w:r>
      <w:r>
        <w:rPr>
          <w:rFonts w:ascii="Times New Roman" w:hAnsi="Times New Roman" w:cs="Times New Roman"/>
          <w:sz w:val="20"/>
          <w:szCs w:val="20"/>
        </w:rPr>
        <w:t xml:space="preserve"> has the same meaning as it has in the </w:t>
      </w:r>
      <w:r w:rsidRPr="000B205E">
        <w:rPr>
          <w:rFonts w:ascii="Times New Roman" w:hAnsi="Times New Roman" w:cs="Times New Roman"/>
          <w:sz w:val="20"/>
          <w:szCs w:val="20"/>
        </w:rPr>
        <w:t>Electricity Safety (Bushfire Mitigation) Regulations 2013</w:t>
      </w:r>
      <w:r>
        <w:rPr>
          <w:rFonts w:ascii="Times New Roman" w:hAnsi="Times New Roman" w:cs="Times New Roman"/>
          <w:sz w:val="20"/>
          <w:szCs w:val="20"/>
        </w:rPr>
        <w:t>;</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b/>
          <w:i/>
          <w:sz w:val="20"/>
          <w:szCs w:val="20"/>
        </w:rPr>
        <w:t xml:space="preserve">previous f-factor scheme Order </w:t>
      </w:r>
      <w:r>
        <w:rPr>
          <w:rFonts w:ascii="Times New Roman" w:hAnsi="Times New Roman" w:cs="Times New Roman"/>
          <w:sz w:val="20"/>
          <w:szCs w:val="20"/>
        </w:rPr>
        <w:t>means the f-factor scheme Order published in the Victoria Government Gazette No. G 25 on 23 June 2011, and dated 21 June 2011;</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b/>
          <w:i/>
          <w:sz w:val="20"/>
          <w:szCs w:val="20"/>
        </w:rPr>
        <w:t>relevant Distribution Network Service Provider</w:t>
      </w:r>
      <w:r>
        <w:rPr>
          <w:rFonts w:ascii="Times New Roman" w:hAnsi="Times New Roman" w:cs="Times New Roman"/>
          <w:sz w:val="20"/>
          <w:szCs w:val="20"/>
        </w:rPr>
        <w:t>, for the purpose of calculating a revenue adjustment,</w:t>
      </w:r>
      <w:r>
        <w:rPr>
          <w:rFonts w:ascii="Times New Roman" w:hAnsi="Times New Roman" w:cs="Times New Roman"/>
          <w:b/>
          <w:i/>
          <w:sz w:val="20"/>
          <w:szCs w:val="20"/>
        </w:rPr>
        <w:t xml:space="preserve"> </w:t>
      </w:r>
      <w:r>
        <w:rPr>
          <w:rFonts w:ascii="Times New Roman" w:hAnsi="Times New Roman" w:cs="Times New Roman"/>
          <w:sz w:val="20"/>
          <w:szCs w:val="20"/>
        </w:rPr>
        <w:t>means the particular Distribution Network Service Provider for whom the revenue adjustment is being calculated;</w:t>
      </w:r>
    </w:p>
    <w:p w14:paraId="0691D9C2"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br/>
      </w:r>
      <w:r>
        <w:rPr>
          <w:rFonts w:ascii="Times New Roman" w:hAnsi="Times New Roman" w:cs="Times New Roman"/>
          <w:b/>
          <w:i/>
          <w:sz w:val="20"/>
          <w:szCs w:val="20"/>
        </w:rPr>
        <w:t>relevant distribution system</w:t>
      </w:r>
      <w:r>
        <w:rPr>
          <w:rFonts w:ascii="Times New Roman" w:hAnsi="Times New Roman" w:cs="Times New Roman"/>
          <w:sz w:val="20"/>
          <w:szCs w:val="20"/>
        </w:rPr>
        <w:t>, for the purpose of calculating a revenue adjustment,</w:t>
      </w:r>
      <w:r>
        <w:rPr>
          <w:rFonts w:ascii="Times New Roman" w:hAnsi="Times New Roman" w:cs="Times New Roman"/>
          <w:b/>
          <w:i/>
          <w:sz w:val="20"/>
          <w:szCs w:val="20"/>
        </w:rPr>
        <w:t xml:space="preserve"> </w:t>
      </w:r>
      <w:r>
        <w:rPr>
          <w:rFonts w:ascii="Times New Roman" w:hAnsi="Times New Roman" w:cs="Times New Roman"/>
          <w:sz w:val="20"/>
          <w:szCs w:val="20"/>
        </w:rPr>
        <w:t>means the distribution system that is owned, operated or controlled by the relevant Distribution Network Service Provider;</w:t>
      </w:r>
      <w:r>
        <w:rPr>
          <w:rFonts w:ascii="Times New Roman" w:hAnsi="Times New Roman" w:cs="Times New Roman"/>
          <w:sz w:val="20"/>
          <w:szCs w:val="20"/>
        </w:rPr>
        <w:br/>
      </w:r>
      <w:r>
        <w:rPr>
          <w:rFonts w:ascii="Times New Roman" w:hAnsi="Times New Roman" w:cs="Times New Roman"/>
          <w:sz w:val="20"/>
          <w:szCs w:val="20"/>
        </w:rPr>
        <w:br/>
      </w:r>
      <w:r>
        <w:rPr>
          <w:rFonts w:ascii="Times New Roman" w:hAnsi="Times New Roman" w:cs="Times New Roman"/>
          <w:b/>
          <w:i/>
          <w:sz w:val="20"/>
          <w:szCs w:val="20"/>
        </w:rPr>
        <w:t>relevant financial year</w:t>
      </w:r>
      <w:r>
        <w:rPr>
          <w:rFonts w:ascii="Times New Roman" w:hAnsi="Times New Roman" w:cs="Times New Roman"/>
          <w:sz w:val="20"/>
          <w:szCs w:val="20"/>
        </w:rPr>
        <w:t xml:space="preserve">, for the purpose of calculating a revenue adjustment under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_Ref453254932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9</w:t>
      </w:r>
      <w:r>
        <w:rPr>
          <w:rFonts w:ascii="Times New Roman" w:hAnsi="Times New Roman" w:cs="Times New Roman"/>
          <w:sz w:val="20"/>
          <w:szCs w:val="20"/>
        </w:rPr>
        <w:fldChar w:fldCharType="end"/>
      </w:r>
      <w:r>
        <w:rPr>
          <w:rFonts w:ascii="Times New Roman" w:hAnsi="Times New Roman" w:cs="Times New Roman"/>
          <w:sz w:val="20"/>
          <w:szCs w:val="20"/>
        </w:rPr>
        <w:t xml:space="preserve">, an IRU target or an IRU amount, means the financial year ending 18 months prior to the commencement of the regulatory year for which the revenue adjustment is being calculated; </w:t>
      </w:r>
    </w:p>
    <w:p w14:paraId="245BA332" w14:textId="77777777" w:rsidR="00671DEB" w:rsidRDefault="00671DEB" w:rsidP="00671DEB">
      <w:pPr>
        <w:pStyle w:val="ListParagraph"/>
        <w:spacing w:before="120" w:after="120"/>
        <w:ind w:left="1440"/>
        <w:rPr>
          <w:rFonts w:ascii="Times New Roman" w:hAnsi="Times New Roman" w:cs="Times New Roman"/>
          <w:sz w:val="20"/>
          <w:szCs w:val="20"/>
        </w:rPr>
      </w:pPr>
    </w:p>
    <w:p w14:paraId="6A908616" w14:textId="77777777" w:rsidR="00671DEB" w:rsidRDefault="00671DEB" w:rsidP="00671DEB">
      <w:pPr>
        <w:pStyle w:val="ListParagraph"/>
        <w:spacing w:before="120" w:after="120"/>
        <w:ind w:left="2160"/>
        <w:rPr>
          <w:rFonts w:ascii="Times New Roman" w:hAnsi="Times New Roman" w:cs="Times New Roman"/>
          <w:b/>
          <w:i/>
          <w:sz w:val="20"/>
          <w:szCs w:val="20"/>
        </w:rPr>
      </w:pPr>
      <w:r>
        <w:rPr>
          <w:rFonts w:ascii="Times New Roman" w:hAnsi="Times New Roman" w:cs="Times New Roman"/>
          <w:i/>
          <w:sz w:val="20"/>
          <w:szCs w:val="20"/>
        </w:rPr>
        <w:t>Example: For the regulatory year commencing 1 January 2020, the relevant financial year is the 2017/18 financial year.</w:t>
      </w:r>
      <w:r>
        <w:rPr>
          <w:rFonts w:ascii="Times New Roman" w:hAnsi="Times New Roman" w:cs="Times New Roman"/>
          <w:sz w:val="20"/>
          <w:szCs w:val="20"/>
        </w:rPr>
        <w:br/>
      </w:r>
    </w:p>
    <w:p w14:paraId="4574DA6D"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required clearance space</w:t>
      </w:r>
      <w:r>
        <w:rPr>
          <w:rFonts w:ascii="Times New Roman" w:hAnsi="Times New Roman" w:cs="Times New Roman"/>
          <w:sz w:val="20"/>
          <w:szCs w:val="20"/>
        </w:rPr>
        <w:t xml:space="preserve"> means a clearance space required under the Code of Practice for Electric Line Clearance as prescribed pursuant to Part 8 of the </w:t>
      </w:r>
      <w:r>
        <w:rPr>
          <w:rFonts w:ascii="Times New Roman" w:hAnsi="Times New Roman" w:cs="Times New Roman"/>
          <w:b/>
          <w:sz w:val="20"/>
          <w:szCs w:val="20"/>
        </w:rPr>
        <w:t>Electricity Safety Act 1998</w:t>
      </w:r>
      <w:r>
        <w:rPr>
          <w:rFonts w:ascii="Times New Roman" w:hAnsi="Times New Roman" w:cs="Times New Roman"/>
          <w:sz w:val="20"/>
          <w:szCs w:val="20"/>
        </w:rPr>
        <w:t xml:space="preserve">; </w:t>
      </w:r>
    </w:p>
    <w:p w14:paraId="2EEC58AC" w14:textId="77777777" w:rsidR="00671DEB" w:rsidRDefault="00671DEB" w:rsidP="00671DEB">
      <w:pPr>
        <w:pStyle w:val="ListParagraph"/>
        <w:spacing w:before="120" w:after="120"/>
        <w:ind w:left="1440"/>
        <w:rPr>
          <w:rFonts w:ascii="Times New Roman" w:hAnsi="Times New Roman" w:cs="Times New Roman"/>
          <w:sz w:val="20"/>
          <w:szCs w:val="20"/>
        </w:rPr>
      </w:pPr>
    </w:p>
    <w:p w14:paraId="3C12867E" w14:textId="77777777" w:rsidR="00671DEB" w:rsidRDefault="00671DEB" w:rsidP="00671DEB">
      <w:pPr>
        <w:pStyle w:val="ListParagraph"/>
        <w:spacing w:before="120" w:after="120"/>
        <w:ind w:left="2160"/>
        <w:rPr>
          <w:rFonts w:ascii="Times New Roman" w:hAnsi="Times New Roman" w:cs="Times New Roman"/>
          <w:i/>
          <w:sz w:val="20"/>
          <w:szCs w:val="20"/>
        </w:rPr>
      </w:pPr>
      <w:r>
        <w:rPr>
          <w:rFonts w:ascii="Times New Roman" w:hAnsi="Times New Roman" w:cs="Times New Roman"/>
          <w:i/>
          <w:sz w:val="20"/>
          <w:szCs w:val="20"/>
        </w:rPr>
        <w:t xml:space="preserve">Note: See regulation 7 and Schedule 1 to the </w:t>
      </w:r>
      <w:r w:rsidRPr="000B205E">
        <w:rPr>
          <w:rFonts w:ascii="Times New Roman" w:hAnsi="Times New Roman" w:cs="Times New Roman"/>
          <w:i/>
          <w:sz w:val="20"/>
          <w:szCs w:val="20"/>
        </w:rPr>
        <w:t>Electricity Safety (Electric Line Clearance) Regulations 2015</w:t>
      </w:r>
      <w:r>
        <w:rPr>
          <w:rFonts w:ascii="Times New Roman" w:hAnsi="Times New Roman" w:cs="Times New Roman"/>
          <w:i/>
          <w:sz w:val="20"/>
          <w:szCs w:val="20"/>
        </w:rPr>
        <w:t>.</w:t>
      </w:r>
    </w:p>
    <w:p w14:paraId="2DBE589B"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br/>
      </w:r>
      <w:r>
        <w:rPr>
          <w:rFonts w:ascii="Times New Roman" w:hAnsi="Times New Roman" w:cs="Times New Roman"/>
          <w:b/>
          <w:i/>
          <w:sz w:val="20"/>
          <w:szCs w:val="20"/>
        </w:rPr>
        <w:t>revenue adjustment</w:t>
      </w:r>
      <w:r>
        <w:rPr>
          <w:rFonts w:ascii="Times New Roman" w:hAnsi="Times New Roman" w:cs="Times New Roman"/>
          <w:sz w:val="20"/>
          <w:szCs w:val="20"/>
        </w:rPr>
        <w:t xml:space="preserve"> means a revenue adjustment under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_Ref453254932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9</w:t>
      </w:r>
      <w:r>
        <w:rPr>
          <w:rFonts w:ascii="Times New Roman" w:hAnsi="Times New Roman" w:cs="Times New Roman"/>
          <w:sz w:val="20"/>
          <w:szCs w:val="20"/>
        </w:rPr>
        <w:fldChar w:fldCharType="end"/>
      </w:r>
      <w:r>
        <w:rPr>
          <w:rFonts w:ascii="Times New Roman" w:hAnsi="Times New Roman" w:cs="Times New Roman"/>
          <w:sz w:val="20"/>
          <w:szCs w:val="20"/>
        </w:rPr>
        <w:t xml:space="preserve"> or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_Ref454351445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13</w:t>
      </w:r>
      <w:r>
        <w:rPr>
          <w:rFonts w:ascii="Times New Roman" w:hAnsi="Times New Roman" w:cs="Times New Roman"/>
          <w:sz w:val="20"/>
          <w:szCs w:val="20"/>
        </w:rPr>
        <w:fldChar w:fldCharType="end"/>
      </w:r>
      <w:r>
        <w:rPr>
          <w:rFonts w:ascii="Times New Roman" w:hAnsi="Times New Roman" w:cs="Times New Roman"/>
          <w:sz w:val="20"/>
          <w:szCs w:val="20"/>
        </w:rPr>
        <w:t xml:space="preserve">, and may be positive or negative; </w:t>
      </w:r>
    </w:p>
    <w:p w14:paraId="7A59FB10" w14:textId="77777777" w:rsidR="00671DEB" w:rsidRDefault="00671DEB" w:rsidP="00671DEB">
      <w:pPr>
        <w:pStyle w:val="ListParagraph"/>
        <w:spacing w:before="120" w:after="120"/>
        <w:ind w:left="1440"/>
        <w:rPr>
          <w:rFonts w:ascii="Times New Roman" w:hAnsi="Times New Roman" w:cs="Times New Roman"/>
          <w:sz w:val="20"/>
          <w:szCs w:val="20"/>
        </w:rPr>
      </w:pPr>
    </w:p>
    <w:p w14:paraId="69017CF6"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b/>
          <w:i/>
          <w:sz w:val="20"/>
          <w:szCs w:val="20"/>
        </w:rPr>
        <w:t>tree</w:t>
      </w:r>
      <w:r>
        <w:rPr>
          <w:rFonts w:ascii="Times New Roman" w:hAnsi="Times New Roman" w:cs="Times New Roman"/>
          <w:sz w:val="20"/>
          <w:szCs w:val="20"/>
        </w:rPr>
        <w:t xml:space="preserve"> has the same meaning as it has in the </w:t>
      </w:r>
      <w:r>
        <w:rPr>
          <w:rFonts w:ascii="Times New Roman" w:hAnsi="Times New Roman" w:cs="Times New Roman"/>
          <w:b/>
          <w:sz w:val="20"/>
          <w:szCs w:val="20"/>
        </w:rPr>
        <w:t>Electricity Safety Act 1998</w:t>
      </w:r>
      <w:r>
        <w:rPr>
          <w:rFonts w:ascii="Times New Roman" w:hAnsi="Times New Roman" w:cs="Times New Roman"/>
          <w:sz w:val="20"/>
          <w:szCs w:val="20"/>
        </w:rPr>
        <w:t xml:space="preserve"> and includes (without limitation) a hazard tree within the meaning of section 86B of that Act. </w:t>
      </w:r>
    </w:p>
    <w:p w14:paraId="7923D5A3" w14:textId="77777777" w:rsidR="00671DEB" w:rsidRDefault="00671DEB" w:rsidP="00671DEB">
      <w:pPr>
        <w:pStyle w:val="ListParagraph"/>
        <w:spacing w:before="120" w:after="120"/>
        <w:ind w:left="1440"/>
        <w:rPr>
          <w:rFonts w:ascii="Times New Roman" w:hAnsi="Times New Roman" w:cs="Times New Roman"/>
          <w:sz w:val="20"/>
          <w:szCs w:val="20"/>
        </w:rPr>
      </w:pPr>
    </w:p>
    <w:p w14:paraId="6EC7BA1C" w14:textId="77777777" w:rsidR="00671DEB" w:rsidRDefault="00671DEB" w:rsidP="00671DEB">
      <w:pPr>
        <w:pStyle w:val="ListParagraph"/>
        <w:spacing w:before="120" w:after="120"/>
        <w:ind w:left="2160"/>
        <w:rPr>
          <w:rFonts w:ascii="Times New Roman" w:hAnsi="Times New Roman" w:cs="Times New Roman"/>
          <w:i/>
          <w:sz w:val="20"/>
          <w:szCs w:val="20"/>
        </w:rPr>
      </w:pPr>
      <w:r>
        <w:rPr>
          <w:rFonts w:ascii="Times New Roman" w:hAnsi="Times New Roman" w:cs="Times New Roman"/>
          <w:i/>
          <w:sz w:val="20"/>
          <w:szCs w:val="20"/>
        </w:rPr>
        <w:t xml:space="preserve">Note: tree, as defined in section 3 of the </w:t>
      </w:r>
      <w:r>
        <w:rPr>
          <w:rFonts w:ascii="Times New Roman" w:hAnsi="Times New Roman" w:cs="Times New Roman"/>
          <w:b/>
          <w:i/>
          <w:sz w:val="20"/>
          <w:szCs w:val="20"/>
        </w:rPr>
        <w:t>Electricity Safety Act 1998</w:t>
      </w:r>
      <w:r>
        <w:rPr>
          <w:rFonts w:ascii="Times New Roman" w:hAnsi="Times New Roman" w:cs="Times New Roman"/>
          <w:i/>
          <w:sz w:val="20"/>
          <w:szCs w:val="20"/>
        </w:rPr>
        <w:t>, includes vegetation.</w:t>
      </w:r>
    </w:p>
    <w:p w14:paraId="7F3BB396" w14:textId="77777777" w:rsidR="00671DEB" w:rsidRDefault="00671DEB" w:rsidP="00671DEB">
      <w:pPr>
        <w:pStyle w:val="ListParagraph"/>
        <w:spacing w:before="120" w:after="120"/>
        <w:ind w:left="1440"/>
        <w:rPr>
          <w:rFonts w:ascii="Times New Roman" w:hAnsi="Times New Roman" w:cs="Times New Roman"/>
          <w:i/>
          <w:sz w:val="20"/>
          <w:szCs w:val="20"/>
        </w:rPr>
      </w:pPr>
    </w:p>
    <w:p w14:paraId="30658598" w14:textId="77777777" w:rsidR="00671DEB" w:rsidRDefault="00671DEB" w:rsidP="00671DEB">
      <w:pPr>
        <w:pStyle w:val="ListParagraph"/>
        <w:spacing w:before="120" w:after="120"/>
        <w:ind w:left="1440"/>
        <w:rPr>
          <w:rFonts w:ascii="Times New Roman" w:hAnsi="Times New Roman" w:cs="Times New Roman"/>
          <w:i/>
          <w:sz w:val="20"/>
          <w:szCs w:val="20"/>
        </w:rPr>
      </w:pPr>
      <w:r>
        <w:rPr>
          <w:rFonts w:ascii="Times New Roman" w:hAnsi="Times New Roman" w:cs="Times New Roman"/>
          <w:b/>
          <w:i/>
          <w:sz w:val="20"/>
          <w:szCs w:val="20"/>
        </w:rPr>
        <w:t xml:space="preserve">validation report </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_Ref457378427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b/>
          <w:i/>
          <w:sz w:val="20"/>
          <w:szCs w:val="20"/>
        </w:rPr>
        <w:t xml:space="preserve"> </w:t>
      </w:r>
      <w:r>
        <w:rPr>
          <w:rFonts w:ascii="Times New Roman" w:hAnsi="Times New Roman" w:cs="Times New Roman"/>
          <w:sz w:val="20"/>
          <w:szCs w:val="20"/>
        </w:rPr>
        <w:br/>
      </w:r>
    </w:p>
    <w:p w14:paraId="41C2D4B0" w14:textId="77777777" w:rsidR="00671DEB" w:rsidRPr="00E16ADC" w:rsidRDefault="00671DEB" w:rsidP="00671DEB">
      <w:pPr>
        <w:pStyle w:val="ListParagraph"/>
        <w:numPr>
          <w:ilvl w:val="1"/>
          <w:numId w:val="47"/>
        </w:numPr>
        <w:spacing w:before="120" w:after="120"/>
        <w:rPr>
          <w:rFonts w:ascii="Times New Roman" w:hAnsi="Times New Roman" w:cs="Times New Roman"/>
          <w:b/>
          <w:sz w:val="20"/>
          <w:szCs w:val="20"/>
        </w:rPr>
      </w:pPr>
      <w:r>
        <w:rPr>
          <w:rFonts w:ascii="Times New Roman" w:hAnsi="Times New Roman" w:cs="Times New Roman"/>
          <w:sz w:val="20"/>
          <w:szCs w:val="20"/>
        </w:rPr>
        <w:t>Unless the context otherwise requires, words and expressions used in the National Electricity (Victoria) Law or the National Electricity Rules have the same meaning in this Order as they have in that Law or those Rules.</w:t>
      </w:r>
    </w:p>
    <w:p w14:paraId="6A662DD1" w14:textId="77777777" w:rsidR="00671DEB" w:rsidRPr="00E16ADC" w:rsidRDefault="00671DEB" w:rsidP="00671DEB">
      <w:pPr>
        <w:spacing w:before="120" w:after="120"/>
        <w:ind w:left="2160"/>
        <w:rPr>
          <w:rFonts w:ascii="Times New Roman" w:hAnsi="Times New Roman" w:cs="Times New Roman"/>
          <w:b/>
          <w:sz w:val="20"/>
          <w:szCs w:val="20"/>
        </w:rPr>
      </w:pPr>
      <w:r w:rsidRPr="00E16ADC">
        <w:rPr>
          <w:rFonts w:ascii="Times New Roman" w:hAnsi="Times New Roman" w:cs="Times New Roman"/>
          <w:sz w:val="20"/>
          <w:szCs w:val="20"/>
        </w:rPr>
        <w:br/>
      </w:r>
      <w:r w:rsidRPr="00E16ADC">
        <w:rPr>
          <w:rFonts w:ascii="Times New Roman" w:hAnsi="Times New Roman" w:cs="Times New Roman"/>
          <w:i/>
          <w:sz w:val="20"/>
          <w:szCs w:val="20"/>
        </w:rPr>
        <w:t>Note: Used in this Order are distribution system, distribution consultation procedures, framework and approach paper, national electricity objective, publish, regulatory control period, regulatory year and relevant entity which are all defined in either the National Electricity (Victoria) Law or the National Electricity Rules.</w:t>
      </w:r>
      <w:r w:rsidRPr="00E16ADC">
        <w:rPr>
          <w:rFonts w:ascii="Times New Roman" w:hAnsi="Times New Roman" w:cs="Times New Roman"/>
          <w:sz w:val="20"/>
          <w:szCs w:val="20"/>
        </w:rPr>
        <w:t xml:space="preserve"> </w:t>
      </w:r>
      <w:r w:rsidRPr="00E16ADC">
        <w:rPr>
          <w:rFonts w:ascii="Times New Roman" w:hAnsi="Times New Roman" w:cs="Times New Roman"/>
          <w:sz w:val="20"/>
          <w:szCs w:val="20"/>
        </w:rPr>
        <w:br/>
      </w:r>
    </w:p>
    <w:p w14:paraId="6CF88882"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75" w:name="_Ref443564782"/>
      <w:bookmarkStart w:id="76" w:name="_Ref443649119"/>
      <w:r>
        <w:rPr>
          <w:rFonts w:ascii="Times New Roman" w:hAnsi="Times New Roman" w:cs="Times New Roman"/>
          <w:b/>
          <w:sz w:val="20"/>
          <w:szCs w:val="20"/>
        </w:rPr>
        <w:lastRenderedPageBreak/>
        <w:t>What is a fire start</w:t>
      </w:r>
      <w:bookmarkEnd w:id="75"/>
      <w:r>
        <w:rPr>
          <w:rFonts w:ascii="Times New Roman" w:hAnsi="Times New Roman" w:cs="Times New Roman"/>
          <w:b/>
          <w:sz w:val="20"/>
          <w:szCs w:val="20"/>
        </w:rPr>
        <w:t>?</w:t>
      </w:r>
      <w:bookmarkEnd w:id="76"/>
    </w:p>
    <w:p w14:paraId="1599DE69"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77" w:name="_Ref443564785"/>
      <w:r>
        <w:rPr>
          <w:rFonts w:ascii="Times New Roman" w:hAnsi="Times New Roman" w:cs="Times New Roman"/>
          <w:sz w:val="20"/>
          <w:szCs w:val="20"/>
        </w:rPr>
        <w:t>A fire start is any fire –</w:t>
      </w:r>
      <w:bookmarkEnd w:id="77"/>
    </w:p>
    <w:p w14:paraId="4AF62D4C"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that starts in or originates from a distribution system;</w:t>
      </w:r>
    </w:p>
    <w:p w14:paraId="61349D91"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78" w:name="_Ref443564786"/>
      <w:r>
        <w:rPr>
          <w:rFonts w:ascii="Times New Roman" w:hAnsi="Times New Roman" w:cs="Times New Roman"/>
          <w:sz w:val="20"/>
          <w:szCs w:val="20"/>
        </w:rPr>
        <w:t>started by any tree, or part of a tree, falling upon or coming into contact with a distribution system;</w:t>
      </w:r>
      <w:bookmarkEnd w:id="78"/>
    </w:p>
    <w:p w14:paraId="3A8D9F2A"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started by any person, bird, reptile or other animal coming into contact with a distribution system;</w:t>
      </w:r>
    </w:p>
    <w:p w14:paraId="661FDFC7"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started by lightning striking a distribution system or a part of a distribution system; </w:t>
      </w:r>
    </w:p>
    <w:p w14:paraId="6FD8C71B"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started by any other thing forming part of or coming into contact with a distribution system; or</w:t>
      </w:r>
    </w:p>
    <w:p w14:paraId="6A5B53A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otherwise started by a distribution system.</w:t>
      </w:r>
    </w:p>
    <w:p w14:paraId="4CA48595"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For the purposes of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_Ref443564782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_Ref443564786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(1)(b)</w:t>
      </w:r>
      <w:r>
        <w:rPr>
          <w:rFonts w:ascii="Times New Roman" w:hAnsi="Times New Roman" w:cs="Times New Roman"/>
          <w:sz w:val="20"/>
          <w:szCs w:val="20"/>
        </w:rPr>
        <w:fldChar w:fldCharType="end"/>
      </w:r>
      <w:r>
        <w:rPr>
          <w:rFonts w:ascii="Times New Roman" w:hAnsi="Times New Roman" w:cs="Times New Roman"/>
          <w:sz w:val="20"/>
          <w:szCs w:val="20"/>
        </w:rPr>
        <w:t>, it is irrelevant whether the tree or part of the tree that fell upon or came into contact with the distribution system is or was, before the fire start, inside or outside a required clearance space.</w:t>
      </w:r>
    </w:p>
    <w:p w14:paraId="5EA57826" w14:textId="77777777" w:rsidR="00671DEB" w:rsidRDefault="00671DEB" w:rsidP="00671DEB">
      <w:pPr>
        <w:pStyle w:val="ListParagraph"/>
        <w:spacing w:before="120" w:after="120"/>
        <w:rPr>
          <w:rFonts w:ascii="Times New Roman" w:hAnsi="Times New Roman" w:cs="Times New Roman"/>
          <w:b/>
          <w:sz w:val="20"/>
          <w:szCs w:val="20"/>
        </w:rPr>
      </w:pPr>
    </w:p>
    <w:p w14:paraId="0CFF2D8A"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79" w:name="_Ref443664511"/>
      <w:r>
        <w:rPr>
          <w:rFonts w:ascii="Times New Roman" w:hAnsi="Times New Roman" w:cs="Times New Roman"/>
          <w:b/>
          <w:sz w:val="20"/>
          <w:szCs w:val="20"/>
        </w:rPr>
        <w:t>Fire start reports</w:t>
      </w:r>
      <w:bookmarkEnd w:id="79"/>
    </w:p>
    <w:p w14:paraId="3482B18B"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The AER may request a Distribution Network Service Provider to provide a fire start report in respect of a financial year.</w:t>
      </w:r>
    </w:p>
    <w:p w14:paraId="14E1F3FF" w14:textId="77777777" w:rsidR="00671DEB" w:rsidRDefault="00671DEB" w:rsidP="00671DEB">
      <w:pPr>
        <w:spacing w:before="120" w:after="120"/>
        <w:ind w:left="2160"/>
        <w:rPr>
          <w:rFonts w:ascii="Times New Roman" w:hAnsi="Times New Roman" w:cs="Times New Roman"/>
          <w:i/>
          <w:sz w:val="20"/>
          <w:szCs w:val="20"/>
        </w:rPr>
      </w:pPr>
      <w:r>
        <w:rPr>
          <w:rFonts w:ascii="Times New Roman" w:hAnsi="Times New Roman" w:cs="Times New Roman"/>
          <w:i/>
          <w:sz w:val="20"/>
          <w:szCs w:val="20"/>
        </w:rPr>
        <w:t>Note: See section 16G of the</w:t>
      </w:r>
      <w:r>
        <w:rPr>
          <w:rFonts w:ascii="Times New Roman" w:hAnsi="Times New Roman" w:cs="Times New Roman"/>
          <w:b/>
          <w:i/>
          <w:sz w:val="20"/>
          <w:szCs w:val="20"/>
        </w:rPr>
        <w:t xml:space="preserve"> National Electricity (Victoria) Act 2005</w:t>
      </w:r>
      <w:r w:rsidRPr="000B205E">
        <w:rPr>
          <w:rFonts w:ascii="Times New Roman" w:hAnsi="Times New Roman" w:cs="Times New Roman"/>
          <w:i/>
          <w:sz w:val="20"/>
          <w:szCs w:val="20"/>
        </w:rPr>
        <w:t>.</w:t>
      </w:r>
      <w:r>
        <w:rPr>
          <w:rFonts w:ascii="Times New Roman" w:hAnsi="Times New Roman" w:cs="Times New Roman"/>
          <w:b/>
          <w:i/>
          <w:sz w:val="20"/>
          <w:szCs w:val="20"/>
        </w:rPr>
        <w:t xml:space="preserve"> </w:t>
      </w:r>
      <w:r>
        <w:rPr>
          <w:rFonts w:ascii="Times New Roman" w:hAnsi="Times New Roman" w:cs="Times New Roman"/>
          <w:i/>
          <w:sz w:val="20"/>
          <w:szCs w:val="20"/>
        </w:rPr>
        <w:t xml:space="preserve"> </w:t>
      </w:r>
    </w:p>
    <w:p w14:paraId="3B5A309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The AER’s request must be in writing and must specify when the fire start report is to be provided which shall be no later than 30 September in each year.</w:t>
      </w:r>
    </w:p>
    <w:p w14:paraId="0E06D81E"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80" w:name="_Ref456686588"/>
      <w:r>
        <w:rPr>
          <w:rFonts w:ascii="Times New Roman" w:hAnsi="Times New Roman" w:cs="Times New Roman"/>
          <w:sz w:val="20"/>
          <w:szCs w:val="20"/>
        </w:rPr>
        <w:t>A fire start report must –</w:t>
      </w:r>
      <w:bookmarkEnd w:id="80"/>
    </w:p>
    <w:p w14:paraId="379DA06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be in electronic format;</w:t>
      </w:r>
    </w:p>
    <w:p w14:paraId="351FA7C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be in the form that the AER from time to time specifies;</w:t>
      </w:r>
    </w:p>
    <w:p w14:paraId="1A732ECB"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be signed by a director of the Distribution Network Service Provider, or other officer of the Distribution Network Service Provider approved by the AER;</w:t>
      </w:r>
    </w:p>
    <w:p w14:paraId="4FD6E48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81" w:name="_Ref456686593"/>
      <w:r>
        <w:rPr>
          <w:rFonts w:ascii="Times New Roman" w:hAnsi="Times New Roman" w:cs="Times New Roman"/>
          <w:sz w:val="20"/>
          <w:szCs w:val="20"/>
        </w:rPr>
        <w:t>if the Distribution Network Service Provider is the service provider in relation to more than one distribution system, distinguish between distribution systems;</w:t>
      </w:r>
      <w:bookmarkEnd w:id="81"/>
    </w:p>
    <w:p w14:paraId="0209230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list all fire starts for a financial year, stating in each case and where known;</w:t>
      </w:r>
    </w:p>
    <w:p w14:paraId="33906D53"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what kind of fire start it was; </w:t>
      </w:r>
    </w:p>
    <w:p w14:paraId="46BED714"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the date, time and latitude and longitude for each fire;</w:t>
      </w:r>
    </w:p>
    <w:p w14:paraId="224E0783"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the unique identification number of the pole and polyphase electric line nearest to the fire start; </w:t>
      </w:r>
    </w:p>
    <w:p w14:paraId="2682FFFD"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the voltage of the electric line in which the ignition occurred; </w:t>
      </w:r>
    </w:p>
    <w:p w14:paraId="0AA346C2"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sidRPr="00335376">
        <w:rPr>
          <w:rFonts w:ascii="Times New Roman" w:hAnsi="Times New Roman" w:cs="Times New Roman"/>
          <w:sz w:val="20"/>
          <w:szCs w:val="20"/>
        </w:rPr>
        <w:t xml:space="preserve">the </w:t>
      </w:r>
      <w:r>
        <w:rPr>
          <w:rFonts w:ascii="Times New Roman" w:hAnsi="Times New Roman" w:cs="Times New Roman"/>
          <w:sz w:val="20"/>
          <w:szCs w:val="20"/>
        </w:rPr>
        <w:t xml:space="preserve">estimated value of the </w:t>
      </w:r>
      <w:r w:rsidRPr="00335376">
        <w:rPr>
          <w:rFonts w:ascii="Times New Roman" w:hAnsi="Times New Roman" w:cs="Times New Roman"/>
          <w:sz w:val="20"/>
          <w:szCs w:val="20"/>
        </w:rPr>
        <w:t>fire start</w:t>
      </w:r>
      <w:r>
        <w:rPr>
          <w:rFonts w:ascii="Times New Roman" w:hAnsi="Times New Roman" w:cs="Times New Roman"/>
          <w:sz w:val="20"/>
          <w:szCs w:val="20"/>
        </w:rPr>
        <w:t xml:space="preserve"> expressed in IRUs</w:t>
      </w:r>
      <w:r w:rsidRPr="00335376">
        <w:rPr>
          <w:rFonts w:ascii="Times New Roman" w:hAnsi="Times New Roman" w:cs="Times New Roman"/>
          <w:sz w:val="20"/>
          <w:szCs w:val="20"/>
        </w:rPr>
        <w:t xml:space="preserve">, </w:t>
      </w:r>
      <w:r>
        <w:rPr>
          <w:rFonts w:ascii="Times New Roman" w:hAnsi="Times New Roman" w:cs="Times New Roman"/>
          <w:sz w:val="20"/>
          <w:szCs w:val="20"/>
        </w:rPr>
        <w:t xml:space="preserve">calculated </w:t>
      </w:r>
      <w:r w:rsidRPr="00335376">
        <w:rPr>
          <w:rFonts w:ascii="Times New Roman" w:hAnsi="Times New Roman" w:cs="Times New Roman"/>
          <w:sz w:val="20"/>
          <w:szCs w:val="20"/>
        </w:rPr>
        <w:t>in accordance with this Order;</w:t>
      </w:r>
    </w:p>
    <w:p w14:paraId="34DE3CA5"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82" w:name="_Ref456782737"/>
      <w:r>
        <w:rPr>
          <w:rFonts w:ascii="Times New Roman" w:hAnsi="Times New Roman" w:cs="Times New Roman"/>
          <w:sz w:val="20"/>
          <w:szCs w:val="20"/>
        </w:rPr>
        <w:t xml:space="preserve">state whether the fire was reported to a relevant entity; </w:t>
      </w:r>
      <w:bookmarkEnd w:id="82"/>
    </w:p>
    <w:p w14:paraId="4CC95A4F"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83" w:name="_Ref456782790"/>
      <w:r>
        <w:rPr>
          <w:rFonts w:ascii="Times New Roman" w:hAnsi="Times New Roman" w:cs="Times New Roman"/>
          <w:sz w:val="20"/>
          <w:szCs w:val="20"/>
        </w:rPr>
        <w:t xml:space="preserve">calculate the total IRU amount for the financial year on the basis of information contained in the fire start report, in accordance with this Order; </w:t>
      </w:r>
      <w:bookmarkEnd w:id="83"/>
    </w:p>
    <w:p w14:paraId="639A76C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84" w:name="_Ref456686608"/>
      <w:r>
        <w:rPr>
          <w:rFonts w:ascii="Times New Roman" w:hAnsi="Times New Roman" w:cs="Times New Roman"/>
          <w:sz w:val="20"/>
          <w:szCs w:val="20"/>
        </w:rPr>
        <w:t>include such other information as the AER may from time to time specify</w:t>
      </w:r>
      <w:bookmarkEnd w:id="84"/>
      <w:r>
        <w:rPr>
          <w:rFonts w:ascii="Times New Roman" w:hAnsi="Times New Roman" w:cs="Times New Roman"/>
          <w:sz w:val="20"/>
          <w:szCs w:val="20"/>
        </w:rPr>
        <w:t>;</w:t>
      </w:r>
    </w:p>
    <w:p w14:paraId="37CB36E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include an independent audit of the fire start report undertaken by an external auditor; </w:t>
      </w:r>
    </w:p>
    <w:p w14:paraId="0A057BB5"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stating, in the auditor’s opinion, whether the information contained in the fire start report is </w:t>
      </w:r>
      <w:r w:rsidRPr="003D6429">
        <w:rPr>
          <w:rFonts w:ascii="Times New Roman" w:hAnsi="Times New Roman" w:cs="Times New Roman"/>
          <w:sz w:val="20"/>
          <w:szCs w:val="20"/>
        </w:rPr>
        <w:t>accurate and reliable</w:t>
      </w:r>
      <w:r>
        <w:rPr>
          <w:rFonts w:ascii="Times New Roman" w:hAnsi="Times New Roman" w:cs="Times New Roman"/>
          <w:sz w:val="20"/>
          <w:szCs w:val="20"/>
        </w:rPr>
        <w:t xml:space="preserve">; and </w:t>
      </w:r>
    </w:p>
    <w:p w14:paraId="0F678F0C"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which is acceptable to the AER. </w:t>
      </w:r>
    </w:p>
    <w:p w14:paraId="12E76CFE" w14:textId="77777777" w:rsidR="00671DEB" w:rsidRDefault="00671DEB" w:rsidP="00671DEB">
      <w:pPr>
        <w:pStyle w:val="ListParagraph"/>
        <w:spacing w:before="120" w:after="120"/>
        <w:ind w:left="2160"/>
        <w:rPr>
          <w:rFonts w:ascii="Times New Roman" w:hAnsi="Times New Roman" w:cs="Times New Roman"/>
          <w:sz w:val="20"/>
          <w:szCs w:val="20"/>
        </w:rPr>
      </w:pPr>
    </w:p>
    <w:p w14:paraId="534D1780" w14:textId="77777777" w:rsidR="00671DEB" w:rsidRDefault="00671DEB" w:rsidP="00671DEB">
      <w:pPr>
        <w:pStyle w:val="ListParagraph"/>
        <w:spacing w:before="120" w:after="120"/>
        <w:ind w:left="1440"/>
        <w:rPr>
          <w:rFonts w:ascii="Times New Roman" w:hAnsi="Times New Roman" w:cs="Times New Roman"/>
          <w:i/>
          <w:sz w:val="20"/>
          <w:szCs w:val="20"/>
        </w:rPr>
      </w:pPr>
    </w:p>
    <w:p w14:paraId="4F8B716D" w14:textId="77777777" w:rsidR="00671DEB" w:rsidRDefault="00671DEB" w:rsidP="00671DEB">
      <w:pPr>
        <w:pStyle w:val="ListParagraph"/>
        <w:spacing w:before="120" w:after="120"/>
        <w:ind w:left="2160"/>
        <w:rPr>
          <w:rFonts w:ascii="Times New Roman" w:hAnsi="Times New Roman" w:cs="Times New Roman"/>
          <w:i/>
          <w:sz w:val="20"/>
          <w:szCs w:val="20"/>
        </w:rPr>
      </w:pPr>
      <w:r>
        <w:rPr>
          <w:rFonts w:ascii="Times New Roman" w:hAnsi="Times New Roman" w:cs="Times New Roman"/>
          <w:i/>
          <w:sz w:val="20"/>
          <w:szCs w:val="20"/>
        </w:rPr>
        <w:t xml:space="preserve">Note: Clause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REF _Ref443564785 \r \h  \* MERGEFORMAT </w:instrText>
      </w:r>
      <w:r>
        <w:rPr>
          <w:rFonts w:ascii="Times New Roman" w:hAnsi="Times New Roman" w:cs="Times New Roman"/>
          <w:i/>
          <w:sz w:val="20"/>
          <w:szCs w:val="20"/>
        </w:rPr>
      </w:r>
      <w:r>
        <w:rPr>
          <w:rFonts w:ascii="Times New Roman" w:hAnsi="Times New Roman" w:cs="Times New Roman"/>
          <w:i/>
          <w:sz w:val="20"/>
          <w:szCs w:val="20"/>
        </w:rPr>
        <w:fldChar w:fldCharType="separate"/>
      </w:r>
      <w:r w:rsidR="00167D0B">
        <w:rPr>
          <w:rFonts w:ascii="Times New Roman" w:hAnsi="Times New Roman" w:cs="Times New Roman"/>
          <w:i/>
          <w:sz w:val="20"/>
          <w:szCs w:val="20"/>
        </w:rPr>
        <w:t>5(1)</w:t>
      </w:r>
      <w:r>
        <w:rPr>
          <w:rFonts w:ascii="Times New Roman" w:hAnsi="Times New Roman" w:cs="Times New Roman"/>
          <w:i/>
          <w:sz w:val="20"/>
          <w:szCs w:val="20"/>
        </w:rPr>
        <w:fldChar w:fldCharType="end"/>
      </w:r>
      <w:r>
        <w:rPr>
          <w:rFonts w:ascii="Times New Roman" w:hAnsi="Times New Roman" w:cs="Times New Roman"/>
          <w:i/>
          <w:sz w:val="20"/>
          <w:szCs w:val="20"/>
        </w:rPr>
        <w:t xml:space="preserve"> specifies the various kinds of fire starts.</w:t>
      </w:r>
    </w:p>
    <w:p w14:paraId="338B39F7" w14:textId="77777777" w:rsidR="00671DEB" w:rsidRDefault="00671DEB" w:rsidP="00671DEB">
      <w:pPr>
        <w:pStyle w:val="ListParagraph"/>
        <w:spacing w:before="120" w:after="120"/>
        <w:ind w:left="1440"/>
        <w:rPr>
          <w:rFonts w:ascii="Times New Roman" w:hAnsi="Times New Roman" w:cs="Times New Roman"/>
          <w:i/>
          <w:sz w:val="20"/>
          <w:szCs w:val="20"/>
        </w:rPr>
      </w:pPr>
    </w:p>
    <w:p w14:paraId="7F3B8AA0"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85" w:name="_Ref457378224"/>
      <w:r>
        <w:rPr>
          <w:rFonts w:ascii="Times New Roman" w:hAnsi="Times New Roman" w:cs="Times New Roman"/>
          <w:sz w:val="20"/>
          <w:szCs w:val="20"/>
        </w:rPr>
        <w:t>The AER may develop and publish guidelines as to the form of a fire start report and information to be included in a fire start report.</w:t>
      </w:r>
      <w:bookmarkEnd w:id="85"/>
    </w:p>
    <w:p w14:paraId="2A420A6C"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The AER must publish a fire start report.</w:t>
      </w:r>
    </w:p>
    <w:p w14:paraId="42969319"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lastRenderedPageBreak/>
        <w:t>This clause does not require, prevent or limit the AER serving a regulatory information instrument.</w:t>
      </w:r>
    </w:p>
    <w:p w14:paraId="2595F2F6" w14:textId="77777777" w:rsidR="00671DEB" w:rsidRDefault="00671DEB" w:rsidP="00671DEB">
      <w:pPr>
        <w:pStyle w:val="ListParagraph"/>
        <w:spacing w:before="120" w:after="120"/>
        <w:ind w:left="1440"/>
        <w:rPr>
          <w:rFonts w:ascii="Times New Roman" w:hAnsi="Times New Roman" w:cs="Times New Roman"/>
          <w:i/>
          <w:sz w:val="20"/>
          <w:szCs w:val="20"/>
        </w:rPr>
      </w:pPr>
    </w:p>
    <w:p w14:paraId="049688C9" w14:textId="77777777" w:rsidR="00671DEB" w:rsidRDefault="00671DEB" w:rsidP="00671DEB">
      <w:pPr>
        <w:pStyle w:val="ListParagraph"/>
        <w:spacing w:before="120" w:after="120"/>
        <w:ind w:left="2160"/>
        <w:rPr>
          <w:rFonts w:ascii="Times New Roman" w:hAnsi="Times New Roman" w:cs="Times New Roman"/>
          <w:i/>
          <w:sz w:val="20"/>
          <w:szCs w:val="20"/>
        </w:rPr>
      </w:pPr>
      <w:r>
        <w:rPr>
          <w:rFonts w:ascii="Times New Roman" w:hAnsi="Times New Roman" w:cs="Times New Roman"/>
          <w:i/>
          <w:sz w:val="20"/>
          <w:szCs w:val="20"/>
        </w:rPr>
        <w:t xml:space="preserve">Note: See also section 16E(1)(d) of the </w:t>
      </w:r>
      <w:r>
        <w:rPr>
          <w:rFonts w:ascii="Times New Roman" w:hAnsi="Times New Roman" w:cs="Times New Roman"/>
          <w:b/>
          <w:i/>
          <w:sz w:val="20"/>
          <w:szCs w:val="20"/>
        </w:rPr>
        <w:t xml:space="preserve">National Electricity (Victoria) Act 2005 </w:t>
      </w:r>
      <w:r>
        <w:rPr>
          <w:rFonts w:ascii="Times New Roman" w:hAnsi="Times New Roman" w:cs="Times New Roman"/>
          <w:i/>
          <w:sz w:val="20"/>
          <w:szCs w:val="20"/>
        </w:rPr>
        <w:t xml:space="preserve">which has the effect that the AER may also make and serve regulatory information instruments for the purposes of this Order. </w:t>
      </w:r>
      <w:r>
        <w:rPr>
          <w:rFonts w:ascii="Times New Roman" w:hAnsi="Times New Roman" w:cs="Times New Roman"/>
          <w:i/>
          <w:sz w:val="20"/>
          <w:szCs w:val="20"/>
        </w:rPr>
        <w:br/>
      </w:r>
    </w:p>
    <w:p w14:paraId="1E0A2A17"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86" w:name="_Ref457378427"/>
      <w:bookmarkStart w:id="87" w:name="_Ref450811526"/>
      <w:r>
        <w:rPr>
          <w:rFonts w:ascii="Times New Roman" w:hAnsi="Times New Roman" w:cs="Times New Roman"/>
          <w:b/>
          <w:sz w:val="20"/>
          <w:szCs w:val="20"/>
        </w:rPr>
        <w:t>Validation of fire start reports by Energy Safe Victoria</w:t>
      </w:r>
      <w:bookmarkEnd w:id="86"/>
      <w:r>
        <w:rPr>
          <w:rFonts w:ascii="Times New Roman" w:hAnsi="Times New Roman" w:cs="Times New Roman"/>
          <w:b/>
          <w:sz w:val="20"/>
          <w:szCs w:val="20"/>
        </w:rPr>
        <w:t xml:space="preserve"> </w:t>
      </w:r>
    </w:p>
    <w:p w14:paraId="06FD682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88" w:name="_Ref456366261"/>
      <w:r>
        <w:rPr>
          <w:rFonts w:ascii="Times New Roman" w:hAnsi="Times New Roman" w:cs="Times New Roman"/>
          <w:sz w:val="20"/>
          <w:szCs w:val="20"/>
        </w:rPr>
        <w:t>The AER may request Energy Safe Victoria to conduct and provide a validation of a fire start report.</w:t>
      </w:r>
      <w:bookmarkEnd w:id="88"/>
    </w:p>
    <w:p w14:paraId="4290A789" w14:textId="77777777" w:rsidR="00671DEB" w:rsidRDefault="00671DEB" w:rsidP="00671DEB">
      <w:pPr>
        <w:spacing w:before="120" w:after="120"/>
        <w:ind w:left="2160"/>
        <w:rPr>
          <w:rFonts w:ascii="Times New Roman" w:hAnsi="Times New Roman" w:cs="Times New Roman"/>
          <w:sz w:val="20"/>
          <w:szCs w:val="20"/>
        </w:rPr>
      </w:pPr>
      <w:r>
        <w:rPr>
          <w:rFonts w:ascii="Times New Roman" w:hAnsi="Times New Roman" w:cs="Times New Roman"/>
          <w:i/>
          <w:sz w:val="20"/>
          <w:szCs w:val="20"/>
        </w:rPr>
        <w:t xml:space="preserve">Note: See section 7A of the </w:t>
      </w:r>
      <w:r>
        <w:rPr>
          <w:rFonts w:ascii="Times New Roman" w:hAnsi="Times New Roman" w:cs="Times New Roman"/>
          <w:b/>
          <w:i/>
          <w:sz w:val="20"/>
          <w:szCs w:val="20"/>
        </w:rPr>
        <w:t>Energy Safe Victoria Act 2005</w:t>
      </w:r>
      <w:r w:rsidRPr="00B631F3">
        <w:rPr>
          <w:rFonts w:ascii="Times New Roman" w:hAnsi="Times New Roman" w:cs="Times New Roman"/>
          <w:sz w:val="20"/>
          <w:szCs w:val="20"/>
        </w:rPr>
        <w:t>.</w:t>
      </w:r>
      <w:r>
        <w:rPr>
          <w:rFonts w:ascii="Times New Roman" w:hAnsi="Times New Roman" w:cs="Times New Roman"/>
          <w:b/>
          <w:i/>
          <w:sz w:val="20"/>
          <w:szCs w:val="20"/>
        </w:rPr>
        <w:t xml:space="preserve"> </w:t>
      </w:r>
    </w:p>
    <w:p w14:paraId="4277FBAD"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The AER’s request must be in writing and must specify when the report on the validation (the </w:t>
      </w:r>
      <w:r>
        <w:rPr>
          <w:rFonts w:ascii="Times New Roman" w:hAnsi="Times New Roman" w:cs="Times New Roman"/>
          <w:b/>
          <w:i/>
          <w:sz w:val="20"/>
          <w:szCs w:val="20"/>
        </w:rPr>
        <w:t>validation report</w:t>
      </w:r>
      <w:r>
        <w:rPr>
          <w:rFonts w:ascii="Times New Roman" w:hAnsi="Times New Roman" w:cs="Times New Roman"/>
          <w:sz w:val="20"/>
          <w:szCs w:val="20"/>
        </w:rPr>
        <w:t>) is to be provided which shall be no later than 30 November in each year.</w:t>
      </w:r>
    </w:p>
    <w:p w14:paraId="0FFEEB93"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A validation report –</w:t>
      </w:r>
    </w:p>
    <w:p w14:paraId="41A0241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must be in writing;</w:t>
      </w:r>
    </w:p>
    <w:p w14:paraId="37948CD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must include an assessment of the accuracy of the information provided in the fire start report pursuant to clauses </w:t>
      </w:r>
      <w:r>
        <w:fldChar w:fldCharType="begin"/>
      </w:r>
      <w:r>
        <w:rPr>
          <w:rFonts w:ascii="Times New Roman" w:hAnsi="Times New Roman" w:cs="Times New Roman"/>
          <w:sz w:val="20"/>
          <w:szCs w:val="20"/>
        </w:rPr>
        <w:instrText xml:space="preserve"> REF _Ref456686593 \r \h </w:instrText>
      </w:r>
      <w:r>
        <w:fldChar w:fldCharType="separate"/>
      </w:r>
      <w:r w:rsidR="00167D0B">
        <w:rPr>
          <w:rFonts w:ascii="Times New Roman" w:hAnsi="Times New Roman" w:cs="Times New Roman"/>
          <w:sz w:val="20"/>
          <w:szCs w:val="20"/>
        </w:rPr>
        <w:t>6(3)(d)</w:t>
      </w:r>
      <w:r>
        <w:fldChar w:fldCharType="end"/>
      </w:r>
      <w:r>
        <w:rPr>
          <w:rFonts w:ascii="Times New Roman" w:hAnsi="Times New Roman" w:cs="Times New Roman"/>
          <w:sz w:val="20"/>
          <w:szCs w:val="20"/>
        </w:rPr>
        <w:t xml:space="preserve"> – </w:t>
      </w:r>
      <w:r>
        <w:fldChar w:fldCharType="begin"/>
      </w:r>
      <w:r>
        <w:rPr>
          <w:rFonts w:ascii="Times New Roman" w:hAnsi="Times New Roman" w:cs="Times New Roman"/>
          <w:sz w:val="20"/>
          <w:szCs w:val="20"/>
        </w:rPr>
        <w:instrText xml:space="preserve"> REF _Ref456782737 \n \h </w:instrText>
      </w:r>
      <w:r>
        <w:fldChar w:fldCharType="separate"/>
      </w:r>
      <w:r w:rsidR="00167D0B">
        <w:rPr>
          <w:rFonts w:ascii="Times New Roman" w:hAnsi="Times New Roman" w:cs="Times New Roman"/>
          <w:sz w:val="20"/>
          <w:szCs w:val="20"/>
        </w:rPr>
        <w:t>(f)</w:t>
      </w:r>
      <w:r>
        <w:fldChar w:fldCharType="end"/>
      </w:r>
      <w:r>
        <w:rPr>
          <w:rFonts w:ascii="Times New Roman" w:hAnsi="Times New Roman" w:cs="Times New Roman"/>
          <w:sz w:val="20"/>
          <w:szCs w:val="20"/>
        </w:rPr>
        <w:t xml:space="preserve"> and </w:t>
      </w:r>
      <w:r>
        <w:fldChar w:fldCharType="begin"/>
      </w:r>
      <w:r>
        <w:rPr>
          <w:rFonts w:ascii="Times New Roman" w:hAnsi="Times New Roman" w:cs="Times New Roman"/>
          <w:sz w:val="20"/>
          <w:szCs w:val="20"/>
        </w:rPr>
        <w:instrText xml:space="preserve"> REF _Ref456686608 \n \h </w:instrText>
      </w:r>
      <w:r>
        <w:fldChar w:fldCharType="separate"/>
      </w:r>
      <w:r w:rsidR="00167D0B">
        <w:rPr>
          <w:rFonts w:ascii="Times New Roman" w:hAnsi="Times New Roman" w:cs="Times New Roman"/>
          <w:sz w:val="20"/>
          <w:szCs w:val="20"/>
        </w:rPr>
        <w:t>(h)</w:t>
      </w:r>
      <w:r>
        <w:fldChar w:fldCharType="end"/>
      </w:r>
      <w:r>
        <w:rPr>
          <w:rFonts w:ascii="Times New Roman" w:hAnsi="Times New Roman" w:cs="Times New Roman"/>
          <w:sz w:val="20"/>
          <w:szCs w:val="20"/>
        </w:rPr>
        <w:t>;</w:t>
      </w:r>
    </w:p>
    <w:p w14:paraId="58EB3CAA"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must verify the estimate of the IRU amount for the financial year provided under clause </w:t>
      </w:r>
      <w:r>
        <w:fldChar w:fldCharType="begin"/>
      </w:r>
      <w:r>
        <w:rPr>
          <w:rFonts w:ascii="Times New Roman" w:hAnsi="Times New Roman" w:cs="Times New Roman"/>
          <w:sz w:val="20"/>
          <w:szCs w:val="20"/>
        </w:rPr>
        <w:instrText xml:space="preserve"> REF _Ref456782790 \r \h </w:instrText>
      </w:r>
      <w:r>
        <w:fldChar w:fldCharType="separate"/>
      </w:r>
      <w:r w:rsidR="00167D0B">
        <w:rPr>
          <w:rFonts w:ascii="Times New Roman" w:hAnsi="Times New Roman" w:cs="Times New Roman"/>
          <w:sz w:val="20"/>
          <w:szCs w:val="20"/>
        </w:rPr>
        <w:t>6(3)(g)</w:t>
      </w:r>
      <w:r>
        <w:fldChar w:fldCharType="end"/>
      </w:r>
      <w:r>
        <w:rPr>
          <w:rFonts w:ascii="Times New Roman" w:hAnsi="Times New Roman" w:cs="Times New Roman"/>
          <w:sz w:val="20"/>
          <w:szCs w:val="20"/>
        </w:rPr>
        <w:t xml:space="preserve">; </w:t>
      </w:r>
    </w:p>
    <w:p w14:paraId="5383209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must include such other information as the AER may from time to time specify; and</w:t>
      </w:r>
    </w:p>
    <w:p w14:paraId="6885609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may otherwise be in the nature of a due diligence inquiry.</w:t>
      </w:r>
    </w:p>
    <w:p w14:paraId="5FD6B194"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89" w:name="_Ref456365354"/>
      <w:r>
        <w:rPr>
          <w:rFonts w:ascii="Times New Roman" w:hAnsi="Times New Roman" w:cs="Times New Roman"/>
          <w:sz w:val="20"/>
          <w:szCs w:val="20"/>
        </w:rPr>
        <w:t>In a validation, Energy Safe Victoria may have regard to–</w:t>
      </w:r>
    </w:p>
    <w:p w14:paraId="4A67743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any information (including information given in confidence) in the possession or control of Energy Safe Victoria;</w:t>
      </w:r>
    </w:p>
    <w:p w14:paraId="7DE29967" w14:textId="77777777" w:rsidR="00671DEB" w:rsidRDefault="00671DEB" w:rsidP="00671DEB">
      <w:pPr>
        <w:spacing w:before="120" w:after="120"/>
        <w:ind w:left="2880"/>
        <w:rPr>
          <w:rFonts w:ascii="Times New Roman" w:hAnsi="Times New Roman" w:cs="Times New Roman"/>
          <w:sz w:val="20"/>
          <w:szCs w:val="20"/>
        </w:rPr>
      </w:pPr>
      <w:r>
        <w:rPr>
          <w:rFonts w:ascii="Times New Roman" w:hAnsi="Times New Roman" w:cs="Times New Roman"/>
          <w:i/>
          <w:sz w:val="20"/>
          <w:szCs w:val="20"/>
        </w:rPr>
        <w:t xml:space="preserve">Note: See section 7A(1) of the </w:t>
      </w:r>
      <w:r>
        <w:rPr>
          <w:rFonts w:ascii="Times New Roman" w:hAnsi="Times New Roman" w:cs="Times New Roman"/>
          <w:b/>
          <w:i/>
          <w:sz w:val="20"/>
          <w:szCs w:val="20"/>
        </w:rPr>
        <w:t>Energy Safe Victoria Act 2005</w:t>
      </w:r>
      <w:r w:rsidRPr="00B631F3">
        <w:rPr>
          <w:rFonts w:ascii="Times New Roman" w:hAnsi="Times New Roman" w:cs="Times New Roman"/>
          <w:sz w:val="20"/>
          <w:szCs w:val="20"/>
        </w:rPr>
        <w:t>.</w:t>
      </w:r>
      <w:r>
        <w:rPr>
          <w:rFonts w:ascii="Times New Roman" w:hAnsi="Times New Roman" w:cs="Times New Roman"/>
          <w:sz w:val="20"/>
          <w:szCs w:val="20"/>
        </w:rPr>
        <w:t xml:space="preserve"> </w:t>
      </w:r>
    </w:p>
    <w:p w14:paraId="7923F76E"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any information provided to Energy Safe Victoria by the AER for the purposes of the validation, which may include information obtained pursuant to section 16G of the </w:t>
      </w:r>
      <w:r>
        <w:rPr>
          <w:rFonts w:ascii="Times New Roman" w:hAnsi="Times New Roman" w:cs="Times New Roman"/>
          <w:b/>
          <w:i/>
          <w:sz w:val="20"/>
          <w:szCs w:val="20"/>
        </w:rPr>
        <w:t>National Electricity (Victoria) Act 2005</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_Ref443664511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 xml:space="preserve"> or a regulatory information instrument; and</w:t>
      </w:r>
    </w:p>
    <w:p w14:paraId="73D8304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any further information that Energy Safe Victoria may request a Distribution Network Service Provider to provide for the purposes of the validation. </w:t>
      </w:r>
    </w:p>
    <w:p w14:paraId="47C0A3E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0" w:name="_Ref456687241"/>
      <w:r>
        <w:rPr>
          <w:rFonts w:ascii="Times New Roman" w:hAnsi="Times New Roman" w:cs="Times New Roman"/>
          <w:sz w:val="20"/>
          <w:szCs w:val="20"/>
        </w:rPr>
        <w:t>The AER must publish a validation report, and must notify the Distribution Network Service Provider whose fire start report is the subject of the validation, of the publication of the validation report</w:t>
      </w:r>
      <w:bookmarkEnd w:id="89"/>
      <w:bookmarkEnd w:id="90"/>
      <w:r>
        <w:rPr>
          <w:rFonts w:ascii="Times New Roman" w:hAnsi="Times New Roman" w:cs="Times New Roman"/>
          <w:sz w:val="20"/>
          <w:szCs w:val="20"/>
        </w:rPr>
        <w:t>.</w:t>
      </w:r>
    </w:p>
    <w:p w14:paraId="445CB0DB"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1" w:name="_Ref456365870"/>
      <w:r>
        <w:rPr>
          <w:rFonts w:ascii="Times New Roman" w:hAnsi="Times New Roman" w:cs="Times New Roman"/>
          <w:sz w:val="20"/>
          <w:szCs w:val="20"/>
        </w:rPr>
        <w:t xml:space="preserve">Within 15 business days of being notified by the AER under subclause </w:t>
      </w:r>
      <w:r>
        <w:fldChar w:fldCharType="begin"/>
      </w:r>
      <w:r>
        <w:rPr>
          <w:rFonts w:ascii="Times New Roman" w:hAnsi="Times New Roman" w:cs="Times New Roman"/>
          <w:sz w:val="20"/>
          <w:szCs w:val="20"/>
        </w:rPr>
        <w:instrText xml:space="preserve"> REF _Ref456687241 \n \h </w:instrText>
      </w:r>
      <w:r>
        <w:fldChar w:fldCharType="separate"/>
      </w:r>
      <w:r w:rsidR="00167D0B">
        <w:rPr>
          <w:rFonts w:ascii="Times New Roman" w:hAnsi="Times New Roman" w:cs="Times New Roman"/>
          <w:sz w:val="20"/>
          <w:szCs w:val="20"/>
        </w:rPr>
        <w:t>(5)</w:t>
      </w:r>
      <w:r>
        <w:fldChar w:fldCharType="end"/>
      </w:r>
      <w:r>
        <w:rPr>
          <w:rFonts w:ascii="Times New Roman" w:hAnsi="Times New Roman" w:cs="Times New Roman"/>
          <w:sz w:val="20"/>
          <w:szCs w:val="20"/>
        </w:rPr>
        <w:t xml:space="preserve"> of the publication of the validation report, the Distribution Network Service Provider may make submissions to the AER in respect of the validation.</w:t>
      </w:r>
      <w:bookmarkEnd w:id="91"/>
      <w:r>
        <w:rPr>
          <w:rFonts w:ascii="Times New Roman" w:hAnsi="Times New Roman" w:cs="Times New Roman"/>
          <w:sz w:val="20"/>
          <w:szCs w:val="20"/>
        </w:rPr>
        <w:t xml:space="preserve"> </w:t>
      </w:r>
    </w:p>
    <w:p w14:paraId="32F9968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2" w:name="_Ref456366247"/>
      <w:r>
        <w:rPr>
          <w:rFonts w:ascii="Times New Roman" w:hAnsi="Times New Roman" w:cs="Times New Roman"/>
          <w:sz w:val="20"/>
          <w:szCs w:val="20"/>
        </w:rPr>
        <w:t xml:space="preserve">The AER may provide any submissions referred to in subclause </w:t>
      </w:r>
      <w:r>
        <w:fldChar w:fldCharType="begin"/>
      </w:r>
      <w:r>
        <w:rPr>
          <w:rFonts w:ascii="Times New Roman" w:hAnsi="Times New Roman" w:cs="Times New Roman"/>
          <w:sz w:val="20"/>
          <w:szCs w:val="20"/>
        </w:rPr>
        <w:instrText xml:space="preserve"> REF _Ref456365870 \r \h </w:instrText>
      </w:r>
      <w:r>
        <w:fldChar w:fldCharType="separate"/>
      </w:r>
      <w:r w:rsidR="00167D0B">
        <w:rPr>
          <w:rFonts w:ascii="Times New Roman" w:hAnsi="Times New Roman" w:cs="Times New Roman"/>
          <w:sz w:val="20"/>
          <w:szCs w:val="20"/>
        </w:rPr>
        <w:t>(6)</w:t>
      </w:r>
      <w:r>
        <w:fldChar w:fldCharType="end"/>
      </w:r>
      <w:r>
        <w:rPr>
          <w:rFonts w:ascii="Times New Roman" w:hAnsi="Times New Roman" w:cs="Times New Roman"/>
          <w:sz w:val="20"/>
          <w:szCs w:val="20"/>
        </w:rPr>
        <w:t xml:space="preserve"> to Energy Safe Victoria, and may request Energy Safe Victoria to conduct and provide a revised validation responding to those submissions.</w:t>
      </w:r>
      <w:bookmarkEnd w:id="92"/>
      <w:r>
        <w:rPr>
          <w:rFonts w:ascii="Times New Roman" w:hAnsi="Times New Roman" w:cs="Times New Roman"/>
          <w:sz w:val="20"/>
          <w:szCs w:val="20"/>
        </w:rPr>
        <w:t xml:space="preserve"> </w:t>
      </w:r>
    </w:p>
    <w:p w14:paraId="2C10922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 request under subclause </w:t>
      </w:r>
      <w:r>
        <w:fldChar w:fldCharType="begin"/>
      </w:r>
      <w:r>
        <w:rPr>
          <w:rFonts w:ascii="Times New Roman" w:hAnsi="Times New Roman" w:cs="Times New Roman"/>
          <w:sz w:val="20"/>
          <w:szCs w:val="20"/>
        </w:rPr>
        <w:instrText xml:space="preserve"> REF _Ref456366247 \r \h </w:instrText>
      </w:r>
      <w:r>
        <w:fldChar w:fldCharType="separate"/>
      </w:r>
      <w:r w:rsidR="00167D0B">
        <w:rPr>
          <w:rFonts w:ascii="Times New Roman" w:hAnsi="Times New Roman" w:cs="Times New Roman"/>
          <w:sz w:val="20"/>
          <w:szCs w:val="20"/>
        </w:rPr>
        <w:t>(7)</w:t>
      </w:r>
      <w:r>
        <w:fldChar w:fldCharType="end"/>
      </w:r>
      <w:r>
        <w:rPr>
          <w:rFonts w:ascii="Times New Roman" w:hAnsi="Times New Roman" w:cs="Times New Roman"/>
          <w:sz w:val="20"/>
          <w:szCs w:val="20"/>
        </w:rPr>
        <w:t xml:space="preserve"> must be in writing and must specify when the revised validation report is to be provided which shall be no later than 15 February in the year following the year in which the validation was first provided.</w:t>
      </w:r>
    </w:p>
    <w:p w14:paraId="12C2FB1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 revised validation must comply with subclauses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_Ref456686588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_Ref457378224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5D269769" w14:textId="716CA3C7" w:rsidR="00671DEB" w:rsidRDefault="003A4125"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 </w:t>
      </w:r>
      <w:r w:rsidR="00671DEB">
        <w:rPr>
          <w:rFonts w:ascii="Times New Roman" w:hAnsi="Times New Roman" w:cs="Times New Roman"/>
          <w:sz w:val="20"/>
          <w:szCs w:val="20"/>
        </w:rPr>
        <w:t>The AER must publish a revised validation report, and must notify the Distribution Network Service Provider whose fire start report is the subject of the validation, of the publication of the revised validation report.</w:t>
      </w:r>
    </w:p>
    <w:p w14:paraId="2C8B87FD" w14:textId="6FD4017A" w:rsidR="00671DEB" w:rsidRDefault="003A4125"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 </w:t>
      </w:r>
      <w:r w:rsidR="00671DEB">
        <w:rPr>
          <w:rFonts w:ascii="Times New Roman" w:hAnsi="Times New Roman" w:cs="Times New Roman"/>
          <w:sz w:val="20"/>
          <w:szCs w:val="20"/>
        </w:rPr>
        <w:t>This clause does not require, prevent or limit the AER serving a regulatory information instrument.</w:t>
      </w:r>
    </w:p>
    <w:p w14:paraId="7FECBD83" w14:textId="77777777" w:rsidR="00671DEB" w:rsidRDefault="00671DEB" w:rsidP="00671DEB">
      <w:pPr>
        <w:spacing w:before="120" w:after="120"/>
        <w:rPr>
          <w:rFonts w:ascii="Times New Roman" w:hAnsi="Times New Roman" w:cs="Times New Roman"/>
          <w:sz w:val="20"/>
          <w:szCs w:val="20"/>
        </w:rPr>
      </w:pPr>
    </w:p>
    <w:p w14:paraId="382F4B2B"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r>
        <w:rPr>
          <w:rFonts w:ascii="Times New Roman" w:hAnsi="Times New Roman" w:cs="Times New Roman"/>
          <w:b/>
          <w:sz w:val="20"/>
          <w:szCs w:val="20"/>
        </w:rPr>
        <w:lastRenderedPageBreak/>
        <w:t xml:space="preserve">F-factor scheme determination </w:t>
      </w:r>
      <w:bookmarkEnd w:id="87"/>
    </w:p>
    <w:p w14:paraId="09637EC6"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3" w:name="_Ref450811528"/>
      <w:r>
        <w:rPr>
          <w:rFonts w:ascii="Times New Roman" w:hAnsi="Times New Roman" w:cs="Times New Roman"/>
          <w:sz w:val="20"/>
          <w:szCs w:val="20"/>
        </w:rPr>
        <w:t>The AER must make an f-factor scheme determination in accordance with this Order, in respect of each regulatory control period.</w:t>
      </w:r>
    </w:p>
    <w:p w14:paraId="490336B7" w14:textId="77777777" w:rsidR="00671DEB" w:rsidRDefault="00671DEB" w:rsidP="00671DEB">
      <w:pPr>
        <w:pStyle w:val="ListParagraph"/>
        <w:spacing w:before="120" w:after="120"/>
        <w:ind w:left="2160"/>
        <w:rPr>
          <w:rFonts w:ascii="Times New Roman" w:hAnsi="Times New Roman" w:cs="Times New Roman"/>
          <w:sz w:val="20"/>
          <w:szCs w:val="20"/>
        </w:rPr>
      </w:pPr>
      <w:r>
        <w:rPr>
          <w:rFonts w:ascii="Times New Roman" w:hAnsi="Times New Roman" w:cs="Times New Roman"/>
          <w:i/>
          <w:sz w:val="20"/>
          <w:szCs w:val="20"/>
        </w:rPr>
        <w:br/>
        <w:t xml:space="preserve">Note: Pursuant to section 16E(1)(a) and (b) of the </w:t>
      </w:r>
      <w:r>
        <w:rPr>
          <w:rFonts w:ascii="Times New Roman" w:hAnsi="Times New Roman" w:cs="Times New Roman"/>
          <w:b/>
          <w:i/>
          <w:sz w:val="20"/>
          <w:szCs w:val="20"/>
        </w:rPr>
        <w:t>National Electricity (Victoria) Act 2005</w:t>
      </w:r>
      <w:r>
        <w:rPr>
          <w:rFonts w:ascii="Times New Roman" w:hAnsi="Times New Roman" w:cs="Times New Roman"/>
          <w:i/>
          <w:sz w:val="20"/>
          <w:szCs w:val="20"/>
        </w:rPr>
        <w:t>, the AER must perform or exercise its functions and powers under this Order in a manner that will or is likely to contribute to the achievement of the national electricity objective.</w:t>
      </w:r>
      <w:bookmarkEnd w:id="93"/>
      <w:r>
        <w:rPr>
          <w:rFonts w:ascii="Times New Roman" w:hAnsi="Times New Roman" w:cs="Times New Roman"/>
          <w:sz w:val="20"/>
          <w:szCs w:val="20"/>
        </w:rPr>
        <w:br/>
      </w:r>
    </w:p>
    <w:p w14:paraId="6E0C4045" w14:textId="1B112921" w:rsidR="00671DEB" w:rsidRPr="003A4125" w:rsidRDefault="00671DEB" w:rsidP="003A4125">
      <w:pPr>
        <w:pStyle w:val="ListParagraph"/>
        <w:numPr>
          <w:ilvl w:val="1"/>
          <w:numId w:val="47"/>
        </w:numPr>
        <w:spacing w:before="120" w:after="120"/>
        <w:rPr>
          <w:rFonts w:ascii="Times New Roman" w:hAnsi="Times New Roman" w:cs="Times New Roman"/>
          <w:sz w:val="20"/>
          <w:szCs w:val="20"/>
        </w:rPr>
      </w:pPr>
      <w:bookmarkStart w:id="94" w:name="_Ref457814648"/>
      <w:r>
        <w:rPr>
          <w:rFonts w:ascii="Times New Roman" w:hAnsi="Times New Roman" w:cs="Times New Roman"/>
          <w:sz w:val="20"/>
          <w:szCs w:val="20"/>
        </w:rPr>
        <w:t>An f-factor scheme determination made in respect of the 2016-2020 regulatory control period must be made no later than 30 September 2018.</w:t>
      </w:r>
      <w:bookmarkEnd w:id="94"/>
      <w:r>
        <w:rPr>
          <w:rFonts w:ascii="Times New Roman" w:hAnsi="Times New Roman" w:cs="Times New Roman"/>
          <w:sz w:val="20"/>
          <w:szCs w:val="20"/>
        </w:rPr>
        <w:t xml:space="preserve"> </w:t>
      </w:r>
    </w:p>
    <w:p w14:paraId="670A9578"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An f-factor scheme determination made in respect of a regulatory control period subsequent to the 2016-2020 regulatory control period must be made so as to take effect at the commencement of the regulatory control period.</w:t>
      </w:r>
    </w:p>
    <w:p w14:paraId="1C1506EB"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The AER must publish an f-factor scheme determination. An f-factor scheme determination may be published as part of a distribution determination for the relevant regulatory control period.</w:t>
      </w:r>
    </w:p>
    <w:p w14:paraId="6DB7358B" w14:textId="77777777" w:rsidR="00671DEB" w:rsidRDefault="00671DEB" w:rsidP="00671DEB">
      <w:pPr>
        <w:pStyle w:val="ListParagraph"/>
        <w:rPr>
          <w:rFonts w:ascii="Times New Roman" w:hAnsi="Times New Roman" w:cs="Times New Roman"/>
          <w:sz w:val="20"/>
          <w:szCs w:val="20"/>
        </w:rPr>
      </w:pPr>
    </w:p>
    <w:p w14:paraId="288DFCF9"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95" w:name="_Ref453254932"/>
      <w:r>
        <w:rPr>
          <w:rFonts w:ascii="Times New Roman" w:hAnsi="Times New Roman" w:cs="Times New Roman"/>
          <w:b/>
          <w:sz w:val="20"/>
          <w:szCs w:val="20"/>
        </w:rPr>
        <w:t>Revenue adjustment</w:t>
      </w:r>
      <w:bookmarkEnd w:id="95"/>
      <w:r>
        <w:rPr>
          <w:rFonts w:ascii="Times New Roman" w:hAnsi="Times New Roman" w:cs="Times New Roman"/>
          <w:b/>
          <w:sz w:val="20"/>
          <w:szCs w:val="20"/>
        </w:rPr>
        <w:t xml:space="preserve"> </w:t>
      </w:r>
    </w:p>
    <w:p w14:paraId="6A2EB073"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An f-factor scheme determination must establish an f-factor scheme under which there is a revenue adjustment for each Distribution Network Service Provider. </w:t>
      </w:r>
    </w:p>
    <w:p w14:paraId="1C341D5F"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6" w:name="_Ref457832924"/>
      <w:r>
        <w:rPr>
          <w:rFonts w:ascii="Times New Roman" w:hAnsi="Times New Roman" w:cs="Times New Roman"/>
          <w:sz w:val="20"/>
          <w:szCs w:val="20"/>
        </w:rPr>
        <w:t>A separate revenue adjustment must be made for each Distribution Network Service Provider for the 2015, 2016 and 2017 regulatory years in accordance with the previous f-factor scheme Order, as if that Order had not been revoked.</w:t>
      </w:r>
      <w:bookmarkEnd w:id="96"/>
      <w:r>
        <w:rPr>
          <w:rFonts w:ascii="Times New Roman" w:hAnsi="Times New Roman" w:cs="Times New Roman"/>
          <w:sz w:val="20"/>
          <w:szCs w:val="20"/>
        </w:rPr>
        <w:t xml:space="preserve"> </w:t>
      </w:r>
    </w:p>
    <w:p w14:paraId="1657871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sidRPr="00F974FC">
        <w:rPr>
          <w:rFonts w:ascii="Times New Roman" w:hAnsi="Times New Roman" w:cs="Times New Roman"/>
          <w:sz w:val="20"/>
          <w:szCs w:val="20"/>
        </w:rPr>
        <w:t>A determination made under the previous f-factor scheme Order</w:t>
      </w:r>
      <w:r>
        <w:rPr>
          <w:rFonts w:ascii="Times New Roman" w:hAnsi="Times New Roman" w:cs="Times New Roman"/>
          <w:sz w:val="20"/>
          <w:szCs w:val="20"/>
        </w:rPr>
        <w:t xml:space="preserve"> continues in force for the purposes of this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_Ref457832924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(2)</w:t>
      </w:r>
      <w:r>
        <w:rPr>
          <w:rFonts w:ascii="Times New Roman" w:hAnsi="Times New Roman" w:cs="Times New Roman"/>
          <w:sz w:val="20"/>
          <w:szCs w:val="20"/>
        </w:rPr>
        <w:fldChar w:fldCharType="end"/>
      </w:r>
      <w:r w:rsidRPr="00F974FC">
        <w:rPr>
          <w:rFonts w:ascii="Times New Roman" w:hAnsi="Times New Roman" w:cs="Times New Roman"/>
          <w:sz w:val="20"/>
          <w:szCs w:val="20"/>
        </w:rPr>
        <w:t xml:space="preserve">.  </w:t>
      </w:r>
    </w:p>
    <w:p w14:paraId="36E5BB45"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7" w:name="_Ref454372550"/>
      <w:r>
        <w:rPr>
          <w:rFonts w:ascii="Times New Roman" w:hAnsi="Times New Roman" w:cs="Times New Roman"/>
          <w:sz w:val="20"/>
          <w:szCs w:val="20"/>
        </w:rPr>
        <w:t xml:space="preserve">A separate revenue adjustment must be made for each Distribution Network Service Provider for the 2018 regulatory year, in accordance with clause </w:t>
      </w:r>
      <w:r>
        <w:fldChar w:fldCharType="begin"/>
      </w:r>
      <w:r>
        <w:rPr>
          <w:rFonts w:ascii="Times New Roman" w:hAnsi="Times New Roman" w:cs="Times New Roman"/>
          <w:sz w:val="20"/>
          <w:szCs w:val="20"/>
        </w:rPr>
        <w:instrText xml:space="preserve"> REF _Ref454351445 \r \h </w:instrText>
      </w:r>
      <w:r>
        <w:fldChar w:fldCharType="separate"/>
      </w:r>
      <w:r w:rsidR="00167D0B">
        <w:rPr>
          <w:rFonts w:ascii="Times New Roman" w:hAnsi="Times New Roman" w:cs="Times New Roman"/>
          <w:sz w:val="20"/>
          <w:szCs w:val="20"/>
        </w:rPr>
        <w:t>13</w:t>
      </w:r>
      <w:r>
        <w:fldChar w:fldCharType="end"/>
      </w:r>
      <w:r>
        <w:rPr>
          <w:rFonts w:ascii="Times New Roman" w:hAnsi="Times New Roman" w:cs="Times New Roman"/>
          <w:sz w:val="20"/>
          <w:szCs w:val="20"/>
        </w:rPr>
        <w:t>.</w:t>
      </w:r>
      <w:bookmarkEnd w:id="97"/>
      <w:r>
        <w:rPr>
          <w:rFonts w:ascii="Times New Roman" w:hAnsi="Times New Roman" w:cs="Times New Roman"/>
          <w:sz w:val="20"/>
          <w:szCs w:val="20"/>
        </w:rPr>
        <w:t xml:space="preserve"> </w:t>
      </w:r>
    </w:p>
    <w:p w14:paraId="264E17F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98" w:name="_Ref456363474"/>
      <w:r>
        <w:rPr>
          <w:rFonts w:ascii="Times New Roman" w:hAnsi="Times New Roman" w:cs="Times New Roman"/>
          <w:sz w:val="20"/>
          <w:szCs w:val="20"/>
        </w:rPr>
        <w:t>A separate revenue adjustment must be made for each Distribution Network Service Provider for the 2019 regulatory year, and for each subsequent regulatory year, in accordance with the following formula–</w:t>
      </w:r>
      <w:bookmarkEnd w:id="98"/>
      <w:r>
        <w:rPr>
          <w:rFonts w:ascii="Times New Roman" w:hAnsi="Times New Roman" w:cs="Times New Roman"/>
          <w:sz w:val="20"/>
          <w:szCs w:val="20"/>
        </w:rPr>
        <w:br/>
      </w:r>
    </w:p>
    <w:p w14:paraId="1CFA26AA" w14:textId="77777777" w:rsidR="00671DEB" w:rsidRDefault="00671DEB" w:rsidP="00671DEB">
      <w:pPr>
        <w:spacing w:before="120" w:after="120"/>
        <w:ind w:left="360"/>
        <w:rPr>
          <w:rFonts w:ascii="Times New Roman" w:hAnsi="Times New Roman" w:cs="Times New Roman"/>
          <w:sz w:val="20"/>
          <w:szCs w:val="20"/>
        </w:rPr>
      </w:pPr>
      <m:oMathPara>
        <m:oMathParaPr>
          <m:jc m:val="center"/>
        </m:oMathParaPr>
        <m:oMath>
          <m:r>
            <m:rPr>
              <m:sty m:val="bi"/>
            </m:rPr>
            <w:rPr>
              <w:rFonts w:ascii="Cambria Math" w:hAnsi="Cambria Math" w:cs="Times New Roman"/>
              <w:sz w:val="20"/>
              <w:szCs w:val="20"/>
            </w:rPr>
            <m:t>Revenue adjustment</m:t>
          </m:r>
          <m:r>
            <m:rPr>
              <m:sty m:val="b"/>
            </m:rPr>
            <w:rPr>
              <w:rFonts w:ascii="Cambria Math" w:hAnsi="Cambria Math" w:cs="Times New Roman"/>
              <w:sz w:val="20"/>
              <w:szCs w:val="20"/>
            </w:rPr>
            <m:t>=</m:t>
          </m:r>
          <m:r>
            <m:rPr>
              <m:sty m:val="p"/>
            </m:rPr>
            <w:rPr>
              <w:rFonts w:ascii="Cambria Math" w:hAnsi="Cambria Math" w:cs="Times New Roman"/>
              <w:sz w:val="20"/>
              <w:szCs w:val="20"/>
            </w:rPr>
            <m:t xml:space="preserve"> </m:t>
          </m:r>
          <m:sSub>
            <m:sSubPr>
              <m:ctrlPr>
                <w:rPr>
                  <w:rFonts w:ascii="Cambria Math" w:hAnsi="Cambria Math" w:cs="Times New Roman"/>
                  <w:b/>
                  <w:i/>
                </w:rPr>
              </m:ctrlPr>
            </m:sSubPr>
            <m:e>
              <m:r>
                <m:rPr>
                  <m:sty m:val="bi"/>
                </m:rPr>
                <w:rPr>
                  <w:rFonts w:ascii="Cambria Math" w:hAnsi="Cambria Math" w:cs="Times New Roman"/>
                  <w:sz w:val="20"/>
                  <w:szCs w:val="20"/>
                </w:rPr>
                <m:t>Incentive rate</m:t>
              </m:r>
            </m:e>
            <m:sub>
              <m:r>
                <m:rPr>
                  <m:sty m:val="bi"/>
                </m:rPr>
                <w:rPr>
                  <w:rFonts w:ascii="Cambria Math" w:hAnsi="Cambria Math" w:cs="Times New Roman"/>
                  <w:sz w:val="20"/>
                  <w:szCs w:val="20"/>
                </w:rPr>
                <m:t xml:space="preserve"> </m:t>
              </m:r>
            </m:sub>
          </m:sSub>
          <m:r>
            <w:rPr>
              <w:rFonts w:ascii="Cambria Math" w:hAnsi="Cambria Math" w:cs="Times New Roman"/>
              <w:sz w:val="20"/>
              <w:szCs w:val="20"/>
            </w:rPr>
            <m:t>×</m:t>
          </m:r>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sz w:val="20"/>
                      <w:szCs w:val="20"/>
                    </w:rPr>
                    <m:t>IRU target</m:t>
                  </m:r>
                </m:e>
                <m:sub>
                  <m:r>
                    <m:rPr>
                      <m:sty m:val="bi"/>
                    </m:rPr>
                    <w:rPr>
                      <w:rFonts w:ascii="Cambria Math" w:hAnsi="Cambria Math" w:cs="Times New Roman"/>
                      <w:sz w:val="20"/>
                      <w:szCs w:val="20"/>
                    </w:rPr>
                    <m:t xml:space="preserve"> </m:t>
                  </m:r>
                </m:sub>
              </m:sSub>
              <m:r>
                <w:rPr>
                  <w:rFonts w:ascii="Cambria Math" w:hAnsi="Cambria Math" w:cs="Times New Roman"/>
                  <w:sz w:val="20"/>
                  <w:szCs w:val="20"/>
                </w:rPr>
                <m:t xml:space="preserve">- </m:t>
              </m:r>
              <m:r>
                <m:rPr>
                  <m:sty m:val="bi"/>
                </m:rPr>
                <w:rPr>
                  <w:rFonts w:ascii="Cambria Math" w:hAnsi="Cambria Math" w:cs="Times New Roman"/>
                  <w:sz w:val="20"/>
                  <w:szCs w:val="20"/>
                </w:rPr>
                <m:t>IRU amount</m:t>
              </m:r>
            </m:e>
          </m:d>
          <m:r>
            <w:rPr>
              <w:rFonts w:ascii="Cambria Math" w:hAnsi="Cambria Math" w:cs="Times New Roman"/>
              <w:sz w:val="20"/>
              <w:szCs w:val="20"/>
            </w:rPr>
            <m:t xml:space="preserve"> </m:t>
          </m:r>
        </m:oMath>
      </m:oMathPara>
    </w:p>
    <w:p w14:paraId="43AA099F"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br/>
        <w:t>where –</w:t>
      </w:r>
      <w:r>
        <w:rPr>
          <w:rFonts w:ascii="Times New Roman" w:hAnsi="Times New Roman" w:cs="Times New Roman"/>
          <w:sz w:val="20"/>
          <w:szCs w:val="20"/>
        </w:rPr>
        <w:br/>
      </w:r>
    </w:p>
    <w:p w14:paraId="6D3FE5A3"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 xml:space="preserve">Revenue adjustment </w:t>
      </w:r>
      <w:r>
        <w:rPr>
          <w:rFonts w:ascii="Times New Roman" w:hAnsi="Times New Roman" w:cs="Times New Roman"/>
          <w:sz w:val="20"/>
          <w:szCs w:val="20"/>
        </w:rPr>
        <w:t>is the adjustment to the revenue for the relevant Distribution Network Service Provider for the regulatory year;</w:t>
      </w:r>
      <w:r>
        <w:rPr>
          <w:rFonts w:ascii="Times New Roman" w:hAnsi="Times New Roman" w:cs="Times New Roman"/>
          <w:sz w:val="20"/>
          <w:szCs w:val="20"/>
        </w:rPr>
        <w:br/>
      </w:r>
    </w:p>
    <w:p w14:paraId="475985FE"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Incentive rate</w:t>
      </w:r>
      <w:r>
        <w:rPr>
          <w:rFonts w:ascii="Times New Roman" w:hAnsi="Times New Roman" w:cs="Times New Roman"/>
          <w:sz w:val="20"/>
          <w:szCs w:val="20"/>
        </w:rPr>
        <w:t xml:space="preserve"> is $15,000;</w:t>
      </w:r>
      <w:r>
        <w:rPr>
          <w:rFonts w:ascii="Times New Roman" w:hAnsi="Times New Roman" w:cs="Times New Roman"/>
          <w:sz w:val="20"/>
          <w:szCs w:val="20"/>
        </w:rPr>
        <w:br/>
      </w:r>
    </w:p>
    <w:p w14:paraId="50762AC7" w14:textId="77777777" w:rsidR="00671DEB" w:rsidRPr="000E6C3F" w:rsidRDefault="00671DEB" w:rsidP="00671DEB">
      <w:pPr>
        <w:pStyle w:val="ListParagraph"/>
        <w:numPr>
          <w:ilvl w:val="3"/>
          <w:numId w:val="47"/>
        </w:numPr>
        <w:spacing w:before="120" w:after="120"/>
        <w:rPr>
          <w:rFonts w:ascii="Times New Roman" w:hAnsi="Times New Roman" w:cs="Times New Roman"/>
          <w:sz w:val="20"/>
          <w:szCs w:val="20"/>
        </w:rPr>
      </w:pPr>
      <w:r w:rsidRPr="000E6C3F">
        <w:rPr>
          <w:rFonts w:ascii="Times New Roman" w:hAnsi="Times New Roman" w:cs="Times New Roman"/>
          <w:b/>
          <w:i/>
          <w:sz w:val="20"/>
          <w:szCs w:val="20"/>
        </w:rPr>
        <w:t>IRU target</w:t>
      </w:r>
      <w:r w:rsidRPr="000E6C3F">
        <w:rPr>
          <w:rFonts w:ascii="Times New Roman" w:hAnsi="Times New Roman" w:cs="Times New Roman"/>
          <w:sz w:val="20"/>
          <w:szCs w:val="20"/>
        </w:rPr>
        <w:t xml:space="preserve"> is the IRU target applicable for the relevant financial year for the relevant Distribution Network Service Provider, as specified in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_Ref457485828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10</w:t>
      </w:r>
      <w:r>
        <w:rPr>
          <w:rFonts w:ascii="Times New Roman" w:hAnsi="Times New Roman" w:cs="Times New Roman"/>
          <w:sz w:val="20"/>
          <w:szCs w:val="20"/>
        </w:rPr>
        <w:fldChar w:fldCharType="end"/>
      </w:r>
      <w:r w:rsidRPr="000E6C3F">
        <w:rPr>
          <w:rFonts w:ascii="Times New Roman" w:hAnsi="Times New Roman" w:cs="Times New Roman"/>
          <w:sz w:val="20"/>
          <w:szCs w:val="20"/>
        </w:rPr>
        <w:t xml:space="preserve">; and </w:t>
      </w:r>
      <w:r w:rsidRPr="000E6C3F">
        <w:rPr>
          <w:rFonts w:ascii="Times New Roman" w:hAnsi="Times New Roman" w:cs="Times New Roman"/>
          <w:sz w:val="20"/>
          <w:szCs w:val="20"/>
        </w:rPr>
        <w:br/>
      </w:r>
    </w:p>
    <w:p w14:paraId="6053F566"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 xml:space="preserve">IRU amount </w:t>
      </w:r>
      <w:r>
        <w:rPr>
          <w:rFonts w:ascii="Times New Roman" w:hAnsi="Times New Roman" w:cs="Times New Roman"/>
          <w:sz w:val="20"/>
          <w:szCs w:val="20"/>
        </w:rPr>
        <w:t xml:space="preserve">is the number of IRUs accrued in relation to the relevant distribution system in the relevant financial year, determined in accordance with clause 11. </w:t>
      </w:r>
      <w:r>
        <w:rPr>
          <w:rFonts w:ascii="Times New Roman" w:hAnsi="Times New Roman" w:cs="Times New Roman"/>
          <w:sz w:val="20"/>
          <w:szCs w:val="20"/>
        </w:rPr>
        <w:br/>
      </w:r>
    </w:p>
    <w:p w14:paraId="0FFA337B" w14:textId="77777777" w:rsidR="00671DEB" w:rsidRPr="00A74F63" w:rsidRDefault="00671DEB" w:rsidP="00671DEB">
      <w:pPr>
        <w:spacing w:before="120" w:after="120"/>
        <w:ind w:left="2880"/>
        <w:rPr>
          <w:rFonts w:ascii="Times New Roman" w:hAnsi="Times New Roman" w:cs="Times New Roman"/>
          <w:i/>
          <w:sz w:val="20"/>
          <w:szCs w:val="20"/>
        </w:rPr>
      </w:pPr>
      <w:r>
        <w:rPr>
          <w:rFonts w:ascii="Times New Roman" w:hAnsi="Times New Roman" w:cs="Times New Roman"/>
          <w:i/>
          <w:sz w:val="20"/>
          <w:szCs w:val="20"/>
        </w:rPr>
        <w:t xml:space="preserve">Note: See the definition of “relevant financial year” in clause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REF _Ref457392910 \n \h </w:instrText>
      </w:r>
      <w:r>
        <w:rPr>
          <w:rFonts w:ascii="Times New Roman" w:hAnsi="Times New Roman" w:cs="Times New Roman"/>
          <w:i/>
          <w:sz w:val="20"/>
          <w:szCs w:val="20"/>
        </w:rPr>
      </w:r>
      <w:r>
        <w:rPr>
          <w:rFonts w:ascii="Times New Roman" w:hAnsi="Times New Roman" w:cs="Times New Roman"/>
          <w:i/>
          <w:sz w:val="20"/>
          <w:szCs w:val="20"/>
        </w:rPr>
        <w:fldChar w:fldCharType="separate"/>
      </w:r>
      <w:r w:rsidR="00167D0B">
        <w:rPr>
          <w:rFonts w:ascii="Times New Roman" w:hAnsi="Times New Roman" w:cs="Times New Roman"/>
          <w:i/>
          <w:sz w:val="20"/>
          <w:szCs w:val="20"/>
        </w:rPr>
        <w:t>4</w:t>
      </w:r>
      <w:r>
        <w:rPr>
          <w:rFonts w:ascii="Times New Roman" w:hAnsi="Times New Roman" w:cs="Times New Roman"/>
          <w:i/>
          <w:sz w:val="20"/>
          <w:szCs w:val="20"/>
        </w:rPr>
        <w:fldChar w:fldCharType="end"/>
      </w:r>
      <w:r>
        <w:rPr>
          <w:rFonts w:ascii="Times New Roman" w:hAnsi="Times New Roman" w:cs="Times New Roman"/>
          <w:i/>
          <w:sz w:val="20"/>
          <w:szCs w:val="20"/>
        </w:rPr>
        <w:t xml:space="preserve">. By reason of that definition, the revenue adjustment for a regulatory year is made on </w:t>
      </w:r>
      <w:r>
        <w:rPr>
          <w:rFonts w:ascii="Times New Roman" w:hAnsi="Times New Roman" w:cs="Times New Roman"/>
          <w:i/>
          <w:sz w:val="20"/>
          <w:szCs w:val="20"/>
        </w:rPr>
        <w:lastRenderedPageBreak/>
        <w:t>the basis of the IRU target and IRU amount for the relevant financial year, which ends 18 months prior to the commencement of the regulatory year.</w:t>
      </w:r>
    </w:p>
    <w:p w14:paraId="0C95BEF8"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An f-factor scheme determination may specify how the revenue adjustment is to occur. For the avoidance of doubt and without limitation, the revenue adjustment may –</w:t>
      </w:r>
    </w:p>
    <w:p w14:paraId="67CBD5EE"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be by way of a pass through;</w:t>
      </w:r>
    </w:p>
    <w:p w14:paraId="11DB014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be by way of an annual adjustment to be included in the </w:t>
      </w:r>
      <w:r w:rsidRPr="00E13312">
        <w:rPr>
          <w:rFonts w:ascii="Times New Roman" w:hAnsi="Times New Roman" w:cs="Times New Roman"/>
          <w:sz w:val="20"/>
          <w:szCs w:val="20"/>
        </w:rPr>
        <w:t>control mechanism for a distribution determination</w:t>
      </w:r>
      <w:r>
        <w:rPr>
          <w:rFonts w:ascii="Times New Roman" w:hAnsi="Times New Roman" w:cs="Times New Roman"/>
          <w:sz w:val="20"/>
          <w:szCs w:val="20"/>
        </w:rPr>
        <w:t>;</w:t>
      </w:r>
    </w:p>
    <w:p w14:paraId="19CBBC6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be expressed as a percentage adjustment to revenue; </w:t>
      </w:r>
    </w:p>
    <w:p w14:paraId="3807B88D"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take effect over more than one regulatory year; and</w:t>
      </w:r>
    </w:p>
    <w:p w14:paraId="1B3FB9BD"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take effect over more than one regulatory control period.</w:t>
      </w:r>
    </w:p>
    <w:p w14:paraId="76C54A3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For the purposes of a distribution determination, a revenue adjustment is not revenue of, expenditure by or a cost of a Distribution Network Service Provider unless the AER determines otherwise.</w:t>
      </w:r>
    </w:p>
    <w:p w14:paraId="09BC4565"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For the purposes of subclauses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_Ref454372550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_Ref456363474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 xml:space="preserve">, the AER may have regard to any determination made under the </w:t>
      </w:r>
      <w:r w:rsidRPr="00F974FC">
        <w:rPr>
          <w:rFonts w:ascii="Times New Roman" w:hAnsi="Times New Roman" w:cs="Times New Roman"/>
          <w:sz w:val="20"/>
          <w:szCs w:val="20"/>
        </w:rPr>
        <w:t>previous f-factor scheme Order</w:t>
      </w:r>
      <w:r>
        <w:rPr>
          <w:rFonts w:ascii="Times New Roman" w:hAnsi="Times New Roman" w:cs="Times New Roman"/>
          <w:sz w:val="20"/>
          <w:szCs w:val="20"/>
        </w:rPr>
        <w:t>.</w:t>
      </w:r>
    </w:p>
    <w:p w14:paraId="16BEF675" w14:textId="77777777" w:rsidR="00671DEB" w:rsidRDefault="00671DEB" w:rsidP="00671DEB">
      <w:pPr>
        <w:pStyle w:val="ListParagraph"/>
        <w:spacing w:before="120" w:after="120"/>
        <w:ind w:left="1440"/>
        <w:rPr>
          <w:rFonts w:ascii="Times New Roman" w:hAnsi="Times New Roman" w:cs="Times New Roman"/>
          <w:b/>
          <w:sz w:val="20"/>
          <w:szCs w:val="20"/>
        </w:rPr>
      </w:pPr>
      <w:r>
        <w:rPr>
          <w:rFonts w:ascii="Times New Roman" w:hAnsi="Times New Roman" w:cs="Times New Roman"/>
          <w:sz w:val="20"/>
          <w:szCs w:val="20"/>
        </w:rPr>
        <w:br/>
      </w:r>
      <w:bookmarkStart w:id="99" w:name="_Ref443907938"/>
    </w:p>
    <w:p w14:paraId="370193E9"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100" w:name="_Ref457485828"/>
      <w:r>
        <w:rPr>
          <w:rFonts w:ascii="Times New Roman" w:hAnsi="Times New Roman" w:cs="Times New Roman"/>
          <w:b/>
          <w:sz w:val="20"/>
          <w:szCs w:val="20"/>
        </w:rPr>
        <w:t>IRU target</w:t>
      </w:r>
      <w:bookmarkEnd w:id="99"/>
      <w:bookmarkEnd w:id="100"/>
    </w:p>
    <w:p w14:paraId="52942E54" w14:textId="77777777" w:rsidR="00671DEB" w:rsidRPr="006A7A41" w:rsidRDefault="00671DEB" w:rsidP="00671DEB">
      <w:pPr>
        <w:pStyle w:val="ListParagraph"/>
        <w:numPr>
          <w:ilvl w:val="1"/>
          <w:numId w:val="47"/>
        </w:numPr>
        <w:spacing w:before="120" w:after="120"/>
        <w:rPr>
          <w:rFonts w:ascii="Times New Roman" w:hAnsi="Times New Roman" w:cs="Times New Roman"/>
          <w:sz w:val="20"/>
          <w:szCs w:val="20"/>
        </w:rPr>
      </w:pPr>
      <w:bookmarkStart w:id="101" w:name="_Ref449103322"/>
      <w:bookmarkStart w:id="102" w:name="_Ref457398829"/>
      <w:bookmarkStart w:id="103" w:name="_Ref443903473"/>
      <w:bookmarkStart w:id="104" w:name="_Ref443905142"/>
      <w:r w:rsidRPr="006A7A41">
        <w:rPr>
          <w:rFonts w:ascii="Times New Roman" w:hAnsi="Times New Roman" w:cs="Times New Roman"/>
          <w:sz w:val="20"/>
          <w:szCs w:val="20"/>
        </w:rPr>
        <w:t xml:space="preserve">The IRU targets for each Distribution Network Service Provider for each of the following relevant financial years </w:t>
      </w:r>
      <w:bookmarkEnd w:id="101"/>
      <w:r w:rsidRPr="006A7A41">
        <w:rPr>
          <w:rFonts w:ascii="Times New Roman" w:hAnsi="Times New Roman" w:cs="Times New Roman"/>
          <w:sz w:val="20"/>
          <w:szCs w:val="20"/>
        </w:rPr>
        <w:t>are:</w:t>
      </w:r>
      <w:bookmarkEnd w:id="102"/>
    </w:p>
    <w:p w14:paraId="19C240CF" w14:textId="77777777" w:rsidR="00671DEB" w:rsidRPr="006A7A41" w:rsidRDefault="00671DEB" w:rsidP="00671DEB">
      <w:pPr>
        <w:pStyle w:val="ListParagraph"/>
        <w:spacing w:before="120" w:after="120"/>
        <w:ind w:left="1440"/>
        <w:rPr>
          <w:rFonts w:ascii="Times New Roman" w:hAnsi="Times New Roman" w:cs="Times New Roman"/>
          <w:b/>
          <w:sz w:val="20"/>
          <w:szCs w:val="20"/>
        </w:rPr>
      </w:pPr>
    </w:p>
    <w:tbl>
      <w:tblPr>
        <w:tblStyle w:val="TableGrid"/>
        <w:tblW w:w="0" w:type="auto"/>
        <w:tblInd w:w="1440" w:type="dxa"/>
        <w:tblBorders>
          <w:left w:val="none" w:sz="0" w:space="0" w:color="auto"/>
          <w:right w:val="none" w:sz="0" w:space="0" w:color="auto"/>
          <w:insideV w:val="none" w:sz="0" w:space="0" w:color="auto"/>
        </w:tblBorders>
        <w:tblLook w:val="04A0" w:firstRow="1" w:lastRow="0" w:firstColumn="1" w:lastColumn="0" w:noHBand="0" w:noVBand="1"/>
      </w:tblPr>
      <w:tblGrid>
        <w:gridCol w:w="1866"/>
        <w:gridCol w:w="1183"/>
        <w:gridCol w:w="1244"/>
        <w:gridCol w:w="1148"/>
        <w:gridCol w:w="1228"/>
        <w:gridCol w:w="1133"/>
      </w:tblGrid>
      <w:tr w:rsidR="00671DEB" w:rsidRPr="006A7A41" w14:paraId="722AAAF4" w14:textId="77777777" w:rsidTr="009F70DA">
        <w:tc>
          <w:tcPr>
            <w:tcW w:w="1866" w:type="dxa"/>
            <w:vMerge w:val="restart"/>
            <w:tcBorders>
              <w:top w:val="single" w:sz="4" w:space="0" w:color="auto"/>
              <w:left w:val="nil"/>
              <w:bottom w:val="single" w:sz="4" w:space="0" w:color="auto"/>
              <w:right w:val="nil"/>
            </w:tcBorders>
            <w:hideMark/>
          </w:tcPr>
          <w:p w14:paraId="4C3CF514" w14:textId="77777777" w:rsidR="00671DEB" w:rsidRPr="006A7A41" w:rsidRDefault="00671DEB" w:rsidP="009F70DA">
            <w:pPr>
              <w:pStyle w:val="ListParagraph"/>
              <w:spacing w:before="120" w:after="120"/>
              <w:ind w:left="0"/>
              <w:rPr>
                <w:rFonts w:ascii="Times New Roman" w:hAnsi="Times New Roman" w:cs="Times New Roman"/>
                <w:b/>
                <w:sz w:val="20"/>
                <w:szCs w:val="20"/>
              </w:rPr>
            </w:pPr>
            <w:r w:rsidRPr="006A7A41">
              <w:rPr>
                <w:rFonts w:ascii="Times New Roman" w:hAnsi="Times New Roman" w:cs="Times New Roman"/>
                <w:b/>
                <w:sz w:val="20"/>
                <w:szCs w:val="20"/>
              </w:rPr>
              <w:t>Relevant financial year</w:t>
            </w:r>
          </w:p>
        </w:tc>
        <w:tc>
          <w:tcPr>
            <w:tcW w:w="5936" w:type="dxa"/>
            <w:gridSpan w:val="5"/>
            <w:tcBorders>
              <w:top w:val="single" w:sz="4" w:space="0" w:color="auto"/>
              <w:left w:val="nil"/>
              <w:bottom w:val="nil"/>
              <w:right w:val="nil"/>
            </w:tcBorders>
            <w:hideMark/>
          </w:tcPr>
          <w:p w14:paraId="5992DCBA" w14:textId="77777777" w:rsidR="00671DEB" w:rsidRPr="006A7A41" w:rsidRDefault="00671DEB" w:rsidP="009F70DA">
            <w:pPr>
              <w:pStyle w:val="ListParagraph"/>
              <w:spacing w:before="120" w:after="120"/>
              <w:ind w:left="0"/>
              <w:rPr>
                <w:rFonts w:ascii="Times New Roman" w:hAnsi="Times New Roman" w:cs="Times New Roman"/>
                <w:b/>
                <w:sz w:val="20"/>
                <w:szCs w:val="20"/>
              </w:rPr>
            </w:pPr>
            <w:r w:rsidRPr="006A7A41">
              <w:rPr>
                <w:rFonts w:ascii="Times New Roman" w:hAnsi="Times New Roman" w:cs="Times New Roman"/>
                <w:b/>
                <w:sz w:val="20"/>
                <w:szCs w:val="20"/>
              </w:rPr>
              <w:t>Distribution Network Service Provider</w:t>
            </w:r>
          </w:p>
        </w:tc>
      </w:tr>
      <w:tr w:rsidR="00671DEB" w:rsidRPr="006A7A41" w14:paraId="18832255" w14:textId="77777777" w:rsidTr="009F70DA">
        <w:tc>
          <w:tcPr>
            <w:tcW w:w="0" w:type="auto"/>
            <w:vMerge/>
            <w:tcBorders>
              <w:top w:val="single" w:sz="4" w:space="0" w:color="auto"/>
              <w:left w:val="nil"/>
              <w:bottom w:val="single" w:sz="4" w:space="0" w:color="auto"/>
              <w:right w:val="nil"/>
            </w:tcBorders>
            <w:vAlign w:val="center"/>
            <w:hideMark/>
          </w:tcPr>
          <w:p w14:paraId="69ED353E" w14:textId="77777777" w:rsidR="00671DEB" w:rsidRPr="006A7A41" w:rsidRDefault="00671DEB" w:rsidP="009F70DA">
            <w:pPr>
              <w:rPr>
                <w:rFonts w:ascii="Times New Roman" w:hAnsi="Times New Roman" w:cs="Times New Roman"/>
                <w:b/>
                <w:sz w:val="20"/>
                <w:szCs w:val="20"/>
              </w:rPr>
            </w:pPr>
          </w:p>
        </w:tc>
        <w:tc>
          <w:tcPr>
            <w:tcW w:w="1183" w:type="dxa"/>
            <w:tcBorders>
              <w:top w:val="nil"/>
              <w:left w:val="nil"/>
              <w:bottom w:val="single" w:sz="4" w:space="0" w:color="auto"/>
              <w:right w:val="nil"/>
            </w:tcBorders>
            <w:hideMark/>
          </w:tcPr>
          <w:p w14:paraId="4C208D39" w14:textId="77777777" w:rsidR="00671DEB" w:rsidRPr="006A7A41" w:rsidRDefault="00671DEB" w:rsidP="009F70DA">
            <w:pPr>
              <w:pStyle w:val="ListParagraph"/>
              <w:spacing w:after="120"/>
              <w:ind w:left="0"/>
              <w:rPr>
                <w:rFonts w:ascii="Times New Roman" w:hAnsi="Times New Roman" w:cs="Times New Roman"/>
                <w:b/>
                <w:sz w:val="20"/>
                <w:szCs w:val="20"/>
              </w:rPr>
            </w:pPr>
            <w:r w:rsidRPr="006A7A41">
              <w:rPr>
                <w:rFonts w:ascii="Times New Roman" w:hAnsi="Times New Roman" w:cs="Times New Roman"/>
                <w:b/>
                <w:sz w:val="20"/>
                <w:szCs w:val="20"/>
              </w:rPr>
              <w:t>Ausnet</w:t>
            </w:r>
          </w:p>
        </w:tc>
        <w:tc>
          <w:tcPr>
            <w:tcW w:w="1244" w:type="dxa"/>
            <w:tcBorders>
              <w:top w:val="nil"/>
              <w:left w:val="nil"/>
              <w:bottom w:val="single" w:sz="4" w:space="0" w:color="auto"/>
              <w:right w:val="nil"/>
            </w:tcBorders>
            <w:hideMark/>
          </w:tcPr>
          <w:p w14:paraId="17D6ADA9" w14:textId="77777777" w:rsidR="00671DEB" w:rsidRPr="006A7A41" w:rsidRDefault="00671DEB" w:rsidP="009F70DA">
            <w:pPr>
              <w:pStyle w:val="ListParagraph"/>
              <w:spacing w:after="120"/>
              <w:ind w:left="0"/>
              <w:rPr>
                <w:rFonts w:ascii="Times New Roman" w:hAnsi="Times New Roman" w:cs="Times New Roman"/>
                <w:b/>
                <w:sz w:val="20"/>
                <w:szCs w:val="20"/>
              </w:rPr>
            </w:pPr>
            <w:r w:rsidRPr="006A7A41">
              <w:rPr>
                <w:rFonts w:ascii="Times New Roman" w:hAnsi="Times New Roman" w:cs="Times New Roman"/>
                <w:b/>
                <w:sz w:val="20"/>
                <w:szCs w:val="20"/>
              </w:rPr>
              <w:t>Citipower</w:t>
            </w:r>
          </w:p>
        </w:tc>
        <w:tc>
          <w:tcPr>
            <w:tcW w:w="1148" w:type="dxa"/>
            <w:tcBorders>
              <w:top w:val="nil"/>
              <w:left w:val="nil"/>
              <w:bottom w:val="single" w:sz="4" w:space="0" w:color="auto"/>
              <w:right w:val="nil"/>
            </w:tcBorders>
            <w:hideMark/>
          </w:tcPr>
          <w:p w14:paraId="21D0D9BA" w14:textId="77777777" w:rsidR="00671DEB" w:rsidRPr="006A7A41" w:rsidRDefault="00671DEB" w:rsidP="009F70DA">
            <w:pPr>
              <w:pStyle w:val="ListParagraph"/>
              <w:spacing w:after="120"/>
              <w:ind w:left="0"/>
              <w:rPr>
                <w:rFonts w:ascii="Times New Roman" w:hAnsi="Times New Roman" w:cs="Times New Roman"/>
                <w:b/>
                <w:sz w:val="20"/>
                <w:szCs w:val="20"/>
              </w:rPr>
            </w:pPr>
            <w:r w:rsidRPr="006A7A41">
              <w:rPr>
                <w:rFonts w:ascii="Times New Roman" w:hAnsi="Times New Roman" w:cs="Times New Roman"/>
                <w:b/>
                <w:sz w:val="20"/>
                <w:szCs w:val="20"/>
              </w:rPr>
              <w:t>Jemena</w:t>
            </w:r>
          </w:p>
        </w:tc>
        <w:tc>
          <w:tcPr>
            <w:tcW w:w="1228" w:type="dxa"/>
            <w:tcBorders>
              <w:top w:val="nil"/>
              <w:left w:val="nil"/>
              <w:bottom w:val="single" w:sz="4" w:space="0" w:color="auto"/>
              <w:right w:val="nil"/>
            </w:tcBorders>
            <w:hideMark/>
          </w:tcPr>
          <w:p w14:paraId="643D8A49" w14:textId="77777777" w:rsidR="00671DEB" w:rsidRPr="006A7A41" w:rsidRDefault="00671DEB" w:rsidP="009F70DA">
            <w:pPr>
              <w:pStyle w:val="ListParagraph"/>
              <w:spacing w:after="120"/>
              <w:ind w:left="0"/>
              <w:rPr>
                <w:rFonts w:ascii="Times New Roman" w:hAnsi="Times New Roman" w:cs="Times New Roman"/>
                <w:b/>
                <w:sz w:val="20"/>
                <w:szCs w:val="20"/>
              </w:rPr>
            </w:pPr>
            <w:r w:rsidRPr="006A7A41">
              <w:rPr>
                <w:rFonts w:ascii="Times New Roman" w:hAnsi="Times New Roman" w:cs="Times New Roman"/>
                <w:b/>
                <w:sz w:val="20"/>
                <w:szCs w:val="20"/>
              </w:rPr>
              <w:t>Powercor</w:t>
            </w:r>
          </w:p>
        </w:tc>
        <w:tc>
          <w:tcPr>
            <w:tcW w:w="1133" w:type="dxa"/>
            <w:tcBorders>
              <w:top w:val="nil"/>
              <w:left w:val="nil"/>
              <w:bottom w:val="single" w:sz="4" w:space="0" w:color="auto"/>
              <w:right w:val="nil"/>
            </w:tcBorders>
            <w:hideMark/>
          </w:tcPr>
          <w:p w14:paraId="27EF0AEE" w14:textId="77777777" w:rsidR="00671DEB" w:rsidRPr="006A7A41" w:rsidRDefault="00671DEB" w:rsidP="009F70DA">
            <w:pPr>
              <w:pStyle w:val="ListParagraph"/>
              <w:spacing w:after="120"/>
              <w:ind w:left="0"/>
              <w:rPr>
                <w:rFonts w:ascii="Times New Roman" w:hAnsi="Times New Roman" w:cs="Times New Roman"/>
                <w:b/>
                <w:sz w:val="20"/>
                <w:szCs w:val="20"/>
              </w:rPr>
            </w:pPr>
            <w:r w:rsidRPr="006A7A41">
              <w:rPr>
                <w:rFonts w:ascii="Times New Roman" w:hAnsi="Times New Roman" w:cs="Times New Roman"/>
                <w:b/>
                <w:sz w:val="20"/>
                <w:szCs w:val="20"/>
              </w:rPr>
              <w:t>United Energy</w:t>
            </w:r>
          </w:p>
        </w:tc>
      </w:tr>
      <w:tr w:rsidR="00671DEB" w:rsidRPr="006A7A41" w14:paraId="46C547CC" w14:textId="77777777" w:rsidTr="009F70DA">
        <w:tc>
          <w:tcPr>
            <w:tcW w:w="0" w:type="auto"/>
            <w:tcBorders>
              <w:top w:val="single" w:sz="4" w:space="0" w:color="auto"/>
              <w:left w:val="nil"/>
              <w:bottom w:val="single" w:sz="4" w:space="0" w:color="auto"/>
              <w:right w:val="nil"/>
            </w:tcBorders>
            <w:vAlign w:val="center"/>
          </w:tcPr>
          <w:p w14:paraId="79C8D07F" w14:textId="77777777" w:rsidR="00671DEB" w:rsidRPr="006B76E5" w:rsidRDefault="00671DEB" w:rsidP="009F70DA">
            <w:pPr>
              <w:rPr>
                <w:rFonts w:ascii="Times New Roman" w:hAnsi="Times New Roman" w:cs="Times New Roman"/>
                <w:sz w:val="20"/>
                <w:szCs w:val="20"/>
              </w:rPr>
            </w:pPr>
            <w:r w:rsidRPr="006B76E5">
              <w:rPr>
                <w:rFonts w:ascii="Times New Roman" w:hAnsi="Times New Roman" w:cs="Times New Roman"/>
                <w:sz w:val="20"/>
                <w:szCs w:val="20"/>
              </w:rPr>
              <w:t>FY 2016/17</w:t>
            </w:r>
          </w:p>
        </w:tc>
        <w:tc>
          <w:tcPr>
            <w:tcW w:w="1183" w:type="dxa"/>
            <w:tcBorders>
              <w:top w:val="nil"/>
              <w:left w:val="nil"/>
              <w:bottom w:val="single" w:sz="4" w:space="0" w:color="auto"/>
              <w:right w:val="nil"/>
            </w:tcBorders>
          </w:tcPr>
          <w:p w14:paraId="27F38C21" w14:textId="027E1D0D" w:rsidR="00671DEB" w:rsidRPr="00B631F3" w:rsidRDefault="00671DEB" w:rsidP="002D20F9">
            <w:pPr>
              <w:rPr>
                <w:rFonts w:ascii="Times New Roman" w:hAnsi="Times New Roman" w:cs="Times New Roman"/>
                <w:sz w:val="20"/>
                <w:szCs w:val="20"/>
              </w:rPr>
            </w:pPr>
            <w:r w:rsidRPr="00B631F3">
              <w:rPr>
                <w:rFonts w:ascii="Times New Roman" w:hAnsi="Times New Roman" w:cs="Times New Roman"/>
                <w:sz w:val="20"/>
                <w:szCs w:val="20"/>
              </w:rPr>
              <w:t>24</w:t>
            </w:r>
            <w:r w:rsidR="002D20F9">
              <w:rPr>
                <w:rFonts w:ascii="Times New Roman" w:hAnsi="Times New Roman" w:cs="Times New Roman"/>
                <w:sz w:val="20"/>
                <w:szCs w:val="20"/>
              </w:rPr>
              <w:t>7.7</w:t>
            </w:r>
          </w:p>
        </w:tc>
        <w:tc>
          <w:tcPr>
            <w:tcW w:w="1244" w:type="dxa"/>
            <w:tcBorders>
              <w:top w:val="nil"/>
              <w:left w:val="nil"/>
              <w:bottom w:val="single" w:sz="4" w:space="0" w:color="auto"/>
              <w:right w:val="nil"/>
            </w:tcBorders>
          </w:tcPr>
          <w:p w14:paraId="4553885C"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3.</w:t>
            </w:r>
            <w:r>
              <w:rPr>
                <w:rFonts w:ascii="Times New Roman" w:hAnsi="Times New Roman" w:cs="Times New Roman"/>
                <w:sz w:val="20"/>
                <w:szCs w:val="20"/>
              </w:rPr>
              <w:t>4</w:t>
            </w:r>
          </w:p>
        </w:tc>
        <w:tc>
          <w:tcPr>
            <w:tcW w:w="1148" w:type="dxa"/>
            <w:tcBorders>
              <w:top w:val="nil"/>
              <w:left w:val="nil"/>
              <w:bottom w:val="single" w:sz="4" w:space="0" w:color="auto"/>
              <w:right w:val="nil"/>
            </w:tcBorders>
          </w:tcPr>
          <w:p w14:paraId="30A2F801"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9.7</w:t>
            </w:r>
          </w:p>
        </w:tc>
        <w:tc>
          <w:tcPr>
            <w:tcW w:w="1228" w:type="dxa"/>
            <w:tcBorders>
              <w:top w:val="nil"/>
              <w:left w:val="nil"/>
              <w:bottom w:val="single" w:sz="4" w:space="0" w:color="auto"/>
              <w:right w:val="nil"/>
            </w:tcBorders>
          </w:tcPr>
          <w:p w14:paraId="77111C3F" w14:textId="77777777" w:rsidR="00671DEB" w:rsidRPr="00B631F3" w:rsidRDefault="00671DEB" w:rsidP="009F70DA">
            <w:pPr>
              <w:rPr>
                <w:rFonts w:ascii="Times New Roman" w:hAnsi="Times New Roman" w:cs="Times New Roman"/>
                <w:sz w:val="20"/>
                <w:szCs w:val="20"/>
              </w:rPr>
            </w:pPr>
            <w:r>
              <w:rPr>
                <w:rFonts w:ascii="Times New Roman" w:hAnsi="Times New Roman" w:cs="Times New Roman"/>
                <w:sz w:val="20"/>
                <w:szCs w:val="20"/>
              </w:rPr>
              <w:t>468.0</w:t>
            </w:r>
          </w:p>
        </w:tc>
        <w:tc>
          <w:tcPr>
            <w:tcW w:w="1133" w:type="dxa"/>
            <w:tcBorders>
              <w:top w:val="nil"/>
              <w:left w:val="nil"/>
              <w:bottom w:val="single" w:sz="4" w:space="0" w:color="auto"/>
              <w:right w:val="nil"/>
            </w:tcBorders>
          </w:tcPr>
          <w:p w14:paraId="66758D94"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22.</w:t>
            </w:r>
            <w:r>
              <w:rPr>
                <w:rFonts w:ascii="Times New Roman" w:hAnsi="Times New Roman" w:cs="Times New Roman"/>
                <w:sz w:val="20"/>
                <w:szCs w:val="20"/>
              </w:rPr>
              <w:t>3</w:t>
            </w:r>
          </w:p>
        </w:tc>
      </w:tr>
      <w:tr w:rsidR="002D20F9" w:rsidRPr="006A7A41" w14:paraId="4D6F27BD" w14:textId="77777777" w:rsidTr="009F70DA">
        <w:tc>
          <w:tcPr>
            <w:tcW w:w="1866" w:type="dxa"/>
            <w:tcBorders>
              <w:top w:val="single" w:sz="4" w:space="0" w:color="auto"/>
              <w:left w:val="nil"/>
              <w:bottom w:val="single" w:sz="4" w:space="0" w:color="auto"/>
              <w:right w:val="nil"/>
            </w:tcBorders>
            <w:hideMark/>
          </w:tcPr>
          <w:p w14:paraId="19603F91"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FY 201</w:t>
            </w:r>
            <w:r>
              <w:rPr>
                <w:rFonts w:ascii="Times New Roman" w:hAnsi="Times New Roman" w:cs="Times New Roman"/>
                <w:sz w:val="20"/>
                <w:szCs w:val="20"/>
              </w:rPr>
              <w:t>7</w:t>
            </w:r>
            <w:r w:rsidRPr="00B631F3">
              <w:rPr>
                <w:rFonts w:ascii="Times New Roman" w:hAnsi="Times New Roman" w:cs="Times New Roman"/>
                <w:sz w:val="20"/>
                <w:szCs w:val="20"/>
              </w:rPr>
              <w:t>/1</w:t>
            </w:r>
            <w:r>
              <w:rPr>
                <w:rFonts w:ascii="Times New Roman" w:hAnsi="Times New Roman" w:cs="Times New Roman"/>
                <w:sz w:val="20"/>
                <w:szCs w:val="20"/>
              </w:rPr>
              <w:t>8</w:t>
            </w:r>
          </w:p>
        </w:tc>
        <w:tc>
          <w:tcPr>
            <w:tcW w:w="1183" w:type="dxa"/>
            <w:tcBorders>
              <w:top w:val="single" w:sz="4" w:space="0" w:color="auto"/>
              <w:left w:val="nil"/>
              <w:bottom w:val="single" w:sz="4" w:space="0" w:color="auto"/>
              <w:right w:val="nil"/>
            </w:tcBorders>
            <w:hideMark/>
          </w:tcPr>
          <w:p w14:paraId="1C736B14" w14:textId="3C5AE452"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24</w:t>
            </w:r>
            <w:r>
              <w:rPr>
                <w:rFonts w:ascii="Times New Roman" w:hAnsi="Times New Roman" w:cs="Times New Roman"/>
                <w:sz w:val="20"/>
                <w:szCs w:val="20"/>
              </w:rPr>
              <w:t>7.7</w:t>
            </w:r>
          </w:p>
        </w:tc>
        <w:tc>
          <w:tcPr>
            <w:tcW w:w="1244" w:type="dxa"/>
            <w:tcBorders>
              <w:top w:val="single" w:sz="4" w:space="0" w:color="auto"/>
              <w:left w:val="nil"/>
              <w:bottom w:val="single" w:sz="4" w:space="0" w:color="auto"/>
              <w:right w:val="nil"/>
            </w:tcBorders>
            <w:hideMark/>
          </w:tcPr>
          <w:p w14:paraId="12DFAA19"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3.</w:t>
            </w:r>
            <w:r>
              <w:rPr>
                <w:rFonts w:ascii="Times New Roman" w:hAnsi="Times New Roman" w:cs="Times New Roman"/>
                <w:sz w:val="20"/>
                <w:szCs w:val="20"/>
              </w:rPr>
              <w:t>4</w:t>
            </w:r>
          </w:p>
        </w:tc>
        <w:tc>
          <w:tcPr>
            <w:tcW w:w="1148" w:type="dxa"/>
            <w:tcBorders>
              <w:top w:val="single" w:sz="4" w:space="0" w:color="auto"/>
              <w:left w:val="nil"/>
              <w:bottom w:val="single" w:sz="4" w:space="0" w:color="auto"/>
              <w:right w:val="nil"/>
            </w:tcBorders>
            <w:hideMark/>
          </w:tcPr>
          <w:p w14:paraId="298D2DAB"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9.7</w:t>
            </w:r>
          </w:p>
        </w:tc>
        <w:tc>
          <w:tcPr>
            <w:tcW w:w="1228" w:type="dxa"/>
            <w:tcBorders>
              <w:top w:val="single" w:sz="4" w:space="0" w:color="auto"/>
              <w:left w:val="nil"/>
              <w:bottom w:val="single" w:sz="4" w:space="0" w:color="auto"/>
              <w:right w:val="nil"/>
            </w:tcBorders>
            <w:hideMark/>
          </w:tcPr>
          <w:p w14:paraId="281DAF85" w14:textId="77777777" w:rsidR="002D20F9" w:rsidRPr="00B631F3" w:rsidRDefault="002D20F9" w:rsidP="009F70DA">
            <w:pPr>
              <w:rPr>
                <w:rFonts w:ascii="Times New Roman" w:hAnsi="Times New Roman" w:cs="Times New Roman"/>
                <w:sz w:val="20"/>
                <w:szCs w:val="20"/>
              </w:rPr>
            </w:pPr>
            <w:r>
              <w:rPr>
                <w:rFonts w:ascii="Times New Roman" w:hAnsi="Times New Roman" w:cs="Times New Roman"/>
                <w:sz w:val="20"/>
                <w:szCs w:val="20"/>
              </w:rPr>
              <w:t>468.0</w:t>
            </w:r>
          </w:p>
        </w:tc>
        <w:tc>
          <w:tcPr>
            <w:tcW w:w="1133" w:type="dxa"/>
            <w:tcBorders>
              <w:top w:val="single" w:sz="4" w:space="0" w:color="auto"/>
              <w:left w:val="nil"/>
              <w:bottom w:val="single" w:sz="4" w:space="0" w:color="auto"/>
              <w:right w:val="nil"/>
            </w:tcBorders>
            <w:hideMark/>
          </w:tcPr>
          <w:p w14:paraId="15E35637"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22.</w:t>
            </w:r>
            <w:r>
              <w:rPr>
                <w:rFonts w:ascii="Times New Roman" w:hAnsi="Times New Roman" w:cs="Times New Roman"/>
                <w:sz w:val="20"/>
                <w:szCs w:val="20"/>
              </w:rPr>
              <w:t>3</w:t>
            </w:r>
          </w:p>
        </w:tc>
      </w:tr>
      <w:tr w:rsidR="002D20F9" w:rsidRPr="006A7A41" w14:paraId="47E599EC" w14:textId="77777777" w:rsidTr="009F70DA">
        <w:tc>
          <w:tcPr>
            <w:tcW w:w="1866" w:type="dxa"/>
            <w:tcBorders>
              <w:top w:val="single" w:sz="4" w:space="0" w:color="auto"/>
              <w:left w:val="nil"/>
              <w:bottom w:val="single" w:sz="4" w:space="0" w:color="auto"/>
              <w:right w:val="nil"/>
            </w:tcBorders>
            <w:hideMark/>
          </w:tcPr>
          <w:p w14:paraId="3C545A7F"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FY 201</w:t>
            </w:r>
            <w:r>
              <w:rPr>
                <w:rFonts w:ascii="Times New Roman" w:hAnsi="Times New Roman" w:cs="Times New Roman"/>
                <w:sz w:val="20"/>
                <w:szCs w:val="20"/>
              </w:rPr>
              <w:t>8</w:t>
            </w:r>
            <w:r w:rsidRPr="00B631F3">
              <w:rPr>
                <w:rFonts w:ascii="Times New Roman" w:hAnsi="Times New Roman" w:cs="Times New Roman"/>
                <w:sz w:val="20"/>
                <w:szCs w:val="20"/>
              </w:rPr>
              <w:t>/1</w:t>
            </w:r>
            <w:r>
              <w:rPr>
                <w:rFonts w:ascii="Times New Roman" w:hAnsi="Times New Roman" w:cs="Times New Roman"/>
                <w:sz w:val="20"/>
                <w:szCs w:val="20"/>
              </w:rPr>
              <w:t>9</w:t>
            </w:r>
          </w:p>
        </w:tc>
        <w:tc>
          <w:tcPr>
            <w:tcW w:w="1183" w:type="dxa"/>
            <w:tcBorders>
              <w:top w:val="single" w:sz="4" w:space="0" w:color="auto"/>
              <w:left w:val="nil"/>
              <w:bottom w:val="single" w:sz="4" w:space="0" w:color="auto"/>
              <w:right w:val="nil"/>
            </w:tcBorders>
            <w:hideMark/>
          </w:tcPr>
          <w:p w14:paraId="0B209601" w14:textId="49FE3814"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24</w:t>
            </w:r>
            <w:r>
              <w:rPr>
                <w:rFonts w:ascii="Times New Roman" w:hAnsi="Times New Roman" w:cs="Times New Roman"/>
                <w:sz w:val="20"/>
                <w:szCs w:val="20"/>
              </w:rPr>
              <w:t>7.7</w:t>
            </w:r>
          </w:p>
        </w:tc>
        <w:tc>
          <w:tcPr>
            <w:tcW w:w="1244" w:type="dxa"/>
            <w:tcBorders>
              <w:top w:val="single" w:sz="4" w:space="0" w:color="auto"/>
              <w:left w:val="nil"/>
              <w:bottom w:val="single" w:sz="4" w:space="0" w:color="auto"/>
              <w:right w:val="nil"/>
            </w:tcBorders>
            <w:hideMark/>
          </w:tcPr>
          <w:p w14:paraId="7C274BFF"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3.</w:t>
            </w:r>
            <w:r>
              <w:rPr>
                <w:rFonts w:ascii="Times New Roman" w:hAnsi="Times New Roman" w:cs="Times New Roman"/>
                <w:sz w:val="20"/>
                <w:szCs w:val="20"/>
              </w:rPr>
              <w:t>4</w:t>
            </w:r>
          </w:p>
        </w:tc>
        <w:tc>
          <w:tcPr>
            <w:tcW w:w="1148" w:type="dxa"/>
            <w:tcBorders>
              <w:top w:val="single" w:sz="4" w:space="0" w:color="auto"/>
              <w:left w:val="nil"/>
              <w:bottom w:val="single" w:sz="4" w:space="0" w:color="auto"/>
              <w:right w:val="nil"/>
            </w:tcBorders>
            <w:hideMark/>
          </w:tcPr>
          <w:p w14:paraId="0A9B7937"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9.7</w:t>
            </w:r>
          </w:p>
        </w:tc>
        <w:tc>
          <w:tcPr>
            <w:tcW w:w="1228" w:type="dxa"/>
            <w:tcBorders>
              <w:top w:val="single" w:sz="4" w:space="0" w:color="auto"/>
              <w:left w:val="nil"/>
              <w:bottom w:val="single" w:sz="4" w:space="0" w:color="auto"/>
              <w:right w:val="nil"/>
            </w:tcBorders>
            <w:hideMark/>
          </w:tcPr>
          <w:p w14:paraId="0985E4F6" w14:textId="77777777" w:rsidR="002D20F9" w:rsidRPr="00B631F3" w:rsidRDefault="002D20F9" w:rsidP="009F70DA">
            <w:pPr>
              <w:rPr>
                <w:rFonts w:ascii="Times New Roman" w:hAnsi="Times New Roman" w:cs="Times New Roman"/>
                <w:sz w:val="20"/>
                <w:szCs w:val="20"/>
              </w:rPr>
            </w:pPr>
            <w:r>
              <w:rPr>
                <w:rFonts w:ascii="Times New Roman" w:hAnsi="Times New Roman" w:cs="Times New Roman"/>
                <w:sz w:val="20"/>
                <w:szCs w:val="20"/>
              </w:rPr>
              <w:t>468.0</w:t>
            </w:r>
          </w:p>
        </w:tc>
        <w:tc>
          <w:tcPr>
            <w:tcW w:w="1133" w:type="dxa"/>
            <w:tcBorders>
              <w:top w:val="single" w:sz="4" w:space="0" w:color="auto"/>
              <w:left w:val="nil"/>
              <w:bottom w:val="single" w:sz="4" w:space="0" w:color="auto"/>
              <w:right w:val="nil"/>
            </w:tcBorders>
            <w:hideMark/>
          </w:tcPr>
          <w:p w14:paraId="70AD6AC2" w14:textId="77777777" w:rsidR="002D20F9" w:rsidRPr="00B631F3" w:rsidRDefault="002D20F9" w:rsidP="009F70DA">
            <w:pPr>
              <w:rPr>
                <w:rFonts w:ascii="Times New Roman" w:hAnsi="Times New Roman" w:cs="Times New Roman"/>
                <w:sz w:val="20"/>
                <w:szCs w:val="20"/>
              </w:rPr>
            </w:pPr>
            <w:r w:rsidRPr="00B631F3">
              <w:rPr>
                <w:rFonts w:ascii="Times New Roman" w:hAnsi="Times New Roman" w:cs="Times New Roman"/>
                <w:sz w:val="20"/>
                <w:szCs w:val="20"/>
              </w:rPr>
              <w:t>22.</w:t>
            </w:r>
            <w:r>
              <w:rPr>
                <w:rFonts w:ascii="Times New Roman" w:hAnsi="Times New Roman" w:cs="Times New Roman"/>
                <w:sz w:val="20"/>
                <w:szCs w:val="20"/>
              </w:rPr>
              <w:t>3</w:t>
            </w:r>
          </w:p>
        </w:tc>
      </w:tr>
      <w:tr w:rsidR="00671DEB" w:rsidRPr="006A7A41" w14:paraId="4F051A73" w14:textId="77777777" w:rsidTr="009F70DA">
        <w:tc>
          <w:tcPr>
            <w:tcW w:w="1866" w:type="dxa"/>
            <w:tcBorders>
              <w:top w:val="single" w:sz="4" w:space="0" w:color="auto"/>
              <w:left w:val="nil"/>
              <w:bottom w:val="single" w:sz="4" w:space="0" w:color="auto"/>
              <w:right w:val="nil"/>
            </w:tcBorders>
            <w:hideMark/>
          </w:tcPr>
          <w:p w14:paraId="4E4EDFE8"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FY 201</w:t>
            </w:r>
            <w:r>
              <w:rPr>
                <w:rFonts w:ascii="Times New Roman" w:hAnsi="Times New Roman" w:cs="Times New Roman"/>
                <w:sz w:val="20"/>
                <w:szCs w:val="20"/>
              </w:rPr>
              <w:t>9</w:t>
            </w:r>
            <w:r w:rsidRPr="00B631F3">
              <w:rPr>
                <w:rFonts w:ascii="Times New Roman" w:hAnsi="Times New Roman" w:cs="Times New Roman"/>
                <w:sz w:val="20"/>
                <w:szCs w:val="20"/>
              </w:rPr>
              <w:t>/</w:t>
            </w:r>
            <w:r>
              <w:rPr>
                <w:rFonts w:ascii="Times New Roman" w:hAnsi="Times New Roman" w:cs="Times New Roman"/>
                <w:sz w:val="20"/>
                <w:szCs w:val="20"/>
              </w:rPr>
              <w:t>20</w:t>
            </w:r>
          </w:p>
        </w:tc>
        <w:tc>
          <w:tcPr>
            <w:tcW w:w="1183" w:type="dxa"/>
            <w:tcBorders>
              <w:top w:val="single" w:sz="4" w:space="0" w:color="auto"/>
              <w:left w:val="nil"/>
              <w:bottom w:val="single" w:sz="4" w:space="0" w:color="auto"/>
              <w:right w:val="nil"/>
            </w:tcBorders>
            <w:hideMark/>
          </w:tcPr>
          <w:p w14:paraId="42F093B5" w14:textId="4D770ACE" w:rsidR="00671DEB" w:rsidRPr="00B631F3" w:rsidRDefault="00671DEB" w:rsidP="002D20F9">
            <w:pPr>
              <w:rPr>
                <w:rFonts w:ascii="Times New Roman" w:hAnsi="Times New Roman" w:cs="Times New Roman"/>
                <w:sz w:val="20"/>
                <w:szCs w:val="20"/>
              </w:rPr>
            </w:pPr>
            <w:r w:rsidRPr="00B631F3">
              <w:rPr>
                <w:rFonts w:ascii="Times New Roman" w:hAnsi="Times New Roman" w:cs="Times New Roman"/>
                <w:sz w:val="20"/>
                <w:szCs w:val="20"/>
              </w:rPr>
              <w:t>214.</w:t>
            </w:r>
            <w:r w:rsidR="002D20F9">
              <w:rPr>
                <w:rFonts w:ascii="Times New Roman" w:hAnsi="Times New Roman" w:cs="Times New Roman"/>
                <w:sz w:val="20"/>
                <w:szCs w:val="20"/>
              </w:rPr>
              <w:t>3</w:t>
            </w:r>
          </w:p>
        </w:tc>
        <w:tc>
          <w:tcPr>
            <w:tcW w:w="1244" w:type="dxa"/>
            <w:tcBorders>
              <w:top w:val="single" w:sz="4" w:space="0" w:color="auto"/>
              <w:left w:val="nil"/>
              <w:bottom w:val="single" w:sz="4" w:space="0" w:color="auto"/>
              <w:right w:val="nil"/>
            </w:tcBorders>
            <w:hideMark/>
          </w:tcPr>
          <w:p w14:paraId="225F6B16"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3.</w:t>
            </w:r>
            <w:r>
              <w:rPr>
                <w:rFonts w:ascii="Times New Roman" w:hAnsi="Times New Roman" w:cs="Times New Roman"/>
                <w:sz w:val="20"/>
                <w:szCs w:val="20"/>
              </w:rPr>
              <w:t>4</w:t>
            </w:r>
          </w:p>
        </w:tc>
        <w:tc>
          <w:tcPr>
            <w:tcW w:w="1148" w:type="dxa"/>
            <w:tcBorders>
              <w:top w:val="single" w:sz="4" w:space="0" w:color="auto"/>
              <w:left w:val="nil"/>
              <w:bottom w:val="single" w:sz="4" w:space="0" w:color="auto"/>
              <w:right w:val="nil"/>
            </w:tcBorders>
            <w:hideMark/>
          </w:tcPr>
          <w:p w14:paraId="419BE6C9"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9.7</w:t>
            </w:r>
          </w:p>
        </w:tc>
        <w:tc>
          <w:tcPr>
            <w:tcW w:w="1228" w:type="dxa"/>
            <w:tcBorders>
              <w:top w:val="single" w:sz="4" w:space="0" w:color="auto"/>
              <w:left w:val="nil"/>
              <w:bottom w:val="single" w:sz="4" w:space="0" w:color="auto"/>
              <w:right w:val="nil"/>
            </w:tcBorders>
            <w:hideMark/>
          </w:tcPr>
          <w:p w14:paraId="14F184EA" w14:textId="23034715" w:rsidR="00671DEB" w:rsidRPr="00B631F3" w:rsidRDefault="00671DEB" w:rsidP="002D20F9">
            <w:pPr>
              <w:rPr>
                <w:rFonts w:ascii="Times New Roman" w:hAnsi="Times New Roman" w:cs="Times New Roman"/>
                <w:sz w:val="20"/>
                <w:szCs w:val="20"/>
              </w:rPr>
            </w:pPr>
            <w:r w:rsidRPr="00B631F3">
              <w:rPr>
                <w:rFonts w:ascii="Times New Roman" w:hAnsi="Times New Roman" w:cs="Times New Roman"/>
                <w:sz w:val="20"/>
                <w:szCs w:val="20"/>
              </w:rPr>
              <w:t>41</w:t>
            </w:r>
            <w:r w:rsidR="002D20F9">
              <w:rPr>
                <w:rFonts w:ascii="Times New Roman" w:hAnsi="Times New Roman" w:cs="Times New Roman"/>
                <w:sz w:val="20"/>
                <w:szCs w:val="20"/>
              </w:rPr>
              <w:t>2</w:t>
            </w:r>
            <w:r w:rsidRPr="00B631F3">
              <w:rPr>
                <w:rFonts w:ascii="Times New Roman" w:hAnsi="Times New Roman" w:cs="Times New Roman"/>
                <w:sz w:val="20"/>
                <w:szCs w:val="20"/>
              </w:rPr>
              <w:t>.</w:t>
            </w:r>
            <w:r>
              <w:rPr>
                <w:rFonts w:ascii="Times New Roman" w:hAnsi="Times New Roman" w:cs="Times New Roman"/>
                <w:sz w:val="20"/>
                <w:szCs w:val="20"/>
              </w:rPr>
              <w:t>8</w:t>
            </w:r>
          </w:p>
        </w:tc>
        <w:tc>
          <w:tcPr>
            <w:tcW w:w="1133" w:type="dxa"/>
            <w:tcBorders>
              <w:top w:val="single" w:sz="4" w:space="0" w:color="auto"/>
              <w:left w:val="nil"/>
              <w:bottom w:val="single" w:sz="4" w:space="0" w:color="auto"/>
              <w:right w:val="nil"/>
            </w:tcBorders>
            <w:hideMark/>
          </w:tcPr>
          <w:p w14:paraId="1084BAF6" w14:textId="77777777" w:rsidR="00671DEB" w:rsidRPr="00B631F3" w:rsidRDefault="00671DEB" w:rsidP="009F70DA">
            <w:pPr>
              <w:rPr>
                <w:rFonts w:ascii="Times New Roman" w:hAnsi="Times New Roman" w:cs="Times New Roman"/>
                <w:sz w:val="20"/>
                <w:szCs w:val="20"/>
              </w:rPr>
            </w:pPr>
            <w:r w:rsidRPr="00B631F3">
              <w:rPr>
                <w:rFonts w:ascii="Times New Roman" w:hAnsi="Times New Roman" w:cs="Times New Roman"/>
                <w:sz w:val="20"/>
                <w:szCs w:val="20"/>
              </w:rPr>
              <w:t>22.</w:t>
            </w:r>
            <w:r>
              <w:rPr>
                <w:rFonts w:ascii="Times New Roman" w:hAnsi="Times New Roman" w:cs="Times New Roman"/>
                <w:sz w:val="20"/>
                <w:szCs w:val="20"/>
              </w:rPr>
              <w:t>3</w:t>
            </w:r>
          </w:p>
        </w:tc>
      </w:tr>
    </w:tbl>
    <w:p w14:paraId="68211F83" w14:textId="77777777" w:rsidR="002D20F9" w:rsidRDefault="002D20F9" w:rsidP="00671DEB">
      <w:pPr>
        <w:spacing w:before="120" w:after="120"/>
        <w:ind w:left="810"/>
        <w:rPr>
          <w:rFonts w:ascii="Times New Roman" w:hAnsi="Times New Roman" w:cs="Times New Roman"/>
          <w:b/>
          <w:sz w:val="20"/>
          <w:szCs w:val="20"/>
        </w:rPr>
      </w:pPr>
      <w:bookmarkStart w:id="105" w:name="_Ref443907906"/>
      <w:bookmarkEnd w:id="103"/>
      <w:bookmarkEnd w:id="104"/>
    </w:p>
    <w:p w14:paraId="23F00CB7" w14:textId="77777777" w:rsidR="00671DEB" w:rsidRDefault="00671DEB" w:rsidP="00671DEB">
      <w:pPr>
        <w:spacing w:before="120" w:after="120"/>
        <w:ind w:left="2880"/>
        <w:rPr>
          <w:rFonts w:ascii="Times New Roman" w:hAnsi="Times New Roman" w:cs="Times New Roman"/>
          <w:i/>
          <w:sz w:val="20"/>
          <w:szCs w:val="20"/>
        </w:rPr>
      </w:pPr>
      <w:r>
        <w:rPr>
          <w:rFonts w:ascii="Times New Roman" w:hAnsi="Times New Roman" w:cs="Times New Roman"/>
          <w:i/>
          <w:sz w:val="20"/>
          <w:szCs w:val="20"/>
        </w:rPr>
        <w:t xml:space="preserve">Note: See the definition of “relevant financial year” in clause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REF _Ref457392910 \n \h </w:instrText>
      </w:r>
      <w:r>
        <w:rPr>
          <w:rFonts w:ascii="Times New Roman" w:hAnsi="Times New Roman" w:cs="Times New Roman"/>
          <w:i/>
          <w:sz w:val="20"/>
          <w:szCs w:val="20"/>
        </w:rPr>
      </w:r>
      <w:r>
        <w:rPr>
          <w:rFonts w:ascii="Times New Roman" w:hAnsi="Times New Roman" w:cs="Times New Roman"/>
          <w:i/>
          <w:sz w:val="20"/>
          <w:szCs w:val="20"/>
        </w:rPr>
        <w:fldChar w:fldCharType="separate"/>
      </w:r>
      <w:r w:rsidR="00167D0B">
        <w:rPr>
          <w:rFonts w:ascii="Times New Roman" w:hAnsi="Times New Roman" w:cs="Times New Roman"/>
          <w:i/>
          <w:sz w:val="20"/>
          <w:szCs w:val="20"/>
        </w:rPr>
        <w:t>4</w:t>
      </w:r>
      <w:r>
        <w:rPr>
          <w:rFonts w:ascii="Times New Roman" w:hAnsi="Times New Roman" w:cs="Times New Roman"/>
          <w:i/>
          <w:sz w:val="20"/>
          <w:szCs w:val="20"/>
        </w:rPr>
        <w:fldChar w:fldCharType="end"/>
      </w:r>
      <w:r>
        <w:rPr>
          <w:rFonts w:ascii="Times New Roman" w:hAnsi="Times New Roman" w:cs="Times New Roman"/>
          <w:i/>
          <w:sz w:val="20"/>
          <w:szCs w:val="20"/>
        </w:rPr>
        <w:t xml:space="preserve">. By reason of that definition, the revenue adjustment for a regulatory year is made on the basis of the IRU target for the relevant financial year, which ends 18 months prior to the commencement of the regulatory year. </w:t>
      </w:r>
    </w:p>
    <w:p w14:paraId="4B24931C" w14:textId="77777777" w:rsidR="00671DEB" w:rsidRPr="00A74F63" w:rsidRDefault="00671DEB" w:rsidP="00671DEB">
      <w:pPr>
        <w:spacing w:before="120" w:after="120"/>
        <w:ind w:left="2880"/>
        <w:rPr>
          <w:rFonts w:ascii="Times New Roman" w:hAnsi="Times New Roman" w:cs="Times New Roman"/>
          <w:i/>
          <w:sz w:val="20"/>
          <w:szCs w:val="20"/>
        </w:rPr>
      </w:pPr>
      <w:r>
        <w:rPr>
          <w:rFonts w:ascii="Times New Roman" w:hAnsi="Times New Roman" w:cs="Times New Roman"/>
          <w:i/>
          <w:sz w:val="20"/>
          <w:szCs w:val="20"/>
        </w:rPr>
        <w:t xml:space="preserve">Therefore, the IRU target for FY2016/17 is used to calculate the revenue adjustment for 2019, the IRU target for FY2017/18 is used to calculate the revenue adjustment for 2020, and so on.  </w:t>
      </w:r>
    </w:p>
    <w:p w14:paraId="552C6FB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106" w:name="_Ref457398719"/>
      <w:r w:rsidRPr="006A7A41">
        <w:rPr>
          <w:rFonts w:ascii="Times New Roman" w:hAnsi="Times New Roman" w:cs="Times New Roman"/>
          <w:sz w:val="20"/>
          <w:szCs w:val="20"/>
        </w:rPr>
        <w:t>The IRU targets for relevant financial years after</w:t>
      </w:r>
      <w:r>
        <w:rPr>
          <w:rFonts w:ascii="Times New Roman" w:hAnsi="Times New Roman" w:cs="Times New Roman"/>
          <w:sz w:val="20"/>
          <w:szCs w:val="20"/>
        </w:rPr>
        <w:t xml:space="preserve"> the 2019/20 financial year may be published by the Minister by notice in the Victoria Government Gazette.</w:t>
      </w:r>
      <w:bookmarkEnd w:id="106"/>
    </w:p>
    <w:p w14:paraId="24C69174"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If the Minister does not publish the IRU target </w:t>
      </w:r>
      <w:r w:rsidRPr="006A7A41">
        <w:rPr>
          <w:rFonts w:ascii="Times New Roman" w:hAnsi="Times New Roman" w:cs="Times New Roman"/>
          <w:sz w:val="20"/>
          <w:szCs w:val="20"/>
        </w:rPr>
        <w:t xml:space="preserve">for </w:t>
      </w:r>
      <w:r>
        <w:rPr>
          <w:rFonts w:ascii="Times New Roman" w:hAnsi="Times New Roman" w:cs="Times New Roman"/>
          <w:sz w:val="20"/>
          <w:szCs w:val="20"/>
        </w:rPr>
        <w:t>a relevant financial year</w:t>
      </w:r>
      <w:r w:rsidRPr="006A7A41">
        <w:rPr>
          <w:rFonts w:ascii="Times New Roman" w:hAnsi="Times New Roman" w:cs="Times New Roman"/>
          <w:sz w:val="20"/>
          <w:szCs w:val="20"/>
        </w:rPr>
        <w:t xml:space="preserve"> </w:t>
      </w:r>
      <w:r>
        <w:rPr>
          <w:rFonts w:ascii="Times New Roman" w:hAnsi="Times New Roman" w:cs="Times New Roman"/>
          <w:sz w:val="20"/>
          <w:szCs w:val="20"/>
        </w:rPr>
        <w:t xml:space="preserve">under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_Ref457398719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the IRU target for that financial year is the same as the IRU target for the 2019/20 financial year as specified in the table in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_Ref457398829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p>
    <w:p w14:paraId="70C6DE0A" w14:textId="77777777" w:rsidR="00671DEB" w:rsidRDefault="00671DEB" w:rsidP="00671DEB">
      <w:pPr>
        <w:spacing w:before="120" w:after="120"/>
        <w:rPr>
          <w:rFonts w:ascii="Times New Roman" w:hAnsi="Times New Roman" w:cs="Times New Roman"/>
          <w:b/>
          <w:sz w:val="20"/>
          <w:szCs w:val="20"/>
        </w:rPr>
      </w:pPr>
    </w:p>
    <w:p w14:paraId="184109BD"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107" w:name="_Ref457378114"/>
      <w:r>
        <w:rPr>
          <w:rFonts w:ascii="Times New Roman" w:hAnsi="Times New Roman" w:cs="Times New Roman"/>
          <w:b/>
          <w:sz w:val="20"/>
          <w:szCs w:val="20"/>
        </w:rPr>
        <w:t>IRU amount</w:t>
      </w:r>
      <w:bookmarkEnd w:id="105"/>
      <w:bookmarkEnd w:id="107"/>
      <w:r>
        <w:rPr>
          <w:rFonts w:ascii="Times New Roman" w:hAnsi="Times New Roman" w:cs="Times New Roman"/>
          <w:b/>
          <w:sz w:val="20"/>
          <w:szCs w:val="20"/>
        </w:rPr>
        <w:t xml:space="preserve"> </w:t>
      </w:r>
    </w:p>
    <w:p w14:paraId="121F64EA"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Subject to subclauses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_Ref457377764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_Ref457387200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(5)</w:t>
      </w:r>
      <w:r>
        <w:rPr>
          <w:rFonts w:ascii="Times New Roman" w:hAnsi="Times New Roman" w:cs="Times New Roman"/>
          <w:sz w:val="20"/>
          <w:szCs w:val="20"/>
        </w:rPr>
        <w:fldChar w:fldCharType="end"/>
      </w:r>
      <w:r>
        <w:rPr>
          <w:rFonts w:ascii="Times New Roman" w:hAnsi="Times New Roman" w:cs="Times New Roman"/>
          <w:sz w:val="20"/>
          <w:szCs w:val="20"/>
        </w:rPr>
        <w:t xml:space="preserve">, the AER must calculate the IRU amount accrued by the relevant Distribution Network Service Provider in the relevant financial year in the relevant distribution system in accordance with the following formula – </w:t>
      </w:r>
    </w:p>
    <w:p w14:paraId="596F22E6" w14:textId="77777777" w:rsidR="00671DEB" w:rsidRDefault="00671DEB" w:rsidP="00671DEB">
      <w:pPr>
        <w:spacing w:before="120" w:after="120"/>
        <w:rPr>
          <w:rFonts w:ascii="Times New Roman" w:hAnsi="Times New Roman" w:cs="Times New Roman"/>
          <w:i/>
          <w:sz w:val="20"/>
          <w:szCs w:val="20"/>
        </w:rPr>
      </w:pPr>
    </w:p>
    <w:p w14:paraId="179AACBF" w14:textId="77777777" w:rsidR="00671DEB" w:rsidRDefault="00671DEB" w:rsidP="00671DEB">
      <w:pPr>
        <w:spacing w:before="120" w:after="120"/>
        <w:rPr>
          <w:rFonts w:ascii="Times New Roman" w:hAnsi="Times New Roman" w:cs="Times New Roman"/>
          <w:i/>
          <w:sz w:val="20"/>
          <w:szCs w:val="20"/>
        </w:rPr>
      </w:pPr>
      <m:oMathPara>
        <m:oMath>
          <m:r>
            <m:rPr>
              <m:sty m:val="bi"/>
            </m:rPr>
            <w:rPr>
              <w:rFonts w:ascii="Cambria Math" w:hAnsi="Cambria Math" w:cs="Times New Roman"/>
              <w:sz w:val="20"/>
              <w:szCs w:val="20"/>
            </w:rPr>
            <w:lastRenderedPageBreak/>
            <m:t>IRU amount</m:t>
          </m:r>
          <m:r>
            <w:rPr>
              <w:rFonts w:ascii="Cambria Math" w:hAnsi="Cambria Math" w:cs="Times New Roman"/>
              <w:sz w:val="20"/>
              <w:szCs w:val="20"/>
            </w:rPr>
            <m:t xml:space="preserve">= </m:t>
          </m:r>
          <m:nary>
            <m:naryPr>
              <m:chr m:val="∑"/>
              <m:limLoc m:val="undOvr"/>
              <m:ctrlPr>
                <w:rPr>
                  <w:rFonts w:ascii="Cambria Math" w:hAnsi="Cambria Math" w:cs="Times New Roman"/>
                  <w:i/>
                </w:rPr>
              </m:ctrlPr>
            </m:naryPr>
            <m:sub>
              <m:r>
                <w:rPr>
                  <w:rFonts w:ascii="Cambria Math" w:hAnsi="Cambria Math" w:cs="Times New Roman"/>
                  <w:sz w:val="20"/>
                  <w:szCs w:val="20"/>
                </w:rPr>
                <m:t xml:space="preserve">f=1 </m:t>
              </m:r>
            </m:sub>
            <m:sup>
              <m:r>
                <w:rPr>
                  <w:rFonts w:ascii="Cambria Math" w:hAnsi="Cambria Math" w:cs="Times New Roman"/>
                  <w:sz w:val="20"/>
                  <w:szCs w:val="20"/>
                </w:rPr>
                <m:t>n</m:t>
              </m:r>
            </m:sup>
            <m:e>
              <m:sSub>
                <m:sSubPr>
                  <m:ctrlPr>
                    <w:rPr>
                      <w:rFonts w:ascii="Cambria Math" w:hAnsi="Cambria Math" w:cs="Times New Roman"/>
                      <w:b/>
                      <w:i/>
                    </w:rPr>
                  </m:ctrlPr>
                </m:sSubPr>
                <m:e>
                  <m:r>
                    <m:rPr>
                      <m:sty m:val="bi"/>
                    </m:rPr>
                    <w:rPr>
                      <w:rFonts w:ascii="Cambria Math" w:hAnsi="Cambria Math" w:cs="Times New Roman"/>
                      <w:sz w:val="20"/>
                      <w:szCs w:val="20"/>
                    </w:rPr>
                    <m:t>danger multiplier</m:t>
                  </m:r>
                </m:e>
                <m:sub>
                  <m:r>
                    <m:rPr>
                      <m:sty m:val="bi"/>
                    </m:rPr>
                    <w:rPr>
                      <w:rFonts w:ascii="Cambria Math" w:hAnsi="Cambria Math" w:cs="Times New Roman"/>
                      <w:sz w:val="20"/>
                      <w:szCs w:val="20"/>
                    </w:rPr>
                    <m:t>f</m:t>
                  </m:r>
                </m:sub>
              </m:sSub>
              <m:r>
                <m:rPr>
                  <m:sty m:val="bi"/>
                </m:rPr>
                <w:rPr>
                  <w:rFonts w:ascii="Cambria Math" w:hAnsi="Cambria Math" w:cs="Times New Roman"/>
                  <w:sz w:val="20"/>
                  <w:szCs w:val="20"/>
                </w:rPr>
                <m:t xml:space="preserve"> </m:t>
              </m:r>
            </m:e>
          </m:nary>
          <m:r>
            <w:rPr>
              <w:rFonts w:ascii="Cambria Math" w:hAnsi="Cambria Math" w:cs="Times New Roman"/>
              <w:sz w:val="20"/>
              <w:szCs w:val="20"/>
            </w:rPr>
            <m:t>×</m:t>
          </m:r>
          <m:sSub>
            <m:sSubPr>
              <m:ctrlPr>
                <w:rPr>
                  <w:rFonts w:ascii="Cambria Math" w:hAnsi="Cambria Math" w:cs="Times New Roman"/>
                  <w:b/>
                  <w:i/>
                </w:rPr>
              </m:ctrlPr>
            </m:sSubPr>
            <m:e>
              <m:r>
                <m:rPr>
                  <m:sty m:val="bi"/>
                </m:rPr>
                <w:rPr>
                  <w:rFonts w:ascii="Cambria Math" w:hAnsi="Cambria Math" w:cs="Times New Roman"/>
                  <w:sz w:val="20"/>
                  <w:szCs w:val="20"/>
                </w:rPr>
                <m:t>locatio</m:t>
              </m:r>
              <m:r>
                <m:rPr>
                  <m:sty m:val="bi"/>
                </m:rPr>
                <w:rPr>
                  <w:rFonts w:ascii="Cambria Math" w:hAnsi="Cambria Math" w:cs="Times New Roman"/>
                  <w:sz w:val="20"/>
                  <w:szCs w:val="20"/>
                </w:rPr>
                <m:t>n multiplier</m:t>
              </m:r>
            </m:e>
            <m:sub>
              <m:r>
                <m:rPr>
                  <m:sty m:val="bi"/>
                </m:rPr>
                <w:rPr>
                  <w:rFonts w:ascii="Cambria Math" w:hAnsi="Cambria Math" w:cs="Times New Roman"/>
                  <w:sz w:val="20"/>
                  <w:szCs w:val="20"/>
                </w:rPr>
                <m:t>f</m:t>
              </m:r>
            </m:sub>
          </m:sSub>
          <m:r>
            <w:rPr>
              <w:rFonts w:ascii="Cambria Math" w:hAnsi="Cambria Math" w:cs="Times New Roman"/>
              <w:sz w:val="20"/>
              <w:szCs w:val="20"/>
            </w:rPr>
            <m:t xml:space="preserve"> </m:t>
          </m:r>
        </m:oMath>
      </m:oMathPara>
    </w:p>
    <w:p w14:paraId="23E1D10A" w14:textId="77777777" w:rsidR="00671DEB" w:rsidRDefault="00671DEB" w:rsidP="00671DEB">
      <w:pPr>
        <w:spacing w:before="120" w:after="120"/>
        <w:rPr>
          <w:rFonts w:ascii="Times New Roman" w:hAnsi="Times New Roman" w:cs="Times New Roman"/>
          <w:sz w:val="20"/>
          <w:szCs w:val="20"/>
        </w:rPr>
      </w:pPr>
      <w:r>
        <w:rPr>
          <w:rFonts w:ascii="Times New Roman" w:hAnsi="Times New Roman" w:cs="Times New Roman"/>
          <w:i/>
          <w:sz w:val="20"/>
          <w:szCs w:val="20"/>
        </w:rPr>
        <w:tab/>
      </w:r>
    </w:p>
    <w:p w14:paraId="291D2235"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t xml:space="preserve">where </w:t>
      </w:r>
      <w:r>
        <w:rPr>
          <w:rFonts w:ascii="Times New Roman" w:hAnsi="Times New Roman" w:cs="Times New Roman"/>
          <w:i/>
          <w:sz w:val="20"/>
          <w:szCs w:val="20"/>
        </w:rPr>
        <w:t>n</w:t>
      </w:r>
      <w:r>
        <w:rPr>
          <w:rFonts w:ascii="Times New Roman" w:hAnsi="Times New Roman" w:cs="Times New Roman"/>
          <w:sz w:val="20"/>
          <w:szCs w:val="20"/>
        </w:rPr>
        <w:t xml:space="preserve"> is the total number of fire starts determined under clause </w:t>
      </w:r>
      <w:r>
        <w:rPr>
          <w:rFonts w:ascii="Times New Roman" w:hAnsi="Times New Roman" w:cs="Times New Roman"/>
          <w:sz w:val="20"/>
          <w:szCs w:val="20"/>
          <w:highlight w:val="yellow"/>
        </w:rPr>
        <w:fldChar w:fldCharType="begin"/>
      </w:r>
      <w:r>
        <w:rPr>
          <w:rFonts w:ascii="Times New Roman" w:hAnsi="Times New Roman" w:cs="Times New Roman"/>
          <w:sz w:val="20"/>
          <w:szCs w:val="20"/>
        </w:rPr>
        <w:instrText xml:space="preserve"> REF _Ref443905587 \r \h </w:instrText>
      </w:r>
      <w:r>
        <w:rPr>
          <w:rFonts w:ascii="Times New Roman" w:hAnsi="Times New Roman" w:cs="Times New Roman"/>
          <w:sz w:val="20"/>
          <w:szCs w:val="20"/>
          <w:highlight w:val="yellow"/>
        </w:rPr>
      </w:r>
      <w:r>
        <w:rPr>
          <w:rFonts w:ascii="Times New Roman" w:hAnsi="Times New Roman" w:cs="Times New Roman"/>
          <w:sz w:val="20"/>
          <w:szCs w:val="20"/>
          <w:highlight w:val="yellow"/>
        </w:rPr>
        <w:fldChar w:fldCharType="separate"/>
      </w:r>
      <w:r w:rsidR="00167D0B">
        <w:rPr>
          <w:rFonts w:ascii="Times New Roman" w:hAnsi="Times New Roman" w:cs="Times New Roman"/>
          <w:sz w:val="20"/>
          <w:szCs w:val="20"/>
        </w:rPr>
        <w:t>12</w:t>
      </w:r>
      <w:r>
        <w:rPr>
          <w:rFonts w:ascii="Times New Roman" w:hAnsi="Times New Roman" w:cs="Times New Roman"/>
          <w:sz w:val="20"/>
          <w:szCs w:val="20"/>
          <w:highlight w:val="yellow"/>
        </w:rPr>
        <w:fldChar w:fldCharType="end"/>
      </w:r>
      <w:r>
        <w:rPr>
          <w:rFonts w:ascii="Times New Roman" w:hAnsi="Times New Roman" w:cs="Times New Roman"/>
          <w:sz w:val="20"/>
          <w:szCs w:val="20"/>
        </w:rPr>
        <w:t xml:space="preserve"> to have occurred in the relevant distribution system during the relevant financial year and – </w:t>
      </w:r>
    </w:p>
    <w:p w14:paraId="5DB62039" w14:textId="77777777" w:rsidR="00671DEB" w:rsidRDefault="00671DEB" w:rsidP="00671DEB">
      <w:pPr>
        <w:pStyle w:val="ListParagraph"/>
        <w:spacing w:before="120" w:after="120"/>
        <w:ind w:left="1440"/>
        <w:rPr>
          <w:rFonts w:ascii="Times New Roman" w:hAnsi="Times New Roman" w:cs="Times New Roman"/>
          <w:sz w:val="20"/>
          <w:szCs w:val="20"/>
        </w:rPr>
      </w:pPr>
    </w:p>
    <w:p w14:paraId="2EFF03CC"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t xml:space="preserve">where </w:t>
      </w:r>
      <w:r>
        <w:rPr>
          <w:rFonts w:ascii="Times New Roman" w:hAnsi="Times New Roman" w:cs="Times New Roman"/>
          <w:i/>
          <w:sz w:val="20"/>
          <w:szCs w:val="20"/>
        </w:rPr>
        <w:t xml:space="preserve">f </w:t>
      </w:r>
      <w:r>
        <w:rPr>
          <w:rFonts w:ascii="Times New Roman" w:hAnsi="Times New Roman" w:cs="Times New Roman"/>
          <w:sz w:val="20"/>
          <w:szCs w:val="20"/>
        </w:rPr>
        <w:t>represents each individual fire start that occurred in the relevant distribution system during the relevant financial year and –</w:t>
      </w:r>
      <w:r>
        <w:rPr>
          <w:rFonts w:ascii="Times New Roman" w:hAnsi="Times New Roman" w:cs="Times New Roman"/>
          <w:i/>
          <w:sz w:val="20"/>
          <w:szCs w:val="20"/>
        </w:rPr>
        <w:t xml:space="preserve"> </w:t>
      </w:r>
      <w:r>
        <w:rPr>
          <w:rFonts w:ascii="Times New Roman" w:hAnsi="Times New Roman" w:cs="Times New Roman"/>
          <w:sz w:val="20"/>
          <w:szCs w:val="20"/>
        </w:rPr>
        <w:br/>
      </w:r>
    </w:p>
    <w:p w14:paraId="084181D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b/>
          <w:i/>
          <w:sz w:val="20"/>
          <w:szCs w:val="20"/>
        </w:rPr>
        <w:t xml:space="preserve">danger multiplier </w:t>
      </w:r>
      <w:r>
        <w:rPr>
          <w:rFonts w:ascii="Times New Roman" w:hAnsi="Times New Roman" w:cs="Times New Roman"/>
          <w:sz w:val="20"/>
          <w:szCs w:val="20"/>
        </w:rPr>
        <w:t xml:space="preserve">is, for fire start </w:t>
      </w:r>
      <w:r>
        <w:rPr>
          <w:rFonts w:ascii="Times New Roman" w:hAnsi="Times New Roman" w:cs="Times New Roman"/>
          <w:i/>
          <w:sz w:val="20"/>
          <w:szCs w:val="20"/>
        </w:rPr>
        <w:t>f</w:t>
      </w:r>
      <w:r>
        <w:rPr>
          <w:rFonts w:ascii="Times New Roman" w:hAnsi="Times New Roman" w:cs="Times New Roman"/>
          <w:sz w:val="20"/>
          <w:szCs w:val="20"/>
        </w:rPr>
        <w:t xml:space="preserve"> – </w:t>
      </w:r>
    </w:p>
    <w:p w14:paraId="541E57E3"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bookmarkStart w:id="108" w:name="_Ref457469889"/>
      <w:r>
        <w:rPr>
          <w:rFonts w:ascii="Times New Roman" w:hAnsi="Times New Roman" w:cs="Times New Roman"/>
          <w:sz w:val="20"/>
          <w:szCs w:val="20"/>
        </w:rPr>
        <w:t>0.1 where no fire danger rating is forecast at the time the fire started;</w:t>
      </w:r>
      <w:bookmarkEnd w:id="108"/>
    </w:p>
    <w:p w14:paraId="2B1E904F"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0.2 where the fire danger rating is low-moderate at the time the fire started;</w:t>
      </w:r>
    </w:p>
    <w:p w14:paraId="4E92EF4E"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0.5 where the fire danger rating is high at the time the fire started;</w:t>
      </w:r>
    </w:p>
    <w:p w14:paraId="75F35D8C"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1 where the fire danger rating is very high at the time the fire started;</w:t>
      </w:r>
    </w:p>
    <w:p w14:paraId="1458B860"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2 where the fire danger rating is severe at the time the fire started;</w:t>
      </w:r>
    </w:p>
    <w:p w14:paraId="2AA5FFBC"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3.5 where the fire danger rating is extreme at the time the fire started; or</w:t>
      </w:r>
    </w:p>
    <w:p w14:paraId="3D50A65D"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5 where the fire danger rating is Code Red at the time the fire started.</w:t>
      </w:r>
      <w:r>
        <w:rPr>
          <w:rFonts w:ascii="Times New Roman" w:hAnsi="Times New Roman" w:cs="Times New Roman"/>
          <w:sz w:val="20"/>
          <w:szCs w:val="20"/>
        </w:rPr>
        <w:br/>
      </w:r>
    </w:p>
    <w:p w14:paraId="5A0B1A2C"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09" w:name="_Ref449431728"/>
      <w:r>
        <w:rPr>
          <w:rFonts w:ascii="Times New Roman" w:hAnsi="Times New Roman" w:cs="Times New Roman"/>
          <w:b/>
          <w:i/>
          <w:sz w:val="20"/>
          <w:szCs w:val="20"/>
        </w:rPr>
        <w:t xml:space="preserve">location multiplier </w:t>
      </w:r>
      <w:r>
        <w:rPr>
          <w:rFonts w:ascii="Times New Roman" w:hAnsi="Times New Roman" w:cs="Times New Roman"/>
          <w:sz w:val="20"/>
          <w:szCs w:val="20"/>
        </w:rPr>
        <w:t xml:space="preserve">is, for fire start </w:t>
      </w:r>
      <w:r>
        <w:rPr>
          <w:rFonts w:ascii="Times New Roman" w:hAnsi="Times New Roman" w:cs="Times New Roman"/>
          <w:i/>
          <w:sz w:val="20"/>
          <w:szCs w:val="20"/>
        </w:rPr>
        <w:t>f</w:t>
      </w:r>
      <w:r>
        <w:rPr>
          <w:rFonts w:ascii="Times New Roman" w:hAnsi="Times New Roman" w:cs="Times New Roman"/>
          <w:sz w:val="20"/>
          <w:szCs w:val="20"/>
        </w:rPr>
        <w:t xml:space="preserve"> –</w:t>
      </w:r>
      <w:bookmarkEnd w:id="109"/>
    </w:p>
    <w:p w14:paraId="76F7E266"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0.2 where the fire start occurred in an area that is not a hazardous bushfire risk area; or</w:t>
      </w:r>
    </w:p>
    <w:p w14:paraId="1EB549C9" w14:textId="77777777" w:rsidR="00671DEB" w:rsidRPr="00756DDA" w:rsidRDefault="00671DEB" w:rsidP="00671DEB">
      <w:pPr>
        <w:spacing w:before="120" w:after="120"/>
        <w:ind w:left="2160"/>
        <w:rPr>
          <w:rFonts w:ascii="Times New Roman" w:hAnsi="Times New Roman" w:cs="Times New Roman"/>
          <w:sz w:val="20"/>
          <w:szCs w:val="20"/>
        </w:rPr>
      </w:pPr>
      <w:r w:rsidRPr="007B7A49">
        <w:rPr>
          <w:rFonts w:ascii="Times New Roman" w:hAnsi="Times New Roman" w:cs="Times New Roman"/>
          <w:sz w:val="20"/>
          <w:szCs w:val="20"/>
        </w:rPr>
        <w:t>if the fire start occurred in a hazardous bushfire risk area, the highest applicable value of–</w:t>
      </w:r>
    </w:p>
    <w:p w14:paraId="2BDC58B2"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1; </w:t>
      </w:r>
    </w:p>
    <w:p w14:paraId="3F4372BD" w14:textId="77777777" w:rsidR="00671DEB" w:rsidRPr="007B7A49" w:rsidRDefault="00671DEB" w:rsidP="00671DEB">
      <w:pPr>
        <w:pStyle w:val="ListParagraph"/>
        <w:numPr>
          <w:ilvl w:val="3"/>
          <w:numId w:val="47"/>
        </w:numPr>
        <w:spacing w:before="120" w:after="120"/>
        <w:rPr>
          <w:rFonts w:ascii="Times New Roman" w:hAnsi="Times New Roman" w:cs="Times New Roman"/>
          <w:sz w:val="20"/>
          <w:szCs w:val="20"/>
        </w:rPr>
      </w:pPr>
      <w:bookmarkStart w:id="110" w:name="_Ref457378345"/>
      <w:r>
        <w:rPr>
          <w:rFonts w:ascii="Times New Roman" w:hAnsi="Times New Roman" w:cs="Times New Roman"/>
          <w:sz w:val="20"/>
          <w:szCs w:val="20"/>
        </w:rPr>
        <w:t xml:space="preserve">4.6 where the fire start occurred in an area delineated and bounded in red as represented on the plan lodged in the Central Plan Office and </w:t>
      </w:r>
      <w:r w:rsidRPr="007B7A49">
        <w:rPr>
          <w:rFonts w:ascii="Times New Roman" w:hAnsi="Times New Roman" w:cs="Times New Roman"/>
          <w:sz w:val="20"/>
          <w:szCs w:val="20"/>
        </w:rPr>
        <w:t xml:space="preserve">numbered </w:t>
      </w:r>
      <w:r w:rsidRPr="007B7A49">
        <w:rPr>
          <w:rFonts w:ascii="Times New Roman" w:hAnsi="Times New Roman" w:cs="Times New Roman"/>
          <w:bCs/>
          <w:color w:val="000000"/>
          <w:sz w:val="20"/>
          <w:szCs w:val="20"/>
        </w:rPr>
        <w:t>LEGL./16-354</w:t>
      </w:r>
      <w:r w:rsidRPr="007B7A49">
        <w:rPr>
          <w:rFonts w:ascii="Times New Roman" w:hAnsi="Times New Roman" w:cs="Times New Roman"/>
          <w:sz w:val="20"/>
          <w:szCs w:val="20"/>
        </w:rPr>
        <w:t>; or</w:t>
      </w:r>
      <w:bookmarkEnd w:id="110"/>
      <w:r w:rsidRPr="007B7A49">
        <w:rPr>
          <w:rFonts w:ascii="Times New Roman" w:hAnsi="Times New Roman" w:cs="Times New Roman"/>
          <w:sz w:val="20"/>
          <w:szCs w:val="20"/>
        </w:rPr>
        <w:t xml:space="preserve"> </w:t>
      </w:r>
    </w:p>
    <w:p w14:paraId="1995A0D8" w14:textId="77777777" w:rsidR="00671DEB" w:rsidRPr="007B7A49" w:rsidRDefault="00671DEB" w:rsidP="00671DEB">
      <w:pPr>
        <w:pStyle w:val="ListParagraph"/>
        <w:numPr>
          <w:ilvl w:val="3"/>
          <w:numId w:val="47"/>
        </w:numPr>
        <w:spacing w:before="120" w:after="120"/>
        <w:rPr>
          <w:rFonts w:ascii="Times New Roman" w:hAnsi="Times New Roman" w:cs="Times New Roman"/>
          <w:sz w:val="20"/>
          <w:szCs w:val="20"/>
        </w:rPr>
      </w:pPr>
      <w:bookmarkStart w:id="111" w:name="_Ref457378335"/>
      <w:r w:rsidRPr="007B7A49">
        <w:rPr>
          <w:rFonts w:ascii="Times New Roman" w:hAnsi="Times New Roman" w:cs="Times New Roman"/>
          <w:sz w:val="20"/>
          <w:szCs w:val="20"/>
        </w:rPr>
        <w:t>19.8 where the fire start occurred in an electric line construction area.</w:t>
      </w:r>
      <w:bookmarkEnd w:id="111"/>
    </w:p>
    <w:p w14:paraId="1C482C54" w14:textId="77777777" w:rsidR="00671DEB" w:rsidRDefault="00671DEB" w:rsidP="00671DEB">
      <w:pPr>
        <w:spacing w:before="120" w:after="120"/>
        <w:ind w:left="2880"/>
        <w:rPr>
          <w:rFonts w:ascii="Times New Roman" w:hAnsi="Times New Roman" w:cs="Times New Roman"/>
          <w:i/>
          <w:sz w:val="20"/>
          <w:szCs w:val="20"/>
        </w:rPr>
      </w:pPr>
      <w:r w:rsidRPr="007B7A49">
        <w:rPr>
          <w:rFonts w:ascii="Times New Roman" w:hAnsi="Times New Roman" w:cs="Times New Roman"/>
          <w:i/>
          <w:sz w:val="20"/>
          <w:szCs w:val="20"/>
        </w:rPr>
        <w:t xml:space="preserve">Note: </w:t>
      </w:r>
      <w:r>
        <w:rPr>
          <w:rFonts w:ascii="Times New Roman" w:hAnsi="Times New Roman" w:cs="Times New Roman"/>
          <w:i/>
          <w:sz w:val="20"/>
          <w:szCs w:val="20"/>
        </w:rPr>
        <w:t xml:space="preserve">for fire starts that occurred in a hazardous bushfire risk area, </w:t>
      </w:r>
      <w:r w:rsidRPr="007B7A49">
        <w:rPr>
          <w:rFonts w:ascii="Times New Roman" w:hAnsi="Times New Roman" w:cs="Times New Roman"/>
          <w:i/>
          <w:sz w:val="20"/>
          <w:szCs w:val="20"/>
        </w:rPr>
        <w:t xml:space="preserve">the location multiplier values are </w:t>
      </w:r>
      <w:r>
        <w:rPr>
          <w:rFonts w:ascii="Times New Roman" w:hAnsi="Times New Roman" w:cs="Times New Roman"/>
          <w:i/>
          <w:sz w:val="20"/>
          <w:szCs w:val="20"/>
        </w:rPr>
        <w:t xml:space="preserve">not </w:t>
      </w:r>
      <w:r w:rsidRPr="007B7A49">
        <w:rPr>
          <w:rFonts w:ascii="Times New Roman" w:hAnsi="Times New Roman" w:cs="Times New Roman"/>
          <w:i/>
          <w:sz w:val="20"/>
          <w:szCs w:val="20"/>
        </w:rPr>
        <w:t>mutually</w:t>
      </w:r>
      <w:r>
        <w:rPr>
          <w:rFonts w:ascii="Times New Roman" w:hAnsi="Times New Roman" w:cs="Times New Roman"/>
          <w:i/>
          <w:sz w:val="20"/>
          <w:szCs w:val="20"/>
        </w:rPr>
        <w:t xml:space="preserve"> exclusive and the highest applicable value applies. For example, if a fire start occurs in an area that is an electric line construction area (ie clause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REF _Ref457378335 \w \h </w:instrText>
      </w:r>
      <w:r>
        <w:rPr>
          <w:rFonts w:ascii="Times New Roman" w:hAnsi="Times New Roman" w:cs="Times New Roman"/>
          <w:i/>
          <w:sz w:val="20"/>
          <w:szCs w:val="20"/>
        </w:rPr>
      </w:r>
      <w:r>
        <w:rPr>
          <w:rFonts w:ascii="Times New Roman" w:hAnsi="Times New Roman" w:cs="Times New Roman"/>
          <w:i/>
          <w:sz w:val="20"/>
          <w:szCs w:val="20"/>
        </w:rPr>
        <w:fldChar w:fldCharType="separate"/>
      </w:r>
      <w:r w:rsidR="00167D0B">
        <w:rPr>
          <w:rFonts w:ascii="Times New Roman" w:hAnsi="Times New Roman" w:cs="Times New Roman"/>
          <w:i/>
          <w:sz w:val="20"/>
          <w:szCs w:val="20"/>
        </w:rPr>
        <w:t>11(1)(b)(iv)</w:t>
      </w:r>
      <w:r>
        <w:rPr>
          <w:rFonts w:ascii="Times New Roman" w:hAnsi="Times New Roman" w:cs="Times New Roman"/>
          <w:i/>
          <w:sz w:val="20"/>
          <w:szCs w:val="20"/>
        </w:rPr>
        <w:fldChar w:fldCharType="end"/>
      </w:r>
      <w:r>
        <w:rPr>
          <w:rFonts w:ascii="Times New Roman" w:hAnsi="Times New Roman" w:cs="Times New Roman"/>
          <w:i/>
          <w:sz w:val="20"/>
          <w:szCs w:val="20"/>
        </w:rPr>
        <w:t xml:space="preserve"> applies) and at the same time, that area also falls within an area delineated and bounded in red on plan LEGL./16-354 (ie clause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REF _Ref457378345 \w \h </w:instrText>
      </w:r>
      <w:r>
        <w:rPr>
          <w:rFonts w:ascii="Times New Roman" w:hAnsi="Times New Roman" w:cs="Times New Roman"/>
          <w:i/>
          <w:sz w:val="20"/>
          <w:szCs w:val="20"/>
        </w:rPr>
      </w:r>
      <w:r>
        <w:rPr>
          <w:rFonts w:ascii="Times New Roman" w:hAnsi="Times New Roman" w:cs="Times New Roman"/>
          <w:i/>
          <w:sz w:val="20"/>
          <w:szCs w:val="20"/>
        </w:rPr>
        <w:fldChar w:fldCharType="separate"/>
      </w:r>
      <w:r w:rsidR="00167D0B">
        <w:rPr>
          <w:rFonts w:ascii="Times New Roman" w:hAnsi="Times New Roman" w:cs="Times New Roman"/>
          <w:i/>
          <w:sz w:val="20"/>
          <w:szCs w:val="20"/>
        </w:rPr>
        <w:t>11(1)(b)(iii)</w:t>
      </w:r>
      <w:r>
        <w:rPr>
          <w:rFonts w:ascii="Times New Roman" w:hAnsi="Times New Roman" w:cs="Times New Roman"/>
          <w:i/>
          <w:sz w:val="20"/>
          <w:szCs w:val="20"/>
        </w:rPr>
        <w:fldChar w:fldCharType="end"/>
      </w:r>
      <w:r>
        <w:rPr>
          <w:rFonts w:ascii="Times New Roman" w:hAnsi="Times New Roman" w:cs="Times New Roman"/>
          <w:i/>
          <w:sz w:val="20"/>
          <w:szCs w:val="20"/>
        </w:rPr>
        <w:t xml:space="preserve"> applies), the location multiplier value would be 19.8 not 4.6 because 19.8 is the highest value applicable to that fire start. </w:t>
      </w:r>
    </w:p>
    <w:p w14:paraId="17D94C4A"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In determining the IRU amount for a financial year, the AER may have regard to the reports, submissions and information specified in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_Ref457378384 \w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12(1)</w:t>
      </w:r>
      <w:r>
        <w:rPr>
          <w:rFonts w:ascii="Times New Roman" w:hAnsi="Times New Roman" w:cs="Times New Roman"/>
          <w:sz w:val="20"/>
          <w:szCs w:val="20"/>
        </w:rPr>
        <w:fldChar w:fldCharType="end"/>
      </w:r>
      <w:r>
        <w:rPr>
          <w:rFonts w:ascii="Times New Roman" w:hAnsi="Times New Roman" w:cs="Times New Roman"/>
          <w:sz w:val="20"/>
          <w:szCs w:val="20"/>
        </w:rPr>
        <w:t xml:space="preserve">. This subclause does not limit the matters that the AER may have regard to in determining the IRU amount. </w:t>
      </w:r>
      <w:bookmarkStart w:id="112" w:name="_Ref457377319"/>
      <w:bookmarkStart w:id="113" w:name="_Ref457377320"/>
    </w:p>
    <w:p w14:paraId="06506816" w14:textId="77777777" w:rsidR="00671DEB" w:rsidRPr="00335376" w:rsidRDefault="00671DEB" w:rsidP="00671DEB">
      <w:pPr>
        <w:pStyle w:val="ListParagraph"/>
        <w:numPr>
          <w:ilvl w:val="1"/>
          <w:numId w:val="47"/>
        </w:numPr>
        <w:spacing w:before="120" w:after="120"/>
        <w:rPr>
          <w:rFonts w:ascii="Times New Roman" w:hAnsi="Times New Roman" w:cs="Times New Roman"/>
          <w:sz w:val="20"/>
          <w:szCs w:val="20"/>
        </w:rPr>
      </w:pPr>
      <w:bookmarkStart w:id="114" w:name="_Ref457377764"/>
      <w:bookmarkStart w:id="115" w:name="_Ref457377879"/>
      <w:r w:rsidRPr="00335376">
        <w:rPr>
          <w:rFonts w:ascii="Times New Roman" w:hAnsi="Times New Roman" w:cs="Times New Roman"/>
          <w:sz w:val="20"/>
          <w:szCs w:val="20"/>
        </w:rPr>
        <w:t xml:space="preserve">If the AER </w:t>
      </w:r>
      <w:r>
        <w:rPr>
          <w:rFonts w:ascii="Times New Roman" w:hAnsi="Times New Roman" w:cs="Times New Roman"/>
          <w:sz w:val="20"/>
          <w:szCs w:val="20"/>
        </w:rPr>
        <w:t>considers that t</w:t>
      </w:r>
      <w:r w:rsidRPr="002D25B0">
        <w:rPr>
          <w:rFonts w:ascii="Times New Roman" w:hAnsi="Times New Roman" w:cs="Times New Roman"/>
          <w:sz w:val="20"/>
          <w:szCs w:val="20"/>
        </w:rPr>
        <w:t xml:space="preserve">he </w:t>
      </w:r>
      <w:r>
        <w:rPr>
          <w:rFonts w:ascii="Times New Roman" w:hAnsi="Times New Roman" w:cs="Times New Roman"/>
          <w:sz w:val="20"/>
          <w:szCs w:val="20"/>
        </w:rPr>
        <w:t xml:space="preserve">reports, submissions and information specified in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_Ref457378384 \w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12(1)</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2D25B0">
        <w:rPr>
          <w:rFonts w:ascii="Times New Roman" w:hAnsi="Times New Roman" w:cs="Times New Roman"/>
          <w:sz w:val="20"/>
          <w:szCs w:val="20"/>
        </w:rPr>
        <w:t xml:space="preserve">cannot be used, or </w:t>
      </w:r>
      <w:r>
        <w:rPr>
          <w:rFonts w:ascii="Times New Roman" w:hAnsi="Times New Roman" w:cs="Times New Roman"/>
          <w:sz w:val="20"/>
          <w:szCs w:val="20"/>
        </w:rPr>
        <w:t xml:space="preserve">are </w:t>
      </w:r>
      <w:r w:rsidRPr="002D25B0">
        <w:rPr>
          <w:rFonts w:ascii="Times New Roman" w:hAnsi="Times New Roman" w:cs="Times New Roman"/>
          <w:sz w:val="20"/>
          <w:szCs w:val="20"/>
        </w:rPr>
        <w:t>not suitable to be used</w:t>
      </w:r>
      <w:r>
        <w:rPr>
          <w:rFonts w:ascii="Times New Roman" w:hAnsi="Times New Roman" w:cs="Times New Roman"/>
          <w:sz w:val="20"/>
          <w:szCs w:val="20"/>
        </w:rPr>
        <w:t xml:space="preserve">, to </w:t>
      </w:r>
      <w:r w:rsidRPr="00335376">
        <w:rPr>
          <w:rFonts w:ascii="Times New Roman" w:hAnsi="Times New Roman" w:cs="Times New Roman"/>
          <w:sz w:val="20"/>
          <w:szCs w:val="20"/>
        </w:rPr>
        <w:t xml:space="preserve">determine the </w:t>
      </w:r>
      <w:r>
        <w:rPr>
          <w:rFonts w:ascii="Times New Roman" w:hAnsi="Times New Roman" w:cs="Times New Roman"/>
          <w:sz w:val="20"/>
          <w:szCs w:val="20"/>
        </w:rPr>
        <w:t>IRU amount, the AER may –</w:t>
      </w:r>
      <w:bookmarkEnd w:id="114"/>
      <w:r w:rsidRPr="00335376">
        <w:rPr>
          <w:rFonts w:ascii="Times New Roman" w:hAnsi="Times New Roman" w:cs="Times New Roman"/>
          <w:sz w:val="20"/>
          <w:szCs w:val="20"/>
        </w:rPr>
        <w:t xml:space="preserve"> </w:t>
      </w:r>
      <w:bookmarkEnd w:id="112"/>
      <w:bookmarkEnd w:id="113"/>
      <w:bookmarkEnd w:id="115"/>
    </w:p>
    <w:p w14:paraId="55B5C61E"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determine </w:t>
      </w:r>
      <w:r w:rsidRPr="00335376">
        <w:rPr>
          <w:rFonts w:ascii="Times New Roman" w:hAnsi="Times New Roman" w:cs="Times New Roman"/>
          <w:sz w:val="20"/>
          <w:szCs w:val="20"/>
        </w:rPr>
        <w:t>the IRU amount to be 1.5 times the IRU target</w:t>
      </w:r>
      <w:r>
        <w:rPr>
          <w:rFonts w:ascii="Times New Roman" w:hAnsi="Times New Roman" w:cs="Times New Roman"/>
          <w:sz w:val="20"/>
          <w:szCs w:val="20"/>
        </w:rPr>
        <w:t>; or</w:t>
      </w:r>
    </w:p>
    <w:p w14:paraId="397E5A98"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determine the IRU amount to be some other amount, having regard to the information referred to in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_Ref443985734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12(2)</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3F665010" w14:textId="77777777" w:rsidR="00671DEB" w:rsidRPr="00E87DF5" w:rsidRDefault="00671DEB" w:rsidP="00671DEB">
      <w:pPr>
        <w:pStyle w:val="ListParagraph"/>
        <w:numPr>
          <w:ilvl w:val="1"/>
          <w:numId w:val="47"/>
        </w:numPr>
        <w:spacing w:before="120" w:after="120"/>
        <w:rPr>
          <w:rFonts w:ascii="Times New Roman" w:hAnsi="Times New Roman" w:cs="Times New Roman"/>
          <w:sz w:val="20"/>
          <w:szCs w:val="20"/>
        </w:rPr>
      </w:pPr>
      <w:bookmarkStart w:id="116" w:name="_Ref457377781"/>
      <w:bookmarkStart w:id="117" w:name="_Ref457377964"/>
      <w:r w:rsidRPr="00E87DF5">
        <w:rPr>
          <w:rFonts w:ascii="Times New Roman" w:hAnsi="Times New Roman" w:cs="Times New Roman"/>
          <w:sz w:val="20"/>
          <w:szCs w:val="20"/>
        </w:rPr>
        <w:t xml:space="preserve">The AER must consult with the relevant entities in any case where the IRU amount is to be </w:t>
      </w:r>
      <w:r>
        <w:rPr>
          <w:rFonts w:ascii="Times New Roman" w:hAnsi="Times New Roman" w:cs="Times New Roman"/>
          <w:sz w:val="20"/>
          <w:szCs w:val="20"/>
        </w:rPr>
        <w:t xml:space="preserve">determined </w:t>
      </w:r>
      <w:r w:rsidRPr="00E87DF5">
        <w:rPr>
          <w:rFonts w:ascii="Times New Roman" w:hAnsi="Times New Roman" w:cs="Times New Roman"/>
          <w:sz w:val="20"/>
          <w:szCs w:val="20"/>
        </w:rPr>
        <w:t xml:space="preserve">in accordance with subclause </w:t>
      </w:r>
      <w:r w:rsidRPr="00E87DF5">
        <w:rPr>
          <w:rFonts w:ascii="Times New Roman" w:hAnsi="Times New Roman" w:cs="Times New Roman"/>
          <w:sz w:val="20"/>
          <w:szCs w:val="20"/>
        </w:rPr>
        <w:fldChar w:fldCharType="begin"/>
      </w:r>
      <w:r w:rsidRPr="00E87DF5">
        <w:rPr>
          <w:rFonts w:ascii="Times New Roman" w:hAnsi="Times New Roman" w:cs="Times New Roman"/>
          <w:sz w:val="20"/>
          <w:szCs w:val="20"/>
        </w:rPr>
        <w:instrText xml:space="preserve"> REF _Ref457377879 \r \h  \* MERGEFORMAT </w:instrText>
      </w:r>
      <w:r w:rsidRPr="00E87DF5">
        <w:rPr>
          <w:rFonts w:ascii="Times New Roman" w:hAnsi="Times New Roman" w:cs="Times New Roman"/>
          <w:sz w:val="20"/>
          <w:szCs w:val="20"/>
        </w:rPr>
      </w:r>
      <w:r w:rsidRPr="00E87DF5">
        <w:rPr>
          <w:rFonts w:ascii="Times New Roman" w:hAnsi="Times New Roman" w:cs="Times New Roman"/>
          <w:sz w:val="20"/>
          <w:szCs w:val="20"/>
        </w:rPr>
        <w:fldChar w:fldCharType="separate"/>
      </w:r>
      <w:r w:rsidR="00167D0B">
        <w:rPr>
          <w:rFonts w:ascii="Times New Roman" w:hAnsi="Times New Roman" w:cs="Times New Roman"/>
          <w:sz w:val="20"/>
          <w:szCs w:val="20"/>
        </w:rPr>
        <w:t>(3)</w:t>
      </w:r>
      <w:r w:rsidRPr="00E87DF5">
        <w:rPr>
          <w:rFonts w:ascii="Times New Roman" w:hAnsi="Times New Roman" w:cs="Times New Roman"/>
          <w:sz w:val="20"/>
          <w:szCs w:val="20"/>
        </w:rPr>
        <w:fldChar w:fldCharType="end"/>
      </w:r>
      <w:r w:rsidRPr="00E87DF5">
        <w:rPr>
          <w:rFonts w:ascii="Times New Roman" w:hAnsi="Times New Roman" w:cs="Times New Roman"/>
          <w:sz w:val="20"/>
          <w:szCs w:val="20"/>
        </w:rPr>
        <w:t>.</w:t>
      </w:r>
      <w:r w:rsidRPr="00E87DF5">
        <w:rPr>
          <w:rFonts w:ascii="Times New Roman" w:hAnsi="Times New Roman" w:cs="Times New Roman"/>
          <w:i/>
          <w:sz w:val="20"/>
          <w:szCs w:val="20"/>
        </w:rPr>
        <w:t xml:space="preserve"> </w:t>
      </w:r>
    </w:p>
    <w:p w14:paraId="531A3D4B"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118" w:name="_Ref457387200"/>
      <w:r>
        <w:rPr>
          <w:rFonts w:ascii="Times New Roman" w:hAnsi="Times New Roman" w:cs="Times New Roman"/>
          <w:sz w:val="20"/>
          <w:szCs w:val="20"/>
        </w:rPr>
        <w:t>Notwithstanding anything in this clause,</w:t>
      </w:r>
      <w:r w:rsidRPr="00335376">
        <w:rPr>
          <w:rFonts w:ascii="Times New Roman" w:hAnsi="Times New Roman" w:cs="Times New Roman"/>
          <w:sz w:val="20"/>
          <w:szCs w:val="20"/>
        </w:rPr>
        <w:t xml:space="preserve"> if no fire danger rating is forecast at the time </w:t>
      </w:r>
      <w:r>
        <w:rPr>
          <w:rFonts w:ascii="Times New Roman" w:hAnsi="Times New Roman" w:cs="Times New Roman"/>
          <w:sz w:val="20"/>
          <w:szCs w:val="20"/>
        </w:rPr>
        <w:t xml:space="preserve">that a </w:t>
      </w:r>
      <w:r w:rsidRPr="00335376">
        <w:rPr>
          <w:rFonts w:ascii="Times New Roman" w:hAnsi="Times New Roman" w:cs="Times New Roman"/>
          <w:sz w:val="20"/>
          <w:szCs w:val="20"/>
        </w:rPr>
        <w:t xml:space="preserve">fire started </w:t>
      </w:r>
      <w:r>
        <w:rPr>
          <w:rFonts w:ascii="Times New Roman" w:hAnsi="Times New Roman" w:cs="Times New Roman"/>
          <w:sz w:val="20"/>
          <w:szCs w:val="20"/>
        </w:rPr>
        <w:t xml:space="preserve">(ie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_Ref457469889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(1)(a)(i)</w:t>
      </w:r>
      <w:r>
        <w:rPr>
          <w:rFonts w:ascii="Times New Roman" w:hAnsi="Times New Roman" w:cs="Times New Roman"/>
          <w:sz w:val="20"/>
          <w:szCs w:val="20"/>
        </w:rPr>
        <w:fldChar w:fldCharType="end"/>
      </w:r>
      <w:r>
        <w:rPr>
          <w:rFonts w:ascii="Times New Roman" w:hAnsi="Times New Roman" w:cs="Times New Roman"/>
          <w:sz w:val="20"/>
          <w:szCs w:val="20"/>
        </w:rPr>
        <w:t xml:space="preserve"> applies) and </w:t>
      </w:r>
      <w:r w:rsidRPr="007B7A49">
        <w:rPr>
          <w:rFonts w:ascii="Times New Roman" w:hAnsi="Times New Roman" w:cs="Times New Roman"/>
          <w:sz w:val="20"/>
          <w:szCs w:val="20"/>
        </w:rPr>
        <w:t xml:space="preserve">the fire start occurred in an electric line </w:t>
      </w:r>
      <w:r w:rsidRPr="007B7A49">
        <w:rPr>
          <w:rFonts w:ascii="Times New Roman" w:hAnsi="Times New Roman" w:cs="Times New Roman"/>
          <w:sz w:val="20"/>
          <w:szCs w:val="20"/>
        </w:rPr>
        <w:lastRenderedPageBreak/>
        <w:t>construction area</w:t>
      </w:r>
      <w:r>
        <w:rPr>
          <w:rFonts w:ascii="Times New Roman" w:hAnsi="Times New Roman" w:cs="Times New Roman"/>
          <w:sz w:val="20"/>
          <w:szCs w:val="20"/>
        </w:rPr>
        <w:t xml:space="preserve"> (ie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_Ref457378335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(1)(b)(iv)</w:t>
      </w:r>
      <w:r>
        <w:rPr>
          <w:rFonts w:ascii="Times New Roman" w:hAnsi="Times New Roman" w:cs="Times New Roman"/>
          <w:sz w:val="20"/>
          <w:szCs w:val="20"/>
        </w:rPr>
        <w:fldChar w:fldCharType="end"/>
      </w:r>
      <w:r>
        <w:rPr>
          <w:rFonts w:ascii="Times New Roman" w:hAnsi="Times New Roman" w:cs="Times New Roman"/>
          <w:sz w:val="20"/>
          <w:szCs w:val="20"/>
        </w:rPr>
        <w:t xml:space="preserve"> applies), </w:t>
      </w:r>
      <w:r w:rsidRPr="00335376">
        <w:rPr>
          <w:rFonts w:ascii="Times New Roman" w:hAnsi="Times New Roman" w:cs="Times New Roman"/>
          <w:sz w:val="20"/>
          <w:szCs w:val="20"/>
        </w:rPr>
        <w:t xml:space="preserve">the </w:t>
      </w:r>
      <w:r>
        <w:rPr>
          <w:rFonts w:ascii="Times New Roman" w:hAnsi="Times New Roman" w:cs="Times New Roman"/>
          <w:sz w:val="20"/>
          <w:szCs w:val="20"/>
        </w:rPr>
        <w:t>value of the danger multiplier times the location multiplier for that individual fire start is 1.</w:t>
      </w:r>
      <w:bookmarkEnd w:id="116"/>
      <w:bookmarkEnd w:id="117"/>
      <w:bookmarkEnd w:id="118"/>
    </w:p>
    <w:p w14:paraId="30AE4B07" w14:textId="77777777" w:rsidR="00671DEB" w:rsidRDefault="00671DEB" w:rsidP="00671DEB">
      <w:pPr>
        <w:spacing w:before="120" w:after="120"/>
        <w:rPr>
          <w:rFonts w:ascii="Times New Roman" w:hAnsi="Times New Roman" w:cs="Times New Roman"/>
          <w:sz w:val="20"/>
          <w:szCs w:val="20"/>
        </w:rPr>
      </w:pPr>
    </w:p>
    <w:p w14:paraId="29810AC9"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119" w:name="_Ref443905587"/>
      <w:r>
        <w:rPr>
          <w:rFonts w:ascii="Times New Roman" w:hAnsi="Times New Roman" w:cs="Times New Roman"/>
          <w:b/>
          <w:sz w:val="20"/>
          <w:szCs w:val="20"/>
        </w:rPr>
        <w:t>Number of fire starts</w:t>
      </w:r>
      <w:bookmarkEnd w:id="119"/>
    </w:p>
    <w:p w14:paraId="5687802F"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120" w:name="_Ref457378384"/>
      <w:r>
        <w:rPr>
          <w:rFonts w:ascii="Times New Roman" w:hAnsi="Times New Roman" w:cs="Times New Roman"/>
          <w:sz w:val="20"/>
          <w:szCs w:val="20"/>
        </w:rPr>
        <w:t>In determining the IRU amount or the number of fire starts that occurred in a relevant distribution system for a financial year, the AER may have regard to –</w:t>
      </w:r>
      <w:bookmarkEnd w:id="120"/>
    </w:p>
    <w:p w14:paraId="274D69A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a fire start report;</w:t>
      </w:r>
    </w:p>
    <w:p w14:paraId="5FDA4E88"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a validation report (or revised validation report);</w:t>
      </w:r>
    </w:p>
    <w:p w14:paraId="550399B6"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 Distribution Network Service Provider’s submissions provided under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_Ref457378427 \w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p w14:paraId="062CC0F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any information obtained pursuant to a regulatory information instrument; and </w:t>
      </w:r>
    </w:p>
    <w:p w14:paraId="7DF2D7FB" w14:textId="77777777" w:rsidR="00671DEB" w:rsidRDefault="00671DEB" w:rsidP="00671DEB">
      <w:pPr>
        <w:pStyle w:val="ListParagraph"/>
        <w:numPr>
          <w:ilvl w:val="2"/>
          <w:numId w:val="47"/>
        </w:numPr>
        <w:spacing w:before="120" w:after="120"/>
        <w:ind w:left="2174" w:hanging="187"/>
        <w:rPr>
          <w:rFonts w:ascii="Times New Roman" w:hAnsi="Times New Roman" w:cs="Times New Roman"/>
          <w:sz w:val="20"/>
          <w:szCs w:val="20"/>
        </w:rPr>
      </w:pPr>
      <w:r>
        <w:rPr>
          <w:rFonts w:ascii="Times New Roman" w:hAnsi="Times New Roman" w:cs="Times New Roman"/>
          <w:sz w:val="20"/>
          <w:szCs w:val="20"/>
        </w:rPr>
        <w:t xml:space="preserve">any information relating to fire starts the AER receives from a relevant entity pursuant to a request made under section 16G of the </w:t>
      </w:r>
      <w:r>
        <w:rPr>
          <w:rFonts w:ascii="Times New Roman" w:hAnsi="Times New Roman" w:cs="Times New Roman"/>
          <w:b/>
          <w:sz w:val="20"/>
          <w:szCs w:val="20"/>
        </w:rPr>
        <w:t xml:space="preserve">National Electricity (Victoria) Act 2005 </w:t>
      </w:r>
      <w:r>
        <w:rPr>
          <w:rFonts w:ascii="Times New Roman" w:hAnsi="Times New Roman" w:cs="Times New Roman"/>
          <w:sz w:val="20"/>
          <w:szCs w:val="20"/>
        </w:rPr>
        <w:t xml:space="preserve">and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_Ref443664511 \w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6854B0BE"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121" w:name="_Ref443985734"/>
      <w:r>
        <w:rPr>
          <w:rFonts w:ascii="Times New Roman" w:hAnsi="Times New Roman" w:cs="Times New Roman"/>
          <w:sz w:val="20"/>
          <w:szCs w:val="20"/>
        </w:rPr>
        <w:t>If there is no or incomplete data for fire starts for any financial year, or the AER considers the data or any part thereof inadequate for any reason, the AER may use –</w:t>
      </w:r>
      <w:bookmarkEnd w:id="121"/>
    </w:p>
    <w:p w14:paraId="140D4CE8"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22" w:name="_Ref457377418"/>
      <w:r>
        <w:rPr>
          <w:rFonts w:ascii="Times New Roman" w:hAnsi="Times New Roman" w:cs="Times New Roman"/>
          <w:sz w:val="20"/>
          <w:szCs w:val="20"/>
        </w:rPr>
        <w:t>the number of fire starts that occurred in relation to the relevant distribution system in other financial years;</w:t>
      </w:r>
      <w:bookmarkEnd w:id="122"/>
    </w:p>
    <w:p w14:paraId="5D4C18A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23" w:name="_Ref457377420"/>
      <w:r>
        <w:rPr>
          <w:rFonts w:ascii="Times New Roman" w:hAnsi="Times New Roman" w:cs="Times New Roman"/>
          <w:sz w:val="20"/>
          <w:szCs w:val="20"/>
        </w:rPr>
        <w:t>the number of fire starts that occurred in relation to a reasonably comparable distribution system; and</w:t>
      </w:r>
      <w:bookmarkEnd w:id="123"/>
    </w:p>
    <w:p w14:paraId="4B59A2BE" w14:textId="77777777" w:rsidR="00671DEB" w:rsidRPr="00164200" w:rsidRDefault="00671DEB" w:rsidP="00671DEB">
      <w:pPr>
        <w:pStyle w:val="ListParagraph"/>
        <w:numPr>
          <w:ilvl w:val="2"/>
          <w:numId w:val="47"/>
        </w:numPr>
        <w:spacing w:before="120" w:after="120"/>
        <w:ind w:left="2174" w:hanging="187"/>
        <w:rPr>
          <w:rFonts w:ascii="Times New Roman" w:hAnsi="Times New Roman" w:cs="Times New Roman"/>
          <w:sz w:val="20"/>
          <w:szCs w:val="20"/>
        </w:rPr>
      </w:pPr>
      <w:r>
        <w:rPr>
          <w:rFonts w:ascii="Times New Roman" w:hAnsi="Times New Roman" w:cs="Times New Roman"/>
          <w:sz w:val="20"/>
          <w:szCs w:val="20"/>
        </w:rPr>
        <w:t>estimates,</w:t>
      </w:r>
    </w:p>
    <w:p w14:paraId="48C52D16" w14:textId="77777777" w:rsidR="00671DEB" w:rsidRPr="00164200" w:rsidRDefault="00671DEB" w:rsidP="00671DEB">
      <w:pPr>
        <w:spacing w:before="120" w:after="120"/>
        <w:ind w:left="1440"/>
        <w:rPr>
          <w:rFonts w:ascii="Times New Roman" w:hAnsi="Times New Roman" w:cs="Times New Roman"/>
          <w:sz w:val="20"/>
          <w:szCs w:val="20"/>
        </w:rPr>
      </w:pPr>
      <w:r>
        <w:rPr>
          <w:rFonts w:ascii="Times New Roman" w:hAnsi="Times New Roman" w:cs="Times New Roman"/>
          <w:sz w:val="20"/>
          <w:szCs w:val="20"/>
        </w:rPr>
        <w:t xml:space="preserve">which may be determined having regard to any information the AER considers appropriate, including the reports, submissions and information specified in 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_Ref457378384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p>
    <w:p w14:paraId="4F5F8B9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_Ref443985734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does not prevent the AER using all or any part of the incomplete or inadequate data.</w:t>
      </w:r>
    </w:p>
    <w:p w14:paraId="1F7A2D11"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The AER must consult with the relevant entities when determining the number of fire starts.</w:t>
      </w:r>
    </w:p>
    <w:p w14:paraId="2D1FB487"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sidRPr="00164200">
        <w:rPr>
          <w:rFonts w:ascii="Times New Roman" w:hAnsi="Times New Roman" w:cs="Times New Roman"/>
          <w:sz w:val="20"/>
          <w:szCs w:val="20"/>
        </w:rPr>
        <w:t xml:space="preserve">This clause does not </w:t>
      </w:r>
      <w:r>
        <w:rPr>
          <w:rFonts w:ascii="Times New Roman" w:hAnsi="Times New Roman" w:cs="Times New Roman"/>
          <w:sz w:val="20"/>
          <w:szCs w:val="20"/>
        </w:rPr>
        <w:t xml:space="preserve">require, </w:t>
      </w:r>
      <w:r w:rsidRPr="00164200">
        <w:rPr>
          <w:rFonts w:ascii="Times New Roman" w:hAnsi="Times New Roman" w:cs="Times New Roman"/>
          <w:sz w:val="20"/>
          <w:szCs w:val="20"/>
        </w:rPr>
        <w:t>prevent or limit the AER serving a regulatory information instrument.</w:t>
      </w:r>
    </w:p>
    <w:p w14:paraId="345D603B" w14:textId="77777777" w:rsidR="00671DEB" w:rsidRDefault="00671DEB" w:rsidP="00671DEB">
      <w:pPr>
        <w:pStyle w:val="ListParagraph"/>
        <w:spacing w:before="120" w:after="120"/>
        <w:rPr>
          <w:rFonts w:ascii="Times New Roman" w:hAnsi="Times New Roman" w:cs="Times New Roman"/>
          <w:sz w:val="20"/>
          <w:szCs w:val="20"/>
        </w:rPr>
      </w:pPr>
    </w:p>
    <w:p w14:paraId="7D419251" w14:textId="77777777" w:rsidR="00671DEB" w:rsidRDefault="00671DEB" w:rsidP="00671DEB">
      <w:pPr>
        <w:pStyle w:val="ListParagraph"/>
        <w:spacing w:before="120" w:after="120"/>
        <w:rPr>
          <w:rFonts w:ascii="Times New Roman" w:hAnsi="Times New Roman" w:cs="Times New Roman"/>
          <w:sz w:val="20"/>
          <w:szCs w:val="20"/>
        </w:rPr>
      </w:pPr>
    </w:p>
    <w:p w14:paraId="57973A4A" w14:textId="77777777" w:rsidR="00671DEB" w:rsidRDefault="00671DEB" w:rsidP="00671DEB">
      <w:pPr>
        <w:pStyle w:val="ListParagraph"/>
        <w:spacing w:before="120" w:after="120"/>
        <w:rPr>
          <w:rFonts w:ascii="Times New Roman" w:hAnsi="Times New Roman" w:cs="Times New Roman"/>
          <w:sz w:val="20"/>
          <w:szCs w:val="20"/>
        </w:rPr>
      </w:pPr>
    </w:p>
    <w:p w14:paraId="5FA4154D"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bookmarkStart w:id="124" w:name="_Ref454351445"/>
      <w:r>
        <w:rPr>
          <w:rFonts w:ascii="Times New Roman" w:hAnsi="Times New Roman" w:cs="Times New Roman"/>
          <w:b/>
          <w:sz w:val="20"/>
          <w:szCs w:val="20"/>
        </w:rPr>
        <w:t>Transitional arrangements</w:t>
      </w:r>
      <w:bookmarkEnd w:id="124"/>
      <w:r>
        <w:rPr>
          <w:rFonts w:ascii="Times New Roman" w:hAnsi="Times New Roman" w:cs="Times New Roman"/>
          <w:b/>
          <w:sz w:val="20"/>
          <w:szCs w:val="20"/>
        </w:rPr>
        <w:t xml:space="preserve"> for 2018 revenue adjustment </w:t>
      </w:r>
    </w:p>
    <w:p w14:paraId="34D224CF"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A separate revenue adjustment must be made for each Distribution Network Service Provider for the 2018 regulatory year in accordance with the following formula–</w:t>
      </w:r>
    </w:p>
    <w:p w14:paraId="7CDADA02"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br/>
      </w:r>
      <m:oMathPara>
        <m:oMathParaPr>
          <m:jc m:val="center"/>
        </m:oMathParaPr>
        <m:oMath>
          <m:r>
            <m:rPr>
              <m:sty m:val="bi"/>
            </m:rPr>
            <w:rPr>
              <w:rFonts w:ascii="Cambria Math" w:hAnsi="Cambria Math" w:cs="Times New Roman"/>
              <w:sz w:val="20"/>
              <w:szCs w:val="20"/>
            </w:rPr>
            <m:t>Transitional adjustment</m:t>
          </m:r>
          <m:r>
            <m:rPr>
              <m:sty m:val="b"/>
            </m:rPr>
            <w:rPr>
              <w:rFonts w:ascii="Cambria Math" w:hAnsi="Cambria Math" w:cs="Times New Roman"/>
              <w:sz w:val="20"/>
              <w:szCs w:val="20"/>
            </w:rPr>
            <m:t>=</m:t>
          </m:r>
          <m:r>
            <m:rPr>
              <m:sty m:val="p"/>
            </m:rPr>
            <w:rPr>
              <w:rFonts w:ascii="Cambria Math" w:hAnsi="Cambria Math" w:cs="Times New Roman"/>
              <w:sz w:val="20"/>
              <w:szCs w:val="20"/>
            </w:rPr>
            <m:t xml:space="preserve"> </m:t>
          </m:r>
          <m:sSub>
            <m:sSubPr>
              <m:ctrlPr>
                <w:rPr>
                  <w:rFonts w:ascii="Cambria Math" w:hAnsi="Cambria Math" w:cs="Times New Roman"/>
                  <w:b/>
                  <w:i/>
                </w:rPr>
              </m:ctrlPr>
            </m:sSubPr>
            <m:e>
              <m:r>
                <m:rPr>
                  <m:sty m:val="bi"/>
                </m:rPr>
                <w:rPr>
                  <w:rFonts w:ascii="Cambria Math" w:hAnsi="Cambria Math" w:cs="Times New Roman"/>
                  <w:sz w:val="20"/>
                  <w:szCs w:val="20"/>
                </w:rPr>
                <m:t>Transitional rate</m:t>
              </m:r>
            </m:e>
            <m:sub>
              <m:r>
                <m:rPr>
                  <m:sty m:val="bi"/>
                </m:rPr>
                <w:rPr>
                  <w:rFonts w:ascii="Cambria Math" w:hAnsi="Cambria Math" w:cs="Times New Roman"/>
                  <w:sz w:val="20"/>
                  <w:szCs w:val="20"/>
                </w:rPr>
                <m:t xml:space="preserve"> </m:t>
              </m:r>
            </m:sub>
          </m:sSub>
          <m:r>
            <w:rPr>
              <w:rFonts w:ascii="Cambria Math" w:hAnsi="Cambria Math" w:cs="Times New Roman"/>
              <w:sz w:val="20"/>
              <w:szCs w:val="20"/>
            </w:rPr>
            <m:t>×</m:t>
          </m:r>
          <m:d>
            <m:dPr>
              <m:ctrlPr>
                <w:rPr>
                  <w:rFonts w:ascii="Cambria Math" w:hAnsi="Cambria Math" w:cs="Times New Roman"/>
                  <w:b/>
                  <w:i/>
                </w:rPr>
              </m:ctrlPr>
            </m:dPr>
            <m:e>
              <m:r>
                <m:rPr>
                  <m:sty m:val="bi"/>
                </m:rPr>
                <w:rPr>
                  <w:rFonts w:ascii="Cambria Math" w:hAnsi="Cambria Math" w:cs="Times New Roman"/>
                  <w:sz w:val="20"/>
                  <w:szCs w:val="20"/>
                </w:rPr>
                <m:t>Transitional target - Number of fires</m:t>
              </m:r>
            </m:e>
          </m:d>
          <m:r>
            <m:rPr>
              <m:sty m:val="bi"/>
            </m:rPr>
            <w:rPr>
              <w:rFonts w:ascii="Cambria Math" w:hAnsi="Cambria Math" w:cs="Times New Roman"/>
              <w:sz w:val="20"/>
              <w:szCs w:val="20"/>
            </w:rPr>
            <m:t xml:space="preserve"> </m:t>
          </m:r>
        </m:oMath>
      </m:oMathPara>
    </w:p>
    <w:p w14:paraId="72EA837F" w14:textId="77777777" w:rsidR="00671DEB" w:rsidRDefault="00671DEB" w:rsidP="00671DEB">
      <w:pPr>
        <w:pStyle w:val="ListParagraph"/>
        <w:spacing w:before="120" w:after="120"/>
        <w:ind w:left="1440"/>
        <w:rPr>
          <w:rFonts w:ascii="Times New Roman" w:hAnsi="Times New Roman" w:cs="Times New Roman"/>
          <w:sz w:val="20"/>
          <w:szCs w:val="20"/>
        </w:rPr>
      </w:pPr>
      <w:r>
        <w:rPr>
          <w:rFonts w:ascii="Times New Roman" w:hAnsi="Times New Roman" w:cs="Times New Roman"/>
          <w:sz w:val="20"/>
          <w:szCs w:val="20"/>
        </w:rPr>
        <w:br/>
        <w:t>where –</w:t>
      </w:r>
      <w:r>
        <w:rPr>
          <w:rFonts w:ascii="Times New Roman" w:hAnsi="Times New Roman" w:cs="Times New Roman"/>
          <w:sz w:val="20"/>
          <w:szCs w:val="20"/>
        </w:rPr>
        <w:br/>
      </w:r>
    </w:p>
    <w:p w14:paraId="29C39A3F"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Transitional adjustment</w:t>
      </w:r>
      <w:r>
        <w:rPr>
          <w:rFonts w:ascii="Times New Roman" w:hAnsi="Times New Roman" w:cs="Times New Roman"/>
          <w:sz w:val="20"/>
          <w:szCs w:val="20"/>
          <w:vertAlign w:val="subscript"/>
        </w:rPr>
        <w:t xml:space="preserve"> </w:t>
      </w:r>
      <w:r>
        <w:rPr>
          <w:rFonts w:ascii="Times New Roman" w:hAnsi="Times New Roman" w:cs="Times New Roman"/>
          <w:sz w:val="20"/>
          <w:szCs w:val="20"/>
        </w:rPr>
        <w:t>is the adjustment to the revenue for the relevant Distribution Network Service Provider for the 2018 regulatory year;</w:t>
      </w:r>
      <w:r>
        <w:rPr>
          <w:rFonts w:ascii="Times New Roman" w:hAnsi="Times New Roman" w:cs="Times New Roman"/>
          <w:sz w:val="20"/>
          <w:szCs w:val="20"/>
        </w:rPr>
        <w:br/>
      </w:r>
    </w:p>
    <w:p w14:paraId="50012725"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Transitional rate</w:t>
      </w:r>
      <w:r>
        <w:rPr>
          <w:rFonts w:ascii="Times New Roman" w:hAnsi="Times New Roman" w:cs="Times New Roman"/>
          <w:sz w:val="20"/>
          <w:szCs w:val="20"/>
        </w:rPr>
        <w:t xml:space="preserve"> is $25,000;</w:t>
      </w:r>
      <w:r>
        <w:rPr>
          <w:rFonts w:ascii="Times New Roman" w:hAnsi="Times New Roman" w:cs="Times New Roman"/>
          <w:sz w:val="20"/>
          <w:szCs w:val="20"/>
        </w:rPr>
        <w:br/>
      </w:r>
    </w:p>
    <w:p w14:paraId="5747A27D"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 xml:space="preserve">Transitional target </w:t>
      </w:r>
      <w:r>
        <w:rPr>
          <w:rFonts w:ascii="Times New Roman" w:hAnsi="Times New Roman" w:cs="Times New Roman"/>
          <w:sz w:val="20"/>
          <w:szCs w:val="20"/>
        </w:rPr>
        <w:t xml:space="preserve">is the number of fire starts for the first six months of the 2016 regulatory year as specified in the following table: </w:t>
      </w:r>
    </w:p>
    <w:p w14:paraId="736FB985" w14:textId="77777777" w:rsidR="00671DEB" w:rsidRDefault="00671DEB" w:rsidP="00671DEB">
      <w:pPr>
        <w:pStyle w:val="ListParagraph"/>
        <w:spacing w:before="120" w:after="120"/>
        <w:ind w:left="2880"/>
        <w:rPr>
          <w:rFonts w:ascii="Times New Roman" w:hAnsi="Times New Roman" w:cs="Times New Roman"/>
          <w:sz w:val="20"/>
          <w:szCs w:val="20"/>
        </w:rPr>
      </w:pPr>
    </w:p>
    <w:p w14:paraId="250B3A6F" w14:textId="77777777" w:rsidR="00885A3A" w:rsidRDefault="00885A3A" w:rsidP="00671DEB">
      <w:pPr>
        <w:pStyle w:val="ListParagraph"/>
        <w:spacing w:before="120" w:after="120"/>
        <w:ind w:left="2880"/>
        <w:rPr>
          <w:rFonts w:ascii="Times New Roman" w:hAnsi="Times New Roman" w:cs="Times New Roman"/>
          <w:sz w:val="20"/>
          <w:szCs w:val="20"/>
        </w:rPr>
      </w:pPr>
    </w:p>
    <w:p w14:paraId="3ACD86D2" w14:textId="77777777" w:rsidR="00885A3A" w:rsidRDefault="00885A3A" w:rsidP="00671DEB">
      <w:pPr>
        <w:pStyle w:val="ListParagraph"/>
        <w:spacing w:before="120" w:after="120"/>
        <w:ind w:left="2880"/>
        <w:rPr>
          <w:rFonts w:ascii="Times New Roman" w:hAnsi="Times New Roman" w:cs="Times New Roman"/>
          <w:sz w:val="20"/>
          <w:szCs w:val="20"/>
        </w:rPr>
      </w:pPr>
    </w:p>
    <w:p w14:paraId="72316C66" w14:textId="77777777" w:rsidR="00671DEB" w:rsidRDefault="00671DEB" w:rsidP="00671DEB">
      <w:pPr>
        <w:pStyle w:val="ListParagraph"/>
        <w:spacing w:before="120" w:after="120"/>
        <w:ind w:left="1440"/>
        <w:rPr>
          <w:rFonts w:ascii="Times New Roman" w:hAnsi="Times New Roman" w:cs="Times New Roman"/>
          <w:sz w:val="20"/>
          <w:szCs w:val="20"/>
        </w:rPr>
      </w:pPr>
    </w:p>
    <w:tbl>
      <w:tblPr>
        <w:tblStyle w:val="TableGrid"/>
        <w:tblW w:w="0" w:type="auto"/>
        <w:tblInd w:w="1440" w:type="dxa"/>
        <w:tblBorders>
          <w:left w:val="none" w:sz="0" w:space="0" w:color="auto"/>
          <w:right w:val="none" w:sz="0" w:space="0" w:color="auto"/>
          <w:insideV w:val="none" w:sz="0" w:space="0" w:color="auto"/>
        </w:tblBorders>
        <w:tblLook w:val="04A0" w:firstRow="1" w:lastRow="0" w:firstColumn="1" w:lastColumn="0" w:noHBand="0" w:noVBand="1"/>
      </w:tblPr>
      <w:tblGrid>
        <w:gridCol w:w="1370"/>
        <w:gridCol w:w="1259"/>
        <w:gridCol w:w="1321"/>
        <w:gridCol w:w="1273"/>
        <w:gridCol w:w="1314"/>
        <w:gridCol w:w="1265"/>
      </w:tblGrid>
      <w:tr w:rsidR="00671DEB" w14:paraId="647A8038" w14:textId="77777777" w:rsidTr="009F70DA">
        <w:tc>
          <w:tcPr>
            <w:tcW w:w="1402" w:type="dxa"/>
            <w:vMerge w:val="restart"/>
            <w:tcBorders>
              <w:top w:val="single" w:sz="4" w:space="0" w:color="auto"/>
              <w:left w:val="nil"/>
              <w:bottom w:val="single" w:sz="4" w:space="0" w:color="auto"/>
              <w:right w:val="nil"/>
            </w:tcBorders>
          </w:tcPr>
          <w:p w14:paraId="6D1880D5" w14:textId="77777777" w:rsidR="00671DEB" w:rsidRDefault="00671DEB" w:rsidP="009F70DA">
            <w:pPr>
              <w:pStyle w:val="ListParagraph"/>
              <w:spacing w:before="120" w:after="120"/>
              <w:ind w:left="0"/>
              <w:rPr>
                <w:rFonts w:ascii="Times New Roman" w:hAnsi="Times New Roman" w:cs="Times New Roman"/>
                <w:b/>
                <w:sz w:val="20"/>
                <w:szCs w:val="20"/>
              </w:rPr>
            </w:pPr>
          </w:p>
        </w:tc>
        <w:tc>
          <w:tcPr>
            <w:tcW w:w="7013" w:type="dxa"/>
            <w:gridSpan w:val="5"/>
            <w:tcBorders>
              <w:top w:val="single" w:sz="4" w:space="0" w:color="auto"/>
              <w:left w:val="nil"/>
              <w:bottom w:val="nil"/>
              <w:right w:val="nil"/>
            </w:tcBorders>
            <w:hideMark/>
          </w:tcPr>
          <w:p w14:paraId="60136E47" w14:textId="77777777" w:rsidR="00671DEB" w:rsidRDefault="00671DEB" w:rsidP="009F70DA">
            <w:pPr>
              <w:pStyle w:val="ListParagraph"/>
              <w:spacing w:before="120" w:after="120"/>
              <w:ind w:left="0"/>
              <w:rPr>
                <w:rFonts w:ascii="Times New Roman" w:hAnsi="Times New Roman" w:cs="Times New Roman"/>
                <w:b/>
                <w:sz w:val="20"/>
                <w:szCs w:val="20"/>
              </w:rPr>
            </w:pPr>
            <w:r>
              <w:rPr>
                <w:rFonts w:ascii="Times New Roman" w:hAnsi="Times New Roman" w:cs="Times New Roman"/>
                <w:b/>
                <w:sz w:val="20"/>
                <w:szCs w:val="20"/>
              </w:rPr>
              <w:t>Distribution Network Service Provider</w:t>
            </w:r>
          </w:p>
        </w:tc>
      </w:tr>
      <w:tr w:rsidR="00671DEB" w14:paraId="66F422C6" w14:textId="77777777" w:rsidTr="009F70DA">
        <w:tc>
          <w:tcPr>
            <w:tcW w:w="0" w:type="auto"/>
            <w:vMerge/>
            <w:tcBorders>
              <w:top w:val="single" w:sz="4" w:space="0" w:color="auto"/>
              <w:left w:val="nil"/>
              <w:bottom w:val="single" w:sz="4" w:space="0" w:color="auto"/>
              <w:right w:val="nil"/>
            </w:tcBorders>
            <w:vAlign w:val="center"/>
            <w:hideMark/>
          </w:tcPr>
          <w:p w14:paraId="4A95C9CC" w14:textId="77777777" w:rsidR="00671DEB" w:rsidRDefault="00671DEB" w:rsidP="009F70DA">
            <w:pPr>
              <w:rPr>
                <w:rFonts w:ascii="Times New Roman" w:hAnsi="Times New Roman" w:cs="Times New Roman"/>
                <w:b/>
                <w:sz w:val="20"/>
                <w:szCs w:val="20"/>
              </w:rPr>
            </w:pPr>
          </w:p>
        </w:tc>
        <w:tc>
          <w:tcPr>
            <w:tcW w:w="1402" w:type="dxa"/>
            <w:tcBorders>
              <w:top w:val="nil"/>
              <w:left w:val="nil"/>
              <w:bottom w:val="single" w:sz="4" w:space="0" w:color="auto"/>
              <w:right w:val="nil"/>
            </w:tcBorders>
            <w:hideMark/>
          </w:tcPr>
          <w:p w14:paraId="6F6B6EB3" w14:textId="77777777" w:rsidR="00671DEB" w:rsidRDefault="00671DEB" w:rsidP="009F70DA">
            <w:pPr>
              <w:pStyle w:val="ListParagraph"/>
              <w:spacing w:after="120"/>
              <w:ind w:left="0"/>
              <w:rPr>
                <w:rFonts w:ascii="Times New Roman" w:hAnsi="Times New Roman" w:cs="Times New Roman"/>
                <w:b/>
                <w:sz w:val="20"/>
                <w:szCs w:val="20"/>
              </w:rPr>
            </w:pPr>
            <w:r>
              <w:rPr>
                <w:rFonts w:ascii="Times New Roman" w:hAnsi="Times New Roman" w:cs="Times New Roman"/>
                <w:b/>
                <w:sz w:val="20"/>
                <w:szCs w:val="20"/>
              </w:rPr>
              <w:t>Ausnet</w:t>
            </w:r>
          </w:p>
        </w:tc>
        <w:tc>
          <w:tcPr>
            <w:tcW w:w="1402" w:type="dxa"/>
            <w:tcBorders>
              <w:top w:val="nil"/>
              <w:left w:val="nil"/>
              <w:bottom w:val="single" w:sz="4" w:space="0" w:color="auto"/>
              <w:right w:val="nil"/>
            </w:tcBorders>
            <w:hideMark/>
          </w:tcPr>
          <w:p w14:paraId="0782AFD5" w14:textId="77777777" w:rsidR="00671DEB" w:rsidRDefault="00671DEB" w:rsidP="009F70DA">
            <w:pPr>
              <w:pStyle w:val="ListParagraph"/>
              <w:spacing w:after="120"/>
              <w:ind w:left="0"/>
              <w:rPr>
                <w:rFonts w:ascii="Times New Roman" w:hAnsi="Times New Roman" w:cs="Times New Roman"/>
                <w:b/>
                <w:sz w:val="20"/>
                <w:szCs w:val="20"/>
              </w:rPr>
            </w:pPr>
            <w:r>
              <w:rPr>
                <w:rFonts w:ascii="Times New Roman" w:hAnsi="Times New Roman" w:cs="Times New Roman"/>
                <w:b/>
                <w:sz w:val="20"/>
                <w:szCs w:val="20"/>
              </w:rPr>
              <w:t>Citipower</w:t>
            </w:r>
          </w:p>
        </w:tc>
        <w:tc>
          <w:tcPr>
            <w:tcW w:w="1403" w:type="dxa"/>
            <w:tcBorders>
              <w:top w:val="nil"/>
              <w:left w:val="nil"/>
              <w:bottom w:val="single" w:sz="4" w:space="0" w:color="auto"/>
              <w:right w:val="nil"/>
            </w:tcBorders>
            <w:hideMark/>
          </w:tcPr>
          <w:p w14:paraId="3BA039F3" w14:textId="77777777" w:rsidR="00671DEB" w:rsidRDefault="00671DEB" w:rsidP="009F70DA">
            <w:pPr>
              <w:pStyle w:val="ListParagraph"/>
              <w:spacing w:after="120"/>
              <w:ind w:left="0"/>
              <w:rPr>
                <w:rFonts w:ascii="Times New Roman" w:hAnsi="Times New Roman" w:cs="Times New Roman"/>
                <w:b/>
                <w:sz w:val="20"/>
                <w:szCs w:val="20"/>
              </w:rPr>
            </w:pPr>
            <w:r>
              <w:rPr>
                <w:rFonts w:ascii="Times New Roman" w:hAnsi="Times New Roman" w:cs="Times New Roman"/>
                <w:b/>
                <w:sz w:val="20"/>
                <w:szCs w:val="20"/>
              </w:rPr>
              <w:t>Jemena</w:t>
            </w:r>
          </w:p>
        </w:tc>
        <w:tc>
          <w:tcPr>
            <w:tcW w:w="1403" w:type="dxa"/>
            <w:tcBorders>
              <w:top w:val="nil"/>
              <w:left w:val="nil"/>
              <w:bottom w:val="single" w:sz="4" w:space="0" w:color="auto"/>
              <w:right w:val="nil"/>
            </w:tcBorders>
            <w:hideMark/>
          </w:tcPr>
          <w:p w14:paraId="0CDBE244" w14:textId="77777777" w:rsidR="00671DEB" w:rsidRDefault="00671DEB" w:rsidP="009F70DA">
            <w:pPr>
              <w:pStyle w:val="ListParagraph"/>
              <w:spacing w:after="120"/>
              <w:ind w:left="0"/>
              <w:rPr>
                <w:rFonts w:ascii="Times New Roman" w:hAnsi="Times New Roman" w:cs="Times New Roman"/>
                <w:b/>
                <w:sz w:val="20"/>
                <w:szCs w:val="20"/>
              </w:rPr>
            </w:pPr>
            <w:r>
              <w:rPr>
                <w:rFonts w:ascii="Times New Roman" w:hAnsi="Times New Roman" w:cs="Times New Roman"/>
                <w:b/>
                <w:sz w:val="20"/>
                <w:szCs w:val="20"/>
              </w:rPr>
              <w:t>Powercor</w:t>
            </w:r>
          </w:p>
        </w:tc>
        <w:tc>
          <w:tcPr>
            <w:tcW w:w="1403" w:type="dxa"/>
            <w:tcBorders>
              <w:top w:val="nil"/>
              <w:left w:val="nil"/>
              <w:bottom w:val="single" w:sz="4" w:space="0" w:color="auto"/>
              <w:right w:val="nil"/>
            </w:tcBorders>
            <w:hideMark/>
          </w:tcPr>
          <w:p w14:paraId="6A840D03" w14:textId="77777777" w:rsidR="00671DEB" w:rsidRDefault="00671DEB" w:rsidP="009F70DA">
            <w:pPr>
              <w:pStyle w:val="ListParagraph"/>
              <w:spacing w:after="120"/>
              <w:ind w:left="0"/>
              <w:rPr>
                <w:rFonts w:ascii="Times New Roman" w:hAnsi="Times New Roman" w:cs="Times New Roman"/>
                <w:b/>
                <w:sz w:val="20"/>
                <w:szCs w:val="20"/>
              </w:rPr>
            </w:pPr>
            <w:r>
              <w:rPr>
                <w:rFonts w:ascii="Times New Roman" w:hAnsi="Times New Roman" w:cs="Times New Roman"/>
                <w:b/>
                <w:sz w:val="20"/>
                <w:szCs w:val="20"/>
              </w:rPr>
              <w:t>United Energy</w:t>
            </w:r>
          </w:p>
        </w:tc>
      </w:tr>
      <w:tr w:rsidR="00671DEB" w14:paraId="115C2B54" w14:textId="77777777" w:rsidTr="009F70DA">
        <w:tc>
          <w:tcPr>
            <w:tcW w:w="1402" w:type="dxa"/>
            <w:tcBorders>
              <w:top w:val="single" w:sz="4" w:space="0" w:color="auto"/>
              <w:left w:val="nil"/>
              <w:bottom w:val="single" w:sz="4" w:space="0" w:color="auto"/>
              <w:right w:val="nil"/>
            </w:tcBorders>
            <w:hideMark/>
          </w:tcPr>
          <w:p w14:paraId="3EE6FB58" w14:textId="77777777" w:rsidR="00671DEB" w:rsidRDefault="00671DEB" w:rsidP="009F70DA">
            <w:pPr>
              <w:pStyle w:val="ListParagraph"/>
              <w:ind w:left="0"/>
              <w:rPr>
                <w:rFonts w:ascii="Times New Roman" w:hAnsi="Times New Roman" w:cs="Times New Roman"/>
                <w:b/>
                <w:sz w:val="20"/>
                <w:szCs w:val="20"/>
              </w:rPr>
            </w:pPr>
            <w:r>
              <w:rPr>
                <w:rFonts w:ascii="Times New Roman" w:hAnsi="Times New Roman" w:cs="Times New Roman"/>
                <w:b/>
                <w:sz w:val="20"/>
                <w:szCs w:val="20"/>
              </w:rPr>
              <w:t>Transitional target (fire starts)</w:t>
            </w:r>
          </w:p>
        </w:tc>
        <w:tc>
          <w:tcPr>
            <w:tcW w:w="1402" w:type="dxa"/>
            <w:tcBorders>
              <w:top w:val="single" w:sz="4" w:space="0" w:color="auto"/>
              <w:left w:val="nil"/>
              <w:bottom w:val="single" w:sz="4" w:space="0" w:color="auto"/>
              <w:right w:val="nil"/>
            </w:tcBorders>
            <w:hideMark/>
          </w:tcPr>
          <w:p w14:paraId="3E452AA6" w14:textId="53A732FA" w:rsidR="00671DEB" w:rsidRDefault="00865BB8" w:rsidP="009F70DA">
            <w:pPr>
              <w:pStyle w:val="ListParagraph"/>
              <w:ind w:left="0"/>
              <w:rPr>
                <w:rFonts w:ascii="Times New Roman" w:hAnsi="Times New Roman" w:cs="Times New Roman"/>
                <w:sz w:val="20"/>
                <w:szCs w:val="20"/>
              </w:rPr>
            </w:pPr>
            <w:r>
              <w:rPr>
                <w:rFonts w:ascii="Times New Roman" w:hAnsi="Times New Roman" w:cs="Times New Roman"/>
                <w:sz w:val="20"/>
                <w:szCs w:val="20"/>
              </w:rPr>
              <w:t>109.0</w:t>
            </w:r>
          </w:p>
        </w:tc>
        <w:tc>
          <w:tcPr>
            <w:tcW w:w="1402" w:type="dxa"/>
            <w:tcBorders>
              <w:top w:val="single" w:sz="4" w:space="0" w:color="auto"/>
              <w:left w:val="nil"/>
              <w:bottom w:val="single" w:sz="4" w:space="0" w:color="auto"/>
              <w:right w:val="nil"/>
            </w:tcBorders>
            <w:hideMark/>
          </w:tcPr>
          <w:p w14:paraId="7E81E74F" w14:textId="4B9E98F1" w:rsidR="00671DEB" w:rsidRDefault="00865BB8" w:rsidP="009F70DA">
            <w:pPr>
              <w:pStyle w:val="ListParagraph"/>
              <w:ind w:left="0"/>
              <w:rPr>
                <w:rFonts w:ascii="Times New Roman" w:hAnsi="Times New Roman" w:cs="Times New Roman"/>
                <w:sz w:val="20"/>
                <w:szCs w:val="20"/>
              </w:rPr>
            </w:pPr>
            <w:r>
              <w:rPr>
                <w:rFonts w:ascii="Times New Roman" w:hAnsi="Times New Roman" w:cs="Times New Roman"/>
                <w:sz w:val="20"/>
                <w:szCs w:val="20"/>
              </w:rPr>
              <w:t>18.6</w:t>
            </w:r>
          </w:p>
        </w:tc>
        <w:tc>
          <w:tcPr>
            <w:tcW w:w="1403" w:type="dxa"/>
            <w:tcBorders>
              <w:top w:val="single" w:sz="4" w:space="0" w:color="auto"/>
              <w:left w:val="nil"/>
              <w:bottom w:val="single" w:sz="4" w:space="0" w:color="auto"/>
              <w:right w:val="nil"/>
            </w:tcBorders>
            <w:hideMark/>
          </w:tcPr>
          <w:p w14:paraId="5893CD11" w14:textId="2E6B57B5" w:rsidR="00671DEB" w:rsidRDefault="00865BB8" w:rsidP="009F70DA">
            <w:pPr>
              <w:pStyle w:val="ListParagraph"/>
              <w:ind w:left="0"/>
              <w:rPr>
                <w:rFonts w:ascii="Times New Roman" w:hAnsi="Times New Roman" w:cs="Times New Roman"/>
                <w:sz w:val="20"/>
                <w:szCs w:val="20"/>
              </w:rPr>
            </w:pPr>
            <w:r>
              <w:rPr>
                <w:rFonts w:ascii="Times New Roman" w:hAnsi="Times New Roman" w:cs="Times New Roman"/>
                <w:sz w:val="20"/>
                <w:szCs w:val="20"/>
              </w:rPr>
              <w:t>50.2</w:t>
            </w:r>
          </w:p>
        </w:tc>
        <w:tc>
          <w:tcPr>
            <w:tcW w:w="1403" w:type="dxa"/>
            <w:tcBorders>
              <w:top w:val="single" w:sz="4" w:space="0" w:color="auto"/>
              <w:left w:val="nil"/>
              <w:bottom w:val="single" w:sz="4" w:space="0" w:color="auto"/>
              <w:right w:val="nil"/>
            </w:tcBorders>
            <w:hideMark/>
          </w:tcPr>
          <w:p w14:paraId="392ED952" w14:textId="2C8B9DE4" w:rsidR="00671DEB" w:rsidRDefault="00865BB8" w:rsidP="009F70DA">
            <w:pPr>
              <w:pStyle w:val="ListParagraph"/>
              <w:ind w:left="0"/>
              <w:rPr>
                <w:rFonts w:ascii="Times New Roman" w:hAnsi="Times New Roman" w:cs="Times New Roman"/>
                <w:sz w:val="20"/>
                <w:szCs w:val="20"/>
              </w:rPr>
            </w:pPr>
            <w:r>
              <w:rPr>
                <w:rFonts w:ascii="Times New Roman" w:hAnsi="Times New Roman" w:cs="Times New Roman"/>
                <w:sz w:val="20"/>
                <w:szCs w:val="20"/>
              </w:rPr>
              <w:t>237.2</w:t>
            </w:r>
          </w:p>
        </w:tc>
        <w:tc>
          <w:tcPr>
            <w:tcW w:w="1403" w:type="dxa"/>
            <w:tcBorders>
              <w:top w:val="single" w:sz="4" w:space="0" w:color="auto"/>
              <w:left w:val="nil"/>
              <w:bottom w:val="single" w:sz="4" w:space="0" w:color="auto"/>
              <w:right w:val="nil"/>
            </w:tcBorders>
            <w:hideMark/>
          </w:tcPr>
          <w:p w14:paraId="5553F7F4" w14:textId="2B6F016B" w:rsidR="00671DEB" w:rsidRDefault="00865BB8" w:rsidP="009F70DA">
            <w:pPr>
              <w:pStyle w:val="ListParagraph"/>
              <w:ind w:left="0"/>
              <w:rPr>
                <w:rFonts w:ascii="Times New Roman" w:hAnsi="Times New Roman" w:cs="Times New Roman"/>
                <w:sz w:val="20"/>
                <w:szCs w:val="20"/>
              </w:rPr>
            </w:pPr>
            <w:r>
              <w:rPr>
                <w:rFonts w:ascii="Times New Roman" w:hAnsi="Times New Roman" w:cs="Times New Roman"/>
                <w:sz w:val="20"/>
                <w:szCs w:val="20"/>
              </w:rPr>
              <w:t>98.0</w:t>
            </w:r>
          </w:p>
        </w:tc>
      </w:tr>
    </w:tbl>
    <w:p w14:paraId="17F6E745" w14:textId="77777777" w:rsidR="00671DEB" w:rsidRDefault="00671DEB" w:rsidP="00671DEB">
      <w:pPr>
        <w:pStyle w:val="ListParagraph"/>
        <w:spacing w:before="120" w:after="120"/>
        <w:ind w:left="1440"/>
        <w:rPr>
          <w:rFonts w:ascii="Times New Roman" w:hAnsi="Times New Roman" w:cs="Times New Roman"/>
          <w:sz w:val="20"/>
          <w:szCs w:val="20"/>
        </w:rPr>
      </w:pPr>
    </w:p>
    <w:p w14:paraId="76130CEB"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b/>
          <w:i/>
          <w:sz w:val="20"/>
          <w:szCs w:val="20"/>
        </w:rPr>
        <w:t>Number of fires</w:t>
      </w:r>
      <w:r>
        <w:rPr>
          <w:rFonts w:ascii="Times New Roman" w:hAnsi="Times New Roman" w:cs="Times New Roman"/>
          <w:sz w:val="20"/>
          <w:szCs w:val="20"/>
        </w:rPr>
        <w:t xml:space="preserve"> is the number of fire starts determined under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_Ref443905587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12</w:t>
      </w:r>
      <w:r>
        <w:rPr>
          <w:rFonts w:ascii="Times New Roman" w:hAnsi="Times New Roman" w:cs="Times New Roman"/>
          <w:sz w:val="20"/>
          <w:szCs w:val="20"/>
        </w:rPr>
        <w:fldChar w:fldCharType="end"/>
      </w:r>
      <w:r>
        <w:rPr>
          <w:rFonts w:ascii="Times New Roman" w:hAnsi="Times New Roman" w:cs="Times New Roman"/>
          <w:sz w:val="20"/>
          <w:szCs w:val="20"/>
        </w:rPr>
        <w:t xml:space="preserve"> to have occurred in the first six months of the 2016 regulatory year.</w:t>
      </w:r>
      <w:r>
        <w:rPr>
          <w:rFonts w:ascii="Times New Roman" w:hAnsi="Times New Roman" w:cs="Times New Roman"/>
          <w:sz w:val="20"/>
          <w:szCs w:val="20"/>
        </w:rPr>
        <w:br/>
      </w:r>
    </w:p>
    <w:p w14:paraId="53E37ED1" w14:textId="77777777" w:rsidR="00671DEB" w:rsidRDefault="00671DEB" w:rsidP="00671DEB">
      <w:pPr>
        <w:pStyle w:val="ListParagraph"/>
        <w:spacing w:before="120" w:after="120"/>
        <w:ind w:left="1440"/>
        <w:rPr>
          <w:rFonts w:ascii="Times New Roman" w:hAnsi="Times New Roman" w:cs="Times New Roman"/>
          <w:sz w:val="20"/>
          <w:szCs w:val="20"/>
        </w:rPr>
      </w:pPr>
    </w:p>
    <w:p w14:paraId="598503E5" w14:textId="77777777" w:rsidR="00671DEB" w:rsidRDefault="00671DEB" w:rsidP="00671DEB">
      <w:pPr>
        <w:pStyle w:val="ListParagraph"/>
        <w:numPr>
          <w:ilvl w:val="0"/>
          <w:numId w:val="47"/>
        </w:numPr>
        <w:spacing w:before="120" w:after="120"/>
        <w:rPr>
          <w:rFonts w:ascii="Times New Roman" w:hAnsi="Times New Roman" w:cs="Times New Roman"/>
          <w:b/>
          <w:sz w:val="20"/>
          <w:szCs w:val="20"/>
        </w:rPr>
      </w:pPr>
      <w:r>
        <w:rPr>
          <w:rFonts w:ascii="Times New Roman" w:hAnsi="Times New Roman" w:cs="Times New Roman"/>
          <w:b/>
          <w:sz w:val="20"/>
          <w:szCs w:val="20"/>
        </w:rPr>
        <w:t>Consultation procedures</w:t>
      </w:r>
    </w:p>
    <w:p w14:paraId="5EF35E94" w14:textId="77777777" w:rsidR="00671DEB" w:rsidRPr="00E16ADC" w:rsidRDefault="00671DEB" w:rsidP="00671DEB">
      <w:pPr>
        <w:pStyle w:val="ListParagraph"/>
        <w:numPr>
          <w:ilvl w:val="1"/>
          <w:numId w:val="47"/>
        </w:numPr>
        <w:spacing w:before="120" w:after="120"/>
        <w:rPr>
          <w:rFonts w:ascii="Times New Roman" w:hAnsi="Times New Roman" w:cs="Times New Roman"/>
          <w:sz w:val="20"/>
          <w:szCs w:val="20"/>
        </w:rPr>
      </w:pPr>
      <w:bookmarkStart w:id="125" w:name="_Ref443906065"/>
      <w:r w:rsidRPr="00E16ADC">
        <w:rPr>
          <w:rFonts w:ascii="Times New Roman" w:hAnsi="Times New Roman" w:cs="Times New Roman"/>
          <w:sz w:val="20"/>
          <w:szCs w:val="20"/>
        </w:rPr>
        <w:t>The distribution consultation procedures set out in clause 6.16 of the National Electricity Rules (as amended by this clause) are taken to apply and must be followed by the AER when it makes</w:t>
      </w:r>
      <w:bookmarkEnd w:id="125"/>
      <w:r w:rsidRPr="00E16ADC">
        <w:rPr>
          <w:rFonts w:ascii="Times New Roman" w:hAnsi="Times New Roman" w:cs="Times New Roman"/>
          <w:sz w:val="20"/>
          <w:szCs w:val="20"/>
        </w:rPr>
        <w:t xml:space="preserve"> a decision to vary a distribution determination pursuant to</w:t>
      </w:r>
      <w:r>
        <w:rPr>
          <w:rFonts w:ascii="Times New Roman" w:hAnsi="Times New Roman" w:cs="Times New Roman"/>
          <w:sz w:val="20"/>
          <w:szCs w:val="20"/>
        </w:rPr>
        <w:t xml:space="preserve"> </w:t>
      </w:r>
      <w:r w:rsidRPr="00E16ADC">
        <w:rPr>
          <w:rFonts w:ascii="Times New Roman" w:hAnsi="Times New Roman" w:cs="Times New Roman"/>
          <w:sz w:val="20"/>
          <w:szCs w:val="20"/>
        </w:rPr>
        <w:t>clause 6.13A of the National Electricity Rules.</w:t>
      </w:r>
      <w:r w:rsidRPr="00E16ADC">
        <w:rPr>
          <w:rFonts w:ascii="Times New Roman" w:hAnsi="Times New Roman" w:cs="Times New Roman"/>
          <w:sz w:val="20"/>
          <w:szCs w:val="20"/>
        </w:rPr>
        <w:br/>
      </w:r>
    </w:p>
    <w:p w14:paraId="39802D4E" w14:textId="77777777" w:rsidR="00671DEB" w:rsidRDefault="00671DEB" w:rsidP="00671DEB">
      <w:pPr>
        <w:pStyle w:val="ListParagraph"/>
        <w:spacing w:before="120" w:after="120"/>
        <w:ind w:left="2160"/>
        <w:rPr>
          <w:rFonts w:ascii="Times New Roman" w:hAnsi="Times New Roman" w:cs="Times New Roman"/>
          <w:i/>
          <w:sz w:val="20"/>
          <w:szCs w:val="20"/>
        </w:rPr>
      </w:pPr>
      <w:r>
        <w:rPr>
          <w:rFonts w:ascii="Times New Roman" w:hAnsi="Times New Roman" w:cs="Times New Roman"/>
          <w:i/>
          <w:sz w:val="20"/>
          <w:szCs w:val="20"/>
        </w:rPr>
        <w:t xml:space="preserve">Note: Clause 6.13A is inserted in the National Electricity Rules by section 16E(2)(a) of the </w:t>
      </w:r>
      <w:r w:rsidRPr="000B205E">
        <w:rPr>
          <w:rFonts w:ascii="Times New Roman" w:hAnsi="Times New Roman" w:cs="Times New Roman"/>
          <w:b/>
          <w:i/>
          <w:sz w:val="20"/>
          <w:szCs w:val="20"/>
        </w:rPr>
        <w:t>National Electricity (Victoria) Act 2005</w:t>
      </w:r>
      <w:r>
        <w:rPr>
          <w:rFonts w:ascii="Times New Roman" w:hAnsi="Times New Roman" w:cs="Times New Roman"/>
          <w:i/>
          <w:sz w:val="20"/>
          <w:szCs w:val="20"/>
        </w:rPr>
        <w:t>.</w:t>
      </w:r>
      <w:r>
        <w:rPr>
          <w:rFonts w:ascii="Times New Roman" w:hAnsi="Times New Roman" w:cs="Times New Roman"/>
          <w:i/>
          <w:sz w:val="20"/>
          <w:szCs w:val="20"/>
        </w:rPr>
        <w:br/>
      </w:r>
    </w:p>
    <w:p w14:paraId="0556E580"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bookmarkStart w:id="126" w:name="_Ref457388669"/>
      <w:r>
        <w:rPr>
          <w:rFonts w:ascii="Times New Roman" w:hAnsi="Times New Roman" w:cs="Times New Roman"/>
          <w:sz w:val="20"/>
          <w:szCs w:val="20"/>
        </w:rPr>
        <w:t>In making an f-factor scheme determination, the AER must follow –</w:t>
      </w:r>
      <w:bookmarkEnd w:id="126"/>
    </w:p>
    <w:p w14:paraId="71AF230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27" w:name="_Ref457378631"/>
      <w:r>
        <w:rPr>
          <w:rFonts w:ascii="Times New Roman" w:hAnsi="Times New Roman" w:cs="Times New Roman"/>
          <w:sz w:val="20"/>
          <w:szCs w:val="20"/>
        </w:rPr>
        <w:t>the distribution consultation procedures set out in clause 6.16 of the National Electricity Rules as amended by this clause; or</w:t>
      </w:r>
      <w:bookmarkEnd w:id="127"/>
    </w:p>
    <w:p w14:paraId="66DEF6D0" w14:textId="77777777" w:rsidR="00671DEB" w:rsidRDefault="00671DEB" w:rsidP="00671DEB">
      <w:pPr>
        <w:pStyle w:val="ListParagraph"/>
        <w:numPr>
          <w:ilvl w:val="2"/>
          <w:numId w:val="47"/>
        </w:numPr>
        <w:spacing w:before="120" w:after="0" w:line="240" w:lineRule="auto"/>
        <w:ind w:left="2174" w:hanging="187"/>
        <w:rPr>
          <w:rFonts w:ascii="Times New Roman" w:hAnsi="Times New Roman" w:cs="Times New Roman"/>
          <w:sz w:val="20"/>
          <w:szCs w:val="20"/>
        </w:rPr>
      </w:pPr>
      <w:bookmarkStart w:id="128" w:name="_Ref457378657"/>
      <w:r>
        <w:rPr>
          <w:rFonts w:ascii="Times New Roman" w:hAnsi="Times New Roman" w:cs="Times New Roman"/>
          <w:sz w:val="20"/>
          <w:szCs w:val="20"/>
        </w:rPr>
        <w:t>the procedures for making a distribution determination set out in clauses 6.8 to 6.11 inclusive and clause 6.12.2(a) of the National Electricity Rules, as amended by this clause,</w:t>
      </w:r>
      <w:bookmarkEnd w:id="128"/>
      <w:r>
        <w:rPr>
          <w:rFonts w:ascii="Times New Roman" w:hAnsi="Times New Roman" w:cs="Times New Roman"/>
          <w:sz w:val="20"/>
          <w:szCs w:val="20"/>
        </w:rPr>
        <w:t xml:space="preserve"> </w:t>
      </w:r>
    </w:p>
    <w:p w14:paraId="12AF89C5" w14:textId="77777777" w:rsidR="00671DEB" w:rsidRPr="00D1691B" w:rsidRDefault="00671DEB" w:rsidP="00671DEB">
      <w:pPr>
        <w:spacing w:after="0" w:line="240" w:lineRule="auto"/>
        <w:ind w:left="1440"/>
        <w:rPr>
          <w:rFonts w:ascii="Times New Roman" w:hAnsi="Times New Roman" w:cs="Times New Roman"/>
          <w:sz w:val="20"/>
          <w:szCs w:val="20"/>
        </w:rPr>
      </w:pPr>
      <w:r w:rsidRPr="00D1691B">
        <w:rPr>
          <w:rFonts w:ascii="Times New Roman" w:hAnsi="Times New Roman" w:cs="Times New Roman"/>
          <w:sz w:val="20"/>
          <w:szCs w:val="20"/>
        </w:rPr>
        <w:t>which</w:t>
      </w:r>
      <w:r>
        <w:rPr>
          <w:rFonts w:ascii="Times New Roman" w:hAnsi="Times New Roman" w:cs="Times New Roman"/>
          <w:sz w:val="20"/>
          <w:szCs w:val="20"/>
        </w:rPr>
        <w:t xml:space="preserve"> procedures and</w:t>
      </w:r>
      <w:r w:rsidRPr="00D1691B">
        <w:rPr>
          <w:rFonts w:ascii="Times New Roman" w:hAnsi="Times New Roman" w:cs="Times New Roman"/>
          <w:sz w:val="20"/>
          <w:szCs w:val="20"/>
        </w:rPr>
        <w:t xml:space="preserve"> clauses are all taken to apply.</w:t>
      </w:r>
    </w:p>
    <w:p w14:paraId="7344F5DF"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For the purposes of subclauses </w:t>
      </w:r>
      <w:r>
        <w:fldChar w:fldCharType="begin"/>
      </w:r>
      <w:r>
        <w:rPr>
          <w:rFonts w:ascii="Times New Roman" w:hAnsi="Times New Roman" w:cs="Times New Roman"/>
          <w:sz w:val="20"/>
          <w:szCs w:val="20"/>
        </w:rPr>
        <w:instrText xml:space="preserve"> REF _Ref443906065 \r \h </w:instrText>
      </w:r>
      <w:r>
        <w:rPr>
          <w:rFonts w:ascii="Times New Roman" w:hAnsi="Times New Roman" w:cs="Times New Roman"/>
        </w:rPr>
        <w:instrText xml:space="preserve"> \* MERGEFORMAT </w:instrText>
      </w:r>
      <w:r>
        <w:fldChar w:fldCharType="separate"/>
      </w:r>
      <w:r w:rsidR="00167D0B">
        <w:rPr>
          <w:rFonts w:ascii="Times New Roman" w:hAnsi="Times New Roman" w:cs="Times New Roman"/>
          <w:sz w:val="20"/>
          <w:szCs w:val="20"/>
        </w:rPr>
        <w:t>(1)</w:t>
      </w:r>
      <w:r>
        <w:fldChar w:fldCharType="end"/>
      </w:r>
      <w:r>
        <w:rPr>
          <w:rFonts w:ascii="Times New Roman" w:hAnsi="Times New Roman" w:cs="Times New Roman"/>
        </w:rPr>
        <w:t xml:space="preserve"> and </w:t>
      </w:r>
      <w:r>
        <w:rPr>
          <w:rFonts w:ascii="Times New Roman" w:hAnsi="Times New Roman" w:cs="Times New Roman"/>
        </w:rPr>
        <w:fldChar w:fldCharType="begin"/>
      </w:r>
      <w:r>
        <w:rPr>
          <w:rFonts w:ascii="Times New Roman" w:hAnsi="Times New Roman" w:cs="Times New Roman"/>
        </w:rPr>
        <w:instrText xml:space="preserve"> REF _Ref457388669 \n \h </w:instrText>
      </w:r>
      <w:r>
        <w:rPr>
          <w:rFonts w:ascii="Times New Roman" w:hAnsi="Times New Roman" w:cs="Times New Roman"/>
        </w:rPr>
      </w:r>
      <w:r>
        <w:rPr>
          <w:rFonts w:ascii="Times New Roman" w:hAnsi="Times New Roman" w:cs="Times New Roman"/>
        </w:rPr>
        <w:fldChar w:fldCharType="separate"/>
      </w:r>
      <w:r w:rsidR="00167D0B">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REF _Ref457378631 \n \h </w:instrText>
      </w:r>
      <w:r>
        <w:rPr>
          <w:rFonts w:ascii="Times New Roman" w:hAnsi="Times New Roman" w:cs="Times New Roman"/>
        </w:rPr>
      </w:r>
      <w:r>
        <w:rPr>
          <w:rFonts w:ascii="Times New Roman" w:hAnsi="Times New Roman" w:cs="Times New Roman"/>
        </w:rPr>
        <w:fldChar w:fldCharType="separate"/>
      </w:r>
      <w:r w:rsidR="00167D0B">
        <w:rPr>
          <w:rFonts w:ascii="Times New Roman" w:hAnsi="Times New Roman" w:cs="Times New Roman"/>
        </w:rPr>
        <w:t>(a)</w:t>
      </w:r>
      <w:r>
        <w:rPr>
          <w:rFonts w:ascii="Times New Roman" w:hAnsi="Times New Roman" w:cs="Times New Roman"/>
        </w:rPr>
        <w:fldChar w:fldCharType="end"/>
      </w:r>
      <w:r>
        <w:rPr>
          <w:rFonts w:ascii="Times New Roman" w:hAnsi="Times New Roman" w:cs="Times New Roman"/>
          <w:sz w:val="20"/>
          <w:szCs w:val="20"/>
        </w:rPr>
        <w:t>, clause 6.16 of the National Electricity Rules is taken to be amended as follows –</w:t>
      </w:r>
    </w:p>
    <w:p w14:paraId="37996BC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29" w:name="_Ref443906219"/>
      <w:r>
        <w:rPr>
          <w:rFonts w:ascii="Times New Roman" w:hAnsi="Times New Roman" w:cs="Times New Roman"/>
          <w:sz w:val="20"/>
          <w:szCs w:val="20"/>
        </w:rPr>
        <w:t>Clause 6.16(b) is replaced with –</w:t>
      </w:r>
      <w:bookmarkEnd w:id="129"/>
    </w:p>
    <w:p w14:paraId="13C80C82" w14:textId="77777777" w:rsidR="00671DEB" w:rsidRDefault="00671DEB" w:rsidP="00671DEB">
      <w:pPr>
        <w:pStyle w:val="ListParagraph"/>
        <w:spacing w:before="120" w:after="120"/>
        <w:ind w:left="2790" w:hanging="630"/>
        <w:rPr>
          <w:rFonts w:ascii="Times New Roman" w:hAnsi="Times New Roman" w:cs="Times New Roman"/>
          <w:sz w:val="20"/>
          <w:szCs w:val="20"/>
        </w:rPr>
      </w:pPr>
      <w:r>
        <w:rPr>
          <w:rFonts w:ascii="Times New Roman" w:hAnsi="Times New Roman" w:cs="Times New Roman"/>
          <w:sz w:val="20"/>
          <w:szCs w:val="20"/>
        </w:rPr>
        <w:t xml:space="preserve">“The AER must </w:t>
      </w:r>
      <w:r>
        <w:rPr>
          <w:rFonts w:ascii="Times New Roman" w:hAnsi="Times New Roman" w:cs="Times New Roman"/>
          <w:i/>
          <w:sz w:val="20"/>
          <w:szCs w:val="20"/>
        </w:rPr>
        <w:t>publish</w:t>
      </w:r>
      <w:r>
        <w:rPr>
          <w:rFonts w:ascii="Times New Roman" w:hAnsi="Times New Roman" w:cs="Times New Roman"/>
          <w:sz w:val="20"/>
          <w:szCs w:val="20"/>
        </w:rPr>
        <w:t>:</w:t>
      </w:r>
    </w:p>
    <w:p w14:paraId="7C948395" w14:textId="77777777" w:rsidR="00671DEB" w:rsidRDefault="00671DEB" w:rsidP="00671DEB">
      <w:pPr>
        <w:pStyle w:val="ListParagraph"/>
        <w:spacing w:before="120" w:after="120"/>
        <w:ind w:left="2790" w:hanging="450"/>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sz w:val="20"/>
          <w:szCs w:val="20"/>
        </w:rPr>
        <w:tab/>
        <w:t xml:space="preserve">its proposal for the f-factor scheme determination or variation of a distribution determination; </w:t>
      </w:r>
    </w:p>
    <w:p w14:paraId="6888D959" w14:textId="77777777" w:rsidR="00671DEB" w:rsidRDefault="00671DEB" w:rsidP="00671DEB">
      <w:pPr>
        <w:pStyle w:val="ListParagraph"/>
        <w:spacing w:before="120" w:after="120"/>
        <w:ind w:left="2790" w:hanging="450"/>
        <w:rPr>
          <w:rFonts w:ascii="Times New Roman" w:hAnsi="Times New Roman" w:cs="Times New Roman"/>
          <w:sz w:val="20"/>
          <w:szCs w:val="20"/>
        </w:rPr>
      </w:pPr>
      <w:r>
        <w:rPr>
          <w:rFonts w:ascii="Times New Roman" w:hAnsi="Times New Roman" w:cs="Times New Roman"/>
          <w:sz w:val="20"/>
          <w:szCs w:val="20"/>
        </w:rPr>
        <w:t xml:space="preserve">(2) </w:t>
      </w:r>
      <w:r>
        <w:rPr>
          <w:rFonts w:ascii="Times New Roman" w:hAnsi="Times New Roman" w:cs="Times New Roman"/>
          <w:sz w:val="20"/>
          <w:szCs w:val="20"/>
        </w:rPr>
        <w:tab/>
        <w:t xml:space="preserve">an explanatory statement that sets out the provisions of the </w:t>
      </w:r>
      <w:r>
        <w:rPr>
          <w:rFonts w:ascii="Times New Roman" w:hAnsi="Times New Roman" w:cs="Times New Roman"/>
          <w:b/>
          <w:sz w:val="20"/>
          <w:szCs w:val="20"/>
        </w:rPr>
        <w:t xml:space="preserve">F- factor Scheme Order in Council 2016 </w:t>
      </w:r>
      <w:r>
        <w:rPr>
          <w:rFonts w:ascii="Times New Roman" w:hAnsi="Times New Roman" w:cs="Times New Roman"/>
          <w:sz w:val="20"/>
          <w:szCs w:val="20"/>
        </w:rPr>
        <w:t xml:space="preserve">and the </w:t>
      </w:r>
      <w:r>
        <w:rPr>
          <w:rFonts w:ascii="Times New Roman" w:hAnsi="Times New Roman" w:cs="Times New Roman"/>
          <w:i/>
          <w:sz w:val="20"/>
          <w:szCs w:val="20"/>
        </w:rPr>
        <w:t>Rules</w:t>
      </w:r>
      <w:r>
        <w:rPr>
          <w:rFonts w:ascii="Times New Roman" w:hAnsi="Times New Roman" w:cs="Times New Roman"/>
          <w:sz w:val="20"/>
          <w:szCs w:val="20"/>
        </w:rPr>
        <w:t xml:space="preserve"> under or for the purposes of which the f-factor scheme determination, or variation of the distribution determination, is required and the reasons for the f-factor scheme determination or variation; and</w:t>
      </w:r>
    </w:p>
    <w:p w14:paraId="65070CA9" w14:textId="77777777" w:rsidR="00671DEB" w:rsidRDefault="00671DEB" w:rsidP="00671DEB">
      <w:pPr>
        <w:pStyle w:val="ListParagraph"/>
        <w:spacing w:before="120" w:after="120"/>
        <w:ind w:left="2790" w:hanging="450"/>
        <w:rPr>
          <w:rFonts w:ascii="Times New Roman" w:hAnsi="Times New Roman" w:cs="Times New Roman"/>
          <w:sz w:val="20"/>
          <w:szCs w:val="20"/>
        </w:rPr>
      </w:pPr>
      <w:r>
        <w:rPr>
          <w:rFonts w:ascii="Times New Roman" w:hAnsi="Times New Roman" w:cs="Times New Roman"/>
          <w:sz w:val="20"/>
          <w:szCs w:val="20"/>
        </w:rPr>
        <w:t xml:space="preserve">(3) </w:t>
      </w:r>
      <w:r>
        <w:rPr>
          <w:rFonts w:ascii="Times New Roman" w:hAnsi="Times New Roman" w:cs="Times New Roman"/>
          <w:sz w:val="20"/>
          <w:szCs w:val="20"/>
        </w:rPr>
        <w:tab/>
        <w:t xml:space="preserve">an invitation for written submissions on the proposal.”; </w:t>
      </w:r>
      <w:r>
        <w:rPr>
          <w:rFonts w:ascii="Times New Roman" w:hAnsi="Times New Roman" w:cs="Times New Roman"/>
          <w:sz w:val="20"/>
          <w:szCs w:val="20"/>
        </w:rPr>
        <w:br/>
      </w:r>
    </w:p>
    <w:p w14:paraId="5A7DADB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30" w:name="_Ref443906292"/>
      <w:r>
        <w:rPr>
          <w:rFonts w:ascii="Times New Roman" w:hAnsi="Times New Roman" w:cs="Times New Roman"/>
          <w:sz w:val="20"/>
          <w:szCs w:val="20"/>
        </w:rPr>
        <w:t>The invitation for written submissions referred to in clause 6.16(b)(3) must be sent to–</w:t>
      </w:r>
      <w:bookmarkEnd w:id="130"/>
    </w:p>
    <w:p w14:paraId="227E757D"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affected Distribution Network Service Providers;</w:t>
      </w:r>
    </w:p>
    <w:p w14:paraId="686E09BC"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the Minister; and</w:t>
      </w:r>
    </w:p>
    <w:p w14:paraId="60785C85" w14:textId="77777777" w:rsidR="00671DEB" w:rsidRDefault="00671DEB" w:rsidP="00671DEB">
      <w:pPr>
        <w:pStyle w:val="ListParagraph"/>
        <w:numPr>
          <w:ilvl w:val="3"/>
          <w:numId w:val="47"/>
        </w:numPr>
        <w:spacing w:before="120" w:after="120"/>
        <w:rPr>
          <w:rFonts w:ascii="Times New Roman" w:hAnsi="Times New Roman" w:cs="Times New Roman"/>
          <w:sz w:val="20"/>
          <w:szCs w:val="20"/>
        </w:rPr>
      </w:pPr>
      <w:r>
        <w:rPr>
          <w:rFonts w:ascii="Times New Roman" w:hAnsi="Times New Roman" w:cs="Times New Roman"/>
          <w:sz w:val="20"/>
          <w:szCs w:val="20"/>
        </w:rPr>
        <w:t>the relevant entities;</w:t>
      </w:r>
    </w:p>
    <w:p w14:paraId="04823163"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31" w:name="_Ref443906225"/>
      <w:r>
        <w:rPr>
          <w:rFonts w:ascii="Times New Roman" w:hAnsi="Times New Roman" w:cs="Times New Roman"/>
          <w:sz w:val="20"/>
          <w:szCs w:val="20"/>
        </w:rPr>
        <w:t>The references to “final decision” in clauses 6.16(e), 6.16(f) and 6.16(g) are to be read as references to an f-factor scheme determination or a decision to vary a distribution determination as the case may be; and</w:t>
      </w:r>
      <w:bookmarkEnd w:id="131"/>
    </w:p>
    <w:p w14:paraId="11AD58FE"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further amendments necessary or consequential on the amendments in paragraphs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_Ref443906219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(a)</w:t>
      </w:r>
      <w:r>
        <w:rPr>
          <w:rFonts w:ascii="Times New Roman" w:hAnsi="Times New Roman" w:cs="Times New Roman"/>
          <w:sz w:val="20"/>
          <w:szCs w:val="20"/>
        </w:rPr>
        <w:fldChar w:fldCharType="end"/>
      </w:r>
      <w:r>
        <w:rPr>
          <w:rFonts w:ascii="Times New Roman" w:hAnsi="Times New Roman" w:cs="Times New Roman"/>
          <w:sz w:val="20"/>
          <w:szCs w:val="20"/>
        </w:rPr>
        <w:t xml:space="preserve"> to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_Ref443906225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(c)</w:t>
      </w:r>
      <w:r>
        <w:rPr>
          <w:rFonts w:ascii="Times New Roman" w:hAnsi="Times New Roman" w:cs="Times New Roman"/>
          <w:sz w:val="20"/>
          <w:szCs w:val="20"/>
        </w:rPr>
        <w:fldChar w:fldCharType="end"/>
      </w:r>
      <w:r>
        <w:rPr>
          <w:rFonts w:ascii="Times New Roman" w:hAnsi="Times New Roman" w:cs="Times New Roman"/>
          <w:sz w:val="20"/>
          <w:szCs w:val="20"/>
        </w:rPr>
        <w:t xml:space="preserve"> of this subclause are made.</w:t>
      </w:r>
    </w:p>
    <w:p w14:paraId="423BBA53"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_Ref443906219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(3)(a)</w:t>
      </w:r>
      <w:r>
        <w:rPr>
          <w:rFonts w:ascii="Times New Roman" w:hAnsi="Times New Roman" w:cs="Times New Roman"/>
          <w:sz w:val="20"/>
          <w:szCs w:val="20"/>
        </w:rPr>
        <w:fldChar w:fldCharType="end"/>
      </w:r>
      <w:r>
        <w:rPr>
          <w:rFonts w:ascii="Times New Roman" w:hAnsi="Times New Roman" w:cs="Times New Roman"/>
          <w:sz w:val="20"/>
          <w:szCs w:val="20"/>
        </w:rPr>
        <w:t xml:space="preserve"> does not limit the documents or information that the AER may publish.</w:t>
      </w:r>
    </w:p>
    <w:p w14:paraId="0867E8E2"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lastRenderedPageBreak/>
        <w:t xml:space="preserve">Subclause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_Ref443906292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(3)(b)</w:t>
      </w:r>
      <w:r>
        <w:rPr>
          <w:rFonts w:ascii="Times New Roman" w:hAnsi="Times New Roman" w:cs="Times New Roman"/>
          <w:sz w:val="20"/>
          <w:szCs w:val="20"/>
        </w:rPr>
        <w:fldChar w:fldCharType="end"/>
      </w:r>
      <w:r>
        <w:rPr>
          <w:rFonts w:ascii="Times New Roman" w:hAnsi="Times New Roman" w:cs="Times New Roman"/>
          <w:sz w:val="20"/>
          <w:szCs w:val="20"/>
        </w:rPr>
        <w:t xml:space="preserve"> does not limit who the AER may invite submissions from or consult with.</w:t>
      </w:r>
    </w:p>
    <w:p w14:paraId="155DDAB4" w14:textId="77777777" w:rsidR="00671DEB" w:rsidRDefault="00671DEB" w:rsidP="00671DEB">
      <w:pPr>
        <w:pStyle w:val="ListParagraph"/>
        <w:numPr>
          <w:ilvl w:val="1"/>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For the purposes of subclause </w:t>
      </w:r>
      <w:r>
        <w:rPr>
          <w:rFonts w:ascii="Times New Roman" w:hAnsi="Times New Roman" w:cs="Times New Roman"/>
        </w:rPr>
        <w:fldChar w:fldCharType="begin"/>
      </w:r>
      <w:r>
        <w:rPr>
          <w:rFonts w:ascii="Times New Roman" w:hAnsi="Times New Roman" w:cs="Times New Roman"/>
        </w:rPr>
        <w:instrText xml:space="preserve"> REF _Ref457388669 \n \h </w:instrText>
      </w:r>
      <w:r>
        <w:rPr>
          <w:rFonts w:ascii="Times New Roman" w:hAnsi="Times New Roman" w:cs="Times New Roman"/>
        </w:rPr>
      </w:r>
      <w:r>
        <w:rPr>
          <w:rFonts w:ascii="Times New Roman" w:hAnsi="Times New Roman" w:cs="Times New Roman"/>
        </w:rPr>
        <w:fldChar w:fldCharType="separate"/>
      </w:r>
      <w:r w:rsidR="00167D0B">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_Ref457378657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(b)</w:t>
      </w:r>
      <w:r>
        <w:rPr>
          <w:rFonts w:ascii="Times New Roman" w:hAnsi="Times New Roman" w:cs="Times New Roman"/>
          <w:sz w:val="20"/>
          <w:szCs w:val="20"/>
        </w:rPr>
        <w:fldChar w:fldCharType="end"/>
      </w:r>
      <w:r>
        <w:rPr>
          <w:rFonts w:ascii="Times New Roman" w:hAnsi="Times New Roman" w:cs="Times New Roman"/>
          <w:sz w:val="20"/>
          <w:szCs w:val="20"/>
        </w:rPr>
        <w:t>, clauses 6.8 to 6.11 and clause 6.12.2(a) of the National Electricity Rules are taken to be amended as follows –</w:t>
      </w:r>
    </w:p>
    <w:p w14:paraId="4C9BF27F"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32" w:name="_Ref443906530"/>
      <w:r>
        <w:rPr>
          <w:rFonts w:ascii="Times New Roman" w:hAnsi="Times New Roman" w:cs="Times New Roman"/>
          <w:sz w:val="20"/>
          <w:szCs w:val="20"/>
        </w:rPr>
        <w:t>All references to “distribution determination” in clauses 6.8 to 6.11 of the National Electricity Rules are to be read as a reference to an f-factor scheme determination;</w:t>
      </w:r>
      <w:bookmarkEnd w:id="132"/>
    </w:p>
    <w:p w14:paraId="15B2DA71"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The framework and approach paper must set out the AER’s likely approach (together with its reasons for that approach) to an f-factor scheme determination;</w:t>
      </w:r>
    </w:p>
    <w:p w14:paraId="0972CE8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Clauses 6.8.1(b) and (g) do not apply;</w:t>
      </w:r>
    </w:p>
    <w:p w14:paraId="146A1B1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 6.8.1A does not apply;</w:t>
      </w:r>
    </w:p>
    <w:p w14:paraId="459CFE9E"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 6.8.2(a) is replaced with –</w:t>
      </w:r>
    </w:p>
    <w:p w14:paraId="32E0CA04" w14:textId="77777777" w:rsidR="00671DEB" w:rsidRDefault="00671DEB" w:rsidP="00671DEB">
      <w:pPr>
        <w:pStyle w:val="ListParagraph"/>
        <w:spacing w:before="120" w:after="120"/>
        <w:ind w:left="2880"/>
        <w:rPr>
          <w:rFonts w:ascii="Times New Roman" w:hAnsi="Times New Roman" w:cs="Times New Roman"/>
          <w:sz w:val="20"/>
          <w:szCs w:val="20"/>
        </w:rPr>
      </w:pPr>
      <w:r>
        <w:rPr>
          <w:rFonts w:ascii="Times New Roman" w:hAnsi="Times New Roman" w:cs="Times New Roman"/>
          <w:sz w:val="20"/>
          <w:szCs w:val="20"/>
        </w:rPr>
        <w:t xml:space="preserve">“(a) A Distribution Network Service Provider must, at the time required to do so under paragraph (b), submit a regulatory proposal to the AER with respect to an f-factor scheme which proposal must comply with the </w:t>
      </w:r>
      <w:r>
        <w:rPr>
          <w:rFonts w:ascii="Times New Roman" w:hAnsi="Times New Roman" w:cs="Times New Roman"/>
          <w:b/>
          <w:sz w:val="20"/>
          <w:szCs w:val="20"/>
        </w:rPr>
        <w:t>F- factor Scheme Order in Council 2016</w:t>
      </w:r>
      <w:r>
        <w:rPr>
          <w:rFonts w:ascii="Times New Roman" w:hAnsi="Times New Roman" w:cs="Times New Roman"/>
          <w:sz w:val="20"/>
          <w:szCs w:val="20"/>
        </w:rPr>
        <w:t>”;</w:t>
      </w:r>
    </w:p>
    <w:p w14:paraId="74B2D464"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Clauses 6.8.2(c)(1) to (5) and (7) do not apply;</w:t>
      </w:r>
    </w:p>
    <w:p w14:paraId="0B8AF179"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Clauses 6.8.2(d1) and (d2) do not apply;</w:t>
      </w:r>
    </w:p>
    <w:p w14:paraId="6C5E6D1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references to “proposed </w:t>
      </w:r>
      <w:r>
        <w:rPr>
          <w:rFonts w:ascii="Times New Roman" w:hAnsi="Times New Roman" w:cs="Times New Roman"/>
          <w:i/>
          <w:sz w:val="20"/>
          <w:szCs w:val="20"/>
        </w:rPr>
        <w:t>tariff structure statement</w:t>
      </w:r>
      <w:r>
        <w:rPr>
          <w:rFonts w:ascii="Times New Roman" w:hAnsi="Times New Roman" w:cs="Times New Roman"/>
          <w:sz w:val="20"/>
          <w:szCs w:val="20"/>
        </w:rPr>
        <w:t xml:space="preserve">” and “separate </w:t>
      </w:r>
      <w:r>
        <w:rPr>
          <w:rFonts w:ascii="Times New Roman" w:hAnsi="Times New Roman" w:cs="Times New Roman"/>
          <w:i/>
          <w:sz w:val="20"/>
          <w:szCs w:val="20"/>
        </w:rPr>
        <w:t>tariff structure statement</w:t>
      </w:r>
      <w:r>
        <w:rPr>
          <w:rFonts w:ascii="Times New Roman" w:hAnsi="Times New Roman" w:cs="Times New Roman"/>
          <w:sz w:val="20"/>
          <w:szCs w:val="20"/>
        </w:rPr>
        <w:t>” in clause 6.8.2 are deleted;</w:t>
      </w:r>
    </w:p>
    <w:p w14:paraId="7D8B3BA1"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The reference to “the Rules” in rule 6.9.1(a) and the second reference to “the Rules” in clause 6.9.3(a) are to be read as references to this Order;</w:t>
      </w:r>
    </w:p>
    <w:p w14:paraId="617B8580"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Clause 6.9.1(a)(2) is deleted;</w:t>
      </w:r>
    </w:p>
    <w:p w14:paraId="5ABD5CA2"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references to “proposed </w:t>
      </w:r>
      <w:r>
        <w:rPr>
          <w:rFonts w:ascii="Times New Roman" w:hAnsi="Times New Roman" w:cs="Times New Roman"/>
          <w:i/>
          <w:sz w:val="20"/>
          <w:szCs w:val="20"/>
        </w:rPr>
        <w:t>tariff structure statement</w:t>
      </w:r>
      <w:r>
        <w:rPr>
          <w:rFonts w:ascii="Times New Roman" w:hAnsi="Times New Roman" w:cs="Times New Roman"/>
          <w:sz w:val="20"/>
          <w:szCs w:val="20"/>
        </w:rPr>
        <w:t>” in clauses 6.9.1 and 6.9.2 are deleted;</w:t>
      </w:r>
    </w:p>
    <w:p w14:paraId="2D97AA97"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Clauses 6.9.3(a)(2) and (4) are deleted; </w:t>
      </w:r>
    </w:p>
    <w:p w14:paraId="2E78205F"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references to “proposed </w:t>
      </w:r>
      <w:r>
        <w:rPr>
          <w:rFonts w:ascii="Times New Roman" w:hAnsi="Times New Roman" w:cs="Times New Roman"/>
          <w:i/>
          <w:sz w:val="20"/>
          <w:szCs w:val="20"/>
        </w:rPr>
        <w:t>tariff structure statement</w:t>
      </w:r>
      <w:r>
        <w:rPr>
          <w:rFonts w:ascii="Times New Roman" w:hAnsi="Times New Roman" w:cs="Times New Roman"/>
          <w:sz w:val="20"/>
          <w:szCs w:val="20"/>
        </w:rPr>
        <w:t>” in clause 6.9.3 are deleted;</w:t>
      </w:r>
    </w:p>
    <w:p w14:paraId="517EBB38"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References in clauses 6.10.2(a)(3) and 6.11.2(3) to the inclusion of the constituent decisions are deleted; </w:t>
      </w:r>
    </w:p>
    <w:p w14:paraId="05E143F7"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references to “proposed </w:t>
      </w:r>
      <w:r>
        <w:rPr>
          <w:rFonts w:ascii="Times New Roman" w:hAnsi="Times New Roman" w:cs="Times New Roman"/>
          <w:i/>
          <w:sz w:val="20"/>
          <w:szCs w:val="20"/>
        </w:rPr>
        <w:t>tariff structure statement</w:t>
      </w:r>
      <w:r>
        <w:rPr>
          <w:rFonts w:ascii="Times New Roman" w:hAnsi="Times New Roman" w:cs="Times New Roman"/>
          <w:sz w:val="20"/>
          <w:szCs w:val="20"/>
        </w:rPr>
        <w:t>” in clauses 6.10 and 6.11 are deleted;</w:t>
      </w:r>
    </w:p>
    <w:p w14:paraId="2DF90E6F"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bookmarkStart w:id="133" w:name="_Ref443906535"/>
      <w:r>
        <w:rPr>
          <w:rFonts w:ascii="Times New Roman" w:hAnsi="Times New Roman" w:cs="Times New Roman"/>
          <w:sz w:val="20"/>
          <w:szCs w:val="20"/>
        </w:rPr>
        <w:t>Clause 6.12.2(a)(2)(i) is deleted; and</w:t>
      </w:r>
      <w:bookmarkEnd w:id="133"/>
    </w:p>
    <w:p w14:paraId="46AB788A" w14:textId="77777777" w:rsidR="00671DEB" w:rsidRDefault="00671DEB" w:rsidP="00671DEB">
      <w:pPr>
        <w:pStyle w:val="ListParagraph"/>
        <w:numPr>
          <w:ilvl w:val="2"/>
          <w:numId w:val="47"/>
        </w:numPr>
        <w:spacing w:before="120" w:after="120"/>
        <w:rPr>
          <w:rFonts w:ascii="Times New Roman" w:hAnsi="Times New Roman" w:cs="Times New Roman"/>
          <w:sz w:val="20"/>
          <w:szCs w:val="20"/>
        </w:rPr>
      </w:pPr>
      <w:r>
        <w:rPr>
          <w:rFonts w:ascii="Times New Roman" w:hAnsi="Times New Roman" w:cs="Times New Roman"/>
          <w:sz w:val="20"/>
          <w:szCs w:val="20"/>
        </w:rPr>
        <w:t xml:space="preserve">All further amendments necessary or consequential on the amendments in paragraphs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_Ref443906530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(a)</w:t>
      </w:r>
      <w:r>
        <w:rPr>
          <w:rFonts w:ascii="Times New Roman" w:hAnsi="Times New Roman" w:cs="Times New Roman"/>
          <w:sz w:val="20"/>
          <w:szCs w:val="20"/>
        </w:rPr>
        <w:fldChar w:fldCharType="end"/>
      </w:r>
      <w:r>
        <w:rPr>
          <w:rFonts w:ascii="Times New Roman" w:hAnsi="Times New Roman" w:cs="Times New Roman"/>
          <w:sz w:val="20"/>
          <w:szCs w:val="20"/>
        </w:rPr>
        <w:t xml:space="preserve"> to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_Ref443906535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167D0B">
        <w:rPr>
          <w:rFonts w:ascii="Times New Roman" w:hAnsi="Times New Roman" w:cs="Times New Roman"/>
          <w:sz w:val="20"/>
          <w:szCs w:val="20"/>
        </w:rPr>
        <w:t>(p)</w:t>
      </w:r>
      <w:r>
        <w:rPr>
          <w:rFonts w:ascii="Times New Roman" w:hAnsi="Times New Roman" w:cs="Times New Roman"/>
          <w:sz w:val="20"/>
          <w:szCs w:val="20"/>
        </w:rPr>
        <w:fldChar w:fldCharType="end"/>
      </w:r>
      <w:r>
        <w:rPr>
          <w:rFonts w:ascii="Times New Roman" w:hAnsi="Times New Roman" w:cs="Times New Roman"/>
          <w:sz w:val="20"/>
          <w:szCs w:val="20"/>
        </w:rPr>
        <w:t xml:space="preserve"> of this subclause are made.</w:t>
      </w:r>
    </w:p>
    <w:p w14:paraId="3B3C1329"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br/>
        <w:t xml:space="preserve">Dated </w:t>
      </w:r>
      <w:r>
        <w:rPr>
          <w:rFonts w:ascii="Times New Roman" w:hAnsi="Times New Roman" w:cs="Times New Roman"/>
          <w:sz w:val="20"/>
          <w:szCs w:val="20"/>
          <w:highlight w:val="yellow"/>
        </w:rPr>
        <w:t>[INSERT DATE]</w:t>
      </w:r>
    </w:p>
    <w:p w14:paraId="0AB7DB3F"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t>Responsible Minister</w:t>
      </w:r>
    </w:p>
    <w:p w14:paraId="4A62C113" w14:textId="77777777" w:rsidR="00671DEB" w:rsidRDefault="00671DEB" w:rsidP="00671DEB">
      <w:pPr>
        <w:pStyle w:val="ListParagraph"/>
        <w:spacing w:before="120" w:after="120"/>
        <w:rPr>
          <w:rFonts w:ascii="Times New Roman" w:hAnsi="Times New Roman" w:cs="Times New Roman"/>
          <w:sz w:val="20"/>
          <w:szCs w:val="20"/>
        </w:rPr>
      </w:pPr>
      <w:r>
        <w:rPr>
          <w:rFonts w:ascii="Times New Roman" w:hAnsi="Times New Roman" w:cs="Times New Roman"/>
          <w:sz w:val="20"/>
          <w:szCs w:val="20"/>
        </w:rPr>
        <w:t>HON. LILY D’AMBROSIO MP</w:t>
      </w:r>
    </w:p>
    <w:p w14:paraId="4995D0CA" w14:textId="77777777" w:rsidR="00671DEB" w:rsidRDefault="00671DEB" w:rsidP="00671DEB">
      <w:pPr>
        <w:spacing w:after="0" w:line="240" w:lineRule="auto"/>
      </w:pPr>
      <w:r>
        <w:rPr>
          <w:rFonts w:ascii="Times New Roman" w:hAnsi="Times New Roman" w:cs="Times New Roman"/>
          <w:sz w:val="20"/>
          <w:szCs w:val="20"/>
        </w:rPr>
        <w:t>Minister for Energy, Environment, Climate Change and Suburban Development</w:t>
      </w:r>
      <w:r>
        <w:rPr>
          <w:rFonts w:ascii="Times New Roman" w:hAnsi="Times New Roman" w:cs="Times New Roman"/>
          <w:sz w:val="24"/>
          <w:szCs w:val="24"/>
          <w:lang w:eastAsia="en-AU"/>
        </w:rPr>
        <w:t xml:space="preserve"> </w:t>
      </w:r>
    </w:p>
    <w:p w14:paraId="50043952" w14:textId="77777777" w:rsidR="0035665F" w:rsidRDefault="0035665F" w:rsidP="00671DEB">
      <w:pPr>
        <w:spacing w:before="120" w:after="120"/>
        <w:rPr>
          <w:rFonts w:ascii="Times New Roman" w:hAnsi="Times New Roman" w:cs="Times New Roman"/>
          <w:sz w:val="20"/>
          <w:szCs w:val="20"/>
        </w:rPr>
      </w:pPr>
    </w:p>
    <w:sectPr w:rsidR="0035665F" w:rsidSect="003543AF">
      <w:head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0C2D0" w14:textId="77777777" w:rsidR="007256B3" w:rsidRDefault="007256B3" w:rsidP="00B25389">
      <w:pPr>
        <w:spacing w:after="0" w:line="240" w:lineRule="auto"/>
      </w:pPr>
      <w:r>
        <w:separator/>
      </w:r>
    </w:p>
  </w:endnote>
  <w:endnote w:type="continuationSeparator" w:id="0">
    <w:p w14:paraId="2B4EA89D" w14:textId="77777777" w:rsidR="007256B3" w:rsidRDefault="007256B3" w:rsidP="00B2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83C3" w14:textId="77777777" w:rsidR="007256B3" w:rsidRDefault="007256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715052"/>
      <w:docPartObj>
        <w:docPartGallery w:val="Page Numbers (Bottom of Page)"/>
        <w:docPartUnique/>
      </w:docPartObj>
    </w:sdtPr>
    <w:sdtEndPr>
      <w:rPr>
        <w:noProof/>
      </w:rPr>
    </w:sdtEndPr>
    <w:sdtContent>
      <w:p w14:paraId="6E65CA46" w14:textId="77777777" w:rsidR="007256B3" w:rsidRDefault="007256B3" w:rsidP="00F10C0B">
        <w:pPr>
          <w:pStyle w:val="Footer"/>
          <w:jc w:val="right"/>
        </w:pPr>
        <w:r>
          <w:fldChar w:fldCharType="begin"/>
        </w:r>
        <w:r>
          <w:instrText xml:space="preserve"> PAGE   \* MERGEFORMAT </w:instrText>
        </w:r>
        <w:r>
          <w:fldChar w:fldCharType="separate"/>
        </w:r>
        <w:r w:rsidR="00703365">
          <w:rPr>
            <w:noProof/>
          </w:rPr>
          <w:t>106</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76BA" w14:textId="77777777" w:rsidR="007256B3" w:rsidRDefault="007256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802447"/>
      <w:docPartObj>
        <w:docPartGallery w:val="Page Numbers (Bottom of Page)"/>
        <w:docPartUnique/>
      </w:docPartObj>
    </w:sdtPr>
    <w:sdtEndPr>
      <w:rPr>
        <w:noProof/>
      </w:rPr>
    </w:sdtEndPr>
    <w:sdtContent>
      <w:p w14:paraId="21519C7F" w14:textId="79E6159B" w:rsidR="007256B3" w:rsidRDefault="007256B3">
        <w:pPr>
          <w:pStyle w:val="Footer"/>
          <w:jc w:val="right"/>
        </w:pPr>
        <w:r>
          <w:fldChar w:fldCharType="begin"/>
        </w:r>
        <w:r>
          <w:instrText xml:space="preserve"> PAGE   \* MERGEFORMAT </w:instrText>
        </w:r>
        <w:r>
          <w:fldChar w:fldCharType="separate"/>
        </w:r>
        <w:r w:rsidR="00703365">
          <w:rPr>
            <w:noProof/>
          </w:rPr>
          <w:t>1</w:t>
        </w:r>
        <w:r>
          <w:rPr>
            <w:noProof/>
          </w:rPr>
          <w:fldChar w:fldCharType="end"/>
        </w:r>
      </w:p>
    </w:sdtContent>
  </w:sdt>
  <w:p w14:paraId="72B5C103" w14:textId="0756A055" w:rsidR="007256B3" w:rsidRDefault="007256B3" w:rsidP="00F3538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DCE9D" w14:textId="77777777" w:rsidR="007256B3" w:rsidRDefault="007256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858929"/>
      <w:docPartObj>
        <w:docPartGallery w:val="Page Numbers (Bottom of Page)"/>
        <w:docPartUnique/>
      </w:docPartObj>
    </w:sdtPr>
    <w:sdtEndPr>
      <w:rPr>
        <w:noProof/>
      </w:rPr>
    </w:sdtEndPr>
    <w:sdtContent>
      <w:p w14:paraId="0D89DAD5" w14:textId="77777777" w:rsidR="007256B3" w:rsidRDefault="007256B3" w:rsidP="00290C47">
        <w:pPr>
          <w:pStyle w:val="Footer"/>
          <w:jc w:val="right"/>
        </w:pPr>
        <w:r>
          <w:fldChar w:fldCharType="begin"/>
        </w:r>
        <w:r>
          <w:instrText xml:space="preserve"> PAGE   \* MERGEFORMAT </w:instrText>
        </w:r>
        <w:r>
          <w:fldChar w:fldCharType="separate"/>
        </w:r>
        <w:r w:rsidR="00703365">
          <w:rPr>
            <w:noProof/>
          </w:rPr>
          <w:t>66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695444"/>
      <w:docPartObj>
        <w:docPartGallery w:val="Page Numbers (Bottom of Page)"/>
        <w:docPartUnique/>
      </w:docPartObj>
    </w:sdtPr>
    <w:sdtEndPr>
      <w:rPr>
        <w:noProof/>
      </w:rPr>
    </w:sdtEndPr>
    <w:sdtContent>
      <w:p w14:paraId="7355F094" w14:textId="4108BC90" w:rsidR="007256B3" w:rsidRDefault="007256B3">
        <w:pPr>
          <w:pStyle w:val="Footer"/>
          <w:jc w:val="right"/>
        </w:pPr>
        <w:r>
          <w:fldChar w:fldCharType="begin"/>
        </w:r>
        <w:r>
          <w:instrText xml:space="preserve"> PAGE   \* MERGEFORMAT </w:instrText>
        </w:r>
        <w:r>
          <w:fldChar w:fldCharType="separate"/>
        </w:r>
        <w:r w:rsidR="00703365">
          <w:rPr>
            <w:noProof/>
          </w:rPr>
          <w:t>83</w:t>
        </w:r>
        <w:r>
          <w:rPr>
            <w:noProof/>
          </w:rPr>
          <w:fldChar w:fldCharType="end"/>
        </w:r>
      </w:p>
    </w:sdtContent>
  </w:sdt>
  <w:p w14:paraId="4B5820AA" w14:textId="4FC1EA58" w:rsidR="007256B3" w:rsidRDefault="007256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841525"/>
      <w:docPartObj>
        <w:docPartGallery w:val="Page Numbers (Bottom of Page)"/>
        <w:docPartUnique/>
      </w:docPartObj>
    </w:sdtPr>
    <w:sdtEndPr>
      <w:rPr>
        <w:noProof/>
      </w:rPr>
    </w:sdtEndPr>
    <w:sdtContent>
      <w:p w14:paraId="51042707" w14:textId="77777777" w:rsidR="007256B3" w:rsidRDefault="007256B3" w:rsidP="00290C47">
        <w:pPr>
          <w:pStyle w:val="Footer"/>
          <w:jc w:val="right"/>
        </w:pPr>
        <w:r>
          <w:fldChar w:fldCharType="begin"/>
        </w:r>
        <w:r>
          <w:instrText xml:space="preserve"> PAGE   \* MERGEFORMAT </w:instrText>
        </w:r>
        <w:r>
          <w:fldChar w:fldCharType="separate"/>
        </w:r>
        <w:r w:rsidR="00703365">
          <w:rPr>
            <w:noProof/>
          </w:rPr>
          <w:t>76</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478791"/>
      <w:docPartObj>
        <w:docPartGallery w:val="Page Numbers (Bottom of Page)"/>
        <w:docPartUnique/>
      </w:docPartObj>
    </w:sdtPr>
    <w:sdtEndPr>
      <w:rPr>
        <w:noProof/>
      </w:rPr>
    </w:sdtEndPr>
    <w:sdtContent>
      <w:p w14:paraId="63C3B858" w14:textId="77777777" w:rsidR="007256B3" w:rsidRDefault="007256B3" w:rsidP="00290C47">
        <w:pPr>
          <w:pStyle w:val="Footer"/>
          <w:jc w:val="right"/>
        </w:pPr>
        <w:r>
          <w:fldChar w:fldCharType="begin"/>
        </w:r>
        <w:r>
          <w:instrText xml:space="preserve"> PAGE   \* MERGEFORMAT </w:instrText>
        </w:r>
        <w:r>
          <w:fldChar w:fldCharType="separate"/>
        </w:r>
        <w:r w:rsidR="00703365">
          <w:rPr>
            <w:noProof/>
          </w:rPr>
          <w:t>84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92080"/>
      <w:docPartObj>
        <w:docPartGallery w:val="Page Numbers (Bottom of Page)"/>
        <w:docPartUnique/>
      </w:docPartObj>
    </w:sdtPr>
    <w:sdtEndPr>
      <w:rPr>
        <w:noProof/>
      </w:rPr>
    </w:sdtEndPr>
    <w:sdtContent>
      <w:p w14:paraId="71F554C2" w14:textId="77777777" w:rsidR="007256B3" w:rsidRDefault="007256B3" w:rsidP="00290C47">
        <w:pPr>
          <w:pStyle w:val="Footer"/>
          <w:jc w:val="right"/>
        </w:pPr>
        <w:r>
          <w:fldChar w:fldCharType="begin"/>
        </w:r>
        <w:r>
          <w:instrText xml:space="preserve"> PAGE   \* MERGEFORMAT </w:instrText>
        </w:r>
        <w:r>
          <w:fldChar w:fldCharType="separate"/>
        </w:r>
        <w:r w:rsidR="00703365">
          <w:rPr>
            <w:noProof/>
          </w:rPr>
          <w:t>85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85658" w14:textId="77777777" w:rsidR="007256B3" w:rsidRDefault="00725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CE844" w14:textId="77777777" w:rsidR="007256B3" w:rsidRDefault="007256B3" w:rsidP="00B25389">
      <w:pPr>
        <w:spacing w:after="0" w:line="240" w:lineRule="auto"/>
      </w:pPr>
      <w:r>
        <w:separator/>
      </w:r>
    </w:p>
  </w:footnote>
  <w:footnote w:type="continuationSeparator" w:id="0">
    <w:p w14:paraId="05775970" w14:textId="77777777" w:rsidR="007256B3" w:rsidRDefault="007256B3" w:rsidP="00B25389">
      <w:pPr>
        <w:spacing w:after="0" w:line="240" w:lineRule="auto"/>
      </w:pPr>
      <w:r>
        <w:continuationSeparator/>
      </w:r>
    </w:p>
  </w:footnote>
  <w:footnote w:id="1">
    <w:p w14:paraId="4EAEE445" w14:textId="77777777" w:rsidR="007256B3" w:rsidRPr="00EF3C86" w:rsidRDefault="007256B3">
      <w:pPr>
        <w:pStyle w:val="FootnoteText"/>
        <w:rPr>
          <w:rFonts w:ascii="Candara" w:hAnsi="Candara"/>
        </w:rPr>
      </w:pPr>
      <w:r>
        <w:rPr>
          <w:rStyle w:val="FootnoteReference"/>
        </w:rPr>
        <w:footnoteRef/>
      </w:r>
      <w:r>
        <w:t xml:space="preserve"> </w:t>
      </w:r>
      <w:r w:rsidRPr="00EF3C86">
        <w:rPr>
          <w:rFonts w:ascii="Candara" w:hAnsi="Candara"/>
        </w:rPr>
        <w:t xml:space="preserve">For further information on how powerline faults are linked to bushfires see: ACIL Allen Consulting, </w:t>
      </w:r>
      <w:r w:rsidRPr="00EF3C86">
        <w:rPr>
          <w:rFonts w:ascii="Candara" w:hAnsi="Candara"/>
          <w:i/>
        </w:rPr>
        <w:t>Regulatory Impact Statement, Bushfire Mitigation Regulations Amendment</w:t>
      </w:r>
      <w:r w:rsidRPr="00EF3C86">
        <w:rPr>
          <w:rFonts w:ascii="Candara" w:hAnsi="Candara"/>
        </w:rPr>
        <w:t xml:space="preserve">, (November 2015) 7-8; Powerline Bushfire Safety Taskforce, </w:t>
      </w:r>
      <w:r w:rsidRPr="00EF3C86">
        <w:rPr>
          <w:rFonts w:ascii="Candara" w:hAnsi="Candara"/>
          <w:i/>
        </w:rPr>
        <w:t>Final Report</w:t>
      </w:r>
      <w:r w:rsidRPr="00EF3C86">
        <w:rPr>
          <w:rFonts w:ascii="Candara" w:hAnsi="Candara"/>
        </w:rPr>
        <w:t xml:space="preserve"> (30 September 2011) 38-44. </w:t>
      </w:r>
    </w:p>
  </w:footnote>
  <w:footnote w:id="2">
    <w:p w14:paraId="267808F4" w14:textId="7EA256C6" w:rsidR="007256B3" w:rsidRPr="00EF3C86" w:rsidRDefault="007256B3" w:rsidP="00101828">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Australian Energy Regulator, </w:t>
      </w:r>
      <w:r w:rsidRPr="00EF3C86">
        <w:rPr>
          <w:rFonts w:ascii="Candara" w:hAnsi="Candara"/>
          <w:i/>
        </w:rPr>
        <w:t>Draft determination and explanatory statement: f-factor amount determinations for Victorian electricity distribution network service providers’ 2014 fire start outcomes</w:t>
      </w:r>
      <w:r>
        <w:rPr>
          <w:rFonts w:ascii="Candara" w:hAnsi="Candara"/>
        </w:rPr>
        <w:t xml:space="preserve"> (June 2015) 3. Fire start data for 2015 is available at </w:t>
      </w:r>
      <w:hyperlink r:id="rId1" w:history="1">
        <w:r w:rsidRPr="000B49C1">
          <w:rPr>
            <w:rStyle w:val="Hyperlink"/>
            <w:rFonts w:ascii="Candara" w:hAnsi="Candara"/>
          </w:rPr>
          <w:t>https://www.aer.gov.au/networks-pipelines/network-performance/victorian-electricity-distribution-businesses%E2%80%99-public-fire-start-reports-2015</w:t>
        </w:r>
      </w:hyperlink>
      <w:r>
        <w:rPr>
          <w:rFonts w:ascii="Candara" w:hAnsi="Candara"/>
        </w:rPr>
        <w:t>.</w:t>
      </w:r>
    </w:p>
  </w:footnote>
  <w:footnote w:id="3">
    <w:p w14:paraId="65FC42F8" w14:textId="77777777" w:rsidR="007256B3" w:rsidRDefault="007256B3" w:rsidP="00101828">
      <w:pPr>
        <w:pStyle w:val="FootnoteText"/>
      </w:pPr>
      <w:r w:rsidRPr="00EF3C86">
        <w:rPr>
          <w:rStyle w:val="FootnoteReference"/>
          <w:rFonts w:ascii="Candara" w:hAnsi="Candara"/>
        </w:rPr>
        <w:footnoteRef/>
      </w:r>
      <w:r w:rsidRPr="00EF3C86">
        <w:rPr>
          <w:rFonts w:ascii="Candara" w:hAnsi="Candara"/>
        </w:rPr>
        <w:t xml:space="preserve"> Victorian Bushfires Royal Commission, </w:t>
      </w:r>
      <w:r w:rsidRPr="00EF3C86">
        <w:rPr>
          <w:rFonts w:ascii="Candara" w:hAnsi="Candara"/>
          <w:i/>
        </w:rPr>
        <w:t>Final Report</w:t>
      </w:r>
      <w:r w:rsidRPr="00EF3C86">
        <w:rPr>
          <w:rFonts w:ascii="Candara" w:hAnsi="Candara"/>
        </w:rPr>
        <w:t xml:space="preserve"> (2010) 148-150; The </w:t>
      </w:r>
      <w:r w:rsidRPr="00EF3C86">
        <w:rPr>
          <w:rFonts w:ascii="Candara" w:hAnsi="Candara"/>
          <w:i/>
        </w:rPr>
        <w:t>Final Report</w:t>
      </w:r>
      <w:r w:rsidRPr="00EF3C86">
        <w:rPr>
          <w:rFonts w:ascii="Candara" w:hAnsi="Candara"/>
        </w:rPr>
        <w:t xml:space="preserve"> of the Powerline Bushfire Safety Taskforce details on the link to powerlines and bushfires including electrical arcing and debris, this work was confirmed by the Powerline Bushfire Safety Program test program into Rapid Earth Fault Current Limiter technology and the energy levels sufficient for ignition in worst case Black Saturday temperatures and conditions. See </w:t>
      </w:r>
      <w:hyperlink r:id="rId2" w:history="1">
        <w:r w:rsidRPr="00EF3C86">
          <w:rPr>
            <w:rStyle w:val="Hyperlink"/>
            <w:rFonts w:ascii="Candara" w:hAnsi="Candara"/>
          </w:rPr>
          <w:t>http://www.energyandresources.vic.gov.au/energy/safety-and-emergencies/powerline-bushfire-safety-program/r-and-d/rapid-earth-fault-current-limiter</w:t>
        </w:r>
      </w:hyperlink>
      <w:r w:rsidRPr="00EF3C86">
        <w:rPr>
          <w:rFonts w:ascii="Candara" w:hAnsi="Candara"/>
        </w:rPr>
        <w:t xml:space="preserve"> </w:t>
      </w:r>
    </w:p>
  </w:footnote>
  <w:footnote w:id="4">
    <w:p w14:paraId="19A20521" w14:textId="77777777" w:rsidR="007256B3" w:rsidRDefault="007256B3" w:rsidP="009A3B3B">
      <w:pPr>
        <w:pStyle w:val="FootnoteText"/>
      </w:pPr>
      <w:r>
        <w:rPr>
          <w:rStyle w:val="FootnoteReference"/>
        </w:rPr>
        <w:footnoteRef/>
      </w:r>
      <w:r>
        <w:t xml:space="preserve"> </w:t>
      </w:r>
      <w:r w:rsidRPr="00EF3C86">
        <w:rPr>
          <w:rFonts w:ascii="Candara" w:hAnsi="Candara"/>
        </w:rPr>
        <w:t xml:space="preserve">Victorian Coroners Court, </w:t>
      </w:r>
      <w:r w:rsidRPr="00EF3C86">
        <w:rPr>
          <w:rFonts w:ascii="Candara" w:hAnsi="Candara"/>
          <w:i/>
        </w:rPr>
        <w:t>Finding into Fire Without Inquest</w:t>
      </w:r>
      <w:r w:rsidRPr="00EF3C86">
        <w:rPr>
          <w:rFonts w:ascii="Candara" w:hAnsi="Candara"/>
        </w:rPr>
        <w:t xml:space="preserve"> – </w:t>
      </w:r>
      <w:r w:rsidRPr="00EF3C86">
        <w:rPr>
          <w:rFonts w:ascii="Candara" w:hAnsi="Candara"/>
          <w:i/>
        </w:rPr>
        <w:t>Murrindindi</w:t>
      </w:r>
      <w:r w:rsidRPr="00EF3C86">
        <w:rPr>
          <w:rFonts w:ascii="Candara" w:hAnsi="Candara"/>
        </w:rPr>
        <w:t xml:space="preserve"> (27 Nov 2015), Court Ref 2009/1498</w:t>
      </w:r>
    </w:p>
  </w:footnote>
  <w:footnote w:id="5">
    <w:p w14:paraId="3E736EF0" w14:textId="7DD71267" w:rsidR="007256B3" w:rsidRDefault="007256B3">
      <w:pPr>
        <w:pStyle w:val="FootnoteText"/>
      </w:pPr>
      <w:r>
        <w:rPr>
          <w:rStyle w:val="FootnoteReference"/>
        </w:rPr>
        <w:footnoteRef/>
      </w:r>
      <w:r>
        <w:t xml:space="preserve"> </w:t>
      </w:r>
      <w:r w:rsidRPr="00EF3C86">
        <w:rPr>
          <w:rFonts w:ascii="Candara" w:hAnsi="Candara"/>
        </w:rPr>
        <w:t>The company changed its name from SP AusNet in 2014 following a major change in shareholders. See AusNet Services: ASX &amp; SGX-ST release 4 August 2014</w:t>
      </w:r>
      <w:r>
        <w:rPr>
          <w:rFonts w:ascii="Candara" w:hAnsi="Candara"/>
        </w:rPr>
        <w:t>.</w:t>
      </w:r>
    </w:p>
  </w:footnote>
  <w:footnote w:id="6">
    <w:p w14:paraId="69F87FEB" w14:textId="538A3C4B" w:rsidR="007256B3" w:rsidRDefault="007256B3">
      <w:pPr>
        <w:pStyle w:val="FootnoteText"/>
      </w:pPr>
      <w:r>
        <w:rPr>
          <w:rStyle w:val="FootnoteReference"/>
        </w:rPr>
        <w:footnoteRef/>
      </w:r>
      <w:r>
        <w:t xml:space="preserve"> </w:t>
      </w:r>
      <w:r w:rsidRPr="007E5340">
        <w:rPr>
          <w:rFonts w:ascii="Candara" w:hAnsi="Candara"/>
        </w:rPr>
        <w:t xml:space="preserve">The Powerline Bushfire Safety Taskforce estimated a 99 percent reduction in powerlines starting bushfires if they are undergrounded. Powerline Bushfire Safety Taskforce, </w:t>
      </w:r>
      <w:r w:rsidRPr="007E5340">
        <w:rPr>
          <w:rFonts w:ascii="Candara" w:hAnsi="Candara"/>
          <w:i/>
        </w:rPr>
        <w:t>Final Report</w:t>
      </w:r>
      <w:r w:rsidRPr="007E5340">
        <w:rPr>
          <w:rFonts w:ascii="Candara" w:hAnsi="Candara"/>
        </w:rPr>
        <w:t xml:space="preserve"> (30 September 2011) 5; The Powerline Replacement Fund found that the cost of powerline undergrounding by $256,669 per km for SWER lines and $842,005 per km for polyphase lines (in 2015 dollars). Acil Allen </w:t>
      </w:r>
      <w:r w:rsidRPr="007E5340">
        <w:rPr>
          <w:rFonts w:ascii="Candara" w:hAnsi="Candara"/>
          <w:i/>
        </w:rPr>
        <w:t>Report to Department of Economic Development, Jobs, Transport and Resources Regulatory Impact Statement Bushfire Mitigation Regulations Amendment</w:t>
      </w:r>
      <w:r w:rsidRPr="007E5340">
        <w:rPr>
          <w:rFonts w:ascii="Candara" w:hAnsi="Candara"/>
        </w:rPr>
        <w:t xml:space="preserve">  (17 November 2015) 11.</w:t>
      </w:r>
    </w:p>
  </w:footnote>
  <w:footnote w:id="7">
    <w:p w14:paraId="0DEDD5A5" w14:textId="77777777" w:rsidR="007256B3" w:rsidRPr="00EF3C86" w:rsidRDefault="007256B3" w:rsidP="00AA2F9F">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VBRC </w:t>
      </w:r>
      <w:r w:rsidRPr="00EF3C86">
        <w:rPr>
          <w:rFonts w:ascii="Candara" w:hAnsi="Candara"/>
          <w:i/>
        </w:rPr>
        <w:t>Final Report</w:t>
      </w:r>
      <w:r w:rsidRPr="00EF3C86">
        <w:rPr>
          <w:rFonts w:ascii="Candara" w:hAnsi="Candara"/>
        </w:rPr>
        <w:t xml:space="preserve"> Volume 2</w:t>
      </w:r>
    </w:p>
  </w:footnote>
  <w:footnote w:id="8">
    <w:p w14:paraId="22530DAC" w14:textId="77777777" w:rsidR="007256B3" w:rsidRPr="00EF3C86" w:rsidRDefault="007256B3" w:rsidP="000C1C10">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This amount reflecting the company’s share of costs</w:t>
      </w:r>
    </w:p>
  </w:footnote>
  <w:footnote w:id="9">
    <w:p w14:paraId="6740428B" w14:textId="77777777" w:rsidR="007256B3" w:rsidRPr="00EF3C86" w:rsidRDefault="007256B3" w:rsidP="000C1C10">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The company changed its name from SP AusNet in 2014 following a major change in shareholders. See AusNet Services: ASX &amp; SGX-ST release 4 August 2014</w:t>
      </w:r>
      <w:r>
        <w:rPr>
          <w:rFonts w:ascii="Candara" w:hAnsi="Candara"/>
        </w:rPr>
        <w:t>.</w:t>
      </w:r>
    </w:p>
  </w:footnote>
  <w:footnote w:id="10">
    <w:p w14:paraId="2745BE24" w14:textId="77777777" w:rsidR="007256B3" w:rsidRPr="00EF3C86" w:rsidRDefault="007256B3" w:rsidP="000C1C10">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ASX &amp; SGX – ST Release, SP AusNet, 7 March 2012</w:t>
      </w:r>
    </w:p>
  </w:footnote>
  <w:footnote w:id="11">
    <w:p w14:paraId="399C3748" w14:textId="77777777" w:rsidR="007256B3" w:rsidRPr="00EF3C86" w:rsidRDefault="007256B3" w:rsidP="000C1C10">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ASX &amp; SGX – ST Release, AusNet Services, 6 February 2015</w:t>
      </w:r>
    </w:p>
  </w:footnote>
  <w:footnote w:id="12">
    <w:p w14:paraId="39019495" w14:textId="77777777" w:rsidR="007256B3" w:rsidRPr="00EF3C86" w:rsidRDefault="007256B3" w:rsidP="000C1C10">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ASX &amp; SGX – ST Release, SP AusNet, 15 July 2014 </w:t>
      </w:r>
    </w:p>
  </w:footnote>
  <w:footnote w:id="13">
    <w:p w14:paraId="1206EBDE" w14:textId="77777777" w:rsidR="007256B3" w:rsidRPr="00EF3C86" w:rsidRDefault="007256B3" w:rsidP="00974DA2">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Energy Safe Victoria, </w:t>
      </w:r>
      <w:r w:rsidRPr="00EF3C86">
        <w:rPr>
          <w:rFonts w:ascii="Candara" w:hAnsi="Candara"/>
          <w:i/>
        </w:rPr>
        <w:t>Safety Performance Report on Victorian Electricity Networks</w:t>
      </w:r>
      <w:r w:rsidRPr="00EF3C86">
        <w:rPr>
          <w:rFonts w:ascii="Candara" w:hAnsi="Candara"/>
        </w:rPr>
        <w:t xml:space="preserve"> (2013) 42-43</w:t>
      </w:r>
    </w:p>
  </w:footnote>
  <w:footnote w:id="14">
    <w:p w14:paraId="66B97EBD" w14:textId="77777777" w:rsidR="007256B3" w:rsidRPr="00EF3C86" w:rsidRDefault="007256B3" w:rsidP="00D27F61">
      <w:pPr>
        <w:pStyle w:val="FootnoteText"/>
        <w:rPr>
          <w:rFonts w:ascii="Candara" w:hAnsi="Candara"/>
          <w:lang w:val="en-US"/>
        </w:rPr>
      </w:pPr>
      <w:r w:rsidRPr="00EF3C86">
        <w:rPr>
          <w:rStyle w:val="FootnoteReference"/>
          <w:rFonts w:ascii="Candara" w:hAnsi="Candara"/>
        </w:rPr>
        <w:footnoteRef/>
      </w:r>
      <w:r w:rsidRPr="00EF3C86">
        <w:rPr>
          <w:rFonts w:ascii="Candara" w:hAnsi="Candara"/>
        </w:rPr>
        <w:t xml:space="preserve"> </w:t>
      </w:r>
      <w:r w:rsidRPr="00EF3C86">
        <w:rPr>
          <w:rFonts w:ascii="Candara" w:hAnsi="Candara"/>
          <w:b/>
          <w:bCs/>
          <w:lang w:val="en-US"/>
        </w:rPr>
        <w:t>All-Hazard:  “</w:t>
      </w:r>
      <w:r w:rsidRPr="00EF3C86">
        <w:rPr>
          <w:rFonts w:ascii="Candara" w:hAnsi="Candara"/>
          <w:lang w:val="en-US"/>
        </w:rPr>
        <w:t xml:space="preserve">Any incident or event, natural or human caused, that requires an organized response by a public, private, and/or governmental entity in order to protect life, public health and safety, values to be protected, and to minimize any disruption of governmental, social, and economic services.” </w:t>
      </w:r>
      <w:r w:rsidRPr="00EF3C86">
        <w:rPr>
          <w:rFonts w:ascii="Candara" w:hAnsi="Candara"/>
          <w:bCs/>
          <w:lang w:val="en-US"/>
        </w:rPr>
        <w:t>United States Coast Guard</w:t>
      </w:r>
      <w:r w:rsidRPr="00EF3C86">
        <w:rPr>
          <w:rFonts w:ascii="Candara" w:hAnsi="Candara"/>
          <w:lang w:val="en-US"/>
        </w:rPr>
        <w:t>,</w:t>
      </w:r>
      <w:r w:rsidRPr="00EF3C86">
        <w:rPr>
          <w:rFonts w:ascii="Candara" w:hAnsi="Candara"/>
          <w:b/>
          <w:bCs/>
          <w:lang w:val="en-US"/>
        </w:rPr>
        <w:t xml:space="preserve"> </w:t>
      </w:r>
      <w:r w:rsidRPr="00EF3C86">
        <w:rPr>
          <w:rFonts w:ascii="Candara" w:hAnsi="Candara"/>
          <w:i/>
          <w:iCs/>
          <w:lang w:val="en-US"/>
        </w:rPr>
        <w:t>Incident Management Handbook</w:t>
      </w:r>
      <w:r w:rsidRPr="00EF3C86">
        <w:rPr>
          <w:rFonts w:ascii="Candara" w:hAnsi="Candara"/>
          <w:lang w:val="en-US"/>
        </w:rPr>
        <w:t xml:space="preserve"> (2006), 25-1</w:t>
      </w:r>
    </w:p>
  </w:footnote>
  <w:footnote w:id="15">
    <w:p w14:paraId="2AA41423" w14:textId="77777777" w:rsidR="007256B3" w:rsidRDefault="007256B3" w:rsidP="00D27F61">
      <w:pPr>
        <w:pStyle w:val="FootnoteText"/>
      </w:pPr>
      <w:r>
        <w:rPr>
          <w:rStyle w:val="FootnoteReference"/>
        </w:rPr>
        <w:footnoteRef/>
      </w:r>
      <w:r>
        <w:t xml:space="preserve"> </w:t>
      </w:r>
      <w:r w:rsidRPr="00DD04FC">
        <w:rPr>
          <w:rFonts w:ascii="Candara" w:hAnsi="Candara"/>
        </w:rPr>
        <w:t>Network ignition counts by themselves provide only one indicator of the efficacy of the f-factor and are not conclusive given exogenous variables and the presence of other regulatory safety obligations on distribution businesses.</w:t>
      </w:r>
    </w:p>
  </w:footnote>
  <w:footnote w:id="16">
    <w:p w14:paraId="62E0A04D" w14:textId="4E19BBED" w:rsidR="007256B3" w:rsidRDefault="007256B3">
      <w:pPr>
        <w:pStyle w:val="FootnoteText"/>
      </w:pPr>
      <w:r>
        <w:rPr>
          <w:rStyle w:val="FootnoteReference"/>
        </w:rPr>
        <w:footnoteRef/>
      </w:r>
      <w:r>
        <w:t xml:space="preserve"> </w:t>
      </w:r>
      <w:r w:rsidRPr="00DD04FC">
        <w:rPr>
          <w:rFonts w:ascii="Candara" w:hAnsi="Candara"/>
        </w:rPr>
        <w:t>Introducing a weighted scheme should reduce this risk, but it will not eliminate it.</w:t>
      </w:r>
      <w:r>
        <w:t xml:space="preserve"> </w:t>
      </w:r>
    </w:p>
  </w:footnote>
  <w:footnote w:id="17">
    <w:p w14:paraId="66EF770A" w14:textId="14AE188A" w:rsidR="007256B3" w:rsidRPr="00AE63C4" w:rsidRDefault="007256B3" w:rsidP="00DD04FC">
      <w:pPr>
        <w:spacing w:after="0"/>
        <w:rPr>
          <w:sz w:val="20"/>
          <w:szCs w:val="20"/>
        </w:rPr>
      </w:pPr>
      <w:r w:rsidRPr="00EF3C86">
        <w:rPr>
          <w:rStyle w:val="FootnoteReference"/>
          <w:rFonts w:ascii="Candara" w:hAnsi="Candara"/>
        </w:rPr>
        <w:footnoteRef/>
      </w:r>
      <w:r w:rsidRPr="00EF3C86">
        <w:rPr>
          <w:rFonts w:ascii="Candara" w:hAnsi="Candara"/>
        </w:rPr>
        <w:t xml:space="preserve"> </w:t>
      </w:r>
      <w:r w:rsidRPr="00DD04FC">
        <w:rPr>
          <w:rFonts w:ascii="Candara" w:hAnsi="Candara"/>
          <w:sz w:val="20"/>
          <w:szCs w:val="20"/>
        </w:rPr>
        <w:t xml:space="preserve">It must be noted that in their 2011 submissions to the current f-factor, the businesses questioned the likely efficacy of the current f-factor incentive scheme to reduce the bushfire threat posed by the distribution network, because it was untargeted. The businesses also cited criminal law liabilities, insurance and commercial impacts, which, when overlayed on pre-existing legislative requirements, acted as sufficient incentive for them to maintain safe networks. These factors, however, cannot be demonstrated to have had an effect in reducing network ignitions. Irrespective of their presence, the fall in ignition levels has been prone to variation for all businesses except AusNet Services, and has only reduced marginally for most of the businesses since 2012. </w:t>
      </w:r>
      <w:r>
        <w:rPr>
          <w:rFonts w:ascii="Candara" w:hAnsi="Candara"/>
          <w:i/>
        </w:rPr>
        <w:t>f</w:t>
      </w:r>
      <w:r w:rsidRPr="00EF3C86">
        <w:rPr>
          <w:rFonts w:ascii="Candara" w:hAnsi="Candara"/>
          <w:i/>
        </w:rPr>
        <w:t>-factor Scheme – Citipower/Powercor Submission</w:t>
      </w:r>
      <w:r w:rsidRPr="00EF3C86">
        <w:rPr>
          <w:rFonts w:ascii="Candara" w:hAnsi="Candara"/>
        </w:rPr>
        <w:t xml:space="preserve">, </w:t>
      </w:r>
      <w:r w:rsidRPr="00DD04FC">
        <w:rPr>
          <w:rFonts w:ascii="Candara" w:hAnsi="Candara"/>
          <w:sz w:val="20"/>
          <w:szCs w:val="20"/>
        </w:rPr>
        <w:t xml:space="preserve">2011, available at: </w:t>
      </w:r>
      <w:hyperlink r:id="rId3" w:history="1">
        <w:r w:rsidRPr="00EF3C86">
          <w:rPr>
            <w:rStyle w:val="Hyperlink"/>
            <w:rFonts w:ascii="Candara" w:hAnsi="Candara"/>
          </w:rPr>
          <w:t>http://www.energyandresources.vic.gov.au/energy/about/legislation-and-regulation/f-factor-scheme/citipower-powercor</w:t>
        </w:r>
      </w:hyperlink>
      <w:r w:rsidRPr="00EF3C86">
        <w:rPr>
          <w:rFonts w:ascii="Candara" w:hAnsi="Candara"/>
        </w:rPr>
        <w:t xml:space="preserve">, accessed 16 May 2016; </w:t>
      </w:r>
      <w:r>
        <w:rPr>
          <w:rFonts w:ascii="Candara" w:hAnsi="Candara"/>
          <w:i/>
        </w:rPr>
        <w:t>f</w:t>
      </w:r>
      <w:r w:rsidRPr="00EF3C86">
        <w:rPr>
          <w:rFonts w:ascii="Candara" w:hAnsi="Candara"/>
          <w:i/>
        </w:rPr>
        <w:t>-factor Scheme – United Energy Submission</w:t>
      </w:r>
      <w:r w:rsidRPr="00EF3C86">
        <w:rPr>
          <w:rFonts w:ascii="Candara" w:hAnsi="Candara"/>
        </w:rPr>
        <w:t xml:space="preserve">, 2011, available at: </w:t>
      </w:r>
      <w:hyperlink r:id="rId4" w:history="1">
        <w:r w:rsidRPr="00EF3C86">
          <w:rPr>
            <w:rStyle w:val="Hyperlink"/>
            <w:rFonts w:ascii="Candara" w:hAnsi="Candara"/>
          </w:rPr>
          <w:t>http://www.energyandresources.vic.gov.au/energy/about/legislation-and-regulation/f-factor-scheme/united-energy</w:t>
        </w:r>
      </w:hyperlink>
      <w:r>
        <w:rPr>
          <w:rFonts w:ascii="Candara" w:hAnsi="Candara"/>
        </w:rPr>
        <w:t>, accessed 16 May 2016; f</w:t>
      </w:r>
      <w:r w:rsidRPr="00EF3C86">
        <w:rPr>
          <w:rFonts w:ascii="Candara" w:hAnsi="Candara"/>
        </w:rPr>
        <w:t xml:space="preserve">-factor Scheme – Jemena Submission, 2011, available at: </w:t>
      </w:r>
      <w:hyperlink r:id="rId5" w:history="1">
        <w:r w:rsidRPr="00EF3C86">
          <w:rPr>
            <w:rStyle w:val="Hyperlink"/>
            <w:rFonts w:ascii="Candara" w:hAnsi="Candara"/>
          </w:rPr>
          <w:t>http://www.energyandresources.vic.gov.au/energy/about/legislation-and-regulation/f-factor-scheme/jemena</w:t>
        </w:r>
      </w:hyperlink>
      <w:r w:rsidRPr="00EF3C86">
        <w:rPr>
          <w:rFonts w:ascii="Candara" w:hAnsi="Candara"/>
        </w:rPr>
        <w:t>,  accessed 16 May 2016.</w:t>
      </w:r>
    </w:p>
  </w:footnote>
  <w:footnote w:id="18">
    <w:p w14:paraId="72503EB2" w14:textId="71899A15" w:rsidR="007256B3" w:rsidRDefault="007256B3" w:rsidP="000951BB">
      <w:pPr>
        <w:pStyle w:val="FootnoteText"/>
      </w:pPr>
      <w:r w:rsidRPr="00EF3C86">
        <w:rPr>
          <w:rStyle w:val="FootnoteReference"/>
          <w:rFonts w:ascii="Candara" w:hAnsi="Candara"/>
        </w:rPr>
        <w:footnoteRef/>
      </w:r>
      <w:r w:rsidRPr="00EF3C86">
        <w:rPr>
          <w:rFonts w:ascii="Candara" w:hAnsi="Candara"/>
        </w:rPr>
        <w:t xml:space="preserve"> </w:t>
      </w:r>
      <w:r>
        <w:rPr>
          <w:rFonts w:ascii="Candara" w:hAnsi="Candara"/>
        </w:rPr>
        <w:t xml:space="preserve">Pending full deployment and operation of enhanced fault detection and suppression technology on the distribution network as mandated by the </w:t>
      </w:r>
      <w:r w:rsidRPr="00290C47">
        <w:rPr>
          <w:rFonts w:ascii="Candara" w:hAnsi="Candara"/>
          <w:i/>
        </w:rPr>
        <w:t xml:space="preserve">Electricity Safety (Bushfire Mitigation) </w:t>
      </w:r>
      <w:r>
        <w:rPr>
          <w:rFonts w:ascii="Candara" w:hAnsi="Candara"/>
          <w:i/>
        </w:rPr>
        <w:t xml:space="preserve">Amendment </w:t>
      </w:r>
      <w:r w:rsidRPr="00290C47">
        <w:rPr>
          <w:rFonts w:ascii="Candara" w:hAnsi="Candara"/>
          <w:i/>
        </w:rPr>
        <w:t>Regulations 2016</w:t>
      </w:r>
      <w:r>
        <w:rPr>
          <w:rFonts w:ascii="Candara" w:hAnsi="Candara"/>
        </w:rPr>
        <w:t xml:space="preserve"> ; CSIRO</w:t>
      </w:r>
      <w:r w:rsidRPr="00EF3C86">
        <w:rPr>
          <w:rFonts w:ascii="Candara" w:hAnsi="Candara"/>
        </w:rPr>
        <w:t xml:space="preserve"> modelling commissioned by the Department of Economic Development, Jobs, Transport and Resources (Oct 2015)</w:t>
      </w:r>
      <w:r>
        <w:rPr>
          <w:rFonts w:ascii="Candara" w:hAnsi="Candara"/>
        </w:rPr>
        <w:t>.</w:t>
      </w:r>
      <w:r>
        <w:t xml:space="preserve"> </w:t>
      </w:r>
    </w:p>
  </w:footnote>
  <w:footnote w:id="19">
    <w:p w14:paraId="0EF7EEF2" w14:textId="33233D3D" w:rsidR="007256B3" w:rsidRDefault="007256B3">
      <w:pPr>
        <w:pStyle w:val="FootnoteText"/>
      </w:pPr>
      <w:r>
        <w:rPr>
          <w:rStyle w:val="FootnoteReference"/>
        </w:rPr>
        <w:footnoteRef/>
      </w:r>
      <w:r>
        <w:t xml:space="preserve"> </w:t>
      </w:r>
      <w:r w:rsidRPr="00785FA7">
        <w:rPr>
          <w:rFonts w:ascii="Candara" w:hAnsi="Candara"/>
        </w:rPr>
        <w:t xml:space="preserve">Rapid Earth Fault Current Neutraliser technologies will provide the majority of the ignitions reduction on the 22 kV network in line with heightened network fault suppression standards imposed by the </w:t>
      </w:r>
      <w:r w:rsidRPr="00785FA7">
        <w:rPr>
          <w:rFonts w:ascii="Candara" w:hAnsi="Candara"/>
          <w:i/>
        </w:rPr>
        <w:t>Electricity Safety (Bushfire Mitigation) Amendment Regulations 2016</w:t>
      </w:r>
      <w:r w:rsidRPr="00785FA7">
        <w:rPr>
          <w:rFonts w:ascii="Candara" w:hAnsi="Candara"/>
        </w:rPr>
        <w:t>.</w:t>
      </w:r>
    </w:p>
  </w:footnote>
  <w:footnote w:id="20">
    <w:p w14:paraId="2BDAD6E4" w14:textId="77777777" w:rsidR="007256B3" w:rsidRDefault="007256B3" w:rsidP="007F0EB3">
      <w:pPr>
        <w:pStyle w:val="FootnoteText"/>
      </w:pPr>
      <w:r w:rsidRPr="00EF3C86">
        <w:rPr>
          <w:rStyle w:val="FootnoteReference"/>
          <w:rFonts w:ascii="Candara" w:hAnsi="Candara"/>
        </w:rPr>
        <w:footnoteRef/>
      </w:r>
      <w:r w:rsidRPr="00EF3C86">
        <w:rPr>
          <w:rFonts w:ascii="Candara" w:hAnsi="Candara"/>
        </w:rPr>
        <w:t xml:space="preserve"> It is for this reason that Bushfire Mitigation Plans have not been used to prescribe operational settings of electricity distribution network assets.</w:t>
      </w:r>
      <w:r>
        <w:t xml:space="preserve">  </w:t>
      </w:r>
    </w:p>
  </w:footnote>
  <w:footnote w:id="21">
    <w:p w14:paraId="5CC166E3" w14:textId="77777777" w:rsidR="007256B3" w:rsidRDefault="007256B3" w:rsidP="00E76C9C">
      <w:pPr>
        <w:pStyle w:val="FootnoteText"/>
      </w:pPr>
      <w:r>
        <w:rPr>
          <w:rStyle w:val="FootnoteReference"/>
        </w:rPr>
        <w:footnoteRef/>
      </w:r>
      <w:r w:rsidRPr="00785FA7">
        <w:rPr>
          <w:rFonts w:ascii="Candara" w:hAnsi="Candara"/>
        </w:rPr>
        <w:t xml:space="preserve"> A control group is a series of programmed procedures which dictate how ACRs operate including the number of reclose attempts, the duration of each reclose, and the duration between reclose attempts.</w:t>
      </w:r>
    </w:p>
  </w:footnote>
  <w:footnote w:id="22">
    <w:p w14:paraId="7FE47196" w14:textId="28D2B5C0" w:rsidR="007256B3" w:rsidRDefault="007256B3">
      <w:pPr>
        <w:pStyle w:val="FootnoteText"/>
      </w:pPr>
      <w:r>
        <w:rPr>
          <w:rStyle w:val="FootnoteReference"/>
        </w:rPr>
        <w:footnoteRef/>
      </w:r>
      <w:r>
        <w:t xml:space="preserve"> </w:t>
      </w:r>
      <w:r w:rsidRPr="00785FA7">
        <w:rPr>
          <w:rFonts w:ascii="Candara" w:hAnsi="Candara"/>
        </w:rPr>
        <w:t xml:space="preserve">The Victorian Government’s $5.5 million test program of Rapid Earth Fault Current Limiters in 2014 at Frankston South and in 2016 at Kilmore South. Over 1000 tests were performed on live networks. The final reports for these trials are available at: </w:t>
      </w:r>
      <w:hyperlink r:id="rId6" w:history="1">
        <w:r w:rsidRPr="00785FA7">
          <w:rPr>
            <w:rStyle w:val="Hyperlink"/>
            <w:rFonts w:ascii="Candara" w:hAnsi="Candara"/>
          </w:rPr>
          <w:t>http://www.energyandresources.vic.gov.au/energy/safety-and-emergencies/powerline-bushfire-safety-program/r-and-d/rapid-earth-fault-current-limiter</w:t>
        </w:r>
      </w:hyperlink>
      <w:r>
        <w:t xml:space="preserve"> </w:t>
      </w:r>
    </w:p>
  </w:footnote>
  <w:footnote w:id="23">
    <w:p w14:paraId="7FD762CA" w14:textId="77777777" w:rsidR="007256B3" w:rsidRPr="00576382" w:rsidRDefault="007256B3">
      <w:pPr>
        <w:pStyle w:val="FootnoteText"/>
        <w:rPr>
          <w:rFonts w:ascii="Candara" w:hAnsi="Candara"/>
        </w:rPr>
      </w:pPr>
      <w:r w:rsidRPr="00576382">
        <w:rPr>
          <w:rStyle w:val="FootnoteReference"/>
          <w:rFonts w:ascii="Candara" w:hAnsi="Candara"/>
        </w:rPr>
        <w:footnoteRef/>
      </w:r>
      <w:r w:rsidRPr="00576382">
        <w:rPr>
          <w:rFonts w:ascii="Candara" w:hAnsi="Candara"/>
        </w:rPr>
        <w:t xml:space="preserve"> </w:t>
      </w:r>
      <w:r w:rsidRPr="00576382">
        <w:rPr>
          <w:rFonts w:ascii="Candara" w:hAnsi="Candara"/>
          <w:i/>
        </w:rPr>
        <w:t>Electricity Safety Act 1998</w:t>
      </w:r>
    </w:p>
  </w:footnote>
  <w:footnote w:id="24">
    <w:p w14:paraId="04F5DDB7" w14:textId="77777777" w:rsidR="007256B3" w:rsidRPr="00576382" w:rsidRDefault="007256B3">
      <w:pPr>
        <w:pStyle w:val="FootnoteText"/>
        <w:rPr>
          <w:rFonts w:ascii="Candara" w:hAnsi="Candara"/>
        </w:rPr>
      </w:pPr>
      <w:r w:rsidRPr="00576382">
        <w:rPr>
          <w:rStyle w:val="FootnoteReference"/>
          <w:rFonts w:ascii="Candara" w:hAnsi="Candara"/>
        </w:rPr>
        <w:footnoteRef/>
      </w:r>
      <w:r w:rsidRPr="00576382">
        <w:rPr>
          <w:rFonts w:ascii="Candara" w:hAnsi="Candara"/>
        </w:rPr>
        <w:t xml:space="preserve"> Ibid.</w:t>
      </w:r>
    </w:p>
  </w:footnote>
  <w:footnote w:id="25">
    <w:p w14:paraId="29C24EF8" w14:textId="1BF35F21" w:rsidR="007256B3" w:rsidRDefault="007256B3">
      <w:pPr>
        <w:pStyle w:val="FootnoteText"/>
      </w:pPr>
      <w:r w:rsidRPr="00576382">
        <w:rPr>
          <w:rStyle w:val="FootnoteReference"/>
          <w:rFonts w:ascii="Candara" w:hAnsi="Candara"/>
        </w:rPr>
        <w:footnoteRef/>
      </w:r>
      <w:r w:rsidRPr="00576382">
        <w:rPr>
          <w:rFonts w:ascii="Candara" w:hAnsi="Candara"/>
        </w:rPr>
        <w:t xml:space="preserve"> These devices work by detecting phase-to-ground, and wire-into-vegetation faults and closing off supply. They can each be adjusted to meet the degree of bushfire threat, with new Single Wire Earth Return (SWER) ACRs remotely set to have fewer attempts to reconnect supply (used as a means to minimise the impact of transient faults) and REFCLs set to less or more sensitive energy detection settings. Further information on the impact of adjusting the reclose attempt settings of SWER ACRs is available in the Powerline Bushfire Safety Taskforce</w:t>
      </w:r>
      <w:r>
        <w:rPr>
          <w:rFonts w:ascii="Candara" w:hAnsi="Candara"/>
        </w:rPr>
        <w:t>,</w:t>
      </w:r>
      <w:r w:rsidRPr="00576382">
        <w:rPr>
          <w:rFonts w:ascii="Candara" w:hAnsi="Candara"/>
        </w:rPr>
        <w:t xml:space="preserve"> </w:t>
      </w:r>
      <w:r w:rsidRPr="007C694E">
        <w:rPr>
          <w:rFonts w:ascii="Candara" w:hAnsi="Candara"/>
          <w:i/>
        </w:rPr>
        <w:t>Final Report</w:t>
      </w:r>
      <w:r>
        <w:rPr>
          <w:rFonts w:ascii="Candara" w:hAnsi="Candara"/>
        </w:rPr>
        <w:t xml:space="preserve"> (30 September 2011). </w:t>
      </w:r>
      <w:r w:rsidRPr="00576382">
        <w:rPr>
          <w:rFonts w:ascii="Candara" w:hAnsi="Candara"/>
        </w:rPr>
        <w:t xml:space="preserve"> In 2012, the Victorian Government responded to Recommendation 32 of the Victorian Bushfires Royal Commission and mandated </w:t>
      </w:r>
      <w:r>
        <w:rPr>
          <w:rFonts w:ascii="Candara" w:hAnsi="Candara"/>
        </w:rPr>
        <w:t xml:space="preserve">the </w:t>
      </w:r>
      <w:r w:rsidRPr="00576382">
        <w:rPr>
          <w:rFonts w:ascii="Candara" w:hAnsi="Candara"/>
        </w:rPr>
        <w:t xml:space="preserve">installation of new SWER ACRs and the restriction of the number of reclose attempts of these devices on Total Fire Ban and Code Red days. Further information on the operation of REFCLs is in the Final Report of the PBSP Frankston REFCL test program, which is available at:    </w:t>
      </w:r>
      <w:hyperlink r:id="rId7" w:history="1">
        <w:r w:rsidRPr="00576382">
          <w:rPr>
            <w:rStyle w:val="Hyperlink"/>
            <w:rFonts w:ascii="Candara" w:hAnsi="Candara"/>
          </w:rPr>
          <w:t>http://www.energyandresources.vic.gov.au/energy/safety-and-emergencies/powerline-bushfire-safety-program/r-and-d/rapid-earth-fault-current-limiter</w:t>
        </w:r>
      </w:hyperlink>
      <w:r>
        <w:t xml:space="preserve"> </w:t>
      </w:r>
    </w:p>
  </w:footnote>
  <w:footnote w:id="26">
    <w:p w14:paraId="0968FD67" w14:textId="0D0DD9ED" w:rsidR="007256B3" w:rsidRDefault="007256B3">
      <w:pPr>
        <w:pStyle w:val="FootnoteText"/>
      </w:pPr>
      <w:r>
        <w:rPr>
          <w:rStyle w:val="FootnoteReference"/>
        </w:rPr>
        <w:footnoteRef/>
      </w:r>
      <w:r>
        <w:t xml:space="preserve"> This illustration does not capture the additional “no forecast” category. </w:t>
      </w:r>
    </w:p>
  </w:footnote>
  <w:footnote w:id="27">
    <w:p w14:paraId="0B2AFDE0" w14:textId="77777777" w:rsidR="007256B3" w:rsidRPr="00EF3C86" w:rsidRDefault="007256B3" w:rsidP="00750667">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w:t>
      </w:r>
      <w:r w:rsidRPr="008B7B4B">
        <w:rPr>
          <w:rFonts w:ascii="Candara" w:hAnsi="Candara"/>
        </w:rPr>
        <w:t xml:space="preserve">VBRC </w:t>
      </w:r>
      <w:r w:rsidRPr="00974DA2">
        <w:rPr>
          <w:rFonts w:ascii="Candara" w:hAnsi="Candara"/>
          <w:i/>
        </w:rPr>
        <w:t>Final Report</w:t>
      </w:r>
      <w:r w:rsidRPr="008B7B4B">
        <w:rPr>
          <w:rFonts w:ascii="Candara" w:hAnsi="Candara"/>
        </w:rPr>
        <w:t xml:space="preserve"> </w:t>
      </w:r>
      <w:r w:rsidRPr="00974DA2">
        <w:rPr>
          <w:rFonts w:ascii="Candara" w:hAnsi="Candara"/>
          <w:i/>
        </w:rPr>
        <w:t>Summary</w:t>
      </w:r>
      <w:r>
        <w:rPr>
          <w:rFonts w:ascii="Candara" w:hAnsi="Candara"/>
        </w:rPr>
        <w:t xml:space="preserve"> (2010) 1.</w:t>
      </w:r>
    </w:p>
  </w:footnote>
  <w:footnote w:id="28">
    <w:p w14:paraId="48A99BC6" w14:textId="6CD3D595" w:rsidR="007256B3" w:rsidRDefault="007256B3">
      <w:pPr>
        <w:pStyle w:val="FootnoteText"/>
      </w:pPr>
      <w:r>
        <w:rPr>
          <w:rStyle w:val="FootnoteReference"/>
        </w:rPr>
        <w:footnoteRef/>
      </w:r>
      <w:r>
        <w:t xml:space="preserve"> The current scheme set the </w:t>
      </w:r>
      <w:r w:rsidRPr="00351604">
        <w:t>fire start incentive rate at $25,000 to control the amount of distribution business revenue placed at risk</w:t>
      </w:r>
      <w:r w:rsidRPr="00F5659B">
        <w:t xml:space="preserve"> </w:t>
      </w:r>
      <w:r>
        <w:t>and minimise consumer financial impacts</w:t>
      </w:r>
      <w:r w:rsidRPr="00351604">
        <w:t xml:space="preserve">. </w:t>
      </w:r>
      <w:r>
        <w:t xml:space="preserve">Given the new scheme will introduce the variables of weighted geographical location and Fire Danger Ratings, controlling the incentive rate to maintain current levels of financial impact is a prudent means to avoid unintended consequences. </w:t>
      </w:r>
    </w:p>
  </w:footnote>
  <w:footnote w:id="29">
    <w:p w14:paraId="6747728C" w14:textId="77777777" w:rsidR="007256B3" w:rsidRPr="00EF3C86" w:rsidRDefault="007256B3" w:rsidP="00A16723">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VBRC </w:t>
      </w:r>
      <w:r w:rsidRPr="00EF3C86">
        <w:rPr>
          <w:rFonts w:ascii="Candara" w:hAnsi="Candara"/>
          <w:i/>
        </w:rPr>
        <w:t xml:space="preserve">Final Report </w:t>
      </w:r>
      <w:r w:rsidRPr="00EF3C86">
        <w:rPr>
          <w:rFonts w:ascii="Candara" w:hAnsi="Candara"/>
        </w:rPr>
        <w:t xml:space="preserve">Vol 1 Appendix A </w:t>
      </w:r>
    </w:p>
  </w:footnote>
  <w:footnote w:id="30">
    <w:p w14:paraId="3B02401F" w14:textId="77777777" w:rsidR="007256B3" w:rsidRPr="00EF3C86" w:rsidRDefault="007256B3" w:rsidP="00A16723">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VCCCAR </w:t>
      </w:r>
      <w:r w:rsidRPr="00EF3C86">
        <w:rPr>
          <w:rFonts w:ascii="Candara" w:hAnsi="Candara"/>
          <w:i/>
        </w:rPr>
        <w:t>Working Paper 3 – The cost of disasters to Australia and Victoria</w:t>
      </w:r>
      <w:r w:rsidRPr="00EF3C86">
        <w:rPr>
          <w:rFonts w:ascii="Candara" w:hAnsi="Candara"/>
        </w:rPr>
        <w:t xml:space="preserve"> (April 2011) 10</w:t>
      </w:r>
    </w:p>
  </w:footnote>
  <w:footnote w:id="31">
    <w:p w14:paraId="6062C83E" w14:textId="77777777" w:rsidR="007256B3" w:rsidRPr="00EF3C86" w:rsidRDefault="007256B3" w:rsidP="00A16723">
      <w:pPr>
        <w:pStyle w:val="FootnoteText"/>
        <w:rPr>
          <w:rFonts w:ascii="Candara" w:hAnsi="Candara"/>
        </w:rPr>
      </w:pPr>
      <w:r w:rsidRPr="00EF3C86">
        <w:rPr>
          <w:rStyle w:val="FootnoteReference"/>
          <w:rFonts w:ascii="Candara" w:hAnsi="Candara"/>
        </w:rPr>
        <w:footnoteRef/>
      </w:r>
      <w:r w:rsidRPr="00EF3C86">
        <w:rPr>
          <w:rFonts w:ascii="Candara" w:hAnsi="Candara"/>
        </w:rPr>
        <w:t xml:space="preserve"> </w:t>
      </w:r>
      <w:r w:rsidRPr="00EF3C86">
        <w:rPr>
          <w:rFonts w:ascii="Candara" w:hAnsi="Candara"/>
          <w:i/>
        </w:rPr>
        <w:t>The Report of the Bushfire Recovery Taskforce</w:t>
      </w:r>
      <w:r w:rsidRPr="00EF3C86">
        <w:rPr>
          <w:rFonts w:ascii="Candara" w:hAnsi="Candara"/>
        </w:rPr>
        <w:t xml:space="preserve"> - Australian Capital Territory October (2009) 4</w:t>
      </w:r>
    </w:p>
  </w:footnote>
  <w:footnote w:id="32">
    <w:p w14:paraId="48A8CA57" w14:textId="77777777" w:rsidR="007256B3" w:rsidRDefault="007256B3" w:rsidP="00A16723">
      <w:pPr>
        <w:pStyle w:val="FootnoteText"/>
      </w:pPr>
      <w:r w:rsidRPr="00EF3C86">
        <w:rPr>
          <w:rStyle w:val="FootnoteReference"/>
          <w:rFonts w:ascii="Candara" w:hAnsi="Candara"/>
        </w:rPr>
        <w:footnoteRef/>
      </w:r>
      <w:r w:rsidRPr="00EF3C86">
        <w:rPr>
          <w:rFonts w:ascii="Candara" w:hAnsi="Candara"/>
        </w:rPr>
        <w:t xml:space="preserve"> VBRC </w:t>
      </w:r>
      <w:r w:rsidRPr="00EF3C86">
        <w:rPr>
          <w:rFonts w:ascii="Candara" w:hAnsi="Candara"/>
          <w:i/>
        </w:rPr>
        <w:t>Final Report</w:t>
      </w:r>
      <w:r w:rsidRPr="00EF3C86">
        <w:rPr>
          <w:rFonts w:ascii="Candara" w:hAnsi="Candara"/>
        </w:rPr>
        <w:t xml:space="preserve"> Section 4.1</w:t>
      </w:r>
    </w:p>
  </w:footnote>
  <w:footnote w:id="33">
    <w:p w14:paraId="0E6740F4"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Low voltage is defined as any voltage under 1,000 volts. See </w:t>
      </w:r>
      <w:r w:rsidRPr="00584E7B">
        <w:rPr>
          <w:rFonts w:ascii="Candara" w:hAnsi="Candara"/>
          <w:i/>
        </w:rPr>
        <w:t>ANZ Standard 3000</w:t>
      </w:r>
      <w:r w:rsidRPr="00584E7B">
        <w:rPr>
          <w:rFonts w:ascii="Candara" w:hAnsi="Candara"/>
        </w:rPr>
        <w:t>. In Australia low voltage principally comprises voltage of 415 phase-to-phase, or 240 phase-to-ground. As the majority of customers are supplied by single phase power 240 volts is the voltage supplying most customers. A small number of customers are however supplied with low voltage 3 phase power; an even smaller number are supplied with 22kV power.</w:t>
      </w:r>
    </w:p>
  </w:footnote>
  <w:footnote w:id="34">
    <w:p w14:paraId="00512378" w14:textId="124B8453" w:rsidR="007256B3" w:rsidRDefault="007256B3">
      <w:pPr>
        <w:pStyle w:val="FootnoteText"/>
      </w:pPr>
      <w:r>
        <w:rPr>
          <w:rStyle w:val="FootnoteReference"/>
        </w:rPr>
        <w:footnoteRef/>
      </w:r>
      <w:r>
        <w:t xml:space="preserve"> This table includes both High Voltage and Low Voltage powerlines.</w:t>
      </w:r>
    </w:p>
  </w:footnote>
  <w:footnote w:id="35">
    <w:p w14:paraId="2A337FD9" w14:textId="77777777" w:rsidR="007256B3" w:rsidRDefault="007256B3" w:rsidP="00EE389F">
      <w:pPr>
        <w:pStyle w:val="FootnoteText"/>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State of the Energy Market</w:t>
      </w:r>
      <w:r w:rsidRPr="00584E7B">
        <w:rPr>
          <w:rFonts w:ascii="Candara" w:hAnsi="Candara"/>
        </w:rPr>
        <w:t xml:space="preserve"> (2014) 67</w:t>
      </w:r>
    </w:p>
  </w:footnote>
  <w:footnote w:id="36">
    <w:p w14:paraId="14BC6BF2"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Consumer guide to Victorian electricity distribution pricing review</w:t>
      </w:r>
      <w:r w:rsidRPr="00584E7B">
        <w:rPr>
          <w:rFonts w:ascii="Candara" w:hAnsi="Candara"/>
        </w:rPr>
        <w:t>, 2016-20 (May 2015) 13</w:t>
      </w:r>
    </w:p>
  </w:footnote>
  <w:footnote w:id="37">
    <w:p w14:paraId="1B85DAAA" w14:textId="77777777" w:rsidR="007256B3" w:rsidRDefault="007256B3" w:rsidP="00EE389F">
      <w:pPr>
        <w:pStyle w:val="FootnoteText"/>
      </w:pPr>
      <w:r w:rsidRPr="00584E7B">
        <w:rPr>
          <w:rStyle w:val="FootnoteReference"/>
          <w:rFonts w:ascii="Candara" w:hAnsi="Candara"/>
        </w:rPr>
        <w:footnoteRef/>
      </w:r>
      <w:r w:rsidRPr="00584E7B">
        <w:rPr>
          <w:rFonts w:ascii="Candara" w:hAnsi="Candara"/>
        </w:rPr>
        <w:t xml:space="preserve"> Ibid 3</w:t>
      </w:r>
    </w:p>
  </w:footnote>
  <w:footnote w:id="38">
    <w:p w14:paraId="792264A0"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Ibid 16</w:t>
      </w:r>
    </w:p>
  </w:footnote>
  <w:footnote w:id="39">
    <w:p w14:paraId="377B4928"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w:t>
      </w:r>
      <w:r w:rsidRPr="00584E7B">
        <w:rPr>
          <w:rFonts w:ascii="Candara" w:hAnsi="Candara"/>
          <w:i/>
        </w:rPr>
        <w:t>National Electricity Rules</w:t>
      </w:r>
      <w:r w:rsidRPr="00584E7B">
        <w:rPr>
          <w:rFonts w:ascii="Candara" w:hAnsi="Candara"/>
        </w:rPr>
        <w:t>, Chapter 6.6.2 (version 76) 684</w:t>
      </w:r>
    </w:p>
  </w:footnote>
  <w:footnote w:id="40">
    <w:p w14:paraId="0FB26744"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Electricity distribution network service providers: Service target performance incentive scheme</w:t>
      </w:r>
      <w:r w:rsidRPr="00584E7B">
        <w:rPr>
          <w:rFonts w:ascii="Candara" w:hAnsi="Candara"/>
        </w:rPr>
        <w:t xml:space="preserve"> (2008) 5</w:t>
      </w:r>
    </w:p>
  </w:footnote>
  <w:footnote w:id="41">
    <w:p w14:paraId="4A30461D"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Essential Services Commission, </w:t>
      </w:r>
      <w:r w:rsidRPr="00584E7B">
        <w:rPr>
          <w:rFonts w:ascii="Candara" w:hAnsi="Candara"/>
          <w:i/>
        </w:rPr>
        <w:t>Review of the Victorian Electricity Distributors’ Guaranteed Service Level Payment Scheme: Draft Decision</w:t>
      </w:r>
      <w:r w:rsidRPr="00584E7B">
        <w:rPr>
          <w:rFonts w:ascii="Candara" w:hAnsi="Candara"/>
        </w:rPr>
        <w:t xml:space="preserve"> (2015) 5</w:t>
      </w:r>
    </w:p>
  </w:footnote>
  <w:footnote w:id="42">
    <w:p w14:paraId="38FE9908"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Essential Services Commission, </w:t>
      </w:r>
      <w:r w:rsidRPr="00584E7B">
        <w:rPr>
          <w:rFonts w:ascii="Candara" w:hAnsi="Candara"/>
          <w:i/>
        </w:rPr>
        <w:t>Review of the Victorian Electricity Distributors’ Guaranteed Service Level Payment Scheme: Final Decision</w:t>
      </w:r>
      <w:r w:rsidRPr="00584E7B">
        <w:rPr>
          <w:rFonts w:ascii="Candara" w:hAnsi="Candara"/>
        </w:rPr>
        <w:t xml:space="preserve"> (2015) 75</w:t>
      </w:r>
    </w:p>
  </w:footnote>
  <w:footnote w:id="43">
    <w:p w14:paraId="1A41A139" w14:textId="77777777" w:rsidR="007256B3" w:rsidRDefault="007256B3" w:rsidP="00EE389F">
      <w:pPr>
        <w:pStyle w:val="FootnoteText"/>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Preliminary decision – Powercor distribution determination – Attachment 11 – STPIS (October 2015)</w:t>
      </w:r>
      <w:r w:rsidRPr="00584E7B">
        <w:rPr>
          <w:rFonts w:ascii="Candara" w:hAnsi="Candara"/>
        </w:rPr>
        <w:t xml:space="preserve"> 12; also Jemena distribution determination – Attachment 11 (October 2015), 8; AusNet distribution determination – Attachment 11 (October 2015) 12</w:t>
      </w:r>
    </w:p>
  </w:footnote>
  <w:footnote w:id="44">
    <w:p w14:paraId="49FBDBE0" w14:textId="77777777" w:rsidR="007256B3" w:rsidRPr="00584E7B" w:rsidRDefault="007256B3" w:rsidP="00731CF2">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2006-13 Economic Benchmarking RIN – financial and non-financial information</w:t>
      </w:r>
    </w:p>
  </w:footnote>
  <w:footnote w:id="45">
    <w:p w14:paraId="4C5AA99B"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Draft determination and explanatory statement: f-factor amount determinations for Victorian electricity distribution network service providers’ 2014 fire start outcomes</w:t>
      </w:r>
      <w:r w:rsidRPr="00584E7B">
        <w:rPr>
          <w:rFonts w:ascii="Candara" w:hAnsi="Candara"/>
        </w:rPr>
        <w:t xml:space="preserve"> (June 2015) 3</w:t>
      </w:r>
    </w:p>
  </w:footnote>
  <w:footnote w:id="46">
    <w:p w14:paraId="4D296AE9" w14:textId="77777777" w:rsidR="007256B3" w:rsidRDefault="007256B3" w:rsidP="00EE389F">
      <w:pPr>
        <w:pStyle w:val="FootnoteText"/>
      </w:pPr>
      <w:r w:rsidRPr="00584E7B">
        <w:rPr>
          <w:rStyle w:val="FootnoteReference"/>
          <w:rFonts w:ascii="Candara" w:hAnsi="Candara"/>
        </w:rPr>
        <w:footnoteRef/>
      </w:r>
      <w:r w:rsidRPr="00584E7B">
        <w:rPr>
          <w:rFonts w:ascii="Candara" w:hAnsi="Candara"/>
        </w:rPr>
        <w:t xml:space="preserve"> Victorian Bushfires Royal Commission, </w:t>
      </w:r>
      <w:r w:rsidRPr="00584E7B">
        <w:rPr>
          <w:rFonts w:ascii="Candara" w:hAnsi="Candara"/>
          <w:i/>
        </w:rPr>
        <w:t>Final Report</w:t>
      </w:r>
      <w:r w:rsidRPr="00584E7B">
        <w:rPr>
          <w:rFonts w:ascii="Candara" w:hAnsi="Candara"/>
        </w:rPr>
        <w:t xml:space="preserve"> (2010) 148-150</w:t>
      </w:r>
    </w:p>
  </w:footnote>
  <w:footnote w:id="47">
    <w:p w14:paraId="48F7510C" w14:textId="77777777" w:rsidR="007256B3" w:rsidRPr="00584E7B" w:rsidRDefault="007256B3" w:rsidP="00EE389F">
      <w:pPr>
        <w:pStyle w:val="FootnoteText"/>
        <w:rPr>
          <w:rFonts w:ascii="Candara" w:hAnsi="Candara"/>
        </w:rPr>
      </w:pPr>
      <w:r w:rsidRPr="00584E7B">
        <w:rPr>
          <w:rStyle w:val="FootnoteReference"/>
          <w:rFonts w:ascii="Candara" w:hAnsi="Candara"/>
        </w:rPr>
        <w:footnoteRef/>
      </w:r>
      <w:r w:rsidRPr="00584E7B">
        <w:rPr>
          <w:rFonts w:ascii="Candara" w:hAnsi="Candara"/>
        </w:rPr>
        <w:t xml:space="preserve"> Acil Allen, </w:t>
      </w:r>
      <w:r w:rsidRPr="00584E7B">
        <w:rPr>
          <w:rFonts w:ascii="Candara" w:hAnsi="Candara"/>
          <w:i/>
        </w:rPr>
        <w:t>Regulatory Impact Statement, Bushfire Mitigation Regulations Amendment</w:t>
      </w:r>
      <w:r w:rsidRPr="00584E7B">
        <w:rPr>
          <w:rFonts w:ascii="Candara" w:hAnsi="Candara"/>
        </w:rPr>
        <w:t xml:space="preserve"> (17 November 2015) 1-2</w:t>
      </w:r>
    </w:p>
  </w:footnote>
  <w:footnote w:id="48">
    <w:p w14:paraId="52ED227C" w14:textId="77777777" w:rsidR="007256B3" w:rsidRDefault="007256B3" w:rsidP="00EE389F">
      <w:pPr>
        <w:pStyle w:val="FootnoteText"/>
      </w:pPr>
      <w:r w:rsidRPr="00584E7B">
        <w:rPr>
          <w:rStyle w:val="FootnoteReference"/>
          <w:rFonts w:ascii="Candara" w:hAnsi="Candara"/>
        </w:rPr>
        <w:footnoteRef/>
      </w:r>
      <w:r w:rsidRPr="00584E7B">
        <w:rPr>
          <w:rFonts w:ascii="Candara" w:hAnsi="Candara"/>
        </w:rPr>
        <w:t xml:space="preserve"> Australian Energy Regulator, </w:t>
      </w:r>
      <w:r w:rsidRPr="00584E7B">
        <w:rPr>
          <w:rFonts w:ascii="Candara" w:hAnsi="Candara"/>
          <w:i/>
        </w:rPr>
        <w:t>Final Decision: AusNet cost past through application of 12 December 2011 for Cost arising from the Victorian Bushfire Royal Commission</w:t>
      </w:r>
      <w:r w:rsidRPr="00584E7B">
        <w:rPr>
          <w:rFonts w:ascii="Candara" w:hAnsi="Candara"/>
        </w:rPr>
        <w:t xml:space="preserve"> (Oct 2012) 3; Australian Energy Regulator, </w:t>
      </w:r>
      <w:r w:rsidRPr="00584E7B">
        <w:rPr>
          <w:rFonts w:ascii="Candara" w:hAnsi="Candara"/>
          <w:i/>
        </w:rPr>
        <w:t>Final Decision: AusNet cost past through application of 12 December 2011 for Cost arising from the Victorian Bushfire Royal Commission</w:t>
      </w:r>
      <w:r w:rsidRPr="00584E7B">
        <w:rPr>
          <w:rFonts w:ascii="Candara" w:hAnsi="Candara"/>
        </w:rPr>
        <w:t xml:space="preserve"> (Oct 2012) 3</w:t>
      </w:r>
    </w:p>
  </w:footnote>
  <w:footnote w:id="49">
    <w:p w14:paraId="276F33F2" w14:textId="629FDB98" w:rsidR="007256B3" w:rsidRDefault="007256B3" w:rsidP="009B0617">
      <w:pPr>
        <w:pStyle w:val="FootnoteText"/>
      </w:pPr>
      <w:r>
        <w:rPr>
          <w:rStyle w:val="FootnoteReference"/>
        </w:rPr>
        <w:footnoteRef/>
      </w:r>
      <w:r>
        <w:t xml:space="preserve"> Section </w:t>
      </w:r>
      <w:r w:rsidRPr="00E15B42">
        <w:t>80(a)</w:t>
      </w:r>
      <w:r>
        <w:t xml:space="preserve"> of the </w:t>
      </w:r>
      <w:r w:rsidRPr="00E15B42">
        <w:rPr>
          <w:i/>
        </w:rPr>
        <w:t>Electricity Safety Act 1998</w:t>
      </w:r>
    </w:p>
  </w:footnote>
  <w:footnote w:id="50">
    <w:p w14:paraId="7028958A" w14:textId="218C3556" w:rsidR="007256B3" w:rsidRDefault="007256B3" w:rsidP="009B0617">
      <w:pPr>
        <w:pStyle w:val="FootnoteText"/>
      </w:pPr>
      <w:r>
        <w:rPr>
          <w:rStyle w:val="FootnoteReference"/>
        </w:rPr>
        <w:footnoteRef/>
      </w:r>
      <w:r>
        <w:t xml:space="preserve"> Cited on </w:t>
      </w:r>
      <w:hyperlink r:id="rId8" w:history="1">
        <w:r w:rsidRPr="00334DA3">
          <w:rPr>
            <w:rStyle w:val="Hyperlink"/>
          </w:rPr>
          <w:t>www.cfa.vic.gov.au/plan-prepare/powerline-vegetation-clearance/</w:t>
        </w:r>
      </w:hyperlink>
      <w:r>
        <w:t xml:space="preserve"> </w:t>
      </w:r>
    </w:p>
  </w:footnote>
  <w:footnote w:id="51">
    <w:p w14:paraId="5FFDCC09" w14:textId="77777777" w:rsidR="007256B3" w:rsidRDefault="007256B3" w:rsidP="009B0617">
      <w:pPr>
        <w:pStyle w:val="FootnoteText"/>
      </w:pPr>
      <w:r>
        <w:rPr>
          <w:rStyle w:val="FootnoteReference"/>
        </w:rPr>
        <w:footnoteRef/>
      </w:r>
      <w:r>
        <w:t xml:space="preserve"> </w:t>
      </w:r>
      <w:r w:rsidRPr="005159A3">
        <w:t>Phoenix RapidFire, a fire characteristic mapping model</w:t>
      </w:r>
      <w:r>
        <w:t xml:space="preserve"> was developed by </w:t>
      </w:r>
      <w:r w:rsidRPr="005159A3">
        <w:t>Dr Kevin Tolhurst and colleagues at the Bushfire Cooperative Research Centre</w:t>
      </w:r>
    </w:p>
  </w:footnote>
  <w:footnote w:id="52">
    <w:p w14:paraId="26896DAE" w14:textId="77777777" w:rsidR="007256B3" w:rsidRDefault="007256B3" w:rsidP="009B0617">
      <w:pPr>
        <w:pStyle w:val="FootnoteText"/>
      </w:pPr>
      <w:r>
        <w:rPr>
          <w:rStyle w:val="FootnoteReference"/>
        </w:rPr>
        <w:footnoteRef/>
      </w:r>
      <w:r>
        <w:t xml:space="preserve"> the Risk Reduction Model (RRM) was developed by the </w:t>
      </w:r>
      <w:r w:rsidRPr="00AC6562">
        <w:t>Commonwealth Scientific and Industrial Research Organisation (CSIRO)</w:t>
      </w:r>
    </w:p>
  </w:footnote>
  <w:footnote w:id="53">
    <w:p w14:paraId="01418215" w14:textId="2FBA15B6" w:rsidR="007256B3" w:rsidRDefault="007256B3" w:rsidP="009B0617">
      <w:pPr>
        <w:pStyle w:val="FootnoteText"/>
      </w:pPr>
      <w:r>
        <w:rPr>
          <w:rStyle w:val="FootnoteReference"/>
        </w:rPr>
        <w:footnoteRef/>
      </w:r>
      <w:r w:rsidRPr="002727AE">
        <w:t>model ‘A</w:t>
      </w:r>
      <w:r>
        <w:t>N</w:t>
      </w:r>
      <w:r w:rsidRPr="002727AE">
        <w:t>140</w:t>
      </w:r>
      <w:r>
        <w:t xml:space="preserve">’ - </w:t>
      </w:r>
      <w:r w:rsidRPr="002727AE">
        <w:t>assum</w:t>
      </w:r>
      <w:r>
        <w:t>es</w:t>
      </w:r>
      <w:r w:rsidRPr="002727AE">
        <w:t xml:space="preserve"> Ash Wednesday conditions and veg</w:t>
      </w:r>
      <w:r>
        <w:t>etation growth at its worst – Phoenix RapidFire</w:t>
      </w:r>
    </w:p>
  </w:footnote>
  <w:footnote w:id="54">
    <w:p w14:paraId="49281940" w14:textId="704B4795" w:rsidR="007256B3" w:rsidRDefault="007256B3" w:rsidP="009B0617">
      <w:pPr>
        <w:pStyle w:val="FootnoteText"/>
      </w:pPr>
      <w:r>
        <w:rPr>
          <w:rStyle w:val="FootnoteReference"/>
        </w:rPr>
        <w:footnoteRef/>
      </w:r>
      <w:r>
        <w:t xml:space="preserve"> </w:t>
      </w:r>
      <w:r w:rsidRPr="002727AE">
        <w:t>model ‘A</w:t>
      </w:r>
      <w:r>
        <w:t>N</w:t>
      </w:r>
      <w:r w:rsidRPr="002727AE">
        <w:t>140</w:t>
      </w:r>
      <w:r>
        <w:t xml:space="preserve">’ - </w:t>
      </w:r>
      <w:r w:rsidRPr="002727AE">
        <w:t>assum</w:t>
      </w:r>
      <w:r>
        <w:t>es</w:t>
      </w:r>
      <w:r w:rsidRPr="002727AE">
        <w:t xml:space="preserve"> Ash Wednesday conditions and veg</w:t>
      </w:r>
      <w:r>
        <w:t>etation growth at its worst – Phoenix RapidFire</w:t>
      </w:r>
    </w:p>
  </w:footnote>
  <w:footnote w:id="55">
    <w:p w14:paraId="225D79E1" w14:textId="77777777" w:rsidR="007256B3" w:rsidRPr="00226601" w:rsidRDefault="007256B3" w:rsidP="009B0617">
      <w:pPr>
        <w:pStyle w:val="FootnoteText"/>
      </w:pPr>
      <w:r>
        <w:rPr>
          <w:rStyle w:val="FootnoteReference"/>
        </w:rPr>
        <w:footnoteRef/>
      </w:r>
      <w:r>
        <w:t xml:space="preserve"> </w:t>
      </w:r>
      <w:hyperlink r:id="rId9" w:tooltip="Bradley Efron" w:history="1">
        <w:r w:rsidRPr="00226601">
          <w:rPr>
            <w:rStyle w:val="Hyperlink"/>
            <w:rFonts w:cs="Arial"/>
            <w:color w:val="0B0080"/>
            <w:sz w:val="21"/>
            <w:szCs w:val="21"/>
            <w:shd w:val="clear" w:color="auto" w:fill="FFFFFF"/>
          </w:rPr>
          <w:t>Efron, B.</w:t>
        </w:r>
      </w:hyperlink>
      <w:r w:rsidRPr="00226601">
        <w:rPr>
          <w:rStyle w:val="apple-converted-space"/>
          <w:rFonts w:cs="Arial"/>
          <w:color w:val="252525"/>
          <w:sz w:val="21"/>
          <w:szCs w:val="21"/>
          <w:shd w:val="clear" w:color="auto" w:fill="FFFFFF"/>
        </w:rPr>
        <w:t> </w:t>
      </w:r>
      <w:r w:rsidRPr="00226601">
        <w:rPr>
          <w:rFonts w:cs="Arial"/>
          <w:color w:val="252525"/>
          <w:sz w:val="21"/>
          <w:szCs w:val="21"/>
          <w:shd w:val="clear" w:color="auto" w:fill="FFFFFF"/>
        </w:rPr>
        <w:t>(1981). "Nonparametric estimates of standard error: The jackknife, the bootstrap and other methods".</w:t>
      </w:r>
      <w:r w:rsidRPr="00226601">
        <w:rPr>
          <w:rStyle w:val="apple-converted-space"/>
          <w:rFonts w:cs="Arial"/>
          <w:color w:val="252525"/>
          <w:sz w:val="21"/>
          <w:szCs w:val="21"/>
          <w:shd w:val="clear" w:color="auto" w:fill="FFFFFF"/>
        </w:rPr>
        <w:t> </w:t>
      </w:r>
      <w:hyperlink r:id="rId10" w:tooltip="Biometrika" w:history="1">
        <w:r w:rsidRPr="00226601">
          <w:rPr>
            <w:rStyle w:val="Hyperlink"/>
            <w:rFonts w:cs="Arial"/>
            <w:i/>
            <w:iCs/>
            <w:color w:val="0B0080"/>
            <w:sz w:val="21"/>
            <w:szCs w:val="21"/>
            <w:shd w:val="clear" w:color="auto" w:fill="FFFFFF"/>
          </w:rPr>
          <w:t>Biometrika</w:t>
        </w:r>
      </w:hyperlink>
      <w:r w:rsidRPr="00226601">
        <w:rPr>
          <w:rStyle w:val="apple-converted-space"/>
          <w:rFonts w:cs="Arial"/>
          <w:color w:val="252525"/>
          <w:sz w:val="21"/>
          <w:szCs w:val="21"/>
          <w:shd w:val="clear" w:color="auto" w:fill="FFFFFF"/>
        </w:rPr>
        <w:t> </w:t>
      </w:r>
      <w:r w:rsidRPr="00226601">
        <w:rPr>
          <w:rFonts w:cs="Arial"/>
          <w:b/>
          <w:bCs/>
          <w:color w:val="252525"/>
          <w:sz w:val="21"/>
          <w:szCs w:val="21"/>
          <w:shd w:val="clear" w:color="auto" w:fill="FFFFFF"/>
        </w:rPr>
        <w:t>68</w:t>
      </w:r>
      <w:r w:rsidRPr="00226601">
        <w:rPr>
          <w:rStyle w:val="apple-converted-space"/>
          <w:rFonts w:cs="Arial"/>
          <w:color w:val="252525"/>
          <w:sz w:val="21"/>
          <w:szCs w:val="21"/>
          <w:shd w:val="clear" w:color="auto" w:fill="FFFFFF"/>
        </w:rPr>
        <w:t> </w:t>
      </w:r>
      <w:r w:rsidRPr="00226601">
        <w:rPr>
          <w:rFonts w:cs="Arial"/>
          <w:color w:val="252525"/>
          <w:sz w:val="21"/>
          <w:szCs w:val="21"/>
          <w:shd w:val="clear" w:color="auto" w:fill="FFFFFF"/>
        </w:rPr>
        <w:t>(3): 589–599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C2365" w14:textId="77777777" w:rsidR="007256B3" w:rsidRDefault="007256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BA888" w14:textId="77777777" w:rsidR="007256B3" w:rsidRPr="00B25389" w:rsidRDefault="007256B3" w:rsidP="00E40B61">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21728" behindDoc="0" locked="0" layoutInCell="1" allowOverlap="1" wp14:anchorId="5315089C" wp14:editId="7D697518">
          <wp:simplePos x="0" y="0"/>
          <wp:positionH relativeFrom="column">
            <wp:posOffset>8346895</wp:posOffset>
          </wp:positionH>
          <wp:positionV relativeFrom="paragraph">
            <wp:posOffset>-271984</wp:posOffset>
          </wp:positionV>
          <wp:extent cx="1129665" cy="6432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0D584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570.35pt;height:65.8pt;rotation:315;z-index:-251595776;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704D329C" w14:textId="77777777" w:rsidR="007256B3" w:rsidRPr="00B25389" w:rsidRDefault="007256B3" w:rsidP="00E40B61">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5C9B7644" w14:textId="77777777" w:rsidR="007256B3" w:rsidRDefault="007256B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7D6EA" w14:textId="7D404FE9" w:rsidR="007256B3" w:rsidRDefault="007256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86430" w14:textId="6E552B8C" w:rsidR="007256B3" w:rsidRPr="00B25389" w:rsidRDefault="007256B3" w:rsidP="00E40B61">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25824" behindDoc="0" locked="0" layoutInCell="1" allowOverlap="1" wp14:anchorId="1EC39E3B" wp14:editId="654F5145">
          <wp:simplePos x="0" y="0"/>
          <wp:positionH relativeFrom="column">
            <wp:posOffset>5373011</wp:posOffset>
          </wp:positionH>
          <wp:positionV relativeFrom="paragraph">
            <wp:posOffset>-273050</wp:posOffset>
          </wp:positionV>
          <wp:extent cx="1129665" cy="6432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66C2A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margin-left:0;margin-top:0;width:570.35pt;height:65.8pt;rotation:315;z-index:-251614208;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46C86725" w14:textId="77777777" w:rsidR="007256B3" w:rsidRPr="00B25389" w:rsidRDefault="007256B3" w:rsidP="00E40B61">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7F0CC52C" w14:textId="27469FA6" w:rsidR="007256B3" w:rsidRDefault="007256B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93525" w14:textId="17E1974F" w:rsidR="007256B3" w:rsidRPr="00B25389" w:rsidRDefault="007256B3" w:rsidP="00E40B61">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23776" behindDoc="0" locked="0" layoutInCell="1" allowOverlap="1" wp14:anchorId="1365AACA" wp14:editId="5893FF0D">
          <wp:simplePos x="0" y="0"/>
          <wp:positionH relativeFrom="column">
            <wp:posOffset>5312206</wp:posOffset>
          </wp:positionH>
          <wp:positionV relativeFrom="paragraph">
            <wp:posOffset>-264160</wp:posOffset>
          </wp:positionV>
          <wp:extent cx="1129665" cy="6432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1129C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570.35pt;height:65.8pt;rotation:315;z-index:-251612160;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p>
  <w:p w14:paraId="78587546" w14:textId="057FEE32" w:rsidR="007256B3" w:rsidRPr="00B25389" w:rsidRDefault="007256B3" w:rsidP="00E40B61">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36824B44" w14:textId="77777777" w:rsidR="007256B3" w:rsidRPr="005C178E" w:rsidRDefault="007256B3" w:rsidP="00290C4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7D969" w14:textId="27537E80" w:rsidR="007256B3" w:rsidRDefault="007256B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3FB3D" w14:textId="30EF2E20" w:rsidR="007256B3" w:rsidRPr="00B25389" w:rsidRDefault="007256B3" w:rsidP="00E40B61">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27872" behindDoc="0" locked="0" layoutInCell="1" allowOverlap="1" wp14:anchorId="20DFD6FA" wp14:editId="62C9444F">
          <wp:simplePos x="0" y="0"/>
          <wp:positionH relativeFrom="column">
            <wp:posOffset>5760720</wp:posOffset>
          </wp:positionH>
          <wp:positionV relativeFrom="paragraph">
            <wp:posOffset>-188595</wp:posOffset>
          </wp:positionV>
          <wp:extent cx="1129665" cy="6432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1A5E8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570.35pt;height:65.8pt;rotation:315;z-index:-251616256;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0BCA30E6" w14:textId="77777777" w:rsidR="007256B3" w:rsidRPr="00B25389" w:rsidRDefault="007256B3" w:rsidP="00E40B61">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065A7BB3" w14:textId="77777777" w:rsidR="007256B3" w:rsidRPr="005C178E" w:rsidRDefault="007256B3" w:rsidP="00290C4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06F68" w14:textId="5B675C79" w:rsidR="007256B3" w:rsidRDefault="007256B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050E" w14:textId="3C7DFCEB" w:rsidR="007256B3" w:rsidRDefault="007256B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30E5" w14:textId="10F44DAC" w:rsidR="007256B3" w:rsidRDefault="007256B3">
    <w:pPr>
      <w:pStyle w:val="Header"/>
    </w:pPr>
    <w:r>
      <w:rPr>
        <w:noProof/>
        <w:lang w:eastAsia="en-AU"/>
      </w:rPr>
      <w:drawing>
        <wp:anchor distT="0" distB="0" distL="114300" distR="114300" simplePos="0" relativeHeight="251729920" behindDoc="0" locked="0" layoutInCell="1" allowOverlap="1" wp14:anchorId="043F6819" wp14:editId="07546C5F">
          <wp:simplePos x="0" y="0"/>
          <wp:positionH relativeFrom="column">
            <wp:posOffset>5717540</wp:posOffset>
          </wp:positionH>
          <wp:positionV relativeFrom="paragraph">
            <wp:posOffset>-201295</wp:posOffset>
          </wp:positionV>
          <wp:extent cx="1129665" cy="6432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p>
  <w:p w14:paraId="2BA77E2F" w14:textId="77777777" w:rsidR="007256B3" w:rsidRDefault="007256B3">
    <w:pPr>
      <w:pStyle w:val="Header"/>
    </w:pPr>
  </w:p>
  <w:p w14:paraId="6FCC95A5" w14:textId="485C9006" w:rsidR="007256B3" w:rsidRDefault="007256B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8C39" w14:textId="4928C798" w:rsidR="007256B3" w:rsidRDefault="007256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636E" w14:textId="027ECE1A" w:rsidR="007256B3" w:rsidRPr="00B25389" w:rsidRDefault="007256B3">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09440" behindDoc="0" locked="0" layoutInCell="1" allowOverlap="1" wp14:anchorId="16D64D73" wp14:editId="075060AE">
          <wp:simplePos x="0" y="0"/>
          <wp:positionH relativeFrom="column">
            <wp:posOffset>5426185</wp:posOffset>
          </wp:positionH>
          <wp:positionV relativeFrom="paragraph">
            <wp:posOffset>-243253</wp:posOffset>
          </wp:positionV>
          <wp:extent cx="1129665" cy="64325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633EA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margin-left:0;margin-top:0;width:570.35pt;height:65.8pt;rotation:315;z-index:-251620352;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4C36D2">
      <w:rPr>
        <w:noProof/>
        <w:lang w:eastAsia="en-AU"/>
      </w:rPr>
      <w:t xml:space="preserve"> </w:t>
    </w:r>
  </w:p>
  <w:p w14:paraId="499A7BDB" w14:textId="265E1600"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468E5501" w14:textId="77777777" w:rsidR="007256B3" w:rsidRDefault="007256B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15BA5" w14:textId="0F7E0D85" w:rsidR="007256B3" w:rsidRDefault="007256B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C729D" w14:textId="71D959F7" w:rsidR="007256B3" w:rsidRPr="00B25389" w:rsidRDefault="007256B3">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31968" behindDoc="0" locked="0" layoutInCell="1" allowOverlap="1" wp14:anchorId="1B5807A5" wp14:editId="08AE5FA9">
          <wp:simplePos x="0" y="0"/>
          <wp:positionH relativeFrom="column">
            <wp:posOffset>5379085</wp:posOffset>
          </wp:positionH>
          <wp:positionV relativeFrom="paragraph">
            <wp:posOffset>-220345</wp:posOffset>
          </wp:positionV>
          <wp:extent cx="1129665" cy="64325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C029AE">
      <w:rPr>
        <w:noProof/>
        <w:lang w:eastAsia="en-AU"/>
      </w:rPr>
      <w:t xml:space="preserve"> </w:t>
    </w:r>
  </w:p>
  <w:p w14:paraId="1335AEEE" w14:textId="77777777"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0D84954A" w14:textId="77777777" w:rsidR="007256B3" w:rsidRDefault="007256B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DFD76" w14:textId="220E090D" w:rsidR="007256B3" w:rsidRDefault="007256B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BC14" w14:textId="0A23872C" w:rsidR="007256B3" w:rsidRPr="00B25389" w:rsidRDefault="00703365">
    <w:pPr>
      <w:pStyle w:val="Header"/>
      <w:rPr>
        <w:rFonts w:ascii="Times New Roman" w:hAnsi="Times New Roman" w:cs="Times New Roman"/>
        <w:b/>
        <w:color w:val="7F7F7F" w:themeColor="text1" w:themeTint="80"/>
      </w:rPr>
    </w:pPr>
    <w:sdt>
      <w:sdtPr>
        <w:rPr>
          <w:rFonts w:ascii="Times New Roman" w:hAnsi="Times New Roman" w:cs="Times New Roman"/>
          <w:b/>
          <w:color w:val="7F7F7F" w:themeColor="text1" w:themeTint="80"/>
        </w:rPr>
        <w:id w:val="537556485"/>
        <w:docPartObj>
          <w:docPartGallery w:val="Watermarks"/>
          <w:docPartUnique/>
        </w:docPartObj>
      </w:sdtPr>
      <w:sdtEndPr/>
      <w:sdtContent>
        <w:r>
          <w:rPr>
            <w:rFonts w:ascii="Times New Roman" w:hAnsi="Times New Roman" w:cs="Times New Roman"/>
            <w:b/>
            <w:noProof/>
            <w:color w:val="7F7F7F" w:themeColor="text1" w:themeTint="80"/>
            <w:lang w:val="en-US" w:eastAsia="zh-TW"/>
          </w:rPr>
          <w:pict w14:anchorId="28F32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164" type="#_x0000_t136" style="position:absolute;margin-left:0;margin-top:0;width:412.4pt;height:247.45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256B3">
      <w:rPr>
        <w:noProof/>
        <w:lang w:eastAsia="en-AU"/>
      </w:rPr>
      <w:drawing>
        <wp:anchor distT="0" distB="0" distL="114300" distR="114300" simplePos="0" relativeHeight="251735040" behindDoc="0" locked="0" layoutInCell="1" allowOverlap="1" wp14:anchorId="639B2ACA" wp14:editId="52C57D6E">
          <wp:simplePos x="0" y="0"/>
          <wp:positionH relativeFrom="column">
            <wp:posOffset>5379085</wp:posOffset>
          </wp:positionH>
          <wp:positionV relativeFrom="paragraph">
            <wp:posOffset>-220345</wp:posOffset>
          </wp:positionV>
          <wp:extent cx="1129665" cy="643255"/>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256B3" w:rsidRPr="00B25389">
      <w:rPr>
        <w:rFonts w:ascii="Times New Roman" w:hAnsi="Times New Roman" w:cs="Times New Roman"/>
        <w:b/>
        <w:color w:val="7F7F7F" w:themeColor="text1" w:themeTint="80"/>
      </w:rPr>
      <w:t xml:space="preserve">Victorian Department of </w:t>
    </w:r>
    <w:r w:rsidR="007256B3">
      <w:rPr>
        <w:rFonts w:ascii="Times New Roman" w:hAnsi="Times New Roman" w:cs="Times New Roman"/>
        <w:b/>
        <w:color w:val="7F7F7F" w:themeColor="text1" w:themeTint="80"/>
      </w:rPr>
      <w:t>Environment, Land, Water and Planning</w:t>
    </w:r>
    <w:r w:rsidR="007256B3" w:rsidRPr="00B25389">
      <w:rPr>
        <w:rFonts w:ascii="Times New Roman" w:hAnsi="Times New Roman" w:cs="Times New Roman"/>
        <w:b/>
        <w:color w:val="7F7F7F" w:themeColor="text1" w:themeTint="80"/>
      </w:rPr>
      <w:t>:</w:t>
    </w:r>
    <w:r w:rsidR="007256B3" w:rsidRPr="00C029AE">
      <w:rPr>
        <w:noProof/>
        <w:lang w:eastAsia="en-AU"/>
      </w:rPr>
      <w:t xml:space="preserve"> </w:t>
    </w:r>
  </w:p>
  <w:p w14:paraId="169D0C29" w14:textId="77777777"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21E8308C" w14:textId="77777777" w:rsidR="007256B3" w:rsidRDefault="007256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C926B" w14:textId="77777777" w:rsidR="007256B3" w:rsidRDefault="007256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01A7B" w14:textId="3693DABD" w:rsidR="007256B3" w:rsidRPr="00B25389" w:rsidRDefault="007256B3">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11488" behindDoc="0" locked="0" layoutInCell="1" allowOverlap="1" wp14:anchorId="4CB52CE7" wp14:editId="2BBFED37">
          <wp:simplePos x="0" y="0"/>
          <wp:positionH relativeFrom="column">
            <wp:posOffset>5414130</wp:posOffset>
          </wp:positionH>
          <wp:positionV relativeFrom="paragraph">
            <wp:posOffset>-212090</wp:posOffset>
          </wp:positionV>
          <wp:extent cx="1129665" cy="643255"/>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2DB61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570.35pt;height:65.8pt;rotation:315;z-index:-251608064;mso-position-horizontal:center;mso-position-horizontal-relative:margin;mso-position-vertical:center;mso-position-vertical-relative:margin" o:allowincell="f" fillcolor="gray [1629]" stroked="f">
          <v:fill opacity=".5"/>
          <v:textpath style="font-family:&quot;Calibri&quot;;font-size:1pt" string="PAGE LEFT INTENTIONALLY BLANK"/>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4514C217" w14:textId="77777777"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4866CB4A" w14:textId="77777777" w:rsidR="007256B3" w:rsidRDefault="007256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A6F4E" w14:textId="73A6AEFC" w:rsidR="007256B3" w:rsidRPr="00B25389" w:rsidRDefault="007256B3">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13536" behindDoc="0" locked="0" layoutInCell="1" allowOverlap="1" wp14:anchorId="7FAA3D07" wp14:editId="123AAEC3">
          <wp:simplePos x="0" y="0"/>
          <wp:positionH relativeFrom="column">
            <wp:posOffset>5370830</wp:posOffset>
          </wp:positionH>
          <wp:positionV relativeFrom="paragraph">
            <wp:posOffset>-212090</wp:posOffset>
          </wp:positionV>
          <wp:extent cx="1129665" cy="6432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5A54B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3" type="#_x0000_t136" style="position:absolute;margin-left:0;margin-top:0;width:570.35pt;height:65.8pt;rotation:315;z-index:-251618304;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572D0D21" w14:textId="77777777"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765D8653" w14:textId="77777777" w:rsidR="007256B3" w:rsidRDefault="007256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2EAF6" w14:textId="77777777" w:rsidR="007256B3" w:rsidRPr="00B25389" w:rsidRDefault="007256B3">
    <w:pPr>
      <w:pStyle w:val="Header"/>
      <w:rPr>
        <w:rFonts w:ascii="Times New Roman" w:hAnsi="Times New Roman" w:cs="Times New Roman"/>
        <w:b/>
        <w:color w:val="7F7F7F" w:themeColor="text1" w:themeTint="80"/>
      </w:rPr>
    </w:pPr>
    <w:r>
      <w:rPr>
        <w:noProof/>
        <w:lang w:eastAsia="en-AU"/>
      </w:rPr>
      <w:drawing>
        <wp:anchor distT="0" distB="0" distL="114300" distR="114300" simplePos="0" relativeHeight="251716608" behindDoc="0" locked="0" layoutInCell="1" allowOverlap="1" wp14:anchorId="030F2C65" wp14:editId="220D9520">
          <wp:simplePos x="0" y="0"/>
          <wp:positionH relativeFrom="column">
            <wp:posOffset>8252053</wp:posOffset>
          </wp:positionH>
          <wp:positionV relativeFrom="paragraph">
            <wp:posOffset>-289727</wp:posOffset>
          </wp:positionV>
          <wp:extent cx="1129665" cy="6432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sidR="00703365">
      <w:rPr>
        <w:noProof/>
      </w:rPr>
      <w:pict w14:anchorId="4ABBB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0" type="#_x0000_t136" style="position:absolute;margin-left:0;margin-top:0;width:570.35pt;height:65.8pt;rotation:315;z-index:-251600896;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Pr="00B25389">
      <w:rPr>
        <w:rFonts w:ascii="Times New Roman" w:hAnsi="Times New Roman" w:cs="Times New Roman"/>
        <w:b/>
        <w:color w:val="7F7F7F" w:themeColor="text1" w:themeTint="80"/>
      </w:rPr>
      <w:t xml:space="preserve">Victorian Department of </w:t>
    </w:r>
    <w:r>
      <w:rPr>
        <w:rFonts w:ascii="Times New Roman" w:hAnsi="Times New Roman" w:cs="Times New Roman"/>
        <w:b/>
        <w:color w:val="7F7F7F" w:themeColor="text1" w:themeTint="80"/>
      </w:rPr>
      <w:t>Environment Land Water and Planning</w:t>
    </w:r>
    <w:r w:rsidRPr="00B25389">
      <w:rPr>
        <w:rFonts w:ascii="Times New Roman" w:hAnsi="Times New Roman" w:cs="Times New Roman"/>
        <w:b/>
        <w:color w:val="7F7F7F" w:themeColor="text1" w:themeTint="80"/>
      </w:rPr>
      <w:t>:</w:t>
    </w:r>
    <w:r w:rsidRPr="005773E7">
      <w:rPr>
        <w:noProof/>
        <w:lang w:eastAsia="en-AU"/>
      </w:rPr>
      <w:t xml:space="preserve"> </w:t>
    </w:r>
  </w:p>
  <w:p w14:paraId="481C9444" w14:textId="77777777" w:rsidR="007256B3" w:rsidRPr="00B25389" w:rsidRDefault="007256B3">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0B70D7B0" w14:textId="77777777" w:rsidR="007256B3" w:rsidRDefault="007256B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E6CE1" w14:textId="1CAB9358" w:rsidR="007256B3" w:rsidRDefault="007256B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7BEEA" w14:textId="7A5AD778" w:rsidR="007256B3" w:rsidRPr="00B25389" w:rsidRDefault="00703365" w:rsidP="00E40B61">
    <w:pPr>
      <w:pStyle w:val="Header"/>
      <w:rPr>
        <w:rFonts w:ascii="Times New Roman" w:hAnsi="Times New Roman" w:cs="Times New Roman"/>
        <w:b/>
        <w:color w:val="7F7F7F" w:themeColor="text1" w:themeTint="80"/>
      </w:rPr>
    </w:pPr>
    <w:r>
      <w:rPr>
        <w:noProof/>
      </w:rPr>
      <w:pict w14:anchorId="2EF4A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7" type="#_x0000_t136" style="position:absolute;margin-left:-1in;margin-top:-35.4pt;width:397.65pt;height:238.6pt;z-index:251762688"/>
      </w:pict>
    </w:r>
    <w:r w:rsidR="007256B3">
      <w:rPr>
        <w:noProof/>
        <w:lang w:eastAsia="en-AU"/>
      </w:rPr>
      <w:drawing>
        <wp:anchor distT="0" distB="0" distL="114300" distR="114300" simplePos="0" relativeHeight="251718656" behindDoc="0" locked="0" layoutInCell="1" allowOverlap="1" wp14:anchorId="7BED4934" wp14:editId="06EF2DB9">
          <wp:simplePos x="0" y="0"/>
          <wp:positionH relativeFrom="column">
            <wp:posOffset>5336650</wp:posOffset>
          </wp:positionH>
          <wp:positionV relativeFrom="paragraph">
            <wp:posOffset>-271984</wp:posOffset>
          </wp:positionV>
          <wp:extent cx="1129665" cy="6432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29665" cy="64325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7497FE68">
        <v:shape id="_x0000_s2127" type="#_x0000_t136" style="position:absolute;margin-left:0;margin-top:0;width:570.35pt;height:65.8pt;rotation:315;z-index:-251610112;mso-position-horizontal:center;mso-position-horizontal-relative:margin;mso-position-vertical:center;mso-position-vertical-relative:margin" o:allowincell="f" fillcolor="gray [1629]" stroked="f">
          <v:fill opacity=".5"/>
          <v:textpath style="font-family:&quot;Calibri&quot;;font-size:1pt" string="  "/>
          <w10:wrap anchorx="margin" anchory="margin"/>
        </v:shape>
      </w:pict>
    </w:r>
    <w:r w:rsidR="007256B3" w:rsidRPr="00B25389">
      <w:rPr>
        <w:rFonts w:ascii="Times New Roman" w:hAnsi="Times New Roman" w:cs="Times New Roman"/>
        <w:b/>
        <w:color w:val="7F7F7F" w:themeColor="text1" w:themeTint="80"/>
      </w:rPr>
      <w:t xml:space="preserve">Victorian Department of </w:t>
    </w:r>
    <w:r w:rsidR="007256B3">
      <w:rPr>
        <w:rFonts w:ascii="Times New Roman" w:hAnsi="Times New Roman" w:cs="Times New Roman"/>
        <w:b/>
        <w:color w:val="7F7F7F" w:themeColor="text1" w:themeTint="80"/>
      </w:rPr>
      <w:t>Environment, Land, Water and Planning</w:t>
    </w:r>
    <w:r w:rsidR="007256B3" w:rsidRPr="00B25389">
      <w:rPr>
        <w:rFonts w:ascii="Times New Roman" w:hAnsi="Times New Roman" w:cs="Times New Roman"/>
        <w:b/>
        <w:color w:val="7F7F7F" w:themeColor="text1" w:themeTint="80"/>
      </w:rPr>
      <w:t>:</w:t>
    </w:r>
    <w:r w:rsidR="007256B3" w:rsidRPr="005773E7">
      <w:rPr>
        <w:noProof/>
        <w:lang w:eastAsia="en-AU"/>
      </w:rPr>
      <w:t xml:space="preserve"> </w:t>
    </w:r>
  </w:p>
  <w:p w14:paraId="7233D678" w14:textId="77777777" w:rsidR="007256B3" w:rsidRPr="00B25389" w:rsidRDefault="007256B3" w:rsidP="00E40B61">
    <w:pPr>
      <w:pStyle w:val="Header"/>
      <w:rPr>
        <w:rFonts w:ascii="Times New Roman" w:hAnsi="Times New Roman" w:cs="Times New Roman"/>
        <w:b/>
        <w:color w:val="7F7F7F" w:themeColor="text1" w:themeTint="80"/>
      </w:rPr>
    </w:pPr>
    <w:r w:rsidRPr="00B25389">
      <w:rPr>
        <w:rFonts w:ascii="Times New Roman" w:hAnsi="Times New Roman" w:cs="Times New Roman"/>
        <w:b/>
        <w:color w:val="7F7F7F" w:themeColor="text1" w:themeTint="80"/>
      </w:rPr>
      <w:t>Powerline Bushfire Safety Program</w:t>
    </w:r>
  </w:p>
  <w:p w14:paraId="225683E6" w14:textId="77777777" w:rsidR="007256B3" w:rsidRDefault="007256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FAEF9" w14:textId="1C5C5167" w:rsidR="007256B3" w:rsidRDefault="007256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340"/>
    <w:multiLevelType w:val="multilevel"/>
    <w:tmpl w:val="6E6C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D13BE"/>
    <w:multiLevelType w:val="hybridMultilevel"/>
    <w:tmpl w:val="26142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344D1"/>
    <w:multiLevelType w:val="hybridMultilevel"/>
    <w:tmpl w:val="A4724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A674E7"/>
    <w:multiLevelType w:val="hybridMultilevel"/>
    <w:tmpl w:val="1FE29C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134D61"/>
    <w:multiLevelType w:val="hybridMultilevel"/>
    <w:tmpl w:val="FF3A0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2873A1"/>
    <w:multiLevelType w:val="hybridMultilevel"/>
    <w:tmpl w:val="E9E4793C"/>
    <w:lvl w:ilvl="0" w:tplc="0C09000F">
      <w:start w:val="1"/>
      <w:numFmt w:val="decimal"/>
      <w:lvlText w:val="%1."/>
      <w:lvlJc w:val="left"/>
      <w:pPr>
        <w:ind w:left="720" w:hanging="360"/>
      </w:pPr>
      <w:rPr>
        <w:rFonts w:hint="default"/>
      </w:rPr>
    </w:lvl>
    <w:lvl w:ilvl="1" w:tplc="EEB400AE">
      <w:start w:val="1"/>
      <w:numFmt w:val="decimal"/>
      <w:lvlText w:val="(%2)"/>
      <w:lvlJc w:val="left"/>
      <w:pPr>
        <w:ind w:left="1440" w:hanging="360"/>
      </w:pPr>
      <w:rPr>
        <w:rFonts w:hint="default"/>
        <w:b w:val="0"/>
      </w:rPr>
    </w:lvl>
    <w:lvl w:ilvl="2" w:tplc="489257C0">
      <w:start w:val="1"/>
      <w:numFmt w:val="lowerLetter"/>
      <w:lvlText w:val="(%3)"/>
      <w:lvlJc w:val="right"/>
      <w:pPr>
        <w:ind w:left="2160" w:hanging="180"/>
      </w:pPr>
      <w:rPr>
        <w:rFonts w:hint="default"/>
      </w:rPr>
    </w:lvl>
    <w:lvl w:ilvl="3" w:tplc="6C101CC4">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16079F"/>
    <w:multiLevelType w:val="hybridMultilevel"/>
    <w:tmpl w:val="2A48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9B1ADF"/>
    <w:multiLevelType w:val="hybridMultilevel"/>
    <w:tmpl w:val="A87C415E"/>
    <w:lvl w:ilvl="0" w:tplc="0C090015">
      <w:start w:val="1"/>
      <w:numFmt w:val="upperLetter"/>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E3965AF"/>
    <w:multiLevelType w:val="hybridMultilevel"/>
    <w:tmpl w:val="75F6D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B5083F"/>
    <w:multiLevelType w:val="hybridMultilevel"/>
    <w:tmpl w:val="888CC6DE"/>
    <w:lvl w:ilvl="0" w:tplc="B3AEAE92">
      <w:start w:val="1"/>
      <w:numFmt w:val="decimal"/>
      <w:lvlText w:val="%1."/>
      <w:lvlJc w:val="left"/>
      <w:pPr>
        <w:ind w:left="720" w:hanging="360"/>
      </w:pPr>
      <w:rPr>
        <w:rFonts w:ascii="Candara" w:hAnsi="Candara" w:hint="default"/>
        <w:b/>
        <w:color w:val="17365D"/>
        <w:sz w:val="24"/>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8CB4D54"/>
    <w:multiLevelType w:val="hybridMultilevel"/>
    <w:tmpl w:val="AF46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93366A"/>
    <w:multiLevelType w:val="hybridMultilevel"/>
    <w:tmpl w:val="6FA8F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D37C90"/>
    <w:multiLevelType w:val="hybridMultilevel"/>
    <w:tmpl w:val="FFEE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2914DE"/>
    <w:multiLevelType w:val="hybridMultilevel"/>
    <w:tmpl w:val="834C9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4C4C8E"/>
    <w:multiLevelType w:val="hybridMultilevel"/>
    <w:tmpl w:val="4CE08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674887"/>
    <w:multiLevelType w:val="hybridMultilevel"/>
    <w:tmpl w:val="39CA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82410F"/>
    <w:multiLevelType w:val="hybridMultilevel"/>
    <w:tmpl w:val="998E662C"/>
    <w:lvl w:ilvl="0" w:tplc="356602B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DF01A9C"/>
    <w:multiLevelType w:val="hybridMultilevel"/>
    <w:tmpl w:val="353A7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9B2156"/>
    <w:multiLevelType w:val="singleLevel"/>
    <w:tmpl w:val="FC10802C"/>
    <w:lvl w:ilvl="0">
      <w:start w:val="1"/>
      <w:numFmt w:val="bullet"/>
      <w:pStyle w:val="BodyText-List"/>
      <w:lvlText w:val=""/>
      <w:lvlJc w:val="left"/>
      <w:pPr>
        <w:tabs>
          <w:tab w:val="num" w:pos="1418"/>
        </w:tabs>
        <w:ind w:left="1418" w:hanging="567"/>
      </w:pPr>
      <w:rPr>
        <w:rFonts w:ascii="Symbol" w:hAnsi="Symbol" w:hint="default"/>
        <w:color w:val="auto"/>
        <w:sz w:val="18"/>
      </w:rPr>
    </w:lvl>
  </w:abstractNum>
  <w:abstractNum w:abstractNumId="19">
    <w:nsid w:val="2F963C39"/>
    <w:multiLevelType w:val="hybridMultilevel"/>
    <w:tmpl w:val="1F28C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8D5F84"/>
    <w:multiLevelType w:val="hybridMultilevel"/>
    <w:tmpl w:val="4C886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BE2DED"/>
    <w:multiLevelType w:val="hybridMultilevel"/>
    <w:tmpl w:val="182A74FA"/>
    <w:lvl w:ilvl="0" w:tplc="EEB400AE">
      <w:start w:val="1"/>
      <w:numFmt w:val="decimal"/>
      <w:lvlText w:val="(%1)"/>
      <w:lvlJc w:val="left"/>
      <w:pPr>
        <w:ind w:left="144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6B86BBB"/>
    <w:multiLevelType w:val="hybridMultilevel"/>
    <w:tmpl w:val="8BE20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9E29CC"/>
    <w:multiLevelType w:val="hybridMultilevel"/>
    <w:tmpl w:val="69463F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9AA72F3"/>
    <w:multiLevelType w:val="hybridMultilevel"/>
    <w:tmpl w:val="5F6AD7BA"/>
    <w:lvl w:ilvl="0" w:tplc="489257C0">
      <w:start w:val="1"/>
      <w:numFmt w:val="lowerLetter"/>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85706F"/>
    <w:multiLevelType w:val="hybridMultilevel"/>
    <w:tmpl w:val="64F48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784AE7"/>
    <w:multiLevelType w:val="hybridMultilevel"/>
    <w:tmpl w:val="A3CA2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8">
    <w:nsid w:val="47ED01D2"/>
    <w:multiLevelType w:val="hybridMultilevel"/>
    <w:tmpl w:val="EC9C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CC26CCB"/>
    <w:multiLevelType w:val="hybridMultilevel"/>
    <w:tmpl w:val="0B40D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F3D16CC"/>
    <w:multiLevelType w:val="hybridMultilevel"/>
    <w:tmpl w:val="84E25F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55CD659C"/>
    <w:multiLevelType w:val="hybridMultilevel"/>
    <w:tmpl w:val="D7242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BD3ED7"/>
    <w:multiLevelType w:val="hybridMultilevel"/>
    <w:tmpl w:val="180E2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4">
    <w:nsid w:val="5DC93F8E"/>
    <w:multiLevelType w:val="hybridMultilevel"/>
    <w:tmpl w:val="E7044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1D6C3A"/>
    <w:multiLevelType w:val="hybridMultilevel"/>
    <w:tmpl w:val="58368EF4"/>
    <w:lvl w:ilvl="0" w:tplc="F6A48D40">
      <w:start w:val="1"/>
      <w:numFmt w:val="decimal"/>
      <w:lvlText w:val="%1."/>
      <w:lvlJc w:val="left"/>
      <w:pPr>
        <w:ind w:left="720" w:hanging="360"/>
      </w:pPr>
      <w:rPr>
        <w:rFonts w:hint="default"/>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16D63B3"/>
    <w:multiLevelType w:val="hybridMultilevel"/>
    <w:tmpl w:val="57EE9B2E"/>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nsid w:val="650C59D1"/>
    <w:multiLevelType w:val="hybridMultilevel"/>
    <w:tmpl w:val="F93E7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5874585"/>
    <w:multiLevelType w:val="hybridMultilevel"/>
    <w:tmpl w:val="646AB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7E17EA0"/>
    <w:multiLevelType w:val="hybridMultilevel"/>
    <w:tmpl w:val="1A6ADDF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472D7D"/>
    <w:multiLevelType w:val="hybridMultilevel"/>
    <w:tmpl w:val="8654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0A46B9"/>
    <w:multiLevelType w:val="hybridMultilevel"/>
    <w:tmpl w:val="C258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50B00DF"/>
    <w:multiLevelType w:val="hybridMultilevel"/>
    <w:tmpl w:val="41B63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63B7B84"/>
    <w:multiLevelType w:val="hybridMultilevel"/>
    <w:tmpl w:val="63485D5A"/>
    <w:lvl w:ilvl="0" w:tplc="C33663F8">
      <w:start w:val="1"/>
      <w:numFmt w:val="decimal"/>
      <w:lvlText w:val="%1."/>
      <w:lvlJc w:val="left"/>
      <w:pPr>
        <w:ind w:left="720" w:hanging="360"/>
      </w:pPr>
      <w:rPr>
        <w:rFonts w:ascii="Candara" w:hAnsi="Candara" w:hint="default"/>
        <w:color w:val="FFFFFF" w:themeColor="background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A445D85"/>
    <w:multiLevelType w:val="multilevel"/>
    <w:tmpl w:val="2F1EF6B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BD74011"/>
    <w:multiLevelType w:val="hybridMultilevel"/>
    <w:tmpl w:val="3FFC1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29"/>
  </w:num>
  <w:num w:numId="3">
    <w:abstractNumId w:val="13"/>
  </w:num>
  <w:num w:numId="4">
    <w:abstractNumId w:val="44"/>
  </w:num>
  <w:num w:numId="5">
    <w:abstractNumId w:val="41"/>
  </w:num>
  <w:num w:numId="6">
    <w:abstractNumId w:val="12"/>
  </w:num>
  <w:num w:numId="7">
    <w:abstractNumId w:val="17"/>
  </w:num>
  <w:num w:numId="8">
    <w:abstractNumId w:val="16"/>
  </w:num>
  <w:num w:numId="9">
    <w:abstractNumId w:val="3"/>
  </w:num>
  <w:num w:numId="10">
    <w:abstractNumId w:val="37"/>
  </w:num>
  <w:num w:numId="11">
    <w:abstractNumId w:val="25"/>
  </w:num>
  <w:num w:numId="12">
    <w:abstractNumId w:val="42"/>
  </w:num>
  <w:num w:numId="13">
    <w:abstractNumId w:val="4"/>
  </w:num>
  <w:num w:numId="14">
    <w:abstractNumId w:val="15"/>
  </w:num>
  <w:num w:numId="15">
    <w:abstractNumId w:val="32"/>
  </w:num>
  <w:num w:numId="16">
    <w:abstractNumId w:val="6"/>
  </w:num>
  <w:num w:numId="17">
    <w:abstractNumId w:val="10"/>
  </w:num>
  <w:num w:numId="18">
    <w:abstractNumId w:val="22"/>
  </w:num>
  <w:num w:numId="19">
    <w:abstractNumId w:val="14"/>
  </w:num>
  <w:num w:numId="20">
    <w:abstractNumId w:val="0"/>
  </w:num>
  <w:num w:numId="21">
    <w:abstractNumId w:val="31"/>
  </w:num>
  <w:num w:numId="22">
    <w:abstractNumId w:val="8"/>
  </w:num>
  <w:num w:numId="23">
    <w:abstractNumId w:val="1"/>
  </w:num>
  <w:num w:numId="24">
    <w:abstractNumId w:val="38"/>
  </w:num>
  <w:num w:numId="25">
    <w:abstractNumId w:val="26"/>
  </w:num>
  <w:num w:numId="26">
    <w:abstractNumId w:val="44"/>
    <w:lvlOverride w:ilvl="0">
      <w:startOverride w:val="1"/>
    </w:lvlOverride>
  </w:num>
  <w:num w:numId="27">
    <w:abstractNumId w:val="34"/>
  </w:num>
  <w:num w:numId="28">
    <w:abstractNumId w:val="43"/>
  </w:num>
  <w:num w:numId="29">
    <w:abstractNumId w:val="36"/>
  </w:num>
  <w:num w:numId="30">
    <w:abstractNumId w:val="11"/>
  </w:num>
  <w:num w:numId="31">
    <w:abstractNumId w:val="7"/>
  </w:num>
  <w:num w:numId="32">
    <w:abstractNumId w:val="35"/>
  </w:num>
  <w:num w:numId="33">
    <w:abstractNumId w:val="9"/>
  </w:num>
  <w:num w:numId="34">
    <w:abstractNumId w:val="18"/>
  </w:num>
  <w:num w:numId="35">
    <w:abstractNumId w:val="19"/>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9"/>
  </w:num>
  <w:num w:numId="39">
    <w:abstractNumId w:val="27"/>
  </w:num>
  <w:num w:numId="40">
    <w:abstractNumId w:val="33"/>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23"/>
  </w:num>
  <w:num w:numId="44">
    <w:abstractNumId w:val="30"/>
  </w:num>
  <w:num w:numId="45">
    <w:abstractNumId w:val="40"/>
  </w:num>
  <w:num w:numId="46">
    <w:abstractNumId w:val="28"/>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4"/>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 Clifton">
    <w15:presenceInfo w15:providerId="Windows Live" w15:userId="27e05a8aaa02b6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708"/>
    <w:rsid w:val="00002886"/>
    <w:rsid w:val="00004439"/>
    <w:rsid w:val="000062A8"/>
    <w:rsid w:val="0001069C"/>
    <w:rsid w:val="000121F9"/>
    <w:rsid w:val="00013356"/>
    <w:rsid w:val="00015111"/>
    <w:rsid w:val="00015513"/>
    <w:rsid w:val="00017104"/>
    <w:rsid w:val="0001723F"/>
    <w:rsid w:val="00017D5F"/>
    <w:rsid w:val="0002086B"/>
    <w:rsid w:val="000209DF"/>
    <w:rsid w:val="00020F7F"/>
    <w:rsid w:val="000244A0"/>
    <w:rsid w:val="00025CED"/>
    <w:rsid w:val="00027CE3"/>
    <w:rsid w:val="00030665"/>
    <w:rsid w:val="0003655C"/>
    <w:rsid w:val="000371F0"/>
    <w:rsid w:val="00037C09"/>
    <w:rsid w:val="000400B1"/>
    <w:rsid w:val="0004016D"/>
    <w:rsid w:val="00041782"/>
    <w:rsid w:val="00043362"/>
    <w:rsid w:val="000449DB"/>
    <w:rsid w:val="000507FB"/>
    <w:rsid w:val="00051F0E"/>
    <w:rsid w:val="00052AD7"/>
    <w:rsid w:val="00056A42"/>
    <w:rsid w:val="0006031D"/>
    <w:rsid w:val="00061467"/>
    <w:rsid w:val="00061777"/>
    <w:rsid w:val="00061D96"/>
    <w:rsid w:val="00063A00"/>
    <w:rsid w:val="00064623"/>
    <w:rsid w:val="000677FD"/>
    <w:rsid w:val="0006795A"/>
    <w:rsid w:val="000708BF"/>
    <w:rsid w:val="000711D6"/>
    <w:rsid w:val="0007513A"/>
    <w:rsid w:val="000777A7"/>
    <w:rsid w:val="00080C9B"/>
    <w:rsid w:val="00081213"/>
    <w:rsid w:val="000830CE"/>
    <w:rsid w:val="0008336C"/>
    <w:rsid w:val="00083F52"/>
    <w:rsid w:val="000843BB"/>
    <w:rsid w:val="00084DFB"/>
    <w:rsid w:val="000854E9"/>
    <w:rsid w:val="00085BF2"/>
    <w:rsid w:val="000869F7"/>
    <w:rsid w:val="00090E7E"/>
    <w:rsid w:val="00092268"/>
    <w:rsid w:val="00093F9A"/>
    <w:rsid w:val="0009421A"/>
    <w:rsid w:val="000951BB"/>
    <w:rsid w:val="0009606C"/>
    <w:rsid w:val="000971AA"/>
    <w:rsid w:val="00097D26"/>
    <w:rsid w:val="000A1088"/>
    <w:rsid w:val="000A579E"/>
    <w:rsid w:val="000A5C17"/>
    <w:rsid w:val="000B0735"/>
    <w:rsid w:val="000B0ECC"/>
    <w:rsid w:val="000B1AFF"/>
    <w:rsid w:val="000B2366"/>
    <w:rsid w:val="000B4D4F"/>
    <w:rsid w:val="000B50C1"/>
    <w:rsid w:val="000B7ECF"/>
    <w:rsid w:val="000C131B"/>
    <w:rsid w:val="000C1C10"/>
    <w:rsid w:val="000C1EC4"/>
    <w:rsid w:val="000C3661"/>
    <w:rsid w:val="000C47D1"/>
    <w:rsid w:val="000C4E2A"/>
    <w:rsid w:val="000C6650"/>
    <w:rsid w:val="000C66F7"/>
    <w:rsid w:val="000C7E0F"/>
    <w:rsid w:val="000D0734"/>
    <w:rsid w:val="000D07C4"/>
    <w:rsid w:val="000D22DB"/>
    <w:rsid w:val="000D34B5"/>
    <w:rsid w:val="000D46E6"/>
    <w:rsid w:val="000D505E"/>
    <w:rsid w:val="000D7844"/>
    <w:rsid w:val="000D7FC8"/>
    <w:rsid w:val="000E0C98"/>
    <w:rsid w:val="000E172C"/>
    <w:rsid w:val="000E1FAC"/>
    <w:rsid w:val="000E275B"/>
    <w:rsid w:val="000E34EA"/>
    <w:rsid w:val="000E3DC4"/>
    <w:rsid w:val="000E4CD9"/>
    <w:rsid w:val="000E4E1E"/>
    <w:rsid w:val="000E4F39"/>
    <w:rsid w:val="000E5877"/>
    <w:rsid w:val="000E6FA7"/>
    <w:rsid w:val="000E7872"/>
    <w:rsid w:val="000F19DE"/>
    <w:rsid w:val="000F3103"/>
    <w:rsid w:val="000F3841"/>
    <w:rsid w:val="000F4001"/>
    <w:rsid w:val="000F4A54"/>
    <w:rsid w:val="000F5080"/>
    <w:rsid w:val="000F6984"/>
    <w:rsid w:val="000F6A84"/>
    <w:rsid w:val="000F72DD"/>
    <w:rsid w:val="00101828"/>
    <w:rsid w:val="00103AA9"/>
    <w:rsid w:val="00105C5C"/>
    <w:rsid w:val="00106FB1"/>
    <w:rsid w:val="00111044"/>
    <w:rsid w:val="00111E95"/>
    <w:rsid w:val="00112281"/>
    <w:rsid w:val="00113DF9"/>
    <w:rsid w:val="00115A89"/>
    <w:rsid w:val="00116591"/>
    <w:rsid w:val="0012018F"/>
    <w:rsid w:val="00120902"/>
    <w:rsid w:val="001211ED"/>
    <w:rsid w:val="001221FA"/>
    <w:rsid w:val="00122FD4"/>
    <w:rsid w:val="00123390"/>
    <w:rsid w:val="00123891"/>
    <w:rsid w:val="001311C1"/>
    <w:rsid w:val="00137FA5"/>
    <w:rsid w:val="00143CAC"/>
    <w:rsid w:val="001447CE"/>
    <w:rsid w:val="001468FB"/>
    <w:rsid w:val="00147437"/>
    <w:rsid w:val="0014744A"/>
    <w:rsid w:val="00147A83"/>
    <w:rsid w:val="00147B12"/>
    <w:rsid w:val="001518C8"/>
    <w:rsid w:val="00156385"/>
    <w:rsid w:val="00156D5A"/>
    <w:rsid w:val="0015780A"/>
    <w:rsid w:val="00160B76"/>
    <w:rsid w:val="001618C9"/>
    <w:rsid w:val="00161989"/>
    <w:rsid w:val="00163F5E"/>
    <w:rsid w:val="00166183"/>
    <w:rsid w:val="00167D0B"/>
    <w:rsid w:val="001709BC"/>
    <w:rsid w:val="0017135A"/>
    <w:rsid w:val="00171914"/>
    <w:rsid w:val="00173760"/>
    <w:rsid w:val="00174EBB"/>
    <w:rsid w:val="00176827"/>
    <w:rsid w:val="00176B51"/>
    <w:rsid w:val="001773AA"/>
    <w:rsid w:val="001775B3"/>
    <w:rsid w:val="00180414"/>
    <w:rsid w:val="001819DD"/>
    <w:rsid w:val="00181EB5"/>
    <w:rsid w:val="0018252B"/>
    <w:rsid w:val="001828D4"/>
    <w:rsid w:val="001878B0"/>
    <w:rsid w:val="001905B4"/>
    <w:rsid w:val="00191541"/>
    <w:rsid w:val="0019257A"/>
    <w:rsid w:val="0019343A"/>
    <w:rsid w:val="00193A62"/>
    <w:rsid w:val="00195D63"/>
    <w:rsid w:val="00197E1B"/>
    <w:rsid w:val="001A0A11"/>
    <w:rsid w:val="001A0BD1"/>
    <w:rsid w:val="001A2386"/>
    <w:rsid w:val="001A3B48"/>
    <w:rsid w:val="001A470F"/>
    <w:rsid w:val="001A618B"/>
    <w:rsid w:val="001A7A1D"/>
    <w:rsid w:val="001A7E9E"/>
    <w:rsid w:val="001B04AE"/>
    <w:rsid w:val="001B4366"/>
    <w:rsid w:val="001B524B"/>
    <w:rsid w:val="001B7E32"/>
    <w:rsid w:val="001C0AA3"/>
    <w:rsid w:val="001C12F6"/>
    <w:rsid w:val="001C3E6F"/>
    <w:rsid w:val="001C62B1"/>
    <w:rsid w:val="001C7055"/>
    <w:rsid w:val="001C7223"/>
    <w:rsid w:val="001C7484"/>
    <w:rsid w:val="001D1DDE"/>
    <w:rsid w:val="001D2AC2"/>
    <w:rsid w:val="001D5941"/>
    <w:rsid w:val="001D5C15"/>
    <w:rsid w:val="001D6565"/>
    <w:rsid w:val="001D7C38"/>
    <w:rsid w:val="001E0245"/>
    <w:rsid w:val="001E1C63"/>
    <w:rsid w:val="001E205A"/>
    <w:rsid w:val="001E2AE6"/>
    <w:rsid w:val="001E2C84"/>
    <w:rsid w:val="001E3377"/>
    <w:rsid w:val="001E486E"/>
    <w:rsid w:val="001E51E8"/>
    <w:rsid w:val="001E6930"/>
    <w:rsid w:val="001E6DC6"/>
    <w:rsid w:val="001E7FE4"/>
    <w:rsid w:val="001F1B79"/>
    <w:rsid w:val="001F351D"/>
    <w:rsid w:val="001F43D3"/>
    <w:rsid w:val="001F51E3"/>
    <w:rsid w:val="001F6512"/>
    <w:rsid w:val="001F7B06"/>
    <w:rsid w:val="00200922"/>
    <w:rsid w:val="00200A9D"/>
    <w:rsid w:val="00202B40"/>
    <w:rsid w:val="00204897"/>
    <w:rsid w:val="00205981"/>
    <w:rsid w:val="002068E9"/>
    <w:rsid w:val="0021039C"/>
    <w:rsid w:val="00211A33"/>
    <w:rsid w:val="00212FEF"/>
    <w:rsid w:val="002131CE"/>
    <w:rsid w:val="00216C0D"/>
    <w:rsid w:val="0022312D"/>
    <w:rsid w:val="0022330E"/>
    <w:rsid w:val="00223B6C"/>
    <w:rsid w:val="00224EAC"/>
    <w:rsid w:val="00230789"/>
    <w:rsid w:val="00230CCD"/>
    <w:rsid w:val="00232278"/>
    <w:rsid w:val="00232592"/>
    <w:rsid w:val="0023297C"/>
    <w:rsid w:val="00232AEF"/>
    <w:rsid w:val="00233112"/>
    <w:rsid w:val="00237B4F"/>
    <w:rsid w:val="002404A1"/>
    <w:rsid w:val="00240A8D"/>
    <w:rsid w:val="00240AF2"/>
    <w:rsid w:val="00240CCB"/>
    <w:rsid w:val="00241C11"/>
    <w:rsid w:val="0024353E"/>
    <w:rsid w:val="00244EBD"/>
    <w:rsid w:val="0024548A"/>
    <w:rsid w:val="00245BC2"/>
    <w:rsid w:val="00247BC4"/>
    <w:rsid w:val="0025198C"/>
    <w:rsid w:val="00253639"/>
    <w:rsid w:val="00254F78"/>
    <w:rsid w:val="0025577A"/>
    <w:rsid w:val="00260084"/>
    <w:rsid w:val="00261444"/>
    <w:rsid w:val="002622FB"/>
    <w:rsid w:val="00265A8A"/>
    <w:rsid w:val="00265EB4"/>
    <w:rsid w:val="0026659D"/>
    <w:rsid w:val="00267296"/>
    <w:rsid w:val="0027278C"/>
    <w:rsid w:val="00277BAB"/>
    <w:rsid w:val="00280F7B"/>
    <w:rsid w:val="002845C8"/>
    <w:rsid w:val="00285DE8"/>
    <w:rsid w:val="00287079"/>
    <w:rsid w:val="00287A9C"/>
    <w:rsid w:val="00290C47"/>
    <w:rsid w:val="00292150"/>
    <w:rsid w:val="00293052"/>
    <w:rsid w:val="00293CDE"/>
    <w:rsid w:val="00294353"/>
    <w:rsid w:val="002A0E19"/>
    <w:rsid w:val="002A127D"/>
    <w:rsid w:val="002A14F5"/>
    <w:rsid w:val="002A14FF"/>
    <w:rsid w:val="002A3DE1"/>
    <w:rsid w:val="002A4929"/>
    <w:rsid w:val="002A4EC4"/>
    <w:rsid w:val="002A5CF7"/>
    <w:rsid w:val="002A6E07"/>
    <w:rsid w:val="002A6F47"/>
    <w:rsid w:val="002B005A"/>
    <w:rsid w:val="002B0351"/>
    <w:rsid w:val="002B1654"/>
    <w:rsid w:val="002B2292"/>
    <w:rsid w:val="002B2753"/>
    <w:rsid w:val="002B2913"/>
    <w:rsid w:val="002B3A2A"/>
    <w:rsid w:val="002B5704"/>
    <w:rsid w:val="002B6D06"/>
    <w:rsid w:val="002B6DCD"/>
    <w:rsid w:val="002C293B"/>
    <w:rsid w:val="002C2C38"/>
    <w:rsid w:val="002C33AE"/>
    <w:rsid w:val="002C6E28"/>
    <w:rsid w:val="002C7B34"/>
    <w:rsid w:val="002D1AD6"/>
    <w:rsid w:val="002D20F9"/>
    <w:rsid w:val="002D50D9"/>
    <w:rsid w:val="002D53CD"/>
    <w:rsid w:val="002D5BAA"/>
    <w:rsid w:val="002D7AD0"/>
    <w:rsid w:val="002D7FD0"/>
    <w:rsid w:val="002E1F36"/>
    <w:rsid w:val="002E5B68"/>
    <w:rsid w:val="002E5BF8"/>
    <w:rsid w:val="002E6C96"/>
    <w:rsid w:val="002E782A"/>
    <w:rsid w:val="002F021F"/>
    <w:rsid w:val="002F1BA0"/>
    <w:rsid w:val="002F22DB"/>
    <w:rsid w:val="002F26F7"/>
    <w:rsid w:val="002F5AA9"/>
    <w:rsid w:val="003025D4"/>
    <w:rsid w:val="003045C9"/>
    <w:rsid w:val="00305B37"/>
    <w:rsid w:val="00307576"/>
    <w:rsid w:val="00312122"/>
    <w:rsid w:val="003122AC"/>
    <w:rsid w:val="0031473E"/>
    <w:rsid w:val="00314AC5"/>
    <w:rsid w:val="00315CD2"/>
    <w:rsid w:val="00324B88"/>
    <w:rsid w:val="00325781"/>
    <w:rsid w:val="00326522"/>
    <w:rsid w:val="00327CC8"/>
    <w:rsid w:val="00333E20"/>
    <w:rsid w:val="00340254"/>
    <w:rsid w:val="00342136"/>
    <w:rsid w:val="0034331B"/>
    <w:rsid w:val="00343550"/>
    <w:rsid w:val="00345278"/>
    <w:rsid w:val="00345C12"/>
    <w:rsid w:val="00345F5E"/>
    <w:rsid w:val="0034686D"/>
    <w:rsid w:val="00347D86"/>
    <w:rsid w:val="0035056B"/>
    <w:rsid w:val="00350A67"/>
    <w:rsid w:val="00351123"/>
    <w:rsid w:val="00351604"/>
    <w:rsid w:val="0035192E"/>
    <w:rsid w:val="003543AF"/>
    <w:rsid w:val="0035665F"/>
    <w:rsid w:val="00356C01"/>
    <w:rsid w:val="00357A9D"/>
    <w:rsid w:val="003604C6"/>
    <w:rsid w:val="00362531"/>
    <w:rsid w:val="00371566"/>
    <w:rsid w:val="0037439F"/>
    <w:rsid w:val="003746F0"/>
    <w:rsid w:val="00375FA7"/>
    <w:rsid w:val="00382AD2"/>
    <w:rsid w:val="00390BC5"/>
    <w:rsid w:val="003938C9"/>
    <w:rsid w:val="003A2708"/>
    <w:rsid w:val="003A3DF5"/>
    <w:rsid w:val="003A4125"/>
    <w:rsid w:val="003A4B82"/>
    <w:rsid w:val="003A4D2E"/>
    <w:rsid w:val="003A56BE"/>
    <w:rsid w:val="003B1591"/>
    <w:rsid w:val="003B7BF5"/>
    <w:rsid w:val="003C25BD"/>
    <w:rsid w:val="003C33DA"/>
    <w:rsid w:val="003C559B"/>
    <w:rsid w:val="003D0C6B"/>
    <w:rsid w:val="003D1CCC"/>
    <w:rsid w:val="003D79EE"/>
    <w:rsid w:val="003E3A46"/>
    <w:rsid w:val="003E3C83"/>
    <w:rsid w:val="003E5B23"/>
    <w:rsid w:val="003E5BD9"/>
    <w:rsid w:val="003E5D19"/>
    <w:rsid w:val="003E722D"/>
    <w:rsid w:val="003F06A7"/>
    <w:rsid w:val="003F1A50"/>
    <w:rsid w:val="003F64A4"/>
    <w:rsid w:val="003F68E3"/>
    <w:rsid w:val="004001B4"/>
    <w:rsid w:val="004016BE"/>
    <w:rsid w:val="0040199F"/>
    <w:rsid w:val="00401A62"/>
    <w:rsid w:val="004024CA"/>
    <w:rsid w:val="004035C8"/>
    <w:rsid w:val="00403699"/>
    <w:rsid w:val="00405397"/>
    <w:rsid w:val="00406829"/>
    <w:rsid w:val="00406DA5"/>
    <w:rsid w:val="004079FA"/>
    <w:rsid w:val="00413CFF"/>
    <w:rsid w:val="00414BA2"/>
    <w:rsid w:val="004151DA"/>
    <w:rsid w:val="00415DCE"/>
    <w:rsid w:val="00416B2C"/>
    <w:rsid w:val="0042416E"/>
    <w:rsid w:val="00425C51"/>
    <w:rsid w:val="004308C6"/>
    <w:rsid w:val="0043358D"/>
    <w:rsid w:val="0043701B"/>
    <w:rsid w:val="0043728A"/>
    <w:rsid w:val="00437FC1"/>
    <w:rsid w:val="0044598F"/>
    <w:rsid w:val="00445C2A"/>
    <w:rsid w:val="00446404"/>
    <w:rsid w:val="004477EE"/>
    <w:rsid w:val="00447EFE"/>
    <w:rsid w:val="004546D8"/>
    <w:rsid w:val="0045613E"/>
    <w:rsid w:val="00464CA6"/>
    <w:rsid w:val="00470114"/>
    <w:rsid w:val="004711C6"/>
    <w:rsid w:val="0047376B"/>
    <w:rsid w:val="004822DE"/>
    <w:rsid w:val="004839A8"/>
    <w:rsid w:val="004844AA"/>
    <w:rsid w:val="0048728E"/>
    <w:rsid w:val="004874B8"/>
    <w:rsid w:val="00487585"/>
    <w:rsid w:val="004905D5"/>
    <w:rsid w:val="00491F5C"/>
    <w:rsid w:val="004934A3"/>
    <w:rsid w:val="00494DD4"/>
    <w:rsid w:val="004979F5"/>
    <w:rsid w:val="004A1105"/>
    <w:rsid w:val="004A1885"/>
    <w:rsid w:val="004A1D03"/>
    <w:rsid w:val="004A2AB4"/>
    <w:rsid w:val="004A3764"/>
    <w:rsid w:val="004A5434"/>
    <w:rsid w:val="004A76EC"/>
    <w:rsid w:val="004A76EF"/>
    <w:rsid w:val="004B055E"/>
    <w:rsid w:val="004B077F"/>
    <w:rsid w:val="004B3759"/>
    <w:rsid w:val="004B4B76"/>
    <w:rsid w:val="004B68A6"/>
    <w:rsid w:val="004C36D2"/>
    <w:rsid w:val="004C4CB9"/>
    <w:rsid w:val="004C4F48"/>
    <w:rsid w:val="004D00A5"/>
    <w:rsid w:val="004D2D0C"/>
    <w:rsid w:val="004D46AD"/>
    <w:rsid w:val="004D479A"/>
    <w:rsid w:val="004D4D86"/>
    <w:rsid w:val="004D59E2"/>
    <w:rsid w:val="004D6A35"/>
    <w:rsid w:val="004E4268"/>
    <w:rsid w:val="004E4977"/>
    <w:rsid w:val="004E63E9"/>
    <w:rsid w:val="004E6758"/>
    <w:rsid w:val="004F1EA3"/>
    <w:rsid w:val="004F2195"/>
    <w:rsid w:val="004F4406"/>
    <w:rsid w:val="004F4F6B"/>
    <w:rsid w:val="004F7DCA"/>
    <w:rsid w:val="004F7E15"/>
    <w:rsid w:val="00500506"/>
    <w:rsid w:val="00500FB8"/>
    <w:rsid w:val="00504290"/>
    <w:rsid w:val="00505BD3"/>
    <w:rsid w:val="00506970"/>
    <w:rsid w:val="00511244"/>
    <w:rsid w:val="005145F1"/>
    <w:rsid w:val="0051460A"/>
    <w:rsid w:val="00514973"/>
    <w:rsid w:val="00514E4C"/>
    <w:rsid w:val="0051585F"/>
    <w:rsid w:val="00515FAC"/>
    <w:rsid w:val="005220C5"/>
    <w:rsid w:val="005221DE"/>
    <w:rsid w:val="00523196"/>
    <w:rsid w:val="0052377C"/>
    <w:rsid w:val="005239C4"/>
    <w:rsid w:val="0052541D"/>
    <w:rsid w:val="0052680E"/>
    <w:rsid w:val="00527ECE"/>
    <w:rsid w:val="005314D2"/>
    <w:rsid w:val="00534964"/>
    <w:rsid w:val="0053576A"/>
    <w:rsid w:val="00541083"/>
    <w:rsid w:val="005419E6"/>
    <w:rsid w:val="00544C41"/>
    <w:rsid w:val="005464D5"/>
    <w:rsid w:val="0055188F"/>
    <w:rsid w:val="005525C1"/>
    <w:rsid w:val="005527DD"/>
    <w:rsid w:val="0055294D"/>
    <w:rsid w:val="00553630"/>
    <w:rsid w:val="005537FE"/>
    <w:rsid w:val="00556333"/>
    <w:rsid w:val="00560E48"/>
    <w:rsid w:val="005633B5"/>
    <w:rsid w:val="00567345"/>
    <w:rsid w:val="00570918"/>
    <w:rsid w:val="00571134"/>
    <w:rsid w:val="005729E3"/>
    <w:rsid w:val="00572E6C"/>
    <w:rsid w:val="0057325F"/>
    <w:rsid w:val="005744FE"/>
    <w:rsid w:val="00574D14"/>
    <w:rsid w:val="00575235"/>
    <w:rsid w:val="005754CF"/>
    <w:rsid w:val="005760B7"/>
    <w:rsid w:val="00576382"/>
    <w:rsid w:val="005773E7"/>
    <w:rsid w:val="00577A70"/>
    <w:rsid w:val="00581817"/>
    <w:rsid w:val="00582B4C"/>
    <w:rsid w:val="00583E44"/>
    <w:rsid w:val="00584014"/>
    <w:rsid w:val="00584B13"/>
    <w:rsid w:val="00584E7B"/>
    <w:rsid w:val="005865D8"/>
    <w:rsid w:val="00591B00"/>
    <w:rsid w:val="005921A6"/>
    <w:rsid w:val="0059715A"/>
    <w:rsid w:val="00597ED0"/>
    <w:rsid w:val="005A2E86"/>
    <w:rsid w:val="005A2FF3"/>
    <w:rsid w:val="005A5884"/>
    <w:rsid w:val="005A65B2"/>
    <w:rsid w:val="005A6EE0"/>
    <w:rsid w:val="005A76A6"/>
    <w:rsid w:val="005B0059"/>
    <w:rsid w:val="005B0A76"/>
    <w:rsid w:val="005B3462"/>
    <w:rsid w:val="005B540F"/>
    <w:rsid w:val="005B64A2"/>
    <w:rsid w:val="005B6C36"/>
    <w:rsid w:val="005C1E64"/>
    <w:rsid w:val="005C36EF"/>
    <w:rsid w:val="005C6509"/>
    <w:rsid w:val="005C7A49"/>
    <w:rsid w:val="005D393E"/>
    <w:rsid w:val="005D60ED"/>
    <w:rsid w:val="005E1510"/>
    <w:rsid w:val="005E5363"/>
    <w:rsid w:val="005F0026"/>
    <w:rsid w:val="005F116A"/>
    <w:rsid w:val="005F11F4"/>
    <w:rsid w:val="005F1275"/>
    <w:rsid w:val="005F5FF4"/>
    <w:rsid w:val="006006B5"/>
    <w:rsid w:val="00602721"/>
    <w:rsid w:val="006038A2"/>
    <w:rsid w:val="006119BB"/>
    <w:rsid w:val="00613722"/>
    <w:rsid w:val="00613DC5"/>
    <w:rsid w:val="00613F96"/>
    <w:rsid w:val="00615AA4"/>
    <w:rsid w:val="00621E88"/>
    <w:rsid w:val="006225AF"/>
    <w:rsid w:val="00624844"/>
    <w:rsid w:val="006271FF"/>
    <w:rsid w:val="00627AD6"/>
    <w:rsid w:val="006313A9"/>
    <w:rsid w:val="0063225D"/>
    <w:rsid w:val="0063416A"/>
    <w:rsid w:val="006345A5"/>
    <w:rsid w:val="00634F1A"/>
    <w:rsid w:val="00635026"/>
    <w:rsid w:val="00635436"/>
    <w:rsid w:val="00635B2F"/>
    <w:rsid w:val="00637ACC"/>
    <w:rsid w:val="00640446"/>
    <w:rsid w:val="00640DE5"/>
    <w:rsid w:val="006418A9"/>
    <w:rsid w:val="006432EE"/>
    <w:rsid w:val="00644000"/>
    <w:rsid w:val="00646545"/>
    <w:rsid w:val="006468A3"/>
    <w:rsid w:val="00646ED2"/>
    <w:rsid w:val="006508B5"/>
    <w:rsid w:val="00650DDA"/>
    <w:rsid w:val="00651008"/>
    <w:rsid w:val="0065222E"/>
    <w:rsid w:val="0065584E"/>
    <w:rsid w:val="006561D6"/>
    <w:rsid w:val="00657BD3"/>
    <w:rsid w:val="00662AC0"/>
    <w:rsid w:val="00664749"/>
    <w:rsid w:val="00666E33"/>
    <w:rsid w:val="006671D2"/>
    <w:rsid w:val="00671DEB"/>
    <w:rsid w:val="0067223E"/>
    <w:rsid w:val="006724BB"/>
    <w:rsid w:val="00672927"/>
    <w:rsid w:val="00672A79"/>
    <w:rsid w:val="0067404F"/>
    <w:rsid w:val="006749E1"/>
    <w:rsid w:val="006760F5"/>
    <w:rsid w:val="006827B1"/>
    <w:rsid w:val="0068646F"/>
    <w:rsid w:val="0069102E"/>
    <w:rsid w:val="0069118A"/>
    <w:rsid w:val="006953FD"/>
    <w:rsid w:val="00695462"/>
    <w:rsid w:val="00697875"/>
    <w:rsid w:val="006A0378"/>
    <w:rsid w:val="006A163A"/>
    <w:rsid w:val="006A2051"/>
    <w:rsid w:val="006A3E18"/>
    <w:rsid w:val="006A4A7D"/>
    <w:rsid w:val="006A4DA2"/>
    <w:rsid w:val="006A75AD"/>
    <w:rsid w:val="006B0C49"/>
    <w:rsid w:val="006B17A1"/>
    <w:rsid w:val="006B24D9"/>
    <w:rsid w:val="006B3AD9"/>
    <w:rsid w:val="006B3FE2"/>
    <w:rsid w:val="006B568E"/>
    <w:rsid w:val="006B58EF"/>
    <w:rsid w:val="006C177C"/>
    <w:rsid w:val="006C1DB1"/>
    <w:rsid w:val="006C454D"/>
    <w:rsid w:val="006C46DF"/>
    <w:rsid w:val="006C6ADA"/>
    <w:rsid w:val="006C727F"/>
    <w:rsid w:val="006D11A5"/>
    <w:rsid w:val="006D7746"/>
    <w:rsid w:val="006E162A"/>
    <w:rsid w:val="006E4970"/>
    <w:rsid w:val="006E7078"/>
    <w:rsid w:val="006F0227"/>
    <w:rsid w:val="006F0521"/>
    <w:rsid w:val="006F12CB"/>
    <w:rsid w:val="006F2777"/>
    <w:rsid w:val="006F6968"/>
    <w:rsid w:val="006F717D"/>
    <w:rsid w:val="00700509"/>
    <w:rsid w:val="0070092B"/>
    <w:rsid w:val="00701536"/>
    <w:rsid w:val="00702323"/>
    <w:rsid w:val="00703365"/>
    <w:rsid w:val="00707089"/>
    <w:rsid w:val="00710809"/>
    <w:rsid w:val="00711D69"/>
    <w:rsid w:val="00711F29"/>
    <w:rsid w:val="00714EB0"/>
    <w:rsid w:val="00715DB9"/>
    <w:rsid w:val="007178E5"/>
    <w:rsid w:val="0072533F"/>
    <w:rsid w:val="007256B3"/>
    <w:rsid w:val="00731CF2"/>
    <w:rsid w:val="00734E64"/>
    <w:rsid w:val="0073789D"/>
    <w:rsid w:val="00741D21"/>
    <w:rsid w:val="007452CF"/>
    <w:rsid w:val="007453DB"/>
    <w:rsid w:val="007458A9"/>
    <w:rsid w:val="007466DF"/>
    <w:rsid w:val="007503AA"/>
    <w:rsid w:val="00750667"/>
    <w:rsid w:val="00751E7C"/>
    <w:rsid w:val="00752BE2"/>
    <w:rsid w:val="007530CA"/>
    <w:rsid w:val="0076410F"/>
    <w:rsid w:val="007649B2"/>
    <w:rsid w:val="007651DC"/>
    <w:rsid w:val="007660A8"/>
    <w:rsid w:val="00766689"/>
    <w:rsid w:val="007701EB"/>
    <w:rsid w:val="007702D0"/>
    <w:rsid w:val="00770348"/>
    <w:rsid w:val="00775840"/>
    <w:rsid w:val="00777169"/>
    <w:rsid w:val="0078106E"/>
    <w:rsid w:val="007819B2"/>
    <w:rsid w:val="00782573"/>
    <w:rsid w:val="00783B9E"/>
    <w:rsid w:val="00783C60"/>
    <w:rsid w:val="00785FA7"/>
    <w:rsid w:val="0078642A"/>
    <w:rsid w:val="007879B6"/>
    <w:rsid w:val="007906BE"/>
    <w:rsid w:val="00794855"/>
    <w:rsid w:val="0079504D"/>
    <w:rsid w:val="0079713B"/>
    <w:rsid w:val="007A0509"/>
    <w:rsid w:val="007A13DC"/>
    <w:rsid w:val="007A2E1D"/>
    <w:rsid w:val="007A3011"/>
    <w:rsid w:val="007A4A7A"/>
    <w:rsid w:val="007A6408"/>
    <w:rsid w:val="007B204D"/>
    <w:rsid w:val="007B30E3"/>
    <w:rsid w:val="007B5521"/>
    <w:rsid w:val="007B6BEA"/>
    <w:rsid w:val="007C0237"/>
    <w:rsid w:val="007C04F7"/>
    <w:rsid w:val="007C17B1"/>
    <w:rsid w:val="007C2BE8"/>
    <w:rsid w:val="007C3D2B"/>
    <w:rsid w:val="007C47D3"/>
    <w:rsid w:val="007C4953"/>
    <w:rsid w:val="007C5D53"/>
    <w:rsid w:val="007C694E"/>
    <w:rsid w:val="007C7D7B"/>
    <w:rsid w:val="007D06D8"/>
    <w:rsid w:val="007D38D9"/>
    <w:rsid w:val="007D565E"/>
    <w:rsid w:val="007D5DF9"/>
    <w:rsid w:val="007E14C7"/>
    <w:rsid w:val="007E1D0C"/>
    <w:rsid w:val="007E2355"/>
    <w:rsid w:val="007E34CB"/>
    <w:rsid w:val="007E47B0"/>
    <w:rsid w:val="007E5340"/>
    <w:rsid w:val="007E6A0D"/>
    <w:rsid w:val="007F0EB3"/>
    <w:rsid w:val="007F1238"/>
    <w:rsid w:val="007F15AF"/>
    <w:rsid w:val="007F2DD3"/>
    <w:rsid w:val="007F4375"/>
    <w:rsid w:val="007F4BA9"/>
    <w:rsid w:val="007F4F2B"/>
    <w:rsid w:val="007F5154"/>
    <w:rsid w:val="007F5598"/>
    <w:rsid w:val="007F7FFB"/>
    <w:rsid w:val="008006AB"/>
    <w:rsid w:val="00803017"/>
    <w:rsid w:val="0080383F"/>
    <w:rsid w:val="00812C5B"/>
    <w:rsid w:val="00812CA1"/>
    <w:rsid w:val="00813770"/>
    <w:rsid w:val="0081445E"/>
    <w:rsid w:val="00814549"/>
    <w:rsid w:val="008146DC"/>
    <w:rsid w:val="00815AE5"/>
    <w:rsid w:val="00816FF3"/>
    <w:rsid w:val="00817754"/>
    <w:rsid w:val="008212D2"/>
    <w:rsid w:val="00826256"/>
    <w:rsid w:val="0083049A"/>
    <w:rsid w:val="00832E91"/>
    <w:rsid w:val="0083448E"/>
    <w:rsid w:val="00834665"/>
    <w:rsid w:val="008365FB"/>
    <w:rsid w:val="00836F67"/>
    <w:rsid w:val="008420B3"/>
    <w:rsid w:val="008423A3"/>
    <w:rsid w:val="00842729"/>
    <w:rsid w:val="00842927"/>
    <w:rsid w:val="00843AAD"/>
    <w:rsid w:val="00845816"/>
    <w:rsid w:val="0084682C"/>
    <w:rsid w:val="00850BB7"/>
    <w:rsid w:val="008519EB"/>
    <w:rsid w:val="00852274"/>
    <w:rsid w:val="008525E7"/>
    <w:rsid w:val="00852BB2"/>
    <w:rsid w:val="00854202"/>
    <w:rsid w:val="00855913"/>
    <w:rsid w:val="00857B49"/>
    <w:rsid w:val="00861A82"/>
    <w:rsid w:val="00861CA5"/>
    <w:rsid w:val="00861F7A"/>
    <w:rsid w:val="008631DD"/>
    <w:rsid w:val="00864FE0"/>
    <w:rsid w:val="00865602"/>
    <w:rsid w:val="00865B42"/>
    <w:rsid w:val="00865BB8"/>
    <w:rsid w:val="00866507"/>
    <w:rsid w:val="008667F4"/>
    <w:rsid w:val="00872774"/>
    <w:rsid w:val="008729EA"/>
    <w:rsid w:val="00873568"/>
    <w:rsid w:val="00873F00"/>
    <w:rsid w:val="00874651"/>
    <w:rsid w:val="008759D6"/>
    <w:rsid w:val="00875E73"/>
    <w:rsid w:val="008768AA"/>
    <w:rsid w:val="00880146"/>
    <w:rsid w:val="00881929"/>
    <w:rsid w:val="00881C4B"/>
    <w:rsid w:val="00882B17"/>
    <w:rsid w:val="008835A2"/>
    <w:rsid w:val="00883830"/>
    <w:rsid w:val="00883AB5"/>
    <w:rsid w:val="00883E5A"/>
    <w:rsid w:val="00885A3A"/>
    <w:rsid w:val="00886541"/>
    <w:rsid w:val="00886EE2"/>
    <w:rsid w:val="008872AC"/>
    <w:rsid w:val="008901A1"/>
    <w:rsid w:val="00890BD8"/>
    <w:rsid w:val="00891608"/>
    <w:rsid w:val="00892664"/>
    <w:rsid w:val="008927D4"/>
    <w:rsid w:val="00892857"/>
    <w:rsid w:val="00892EA8"/>
    <w:rsid w:val="008954BC"/>
    <w:rsid w:val="00895D62"/>
    <w:rsid w:val="008A0007"/>
    <w:rsid w:val="008A0B56"/>
    <w:rsid w:val="008A410D"/>
    <w:rsid w:val="008A636C"/>
    <w:rsid w:val="008B02B9"/>
    <w:rsid w:val="008B50D2"/>
    <w:rsid w:val="008B5BC7"/>
    <w:rsid w:val="008B7A85"/>
    <w:rsid w:val="008B7B4B"/>
    <w:rsid w:val="008C0F41"/>
    <w:rsid w:val="008C1234"/>
    <w:rsid w:val="008C2A5C"/>
    <w:rsid w:val="008C463C"/>
    <w:rsid w:val="008C4E33"/>
    <w:rsid w:val="008C512C"/>
    <w:rsid w:val="008C5BFA"/>
    <w:rsid w:val="008C5D67"/>
    <w:rsid w:val="008C621D"/>
    <w:rsid w:val="008C708E"/>
    <w:rsid w:val="008D0BED"/>
    <w:rsid w:val="008D1938"/>
    <w:rsid w:val="008D1994"/>
    <w:rsid w:val="008D5263"/>
    <w:rsid w:val="008D5420"/>
    <w:rsid w:val="008D54A3"/>
    <w:rsid w:val="008D5D12"/>
    <w:rsid w:val="008D647A"/>
    <w:rsid w:val="008E048C"/>
    <w:rsid w:val="008E08FB"/>
    <w:rsid w:val="008E2153"/>
    <w:rsid w:val="008E3F10"/>
    <w:rsid w:val="008E4FF3"/>
    <w:rsid w:val="008E65BA"/>
    <w:rsid w:val="008F1D02"/>
    <w:rsid w:val="008F2689"/>
    <w:rsid w:val="008F70E3"/>
    <w:rsid w:val="00904BEC"/>
    <w:rsid w:val="00906A10"/>
    <w:rsid w:val="00911C50"/>
    <w:rsid w:val="0091218D"/>
    <w:rsid w:val="00912830"/>
    <w:rsid w:val="00912DA9"/>
    <w:rsid w:val="009132DA"/>
    <w:rsid w:val="0091427B"/>
    <w:rsid w:val="009150FF"/>
    <w:rsid w:val="00915BAB"/>
    <w:rsid w:val="00920391"/>
    <w:rsid w:val="00921BFF"/>
    <w:rsid w:val="00921DE0"/>
    <w:rsid w:val="00922E0A"/>
    <w:rsid w:val="00925851"/>
    <w:rsid w:val="00931525"/>
    <w:rsid w:val="00931829"/>
    <w:rsid w:val="00931BD2"/>
    <w:rsid w:val="0093669F"/>
    <w:rsid w:val="00936F1C"/>
    <w:rsid w:val="009413C3"/>
    <w:rsid w:val="009451A4"/>
    <w:rsid w:val="009456A2"/>
    <w:rsid w:val="0095005B"/>
    <w:rsid w:val="009504F9"/>
    <w:rsid w:val="009509BE"/>
    <w:rsid w:val="00953D4C"/>
    <w:rsid w:val="00954193"/>
    <w:rsid w:val="009552AD"/>
    <w:rsid w:val="00955A4B"/>
    <w:rsid w:val="00955B78"/>
    <w:rsid w:val="00955C85"/>
    <w:rsid w:val="00956FF4"/>
    <w:rsid w:val="00963DC3"/>
    <w:rsid w:val="009656CD"/>
    <w:rsid w:val="00970314"/>
    <w:rsid w:val="009703F7"/>
    <w:rsid w:val="0097197F"/>
    <w:rsid w:val="009719A2"/>
    <w:rsid w:val="0097234C"/>
    <w:rsid w:val="009727D5"/>
    <w:rsid w:val="00973229"/>
    <w:rsid w:val="00974DA2"/>
    <w:rsid w:val="00977545"/>
    <w:rsid w:val="00980837"/>
    <w:rsid w:val="00981186"/>
    <w:rsid w:val="00981E11"/>
    <w:rsid w:val="00981EF9"/>
    <w:rsid w:val="00982555"/>
    <w:rsid w:val="009847D8"/>
    <w:rsid w:val="00984B96"/>
    <w:rsid w:val="00984DAA"/>
    <w:rsid w:val="0098728A"/>
    <w:rsid w:val="009873F1"/>
    <w:rsid w:val="00987A37"/>
    <w:rsid w:val="0099091D"/>
    <w:rsid w:val="00993298"/>
    <w:rsid w:val="009943B5"/>
    <w:rsid w:val="009958D7"/>
    <w:rsid w:val="00995CED"/>
    <w:rsid w:val="0099637E"/>
    <w:rsid w:val="009A03B9"/>
    <w:rsid w:val="009A0F5A"/>
    <w:rsid w:val="009A145B"/>
    <w:rsid w:val="009A3B3B"/>
    <w:rsid w:val="009A4431"/>
    <w:rsid w:val="009A543B"/>
    <w:rsid w:val="009A68AC"/>
    <w:rsid w:val="009A7FFE"/>
    <w:rsid w:val="009B0617"/>
    <w:rsid w:val="009B3507"/>
    <w:rsid w:val="009B4AFB"/>
    <w:rsid w:val="009B4EC5"/>
    <w:rsid w:val="009B7D96"/>
    <w:rsid w:val="009B7E67"/>
    <w:rsid w:val="009C02AA"/>
    <w:rsid w:val="009C0969"/>
    <w:rsid w:val="009C2077"/>
    <w:rsid w:val="009C21C6"/>
    <w:rsid w:val="009C27EF"/>
    <w:rsid w:val="009C37D5"/>
    <w:rsid w:val="009C45FB"/>
    <w:rsid w:val="009C4655"/>
    <w:rsid w:val="009C626E"/>
    <w:rsid w:val="009C65D6"/>
    <w:rsid w:val="009D2169"/>
    <w:rsid w:val="009D3F2F"/>
    <w:rsid w:val="009E0CF0"/>
    <w:rsid w:val="009E300C"/>
    <w:rsid w:val="009E33EF"/>
    <w:rsid w:val="009F2364"/>
    <w:rsid w:val="009F2663"/>
    <w:rsid w:val="009F2BEB"/>
    <w:rsid w:val="009F335C"/>
    <w:rsid w:val="009F4B6C"/>
    <w:rsid w:val="009F5994"/>
    <w:rsid w:val="009F668F"/>
    <w:rsid w:val="009F70DA"/>
    <w:rsid w:val="00A00582"/>
    <w:rsid w:val="00A03C79"/>
    <w:rsid w:val="00A03DDD"/>
    <w:rsid w:val="00A11545"/>
    <w:rsid w:val="00A1215F"/>
    <w:rsid w:val="00A12D4D"/>
    <w:rsid w:val="00A13F96"/>
    <w:rsid w:val="00A14202"/>
    <w:rsid w:val="00A151A2"/>
    <w:rsid w:val="00A159B2"/>
    <w:rsid w:val="00A15C5C"/>
    <w:rsid w:val="00A15F0E"/>
    <w:rsid w:val="00A16723"/>
    <w:rsid w:val="00A17ABD"/>
    <w:rsid w:val="00A2064D"/>
    <w:rsid w:val="00A22555"/>
    <w:rsid w:val="00A2386F"/>
    <w:rsid w:val="00A23C72"/>
    <w:rsid w:val="00A306D5"/>
    <w:rsid w:val="00A30D22"/>
    <w:rsid w:val="00A31D57"/>
    <w:rsid w:val="00A321C6"/>
    <w:rsid w:val="00A34142"/>
    <w:rsid w:val="00A34D96"/>
    <w:rsid w:val="00A352E4"/>
    <w:rsid w:val="00A35468"/>
    <w:rsid w:val="00A357BE"/>
    <w:rsid w:val="00A36742"/>
    <w:rsid w:val="00A36B41"/>
    <w:rsid w:val="00A37F8B"/>
    <w:rsid w:val="00A43720"/>
    <w:rsid w:val="00A44490"/>
    <w:rsid w:val="00A4478D"/>
    <w:rsid w:val="00A44ABB"/>
    <w:rsid w:val="00A44ABE"/>
    <w:rsid w:val="00A45817"/>
    <w:rsid w:val="00A4657A"/>
    <w:rsid w:val="00A47310"/>
    <w:rsid w:val="00A50DE7"/>
    <w:rsid w:val="00A51611"/>
    <w:rsid w:val="00A53347"/>
    <w:rsid w:val="00A543A6"/>
    <w:rsid w:val="00A551D4"/>
    <w:rsid w:val="00A55C9B"/>
    <w:rsid w:val="00A568DD"/>
    <w:rsid w:val="00A62235"/>
    <w:rsid w:val="00A63A2A"/>
    <w:rsid w:val="00A63CB9"/>
    <w:rsid w:val="00A6544B"/>
    <w:rsid w:val="00A73158"/>
    <w:rsid w:val="00A742F4"/>
    <w:rsid w:val="00A746A8"/>
    <w:rsid w:val="00A74B94"/>
    <w:rsid w:val="00A7638F"/>
    <w:rsid w:val="00A7644C"/>
    <w:rsid w:val="00A7694F"/>
    <w:rsid w:val="00A77173"/>
    <w:rsid w:val="00A77B54"/>
    <w:rsid w:val="00A77DB1"/>
    <w:rsid w:val="00A801DE"/>
    <w:rsid w:val="00A8203D"/>
    <w:rsid w:val="00A857DD"/>
    <w:rsid w:val="00A85CC6"/>
    <w:rsid w:val="00A86ADC"/>
    <w:rsid w:val="00A907C2"/>
    <w:rsid w:val="00A9388A"/>
    <w:rsid w:val="00AA0BB6"/>
    <w:rsid w:val="00AA28AC"/>
    <w:rsid w:val="00AA2ED2"/>
    <w:rsid w:val="00AA2F9F"/>
    <w:rsid w:val="00AA37A7"/>
    <w:rsid w:val="00AA5547"/>
    <w:rsid w:val="00AB0EA0"/>
    <w:rsid w:val="00AB3CD7"/>
    <w:rsid w:val="00AB6050"/>
    <w:rsid w:val="00AC02BA"/>
    <w:rsid w:val="00AC0EDC"/>
    <w:rsid w:val="00AC1AC8"/>
    <w:rsid w:val="00AC205D"/>
    <w:rsid w:val="00AC3342"/>
    <w:rsid w:val="00AC3C36"/>
    <w:rsid w:val="00AC3C42"/>
    <w:rsid w:val="00AC41C2"/>
    <w:rsid w:val="00AD05EB"/>
    <w:rsid w:val="00AD0C91"/>
    <w:rsid w:val="00AD25A4"/>
    <w:rsid w:val="00AD3011"/>
    <w:rsid w:val="00AD7F43"/>
    <w:rsid w:val="00AE02C0"/>
    <w:rsid w:val="00AE064F"/>
    <w:rsid w:val="00AE3ED8"/>
    <w:rsid w:val="00AE5CD8"/>
    <w:rsid w:val="00AE63C4"/>
    <w:rsid w:val="00AE6B3E"/>
    <w:rsid w:val="00AE6EB7"/>
    <w:rsid w:val="00AE7CFD"/>
    <w:rsid w:val="00AF1638"/>
    <w:rsid w:val="00AF1978"/>
    <w:rsid w:val="00AF27A0"/>
    <w:rsid w:val="00AF406C"/>
    <w:rsid w:val="00B022BB"/>
    <w:rsid w:val="00B0382D"/>
    <w:rsid w:val="00B055DA"/>
    <w:rsid w:val="00B060AF"/>
    <w:rsid w:val="00B106B4"/>
    <w:rsid w:val="00B10BA0"/>
    <w:rsid w:val="00B14A80"/>
    <w:rsid w:val="00B15AF3"/>
    <w:rsid w:val="00B172D3"/>
    <w:rsid w:val="00B211D5"/>
    <w:rsid w:val="00B21797"/>
    <w:rsid w:val="00B22C50"/>
    <w:rsid w:val="00B23C9F"/>
    <w:rsid w:val="00B2536D"/>
    <w:rsid w:val="00B25389"/>
    <w:rsid w:val="00B25708"/>
    <w:rsid w:val="00B323E2"/>
    <w:rsid w:val="00B328C6"/>
    <w:rsid w:val="00B32983"/>
    <w:rsid w:val="00B331FA"/>
    <w:rsid w:val="00B424DE"/>
    <w:rsid w:val="00B4305C"/>
    <w:rsid w:val="00B4341B"/>
    <w:rsid w:val="00B50A70"/>
    <w:rsid w:val="00B50C6C"/>
    <w:rsid w:val="00B53592"/>
    <w:rsid w:val="00B53E3F"/>
    <w:rsid w:val="00B552AA"/>
    <w:rsid w:val="00B63555"/>
    <w:rsid w:val="00B6718B"/>
    <w:rsid w:val="00B73806"/>
    <w:rsid w:val="00B73B52"/>
    <w:rsid w:val="00B75ACF"/>
    <w:rsid w:val="00B76E70"/>
    <w:rsid w:val="00B77098"/>
    <w:rsid w:val="00B77821"/>
    <w:rsid w:val="00B8049B"/>
    <w:rsid w:val="00B810AE"/>
    <w:rsid w:val="00B81164"/>
    <w:rsid w:val="00B9174E"/>
    <w:rsid w:val="00B94FF6"/>
    <w:rsid w:val="00B95899"/>
    <w:rsid w:val="00B96D68"/>
    <w:rsid w:val="00BB14CC"/>
    <w:rsid w:val="00BB41A4"/>
    <w:rsid w:val="00BB6C05"/>
    <w:rsid w:val="00BC18C8"/>
    <w:rsid w:val="00BC521A"/>
    <w:rsid w:val="00BC5CC0"/>
    <w:rsid w:val="00BC60DE"/>
    <w:rsid w:val="00BD3D3A"/>
    <w:rsid w:val="00BD5027"/>
    <w:rsid w:val="00BE035D"/>
    <w:rsid w:val="00BE1ABE"/>
    <w:rsid w:val="00BE2B30"/>
    <w:rsid w:val="00BE41FA"/>
    <w:rsid w:val="00BF1765"/>
    <w:rsid w:val="00BF3413"/>
    <w:rsid w:val="00BF3B62"/>
    <w:rsid w:val="00BF4B22"/>
    <w:rsid w:val="00BF586F"/>
    <w:rsid w:val="00BF64DA"/>
    <w:rsid w:val="00BF76B1"/>
    <w:rsid w:val="00C00226"/>
    <w:rsid w:val="00C01783"/>
    <w:rsid w:val="00C029AE"/>
    <w:rsid w:val="00C0330B"/>
    <w:rsid w:val="00C047CB"/>
    <w:rsid w:val="00C04B52"/>
    <w:rsid w:val="00C05EC2"/>
    <w:rsid w:val="00C14E2E"/>
    <w:rsid w:val="00C151F7"/>
    <w:rsid w:val="00C153A3"/>
    <w:rsid w:val="00C1574C"/>
    <w:rsid w:val="00C162D9"/>
    <w:rsid w:val="00C21279"/>
    <w:rsid w:val="00C224D0"/>
    <w:rsid w:val="00C22624"/>
    <w:rsid w:val="00C30539"/>
    <w:rsid w:val="00C30DA3"/>
    <w:rsid w:val="00C31628"/>
    <w:rsid w:val="00C33891"/>
    <w:rsid w:val="00C33E58"/>
    <w:rsid w:val="00C35514"/>
    <w:rsid w:val="00C414EC"/>
    <w:rsid w:val="00C41EA4"/>
    <w:rsid w:val="00C42EE4"/>
    <w:rsid w:val="00C43B57"/>
    <w:rsid w:val="00C4429A"/>
    <w:rsid w:val="00C45A4F"/>
    <w:rsid w:val="00C45FEC"/>
    <w:rsid w:val="00C46EA3"/>
    <w:rsid w:val="00C52302"/>
    <w:rsid w:val="00C53166"/>
    <w:rsid w:val="00C54672"/>
    <w:rsid w:val="00C5595A"/>
    <w:rsid w:val="00C60378"/>
    <w:rsid w:val="00C60508"/>
    <w:rsid w:val="00C629A3"/>
    <w:rsid w:val="00C63137"/>
    <w:rsid w:val="00C64952"/>
    <w:rsid w:val="00C65CB6"/>
    <w:rsid w:val="00C67F08"/>
    <w:rsid w:val="00C71344"/>
    <w:rsid w:val="00C71728"/>
    <w:rsid w:val="00C7482F"/>
    <w:rsid w:val="00C75B62"/>
    <w:rsid w:val="00C80B1A"/>
    <w:rsid w:val="00C82A00"/>
    <w:rsid w:val="00C83DC3"/>
    <w:rsid w:val="00C841A9"/>
    <w:rsid w:val="00C8591B"/>
    <w:rsid w:val="00C9017C"/>
    <w:rsid w:val="00C92D7B"/>
    <w:rsid w:val="00C94AEE"/>
    <w:rsid w:val="00C96439"/>
    <w:rsid w:val="00C967E0"/>
    <w:rsid w:val="00C97533"/>
    <w:rsid w:val="00C97832"/>
    <w:rsid w:val="00CA1D63"/>
    <w:rsid w:val="00CA201B"/>
    <w:rsid w:val="00CA3DAC"/>
    <w:rsid w:val="00CA4C17"/>
    <w:rsid w:val="00CA4E5F"/>
    <w:rsid w:val="00CA5042"/>
    <w:rsid w:val="00CA549F"/>
    <w:rsid w:val="00CA6020"/>
    <w:rsid w:val="00CA6282"/>
    <w:rsid w:val="00CA7833"/>
    <w:rsid w:val="00CB2B76"/>
    <w:rsid w:val="00CB37B5"/>
    <w:rsid w:val="00CB41A5"/>
    <w:rsid w:val="00CB4239"/>
    <w:rsid w:val="00CB5259"/>
    <w:rsid w:val="00CC2A85"/>
    <w:rsid w:val="00CC2E46"/>
    <w:rsid w:val="00CC3BB1"/>
    <w:rsid w:val="00CC4360"/>
    <w:rsid w:val="00CC4638"/>
    <w:rsid w:val="00CC496A"/>
    <w:rsid w:val="00CD0342"/>
    <w:rsid w:val="00CD1BE2"/>
    <w:rsid w:val="00CD4C45"/>
    <w:rsid w:val="00CD54EC"/>
    <w:rsid w:val="00CD65D3"/>
    <w:rsid w:val="00CE08A3"/>
    <w:rsid w:val="00CE7E0C"/>
    <w:rsid w:val="00CE7E82"/>
    <w:rsid w:val="00CF12F9"/>
    <w:rsid w:val="00CF3372"/>
    <w:rsid w:val="00CF44C5"/>
    <w:rsid w:val="00CF4842"/>
    <w:rsid w:val="00CF593D"/>
    <w:rsid w:val="00D02C9A"/>
    <w:rsid w:val="00D02DDD"/>
    <w:rsid w:val="00D04827"/>
    <w:rsid w:val="00D0607A"/>
    <w:rsid w:val="00D069D4"/>
    <w:rsid w:val="00D07E59"/>
    <w:rsid w:val="00D1067C"/>
    <w:rsid w:val="00D15FBD"/>
    <w:rsid w:val="00D16820"/>
    <w:rsid w:val="00D17363"/>
    <w:rsid w:val="00D207BC"/>
    <w:rsid w:val="00D2159C"/>
    <w:rsid w:val="00D23A7E"/>
    <w:rsid w:val="00D247CF"/>
    <w:rsid w:val="00D25FFB"/>
    <w:rsid w:val="00D276CC"/>
    <w:rsid w:val="00D27F61"/>
    <w:rsid w:val="00D312E0"/>
    <w:rsid w:val="00D32FE4"/>
    <w:rsid w:val="00D34A3A"/>
    <w:rsid w:val="00D37A59"/>
    <w:rsid w:val="00D40D0C"/>
    <w:rsid w:val="00D40E8D"/>
    <w:rsid w:val="00D41995"/>
    <w:rsid w:val="00D43DAB"/>
    <w:rsid w:val="00D43E27"/>
    <w:rsid w:val="00D45535"/>
    <w:rsid w:val="00D4582C"/>
    <w:rsid w:val="00D4729E"/>
    <w:rsid w:val="00D52936"/>
    <w:rsid w:val="00D53233"/>
    <w:rsid w:val="00D60909"/>
    <w:rsid w:val="00D63202"/>
    <w:rsid w:val="00D6471B"/>
    <w:rsid w:val="00D648E0"/>
    <w:rsid w:val="00D654E5"/>
    <w:rsid w:val="00D65933"/>
    <w:rsid w:val="00D7001B"/>
    <w:rsid w:val="00D70BDB"/>
    <w:rsid w:val="00D74004"/>
    <w:rsid w:val="00D75675"/>
    <w:rsid w:val="00D775AF"/>
    <w:rsid w:val="00D81F5E"/>
    <w:rsid w:val="00D82D2E"/>
    <w:rsid w:val="00D83224"/>
    <w:rsid w:val="00D8357C"/>
    <w:rsid w:val="00D835FD"/>
    <w:rsid w:val="00D84F34"/>
    <w:rsid w:val="00D85DCE"/>
    <w:rsid w:val="00D91DE1"/>
    <w:rsid w:val="00D922F6"/>
    <w:rsid w:val="00D93842"/>
    <w:rsid w:val="00D96FFA"/>
    <w:rsid w:val="00DA018C"/>
    <w:rsid w:val="00DA0714"/>
    <w:rsid w:val="00DA14D0"/>
    <w:rsid w:val="00DA1B3D"/>
    <w:rsid w:val="00DA2332"/>
    <w:rsid w:val="00DA26F3"/>
    <w:rsid w:val="00DA36A5"/>
    <w:rsid w:val="00DA77A3"/>
    <w:rsid w:val="00DB1E52"/>
    <w:rsid w:val="00DB2007"/>
    <w:rsid w:val="00DB48BF"/>
    <w:rsid w:val="00DB6DF4"/>
    <w:rsid w:val="00DB71EA"/>
    <w:rsid w:val="00DB73C2"/>
    <w:rsid w:val="00DC196E"/>
    <w:rsid w:val="00DC2FCC"/>
    <w:rsid w:val="00DC3840"/>
    <w:rsid w:val="00DC5942"/>
    <w:rsid w:val="00DC5BB4"/>
    <w:rsid w:val="00DC6990"/>
    <w:rsid w:val="00DC7C65"/>
    <w:rsid w:val="00DD04FC"/>
    <w:rsid w:val="00DD369E"/>
    <w:rsid w:val="00DD4E2F"/>
    <w:rsid w:val="00DD6FBB"/>
    <w:rsid w:val="00DD7845"/>
    <w:rsid w:val="00DE0597"/>
    <w:rsid w:val="00DE0BFB"/>
    <w:rsid w:val="00DE125A"/>
    <w:rsid w:val="00DF1BAC"/>
    <w:rsid w:val="00DF26B5"/>
    <w:rsid w:val="00DF2B93"/>
    <w:rsid w:val="00DF323B"/>
    <w:rsid w:val="00DF402A"/>
    <w:rsid w:val="00DF43C2"/>
    <w:rsid w:val="00DF4694"/>
    <w:rsid w:val="00DF7973"/>
    <w:rsid w:val="00E00EFB"/>
    <w:rsid w:val="00E023D5"/>
    <w:rsid w:val="00E032EB"/>
    <w:rsid w:val="00E05485"/>
    <w:rsid w:val="00E06B2A"/>
    <w:rsid w:val="00E0799F"/>
    <w:rsid w:val="00E103B3"/>
    <w:rsid w:val="00E10DB8"/>
    <w:rsid w:val="00E143F7"/>
    <w:rsid w:val="00E14E3B"/>
    <w:rsid w:val="00E23945"/>
    <w:rsid w:val="00E26278"/>
    <w:rsid w:val="00E3052E"/>
    <w:rsid w:val="00E31410"/>
    <w:rsid w:val="00E32760"/>
    <w:rsid w:val="00E32A41"/>
    <w:rsid w:val="00E3309C"/>
    <w:rsid w:val="00E363ED"/>
    <w:rsid w:val="00E402CE"/>
    <w:rsid w:val="00E40B61"/>
    <w:rsid w:val="00E41928"/>
    <w:rsid w:val="00E4192D"/>
    <w:rsid w:val="00E436C4"/>
    <w:rsid w:val="00E5261B"/>
    <w:rsid w:val="00E53859"/>
    <w:rsid w:val="00E54498"/>
    <w:rsid w:val="00E54E8B"/>
    <w:rsid w:val="00E56F95"/>
    <w:rsid w:val="00E57009"/>
    <w:rsid w:val="00E576FC"/>
    <w:rsid w:val="00E65112"/>
    <w:rsid w:val="00E65A9D"/>
    <w:rsid w:val="00E660C9"/>
    <w:rsid w:val="00E6727A"/>
    <w:rsid w:val="00E70308"/>
    <w:rsid w:val="00E71081"/>
    <w:rsid w:val="00E72A94"/>
    <w:rsid w:val="00E73467"/>
    <w:rsid w:val="00E76C9C"/>
    <w:rsid w:val="00E778D2"/>
    <w:rsid w:val="00E81E94"/>
    <w:rsid w:val="00E83339"/>
    <w:rsid w:val="00E84862"/>
    <w:rsid w:val="00E97BF5"/>
    <w:rsid w:val="00E97CD4"/>
    <w:rsid w:val="00E97F76"/>
    <w:rsid w:val="00EA2A48"/>
    <w:rsid w:val="00EA4937"/>
    <w:rsid w:val="00EA56A9"/>
    <w:rsid w:val="00EA6889"/>
    <w:rsid w:val="00EA7F40"/>
    <w:rsid w:val="00EB16B1"/>
    <w:rsid w:val="00EB1D13"/>
    <w:rsid w:val="00EB204C"/>
    <w:rsid w:val="00EB2CA2"/>
    <w:rsid w:val="00EB363B"/>
    <w:rsid w:val="00EB372D"/>
    <w:rsid w:val="00EB45E6"/>
    <w:rsid w:val="00EB4736"/>
    <w:rsid w:val="00EB50AA"/>
    <w:rsid w:val="00EB5583"/>
    <w:rsid w:val="00EB5C1E"/>
    <w:rsid w:val="00EB735E"/>
    <w:rsid w:val="00EC2443"/>
    <w:rsid w:val="00EC586D"/>
    <w:rsid w:val="00EC6280"/>
    <w:rsid w:val="00ED14A1"/>
    <w:rsid w:val="00ED1616"/>
    <w:rsid w:val="00ED5E28"/>
    <w:rsid w:val="00ED63E7"/>
    <w:rsid w:val="00ED6857"/>
    <w:rsid w:val="00EE1354"/>
    <w:rsid w:val="00EE1B60"/>
    <w:rsid w:val="00EE1FFF"/>
    <w:rsid w:val="00EE35B5"/>
    <w:rsid w:val="00EE389F"/>
    <w:rsid w:val="00EE4F44"/>
    <w:rsid w:val="00EE6C61"/>
    <w:rsid w:val="00EE79D0"/>
    <w:rsid w:val="00EF165E"/>
    <w:rsid w:val="00EF3C86"/>
    <w:rsid w:val="00EF524C"/>
    <w:rsid w:val="00EF748B"/>
    <w:rsid w:val="00EF78BF"/>
    <w:rsid w:val="00F006F5"/>
    <w:rsid w:val="00F00D89"/>
    <w:rsid w:val="00F063D2"/>
    <w:rsid w:val="00F10A47"/>
    <w:rsid w:val="00F10C0B"/>
    <w:rsid w:val="00F1764B"/>
    <w:rsid w:val="00F21EAD"/>
    <w:rsid w:val="00F2300C"/>
    <w:rsid w:val="00F350F5"/>
    <w:rsid w:val="00F3538A"/>
    <w:rsid w:val="00F405FB"/>
    <w:rsid w:val="00F407D0"/>
    <w:rsid w:val="00F41190"/>
    <w:rsid w:val="00F42A64"/>
    <w:rsid w:val="00F434B4"/>
    <w:rsid w:val="00F43640"/>
    <w:rsid w:val="00F4388C"/>
    <w:rsid w:val="00F449A3"/>
    <w:rsid w:val="00F4739E"/>
    <w:rsid w:val="00F475ED"/>
    <w:rsid w:val="00F47D5C"/>
    <w:rsid w:val="00F50C6F"/>
    <w:rsid w:val="00F525FC"/>
    <w:rsid w:val="00F52813"/>
    <w:rsid w:val="00F52CAA"/>
    <w:rsid w:val="00F52E84"/>
    <w:rsid w:val="00F534AB"/>
    <w:rsid w:val="00F53AD6"/>
    <w:rsid w:val="00F55011"/>
    <w:rsid w:val="00F5659B"/>
    <w:rsid w:val="00F57AF7"/>
    <w:rsid w:val="00F60057"/>
    <w:rsid w:val="00F60CDF"/>
    <w:rsid w:val="00F62BBB"/>
    <w:rsid w:val="00F66494"/>
    <w:rsid w:val="00F7310D"/>
    <w:rsid w:val="00F74E4A"/>
    <w:rsid w:val="00F77A27"/>
    <w:rsid w:val="00F8139C"/>
    <w:rsid w:val="00F82627"/>
    <w:rsid w:val="00F83117"/>
    <w:rsid w:val="00F867D8"/>
    <w:rsid w:val="00F90543"/>
    <w:rsid w:val="00F91C08"/>
    <w:rsid w:val="00F92347"/>
    <w:rsid w:val="00F925C6"/>
    <w:rsid w:val="00F95516"/>
    <w:rsid w:val="00F96F10"/>
    <w:rsid w:val="00FA08C2"/>
    <w:rsid w:val="00FA160B"/>
    <w:rsid w:val="00FA245F"/>
    <w:rsid w:val="00FA3742"/>
    <w:rsid w:val="00FA48D2"/>
    <w:rsid w:val="00FA580F"/>
    <w:rsid w:val="00FA5D6E"/>
    <w:rsid w:val="00FB19BE"/>
    <w:rsid w:val="00FB35C0"/>
    <w:rsid w:val="00FB3A67"/>
    <w:rsid w:val="00FB5B24"/>
    <w:rsid w:val="00FB5FEE"/>
    <w:rsid w:val="00FB6EAD"/>
    <w:rsid w:val="00FB76F3"/>
    <w:rsid w:val="00FC0FB2"/>
    <w:rsid w:val="00FC13F3"/>
    <w:rsid w:val="00FC34C0"/>
    <w:rsid w:val="00FC3867"/>
    <w:rsid w:val="00FC4B70"/>
    <w:rsid w:val="00FC5534"/>
    <w:rsid w:val="00FD37BE"/>
    <w:rsid w:val="00FD4AF4"/>
    <w:rsid w:val="00FE12F1"/>
    <w:rsid w:val="00FE354C"/>
    <w:rsid w:val="00FE529E"/>
    <w:rsid w:val="00FE609E"/>
    <w:rsid w:val="00FE7E83"/>
    <w:rsid w:val="00FF245C"/>
    <w:rsid w:val="00FF2694"/>
    <w:rsid w:val="00FF41A4"/>
    <w:rsid w:val="00FF6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14:docId w14:val="227E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4" w:qFormat="1"/>
    <w:lsdException w:name="List Bullet" w:uiPriority="2" w:qFormat="1"/>
    <w:lsdException w:name="List Number" w:uiPriority="2" w:qFormat="1"/>
    <w:lsdException w:name="List Bullet 2" w:uiPriority="2"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F2"/>
  </w:style>
  <w:style w:type="paragraph" w:styleId="Heading1">
    <w:name w:val="heading 1"/>
    <w:basedOn w:val="Normal"/>
    <w:next w:val="Normal"/>
    <w:link w:val="Heading1Char"/>
    <w:uiPriority w:val="9"/>
    <w:qFormat/>
    <w:rsid w:val="009F5994"/>
    <w:pPr>
      <w:keepNext/>
      <w:keepLines/>
      <w:numPr>
        <w:numId w:val="4"/>
      </w:numPr>
      <w:spacing w:before="480" w:after="0"/>
      <w:outlineLvl w:val="0"/>
    </w:pPr>
    <w:rPr>
      <w:rFonts w:ascii="Candara" w:eastAsiaTheme="majorEastAsia" w:hAnsi="Candara" w:cstheme="majorBidi"/>
      <w:b/>
      <w:bCs/>
      <w:sz w:val="28"/>
      <w:szCs w:val="28"/>
    </w:rPr>
  </w:style>
  <w:style w:type="paragraph" w:styleId="Heading2">
    <w:name w:val="heading 2"/>
    <w:basedOn w:val="Heading1"/>
    <w:next w:val="Normal"/>
    <w:link w:val="Heading2Char"/>
    <w:uiPriority w:val="9"/>
    <w:unhideWhenUsed/>
    <w:qFormat/>
    <w:rsid w:val="001773AA"/>
    <w:pPr>
      <w:numPr>
        <w:ilvl w:val="1"/>
      </w:numPr>
      <w:outlineLvl w:val="1"/>
    </w:pPr>
    <w:rPr>
      <w:sz w:val="24"/>
      <w:szCs w:val="24"/>
    </w:rPr>
  </w:style>
  <w:style w:type="paragraph" w:styleId="Heading3">
    <w:name w:val="heading 3"/>
    <w:basedOn w:val="Heading2"/>
    <w:next w:val="Normal"/>
    <w:link w:val="Heading3Char"/>
    <w:uiPriority w:val="9"/>
    <w:unhideWhenUsed/>
    <w:qFormat/>
    <w:rsid w:val="001773AA"/>
    <w:pPr>
      <w:numPr>
        <w:ilvl w:val="2"/>
      </w:numPr>
      <w:outlineLvl w:val="2"/>
    </w:pPr>
  </w:style>
  <w:style w:type="paragraph" w:styleId="Heading4">
    <w:name w:val="heading 4"/>
    <w:basedOn w:val="Heading3"/>
    <w:next w:val="Normal"/>
    <w:link w:val="Heading4Char"/>
    <w:uiPriority w:val="9"/>
    <w:unhideWhenUsed/>
    <w:qFormat/>
    <w:rsid w:val="009F5994"/>
    <w:pPr>
      <w:outlineLvl w:val="3"/>
    </w:pPr>
  </w:style>
  <w:style w:type="paragraph" w:styleId="Heading5">
    <w:name w:val="heading 5"/>
    <w:basedOn w:val="Normal"/>
    <w:next w:val="Normal"/>
    <w:link w:val="Heading5Char"/>
    <w:uiPriority w:val="9"/>
    <w:unhideWhenUsed/>
    <w:qFormat/>
    <w:rsid w:val="002329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763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994"/>
    <w:rPr>
      <w:rFonts w:ascii="Candara" w:eastAsiaTheme="majorEastAsia" w:hAnsi="Candara" w:cstheme="majorBidi"/>
      <w:b/>
      <w:bCs/>
      <w:sz w:val="28"/>
      <w:szCs w:val="28"/>
    </w:rPr>
  </w:style>
  <w:style w:type="paragraph" w:styleId="Title">
    <w:name w:val="Title"/>
    <w:basedOn w:val="Normal"/>
    <w:next w:val="Normal"/>
    <w:link w:val="TitleChar"/>
    <w:uiPriority w:val="10"/>
    <w:qFormat/>
    <w:rsid w:val="005709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091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773AA"/>
    <w:rPr>
      <w:rFonts w:ascii="Candara" w:eastAsiaTheme="majorEastAsia" w:hAnsi="Candara" w:cstheme="majorBidi"/>
      <w:b/>
      <w:bCs/>
      <w:sz w:val="24"/>
      <w:szCs w:val="24"/>
    </w:rPr>
  </w:style>
  <w:style w:type="paragraph" w:styleId="TOCHeading">
    <w:name w:val="TOC Heading"/>
    <w:basedOn w:val="Heading1"/>
    <w:next w:val="Normal"/>
    <w:uiPriority w:val="39"/>
    <w:unhideWhenUsed/>
    <w:qFormat/>
    <w:rsid w:val="009958D7"/>
    <w:pPr>
      <w:outlineLvl w:val="9"/>
    </w:pPr>
    <w:rPr>
      <w:lang w:val="en-US" w:eastAsia="ja-JP"/>
    </w:rPr>
  </w:style>
  <w:style w:type="paragraph" w:styleId="TOC1">
    <w:name w:val="toc 1"/>
    <w:basedOn w:val="Normal"/>
    <w:next w:val="Normal"/>
    <w:autoRedefine/>
    <w:uiPriority w:val="39"/>
    <w:unhideWhenUsed/>
    <w:rsid w:val="009958D7"/>
    <w:pPr>
      <w:spacing w:after="100"/>
    </w:pPr>
  </w:style>
  <w:style w:type="paragraph" w:styleId="TOC2">
    <w:name w:val="toc 2"/>
    <w:basedOn w:val="Normal"/>
    <w:next w:val="Normal"/>
    <w:autoRedefine/>
    <w:uiPriority w:val="39"/>
    <w:unhideWhenUsed/>
    <w:rsid w:val="009958D7"/>
    <w:pPr>
      <w:spacing w:after="100"/>
      <w:ind w:left="220"/>
    </w:pPr>
  </w:style>
  <w:style w:type="character" w:styleId="Hyperlink">
    <w:name w:val="Hyperlink"/>
    <w:basedOn w:val="DefaultParagraphFont"/>
    <w:uiPriority w:val="99"/>
    <w:unhideWhenUsed/>
    <w:rsid w:val="009958D7"/>
    <w:rPr>
      <w:color w:val="0000FF" w:themeColor="hyperlink"/>
      <w:u w:val="single"/>
    </w:rPr>
  </w:style>
  <w:style w:type="paragraph" w:styleId="BalloonText">
    <w:name w:val="Balloon Text"/>
    <w:basedOn w:val="Normal"/>
    <w:link w:val="BalloonTextChar"/>
    <w:uiPriority w:val="99"/>
    <w:semiHidden/>
    <w:unhideWhenUsed/>
    <w:rsid w:val="0099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D7"/>
    <w:rPr>
      <w:rFonts w:ascii="Tahoma" w:hAnsi="Tahoma" w:cs="Tahoma"/>
      <w:sz w:val="16"/>
      <w:szCs w:val="16"/>
    </w:rPr>
  </w:style>
  <w:style w:type="paragraph" w:styleId="Header">
    <w:name w:val="header"/>
    <w:basedOn w:val="Normal"/>
    <w:link w:val="HeaderChar"/>
    <w:uiPriority w:val="99"/>
    <w:unhideWhenUsed/>
    <w:rsid w:val="00B25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389"/>
  </w:style>
  <w:style w:type="paragraph" w:styleId="Footer">
    <w:name w:val="footer"/>
    <w:basedOn w:val="Normal"/>
    <w:link w:val="FooterChar"/>
    <w:uiPriority w:val="99"/>
    <w:unhideWhenUsed/>
    <w:qFormat/>
    <w:rsid w:val="00B253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389"/>
  </w:style>
  <w:style w:type="paragraph" w:styleId="ListParagraph">
    <w:name w:val="List Paragraph"/>
    <w:basedOn w:val="Normal"/>
    <w:uiPriority w:val="34"/>
    <w:qFormat/>
    <w:rsid w:val="00A1215F"/>
    <w:pPr>
      <w:ind w:left="720"/>
      <w:contextualSpacing/>
    </w:pPr>
  </w:style>
  <w:style w:type="paragraph" w:styleId="FootnoteText">
    <w:name w:val="footnote text"/>
    <w:basedOn w:val="Normal"/>
    <w:link w:val="FootnoteTextChar"/>
    <w:uiPriority w:val="99"/>
    <w:unhideWhenUsed/>
    <w:rsid w:val="00237B4F"/>
    <w:pPr>
      <w:spacing w:after="0" w:line="240" w:lineRule="auto"/>
    </w:pPr>
    <w:rPr>
      <w:sz w:val="20"/>
      <w:szCs w:val="20"/>
    </w:rPr>
  </w:style>
  <w:style w:type="character" w:customStyle="1" w:styleId="FootnoteTextChar">
    <w:name w:val="Footnote Text Char"/>
    <w:basedOn w:val="DefaultParagraphFont"/>
    <w:link w:val="FootnoteText"/>
    <w:uiPriority w:val="99"/>
    <w:rsid w:val="00237B4F"/>
    <w:rPr>
      <w:sz w:val="20"/>
      <w:szCs w:val="20"/>
    </w:rPr>
  </w:style>
  <w:style w:type="character" w:styleId="FootnoteReference">
    <w:name w:val="footnote reference"/>
    <w:basedOn w:val="DefaultParagraphFont"/>
    <w:uiPriority w:val="99"/>
    <w:semiHidden/>
    <w:unhideWhenUsed/>
    <w:rsid w:val="00237B4F"/>
    <w:rPr>
      <w:vertAlign w:val="superscript"/>
    </w:rPr>
  </w:style>
  <w:style w:type="character" w:customStyle="1" w:styleId="Heading3Char">
    <w:name w:val="Heading 3 Char"/>
    <w:basedOn w:val="DefaultParagraphFont"/>
    <w:link w:val="Heading3"/>
    <w:uiPriority w:val="9"/>
    <w:rsid w:val="001773AA"/>
    <w:rPr>
      <w:rFonts w:ascii="Candara" w:eastAsiaTheme="majorEastAsia" w:hAnsi="Candara" w:cstheme="majorBidi"/>
      <w:b/>
      <w:bCs/>
      <w:sz w:val="24"/>
      <w:szCs w:val="24"/>
    </w:rPr>
  </w:style>
  <w:style w:type="character" w:customStyle="1" w:styleId="Heading4Char">
    <w:name w:val="Heading 4 Char"/>
    <w:basedOn w:val="DefaultParagraphFont"/>
    <w:link w:val="Heading4"/>
    <w:uiPriority w:val="9"/>
    <w:rsid w:val="009F5994"/>
    <w:rPr>
      <w:rFonts w:ascii="Candara" w:eastAsiaTheme="majorEastAsia" w:hAnsi="Candara" w:cstheme="majorBidi"/>
      <w:b/>
      <w:bCs/>
      <w:sz w:val="24"/>
      <w:szCs w:val="24"/>
    </w:rPr>
  </w:style>
  <w:style w:type="paragraph" w:styleId="TOC3">
    <w:name w:val="toc 3"/>
    <w:basedOn w:val="Normal"/>
    <w:next w:val="Normal"/>
    <w:autoRedefine/>
    <w:uiPriority w:val="39"/>
    <w:unhideWhenUsed/>
    <w:rsid w:val="00794855"/>
    <w:pPr>
      <w:spacing w:after="100"/>
      <w:ind w:left="440"/>
    </w:pPr>
  </w:style>
  <w:style w:type="table" w:styleId="TableGrid">
    <w:name w:val="Table Grid"/>
    <w:basedOn w:val="TableNormal"/>
    <w:uiPriority w:val="59"/>
    <w:rsid w:val="008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5877"/>
    <w:rPr>
      <w:sz w:val="16"/>
      <w:szCs w:val="16"/>
    </w:rPr>
  </w:style>
  <w:style w:type="paragraph" w:styleId="CommentText">
    <w:name w:val="annotation text"/>
    <w:basedOn w:val="Normal"/>
    <w:link w:val="CommentTextChar"/>
    <w:uiPriority w:val="99"/>
    <w:semiHidden/>
    <w:unhideWhenUsed/>
    <w:rsid w:val="000E5877"/>
    <w:pPr>
      <w:spacing w:line="240" w:lineRule="auto"/>
    </w:pPr>
    <w:rPr>
      <w:sz w:val="20"/>
      <w:szCs w:val="20"/>
    </w:rPr>
  </w:style>
  <w:style w:type="character" w:customStyle="1" w:styleId="CommentTextChar">
    <w:name w:val="Comment Text Char"/>
    <w:basedOn w:val="DefaultParagraphFont"/>
    <w:link w:val="CommentText"/>
    <w:uiPriority w:val="99"/>
    <w:semiHidden/>
    <w:rsid w:val="000E5877"/>
    <w:rPr>
      <w:sz w:val="20"/>
      <w:szCs w:val="20"/>
    </w:rPr>
  </w:style>
  <w:style w:type="paragraph" w:styleId="CommentSubject">
    <w:name w:val="annotation subject"/>
    <w:basedOn w:val="CommentText"/>
    <w:next w:val="CommentText"/>
    <w:link w:val="CommentSubjectChar"/>
    <w:uiPriority w:val="99"/>
    <w:semiHidden/>
    <w:unhideWhenUsed/>
    <w:rsid w:val="000E5877"/>
    <w:rPr>
      <w:b/>
      <w:bCs/>
    </w:rPr>
  </w:style>
  <w:style w:type="character" w:customStyle="1" w:styleId="CommentSubjectChar">
    <w:name w:val="Comment Subject Char"/>
    <w:basedOn w:val="CommentTextChar"/>
    <w:link w:val="CommentSubject"/>
    <w:uiPriority w:val="99"/>
    <w:semiHidden/>
    <w:rsid w:val="000E5877"/>
    <w:rPr>
      <w:b/>
      <w:bCs/>
      <w:sz w:val="20"/>
      <w:szCs w:val="20"/>
    </w:rPr>
  </w:style>
  <w:style w:type="paragraph" w:customStyle="1" w:styleId="BusinessUnitName">
    <w:name w:val="Business Unit Name"/>
    <w:rsid w:val="000371F0"/>
    <w:pPr>
      <w:spacing w:after="0" w:line="240" w:lineRule="auto"/>
    </w:pPr>
    <w:rPr>
      <w:rFonts w:ascii="Calibri" w:eastAsia="Times New Roman" w:hAnsi="Calibri" w:cs="Times New Roman"/>
      <w:b/>
      <w:caps/>
      <w:noProof/>
      <w:color w:val="FFFFFF"/>
      <w:spacing w:val="16"/>
      <w:szCs w:val="24"/>
    </w:rPr>
  </w:style>
  <w:style w:type="paragraph" w:styleId="Caption">
    <w:name w:val="caption"/>
    <w:basedOn w:val="BodyText"/>
    <w:next w:val="BodyText"/>
    <w:uiPriority w:val="4"/>
    <w:qFormat/>
    <w:rsid w:val="000371F0"/>
    <w:pPr>
      <w:keepNext/>
      <w:spacing w:before="180" w:after="180"/>
      <w:contextualSpacing/>
    </w:pPr>
    <w:rPr>
      <w:b/>
      <w:bCs/>
      <w:color w:val="365F91" w:themeColor="accent1" w:themeShade="BF"/>
      <w:sz w:val="20"/>
      <w:szCs w:val="18"/>
    </w:rPr>
  </w:style>
  <w:style w:type="paragraph" w:styleId="BodyText">
    <w:name w:val="Body Text"/>
    <w:link w:val="BodyTextChar"/>
    <w:qFormat/>
    <w:rsid w:val="000371F0"/>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0371F0"/>
    <w:rPr>
      <w:rFonts w:ascii="Calibri" w:eastAsia="Calibri" w:hAnsi="Calibri" w:cs="Times New Roman"/>
      <w:color w:val="000000"/>
      <w:sz w:val="24"/>
      <w:lang w:eastAsia="en-AU"/>
    </w:rPr>
  </w:style>
  <w:style w:type="character" w:customStyle="1" w:styleId="apple-converted-space">
    <w:name w:val="apple-converted-space"/>
    <w:basedOn w:val="DefaultParagraphFont"/>
    <w:rsid w:val="000371F0"/>
  </w:style>
  <w:style w:type="character" w:styleId="HTMLCite">
    <w:name w:val="HTML Cite"/>
    <w:basedOn w:val="DefaultParagraphFont"/>
    <w:uiPriority w:val="99"/>
    <w:semiHidden/>
    <w:unhideWhenUsed/>
    <w:rsid w:val="000371F0"/>
    <w:rPr>
      <w:i/>
      <w:iCs/>
    </w:rPr>
  </w:style>
  <w:style w:type="paragraph" w:styleId="EndnoteText">
    <w:name w:val="endnote text"/>
    <w:basedOn w:val="Normal"/>
    <w:link w:val="EndnoteTextChar"/>
    <w:uiPriority w:val="99"/>
    <w:semiHidden/>
    <w:unhideWhenUsed/>
    <w:rsid w:val="009541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4193"/>
    <w:rPr>
      <w:sz w:val="20"/>
      <w:szCs w:val="20"/>
    </w:rPr>
  </w:style>
  <w:style w:type="character" w:styleId="EndnoteReference">
    <w:name w:val="endnote reference"/>
    <w:basedOn w:val="DefaultParagraphFont"/>
    <w:uiPriority w:val="99"/>
    <w:semiHidden/>
    <w:unhideWhenUsed/>
    <w:rsid w:val="00954193"/>
    <w:rPr>
      <w:vertAlign w:val="superscript"/>
    </w:rPr>
  </w:style>
  <w:style w:type="paragraph" w:customStyle="1" w:styleId="TableLabel">
    <w:name w:val="Table Label"/>
    <w:next w:val="BodyText"/>
    <w:link w:val="TableLabelChar"/>
    <w:uiPriority w:val="99"/>
    <w:rsid w:val="00F10C0B"/>
    <w:pPr>
      <w:keepNext/>
      <w:keepLines/>
      <w:tabs>
        <w:tab w:val="left" w:pos="1701"/>
      </w:tabs>
      <w:spacing w:before="120" w:after="120" w:line="240" w:lineRule="auto"/>
      <w:ind w:left="1701" w:hanging="1134"/>
    </w:pPr>
    <w:rPr>
      <w:rFonts w:ascii="Verdana" w:eastAsia="Times New Roman" w:hAnsi="Verdana" w:cs="Times New Roman"/>
      <w:i/>
      <w:sz w:val="20"/>
      <w:szCs w:val="20"/>
    </w:rPr>
  </w:style>
  <w:style w:type="character" w:customStyle="1" w:styleId="TableLabelChar">
    <w:name w:val="Table Label Char"/>
    <w:basedOn w:val="DefaultParagraphFont"/>
    <w:link w:val="TableLabel"/>
    <w:uiPriority w:val="99"/>
    <w:locked/>
    <w:rsid w:val="00F10C0B"/>
    <w:rPr>
      <w:rFonts w:ascii="Verdana" w:eastAsia="Times New Roman" w:hAnsi="Verdana" w:cs="Times New Roman"/>
      <w:i/>
      <w:sz w:val="20"/>
      <w:szCs w:val="20"/>
    </w:rPr>
  </w:style>
  <w:style w:type="paragraph" w:customStyle="1" w:styleId="FigureLabel">
    <w:name w:val="Figure Label"/>
    <w:next w:val="BodyText"/>
    <w:uiPriority w:val="99"/>
    <w:rsid w:val="00F10C0B"/>
    <w:pPr>
      <w:keepNext/>
      <w:keepLines/>
      <w:tabs>
        <w:tab w:val="left" w:pos="1701"/>
      </w:tabs>
      <w:spacing w:before="120" w:after="120" w:line="240" w:lineRule="auto"/>
      <w:ind w:left="1701" w:hanging="1134"/>
    </w:pPr>
    <w:rPr>
      <w:rFonts w:ascii="Verdana" w:eastAsia="Times New Roman" w:hAnsi="Verdana" w:cs="Times New Roman"/>
      <w:i/>
      <w:sz w:val="20"/>
      <w:szCs w:val="20"/>
    </w:rPr>
  </w:style>
  <w:style w:type="paragraph" w:customStyle="1" w:styleId="BodyText-List">
    <w:name w:val="Body Text - List"/>
    <w:link w:val="BodyText-ListChar"/>
    <w:rsid w:val="00F10C0B"/>
    <w:pPr>
      <w:numPr>
        <w:numId w:val="34"/>
      </w:numPr>
      <w:spacing w:after="120" w:line="240" w:lineRule="auto"/>
    </w:pPr>
    <w:rPr>
      <w:rFonts w:ascii="Verdana" w:eastAsia="Times New Roman" w:hAnsi="Verdana" w:cs="Times New Roman"/>
      <w:sz w:val="20"/>
      <w:szCs w:val="24"/>
    </w:rPr>
  </w:style>
  <w:style w:type="character" w:customStyle="1" w:styleId="BodyText-ListChar">
    <w:name w:val="Body Text - List Char"/>
    <w:basedOn w:val="DefaultParagraphFont"/>
    <w:link w:val="BodyText-List"/>
    <w:rsid w:val="00F10C0B"/>
    <w:rPr>
      <w:rFonts w:ascii="Verdana" w:eastAsia="Times New Roman" w:hAnsi="Verdana" w:cs="Times New Roman"/>
      <w:sz w:val="20"/>
      <w:szCs w:val="24"/>
    </w:rPr>
  </w:style>
  <w:style w:type="paragraph" w:styleId="ListBullet">
    <w:name w:val="List Bullet"/>
    <w:basedOn w:val="BodyText"/>
    <w:uiPriority w:val="2"/>
    <w:qFormat/>
    <w:rsid w:val="00290C47"/>
    <w:pPr>
      <w:numPr>
        <w:numId w:val="39"/>
      </w:numPr>
      <w:tabs>
        <w:tab w:val="left" w:pos="397"/>
      </w:tabs>
      <w:spacing w:before="60" w:after="60"/>
      <w:contextualSpacing/>
    </w:pPr>
    <w:rPr>
      <w:sz w:val="20"/>
    </w:rPr>
  </w:style>
  <w:style w:type="paragraph" w:styleId="ListNumber">
    <w:name w:val="List Number"/>
    <w:basedOn w:val="BodyText"/>
    <w:uiPriority w:val="2"/>
    <w:qFormat/>
    <w:rsid w:val="00290C47"/>
    <w:pPr>
      <w:numPr>
        <w:numId w:val="40"/>
      </w:numPr>
      <w:tabs>
        <w:tab w:val="left" w:pos="397"/>
      </w:tabs>
      <w:spacing w:before="60" w:after="60"/>
      <w:ind w:left="397" w:hanging="397"/>
      <w:contextualSpacing/>
    </w:pPr>
    <w:rPr>
      <w:sz w:val="20"/>
    </w:rPr>
  </w:style>
  <w:style w:type="paragraph" w:styleId="ListBullet2">
    <w:name w:val="List Bullet 2"/>
    <w:basedOn w:val="ListBullet"/>
    <w:uiPriority w:val="2"/>
    <w:qFormat/>
    <w:rsid w:val="00290C47"/>
    <w:pPr>
      <w:numPr>
        <w:ilvl w:val="1"/>
      </w:numPr>
      <w:tabs>
        <w:tab w:val="clear" w:pos="397"/>
        <w:tab w:val="left" w:pos="794"/>
      </w:tabs>
      <w:ind w:left="454" w:hanging="227"/>
    </w:pPr>
  </w:style>
  <w:style w:type="numbering" w:customStyle="1" w:styleId="Bullets">
    <w:name w:val="Bullets"/>
    <w:rsid w:val="00290C47"/>
    <w:pPr>
      <w:numPr>
        <w:numId w:val="39"/>
      </w:numPr>
    </w:pPr>
  </w:style>
  <w:style w:type="numbering" w:customStyle="1" w:styleId="Numbers">
    <w:name w:val="Numbers"/>
    <w:rsid w:val="00290C47"/>
    <w:pPr>
      <w:numPr>
        <w:numId w:val="40"/>
      </w:numPr>
    </w:pPr>
  </w:style>
  <w:style w:type="paragraph" w:customStyle="1" w:styleId="Factsheetintroduction">
    <w:name w:val="Factsheet introduction"/>
    <w:next w:val="BodyText"/>
    <w:uiPriority w:val="8"/>
    <w:qFormat/>
    <w:rsid w:val="00290C47"/>
    <w:pPr>
      <w:spacing w:before="240" w:after="360" w:line="240" w:lineRule="auto"/>
    </w:pPr>
    <w:rPr>
      <w:rFonts w:ascii="Calibri" w:eastAsia="Calibri" w:hAnsi="Calibri" w:cs="Arial"/>
      <w:bCs/>
      <w:iCs/>
      <w:color w:val="365F91" w:themeColor="accent1" w:themeShade="BF"/>
      <w:sz w:val="28"/>
      <w:szCs w:val="32"/>
      <w:lang w:eastAsia="en-AU"/>
    </w:rPr>
  </w:style>
  <w:style w:type="paragraph" w:customStyle="1" w:styleId="BackCoverContactHeading">
    <w:name w:val="BackCover ContactHeading"/>
    <w:next w:val="BackCoverContactDetails"/>
    <w:uiPriority w:val="18"/>
    <w:qFormat/>
    <w:rsid w:val="00290C47"/>
    <w:pPr>
      <w:spacing w:before="360" w:after="60" w:line="240" w:lineRule="auto"/>
    </w:pPr>
    <w:rPr>
      <w:rFonts w:ascii="Calibri" w:eastAsia="Calibri" w:hAnsi="Calibri" w:cs="Times New Roman"/>
      <w:caps/>
      <w:sz w:val="18"/>
      <w:szCs w:val="20"/>
      <w:lang w:eastAsia="en-AU"/>
    </w:rPr>
  </w:style>
  <w:style w:type="paragraph" w:customStyle="1" w:styleId="BackCoverContactDetails">
    <w:name w:val="BackCover ContactDetails"/>
    <w:uiPriority w:val="18"/>
    <w:qFormat/>
    <w:rsid w:val="00290C47"/>
    <w:pPr>
      <w:tabs>
        <w:tab w:val="left" w:pos="199"/>
      </w:tabs>
      <w:spacing w:after="0" w:line="240" w:lineRule="auto"/>
    </w:pPr>
    <w:rPr>
      <w:rFonts w:ascii="Calibri" w:eastAsia="Calibri" w:hAnsi="Calibri" w:cs="Times New Roman"/>
      <w:color w:val="EEECE1" w:themeColor="background2"/>
      <w:sz w:val="18"/>
      <w:lang w:eastAsia="en-AU"/>
    </w:rPr>
  </w:style>
  <w:style w:type="character" w:customStyle="1" w:styleId="BackCoverContactBold">
    <w:name w:val="BackCover ContactBold"/>
    <w:basedOn w:val="DefaultParagraphFont"/>
    <w:uiPriority w:val="18"/>
    <w:qFormat/>
    <w:rsid w:val="00290C47"/>
    <w:rPr>
      <w:b/>
    </w:rPr>
  </w:style>
  <w:style w:type="paragraph" w:customStyle="1" w:styleId="Imageplacement">
    <w:name w:val="Image placement"/>
    <w:uiPriority w:val="4"/>
    <w:qFormat/>
    <w:rsid w:val="00290C47"/>
    <w:pPr>
      <w:spacing w:before="360" w:after="0" w:line="240" w:lineRule="auto"/>
      <w:ind w:left="-28"/>
    </w:pPr>
    <w:rPr>
      <w:rFonts w:ascii="Calibri" w:eastAsia="Calibri" w:hAnsi="Calibri" w:cs="Times New Roman"/>
      <w:color w:val="000000"/>
      <w:sz w:val="20"/>
      <w:lang w:eastAsia="en-AU"/>
    </w:rPr>
  </w:style>
  <w:style w:type="character" w:customStyle="1" w:styleId="Heading5Char">
    <w:name w:val="Heading 5 Char"/>
    <w:basedOn w:val="DefaultParagraphFont"/>
    <w:link w:val="Heading5"/>
    <w:uiPriority w:val="9"/>
    <w:rsid w:val="002329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76382"/>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rsid w:val="00343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160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4" w:qFormat="1"/>
    <w:lsdException w:name="List Bullet" w:uiPriority="2" w:qFormat="1"/>
    <w:lsdException w:name="List Number" w:uiPriority="2" w:qFormat="1"/>
    <w:lsdException w:name="List Bullet 2" w:uiPriority="2"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F2"/>
  </w:style>
  <w:style w:type="paragraph" w:styleId="Heading1">
    <w:name w:val="heading 1"/>
    <w:basedOn w:val="Normal"/>
    <w:next w:val="Normal"/>
    <w:link w:val="Heading1Char"/>
    <w:uiPriority w:val="9"/>
    <w:qFormat/>
    <w:rsid w:val="009F5994"/>
    <w:pPr>
      <w:keepNext/>
      <w:keepLines/>
      <w:numPr>
        <w:numId w:val="4"/>
      </w:numPr>
      <w:spacing w:before="480" w:after="0"/>
      <w:outlineLvl w:val="0"/>
    </w:pPr>
    <w:rPr>
      <w:rFonts w:ascii="Candara" w:eastAsiaTheme="majorEastAsia" w:hAnsi="Candara" w:cstheme="majorBidi"/>
      <w:b/>
      <w:bCs/>
      <w:sz w:val="28"/>
      <w:szCs w:val="28"/>
    </w:rPr>
  </w:style>
  <w:style w:type="paragraph" w:styleId="Heading2">
    <w:name w:val="heading 2"/>
    <w:basedOn w:val="Heading1"/>
    <w:next w:val="Normal"/>
    <w:link w:val="Heading2Char"/>
    <w:uiPriority w:val="9"/>
    <w:unhideWhenUsed/>
    <w:qFormat/>
    <w:rsid w:val="001773AA"/>
    <w:pPr>
      <w:numPr>
        <w:ilvl w:val="1"/>
      </w:numPr>
      <w:outlineLvl w:val="1"/>
    </w:pPr>
    <w:rPr>
      <w:sz w:val="24"/>
      <w:szCs w:val="24"/>
    </w:rPr>
  </w:style>
  <w:style w:type="paragraph" w:styleId="Heading3">
    <w:name w:val="heading 3"/>
    <w:basedOn w:val="Heading2"/>
    <w:next w:val="Normal"/>
    <w:link w:val="Heading3Char"/>
    <w:uiPriority w:val="9"/>
    <w:unhideWhenUsed/>
    <w:qFormat/>
    <w:rsid w:val="001773AA"/>
    <w:pPr>
      <w:numPr>
        <w:ilvl w:val="2"/>
      </w:numPr>
      <w:outlineLvl w:val="2"/>
    </w:pPr>
  </w:style>
  <w:style w:type="paragraph" w:styleId="Heading4">
    <w:name w:val="heading 4"/>
    <w:basedOn w:val="Heading3"/>
    <w:next w:val="Normal"/>
    <w:link w:val="Heading4Char"/>
    <w:uiPriority w:val="9"/>
    <w:unhideWhenUsed/>
    <w:qFormat/>
    <w:rsid w:val="009F5994"/>
    <w:pPr>
      <w:outlineLvl w:val="3"/>
    </w:pPr>
  </w:style>
  <w:style w:type="paragraph" w:styleId="Heading5">
    <w:name w:val="heading 5"/>
    <w:basedOn w:val="Normal"/>
    <w:next w:val="Normal"/>
    <w:link w:val="Heading5Char"/>
    <w:uiPriority w:val="9"/>
    <w:unhideWhenUsed/>
    <w:qFormat/>
    <w:rsid w:val="0023297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763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994"/>
    <w:rPr>
      <w:rFonts w:ascii="Candara" w:eastAsiaTheme="majorEastAsia" w:hAnsi="Candara" w:cstheme="majorBidi"/>
      <w:b/>
      <w:bCs/>
      <w:sz w:val="28"/>
      <w:szCs w:val="28"/>
    </w:rPr>
  </w:style>
  <w:style w:type="paragraph" w:styleId="Title">
    <w:name w:val="Title"/>
    <w:basedOn w:val="Normal"/>
    <w:next w:val="Normal"/>
    <w:link w:val="TitleChar"/>
    <w:uiPriority w:val="10"/>
    <w:qFormat/>
    <w:rsid w:val="005709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091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773AA"/>
    <w:rPr>
      <w:rFonts w:ascii="Candara" w:eastAsiaTheme="majorEastAsia" w:hAnsi="Candara" w:cstheme="majorBidi"/>
      <w:b/>
      <w:bCs/>
      <w:sz w:val="24"/>
      <w:szCs w:val="24"/>
    </w:rPr>
  </w:style>
  <w:style w:type="paragraph" w:styleId="TOCHeading">
    <w:name w:val="TOC Heading"/>
    <w:basedOn w:val="Heading1"/>
    <w:next w:val="Normal"/>
    <w:uiPriority w:val="39"/>
    <w:unhideWhenUsed/>
    <w:qFormat/>
    <w:rsid w:val="009958D7"/>
    <w:pPr>
      <w:outlineLvl w:val="9"/>
    </w:pPr>
    <w:rPr>
      <w:lang w:val="en-US" w:eastAsia="ja-JP"/>
    </w:rPr>
  </w:style>
  <w:style w:type="paragraph" w:styleId="TOC1">
    <w:name w:val="toc 1"/>
    <w:basedOn w:val="Normal"/>
    <w:next w:val="Normal"/>
    <w:autoRedefine/>
    <w:uiPriority w:val="39"/>
    <w:unhideWhenUsed/>
    <w:rsid w:val="009958D7"/>
    <w:pPr>
      <w:spacing w:after="100"/>
    </w:pPr>
  </w:style>
  <w:style w:type="paragraph" w:styleId="TOC2">
    <w:name w:val="toc 2"/>
    <w:basedOn w:val="Normal"/>
    <w:next w:val="Normal"/>
    <w:autoRedefine/>
    <w:uiPriority w:val="39"/>
    <w:unhideWhenUsed/>
    <w:rsid w:val="009958D7"/>
    <w:pPr>
      <w:spacing w:after="100"/>
      <w:ind w:left="220"/>
    </w:pPr>
  </w:style>
  <w:style w:type="character" w:styleId="Hyperlink">
    <w:name w:val="Hyperlink"/>
    <w:basedOn w:val="DefaultParagraphFont"/>
    <w:uiPriority w:val="99"/>
    <w:unhideWhenUsed/>
    <w:rsid w:val="009958D7"/>
    <w:rPr>
      <w:color w:val="0000FF" w:themeColor="hyperlink"/>
      <w:u w:val="single"/>
    </w:rPr>
  </w:style>
  <w:style w:type="paragraph" w:styleId="BalloonText">
    <w:name w:val="Balloon Text"/>
    <w:basedOn w:val="Normal"/>
    <w:link w:val="BalloonTextChar"/>
    <w:uiPriority w:val="99"/>
    <w:semiHidden/>
    <w:unhideWhenUsed/>
    <w:rsid w:val="0099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D7"/>
    <w:rPr>
      <w:rFonts w:ascii="Tahoma" w:hAnsi="Tahoma" w:cs="Tahoma"/>
      <w:sz w:val="16"/>
      <w:szCs w:val="16"/>
    </w:rPr>
  </w:style>
  <w:style w:type="paragraph" w:styleId="Header">
    <w:name w:val="header"/>
    <w:basedOn w:val="Normal"/>
    <w:link w:val="HeaderChar"/>
    <w:uiPriority w:val="99"/>
    <w:unhideWhenUsed/>
    <w:rsid w:val="00B25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389"/>
  </w:style>
  <w:style w:type="paragraph" w:styleId="Footer">
    <w:name w:val="footer"/>
    <w:basedOn w:val="Normal"/>
    <w:link w:val="FooterChar"/>
    <w:uiPriority w:val="99"/>
    <w:unhideWhenUsed/>
    <w:qFormat/>
    <w:rsid w:val="00B253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389"/>
  </w:style>
  <w:style w:type="paragraph" w:styleId="ListParagraph">
    <w:name w:val="List Paragraph"/>
    <w:basedOn w:val="Normal"/>
    <w:uiPriority w:val="34"/>
    <w:qFormat/>
    <w:rsid w:val="00A1215F"/>
    <w:pPr>
      <w:ind w:left="720"/>
      <w:contextualSpacing/>
    </w:pPr>
  </w:style>
  <w:style w:type="paragraph" w:styleId="FootnoteText">
    <w:name w:val="footnote text"/>
    <w:basedOn w:val="Normal"/>
    <w:link w:val="FootnoteTextChar"/>
    <w:uiPriority w:val="99"/>
    <w:unhideWhenUsed/>
    <w:rsid w:val="00237B4F"/>
    <w:pPr>
      <w:spacing w:after="0" w:line="240" w:lineRule="auto"/>
    </w:pPr>
    <w:rPr>
      <w:sz w:val="20"/>
      <w:szCs w:val="20"/>
    </w:rPr>
  </w:style>
  <w:style w:type="character" w:customStyle="1" w:styleId="FootnoteTextChar">
    <w:name w:val="Footnote Text Char"/>
    <w:basedOn w:val="DefaultParagraphFont"/>
    <w:link w:val="FootnoteText"/>
    <w:uiPriority w:val="99"/>
    <w:rsid w:val="00237B4F"/>
    <w:rPr>
      <w:sz w:val="20"/>
      <w:szCs w:val="20"/>
    </w:rPr>
  </w:style>
  <w:style w:type="character" w:styleId="FootnoteReference">
    <w:name w:val="footnote reference"/>
    <w:basedOn w:val="DefaultParagraphFont"/>
    <w:uiPriority w:val="99"/>
    <w:semiHidden/>
    <w:unhideWhenUsed/>
    <w:rsid w:val="00237B4F"/>
    <w:rPr>
      <w:vertAlign w:val="superscript"/>
    </w:rPr>
  </w:style>
  <w:style w:type="character" w:customStyle="1" w:styleId="Heading3Char">
    <w:name w:val="Heading 3 Char"/>
    <w:basedOn w:val="DefaultParagraphFont"/>
    <w:link w:val="Heading3"/>
    <w:uiPriority w:val="9"/>
    <w:rsid w:val="001773AA"/>
    <w:rPr>
      <w:rFonts w:ascii="Candara" w:eastAsiaTheme="majorEastAsia" w:hAnsi="Candara" w:cstheme="majorBidi"/>
      <w:b/>
      <w:bCs/>
      <w:sz w:val="24"/>
      <w:szCs w:val="24"/>
    </w:rPr>
  </w:style>
  <w:style w:type="character" w:customStyle="1" w:styleId="Heading4Char">
    <w:name w:val="Heading 4 Char"/>
    <w:basedOn w:val="DefaultParagraphFont"/>
    <w:link w:val="Heading4"/>
    <w:uiPriority w:val="9"/>
    <w:rsid w:val="009F5994"/>
    <w:rPr>
      <w:rFonts w:ascii="Candara" w:eastAsiaTheme="majorEastAsia" w:hAnsi="Candara" w:cstheme="majorBidi"/>
      <w:b/>
      <w:bCs/>
      <w:sz w:val="24"/>
      <w:szCs w:val="24"/>
    </w:rPr>
  </w:style>
  <w:style w:type="paragraph" w:styleId="TOC3">
    <w:name w:val="toc 3"/>
    <w:basedOn w:val="Normal"/>
    <w:next w:val="Normal"/>
    <w:autoRedefine/>
    <w:uiPriority w:val="39"/>
    <w:unhideWhenUsed/>
    <w:rsid w:val="00794855"/>
    <w:pPr>
      <w:spacing w:after="100"/>
      <w:ind w:left="440"/>
    </w:pPr>
  </w:style>
  <w:style w:type="table" w:styleId="TableGrid">
    <w:name w:val="Table Grid"/>
    <w:basedOn w:val="TableNormal"/>
    <w:uiPriority w:val="59"/>
    <w:rsid w:val="00886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5877"/>
    <w:rPr>
      <w:sz w:val="16"/>
      <w:szCs w:val="16"/>
    </w:rPr>
  </w:style>
  <w:style w:type="paragraph" w:styleId="CommentText">
    <w:name w:val="annotation text"/>
    <w:basedOn w:val="Normal"/>
    <w:link w:val="CommentTextChar"/>
    <w:uiPriority w:val="99"/>
    <w:semiHidden/>
    <w:unhideWhenUsed/>
    <w:rsid w:val="000E5877"/>
    <w:pPr>
      <w:spacing w:line="240" w:lineRule="auto"/>
    </w:pPr>
    <w:rPr>
      <w:sz w:val="20"/>
      <w:szCs w:val="20"/>
    </w:rPr>
  </w:style>
  <w:style w:type="character" w:customStyle="1" w:styleId="CommentTextChar">
    <w:name w:val="Comment Text Char"/>
    <w:basedOn w:val="DefaultParagraphFont"/>
    <w:link w:val="CommentText"/>
    <w:uiPriority w:val="99"/>
    <w:semiHidden/>
    <w:rsid w:val="000E5877"/>
    <w:rPr>
      <w:sz w:val="20"/>
      <w:szCs w:val="20"/>
    </w:rPr>
  </w:style>
  <w:style w:type="paragraph" w:styleId="CommentSubject">
    <w:name w:val="annotation subject"/>
    <w:basedOn w:val="CommentText"/>
    <w:next w:val="CommentText"/>
    <w:link w:val="CommentSubjectChar"/>
    <w:uiPriority w:val="99"/>
    <w:semiHidden/>
    <w:unhideWhenUsed/>
    <w:rsid w:val="000E5877"/>
    <w:rPr>
      <w:b/>
      <w:bCs/>
    </w:rPr>
  </w:style>
  <w:style w:type="character" w:customStyle="1" w:styleId="CommentSubjectChar">
    <w:name w:val="Comment Subject Char"/>
    <w:basedOn w:val="CommentTextChar"/>
    <w:link w:val="CommentSubject"/>
    <w:uiPriority w:val="99"/>
    <w:semiHidden/>
    <w:rsid w:val="000E5877"/>
    <w:rPr>
      <w:b/>
      <w:bCs/>
      <w:sz w:val="20"/>
      <w:szCs w:val="20"/>
    </w:rPr>
  </w:style>
  <w:style w:type="paragraph" w:customStyle="1" w:styleId="BusinessUnitName">
    <w:name w:val="Business Unit Name"/>
    <w:rsid w:val="000371F0"/>
    <w:pPr>
      <w:spacing w:after="0" w:line="240" w:lineRule="auto"/>
    </w:pPr>
    <w:rPr>
      <w:rFonts w:ascii="Calibri" w:eastAsia="Times New Roman" w:hAnsi="Calibri" w:cs="Times New Roman"/>
      <w:b/>
      <w:caps/>
      <w:noProof/>
      <w:color w:val="FFFFFF"/>
      <w:spacing w:val="16"/>
      <w:szCs w:val="24"/>
    </w:rPr>
  </w:style>
  <w:style w:type="paragraph" w:styleId="Caption">
    <w:name w:val="caption"/>
    <w:basedOn w:val="BodyText"/>
    <w:next w:val="BodyText"/>
    <w:uiPriority w:val="4"/>
    <w:qFormat/>
    <w:rsid w:val="000371F0"/>
    <w:pPr>
      <w:keepNext/>
      <w:spacing w:before="180" w:after="180"/>
      <w:contextualSpacing/>
    </w:pPr>
    <w:rPr>
      <w:b/>
      <w:bCs/>
      <w:color w:val="365F91" w:themeColor="accent1" w:themeShade="BF"/>
      <w:sz w:val="20"/>
      <w:szCs w:val="18"/>
    </w:rPr>
  </w:style>
  <w:style w:type="paragraph" w:styleId="BodyText">
    <w:name w:val="Body Text"/>
    <w:link w:val="BodyTextChar"/>
    <w:qFormat/>
    <w:rsid w:val="000371F0"/>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0371F0"/>
    <w:rPr>
      <w:rFonts w:ascii="Calibri" w:eastAsia="Calibri" w:hAnsi="Calibri" w:cs="Times New Roman"/>
      <w:color w:val="000000"/>
      <w:sz w:val="24"/>
      <w:lang w:eastAsia="en-AU"/>
    </w:rPr>
  </w:style>
  <w:style w:type="character" w:customStyle="1" w:styleId="apple-converted-space">
    <w:name w:val="apple-converted-space"/>
    <w:basedOn w:val="DefaultParagraphFont"/>
    <w:rsid w:val="000371F0"/>
  </w:style>
  <w:style w:type="character" w:styleId="HTMLCite">
    <w:name w:val="HTML Cite"/>
    <w:basedOn w:val="DefaultParagraphFont"/>
    <w:uiPriority w:val="99"/>
    <w:semiHidden/>
    <w:unhideWhenUsed/>
    <w:rsid w:val="000371F0"/>
    <w:rPr>
      <w:i/>
      <w:iCs/>
    </w:rPr>
  </w:style>
  <w:style w:type="paragraph" w:styleId="EndnoteText">
    <w:name w:val="endnote text"/>
    <w:basedOn w:val="Normal"/>
    <w:link w:val="EndnoteTextChar"/>
    <w:uiPriority w:val="99"/>
    <w:semiHidden/>
    <w:unhideWhenUsed/>
    <w:rsid w:val="009541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4193"/>
    <w:rPr>
      <w:sz w:val="20"/>
      <w:szCs w:val="20"/>
    </w:rPr>
  </w:style>
  <w:style w:type="character" w:styleId="EndnoteReference">
    <w:name w:val="endnote reference"/>
    <w:basedOn w:val="DefaultParagraphFont"/>
    <w:uiPriority w:val="99"/>
    <w:semiHidden/>
    <w:unhideWhenUsed/>
    <w:rsid w:val="00954193"/>
    <w:rPr>
      <w:vertAlign w:val="superscript"/>
    </w:rPr>
  </w:style>
  <w:style w:type="paragraph" w:customStyle="1" w:styleId="TableLabel">
    <w:name w:val="Table Label"/>
    <w:next w:val="BodyText"/>
    <w:link w:val="TableLabelChar"/>
    <w:uiPriority w:val="99"/>
    <w:rsid w:val="00F10C0B"/>
    <w:pPr>
      <w:keepNext/>
      <w:keepLines/>
      <w:tabs>
        <w:tab w:val="left" w:pos="1701"/>
      </w:tabs>
      <w:spacing w:before="120" w:after="120" w:line="240" w:lineRule="auto"/>
      <w:ind w:left="1701" w:hanging="1134"/>
    </w:pPr>
    <w:rPr>
      <w:rFonts w:ascii="Verdana" w:eastAsia="Times New Roman" w:hAnsi="Verdana" w:cs="Times New Roman"/>
      <w:i/>
      <w:sz w:val="20"/>
      <w:szCs w:val="20"/>
    </w:rPr>
  </w:style>
  <w:style w:type="character" w:customStyle="1" w:styleId="TableLabelChar">
    <w:name w:val="Table Label Char"/>
    <w:basedOn w:val="DefaultParagraphFont"/>
    <w:link w:val="TableLabel"/>
    <w:uiPriority w:val="99"/>
    <w:locked/>
    <w:rsid w:val="00F10C0B"/>
    <w:rPr>
      <w:rFonts w:ascii="Verdana" w:eastAsia="Times New Roman" w:hAnsi="Verdana" w:cs="Times New Roman"/>
      <w:i/>
      <w:sz w:val="20"/>
      <w:szCs w:val="20"/>
    </w:rPr>
  </w:style>
  <w:style w:type="paragraph" w:customStyle="1" w:styleId="FigureLabel">
    <w:name w:val="Figure Label"/>
    <w:next w:val="BodyText"/>
    <w:uiPriority w:val="99"/>
    <w:rsid w:val="00F10C0B"/>
    <w:pPr>
      <w:keepNext/>
      <w:keepLines/>
      <w:tabs>
        <w:tab w:val="left" w:pos="1701"/>
      </w:tabs>
      <w:spacing w:before="120" w:after="120" w:line="240" w:lineRule="auto"/>
      <w:ind w:left="1701" w:hanging="1134"/>
    </w:pPr>
    <w:rPr>
      <w:rFonts w:ascii="Verdana" w:eastAsia="Times New Roman" w:hAnsi="Verdana" w:cs="Times New Roman"/>
      <w:i/>
      <w:sz w:val="20"/>
      <w:szCs w:val="20"/>
    </w:rPr>
  </w:style>
  <w:style w:type="paragraph" w:customStyle="1" w:styleId="BodyText-List">
    <w:name w:val="Body Text - List"/>
    <w:link w:val="BodyText-ListChar"/>
    <w:rsid w:val="00F10C0B"/>
    <w:pPr>
      <w:numPr>
        <w:numId w:val="34"/>
      </w:numPr>
      <w:spacing w:after="120" w:line="240" w:lineRule="auto"/>
    </w:pPr>
    <w:rPr>
      <w:rFonts w:ascii="Verdana" w:eastAsia="Times New Roman" w:hAnsi="Verdana" w:cs="Times New Roman"/>
      <w:sz w:val="20"/>
      <w:szCs w:val="24"/>
    </w:rPr>
  </w:style>
  <w:style w:type="character" w:customStyle="1" w:styleId="BodyText-ListChar">
    <w:name w:val="Body Text - List Char"/>
    <w:basedOn w:val="DefaultParagraphFont"/>
    <w:link w:val="BodyText-List"/>
    <w:rsid w:val="00F10C0B"/>
    <w:rPr>
      <w:rFonts w:ascii="Verdana" w:eastAsia="Times New Roman" w:hAnsi="Verdana" w:cs="Times New Roman"/>
      <w:sz w:val="20"/>
      <w:szCs w:val="24"/>
    </w:rPr>
  </w:style>
  <w:style w:type="paragraph" w:styleId="ListBullet">
    <w:name w:val="List Bullet"/>
    <w:basedOn w:val="BodyText"/>
    <w:uiPriority w:val="2"/>
    <w:qFormat/>
    <w:rsid w:val="00290C47"/>
    <w:pPr>
      <w:numPr>
        <w:numId w:val="39"/>
      </w:numPr>
      <w:tabs>
        <w:tab w:val="left" w:pos="397"/>
      </w:tabs>
      <w:spacing w:before="60" w:after="60"/>
      <w:contextualSpacing/>
    </w:pPr>
    <w:rPr>
      <w:sz w:val="20"/>
    </w:rPr>
  </w:style>
  <w:style w:type="paragraph" w:styleId="ListNumber">
    <w:name w:val="List Number"/>
    <w:basedOn w:val="BodyText"/>
    <w:uiPriority w:val="2"/>
    <w:qFormat/>
    <w:rsid w:val="00290C47"/>
    <w:pPr>
      <w:numPr>
        <w:numId w:val="40"/>
      </w:numPr>
      <w:tabs>
        <w:tab w:val="left" w:pos="397"/>
      </w:tabs>
      <w:spacing w:before="60" w:after="60"/>
      <w:ind w:left="397" w:hanging="397"/>
      <w:contextualSpacing/>
    </w:pPr>
    <w:rPr>
      <w:sz w:val="20"/>
    </w:rPr>
  </w:style>
  <w:style w:type="paragraph" w:styleId="ListBullet2">
    <w:name w:val="List Bullet 2"/>
    <w:basedOn w:val="ListBullet"/>
    <w:uiPriority w:val="2"/>
    <w:qFormat/>
    <w:rsid w:val="00290C47"/>
    <w:pPr>
      <w:numPr>
        <w:ilvl w:val="1"/>
      </w:numPr>
      <w:tabs>
        <w:tab w:val="clear" w:pos="397"/>
        <w:tab w:val="left" w:pos="794"/>
      </w:tabs>
      <w:ind w:left="454" w:hanging="227"/>
    </w:pPr>
  </w:style>
  <w:style w:type="numbering" w:customStyle="1" w:styleId="Bullets">
    <w:name w:val="Bullets"/>
    <w:rsid w:val="00290C47"/>
    <w:pPr>
      <w:numPr>
        <w:numId w:val="39"/>
      </w:numPr>
    </w:pPr>
  </w:style>
  <w:style w:type="numbering" w:customStyle="1" w:styleId="Numbers">
    <w:name w:val="Numbers"/>
    <w:rsid w:val="00290C47"/>
    <w:pPr>
      <w:numPr>
        <w:numId w:val="40"/>
      </w:numPr>
    </w:pPr>
  </w:style>
  <w:style w:type="paragraph" w:customStyle="1" w:styleId="Factsheetintroduction">
    <w:name w:val="Factsheet introduction"/>
    <w:next w:val="BodyText"/>
    <w:uiPriority w:val="8"/>
    <w:qFormat/>
    <w:rsid w:val="00290C47"/>
    <w:pPr>
      <w:spacing w:before="240" w:after="360" w:line="240" w:lineRule="auto"/>
    </w:pPr>
    <w:rPr>
      <w:rFonts w:ascii="Calibri" w:eastAsia="Calibri" w:hAnsi="Calibri" w:cs="Arial"/>
      <w:bCs/>
      <w:iCs/>
      <w:color w:val="365F91" w:themeColor="accent1" w:themeShade="BF"/>
      <w:sz w:val="28"/>
      <w:szCs w:val="32"/>
      <w:lang w:eastAsia="en-AU"/>
    </w:rPr>
  </w:style>
  <w:style w:type="paragraph" w:customStyle="1" w:styleId="BackCoverContactHeading">
    <w:name w:val="BackCover ContactHeading"/>
    <w:next w:val="BackCoverContactDetails"/>
    <w:uiPriority w:val="18"/>
    <w:qFormat/>
    <w:rsid w:val="00290C47"/>
    <w:pPr>
      <w:spacing w:before="360" w:after="60" w:line="240" w:lineRule="auto"/>
    </w:pPr>
    <w:rPr>
      <w:rFonts w:ascii="Calibri" w:eastAsia="Calibri" w:hAnsi="Calibri" w:cs="Times New Roman"/>
      <w:caps/>
      <w:sz w:val="18"/>
      <w:szCs w:val="20"/>
      <w:lang w:eastAsia="en-AU"/>
    </w:rPr>
  </w:style>
  <w:style w:type="paragraph" w:customStyle="1" w:styleId="BackCoverContactDetails">
    <w:name w:val="BackCover ContactDetails"/>
    <w:uiPriority w:val="18"/>
    <w:qFormat/>
    <w:rsid w:val="00290C47"/>
    <w:pPr>
      <w:tabs>
        <w:tab w:val="left" w:pos="199"/>
      </w:tabs>
      <w:spacing w:after="0" w:line="240" w:lineRule="auto"/>
    </w:pPr>
    <w:rPr>
      <w:rFonts w:ascii="Calibri" w:eastAsia="Calibri" w:hAnsi="Calibri" w:cs="Times New Roman"/>
      <w:color w:val="EEECE1" w:themeColor="background2"/>
      <w:sz w:val="18"/>
      <w:lang w:eastAsia="en-AU"/>
    </w:rPr>
  </w:style>
  <w:style w:type="character" w:customStyle="1" w:styleId="BackCoverContactBold">
    <w:name w:val="BackCover ContactBold"/>
    <w:basedOn w:val="DefaultParagraphFont"/>
    <w:uiPriority w:val="18"/>
    <w:qFormat/>
    <w:rsid w:val="00290C47"/>
    <w:rPr>
      <w:b/>
    </w:rPr>
  </w:style>
  <w:style w:type="paragraph" w:customStyle="1" w:styleId="Imageplacement">
    <w:name w:val="Image placement"/>
    <w:uiPriority w:val="4"/>
    <w:qFormat/>
    <w:rsid w:val="00290C47"/>
    <w:pPr>
      <w:spacing w:before="360" w:after="0" w:line="240" w:lineRule="auto"/>
      <w:ind w:left="-28"/>
    </w:pPr>
    <w:rPr>
      <w:rFonts w:ascii="Calibri" w:eastAsia="Calibri" w:hAnsi="Calibri" w:cs="Times New Roman"/>
      <w:color w:val="000000"/>
      <w:sz w:val="20"/>
      <w:lang w:eastAsia="en-AU"/>
    </w:rPr>
  </w:style>
  <w:style w:type="character" w:customStyle="1" w:styleId="Heading5Char">
    <w:name w:val="Heading 5 Char"/>
    <w:basedOn w:val="DefaultParagraphFont"/>
    <w:link w:val="Heading5"/>
    <w:uiPriority w:val="9"/>
    <w:rsid w:val="0023297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76382"/>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rsid w:val="00343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160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4130">
      <w:bodyDiv w:val="1"/>
      <w:marLeft w:val="0"/>
      <w:marRight w:val="0"/>
      <w:marTop w:val="0"/>
      <w:marBottom w:val="0"/>
      <w:divBdr>
        <w:top w:val="none" w:sz="0" w:space="0" w:color="auto"/>
        <w:left w:val="none" w:sz="0" w:space="0" w:color="auto"/>
        <w:bottom w:val="none" w:sz="0" w:space="0" w:color="auto"/>
        <w:right w:val="none" w:sz="0" w:space="0" w:color="auto"/>
      </w:divBdr>
    </w:div>
    <w:div w:id="603193999">
      <w:bodyDiv w:val="1"/>
      <w:marLeft w:val="0"/>
      <w:marRight w:val="0"/>
      <w:marTop w:val="0"/>
      <w:marBottom w:val="0"/>
      <w:divBdr>
        <w:top w:val="none" w:sz="0" w:space="0" w:color="auto"/>
        <w:left w:val="none" w:sz="0" w:space="0" w:color="auto"/>
        <w:bottom w:val="none" w:sz="0" w:space="0" w:color="auto"/>
        <w:right w:val="none" w:sz="0" w:space="0" w:color="auto"/>
      </w:divBdr>
    </w:div>
    <w:div w:id="936593430">
      <w:bodyDiv w:val="1"/>
      <w:marLeft w:val="0"/>
      <w:marRight w:val="0"/>
      <w:marTop w:val="0"/>
      <w:marBottom w:val="0"/>
      <w:divBdr>
        <w:top w:val="none" w:sz="0" w:space="0" w:color="auto"/>
        <w:left w:val="none" w:sz="0" w:space="0" w:color="auto"/>
        <w:bottom w:val="none" w:sz="0" w:space="0" w:color="auto"/>
        <w:right w:val="none" w:sz="0" w:space="0" w:color="auto"/>
      </w:divBdr>
    </w:div>
    <w:div w:id="968246886">
      <w:bodyDiv w:val="1"/>
      <w:marLeft w:val="0"/>
      <w:marRight w:val="0"/>
      <w:marTop w:val="0"/>
      <w:marBottom w:val="0"/>
      <w:divBdr>
        <w:top w:val="none" w:sz="0" w:space="0" w:color="auto"/>
        <w:left w:val="none" w:sz="0" w:space="0" w:color="auto"/>
        <w:bottom w:val="none" w:sz="0" w:space="0" w:color="auto"/>
        <w:right w:val="none" w:sz="0" w:space="0" w:color="auto"/>
      </w:divBdr>
    </w:div>
    <w:div w:id="1023171697">
      <w:bodyDiv w:val="1"/>
      <w:marLeft w:val="0"/>
      <w:marRight w:val="0"/>
      <w:marTop w:val="0"/>
      <w:marBottom w:val="0"/>
      <w:divBdr>
        <w:top w:val="none" w:sz="0" w:space="0" w:color="auto"/>
        <w:left w:val="none" w:sz="0" w:space="0" w:color="auto"/>
        <w:bottom w:val="none" w:sz="0" w:space="0" w:color="auto"/>
        <w:right w:val="none" w:sz="0" w:space="0" w:color="auto"/>
      </w:divBdr>
    </w:div>
    <w:div w:id="1147667553">
      <w:bodyDiv w:val="1"/>
      <w:marLeft w:val="0"/>
      <w:marRight w:val="0"/>
      <w:marTop w:val="0"/>
      <w:marBottom w:val="0"/>
      <w:divBdr>
        <w:top w:val="none" w:sz="0" w:space="0" w:color="auto"/>
        <w:left w:val="none" w:sz="0" w:space="0" w:color="auto"/>
        <w:bottom w:val="none" w:sz="0" w:space="0" w:color="auto"/>
        <w:right w:val="none" w:sz="0" w:space="0" w:color="auto"/>
      </w:divBdr>
    </w:div>
    <w:div w:id="1200125838">
      <w:bodyDiv w:val="1"/>
      <w:marLeft w:val="0"/>
      <w:marRight w:val="0"/>
      <w:marTop w:val="0"/>
      <w:marBottom w:val="0"/>
      <w:divBdr>
        <w:top w:val="none" w:sz="0" w:space="0" w:color="auto"/>
        <w:left w:val="none" w:sz="0" w:space="0" w:color="auto"/>
        <w:bottom w:val="none" w:sz="0" w:space="0" w:color="auto"/>
        <w:right w:val="none" w:sz="0" w:space="0" w:color="auto"/>
      </w:divBdr>
    </w:div>
    <w:div w:id="1925138644">
      <w:bodyDiv w:val="1"/>
      <w:marLeft w:val="0"/>
      <w:marRight w:val="0"/>
      <w:marTop w:val="0"/>
      <w:marBottom w:val="0"/>
      <w:divBdr>
        <w:top w:val="none" w:sz="0" w:space="0" w:color="auto"/>
        <w:left w:val="none" w:sz="0" w:space="0" w:color="auto"/>
        <w:bottom w:val="none" w:sz="0" w:space="0" w:color="auto"/>
        <w:right w:val="none" w:sz="0" w:space="0" w:color="auto"/>
      </w:divBdr>
    </w:div>
    <w:div w:id="195501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image" Target="media/image7.emf"/><Relationship Id="rId34" Type="http://schemas.openxmlformats.org/officeDocument/2006/relationships/header" Target="header8.xml"/><Relationship Id="rId42" Type="http://schemas.openxmlformats.org/officeDocument/2006/relationships/image" Target="media/image20.jpe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image" Target="media/image27.png"/><Relationship Id="rId63" Type="http://schemas.openxmlformats.org/officeDocument/2006/relationships/image" Target="media/image35.emf"/><Relationship Id="rId68" Type="http://schemas.openxmlformats.org/officeDocument/2006/relationships/footer" Target="footer7.xml"/><Relationship Id="rId76" Type="http://schemas.openxmlformats.org/officeDocument/2006/relationships/header" Target="header19.xml"/><Relationship Id="rId84" Type="http://schemas.openxmlformats.org/officeDocument/2006/relationships/header" Target="header20.xml"/><Relationship Id="rId89"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image" Target="media/image25.emf"/><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image" Target="media/image36.emf"/><Relationship Id="rId87" Type="http://schemas.openxmlformats.org/officeDocument/2006/relationships/footer" Target="footer10.xml"/><Relationship Id="rId5" Type="http://schemas.openxmlformats.org/officeDocument/2006/relationships/settings" Target="settings.xml"/><Relationship Id="rId82" Type="http://schemas.openxmlformats.org/officeDocument/2006/relationships/image" Target="media/image39.emf"/><Relationship Id="rId90" Type="http://schemas.openxmlformats.org/officeDocument/2006/relationships/header" Target="header23.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image" Target="media/image20.emf"/><Relationship Id="rId48" Type="http://schemas.openxmlformats.org/officeDocument/2006/relationships/header" Target="header12.xml"/><Relationship Id="rId56" Type="http://schemas.openxmlformats.org/officeDocument/2006/relationships/image" Target="media/image28.emf"/><Relationship Id="rId64" Type="http://schemas.openxmlformats.org/officeDocument/2006/relationships/image" Target="media/image29.emf"/><Relationship Id="rId69" Type="http://schemas.openxmlformats.org/officeDocument/2006/relationships/header" Target="header16.xml"/><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footer" Target="footer6.xml"/><Relationship Id="rId72" Type="http://schemas.openxmlformats.org/officeDocument/2006/relationships/image" Target="media/image35.png"/><Relationship Id="rId80" Type="http://schemas.openxmlformats.org/officeDocument/2006/relationships/image" Target="media/image37.emf"/><Relationship Id="rId85" Type="http://schemas.openxmlformats.org/officeDocument/2006/relationships/header" Target="header21.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image" Target="media/image23.emf"/><Relationship Id="rId67" Type="http://schemas.openxmlformats.org/officeDocument/2006/relationships/header" Target="header15.xml"/><Relationship Id="rId20" Type="http://schemas.openxmlformats.org/officeDocument/2006/relationships/image" Target="media/image6.emf"/><Relationship Id="rId41" Type="http://schemas.openxmlformats.org/officeDocument/2006/relationships/image" Target="media/image19.jpeg"/><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image" Target="media/image31.emf"/><Relationship Id="rId75" Type="http://schemas.openxmlformats.org/officeDocument/2006/relationships/footer" Target="footer8.xml"/><Relationship Id="rId83" Type="http://schemas.openxmlformats.org/officeDocument/2006/relationships/image" Target="media/image40.emf"/><Relationship Id="rId88" Type="http://schemas.openxmlformats.org/officeDocument/2006/relationships/header" Target="header2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11.jpeg"/><Relationship Id="rId36" Type="http://schemas.openxmlformats.org/officeDocument/2006/relationships/header" Target="header9.xml"/><Relationship Id="rId49"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1.emf"/><Relationship Id="rId52" Type="http://schemas.openxmlformats.org/officeDocument/2006/relationships/image" Target="media/image24.emf"/><Relationship Id="rId65" Type="http://schemas.openxmlformats.org/officeDocument/2006/relationships/image" Target="media/image30.jpeg"/><Relationship Id="rId73" Type="http://schemas.openxmlformats.org/officeDocument/2006/relationships/header" Target="header17.xml"/><Relationship Id="rId78" Type="http://schemas.openxmlformats.org/officeDocument/2006/relationships/image" Target="media/image34.emf"/><Relationship Id="rId81" Type="http://schemas.openxmlformats.org/officeDocument/2006/relationships/image" Target="media/image38.emf"/><Relationship Id="rId86"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www.cfa.vic.gov.au/plan-prepare/powerline-vegetation-clearance/" TargetMode="External"/><Relationship Id="rId3" Type="http://schemas.openxmlformats.org/officeDocument/2006/relationships/hyperlink" Target="http://www.energyandresources.vic.gov.au/energy/about/legislation-and-regulation/f-factor-scheme/citipower-powercor" TargetMode="External"/><Relationship Id="rId7" Type="http://schemas.openxmlformats.org/officeDocument/2006/relationships/hyperlink" Target="http://www.energyandresources.vic.gov.au/energy/safety-and-emergencies/powerline-bushfire-safety-program/r-and-d/rapid-earth-fault-current-limiter" TargetMode="External"/><Relationship Id="rId2" Type="http://schemas.openxmlformats.org/officeDocument/2006/relationships/hyperlink" Target="http://www.energyandresources.vic.gov.au/energy/safety-and-emergencies/powerline-bushfire-safety-program/r-and-d/rapid-earth-fault-current-limiter" TargetMode="External"/><Relationship Id="rId1" Type="http://schemas.openxmlformats.org/officeDocument/2006/relationships/hyperlink" Target="https://www.aer.gov.au/networks-pipelines/network-performance/victorian-electricity-distribution-businesses%E2%80%99-public-fire-start-reports-2015" TargetMode="External"/><Relationship Id="rId6" Type="http://schemas.openxmlformats.org/officeDocument/2006/relationships/hyperlink" Target="http://www.energyandresources.vic.gov.au/energy/safety-and-emergencies/powerline-bushfire-safety-program/r-and-d/rapid-earth-fault-current-limiter" TargetMode="External"/><Relationship Id="rId5" Type="http://schemas.openxmlformats.org/officeDocument/2006/relationships/hyperlink" Target="http://www.energyandresources.vic.gov.au/energy/about/legislation-and-regulation/f-factor-scheme/jemena" TargetMode="External"/><Relationship Id="rId10" Type="http://schemas.openxmlformats.org/officeDocument/2006/relationships/hyperlink" Target="https://en.wikipedia.org/wiki/Biometrika" TargetMode="External"/><Relationship Id="rId4" Type="http://schemas.openxmlformats.org/officeDocument/2006/relationships/hyperlink" Target="http://www.energyandresources.vic.gov.au/energy/about/legislation-and-regulation/f-factor-scheme/united-energy" TargetMode="External"/><Relationship Id="rId9" Type="http://schemas.openxmlformats.org/officeDocument/2006/relationships/hyperlink" Target="https://en.wikipedia.org/wiki/Bradley_Efro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internal.vic.gov.au\DSDBI\HomeDirs1\GoldenJ01\TRIM\Offline\Offline%20Records%20(IP)\F-factor%20-%20Regulatory%20Impact%20Statement%20(RIS)%20-%20POLICY%20DEVELOPMENT%20-%20INDUSTRY%20REGULATION\PBSP%20-%20f-factor%20-%20data%20in%20support%20of%20RI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Victorian</a:t>
            </a:r>
            <a:r>
              <a:rPr lang="en-AU" sz="1200" baseline="0"/>
              <a:t> Distribution Businesses:</a:t>
            </a:r>
          </a:p>
          <a:p>
            <a:pPr>
              <a:defRPr/>
            </a:pPr>
            <a:r>
              <a:rPr lang="en-AU" sz="1200" baseline="0"/>
              <a:t>Breakdown of Annual Revenue</a:t>
            </a:r>
            <a:endParaRPr lang="en-AU" sz="1200"/>
          </a:p>
        </c:rich>
      </c:tx>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'capex v opex'!$A$2:$A$4</c:f>
              <c:strCache>
                <c:ptCount val="3"/>
                <c:pt idx="0">
                  <c:v>operating expenditure</c:v>
                </c:pt>
                <c:pt idx="1">
                  <c:v>capital expenditure</c:v>
                </c:pt>
                <c:pt idx="2">
                  <c:v>other</c:v>
                </c:pt>
              </c:strCache>
            </c:strRef>
          </c:cat>
          <c:val>
            <c:numRef>
              <c:f>'capex v opex'!$B$2:$B$4</c:f>
              <c:numCache>
                <c:formatCode>0%</c:formatCode>
                <c:ptCount val="3"/>
                <c:pt idx="0">
                  <c:v>0.33</c:v>
                </c:pt>
                <c:pt idx="1">
                  <c:v>0.64</c:v>
                </c:pt>
                <c:pt idx="2">
                  <c:v>0.02</c:v>
                </c:pt>
              </c:numCache>
            </c:numRef>
          </c:val>
          <c:extLst xmlns:c16r2="http://schemas.microsoft.com/office/drawing/2015/06/chart">
            <c:ext xmlns:c16="http://schemas.microsoft.com/office/drawing/2014/chart" uri="{C3380CC4-5D6E-409C-BE32-E72D297353CC}">
              <c16:uniqueId val="{00000000-373D-4A12-84C4-6EF267D44E5A}"/>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C4344-94D4-44E9-B0E7-6DC581F15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30606</Words>
  <Characters>174458</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204655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Golden</dc:creator>
  <cp:lastModifiedBy>Kanha Min</cp:lastModifiedBy>
  <cp:revision>2</cp:revision>
  <cp:lastPrinted>2016-08-05T05:14:00Z</cp:lastPrinted>
  <dcterms:created xsi:type="dcterms:W3CDTF">2016-11-09T03:59:00Z</dcterms:created>
  <dcterms:modified xsi:type="dcterms:W3CDTF">2016-11-09T03:59:00Z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5f7cce25-0dbf-481c-9fef-07e9c0ab2c51</vt:lpwstr>
  </property>
  <property fmtid="{D5CDD505-2E9C-101B-9397-08002B2CF9AE}" pid="3" name="PSPFClassification">
    <vt:lpwstr>Do Not Mark</vt:lpwstr>
  </property>
</Properties>
</file>