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8.xml" ContentType="application/vnd.openxmlformats-officedocument.wordprocessingml.header+xml"/>
  <Override PartName="/word/footer15.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1.xml" ContentType="application/vnd.openxmlformats-officedocument.wordprocessingml.header+xml"/>
  <Override PartName="/word/footer18.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7.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2B27" w:rsidRDefault="00232B27" w:rsidP="005E4B6C">
      <w:pPr>
        <w:rPr>
          <w:sz w:val="72"/>
        </w:rPr>
      </w:pPr>
    </w:p>
    <w:p w:rsidR="00232B27" w:rsidRPr="0078338B" w:rsidRDefault="004C2E9F" w:rsidP="005E4B6C">
      <w:pPr>
        <w:pStyle w:val="CoverOutcomeHeadline"/>
        <w:spacing w:line="240" w:lineRule="auto"/>
        <w:rPr>
          <w:sz w:val="72"/>
        </w:rPr>
      </w:pPr>
      <w:r w:rsidRPr="0078338B">
        <w:rPr>
          <w:sz w:val="72"/>
        </w:rPr>
        <w:t>Proposed</w:t>
      </w:r>
    </w:p>
    <w:p w:rsidR="004D348F" w:rsidRPr="005E4B6C" w:rsidRDefault="004D348F" w:rsidP="004D348F">
      <w:pPr>
        <w:pStyle w:val="CoverOutcomeHeadline"/>
        <w:spacing w:line="240" w:lineRule="auto"/>
        <w:rPr>
          <w:sz w:val="72"/>
          <w:highlight w:val="yellow"/>
        </w:rPr>
      </w:pPr>
      <w:r>
        <w:rPr>
          <w:sz w:val="72"/>
        </w:rPr>
        <w:t>Spinal Impairment Guides modification document –</w:t>
      </w:r>
      <w:r w:rsidRPr="005E4B6C">
        <w:rPr>
          <w:sz w:val="72"/>
        </w:rPr>
        <w:t xml:space="preserve"> Regulatory</w:t>
      </w:r>
      <w:r>
        <w:rPr>
          <w:sz w:val="72"/>
        </w:rPr>
        <w:t xml:space="preserve"> </w:t>
      </w:r>
      <w:r w:rsidRPr="005E4B6C">
        <w:rPr>
          <w:sz w:val="72"/>
        </w:rPr>
        <w:t>Impact Statement</w:t>
      </w:r>
    </w:p>
    <w:p w:rsidR="004D348F" w:rsidRPr="00707B46" w:rsidRDefault="004D348F" w:rsidP="004D348F">
      <w:pPr>
        <w:pStyle w:val="Covertitle"/>
        <w:framePr w:wrap="notBeside"/>
      </w:pPr>
      <w:r w:rsidRPr="00707B46">
        <w:t>Transport Accident Commission</w:t>
      </w:r>
    </w:p>
    <w:p w:rsidR="004D348F" w:rsidRPr="00707B46" w:rsidRDefault="004D348F" w:rsidP="004D348F">
      <w:pPr>
        <w:pStyle w:val="Coversubtitle"/>
        <w:framePr w:wrap="notBeside"/>
      </w:pPr>
      <w:r>
        <w:t xml:space="preserve">Spinal Impairment </w:t>
      </w:r>
      <w:r w:rsidRPr="00707B46">
        <w:t>Guides modification document</w:t>
      </w:r>
      <w:r>
        <w:t xml:space="preserve"> - </w:t>
      </w:r>
      <w:r w:rsidRPr="00707B46">
        <w:t>Regulatory Impact Statement</w:t>
      </w:r>
      <w:r>
        <w:t xml:space="preserve"> - </w:t>
      </w:r>
    </w:p>
    <w:p w:rsidR="004D348F" w:rsidRPr="00707B46" w:rsidRDefault="001969CD" w:rsidP="004D348F">
      <w:pPr>
        <w:pStyle w:val="CoverDate"/>
        <w:framePr w:wrap="notBeside"/>
      </w:pPr>
      <w:r>
        <w:t>July</w:t>
      </w:r>
      <w:r w:rsidR="00D60513">
        <w:t xml:space="preserve"> </w:t>
      </w:r>
      <w:r w:rsidR="004D348F" w:rsidRPr="00707B46">
        <w:t>2014</w:t>
      </w:r>
    </w:p>
    <w:p w:rsidR="004D348F" w:rsidRPr="00DA053A" w:rsidRDefault="004D348F" w:rsidP="004D348F">
      <w:pPr>
        <w:pStyle w:val="Coverpulloutframe"/>
        <w:framePr w:wrap="notBeside"/>
        <w:rPr>
          <w:highlight w:val="yellow"/>
        </w:rPr>
      </w:pPr>
    </w:p>
    <w:p w:rsidR="004D348F" w:rsidRPr="00514109" w:rsidRDefault="004D348F" w:rsidP="004D348F">
      <w:pPr>
        <w:pStyle w:val="PwCNormal"/>
        <w:numPr>
          <w:ilvl w:val="0"/>
          <w:numId w:val="0"/>
        </w:numPr>
      </w:pPr>
    </w:p>
    <w:p w:rsidR="004D348F" w:rsidRPr="00514109" w:rsidRDefault="004D348F" w:rsidP="004D348F">
      <w:pPr>
        <w:pStyle w:val="PwCNormal"/>
        <w:numPr>
          <w:ilvl w:val="0"/>
          <w:numId w:val="0"/>
        </w:numPr>
        <w:sectPr w:rsidR="004D348F" w:rsidRPr="00514109" w:rsidSect="006B008A">
          <w:headerReference w:type="even" r:id="rId9"/>
          <w:headerReference w:type="default" r:id="rId10"/>
          <w:headerReference w:type="first" r:id="rId11"/>
          <w:pgSz w:w="11907" w:h="16840" w:code="9"/>
          <w:pgMar w:top="2552" w:right="1021" w:bottom="1134" w:left="3317" w:header="397" w:footer="567" w:gutter="227"/>
          <w:pgNumType w:start="1"/>
          <w:cols w:space="708"/>
          <w:titlePg/>
          <w:docGrid w:linePitch="360"/>
        </w:sectPr>
      </w:pPr>
    </w:p>
    <w:p w:rsidR="004D348F" w:rsidRDefault="004D348F" w:rsidP="004D348F">
      <w:pPr>
        <w:pStyle w:val="PrefaceTitle"/>
      </w:pPr>
      <w:bookmarkStart w:id="0" w:name="ExecSum"/>
      <w:bookmarkStart w:id="1" w:name="_Toc384227269"/>
      <w:bookmarkStart w:id="2" w:name="_Toc391459524"/>
      <w:bookmarkStart w:id="3" w:name="_Toc290460141"/>
      <w:bookmarkStart w:id="4" w:name="_Toc292795890"/>
      <w:bookmarkStart w:id="5" w:name="_Toc292795900"/>
      <w:bookmarkStart w:id="6" w:name="_Toc292795947"/>
      <w:bookmarkStart w:id="7" w:name="_Toc292795954"/>
      <w:bookmarkStart w:id="8" w:name="_Toc294534323"/>
      <w:bookmarkStart w:id="9" w:name="_Toc326144379"/>
      <w:bookmarkStart w:id="10" w:name="_Toc326144425"/>
      <w:bookmarkStart w:id="11" w:name="_Toc326144496"/>
      <w:bookmarkStart w:id="12" w:name="_Toc326144518"/>
      <w:bookmarkStart w:id="13" w:name="_Toc326144577"/>
      <w:bookmarkStart w:id="14" w:name="_Toc326144612"/>
      <w:bookmarkStart w:id="15" w:name="_Toc326144706"/>
      <w:r>
        <w:lastRenderedPageBreak/>
        <w:t>Disclaimer</w:t>
      </w:r>
      <w:bookmarkEnd w:id="1"/>
      <w:bookmarkEnd w:id="2"/>
    </w:p>
    <w:p w:rsidR="004D348F" w:rsidRDefault="004D348F" w:rsidP="004D348F">
      <w:pPr>
        <w:pStyle w:val="PwCNormal"/>
      </w:pPr>
      <w:r>
        <w:t>This Regulatory Impact Statement (RIS) was prepared for the Transport Accident Commission pursuant to a contract with the Transport Accident Commission (TAC).</w:t>
      </w:r>
    </w:p>
    <w:p w:rsidR="004D348F" w:rsidRDefault="004D348F" w:rsidP="004D348F">
      <w:pPr>
        <w:pStyle w:val="PwCNormal"/>
      </w:pPr>
      <w:r>
        <w:t>In preparing this RIS we have only considered the circumstances of the TAC. Our RIS is not appropriate for use by persons other than the TAC, and we do not accept or assume responsibility to anyone other than the TAC in respect of our RIS.</w:t>
      </w:r>
    </w:p>
    <w:p w:rsidR="004D348F" w:rsidRDefault="004D348F" w:rsidP="004D348F">
      <w:pPr>
        <w:pStyle w:val="PwCNormal"/>
      </w:pPr>
      <w:r>
        <w:t>The information, statements, statistics and commentary (together the 'Information') contained in this report have been prepared by PricewaterhouseCoopers (PwC) from material provided by the TAC. PwC may at its absolute discretion, but without being under any obligation to do so, update, amend or supplement this document.</w:t>
      </w:r>
    </w:p>
    <w:p w:rsidR="004D348F" w:rsidRDefault="004D348F" w:rsidP="004D348F">
      <w:pPr>
        <w:pStyle w:val="PwCNormal"/>
      </w:pPr>
      <w:r>
        <w:t>The Information contained in this RIS has not been subjected to an Audit or any form of independent verification. PwC does not express an opinion as to the accuracy or completeness of the information provided. PwC disclaims any and all liability arising from actions taken in response to this RIS.</w:t>
      </w:r>
    </w:p>
    <w:p w:rsidR="004D348F" w:rsidRDefault="004D348F" w:rsidP="004D348F">
      <w:pPr>
        <w:pStyle w:val="PwCNormal"/>
      </w:pPr>
    </w:p>
    <w:p w:rsidR="004D348F" w:rsidRDefault="004D348F" w:rsidP="004D348F">
      <w:pPr>
        <w:pStyle w:val="TOCtitle"/>
        <w:sectPr w:rsidR="004D348F" w:rsidSect="006B008A">
          <w:headerReference w:type="even" r:id="rId12"/>
          <w:headerReference w:type="default" r:id="rId13"/>
          <w:footerReference w:type="even" r:id="rId14"/>
          <w:footerReference w:type="default" r:id="rId15"/>
          <w:headerReference w:type="first" r:id="rId16"/>
          <w:footerReference w:type="first" r:id="rId17"/>
          <w:type w:val="oddPage"/>
          <w:pgSz w:w="11907" w:h="16840" w:code="9"/>
          <w:pgMar w:top="1588" w:right="1843" w:bottom="1418" w:left="1843" w:header="567" w:footer="567" w:gutter="0"/>
          <w:pgNumType w:fmt="lowerRoman" w:start="1"/>
          <w:cols w:space="227"/>
          <w:titlePg/>
          <w:docGrid w:linePitch="286"/>
        </w:sectPr>
      </w:pPr>
    </w:p>
    <w:p w:rsidR="00A84095" w:rsidRDefault="00A84095">
      <w:pPr>
        <w:kinsoku/>
        <w:overflowPunct/>
        <w:autoSpaceDE/>
        <w:autoSpaceDN/>
        <w:adjustRightInd/>
        <w:snapToGrid/>
        <w:rPr>
          <w:b/>
          <w:sz w:val="56"/>
          <w:szCs w:val="56"/>
        </w:rPr>
      </w:pPr>
      <w:bookmarkStart w:id="16" w:name="_Toc384227270"/>
      <w:bookmarkStart w:id="17" w:name="_Toc391459525"/>
    </w:p>
    <w:p w:rsidR="00A84095" w:rsidRPr="00A84095" w:rsidRDefault="00A84095">
      <w:pPr>
        <w:kinsoku/>
        <w:overflowPunct/>
        <w:autoSpaceDE/>
        <w:autoSpaceDN/>
        <w:adjustRightInd/>
        <w:snapToGrid/>
        <w:rPr>
          <w:rFonts w:asciiTheme="majorHAnsi" w:hAnsiTheme="majorHAnsi"/>
          <w:b/>
          <w:bCs/>
          <w:i/>
          <w:iCs/>
          <w:color w:val="000000" w:themeColor="text1"/>
          <w:sz w:val="56"/>
          <w:szCs w:val="56"/>
        </w:rPr>
      </w:pPr>
      <w:bookmarkStart w:id="18" w:name="_GoBack"/>
      <w:r>
        <w:rPr>
          <w:b/>
          <w:noProof/>
          <w:snapToGrid/>
          <w:sz w:val="56"/>
          <w:szCs w:val="56"/>
          <w:lang w:eastAsia="en-AU"/>
        </w:rPr>
        <w:drawing>
          <wp:inline distT="0" distB="0" distL="0" distR="0">
            <wp:extent cx="5530187" cy="782002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CCI Letter.jpg"/>
                    <pic:cNvPicPr/>
                  </pic:nvPicPr>
                  <pic:blipFill>
                    <a:blip r:embed="rId18">
                      <a:extLst>
                        <a:ext uri="{28A0092B-C50C-407E-A947-70E740481C1C}">
                          <a14:useLocalDpi xmlns:a14="http://schemas.microsoft.com/office/drawing/2010/main" val="0"/>
                        </a:ext>
                      </a:extLst>
                    </a:blip>
                    <a:stretch>
                      <a:fillRect/>
                    </a:stretch>
                  </pic:blipFill>
                  <pic:spPr>
                    <a:xfrm>
                      <a:off x="0" y="0"/>
                      <a:ext cx="5530860" cy="7820976"/>
                    </a:xfrm>
                    <a:prstGeom prst="rect">
                      <a:avLst/>
                    </a:prstGeom>
                  </pic:spPr>
                </pic:pic>
              </a:graphicData>
            </a:graphic>
          </wp:inline>
        </w:drawing>
      </w:r>
      <w:bookmarkEnd w:id="18"/>
      <w:r w:rsidRPr="00A84095">
        <w:rPr>
          <w:b/>
          <w:sz w:val="56"/>
          <w:szCs w:val="56"/>
        </w:rPr>
        <w:br w:type="page"/>
      </w:r>
    </w:p>
    <w:p w:rsidR="004D348F" w:rsidRDefault="004D348F" w:rsidP="004D348F">
      <w:pPr>
        <w:pStyle w:val="PrefaceTitle"/>
      </w:pPr>
      <w:r>
        <w:lastRenderedPageBreak/>
        <w:t>Executive summary</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rsidR="00275394" w:rsidRDefault="00275394" w:rsidP="00275394">
      <w:pPr>
        <w:pStyle w:val="PwCNormal"/>
      </w:pPr>
      <w:bookmarkStart w:id="19" w:name="_Ref386487552"/>
      <w:r>
        <w:t>The Transport Accident Commission (Vic) (</w:t>
      </w:r>
      <w:r w:rsidRPr="001A75C2">
        <w:t>TAC</w:t>
      </w:r>
      <w:r>
        <w:t>) administers a statutory no</w:t>
      </w:r>
      <w:r w:rsidR="007A4A02">
        <w:t>-</w:t>
      </w:r>
      <w:r>
        <w:t>fault and common law damages compensation scheme for people who are injured or die as a result of a transport accident involving a Victorian registered vehicle</w:t>
      </w:r>
      <w:r w:rsidR="00261E6A">
        <w:t>.</w:t>
      </w:r>
      <w:r>
        <w:rPr>
          <w:rStyle w:val="FootnoteReference"/>
        </w:rPr>
        <w:footnoteReference w:id="2"/>
      </w:r>
      <w:r>
        <w:t xml:space="preserve"> According to the National Competition Policy</w:t>
      </w:r>
      <w:r w:rsidR="00261E6A">
        <w:t xml:space="preserve"> review of Victoria’s transport accident legislation</w:t>
      </w:r>
      <w:r>
        <w:t xml:space="preserve">, one of the core objectives of transport accident </w:t>
      </w:r>
      <w:r w:rsidR="00A424C8">
        <w:t>insurance</w:t>
      </w:r>
      <w:r>
        <w:t xml:space="preserve"> is to provide suitable and just compensation to this group.</w:t>
      </w:r>
    </w:p>
    <w:p w:rsidR="00275394" w:rsidRDefault="00275394" w:rsidP="00275394">
      <w:pPr>
        <w:pStyle w:val="PwCNormal"/>
      </w:pPr>
      <w:r>
        <w:t>As part of the comprehensive no-fault benefits funded under the scheme, the TAC provides compensation based on an assessment of a claimant</w:t>
      </w:r>
      <w:r w:rsidRPr="004C2E9F">
        <w:t>’</w:t>
      </w:r>
      <w:r>
        <w:t>s level of impairment. The TAC requires claimants who are likely to be entitled to an impairment benefit to undergo an impairment examination with an accredited medical examiner. The TAC use</w:t>
      </w:r>
      <w:r w:rsidR="00B97461">
        <w:t>s</w:t>
      </w:r>
      <w:r>
        <w:t xml:space="preserve"> the assessment reports from these examiners to determine the claimant's total or ‘</w:t>
      </w:r>
      <w:r w:rsidR="007A4A02">
        <w:t>W</w:t>
      </w:r>
      <w:r>
        <w:t xml:space="preserve">hole </w:t>
      </w:r>
      <w:r w:rsidR="007A4A02">
        <w:t>P</w:t>
      </w:r>
      <w:r>
        <w:t xml:space="preserve">erson </w:t>
      </w:r>
      <w:r w:rsidR="007A4A02">
        <w:t>I</w:t>
      </w:r>
      <w:r>
        <w:t>mpairment</w:t>
      </w:r>
      <w:r w:rsidRPr="004C2E9F">
        <w:t xml:space="preserve">’ </w:t>
      </w:r>
      <w:r>
        <w:t>(WPI) score. The WPI score represents their proportionate level of physical and psychological impairment directly caused by the transport accident.</w:t>
      </w:r>
    </w:p>
    <w:p w:rsidR="00275394" w:rsidRDefault="00275394" w:rsidP="00275394">
      <w:pPr>
        <w:pStyle w:val="PwCNormal"/>
      </w:pPr>
      <w:r>
        <w:t>All claimants have access to TAC funded medical and like services and</w:t>
      </w:r>
      <w:r w:rsidR="0084518F">
        <w:t>,</w:t>
      </w:r>
      <w:r>
        <w:t xml:space="preserve"> if unable to return to work, income benefits for up to three years. A claimant may also be entitled to additional compensation determined by their assessed WPI. A claimant’s WPI determines their eligibility for three types of compensation. The additional types of compensation and their relevant criteria is summarised in </w:t>
      </w:r>
      <w:r w:rsidR="00952B45">
        <w:fldChar w:fldCharType="begin"/>
      </w:r>
      <w:r w:rsidR="00952B45">
        <w:instrText xml:space="preserve"> REF _Ref387650044 \h </w:instrText>
      </w:r>
      <w:r w:rsidR="00952B45">
        <w:fldChar w:fldCharType="separate"/>
      </w:r>
      <w:r w:rsidR="00542564">
        <w:t xml:space="preserve">Table </w:t>
      </w:r>
      <w:r w:rsidR="00542564">
        <w:rPr>
          <w:noProof/>
        </w:rPr>
        <w:t>1</w:t>
      </w:r>
      <w:r w:rsidR="00952B45">
        <w:fldChar w:fldCharType="end"/>
      </w:r>
      <w:r w:rsidR="00A85695">
        <w:t xml:space="preserve"> </w:t>
      </w:r>
      <w:r>
        <w:t>below.</w:t>
      </w:r>
    </w:p>
    <w:p w:rsidR="00DD4A78" w:rsidRDefault="00DD4A78" w:rsidP="00DD4A78">
      <w:pPr>
        <w:pStyle w:val="Caption"/>
      </w:pPr>
      <w:bookmarkStart w:id="20" w:name="_Ref387650044"/>
      <w:bookmarkEnd w:id="19"/>
      <w:r>
        <w:t xml:space="preserve">Table </w:t>
      </w:r>
      <w:fldSimple w:instr=" SEQ Table \* ARABIC ">
        <w:r w:rsidR="00542564">
          <w:rPr>
            <w:noProof/>
          </w:rPr>
          <w:t>1</w:t>
        </w:r>
      </w:fldSimple>
      <w:bookmarkEnd w:id="20"/>
      <w:r>
        <w:t xml:space="preserve">: Types of additional </w:t>
      </w:r>
      <w:r>
        <w:rPr>
          <w:rFonts w:eastAsia="Arial Unicode MS" w:hAnsi="Arial Unicode MS" w:cs="Arial Unicode MS"/>
        </w:rPr>
        <w:t>compensation</w:t>
      </w:r>
      <w:r w:rsidR="000604C5">
        <w:rPr>
          <w:rFonts w:eastAsia="Arial Unicode MS" w:hAnsi="Arial Unicode MS" w:cs="Arial Unicode MS"/>
        </w:rPr>
        <w:t xml:space="preserve"> based on level of Whole Person Impairment (WPI)</w:t>
      </w:r>
    </w:p>
    <w:tbl>
      <w:tblPr>
        <w:tblStyle w:val="Tables-APBase"/>
        <w:tblW w:w="4823" w:type="pct"/>
        <w:tblLayout w:type="fixed"/>
        <w:tblLook w:val="04A0" w:firstRow="1" w:lastRow="0" w:firstColumn="1" w:lastColumn="0" w:noHBand="0" w:noVBand="1"/>
      </w:tblPr>
      <w:tblGrid>
        <w:gridCol w:w="2712"/>
        <w:gridCol w:w="2713"/>
        <w:gridCol w:w="2713"/>
      </w:tblGrid>
      <w:tr w:rsidR="00275394" w:rsidTr="00991E7D">
        <w:trPr>
          <w:cnfStyle w:val="100000000000" w:firstRow="1" w:lastRow="0" w:firstColumn="0" w:lastColumn="0" w:oddVBand="0" w:evenVBand="0" w:oddHBand="0" w:evenHBand="0" w:firstRowFirstColumn="0" w:firstRowLastColumn="0" w:lastRowFirstColumn="0" w:lastRowLastColumn="0"/>
          <w:trHeight w:val="374"/>
        </w:trPr>
        <w:tc>
          <w:tcPr>
            <w:cnfStyle w:val="000000000100" w:firstRow="0" w:lastRow="0" w:firstColumn="0" w:lastColumn="0" w:oddVBand="0" w:evenVBand="0" w:oddHBand="0" w:evenHBand="0" w:firstRowFirstColumn="1" w:firstRowLastColumn="0" w:lastRowFirstColumn="0" w:lastRowLastColumn="0"/>
            <w:tcW w:w="2712" w:type="dxa"/>
            <w:tcBorders>
              <w:left w:val="single" w:sz="4" w:space="0" w:color="FFFFFF"/>
              <w:right w:val="single" w:sz="4" w:space="0" w:color="FFFFFF"/>
            </w:tcBorders>
          </w:tcPr>
          <w:p w:rsidR="00275394" w:rsidRDefault="00275394" w:rsidP="00991E7D">
            <w:pPr>
              <w:pStyle w:val="PwCNormal"/>
            </w:pPr>
          </w:p>
        </w:tc>
        <w:tc>
          <w:tcPr>
            <w:tcW w:w="2713" w:type="dxa"/>
            <w:tcBorders>
              <w:left w:val="single" w:sz="4" w:space="0" w:color="FFFFFF"/>
              <w:right w:val="single" w:sz="4" w:space="0" w:color="FFFFFF"/>
            </w:tcBorders>
            <w:hideMark/>
          </w:tcPr>
          <w:p w:rsidR="00275394" w:rsidRDefault="00275394" w:rsidP="00991E7D">
            <w:pPr>
              <w:pStyle w:val="PwCNormal"/>
              <w:cnfStyle w:val="100000000000" w:firstRow="1" w:lastRow="0" w:firstColumn="0" w:lastColumn="0" w:oddVBand="0" w:evenVBand="0" w:oddHBand="0" w:evenHBand="0" w:firstRowFirstColumn="0" w:firstRowLastColumn="0" w:lastRowFirstColumn="0" w:lastRowLastColumn="0"/>
            </w:pPr>
            <w:r>
              <w:t>Criteria</w:t>
            </w:r>
          </w:p>
        </w:tc>
        <w:tc>
          <w:tcPr>
            <w:tcW w:w="2713" w:type="dxa"/>
            <w:tcBorders>
              <w:left w:val="single" w:sz="4" w:space="0" w:color="FFFFFF"/>
              <w:right w:val="single" w:sz="4" w:space="0" w:color="FFFFFF"/>
            </w:tcBorders>
            <w:hideMark/>
          </w:tcPr>
          <w:p w:rsidR="00275394" w:rsidRDefault="00275394" w:rsidP="00991E7D">
            <w:pPr>
              <w:pStyle w:val="PwCNormal"/>
              <w:cnfStyle w:val="100000000000" w:firstRow="1" w:lastRow="0" w:firstColumn="0" w:lastColumn="0" w:oddVBand="0" w:evenVBand="0" w:oddHBand="0" w:evenHBand="0" w:firstRowFirstColumn="0" w:firstRowLastColumn="0" w:lastRowFirstColumn="0" w:lastRowLastColumn="0"/>
            </w:pPr>
            <w:r>
              <w:t>Paid</w:t>
            </w:r>
          </w:p>
        </w:tc>
      </w:tr>
      <w:tr w:rsidR="00275394" w:rsidTr="00991E7D">
        <w:trPr>
          <w:trHeight w:val="890"/>
        </w:trPr>
        <w:tc>
          <w:tcPr>
            <w:tcW w:w="2712" w:type="dxa"/>
            <w:tcBorders>
              <w:top w:val="dotted" w:sz="8" w:space="0" w:color="A32020" w:themeColor="text2"/>
              <w:left w:val="single" w:sz="4" w:space="0" w:color="FFFFFF"/>
              <w:bottom w:val="dotted" w:sz="8" w:space="0" w:color="A32020" w:themeColor="text2"/>
              <w:right w:val="single" w:sz="4" w:space="0" w:color="FFFFFF"/>
            </w:tcBorders>
            <w:vAlign w:val="center"/>
            <w:hideMark/>
          </w:tcPr>
          <w:p w:rsidR="00275394" w:rsidRDefault="00275394" w:rsidP="00991E7D">
            <w:pPr>
              <w:pStyle w:val="PwCNormal"/>
            </w:pPr>
            <w:r>
              <w:t>Impairment benefits</w:t>
            </w:r>
          </w:p>
        </w:tc>
        <w:tc>
          <w:tcPr>
            <w:tcW w:w="2713" w:type="dxa"/>
            <w:tcBorders>
              <w:top w:val="dotted" w:sz="8" w:space="0" w:color="A32020" w:themeColor="text2"/>
              <w:left w:val="single" w:sz="4" w:space="0" w:color="FFFFFF"/>
              <w:bottom w:val="dotted" w:sz="8" w:space="0" w:color="A32020" w:themeColor="text2"/>
              <w:right w:val="single" w:sz="4" w:space="0" w:color="FFFFFF"/>
            </w:tcBorders>
            <w:vAlign w:val="center"/>
            <w:hideMark/>
          </w:tcPr>
          <w:p w:rsidR="00275394" w:rsidRDefault="00275394" w:rsidP="00351724">
            <w:pPr>
              <w:pStyle w:val="PwCNormal"/>
            </w:pPr>
            <w:r>
              <w:t>W</w:t>
            </w:r>
            <w:r w:rsidR="000604C5">
              <w:t>PI</w:t>
            </w:r>
            <w:r>
              <w:t xml:space="preserve"> &gt; 10%</w:t>
            </w:r>
          </w:p>
        </w:tc>
        <w:tc>
          <w:tcPr>
            <w:tcW w:w="2713" w:type="dxa"/>
            <w:tcBorders>
              <w:top w:val="dotted" w:sz="8" w:space="0" w:color="A32020" w:themeColor="text2"/>
              <w:left w:val="single" w:sz="4" w:space="0" w:color="FFFFFF"/>
              <w:bottom w:val="dotted" w:sz="8" w:space="0" w:color="A32020" w:themeColor="text2"/>
              <w:right w:val="single" w:sz="4" w:space="0" w:color="FFFFFF"/>
            </w:tcBorders>
            <w:vAlign w:val="center"/>
            <w:hideMark/>
          </w:tcPr>
          <w:p w:rsidR="00275394" w:rsidRDefault="00275394" w:rsidP="00284647">
            <w:pPr>
              <w:pStyle w:val="PwCNormal"/>
            </w:pPr>
            <w:r>
              <w:t xml:space="preserve">Paid in lump sum, </w:t>
            </w:r>
            <w:r w:rsidRPr="00A424C8">
              <w:t xml:space="preserve">incrementally higher based on </w:t>
            </w:r>
            <w:r w:rsidR="0084518F" w:rsidRPr="00A424C8">
              <w:t xml:space="preserve">level of </w:t>
            </w:r>
            <w:r w:rsidR="00284647">
              <w:t>WPI</w:t>
            </w:r>
          </w:p>
        </w:tc>
      </w:tr>
      <w:tr w:rsidR="00275394" w:rsidTr="00991E7D">
        <w:trPr>
          <w:trHeight w:val="1150"/>
        </w:trPr>
        <w:tc>
          <w:tcPr>
            <w:tcW w:w="2712" w:type="dxa"/>
            <w:tcBorders>
              <w:top w:val="dotted" w:sz="8" w:space="0" w:color="A32020" w:themeColor="text2"/>
              <w:left w:val="single" w:sz="4" w:space="0" w:color="FFFFFF"/>
              <w:bottom w:val="dotted" w:sz="8" w:space="0" w:color="A32020" w:themeColor="text2"/>
              <w:right w:val="single" w:sz="4" w:space="0" w:color="FFFFFF"/>
            </w:tcBorders>
            <w:vAlign w:val="center"/>
            <w:hideMark/>
          </w:tcPr>
          <w:p w:rsidR="00275394" w:rsidRDefault="00275394" w:rsidP="00991E7D">
            <w:pPr>
              <w:pStyle w:val="PwCNormal"/>
            </w:pPr>
            <w:r>
              <w:t>Common law damages</w:t>
            </w:r>
          </w:p>
        </w:tc>
        <w:tc>
          <w:tcPr>
            <w:tcW w:w="2713" w:type="dxa"/>
            <w:tcBorders>
              <w:top w:val="dotted" w:sz="8" w:space="0" w:color="A32020" w:themeColor="text2"/>
              <w:left w:val="single" w:sz="4" w:space="0" w:color="FFFFFF"/>
              <w:bottom w:val="dotted" w:sz="8" w:space="0" w:color="A32020" w:themeColor="text2"/>
              <w:right w:val="single" w:sz="4" w:space="0" w:color="FFFFFF"/>
            </w:tcBorders>
            <w:vAlign w:val="center"/>
            <w:hideMark/>
          </w:tcPr>
          <w:p w:rsidR="00275394" w:rsidRDefault="00275394" w:rsidP="00991E7D">
            <w:pPr>
              <w:pStyle w:val="PwCNormal"/>
            </w:pPr>
            <w:r>
              <w:t>Claimant cannot be at fault</w:t>
            </w:r>
          </w:p>
          <w:p w:rsidR="00275394" w:rsidRDefault="000604C5" w:rsidP="00351724">
            <w:pPr>
              <w:pStyle w:val="PwCNormal"/>
            </w:pPr>
            <w:r>
              <w:t xml:space="preserve">WPI </w:t>
            </w:r>
            <w:r w:rsidR="00351724">
              <w:t>≥</w:t>
            </w:r>
            <w:r w:rsidR="00275394">
              <w:t xml:space="preserve"> 30% or ‘Serious Injury’ certificate granted on narrative criteria</w:t>
            </w:r>
          </w:p>
        </w:tc>
        <w:tc>
          <w:tcPr>
            <w:tcW w:w="2713" w:type="dxa"/>
            <w:tcBorders>
              <w:top w:val="dotted" w:sz="8" w:space="0" w:color="A32020" w:themeColor="text2"/>
              <w:left w:val="single" w:sz="4" w:space="0" w:color="FFFFFF"/>
              <w:bottom w:val="dotted" w:sz="8" w:space="0" w:color="A32020" w:themeColor="text2"/>
              <w:right w:val="single" w:sz="4" w:space="0" w:color="FFFFFF"/>
            </w:tcBorders>
            <w:vAlign w:val="center"/>
            <w:hideMark/>
          </w:tcPr>
          <w:p w:rsidR="00275394" w:rsidRDefault="00275394" w:rsidP="00991E7D">
            <w:pPr>
              <w:pStyle w:val="PwCNormal"/>
            </w:pPr>
            <w:r>
              <w:t>Determined by courts</w:t>
            </w:r>
          </w:p>
        </w:tc>
      </w:tr>
      <w:tr w:rsidR="00275394" w:rsidTr="00991E7D">
        <w:trPr>
          <w:trHeight w:val="650"/>
        </w:trPr>
        <w:tc>
          <w:tcPr>
            <w:tcW w:w="2712" w:type="dxa"/>
            <w:tcBorders>
              <w:top w:val="dotted" w:sz="8" w:space="0" w:color="A32020" w:themeColor="text2"/>
              <w:left w:val="single" w:sz="4" w:space="0" w:color="FFFFFF"/>
              <w:bottom w:val="dotted" w:sz="8" w:space="0" w:color="A32020" w:themeColor="text2"/>
              <w:right w:val="single" w:sz="4" w:space="0" w:color="FFFFFF"/>
            </w:tcBorders>
            <w:vAlign w:val="center"/>
            <w:hideMark/>
          </w:tcPr>
          <w:p w:rsidR="00275394" w:rsidRDefault="00275394" w:rsidP="00A424C8">
            <w:pPr>
              <w:pStyle w:val="PwCNormal"/>
            </w:pPr>
            <w:r>
              <w:t xml:space="preserve">Ongoing </w:t>
            </w:r>
            <w:r w:rsidR="00A424C8">
              <w:t>Loss of Earnings Capacity b</w:t>
            </w:r>
            <w:r>
              <w:t>enefits</w:t>
            </w:r>
          </w:p>
        </w:tc>
        <w:tc>
          <w:tcPr>
            <w:tcW w:w="2713" w:type="dxa"/>
            <w:tcBorders>
              <w:top w:val="dotted" w:sz="8" w:space="0" w:color="A32020" w:themeColor="text2"/>
              <w:left w:val="single" w:sz="4" w:space="0" w:color="FFFFFF"/>
              <w:bottom w:val="dotted" w:sz="8" w:space="0" w:color="A32020" w:themeColor="text2"/>
              <w:right w:val="single" w:sz="4" w:space="0" w:color="FFFFFF"/>
            </w:tcBorders>
            <w:vAlign w:val="center"/>
            <w:hideMark/>
          </w:tcPr>
          <w:p w:rsidR="00275394" w:rsidRDefault="000604C5" w:rsidP="00351724">
            <w:pPr>
              <w:pStyle w:val="PwCNormal"/>
            </w:pPr>
            <w:r>
              <w:t>WPI</w:t>
            </w:r>
            <w:r w:rsidR="00275394">
              <w:t xml:space="preserve"> </w:t>
            </w:r>
            <w:r w:rsidR="00351724">
              <w:t>≥</w:t>
            </w:r>
            <w:r w:rsidR="00275394">
              <w:t xml:space="preserve"> 50%</w:t>
            </w:r>
          </w:p>
        </w:tc>
        <w:tc>
          <w:tcPr>
            <w:tcW w:w="2713" w:type="dxa"/>
            <w:tcBorders>
              <w:top w:val="dotted" w:sz="8" w:space="0" w:color="A32020" w:themeColor="text2"/>
              <w:left w:val="single" w:sz="4" w:space="0" w:color="FFFFFF"/>
              <w:bottom w:val="dotted" w:sz="8" w:space="0" w:color="A32020" w:themeColor="text2"/>
              <w:right w:val="single" w:sz="4" w:space="0" w:color="FFFFFF"/>
            </w:tcBorders>
            <w:vAlign w:val="center"/>
            <w:hideMark/>
          </w:tcPr>
          <w:p w:rsidR="00275394" w:rsidRDefault="00275394" w:rsidP="00991E7D">
            <w:pPr>
              <w:pStyle w:val="PwCNormal"/>
            </w:pPr>
            <w:r>
              <w:t>Paid on an ongoing basis up to age of 65</w:t>
            </w:r>
          </w:p>
        </w:tc>
      </w:tr>
    </w:tbl>
    <w:p w:rsidR="005528EA" w:rsidRDefault="005528EA" w:rsidP="00785051">
      <w:pPr>
        <w:pStyle w:val="Sources"/>
        <w:keepNext/>
        <w:keepLines/>
      </w:pPr>
      <w:r>
        <w:t>Source: TAC</w:t>
      </w:r>
    </w:p>
    <w:p w:rsidR="00275394" w:rsidRDefault="00275394" w:rsidP="00275394">
      <w:pPr>
        <w:pStyle w:val="PwCNormal"/>
      </w:pPr>
      <w:r>
        <w:t xml:space="preserve">The assessment of spinal impairment is conducted in accordance with </w:t>
      </w:r>
      <w:r w:rsidR="001A75C2">
        <w:t>the</w:t>
      </w:r>
      <w:r w:rsidR="00DE0D95">
        <w:t xml:space="preserve"> </w:t>
      </w:r>
      <w:r w:rsidRPr="0078338B">
        <w:rPr>
          <w:i/>
        </w:rPr>
        <w:t xml:space="preserve">American Medical Association Guides to the Evaluation of Permanent </w:t>
      </w:r>
      <w:r>
        <w:rPr>
          <w:i/>
          <w:iCs/>
        </w:rPr>
        <w:t>Impairment</w:t>
      </w:r>
      <w:r w:rsidR="00B4410E">
        <w:rPr>
          <w:i/>
          <w:iCs/>
        </w:rPr>
        <w:t xml:space="preserve"> (</w:t>
      </w:r>
      <w:r>
        <w:rPr>
          <w:i/>
          <w:iCs/>
        </w:rPr>
        <w:t>4th Edition</w:t>
      </w:r>
      <w:r w:rsidR="00B4410E">
        <w:rPr>
          <w:i/>
          <w:iCs/>
        </w:rPr>
        <w:t>)</w:t>
      </w:r>
      <w:r w:rsidRPr="0078338B">
        <w:rPr>
          <w:i/>
        </w:rPr>
        <w:t xml:space="preserve"> </w:t>
      </w:r>
      <w:r>
        <w:t xml:space="preserve">(the Guides). The Guides specify eight categories of impairment severity known as Diagnosis Related Estimate (DRE) categories, which correspond to certain levels of WPI. The eight categories each contain two subsections. The first subsection is entitled </w:t>
      </w:r>
      <w:r w:rsidR="00442C22">
        <w:t>‘</w:t>
      </w:r>
      <w:r w:rsidRPr="005D3112">
        <w:rPr>
          <w:i/>
        </w:rPr>
        <w:t>Description and Verification</w:t>
      </w:r>
      <w:r w:rsidR="00442C22">
        <w:rPr>
          <w:i/>
        </w:rPr>
        <w:t>’</w:t>
      </w:r>
      <w:r w:rsidR="00325BFA">
        <w:t xml:space="preserve"> </w:t>
      </w:r>
      <w:r>
        <w:t xml:space="preserve">containing different injury descriptors of the impairment within that particular category. The second subsection of each category is entitled </w:t>
      </w:r>
      <w:r w:rsidR="00442C22">
        <w:t>‘</w:t>
      </w:r>
      <w:r w:rsidRPr="001A75C2">
        <w:rPr>
          <w:i/>
        </w:rPr>
        <w:t>Structural</w:t>
      </w:r>
      <w:r>
        <w:t xml:space="preserve"> </w:t>
      </w:r>
      <w:r w:rsidRPr="00200712">
        <w:rPr>
          <w:i/>
        </w:rPr>
        <w:t>Inclusions</w:t>
      </w:r>
      <w:r w:rsidR="00442C22">
        <w:rPr>
          <w:i/>
        </w:rPr>
        <w:t>’</w:t>
      </w:r>
      <w:r>
        <w:t xml:space="preserve">. </w:t>
      </w:r>
      <w:r w:rsidRPr="001A75C2">
        <w:rPr>
          <w:i/>
        </w:rPr>
        <w:t>Structural Inclusions</w:t>
      </w:r>
      <w:r>
        <w:t xml:space="preserve"> serve as an alternative impairment criteria based on spinal fractures. If a claimant has an injury </w:t>
      </w:r>
      <w:r w:rsidR="005F76F2">
        <w:t xml:space="preserve">that </w:t>
      </w:r>
      <w:r>
        <w:t xml:space="preserve">corresponds to a </w:t>
      </w:r>
      <w:r w:rsidR="00DE0D95">
        <w:rPr>
          <w:i/>
        </w:rPr>
        <w:t>S</w:t>
      </w:r>
      <w:r w:rsidRPr="00D9523A">
        <w:rPr>
          <w:i/>
        </w:rPr>
        <w:t>tructural</w:t>
      </w:r>
      <w:r w:rsidR="00DE0D95">
        <w:rPr>
          <w:i/>
        </w:rPr>
        <w:t xml:space="preserve"> I</w:t>
      </w:r>
      <w:r w:rsidRPr="00D9523A">
        <w:rPr>
          <w:i/>
        </w:rPr>
        <w:t>nclusion</w:t>
      </w:r>
      <w:r w:rsidR="00B97461">
        <w:rPr>
          <w:i/>
        </w:rPr>
        <w:t>,</w:t>
      </w:r>
      <w:r>
        <w:t xml:space="preserve"> the injury is automatically assessed at that </w:t>
      </w:r>
      <w:r>
        <w:lastRenderedPageBreak/>
        <w:t>impairment category. DRE Category IV, which corresponds to a WPI rating of 20 per cent</w:t>
      </w:r>
      <w:r w:rsidR="007A4A02">
        <w:t>,</w:t>
      </w:r>
      <w:r>
        <w:rPr>
          <w:rStyle w:val="FootnoteReference"/>
        </w:rPr>
        <w:footnoteReference w:id="3"/>
      </w:r>
      <w:r>
        <w:t xml:space="preserve"> contains a </w:t>
      </w:r>
      <w:r w:rsidRPr="001A75C2">
        <w:rPr>
          <w:i/>
        </w:rPr>
        <w:t>Structural Inclusion</w:t>
      </w:r>
      <w:r>
        <w:t xml:space="preserve"> that includes multiple fractures.</w:t>
      </w:r>
    </w:p>
    <w:p w:rsidR="00275394" w:rsidRDefault="00275394" w:rsidP="00275394">
      <w:pPr>
        <w:pStyle w:val="PwCNormal"/>
      </w:pPr>
      <w:r>
        <w:t xml:space="preserve">The precedent set in the Supreme Court judgment of the </w:t>
      </w:r>
      <w:r w:rsidRPr="001A75C2">
        <w:rPr>
          <w:i/>
        </w:rPr>
        <w:t>Transport Accident Commission</w:t>
      </w:r>
      <w:r w:rsidRPr="002D5D13">
        <w:rPr>
          <w:i/>
        </w:rPr>
        <w:t xml:space="preserve"> </w:t>
      </w:r>
      <w:r w:rsidRPr="0078338B">
        <w:rPr>
          <w:i/>
        </w:rPr>
        <w:t xml:space="preserve">v </w:t>
      </w:r>
      <w:proofErr w:type="spellStart"/>
      <w:r w:rsidRPr="0078338B">
        <w:rPr>
          <w:i/>
        </w:rPr>
        <w:t>Serwylo</w:t>
      </w:r>
      <w:proofErr w:type="spellEnd"/>
      <w:r>
        <w:t xml:space="preserve"> [2010] VSC 421 (</w:t>
      </w:r>
      <w:proofErr w:type="spellStart"/>
      <w:r>
        <w:t>Serwylo</w:t>
      </w:r>
      <w:proofErr w:type="spellEnd"/>
      <w:r>
        <w:t xml:space="preserve">) changed the long held interpretation of the </w:t>
      </w:r>
      <w:r>
        <w:rPr>
          <w:i/>
        </w:rPr>
        <w:t>S</w:t>
      </w:r>
      <w:r w:rsidRPr="002C3FE2">
        <w:rPr>
          <w:i/>
        </w:rPr>
        <w:t xml:space="preserve">tructural </w:t>
      </w:r>
      <w:r>
        <w:rPr>
          <w:i/>
        </w:rPr>
        <w:t>I</w:t>
      </w:r>
      <w:r w:rsidRPr="002C3FE2">
        <w:rPr>
          <w:i/>
        </w:rPr>
        <w:t xml:space="preserve">nclusion </w:t>
      </w:r>
      <w:r w:rsidRPr="001A75C2">
        <w:rPr>
          <w:i/>
        </w:rPr>
        <w:t>(2)</w:t>
      </w:r>
      <w:r>
        <w:t xml:space="preserve"> in DRE Category IV and highlighted an issue that has significant impacts for </w:t>
      </w:r>
      <w:r w:rsidR="005234B2">
        <w:t xml:space="preserve">the equity of the </w:t>
      </w:r>
      <w:r w:rsidR="000F3330">
        <w:t>s</w:t>
      </w:r>
      <w:r w:rsidR="005234B2">
        <w:t>cheme</w:t>
      </w:r>
      <w:r w:rsidR="005F76F2">
        <w:t>.</w:t>
      </w:r>
    </w:p>
    <w:p w:rsidR="00275394" w:rsidRDefault="00275394" w:rsidP="00275394">
      <w:pPr>
        <w:pStyle w:val="PwCNormal"/>
      </w:pPr>
      <w:r>
        <w:t xml:space="preserve">Previously, multiple fractures </w:t>
      </w:r>
      <w:r w:rsidRPr="002C3FE2">
        <w:t>in one region</w:t>
      </w:r>
      <w:r>
        <w:t xml:space="preserve"> of the spine were assessed on whether the fractures had the capacity to disrupt the spinal canal or impair the ability of the spine to provide postural support. However, the </w:t>
      </w:r>
      <w:r w:rsidRPr="00D9523A">
        <w:t xml:space="preserve">Court held that the </w:t>
      </w:r>
      <w:r>
        <w:t>use of the words “as with fractures” used in</w:t>
      </w:r>
      <w:r w:rsidRPr="002C3FE2">
        <w:t xml:space="preserve"> the Guides </w:t>
      </w:r>
      <w:r>
        <w:t xml:space="preserve">were intended by the authors of the Guides to mean that the presence of multiple fractures in </w:t>
      </w:r>
      <w:r w:rsidRPr="00D9523A">
        <w:t>a region</w:t>
      </w:r>
      <w:r>
        <w:t xml:space="preserve"> of the spine </w:t>
      </w:r>
      <w:r w:rsidRPr="00D9523A">
        <w:t>was</w:t>
      </w:r>
      <w:r>
        <w:t xml:space="preserve"> sufficient to </w:t>
      </w:r>
      <w:r w:rsidRPr="00D9523A">
        <w:t xml:space="preserve">justify </w:t>
      </w:r>
      <w:r>
        <w:t xml:space="preserve">DRE Category IV regardless of </w:t>
      </w:r>
      <w:r w:rsidRPr="00D9523A">
        <w:t xml:space="preserve">whether the medical examiners were of the opinion that the fracture actually caused multiple levels of </w:t>
      </w:r>
      <w:r>
        <w:t xml:space="preserve">structural </w:t>
      </w:r>
      <w:r w:rsidRPr="00D9523A">
        <w:t>compromise.</w:t>
      </w:r>
    </w:p>
    <w:p w:rsidR="00275394" w:rsidRDefault="00275394" w:rsidP="00275394">
      <w:pPr>
        <w:pStyle w:val="PwCNormal"/>
      </w:pPr>
      <w:r>
        <w:t>In this scenario</w:t>
      </w:r>
      <w:r w:rsidR="005F76F2">
        <w:t>,</w:t>
      </w:r>
      <w:r>
        <w:t xml:space="preserve"> claimants who have minor spinal fractures </w:t>
      </w:r>
      <w:r w:rsidR="00703D19">
        <w:t>that</w:t>
      </w:r>
      <w:r w:rsidR="00703D19" w:rsidRPr="00D9523A">
        <w:t xml:space="preserve"> </w:t>
      </w:r>
      <w:r w:rsidRPr="00D9523A">
        <w:t xml:space="preserve">are regarded by medical examiners as being of very little medical significance or </w:t>
      </w:r>
      <w:r>
        <w:t xml:space="preserve">physical disability are </w:t>
      </w:r>
      <w:r w:rsidRPr="00D9523A">
        <w:t>assessed</w:t>
      </w:r>
      <w:r>
        <w:t xml:space="preserve"> as significantly impaired</w:t>
      </w:r>
      <w:r w:rsidR="000604C5">
        <w:t>. Consequently, these claimants are</w:t>
      </w:r>
      <w:r>
        <w:t xml:space="preserve"> provided </w:t>
      </w:r>
      <w:r w:rsidRPr="00D9523A">
        <w:t xml:space="preserve">with </w:t>
      </w:r>
      <w:r>
        <w:t>levels of compensation that are inappropriate when compared with other claimants who are assessed at the same WPI but are more functionally impaired</w:t>
      </w:r>
      <w:r w:rsidRPr="00D9523A">
        <w:t>. This also means that claimants who had minor spinal fractures before the accident will be deemed to have a significant pre-existing impairment when the TAC determines their</w:t>
      </w:r>
      <w:r w:rsidR="001678B4">
        <w:t xml:space="preserve"> </w:t>
      </w:r>
      <w:r w:rsidRPr="00D9523A">
        <w:t>transport accident</w:t>
      </w:r>
      <w:r w:rsidR="001678B4">
        <w:t>-</w:t>
      </w:r>
      <w:r w:rsidRPr="00D9523A">
        <w:t>related</w:t>
      </w:r>
      <w:r w:rsidR="001678B4">
        <w:t xml:space="preserve"> WPI</w:t>
      </w:r>
      <w:r w:rsidRPr="00D9523A">
        <w:t>.</w:t>
      </w:r>
    </w:p>
    <w:p w:rsidR="00275394" w:rsidRDefault="00275394" w:rsidP="00275394">
      <w:pPr>
        <w:pStyle w:val="PwCNormal"/>
      </w:pPr>
      <w:r>
        <w:t xml:space="preserve">This precedent also has implications for the assessment of spinal surgeries and procedures such as fusions. Many examiners now consider that spinal surgery </w:t>
      </w:r>
      <w:r w:rsidR="00B97461">
        <w:t>has an effect on</w:t>
      </w:r>
      <w:r>
        <w:t xml:space="preserve"> bone that is the equivalent to fractures</w:t>
      </w:r>
      <w:r w:rsidR="001678B4">
        <w:t>,</w:t>
      </w:r>
      <w:r>
        <w:t xml:space="preserve"> which justifies DRE Category IV.</w:t>
      </w:r>
    </w:p>
    <w:p w:rsidR="00B93E0B" w:rsidRPr="00E521BC" w:rsidRDefault="00B93E0B" w:rsidP="00B93E0B">
      <w:pPr>
        <w:pStyle w:val="PwCNormal"/>
        <w:rPr>
          <w:i/>
          <w:sz w:val="28"/>
          <w:szCs w:val="28"/>
        </w:rPr>
      </w:pPr>
      <w:r w:rsidRPr="00E521BC">
        <w:rPr>
          <w:i/>
          <w:color w:val="A32020" w:themeColor="text2"/>
          <w:sz w:val="28"/>
          <w:szCs w:val="28"/>
        </w:rPr>
        <w:t>Problem</w:t>
      </w:r>
    </w:p>
    <w:p w:rsidR="0033690E" w:rsidRDefault="00275394" w:rsidP="00EF3910">
      <w:pPr>
        <w:pStyle w:val="PwCNormal"/>
      </w:pPr>
      <w:r>
        <w:t xml:space="preserve">The problem considered in this RIS is the broad and inclusive language used in the Guides' </w:t>
      </w:r>
      <w:r w:rsidR="00DE0D95">
        <w:rPr>
          <w:i/>
        </w:rPr>
        <w:t>S</w:t>
      </w:r>
      <w:r w:rsidRPr="00D9523A">
        <w:rPr>
          <w:i/>
        </w:rPr>
        <w:t xml:space="preserve">tructural </w:t>
      </w:r>
      <w:r w:rsidR="00DE0D95">
        <w:rPr>
          <w:i/>
        </w:rPr>
        <w:t>I</w:t>
      </w:r>
      <w:r w:rsidRPr="00D9523A">
        <w:rPr>
          <w:i/>
        </w:rPr>
        <w:t xml:space="preserve">nclusion </w:t>
      </w:r>
      <w:r w:rsidRPr="001A75C2">
        <w:rPr>
          <w:i/>
        </w:rPr>
        <w:t>(2)</w:t>
      </w:r>
      <w:r w:rsidR="00F4113C">
        <w:rPr>
          <w:i/>
        </w:rPr>
        <w:t xml:space="preserve"> </w:t>
      </w:r>
      <w:r w:rsidR="00F4113C">
        <w:t>of DRE Category IV,</w:t>
      </w:r>
      <w:r>
        <w:t xml:space="preserve"> which has given rise to potential inequities in impairment assessment. </w:t>
      </w:r>
      <w:r w:rsidR="001678B4">
        <w:t>In particular</w:t>
      </w:r>
      <w:r w:rsidR="00FB77FD">
        <w:t xml:space="preserve">, </w:t>
      </w:r>
      <w:r w:rsidR="001A75C2" w:rsidRPr="001A75C2">
        <w:t xml:space="preserve">the application of </w:t>
      </w:r>
      <w:r w:rsidR="001A75C2" w:rsidRPr="001A75C2">
        <w:rPr>
          <w:i/>
          <w:iCs/>
        </w:rPr>
        <w:t>Structural Inclusion (2)</w:t>
      </w:r>
      <w:r w:rsidR="001A75C2" w:rsidRPr="001A75C2">
        <w:t xml:space="preserve"> of DRE Category IV post</w:t>
      </w:r>
      <w:r w:rsidR="007A4A02">
        <w:t>-</w:t>
      </w:r>
      <w:proofErr w:type="spellStart"/>
      <w:r w:rsidR="001A75C2" w:rsidRPr="001A75C2">
        <w:t>Serwylo</w:t>
      </w:r>
      <w:proofErr w:type="spellEnd"/>
      <w:r w:rsidR="001A75C2" w:rsidRPr="001A75C2">
        <w:t xml:space="preserve"> permits minor spinal fractures that result in little or no structural impairment to rate disproportionally higher than the level of impairment that the injury actual causes.</w:t>
      </w:r>
      <w:r w:rsidR="001A75C2">
        <w:t xml:space="preserve"> </w:t>
      </w:r>
      <w:r w:rsidR="00193CA0">
        <w:t>This means</w:t>
      </w:r>
      <w:r w:rsidR="001A75C2" w:rsidRPr="001A75C2">
        <w:t xml:space="preserve"> a claimant who has multiple spinal fractures (even where microscopic) is now assessed at the same level of compensation as a claimant who is more severely impaired from a non-spinal related injury (such as a serious brain injury</w:t>
      </w:r>
      <w:r w:rsidR="001A75C2" w:rsidRPr="0063347D">
        <w:t>).</w:t>
      </w:r>
      <w:r w:rsidR="00370F3E" w:rsidRPr="001E49D4" w:rsidDel="00370F3E">
        <w:t xml:space="preserve"> </w:t>
      </w:r>
      <w:r w:rsidR="00CF7295" w:rsidRPr="0063347D">
        <w:t>As</w:t>
      </w:r>
      <w:r w:rsidR="00CF7295">
        <w:t xml:space="preserve"> a consequence</w:t>
      </w:r>
      <w:r>
        <w:t>, persons with minor spinal fractures such as fractures of the transverse processes have been assessed at higher WPI levels and now qualify for</w:t>
      </w:r>
      <w:r w:rsidR="006B4F20">
        <w:t xml:space="preserve"> </w:t>
      </w:r>
      <w:r>
        <w:t>additional compensation</w:t>
      </w:r>
      <w:r w:rsidR="006B4F20">
        <w:t xml:space="preserve"> </w:t>
      </w:r>
      <w:r w:rsidR="003960FE">
        <w:t xml:space="preserve">payments </w:t>
      </w:r>
      <w:r>
        <w:t>outlined in</w:t>
      </w:r>
      <w:r w:rsidR="00A9161C">
        <w:t xml:space="preserve"> </w:t>
      </w:r>
      <w:r w:rsidR="00A9161C">
        <w:fldChar w:fldCharType="begin"/>
      </w:r>
      <w:r w:rsidR="00A9161C">
        <w:instrText xml:space="preserve"> REF _Ref387650044 \h </w:instrText>
      </w:r>
      <w:r w:rsidR="00A9161C">
        <w:fldChar w:fldCharType="separate"/>
      </w:r>
      <w:r w:rsidR="00542564">
        <w:t xml:space="preserve">Table </w:t>
      </w:r>
      <w:r w:rsidR="00542564">
        <w:rPr>
          <w:noProof/>
        </w:rPr>
        <w:t>1</w:t>
      </w:r>
      <w:r w:rsidR="00A9161C">
        <w:fldChar w:fldCharType="end"/>
      </w:r>
      <w:r w:rsidR="00A9161C">
        <w:t xml:space="preserve">. </w:t>
      </w:r>
      <w:r>
        <w:t xml:space="preserve">The </w:t>
      </w:r>
      <w:r w:rsidR="00E92F6B">
        <w:t xml:space="preserve">resulting </w:t>
      </w:r>
      <w:r>
        <w:t>cost to the scheme has been estimated at $11.4 million per new accident year, leading to an additional liability of $67.</w:t>
      </w:r>
      <w:r w:rsidR="004C285D">
        <w:t xml:space="preserve">5 </w:t>
      </w:r>
      <w:r>
        <w:t xml:space="preserve">million for </w:t>
      </w:r>
      <w:r w:rsidR="000604C5">
        <w:t xml:space="preserve">the </w:t>
      </w:r>
      <w:r>
        <w:t>TAC.</w:t>
      </w:r>
    </w:p>
    <w:p w:rsidR="00E521BC" w:rsidRDefault="00B93E0B" w:rsidP="00CF7295">
      <w:pPr>
        <w:pStyle w:val="ListBullet"/>
        <w:numPr>
          <w:ilvl w:val="0"/>
          <w:numId w:val="0"/>
        </w:numPr>
        <w:rPr>
          <w:i/>
          <w:color w:val="A32020" w:themeColor="text2"/>
          <w:sz w:val="28"/>
          <w:szCs w:val="28"/>
        </w:rPr>
      </w:pPr>
      <w:r w:rsidRPr="00CF7295">
        <w:rPr>
          <w:i/>
          <w:color w:val="A32020" w:themeColor="text2"/>
          <w:sz w:val="28"/>
          <w:szCs w:val="28"/>
        </w:rPr>
        <w:t>Options</w:t>
      </w:r>
    </w:p>
    <w:p w:rsidR="00275394" w:rsidRDefault="00275394" w:rsidP="00CF7295">
      <w:pPr>
        <w:pStyle w:val="ListBullet"/>
        <w:numPr>
          <w:ilvl w:val="0"/>
          <w:numId w:val="0"/>
        </w:numPr>
      </w:pPr>
      <w:r>
        <w:t xml:space="preserve">The TAC has proposed to rectify the consequences of </w:t>
      </w:r>
      <w:r w:rsidRPr="00A11933">
        <w:t>the wording in DRE Category IV</w:t>
      </w:r>
      <w:r>
        <w:t xml:space="preserve"> through enacting the Guides Modification Document</w:t>
      </w:r>
      <w:r w:rsidR="00210BEF">
        <w:t xml:space="preserve"> (GMD)</w:t>
      </w:r>
      <w:r>
        <w:t xml:space="preserve"> which can override the relevant sections of the Guides’ methodology for spinal impairment assessments.</w:t>
      </w:r>
      <w:r w:rsidR="0085390C">
        <w:t xml:space="preserve"> </w:t>
      </w:r>
      <w:r w:rsidR="005234B2">
        <w:t>Due to the complexity of the Guides</w:t>
      </w:r>
      <w:r w:rsidR="005D3112">
        <w:t>,</w:t>
      </w:r>
      <w:r w:rsidR="0012591B">
        <w:t xml:space="preserve"> the GMD is seen as the only viable alternative to achieve the TAC’s objectives.</w:t>
      </w:r>
    </w:p>
    <w:p w:rsidR="00275394" w:rsidRDefault="00275394" w:rsidP="001E49D4">
      <w:pPr>
        <w:pStyle w:val="PwCNormal"/>
      </w:pPr>
      <w:r>
        <w:t>The document has been developed by an independent Spinal Expert Panel</w:t>
      </w:r>
      <w:r w:rsidR="002F3B13">
        <w:t>,</w:t>
      </w:r>
      <w:r>
        <w:t xml:space="preserve"> which has provided a gradated assessment of multiple fractures based on the increasing severity of certain spinal fractures. </w:t>
      </w:r>
      <w:r w:rsidR="00765D8B">
        <w:t xml:space="preserve">Under the proposed change, only spinal surgeries and fractures that have the capacity to compromise the spinal structure will be assessed as DRE IV. The GMD also provides a new DRE Category III rating, however no other section of the Guides (outside spinal impairment assessment) will be amended. </w:t>
      </w:r>
      <w:r>
        <w:t>T</w:t>
      </w:r>
      <w:r w:rsidRPr="00A11933">
        <w:t xml:space="preserve">he document </w:t>
      </w:r>
      <w:r w:rsidRPr="006726EF">
        <w:t xml:space="preserve">sets out which </w:t>
      </w:r>
      <w:r w:rsidR="00DE0D95" w:rsidRPr="00E521BC">
        <w:rPr>
          <w:i/>
        </w:rPr>
        <w:t>S</w:t>
      </w:r>
      <w:r w:rsidRPr="00E521BC">
        <w:rPr>
          <w:i/>
        </w:rPr>
        <w:t xml:space="preserve">tructural </w:t>
      </w:r>
      <w:r w:rsidR="00DE0D95" w:rsidRPr="00E521BC">
        <w:rPr>
          <w:i/>
        </w:rPr>
        <w:lastRenderedPageBreak/>
        <w:t>I</w:t>
      </w:r>
      <w:r w:rsidRPr="00E521BC">
        <w:rPr>
          <w:i/>
        </w:rPr>
        <w:t>nclusions</w:t>
      </w:r>
      <w:r w:rsidRPr="004373CE">
        <w:t xml:space="preserve"> justify a DRE Category IV rating and by implication what </w:t>
      </w:r>
      <w:r w:rsidR="00DE0D95" w:rsidRPr="00E521BC">
        <w:rPr>
          <w:i/>
        </w:rPr>
        <w:t>S</w:t>
      </w:r>
      <w:r w:rsidRPr="00E521BC">
        <w:rPr>
          <w:i/>
        </w:rPr>
        <w:t xml:space="preserve">tructural </w:t>
      </w:r>
      <w:r w:rsidR="00DE0D95" w:rsidRPr="00E521BC">
        <w:rPr>
          <w:i/>
        </w:rPr>
        <w:t>I</w:t>
      </w:r>
      <w:r w:rsidRPr="00E521BC">
        <w:rPr>
          <w:i/>
        </w:rPr>
        <w:t>nclusions</w:t>
      </w:r>
      <w:r w:rsidRPr="006726EF">
        <w:t xml:space="preserve"> justify DRE I</w:t>
      </w:r>
      <w:r w:rsidRPr="00D24AD7">
        <w:t xml:space="preserve"> to </w:t>
      </w:r>
      <w:r w:rsidRPr="006726EF">
        <w:t>III and DRE</w:t>
      </w:r>
      <w:r>
        <w:t xml:space="preserve"> </w:t>
      </w:r>
      <w:r w:rsidRPr="006726EF">
        <w:t>V</w:t>
      </w:r>
      <w:r>
        <w:t xml:space="preserve">. The document also </w:t>
      </w:r>
      <w:r w:rsidRPr="006726EF">
        <w:t>provide</w:t>
      </w:r>
      <w:r>
        <w:t>s</w:t>
      </w:r>
      <w:r w:rsidRPr="006726EF">
        <w:t xml:space="preserve"> </w:t>
      </w:r>
      <w:r>
        <w:t xml:space="preserve">four </w:t>
      </w:r>
      <w:r w:rsidRPr="006726EF">
        <w:t>gradat</w:t>
      </w:r>
      <w:r>
        <w:t>ions of</w:t>
      </w:r>
      <w:r w:rsidRPr="006726EF">
        <w:t xml:space="preserve"> DRE Categor</w:t>
      </w:r>
      <w:r>
        <w:t xml:space="preserve">ies </w:t>
      </w:r>
      <w:r w:rsidRPr="006726EF">
        <w:t xml:space="preserve">for </w:t>
      </w:r>
      <w:r>
        <w:t xml:space="preserve">spinal surgery and procedures </w:t>
      </w:r>
      <w:r w:rsidRPr="006726EF">
        <w:t>including a modifier to the assessment based</w:t>
      </w:r>
      <w:r>
        <w:t xml:space="preserve"> on </w:t>
      </w:r>
      <w:r w:rsidRPr="006726EF">
        <w:t>wh</w:t>
      </w:r>
      <w:r>
        <w:t>e</w:t>
      </w:r>
      <w:r w:rsidRPr="006726EF">
        <w:t>ther radiculopathy is present after surgery or not.</w:t>
      </w:r>
      <w:r w:rsidRPr="006726EF">
        <w:rPr>
          <w:color w:val="FFFFFF"/>
          <w:shd w:val="clear" w:color="auto" w:fill="000000"/>
        </w:rPr>
        <w:t xml:space="preserve"> </w:t>
      </w:r>
    </w:p>
    <w:p w:rsidR="00695DA7" w:rsidRDefault="00837C36" w:rsidP="001E49D4">
      <w:pPr>
        <w:pStyle w:val="PwCNormal"/>
      </w:pPr>
      <w:r>
        <w:t>The proposed GMD</w:t>
      </w:r>
      <w:r w:rsidR="00E45A26">
        <w:t>, expected to be released on 1 July 2014,</w:t>
      </w:r>
      <w:r>
        <w:t xml:space="preserve"> will place approximately 80 per cent of these claimants at a pre-</w:t>
      </w:r>
      <w:proofErr w:type="spellStart"/>
      <w:r>
        <w:t>Serwylo</w:t>
      </w:r>
      <w:proofErr w:type="spellEnd"/>
      <w:r>
        <w:t xml:space="preserve"> level of impairment.</w:t>
      </w:r>
      <w:r w:rsidR="00765D8B">
        <w:rPr>
          <w:rStyle w:val="FootnoteReference"/>
        </w:rPr>
        <w:footnoteReference w:id="4"/>
      </w:r>
      <w:r w:rsidR="00765D8B" w:rsidRPr="00B30EBB">
        <w:t xml:space="preserve"> </w:t>
      </w:r>
      <w:r w:rsidR="007453E9">
        <w:t>According to the TAC, t</w:t>
      </w:r>
      <w:r w:rsidRPr="00B30EBB">
        <w:t>he Expert Panel’s approach did not fully restore the pre-</w:t>
      </w:r>
      <w:proofErr w:type="spellStart"/>
      <w:r w:rsidRPr="00B30EBB">
        <w:t>Serwylo</w:t>
      </w:r>
      <w:proofErr w:type="spellEnd"/>
      <w:r w:rsidRPr="00B30EBB">
        <w:t xml:space="preserve"> position as it was</w:t>
      </w:r>
      <w:r w:rsidR="007453E9">
        <w:t xml:space="preserve"> an</w:t>
      </w:r>
      <w:r w:rsidRPr="00B30EBB">
        <w:t xml:space="preserve"> inadequate method of assessing the diverse range of multiple spinal fractures and there was little information about how the consequences of spinal surgery should be assessed.</w:t>
      </w:r>
    </w:p>
    <w:p w:rsidR="00695DA7" w:rsidRDefault="00695DA7" w:rsidP="001E49D4">
      <w:pPr>
        <w:pStyle w:val="PwCNormal"/>
      </w:pPr>
      <w:r>
        <w:t xml:space="preserve">In </w:t>
      </w:r>
      <w:r w:rsidR="0008065D">
        <w:t>addition</w:t>
      </w:r>
      <w:r>
        <w:t xml:space="preserve">, the </w:t>
      </w:r>
      <w:r w:rsidR="0008065D">
        <w:t xml:space="preserve">other </w:t>
      </w:r>
      <w:r>
        <w:t xml:space="preserve">areas that were </w:t>
      </w:r>
      <w:r w:rsidR="0008065D">
        <w:t xml:space="preserve">considered in the </w:t>
      </w:r>
      <w:r w:rsidR="007453E9">
        <w:t xml:space="preserve">development of the </w:t>
      </w:r>
      <w:r w:rsidR="0008065D">
        <w:t>GMD included:</w:t>
      </w:r>
    </w:p>
    <w:p w:rsidR="0008065D" w:rsidRDefault="009357CE" w:rsidP="001E49D4">
      <w:pPr>
        <w:pStyle w:val="ListBullet"/>
      </w:pPr>
      <w:r>
        <w:t>d</w:t>
      </w:r>
      <w:r w:rsidR="0008065D">
        <w:t>etailed definitions of what parts of the spine constituted each assessment region (clause 5 of the GMD)</w:t>
      </w:r>
    </w:p>
    <w:p w:rsidR="0008065D" w:rsidRDefault="009357CE" w:rsidP="001E49D4">
      <w:pPr>
        <w:pStyle w:val="ListBullet"/>
      </w:pPr>
      <w:r>
        <w:t>a</w:t>
      </w:r>
      <w:r w:rsidR="0008065D">
        <w:t xml:space="preserve"> new definition of fracture (section 3.4 of the GMD)</w:t>
      </w:r>
    </w:p>
    <w:p w:rsidR="0008065D" w:rsidRDefault="009357CE" w:rsidP="001E49D4">
      <w:pPr>
        <w:pStyle w:val="ListBullet"/>
      </w:pPr>
      <w:r>
        <w:t>c</w:t>
      </w:r>
      <w:r w:rsidR="0008065D">
        <w:t>lear direction on the assessment of fractures</w:t>
      </w:r>
      <w:r w:rsidR="005B29E1">
        <w:t>.</w:t>
      </w:r>
    </w:p>
    <w:p w:rsidR="00275394" w:rsidRDefault="00560302" w:rsidP="001E49D4">
      <w:pPr>
        <w:pStyle w:val="PwCNormal"/>
      </w:pPr>
      <w:r>
        <w:t>Th</w:t>
      </w:r>
      <w:r w:rsidR="00E521BC">
        <w:t>is RIS co</w:t>
      </w:r>
      <w:r>
        <w:t>nsider</w:t>
      </w:r>
      <w:r w:rsidR="00E521BC">
        <w:t>s</w:t>
      </w:r>
      <w:r>
        <w:t xml:space="preserve"> two options in relation to the implementation</w:t>
      </w:r>
      <w:r w:rsidR="007A1815">
        <w:t xml:space="preserve"> and timing</w:t>
      </w:r>
      <w:r>
        <w:t xml:space="preserve"> of the GMD</w:t>
      </w:r>
      <w:r w:rsidR="00E521BC">
        <w:t>.</w:t>
      </w:r>
      <w:r>
        <w:t xml:space="preserve"> </w:t>
      </w:r>
      <w:r w:rsidR="00275394">
        <w:t xml:space="preserve">The </w:t>
      </w:r>
      <w:r w:rsidR="007A1815">
        <w:t xml:space="preserve">implementation </w:t>
      </w:r>
      <w:r w:rsidR="00275394">
        <w:t>options are differentiated by the timing of their application</w:t>
      </w:r>
      <w:r>
        <w:t>, which has implications for the number of claimants directly affected</w:t>
      </w:r>
      <w:r w:rsidR="00275394">
        <w:t xml:space="preserve">. </w:t>
      </w:r>
      <w:r w:rsidR="007A1815">
        <w:t xml:space="preserve">Implementation </w:t>
      </w:r>
      <w:r w:rsidR="00275394">
        <w:t xml:space="preserve">Option 1 would apply the </w:t>
      </w:r>
      <w:r w:rsidR="0033690E">
        <w:t xml:space="preserve">GMD </w:t>
      </w:r>
      <w:r w:rsidR="00275394">
        <w:t xml:space="preserve">to all persons injured on or after </w:t>
      </w:r>
      <w:r w:rsidR="00D4325D">
        <w:t xml:space="preserve">the </w:t>
      </w:r>
      <w:r w:rsidR="00275394">
        <w:t xml:space="preserve">1 </w:t>
      </w:r>
      <w:r w:rsidR="00E45A26">
        <w:t>September</w:t>
      </w:r>
      <w:r w:rsidR="00275394">
        <w:t xml:space="preserve"> 2014</w:t>
      </w:r>
      <w:r w:rsidR="00E45A26">
        <w:t xml:space="preserve"> (two months after the expected release date of 1 July 2014)</w:t>
      </w:r>
      <w:r w:rsidR="00275394">
        <w:t>. This would mean that claimants who have been injured previously and are currently waiting to be assessed would not be affected by the change.</w:t>
      </w:r>
    </w:p>
    <w:p w:rsidR="00590E06" w:rsidRPr="00A21652" w:rsidRDefault="007A1815" w:rsidP="001E49D4">
      <w:pPr>
        <w:pStyle w:val="PwCNormal"/>
      </w:pPr>
      <w:r>
        <w:t>Implementation</w:t>
      </w:r>
      <w:r w:rsidRPr="00590E06">
        <w:t xml:space="preserve"> </w:t>
      </w:r>
      <w:r w:rsidR="00640C85" w:rsidRPr="00590E06">
        <w:t xml:space="preserve">Option </w:t>
      </w:r>
      <w:r w:rsidR="00473D22" w:rsidRPr="00590E06">
        <w:t>2</w:t>
      </w:r>
      <w:r w:rsidR="00640C85" w:rsidRPr="00590E06">
        <w:t xml:space="preserve"> would apply to claimants who undergo their impairment assessment examinations on or after 1 January 2015.</w:t>
      </w:r>
      <w:r w:rsidR="00CE0E7A">
        <w:t xml:space="preserve"> </w:t>
      </w:r>
      <w:r w:rsidR="00560302" w:rsidRPr="00590E06">
        <w:t>The date of 1 January 2015 was selected on the basis that there is traditionally a six month waiting list for medical assessments</w:t>
      </w:r>
      <w:r w:rsidR="00966142">
        <w:t xml:space="preserve"> </w:t>
      </w:r>
      <w:r w:rsidR="00BF19FA">
        <w:t>with</w:t>
      </w:r>
      <w:r w:rsidR="00966142">
        <w:t xml:space="preserve"> many claimants booked into their impairment assessments in advance</w:t>
      </w:r>
      <w:r w:rsidR="00D4325D" w:rsidRPr="00590E06">
        <w:t>.</w:t>
      </w:r>
      <w:r w:rsidR="00E45A26">
        <w:rPr>
          <w:rStyle w:val="FootnoteReference"/>
        </w:rPr>
        <w:footnoteReference w:id="5"/>
      </w:r>
      <w:r w:rsidR="00D4325D" w:rsidRPr="00590E06">
        <w:t xml:space="preserve"> Therefore, </w:t>
      </w:r>
      <w:r>
        <w:t>Implementation</w:t>
      </w:r>
      <w:r w:rsidRPr="00590E06">
        <w:t xml:space="preserve"> </w:t>
      </w:r>
      <w:r w:rsidR="00D4325D" w:rsidRPr="00590E06">
        <w:t xml:space="preserve">Option 2 provides a buffer for </w:t>
      </w:r>
      <w:r w:rsidR="00590E06" w:rsidRPr="00A21652">
        <w:t xml:space="preserve">those </w:t>
      </w:r>
      <w:r w:rsidR="00D4325D" w:rsidRPr="00590E06">
        <w:t xml:space="preserve">claimants </w:t>
      </w:r>
      <w:r w:rsidR="002D3302">
        <w:t xml:space="preserve">with minor fractures </w:t>
      </w:r>
      <w:r w:rsidR="00D4325D" w:rsidRPr="00590E06">
        <w:t xml:space="preserve">that are already booked in for their assessment </w:t>
      </w:r>
      <w:r w:rsidR="002D3302">
        <w:t xml:space="preserve">prior to </w:t>
      </w:r>
      <w:r w:rsidR="00966142">
        <w:t xml:space="preserve">1 January 2015 </w:t>
      </w:r>
      <w:r w:rsidR="00BF19FA">
        <w:t>to be assessed using the current methodology.</w:t>
      </w:r>
      <w:r w:rsidR="0023507D">
        <w:t xml:space="preserve"> </w:t>
      </w:r>
    </w:p>
    <w:p w:rsidR="00275394" w:rsidRPr="00A21652" w:rsidRDefault="007A1815" w:rsidP="001E49D4">
      <w:pPr>
        <w:pStyle w:val="PwCNormal"/>
        <w:rPr>
          <w:highlight w:val="yellow"/>
        </w:rPr>
      </w:pPr>
      <w:r>
        <w:t>Implementation</w:t>
      </w:r>
      <w:r w:rsidRPr="00A21652">
        <w:t xml:space="preserve"> </w:t>
      </w:r>
      <w:r w:rsidR="00590E06" w:rsidRPr="00A21652">
        <w:t xml:space="preserve">Option 2 is distinctly different from </w:t>
      </w:r>
      <w:r>
        <w:t>Implementation</w:t>
      </w:r>
      <w:r w:rsidRPr="00A21652">
        <w:t xml:space="preserve"> </w:t>
      </w:r>
      <w:r w:rsidR="00590E06" w:rsidRPr="00A21652">
        <w:t xml:space="preserve">Option 1 in that it </w:t>
      </w:r>
      <w:r w:rsidR="00676E0B">
        <w:t>is</w:t>
      </w:r>
      <w:r w:rsidR="00A021B1">
        <w:t xml:space="preserve"> partially</w:t>
      </w:r>
      <w:r w:rsidR="00676E0B">
        <w:t xml:space="preserve"> </w:t>
      </w:r>
      <w:r w:rsidR="00676E0B" w:rsidRPr="00437534">
        <w:t>retrospective</w:t>
      </w:r>
      <w:r w:rsidR="00676E0B" w:rsidRPr="007404CB">
        <w:t>,</w:t>
      </w:r>
      <w:r w:rsidR="00676E0B">
        <w:t xml:space="preserve"> capturing </w:t>
      </w:r>
      <w:r w:rsidR="001F2F9F">
        <w:t xml:space="preserve">a portion </w:t>
      </w:r>
      <w:r w:rsidR="00275394" w:rsidRPr="00590E06">
        <w:t xml:space="preserve">of claimants injured prior </w:t>
      </w:r>
      <w:r w:rsidR="00C51FCB" w:rsidRPr="00590E06">
        <w:t>to 1</w:t>
      </w:r>
      <w:r w:rsidR="00E45A26">
        <w:t xml:space="preserve"> September 2014.</w:t>
      </w:r>
    </w:p>
    <w:p w:rsidR="00B93E0B" w:rsidRPr="00E521BC" w:rsidRDefault="00B93E0B" w:rsidP="00C413FD">
      <w:pPr>
        <w:pStyle w:val="PwCNormal"/>
        <w:keepNext/>
        <w:keepLines/>
        <w:numPr>
          <w:ilvl w:val="0"/>
          <w:numId w:val="0"/>
        </w:numPr>
      </w:pPr>
      <w:r w:rsidRPr="00AF58B8">
        <w:rPr>
          <w:i/>
          <w:color w:val="A32020" w:themeColor="text2"/>
          <w:sz w:val="28"/>
          <w:szCs w:val="28"/>
        </w:rPr>
        <w:t>Analysis and conclusion</w:t>
      </w:r>
    </w:p>
    <w:p w:rsidR="00370F3E" w:rsidRPr="00177B79" w:rsidRDefault="00370F3E" w:rsidP="00370F3E">
      <w:pPr>
        <w:pStyle w:val="PwCNormal"/>
        <w:keepNext/>
        <w:keepLines/>
        <w:rPr>
          <w:b/>
          <w:i/>
        </w:rPr>
      </w:pPr>
      <w:r>
        <w:t xml:space="preserve">The key benefit of the implementation options relates to equity, specifically </w:t>
      </w:r>
      <w:r w:rsidRPr="00177B79">
        <w:t xml:space="preserve">the extent to which </w:t>
      </w:r>
      <w:r>
        <w:t>a</w:t>
      </w:r>
      <w:r w:rsidRPr="00177B79">
        <w:t xml:space="preserve"> </w:t>
      </w:r>
      <w:r w:rsidR="009C390A">
        <w:t>‘</w:t>
      </w:r>
      <w:r w:rsidRPr="00177B79">
        <w:t>pre-</w:t>
      </w:r>
      <w:proofErr w:type="spellStart"/>
      <w:r w:rsidRPr="00177B79">
        <w:t>Serwylo</w:t>
      </w:r>
      <w:proofErr w:type="spellEnd"/>
      <w:r w:rsidR="009C390A">
        <w:t>’</w:t>
      </w:r>
      <w:r w:rsidRPr="00177B79">
        <w:t xml:space="preserve"> situation is restored</w:t>
      </w:r>
      <w:r>
        <w:t>. There are two aspects to equity:</w:t>
      </w:r>
    </w:p>
    <w:p w:rsidR="00370F3E" w:rsidRPr="00F73453" w:rsidRDefault="00370F3E" w:rsidP="00370F3E">
      <w:pPr>
        <w:pStyle w:val="ListBullet"/>
        <w:keepNext/>
        <w:keepLines/>
      </w:pPr>
      <w:r>
        <w:t>Horizontal equity refers to treating people with similar characteristics in similar ways.</w:t>
      </w:r>
      <w:r>
        <w:rPr>
          <w:rStyle w:val="FootnoteReference"/>
        </w:rPr>
        <w:footnoteReference w:id="6"/>
      </w:r>
      <w:r>
        <w:t xml:space="preserve"> In this context, it refers to claimants with similar functional impairment receiving similar </w:t>
      </w:r>
      <w:r w:rsidRPr="00F73453">
        <w:t>levels of compensation. This RIS focusses on horizontal equity.</w:t>
      </w:r>
    </w:p>
    <w:p w:rsidR="00370F3E" w:rsidRPr="0070528C" w:rsidRDefault="00370F3E" w:rsidP="00370F3E">
      <w:pPr>
        <w:pStyle w:val="ListBullet"/>
        <w:keepNext/>
        <w:keepLines/>
        <w:rPr>
          <w:rStyle w:val="FootnoteReference"/>
          <w:sz w:val="20"/>
          <w:vertAlign w:val="baseline"/>
        </w:rPr>
      </w:pPr>
      <w:r w:rsidRPr="00DA2AF8">
        <w:t>Vertical equity refers to the notion that persons in different situations should be treated differently according to their level of need. In this case, vertical equit</w:t>
      </w:r>
      <w:r w:rsidRPr="003C217B">
        <w:t>y means that people with more severe injuries receive higher compensation</w:t>
      </w:r>
      <w:r w:rsidRPr="00631D4B">
        <w:t>.</w:t>
      </w:r>
      <w:r w:rsidRPr="0070528C">
        <w:rPr>
          <w:rStyle w:val="FootnoteReference"/>
        </w:rPr>
        <w:footnoteReference w:id="7"/>
      </w:r>
      <w:r w:rsidRPr="0070528C" w:rsidDel="00814F70">
        <w:rPr>
          <w:rStyle w:val="FootnoteReference"/>
        </w:rPr>
        <w:t xml:space="preserve"> </w:t>
      </w:r>
    </w:p>
    <w:p w:rsidR="00370F3E" w:rsidRPr="0070528C" w:rsidRDefault="00370F3E" w:rsidP="00370F3E">
      <w:pPr>
        <w:pStyle w:val="ListBullet"/>
        <w:numPr>
          <w:ilvl w:val="0"/>
          <w:numId w:val="0"/>
        </w:numPr>
      </w:pPr>
      <w:r w:rsidRPr="0070528C">
        <w:t xml:space="preserve">Under Implementation Option 1, the date of the proposed GMD would be 1 September 2014. </w:t>
      </w:r>
      <w:r w:rsidRPr="00CA0CAC">
        <w:t xml:space="preserve">This implementation option will </w:t>
      </w:r>
      <w:r w:rsidRPr="00F73453">
        <w:t>directly impact 80 per cent</w:t>
      </w:r>
      <w:r w:rsidRPr="00F73453">
        <w:rPr>
          <w:rStyle w:val="FootnoteReference"/>
        </w:rPr>
        <w:footnoteReference w:id="8"/>
      </w:r>
      <w:r w:rsidRPr="00F73453">
        <w:t xml:space="preserve"> of claimants with multiple </w:t>
      </w:r>
      <w:r w:rsidRPr="002853FB">
        <w:lastRenderedPageBreak/>
        <w:t>spinal injuries</w:t>
      </w:r>
      <w:r w:rsidRPr="00CA0CAC">
        <w:t xml:space="preserve"> occurri</w:t>
      </w:r>
      <w:r w:rsidR="009C390A">
        <w:t>ng on or after 1 September 2014</w:t>
      </w:r>
      <w:r w:rsidRPr="002853FB">
        <w:t xml:space="preserve"> (1,</w:t>
      </w:r>
      <w:r w:rsidRPr="00CA0CAC">
        <w:t>251</w:t>
      </w:r>
      <w:r w:rsidRPr="00D217C4">
        <w:rPr>
          <w:rStyle w:val="FootnoteReference"/>
        </w:rPr>
        <w:footnoteReference w:id="9"/>
      </w:r>
      <w:r w:rsidRPr="00D217C4">
        <w:t>). This represents 5</w:t>
      </w:r>
      <w:r w:rsidRPr="00CA0CAC">
        <w:t>4</w:t>
      </w:r>
      <w:r w:rsidRPr="00D217C4">
        <w:t xml:space="preserve"> per cent</w:t>
      </w:r>
      <w:r w:rsidRPr="00D217C4">
        <w:rPr>
          <w:rStyle w:val="FootnoteReference"/>
        </w:rPr>
        <w:footnoteReference w:id="10"/>
      </w:r>
      <w:r w:rsidRPr="00D217C4">
        <w:t xml:space="preserve"> of the current and</w:t>
      </w:r>
      <w:r w:rsidRPr="00DA2AF8">
        <w:t xml:space="preserve"> </w:t>
      </w:r>
      <w:r w:rsidRPr="003C217B">
        <w:t xml:space="preserve">future claimants in the scheme (over the next ten years) with multiple fractures (i.e. the horizontal equity impact). </w:t>
      </w:r>
    </w:p>
    <w:p w:rsidR="00370F3E" w:rsidRPr="001E49D4" w:rsidRDefault="00370F3E" w:rsidP="00370F3E">
      <w:pPr>
        <w:pStyle w:val="PwCNormal"/>
        <w:rPr>
          <w:b/>
          <w:i/>
        </w:rPr>
      </w:pPr>
      <w:r w:rsidRPr="0070528C">
        <w:t xml:space="preserve">More broadly however, all persons entering the scheme on or after 1 </w:t>
      </w:r>
      <w:r w:rsidR="002D3FFF">
        <w:t>September</w:t>
      </w:r>
      <w:r w:rsidRPr="0070528C">
        <w:t xml:space="preserve"> 2014 would be placed on a more equitable footing. </w:t>
      </w:r>
      <w:r>
        <w:t xml:space="preserve">That is, there is a </w:t>
      </w:r>
      <w:r w:rsidRPr="0070528C">
        <w:t>vertical equity benefit for all other cases over the next ten years (13,</w:t>
      </w:r>
      <w:r w:rsidRPr="00CA0CAC">
        <w:t>187</w:t>
      </w:r>
      <w:r w:rsidRPr="00D217C4">
        <w:rPr>
          <w:rStyle w:val="FootnoteReference"/>
        </w:rPr>
        <w:footnoteReference w:id="11"/>
      </w:r>
      <w:r w:rsidRPr="00D217C4">
        <w:t>) whereby even though their own compensation level</w:t>
      </w:r>
      <w:r w:rsidRPr="00DA2AF8">
        <w:t xml:space="preserve"> will not</w:t>
      </w:r>
      <w:r w:rsidRPr="003C217B">
        <w:t xml:space="preserve"> change, they will receive a more equitable amount (in a relative sense when compared with multiple fractures claims).</w:t>
      </w:r>
    </w:p>
    <w:p w:rsidR="00370F3E" w:rsidRDefault="00370F3E" w:rsidP="00370F3E">
      <w:pPr>
        <w:pStyle w:val="PwCNormal"/>
        <w:numPr>
          <w:ilvl w:val="0"/>
          <w:numId w:val="0"/>
        </w:numPr>
      </w:pPr>
      <w:r>
        <w:t>In Implementation Option 2, impacted persons are determined by their assessment examination date rather than their accident date. As it is not possible to be assessed prior to the date of accident, the new GMD will capture every claimant with an accident date of 1 January 2015 and beyond. In addition, we have assumed that no claimant can obtain an assessment within six months of their accident date. Hence, Implementation Option 2 captures the 80 per cent of future claimants outlined in</w:t>
      </w:r>
      <w:r w:rsidR="00CE0E7A">
        <w:t xml:space="preserve"> </w:t>
      </w:r>
      <w:r w:rsidR="00CE0E7A">
        <w:fldChar w:fldCharType="begin"/>
      </w:r>
      <w:r w:rsidR="00CE0E7A">
        <w:instrText xml:space="preserve"> REF _Ref391388713 \h </w:instrText>
      </w:r>
      <w:r w:rsidR="00CE0E7A">
        <w:fldChar w:fldCharType="separate"/>
      </w:r>
      <w:r w:rsidR="00542564">
        <w:t xml:space="preserve">Table </w:t>
      </w:r>
      <w:r w:rsidR="00542564">
        <w:rPr>
          <w:noProof/>
        </w:rPr>
        <w:t>2</w:t>
      </w:r>
      <w:r w:rsidR="00CE0E7A">
        <w:fldChar w:fldCharType="end"/>
      </w:r>
      <w:r>
        <w:t xml:space="preserve">, which represents the claimants affected under Implementation Option 1 plus the two months of claimants injured between 1 July 2014 and </w:t>
      </w:r>
      <w:r w:rsidR="0073755B">
        <w:t>31 August</w:t>
      </w:r>
      <w:r>
        <w:t xml:space="preserve"> 2014.</w:t>
      </w:r>
    </w:p>
    <w:p w:rsidR="00370F3E" w:rsidRDefault="00370F3E" w:rsidP="00370F3E">
      <w:pPr>
        <w:pStyle w:val="PwCNormal"/>
        <w:numPr>
          <w:ilvl w:val="0"/>
          <w:numId w:val="0"/>
        </w:numPr>
      </w:pPr>
      <w:r>
        <w:t xml:space="preserve">Furthermore, Implementation Option 2 also has a retrospective impact as a proportion of </w:t>
      </w:r>
      <w:r w:rsidR="002D3FFF">
        <w:t xml:space="preserve">existing </w:t>
      </w:r>
      <w:r>
        <w:t>claimants</w:t>
      </w:r>
      <w:r w:rsidR="002D3FFF">
        <w:rPr>
          <w:rStyle w:val="FootnoteReference"/>
        </w:rPr>
        <w:footnoteReference w:id="12"/>
      </w:r>
      <w:r>
        <w:t xml:space="preserve"> with an accident date prior to 1 July 2014 will also be impacted by the GMD. Data provided by the TAC has indicated that the number of claimants in the scheme </w:t>
      </w:r>
      <w:r w:rsidR="00B1399E">
        <w:t xml:space="preserve">receiving impairment benefits </w:t>
      </w:r>
      <w:r>
        <w:t xml:space="preserve">at any point in time remains relatively </w:t>
      </w:r>
      <w:proofErr w:type="gramStart"/>
      <w:r>
        <w:t>constant,</w:t>
      </w:r>
      <w:proofErr w:type="gramEnd"/>
      <w:r>
        <w:t xml:space="preserve"> hence the current claimant figures outlined in </w:t>
      </w:r>
      <w:r w:rsidR="00CE0E7A">
        <w:fldChar w:fldCharType="begin"/>
      </w:r>
      <w:r w:rsidR="00CE0E7A">
        <w:instrText xml:space="preserve"> REF _Ref391388713 \h </w:instrText>
      </w:r>
      <w:r w:rsidR="00CE0E7A">
        <w:fldChar w:fldCharType="separate"/>
      </w:r>
      <w:r w:rsidR="00542564">
        <w:t xml:space="preserve">Table </w:t>
      </w:r>
      <w:r w:rsidR="00542564">
        <w:rPr>
          <w:noProof/>
        </w:rPr>
        <w:t>2</w:t>
      </w:r>
      <w:r w:rsidR="00CE0E7A">
        <w:fldChar w:fldCharType="end"/>
      </w:r>
      <w:r>
        <w:t xml:space="preserve"> below can be used.</w:t>
      </w:r>
    </w:p>
    <w:p w:rsidR="00370F3E" w:rsidRDefault="00370F3E" w:rsidP="00370F3E">
      <w:pPr>
        <w:pStyle w:val="Caption"/>
      </w:pPr>
      <w:bookmarkStart w:id="21" w:name="_Ref391388713"/>
      <w:r>
        <w:t xml:space="preserve">Table </w:t>
      </w:r>
      <w:fldSimple w:instr=" SEQ Table \* ARABIC ">
        <w:r w:rsidR="00542564">
          <w:rPr>
            <w:noProof/>
          </w:rPr>
          <w:t>2</w:t>
        </w:r>
      </w:fldSimple>
      <w:bookmarkEnd w:id="21"/>
      <w:r>
        <w:t>: Number of existing and future claimants (over 10 years)</w:t>
      </w:r>
    </w:p>
    <w:tbl>
      <w:tblPr>
        <w:tblStyle w:val="LightList-Accent1"/>
        <w:tblW w:w="4897" w:type="pct"/>
        <w:tblLayout w:type="fixed"/>
        <w:tblLook w:val="04A0" w:firstRow="1" w:lastRow="0" w:firstColumn="1" w:lastColumn="0" w:noHBand="0" w:noVBand="1"/>
      </w:tblPr>
      <w:tblGrid>
        <w:gridCol w:w="2064"/>
        <w:gridCol w:w="2065"/>
        <w:gridCol w:w="2067"/>
        <w:gridCol w:w="2067"/>
      </w:tblGrid>
      <w:tr w:rsidR="00370F3E" w:rsidRPr="00B214B1" w:rsidTr="008173D8">
        <w:trPr>
          <w:cnfStyle w:val="100000000000" w:firstRow="1" w:lastRow="0" w:firstColumn="0" w:lastColumn="0" w:oddVBand="0" w:evenVBand="0" w:oddHBand="0"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2064" w:type="dxa"/>
            <w:tcBorders>
              <w:top w:val="nil"/>
              <w:left w:val="nil"/>
              <w:bottom w:val="single" w:sz="8" w:space="0" w:color="FFFFFF" w:themeColor="background2"/>
              <w:right w:val="single" w:sz="8" w:space="0" w:color="FFFFFF" w:themeColor="background2"/>
            </w:tcBorders>
            <w:shd w:val="clear" w:color="auto" w:fill="FFFFFF" w:themeFill="background1"/>
          </w:tcPr>
          <w:p w:rsidR="00370F3E" w:rsidRPr="0005334C" w:rsidRDefault="00370F3E" w:rsidP="008173D8">
            <w:pPr>
              <w:pStyle w:val="TableColumnHeadingNormal"/>
              <w:rPr>
                <w:rFonts w:asciiTheme="minorHAnsi" w:hAnsiTheme="minorHAnsi" w:cstheme="minorHAnsi"/>
                <w:sz w:val="16"/>
                <w:szCs w:val="16"/>
              </w:rPr>
            </w:pPr>
          </w:p>
        </w:tc>
        <w:tc>
          <w:tcPr>
            <w:tcW w:w="6199" w:type="dxa"/>
            <w:gridSpan w:val="3"/>
            <w:tcBorders>
              <w:top w:val="nil"/>
              <w:left w:val="single" w:sz="8" w:space="0" w:color="FFFFFF" w:themeColor="background2"/>
              <w:bottom w:val="single" w:sz="8" w:space="0" w:color="FFFFFF" w:themeColor="background2"/>
            </w:tcBorders>
          </w:tcPr>
          <w:p w:rsidR="00370F3E" w:rsidRPr="0005334C" w:rsidRDefault="00370F3E" w:rsidP="008173D8">
            <w:pPr>
              <w:pStyle w:val="TableColumnHeadingNormal"/>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16"/>
                <w:szCs w:val="16"/>
              </w:rPr>
            </w:pPr>
            <w:r>
              <w:rPr>
                <w:rFonts w:asciiTheme="minorHAnsi" w:hAnsiTheme="minorHAnsi" w:cstheme="minorHAnsi"/>
                <w:color w:val="FFFFFF" w:themeColor="background1"/>
                <w:sz w:val="16"/>
                <w:szCs w:val="16"/>
              </w:rPr>
              <w:t>Accident</w:t>
            </w:r>
            <w:r w:rsidRPr="0005334C">
              <w:rPr>
                <w:rFonts w:asciiTheme="minorHAnsi" w:hAnsiTheme="minorHAnsi" w:cstheme="minorHAnsi"/>
                <w:color w:val="FFFFFF" w:themeColor="background1"/>
                <w:sz w:val="16"/>
                <w:szCs w:val="16"/>
              </w:rPr>
              <w:t xml:space="preserve"> date</w:t>
            </w:r>
          </w:p>
        </w:tc>
      </w:tr>
      <w:tr w:rsidR="00370F3E" w:rsidRPr="00B214B1" w:rsidTr="008173D8">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064" w:type="dxa"/>
            <w:tcBorders>
              <w:top w:val="single" w:sz="8" w:space="0" w:color="FFFFFF" w:themeColor="background2"/>
              <w:left w:val="nil"/>
              <w:right w:val="single" w:sz="8" w:space="0" w:color="FFFFFF" w:themeColor="background2"/>
            </w:tcBorders>
            <w:shd w:val="clear" w:color="auto" w:fill="A32020" w:themeFill="text2"/>
            <w:vAlign w:val="center"/>
          </w:tcPr>
          <w:p w:rsidR="00370F3E" w:rsidRPr="0005334C" w:rsidRDefault="00370F3E" w:rsidP="008173D8">
            <w:pPr>
              <w:pStyle w:val="TableColumnHeadingNormal"/>
              <w:rPr>
                <w:rFonts w:asciiTheme="minorHAnsi" w:hAnsiTheme="minorHAnsi" w:cstheme="minorHAnsi"/>
                <w:b/>
                <w:color w:val="FFFFFF" w:themeColor="background1"/>
                <w:sz w:val="16"/>
                <w:szCs w:val="16"/>
              </w:rPr>
            </w:pPr>
            <w:r w:rsidRPr="0005334C">
              <w:rPr>
                <w:rFonts w:asciiTheme="minorHAnsi" w:hAnsiTheme="minorHAnsi" w:cstheme="minorHAnsi"/>
                <w:color w:val="FFFFFF" w:themeColor="background1"/>
                <w:sz w:val="16"/>
                <w:szCs w:val="16"/>
              </w:rPr>
              <w:t>Injury type</w:t>
            </w:r>
          </w:p>
        </w:tc>
        <w:tc>
          <w:tcPr>
            <w:tcW w:w="2065" w:type="dxa"/>
            <w:tcBorders>
              <w:top w:val="single" w:sz="8" w:space="0" w:color="FFFFFF" w:themeColor="background2"/>
              <w:left w:val="single" w:sz="8" w:space="0" w:color="FFFFFF" w:themeColor="background2"/>
              <w:right w:val="single" w:sz="8" w:space="0" w:color="FFFFFF" w:themeColor="background2"/>
            </w:tcBorders>
            <w:shd w:val="clear" w:color="auto" w:fill="E06161" w:themeFill="text2" w:themeFillTint="99"/>
            <w:vAlign w:val="center"/>
          </w:tcPr>
          <w:p w:rsidR="00370F3E" w:rsidRPr="0005334C" w:rsidRDefault="00370F3E" w:rsidP="008173D8">
            <w:pPr>
              <w:pStyle w:val="TableColumnHeading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16"/>
                <w:szCs w:val="16"/>
              </w:rPr>
            </w:pPr>
            <w:r w:rsidRPr="0005334C">
              <w:rPr>
                <w:rFonts w:asciiTheme="minorHAnsi" w:hAnsiTheme="minorHAnsi" w:cstheme="minorHAnsi"/>
                <w:color w:val="FFFFFF" w:themeColor="background1"/>
                <w:sz w:val="16"/>
                <w:szCs w:val="16"/>
              </w:rPr>
              <w:t xml:space="preserve">Existing </w:t>
            </w:r>
            <w:r>
              <w:rPr>
                <w:rFonts w:asciiTheme="minorHAnsi" w:hAnsiTheme="minorHAnsi" w:cstheme="minorHAnsi"/>
                <w:color w:val="FFFFFF" w:themeColor="background1"/>
                <w:sz w:val="16"/>
                <w:szCs w:val="16"/>
              </w:rPr>
              <w:t>claimants</w:t>
            </w:r>
            <w:r w:rsidRPr="0005334C">
              <w:rPr>
                <w:rFonts w:asciiTheme="minorHAnsi" w:hAnsiTheme="minorHAnsi" w:cstheme="minorHAnsi"/>
                <w:color w:val="FFFFFF" w:themeColor="background1"/>
                <w:sz w:val="16"/>
                <w:szCs w:val="16"/>
              </w:rPr>
              <w:t xml:space="preserve"> in the scheme at 1 July 2014 </w:t>
            </w:r>
          </w:p>
        </w:tc>
        <w:tc>
          <w:tcPr>
            <w:tcW w:w="2067" w:type="dxa"/>
            <w:tcBorders>
              <w:top w:val="single" w:sz="8" w:space="0" w:color="FFFFFF" w:themeColor="background2"/>
              <w:left w:val="single" w:sz="8" w:space="0" w:color="FFFFFF" w:themeColor="background2"/>
              <w:right w:val="single" w:sz="8" w:space="0" w:color="FFFFFF" w:themeColor="background2"/>
            </w:tcBorders>
            <w:shd w:val="clear" w:color="auto" w:fill="E06161" w:themeFill="text2" w:themeFillTint="99"/>
            <w:vAlign w:val="center"/>
          </w:tcPr>
          <w:p w:rsidR="00370F3E" w:rsidRPr="0005334C" w:rsidRDefault="00370F3E" w:rsidP="008173D8">
            <w:pPr>
              <w:pStyle w:val="TableColumnHeading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16"/>
                <w:szCs w:val="16"/>
              </w:rPr>
            </w:pPr>
            <w:r w:rsidRPr="0005334C">
              <w:rPr>
                <w:rFonts w:asciiTheme="minorHAnsi" w:hAnsiTheme="minorHAnsi" w:cstheme="minorHAnsi"/>
                <w:color w:val="FFFFFF" w:themeColor="background1"/>
                <w:sz w:val="16"/>
                <w:szCs w:val="16"/>
              </w:rPr>
              <w:t xml:space="preserve">Future </w:t>
            </w:r>
            <w:r>
              <w:rPr>
                <w:rFonts w:asciiTheme="minorHAnsi" w:hAnsiTheme="minorHAnsi" w:cstheme="minorHAnsi"/>
                <w:color w:val="FFFFFF" w:themeColor="background1"/>
                <w:sz w:val="16"/>
                <w:szCs w:val="16"/>
              </w:rPr>
              <w:t>accidents</w:t>
            </w:r>
            <w:r w:rsidRPr="0005334C">
              <w:rPr>
                <w:rFonts w:asciiTheme="minorHAnsi" w:hAnsiTheme="minorHAnsi" w:cstheme="minorHAnsi"/>
                <w:color w:val="FFFFFF" w:themeColor="background1"/>
                <w:sz w:val="16"/>
                <w:szCs w:val="16"/>
              </w:rPr>
              <w:t xml:space="preserve"> from 1 July 2014 (over 10 years)</w:t>
            </w:r>
          </w:p>
        </w:tc>
        <w:tc>
          <w:tcPr>
            <w:tcW w:w="2067" w:type="dxa"/>
            <w:tcBorders>
              <w:top w:val="single" w:sz="8" w:space="0" w:color="FFFFFF" w:themeColor="background2"/>
              <w:left w:val="single" w:sz="8" w:space="0" w:color="FFFFFF" w:themeColor="background2"/>
            </w:tcBorders>
            <w:shd w:val="clear" w:color="auto" w:fill="E06161" w:themeFill="text2" w:themeFillTint="99"/>
            <w:vAlign w:val="center"/>
          </w:tcPr>
          <w:p w:rsidR="00370F3E" w:rsidRPr="0005334C" w:rsidRDefault="00370F3E" w:rsidP="008173D8">
            <w:pPr>
              <w:pStyle w:val="TableColumnHeading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16"/>
                <w:szCs w:val="16"/>
              </w:rPr>
            </w:pPr>
            <w:r w:rsidRPr="0005334C">
              <w:rPr>
                <w:rFonts w:asciiTheme="minorHAnsi" w:hAnsiTheme="minorHAnsi" w:cstheme="minorHAnsi"/>
                <w:color w:val="FFFFFF" w:themeColor="background1"/>
                <w:sz w:val="16"/>
                <w:szCs w:val="16"/>
              </w:rPr>
              <w:t>Total</w:t>
            </w:r>
          </w:p>
        </w:tc>
      </w:tr>
      <w:tr w:rsidR="00370F3E" w:rsidRPr="00B214B1" w:rsidTr="008173D8">
        <w:trPr>
          <w:trHeight w:val="403"/>
        </w:trPr>
        <w:tc>
          <w:tcPr>
            <w:cnfStyle w:val="001000000000" w:firstRow="0" w:lastRow="0" w:firstColumn="1" w:lastColumn="0" w:oddVBand="0" w:evenVBand="0" w:oddHBand="0" w:evenHBand="0" w:firstRowFirstColumn="0" w:firstRowLastColumn="0" w:lastRowFirstColumn="0" w:lastRowLastColumn="0"/>
            <w:tcW w:w="2064" w:type="dxa"/>
            <w:tcBorders>
              <w:top w:val="single" w:sz="8" w:space="0" w:color="A32020" w:themeColor="accent1"/>
              <w:left w:val="single" w:sz="8" w:space="0" w:color="A32020" w:themeColor="accent1"/>
              <w:bottom w:val="single" w:sz="8" w:space="0" w:color="A32020" w:themeColor="accent1"/>
            </w:tcBorders>
            <w:shd w:val="clear" w:color="auto" w:fill="E06161" w:themeFill="text2" w:themeFillTint="99"/>
          </w:tcPr>
          <w:p w:rsidR="00370F3E" w:rsidRPr="0005334C" w:rsidRDefault="00370F3E" w:rsidP="008173D8">
            <w:pPr>
              <w:pStyle w:val="TableTextNormal"/>
              <w:rPr>
                <w:rFonts w:asciiTheme="minorHAnsi" w:hAnsiTheme="minorHAnsi" w:cstheme="minorHAnsi"/>
                <w:color w:val="FFFFFF" w:themeColor="background1"/>
                <w:sz w:val="16"/>
                <w:szCs w:val="16"/>
              </w:rPr>
            </w:pPr>
            <w:r w:rsidRPr="0005334C">
              <w:rPr>
                <w:rFonts w:asciiTheme="minorHAnsi" w:hAnsiTheme="minorHAnsi" w:cstheme="minorHAnsi"/>
                <w:color w:val="FFFFFF" w:themeColor="background1"/>
                <w:sz w:val="16"/>
                <w:szCs w:val="16"/>
              </w:rPr>
              <w:t>Multiple spinal fracture cases</w:t>
            </w:r>
          </w:p>
        </w:tc>
        <w:tc>
          <w:tcPr>
            <w:tcW w:w="2065" w:type="dxa"/>
          </w:tcPr>
          <w:p w:rsidR="00370F3E" w:rsidRPr="0005334C" w:rsidRDefault="00370F3E" w:rsidP="008173D8">
            <w:pPr>
              <w:pStyle w:val="TableText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05334C">
              <w:rPr>
                <w:rFonts w:asciiTheme="minorHAnsi" w:hAnsiTheme="minorHAnsi" w:cstheme="minorHAnsi"/>
                <w:sz w:val="16"/>
                <w:szCs w:val="16"/>
              </w:rPr>
              <w:t>725 (31%)</w:t>
            </w:r>
          </w:p>
        </w:tc>
        <w:tc>
          <w:tcPr>
            <w:tcW w:w="2067" w:type="dxa"/>
          </w:tcPr>
          <w:p w:rsidR="00370F3E" w:rsidRPr="0005334C" w:rsidRDefault="00370F3E" w:rsidP="008173D8">
            <w:pPr>
              <w:pStyle w:val="TableText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05334C">
              <w:rPr>
                <w:rFonts w:asciiTheme="minorHAnsi" w:hAnsiTheme="minorHAnsi" w:cstheme="minorHAnsi"/>
                <w:sz w:val="16"/>
                <w:szCs w:val="16"/>
              </w:rPr>
              <w:t>1,590 (69%)</w:t>
            </w:r>
          </w:p>
        </w:tc>
        <w:tc>
          <w:tcPr>
            <w:tcW w:w="2067" w:type="dxa"/>
          </w:tcPr>
          <w:p w:rsidR="00370F3E" w:rsidRPr="0005334C" w:rsidRDefault="00370F3E" w:rsidP="008173D8">
            <w:pPr>
              <w:pStyle w:val="TableText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05334C">
              <w:rPr>
                <w:rFonts w:asciiTheme="minorHAnsi" w:hAnsiTheme="minorHAnsi" w:cstheme="minorHAnsi"/>
                <w:b/>
                <w:sz w:val="16"/>
                <w:szCs w:val="16"/>
              </w:rPr>
              <w:t>2,315 (100%)</w:t>
            </w:r>
          </w:p>
        </w:tc>
      </w:tr>
      <w:tr w:rsidR="00370F3E" w:rsidRPr="00B214B1" w:rsidTr="008173D8">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064" w:type="dxa"/>
            <w:shd w:val="clear" w:color="auto" w:fill="E06161" w:themeFill="text2" w:themeFillTint="99"/>
          </w:tcPr>
          <w:p w:rsidR="00370F3E" w:rsidRPr="0005334C" w:rsidRDefault="00370F3E" w:rsidP="008173D8">
            <w:pPr>
              <w:pStyle w:val="TableTextNormal"/>
              <w:rPr>
                <w:rFonts w:asciiTheme="minorHAnsi" w:hAnsiTheme="minorHAnsi" w:cstheme="minorHAnsi"/>
                <w:color w:val="FFFFFF" w:themeColor="background1"/>
                <w:sz w:val="16"/>
                <w:szCs w:val="16"/>
              </w:rPr>
            </w:pPr>
            <w:r w:rsidRPr="0005334C">
              <w:rPr>
                <w:rFonts w:asciiTheme="minorHAnsi" w:hAnsiTheme="minorHAnsi" w:cstheme="minorHAnsi"/>
                <w:color w:val="FFFFFF" w:themeColor="background1"/>
                <w:sz w:val="16"/>
                <w:szCs w:val="16"/>
              </w:rPr>
              <w:t>All other cases</w:t>
            </w:r>
            <w:r w:rsidR="00B1399E">
              <w:rPr>
                <w:rFonts w:asciiTheme="minorHAnsi" w:hAnsiTheme="minorHAnsi" w:cstheme="minorHAnsi"/>
                <w:color w:val="FFFFFF" w:themeColor="background1"/>
                <w:sz w:val="16"/>
                <w:szCs w:val="16"/>
              </w:rPr>
              <w:t xml:space="preserve"> (that receive impairment benefits)</w:t>
            </w:r>
          </w:p>
        </w:tc>
        <w:tc>
          <w:tcPr>
            <w:tcW w:w="2065" w:type="dxa"/>
            <w:shd w:val="clear" w:color="auto" w:fill="F4CACA" w:themeFill="text2" w:themeFillTint="33"/>
          </w:tcPr>
          <w:p w:rsidR="00370F3E" w:rsidRPr="0005334C" w:rsidRDefault="00370F3E" w:rsidP="008173D8">
            <w:pPr>
              <w:pStyle w:val="TableText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05334C">
              <w:rPr>
                <w:rFonts w:asciiTheme="minorHAnsi" w:hAnsiTheme="minorHAnsi" w:cstheme="minorHAnsi"/>
                <w:sz w:val="16"/>
                <w:szCs w:val="16"/>
              </w:rPr>
              <w:t>6,115 (31%)</w:t>
            </w:r>
          </w:p>
        </w:tc>
        <w:tc>
          <w:tcPr>
            <w:tcW w:w="2067" w:type="dxa"/>
            <w:shd w:val="clear" w:color="auto" w:fill="F4CACA" w:themeFill="text2" w:themeFillTint="33"/>
          </w:tcPr>
          <w:p w:rsidR="00370F3E" w:rsidRPr="0005334C" w:rsidRDefault="00370F3E" w:rsidP="008173D8">
            <w:pPr>
              <w:pStyle w:val="TableText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05334C">
              <w:rPr>
                <w:rFonts w:asciiTheme="minorHAnsi" w:hAnsiTheme="minorHAnsi" w:cstheme="minorHAnsi"/>
                <w:sz w:val="16"/>
                <w:szCs w:val="16"/>
              </w:rPr>
              <w:t>13,410 (69%)</w:t>
            </w:r>
          </w:p>
        </w:tc>
        <w:tc>
          <w:tcPr>
            <w:tcW w:w="2067" w:type="dxa"/>
            <w:shd w:val="clear" w:color="auto" w:fill="F4CACA" w:themeFill="text2" w:themeFillTint="33"/>
          </w:tcPr>
          <w:p w:rsidR="00370F3E" w:rsidRPr="0005334C" w:rsidRDefault="00370F3E" w:rsidP="008173D8">
            <w:pPr>
              <w:pStyle w:val="TableText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r w:rsidRPr="0005334C">
              <w:rPr>
                <w:rFonts w:asciiTheme="minorHAnsi" w:hAnsiTheme="minorHAnsi" w:cstheme="minorHAnsi"/>
                <w:b/>
                <w:sz w:val="16"/>
                <w:szCs w:val="16"/>
              </w:rPr>
              <w:t>19,525 (100%)</w:t>
            </w:r>
          </w:p>
        </w:tc>
      </w:tr>
      <w:tr w:rsidR="00370F3E" w:rsidRPr="00B214B1" w:rsidTr="008173D8">
        <w:trPr>
          <w:trHeight w:val="403"/>
        </w:trPr>
        <w:tc>
          <w:tcPr>
            <w:cnfStyle w:val="001000000000" w:firstRow="0" w:lastRow="0" w:firstColumn="1" w:lastColumn="0" w:oddVBand="0" w:evenVBand="0" w:oddHBand="0" w:evenHBand="0" w:firstRowFirstColumn="0" w:firstRowLastColumn="0" w:lastRowFirstColumn="0" w:lastRowLastColumn="0"/>
            <w:tcW w:w="2064" w:type="dxa"/>
            <w:shd w:val="clear" w:color="auto" w:fill="E06161" w:themeFill="text2" w:themeFillTint="99"/>
          </w:tcPr>
          <w:p w:rsidR="00370F3E" w:rsidRPr="0005334C" w:rsidRDefault="00370F3E" w:rsidP="008173D8">
            <w:pPr>
              <w:pStyle w:val="TableTextNormal"/>
              <w:rPr>
                <w:rFonts w:asciiTheme="minorHAnsi" w:hAnsiTheme="minorHAnsi" w:cstheme="minorHAnsi"/>
                <w:color w:val="FFFFFF" w:themeColor="background1"/>
                <w:sz w:val="16"/>
                <w:szCs w:val="16"/>
              </w:rPr>
            </w:pPr>
            <w:r w:rsidRPr="0005334C">
              <w:rPr>
                <w:rFonts w:asciiTheme="minorHAnsi" w:hAnsiTheme="minorHAnsi" w:cstheme="minorHAnsi"/>
                <w:color w:val="FFFFFF" w:themeColor="background1"/>
                <w:sz w:val="16"/>
                <w:szCs w:val="16"/>
              </w:rPr>
              <w:t>Total</w:t>
            </w:r>
          </w:p>
        </w:tc>
        <w:tc>
          <w:tcPr>
            <w:tcW w:w="2065" w:type="dxa"/>
          </w:tcPr>
          <w:p w:rsidR="00370F3E" w:rsidRPr="0005334C" w:rsidRDefault="00370F3E" w:rsidP="008173D8">
            <w:pPr>
              <w:pStyle w:val="TableText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05334C">
              <w:rPr>
                <w:rFonts w:asciiTheme="minorHAnsi" w:hAnsiTheme="minorHAnsi" w:cstheme="minorHAnsi"/>
                <w:b/>
                <w:sz w:val="16"/>
                <w:szCs w:val="16"/>
              </w:rPr>
              <w:t>6,840</w:t>
            </w:r>
          </w:p>
        </w:tc>
        <w:tc>
          <w:tcPr>
            <w:tcW w:w="2067" w:type="dxa"/>
          </w:tcPr>
          <w:p w:rsidR="00370F3E" w:rsidRPr="0005334C" w:rsidRDefault="00370F3E" w:rsidP="008173D8">
            <w:pPr>
              <w:pStyle w:val="TableText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05334C">
              <w:rPr>
                <w:rFonts w:asciiTheme="minorHAnsi" w:hAnsiTheme="minorHAnsi" w:cstheme="minorHAnsi"/>
                <w:b/>
                <w:sz w:val="16"/>
                <w:szCs w:val="16"/>
              </w:rPr>
              <w:t>15,000</w:t>
            </w:r>
          </w:p>
        </w:tc>
        <w:tc>
          <w:tcPr>
            <w:tcW w:w="2067" w:type="dxa"/>
          </w:tcPr>
          <w:p w:rsidR="00370F3E" w:rsidRPr="0005334C" w:rsidRDefault="00370F3E" w:rsidP="008173D8">
            <w:pPr>
              <w:pStyle w:val="TableText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05334C">
              <w:rPr>
                <w:rFonts w:asciiTheme="minorHAnsi" w:hAnsiTheme="minorHAnsi" w:cstheme="minorHAnsi"/>
                <w:b/>
                <w:sz w:val="16"/>
                <w:szCs w:val="16"/>
              </w:rPr>
              <w:t>21,840</w:t>
            </w:r>
          </w:p>
        </w:tc>
      </w:tr>
    </w:tbl>
    <w:p w:rsidR="00370F3E" w:rsidRDefault="00370F3E" w:rsidP="00370F3E">
      <w:pPr>
        <w:pStyle w:val="Sources"/>
      </w:pPr>
      <w:r>
        <w:t>Sources: TAC data and PwC analysis as described below.</w:t>
      </w:r>
    </w:p>
    <w:p w:rsidR="00370F3E" w:rsidRPr="00BB1E68" w:rsidRDefault="00CE0E7A" w:rsidP="00370F3E">
      <w:pPr>
        <w:pStyle w:val="PwCNormal"/>
        <w:numPr>
          <w:ilvl w:val="0"/>
          <w:numId w:val="0"/>
        </w:numPr>
        <w:rPr>
          <w:b/>
          <w:i/>
          <w:highlight w:val="yellow"/>
        </w:rPr>
      </w:pPr>
      <w:r>
        <w:t>I</w:t>
      </w:r>
      <w:r w:rsidR="00370F3E">
        <w:t xml:space="preserve">mplementation </w:t>
      </w:r>
      <w:r>
        <w:t>O</w:t>
      </w:r>
      <w:r w:rsidR="00370F3E">
        <w:t>ption</w:t>
      </w:r>
      <w:r>
        <w:t xml:space="preserve"> 2</w:t>
      </w:r>
      <w:r w:rsidR="00370F3E">
        <w:t xml:space="preserve"> </w:t>
      </w:r>
      <w:r w:rsidR="002D3FFF">
        <w:t xml:space="preserve">therefore has a </w:t>
      </w:r>
      <w:r w:rsidR="00370F3E">
        <w:t>retrospective impact of 516 claimants.</w:t>
      </w:r>
      <w:r w:rsidR="00370F3E">
        <w:rPr>
          <w:rStyle w:val="FootnoteReference"/>
        </w:rPr>
        <w:footnoteReference w:id="13"/>
      </w:r>
      <w:r w:rsidR="002D3FFF">
        <w:t xml:space="preserve"> and a total horizontal equity </w:t>
      </w:r>
      <w:r w:rsidR="00370F3E">
        <w:t>impac</w:t>
      </w:r>
      <w:r w:rsidR="002D3FFF">
        <w:t>t</w:t>
      </w:r>
      <w:r w:rsidR="00370F3E">
        <w:t xml:space="preserve"> </w:t>
      </w:r>
      <w:r w:rsidR="002D3FFF">
        <w:t>of</w:t>
      </w:r>
      <w:r w:rsidR="00370F3E">
        <w:t xml:space="preserve"> 1,788</w:t>
      </w:r>
      <w:r w:rsidR="002D3FFF">
        <w:t xml:space="preserve"> claimants</w:t>
      </w:r>
      <w:r w:rsidR="00370F3E">
        <w:rPr>
          <w:rStyle w:val="FootnoteReference"/>
        </w:rPr>
        <w:footnoteReference w:id="14"/>
      </w:r>
      <w:r w:rsidR="00370F3E">
        <w:t xml:space="preserve"> ,representing 77 per cent</w:t>
      </w:r>
      <w:r w:rsidR="00370F3E">
        <w:rPr>
          <w:rStyle w:val="FootnoteReference"/>
        </w:rPr>
        <w:footnoteReference w:id="15"/>
      </w:r>
      <w:r w:rsidR="00370F3E">
        <w:t xml:space="preserve"> of the current and future multiple spinal fracture claimants in the scheme (over the next ten years).</w:t>
      </w:r>
    </w:p>
    <w:p w:rsidR="002D3FFF" w:rsidRDefault="002D3FFF" w:rsidP="001E49D4">
      <w:pPr>
        <w:pStyle w:val="PwCNormal"/>
        <w:keepNext/>
        <w:keepLines/>
        <w:numPr>
          <w:ilvl w:val="0"/>
          <w:numId w:val="0"/>
        </w:numPr>
      </w:pPr>
      <w:r>
        <w:lastRenderedPageBreak/>
        <w:t>T</w:t>
      </w:r>
      <w:r w:rsidR="009C390A">
        <w:t xml:space="preserve">here is </w:t>
      </w:r>
      <w:r>
        <w:t xml:space="preserve">also </w:t>
      </w:r>
      <w:r w:rsidR="009C390A">
        <w:t xml:space="preserve">a </w:t>
      </w:r>
      <w:r w:rsidR="00370F3E">
        <w:t>vertical equity benefit for 18,184</w:t>
      </w:r>
      <w:r>
        <w:t xml:space="preserve"> claimants.</w:t>
      </w:r>
      <w:r w:rsidRPr="002D3FFF">
        <w:rPr>
          <w:rStyle w:val="FootnoteReference"/>
        </w:rPr>
        <w:t xml:space="preserve"> </w:t>
      </w:r>
      <w:r>
        <w:rPr>
          <w:rStyle w:val="FootnoteReference"/>
        </w:rPr>
        <w:footnoteReference w:id="16"/>
      </w:r>
      <w:r w:rsidR="00370F3E">
        <w:t xml:space="preserve"> </w:t>
      </w:r>
    </w:p>
    <w:p w:rsidR="00AF469D" w:rsidRDefault="00AF469D" w:rsidP="001E49D4">
      <w:pPr>
        <w:pStyle w:val="PwCNormal"/>
        <w:keepNext/>
        <w:keepLines/>
        <w:numPr>
          <w:ilvl w:val="0"/>
          <w:numId w:val="0"/>
        </w:numPr>
      </w:pPr>
      <w:r>
        <w:t xml:space="preserve">Both </w:t>
      </w:r>
      <w:r w:rsidR="007A1815">
        <w:t xml:space="preserve">implementation </w:t>
      </w:r>
      <w:r>
        <w:t>options have one</w:t>
      </w:r>
      <w:r w:rsidR="00FD47B0">
        <w:t>-</w:t>
      </w:r>
      <w:r>
        <w:t xml:space="preserve">off implementation costs of </w:t>
      </w:r>
      <w:r w:rsidRPr="00DE6190">
        <w:t>$</w:t>
      </w:r>
      <w:r w:rsidR="005E1BB9">
        <w:t>51,320</w:t>
      </w:r>
      <w:r w:rsidRPr="00DE6190">
        <w:t>.</w:t>
      </w:r>
    </w:p>
    <w:p w:rsidR="00AF469D" w:rsidRDefault="00B859EF" w:rsidP="001E49D4">
      <w:pPr>
        <w:pStyle w:val="PwCNormal"/>
        <w:keepLines/>
      </w:pPr>
      <w:r>
        <w:t>However, t</w:t>
      </w:r>
      <w:r w:rsidR="00AE5EEC">
        <w:t xml:space="preserve">here are transitional </w:t>
      </w:r>
      <w:r w:rsidR="00BC55C1">
        <w:t>issues</w:t>
      </w:r>
      <w:r w:rsidR="00AF469D">
        <w:t xml:space="preserve"> associated with the </w:t>
      </w:r>
      <w:r>
        <w:t>Implementation Option 2</w:t>
      </w:r>
      <w:r w:rsidR="00AF469D">
        <w:t>:</w:t>
      </w:r>
    </w:p>
    <w:p w:rsidR="00AF469D" w:rsidRDefault="00AF469D" w:rsidP="001E49D4">
      <w:pPr>
        <w:pStyle w:val="ListBullet"/>
        <w:keepLines/>
      </w:pPr>
      <w:r>
        <w:t>T</w:t>
      </w:r>
      <w:r w:rsidR="00AE5EEC">
        <w:t xml:space="preserve">he entitlements of existing claimants </w:t>
      </w:r>
      <w:r>
        <w:t>are</w:t>
      </w:r>
      <w:r w:rsidR="00AE5EEC">
        <w:t xml:space="preserve"> affected</w:t>
      </w:r>
      <w:r>
        <w:t xml:space="preserve"> under </w:t>
      </w:r>
      <w:r w:rsidR="007A1815">
        <w:t xml:space="preserve">Implementation </w:t>
      </w:r>
      <w:r>
        <w:t xml:space="preserve">Option 2, unlike </w:t>
      </w:r>
      <w:r w:rsidR="007A1815">
        <w:t xml:space="preserve">Implementation </w:t>
      </w:r>
      <w:r>
        <w:t>Option 1.</w:t>
      </w:r>
    </w:p>
    <w:p w:rsidR="002E6777" w:rsidRDefault="00AF469D" w:rsidP="001E49D4">
      <w:pPr>
        <w:pStyle w:val="ListBullet"/>
        <w:keepLines/>
      </w:pPr>
      <w:r>
        <w:t xml:space="preserve">Similarly, under </w:t>
      </w:r>
      <w:r w:rsidR="007A1815">
        <w:t xml:space="preserve">Implementation </w:t>
      </w:r>
      <w:r>
        <w:t>Option 2 there is a risk of behaviour</w:t>
      </w:r>
      <w:r w:rsidR="002E6777">
        <w:t xml:space="preserve"> changes</w:t>
      </w:r>
      <w:r>
        <w:t xml:space="preserve"> by claimants, </w:t>
      </w:r>
      <w:r w:rsidR="002E6777">
        <w:t>such as attempting to obtai</w:t>
      </w:r>
      <w:r>
        <w:t>n</w:t>
      </w:r>
      <w:r w:rsidR="002E6777">
        <w:t xml:space="preserve"> medical assessments</w:t>
      </w:r>
      <w:r>
        <w:t xml:space="preserve"> prematurely</w:t>
      </w:r>
      <w:r w:rsidR="002E6777">
        <w:t xml:space="preserve"> prior to the </w:t>
      </w:r>
      <w:r w:rsidR="001F2F9F">
        <w:t>cut-off</w:t>
      </w:r>
      <w:r w:rsidR="002E6777">
        <w:t xml:space="preserve"> date.</w:t>
      </w:r>
    </w:p>
    <w:p w:rsidR="00D23FF1" w:rsidRPr="00797B77" w:rsidRDefault="00C413FD" w:rsidP="001E49D4">
      <w:pPr>
        <w:pStyle w:val="PwCNormal"/>
        <w:keepLines/>
        <w:rPr>
          <w:rFonts w:asciiTheme="majorHAnsi" w:hAnsiTheme="majorHAnsi"/>
        </w:rPr>
      </w:pPr>
      <w:r>
        <w:t>Both</w:t>
      </w:r>
      <w:r w:rsidR="007A1815" w:rsidRPr="007A1815">
        <w:t xml:space="preserve"> </w:t>
      </w:r>
      <w:r w:rsidR="007A1815">
        <w:t>implementation</w:t>
      </w:r>
      <w:r>
        <w:t xml:space="preserve"> options change compensation arrangements, and therefore represent a cost saving to the scheme. The largest saving is under </w:t>
      </w:r>
      <w:r w:rsidR="007A1815">
        <w:t xml:space="preserve">Implementation </w:t>
      </w:r>
      <w:r>
        <w:t>Option 2 ($</w:t>
      </w:r>
      <w:r w:rsidR="00CE0E7A">
        <w:t>114</w:t>
      </w:r>
      <w:r w:rsidR="00457C8A">
        <w:t>.</w:t>
      </w:r>
      <w:r w:rsidR="00CE0E7A">
        <w:t>4m</w:t>
      </w:r>
      <w:r>
        <w:t xml:space="preserve">), rather than </w:t>
      </w:r>
      <w:r w:rsidR="007A1815">
        <w:t xml:space="preserve">Implementation </w:t>
      </w:r>
      <w:r>
        <w:t>Option 1 ($</w:t>
      </w:r>
      <w:r w:rsidR="00CE0E7A">
        <w:t>68</w:t>
      </w:r>
      <w:r w:rsidR="00457C8A">
        <w:t>.</w:t>
      </w:r>
      <w:r w:rsidR="00CE0E7A">
        <w:t xml:space="preserve">4 </w:t>
      </w:r>
      <w:r>
        <w:t>m</w:t>
      </w:r>
      <w:r w:rsidR="000C40D6">
        <w:t>illion</w:t>
      </w:r>
      <w:r>
        <w:t>)</w:t>
      </w:r>
      <w:r w:rsidRPr="00C413FD">
        <w:t>.</w:t>
      </w:r>
      <w:bookmarkStart w:id="22" w:name="_Ref390785442"/>
      <w:r w:rsidR="009277DD">
        <w:rPr>
          <w:rStyle w:val="FootnoteReference"/>
        </w:rPr>
        <w:footnoteReference w:id="17"/>
      </w:r>
      <w:bookmarkEnd w:id="22"/>
      <w:r w:rsidR="000A1F0C">
        <w:t xml:space="preserve"> In addition, </w:t>
      </w:r>
      <w:r w:rsidR="007A1815">
        <w:t xml:space="preserve">Implementation </w:t>
      </w:r>
      <w:r w:rsidR="000A1F0C">
        <w:t>Option 2 results in a liability saving of $46</w:t>
      </w:r>
      <w:r w:rsidR="000C40D6">
        <w:t xml:space="preserve"> </w:t>
      </w:r>
      <w:r w:rsidR="000A1F0C">
        <w:t>m</w:t>
      </w:r>
      <w:r w:rsidR="000C40D6">
        <w:t>illion</w:t>
      </w:r>
      <w:r w:rsidR="000A1F0C">
        <w:t xml:space="preserve"> to the scheme.</w:t>
      </w:r>
      <w:bookmarkStart w:id="23" w:name="_Ref390785536"/>
      <w:r w:rsidR="0045226A">
        <w:rPr>
          <w:rStyle w:val="FootnoteReference"/>
        </w:rPr>
        <w:footnoteReference w:id="18"/>
      </w:r>
      <w:bookmarkEnd w:id="23"/>
      <w:r w:rsidR="000A1F0C">
        <w:t xml:space="preserve"> </w:t>
      </w:r>
      <w:r w:rsidR="00D23FF1" w:rsidRPr="00797B77">
        <w:rPr>
          <w:rFonts w:asciiTheme="majorHAnsi" w:hAnsiTheme="majorHAnsi" w:cs="Courier"/>
          <w:snapToGrid/>
          <w:color w:val="000000"/>
          <w:lang w:eastAsia="en-AU"/>
        </w:rPr>
        <w:t xml:space="preserve">This represents the reduction in the TAC’s potential </w:t>
      </w:r>
      <w:r w:rsidR="00D23FF1">
        <w:rPr>
          <w:rFonts w:asciiTheme="majorHAnsi" w:hAnsiTheme="majorHAnsi" w:cs="Courier"/>
          <w:snapToGrid/>
          <w:color w:val="000000"/>
          <w:lang w:eastAsia="en-AU"/>
        </w:rPr>
        <w:t xml:space="preserve">liability to make </w:t>
      </w:r>
      <w:r w:rsidR="00D23FF1" w:rsidRPr="00797B77">
        <w:rPr>
          <w:rFonts w:asciiTheme="majorHAnsi" w:hAnsiTheme="majorHAnsi" w:cs="Courier"/>
          <w:snapToGrid/>
          <w:color w:val="000000"/>
          <w:lang w:eastAsia="en-AU"/>
        </w:rPr>
        <w:t xml:space="preserve">payments to existing claimants. Under </w:t>
      </w:r>
      <w:r w:rsidR="007A1815">
        <w:t>Implementation</w:t>
      </w:r>
      <w:r w:rsidR="007A1815" w:rsidRPr="00797B77">
        <w:rPr>
          <w:rFonts w:asciiTheme="majorHAnsi" w:hAnsiTheme="majorHAnsi" w:cs="Courier"/>
          <w:snapToGrid/>
          <w:color w:val="000000"/>
          <w:lang w:eastAsia="en-AU"/>
        </w:rPr>
        <w:t xml:space="preserve"> </w:t>
      </w:r>
      <w:r w:rsidR="00D23FF1" w:rsidRPr="00797B77">
        <w:rPr>
          <w:rFonts w:asciiTheme="majorHAnsi" w:hAnsiTheme="majorHAnsi" w:cs="Courier"/>
          <w:snapToGrid/>
          <w:color w:val="000000"/>
          <w:lang w:eastAsia="en-AU"/>
        </w:rPr>
        <w:t>Option 1, no existing claimants are affected and therefore the TAC retains its full current liability.</w:t>
      </w:r>
    </w:p>
    <w:p w:rsidR="00B93E0B" w:rsidRDefault="00C413FD" w:rsidP="001E49D4">
      <w:pPr>
        <w:pStyle w:val="PwCNormal"/>
      </w:pPr>
      <w:r w:rsidRPr="00C413FD">
        <w:t>From a cost-benefit analysis perspective, this cost saving simply represents a transfer of resources or redistribution between two groups in society.</w:t>
      </w:r>
      <w:r w:rsidRPr="00C413FD">
        <w:rPr>
          <w:vertAlign w:val="superscript"/>
        </w:rPr>
        <w:footnoteReference w:id="19"/>
      </w:r>
      <w:r w:rsidRPr="00C413FD">
        <w:t xml:space="preserve"> Transfers can only be regarded as enhancing community wellbeing if a decision is made that one group derives more value from the resources than the other.</w:t>
      </w:r>
      <w:r w:rsidRPr="00C413FD">
        <w:rPr>
          <w:vertAlign w:val="superscript"/>
        </w:rPr>
        <w:footnoteReference w:id="20"/>
      </w:r>
      <w:r w:rsidRPr="00C413FD">
        <w:t xml:space="preserve"> In this case, we do not make this assumption and so the cost-benefit impact of </w:t>
      </w:r>
      <w:r>
        <w:t xml:space="preserve">this transfer is </w:t>
      </w:r>
      <w:r w:rsidR="00772AF2">
        <w:t xml:space="preserve">taken to be </w:t>
      </w:r>
      <w:r>
        <w:t>nil.</w:t>
      </w:r>
      <w:r w:rsidR="00772AF2" w:rsidRPr="00772AF2">
        <w:t xml:space="preserve"> </w:t>
      </w:r>
      <w:r w:rsidR="00772AF2">
        <w:t>While transfers involving taxation can have a range of distortionary impacts, the CTP levy represents the cost of certain risks associated with driving, essentially internalising what was an externality.</w:t>
      </w:r>
      <w:r w:rsidR="00330CB5">
        <w:rPr>
          <w:rStyle w:val="FootnoteReference"/>
        </w:rPr>
        <w:footnoteReference w:id="21"/>
      </w:r>
    </w:p>
    <w:p w:rsidR="008D2272" w:rsidRDefault="00B96DAF" w:rsidP="001E49D4">
      <w:pPr>
        <w:pStyle w:val="PwCNormal"/>
      </w:pPr>
      <w:r w:rsidRPr="00C413FD">
        <w:t xml:space="preserve">On balance, </w:t>
      </w:r>
      <w:r w:rsidR="007A1815">
        <w:t>Implementation</w:t>
      </w:r>
      <w:r w:rsidR="007A1815" w:rsidRPr="00C413FD">
        <w:t xml:space="preserve"> </w:t>
      </w:r>
      <w:r w:rsidRPr="00C413FD">
        <w:t xml:space="preserve">Option 2 is selected as the preferred </w:t>
      </w:r>
      <w:r w:rsidR="006E67F4">
        <w:t>implementation</w:t>
      </w:r>
      <w:r w:rsidR="006E67F4" w:rsidRPr="00C413FD">
        <w:t xml:space="preserve"> </w:t>
      </w:r>
      <w:r w:rsidRPr="00C413FD">
        <w:t xml:space="preserve">option. This is primarily due to </w:t>
      </w:r>
      <w:r w:rsidR="002470AA" w:rsidRPr="00C413FD">
        <w:t>the fact that it</w:t>
      </w:r>
      <w:r w:rsidR="00370F3E">
        <w:t xml:space="preserve"> generates more significant equity benefits</w:t>
      </w:r>
      <w:r w:rsidR="00C413FD">
        <w:t xml:space="preserve"> at the same</w:t>
      </w:r>
      <w:r w:rsidR="00370F3E">
        <w:t xml:space="preserve"> financial</w:t>
      </w:r>
      <w:r w:rsidR="00C413FD">
        <w:t xml:space="preserve"> cost as </w:t>
      </w:r>
      <w:r w:rsidR="006E67F4">
        <w:t xml:space="preserve">Implementation </w:t>
      </w:r>
      <w:r w:rsidR="00C413FD">
        <w:t>Option 1. It should be acknowledged, however, that there are some transitional issues associated with</w:t>
      </w:r>
      <w:r w:rsidR="00370F3E">
        <w:t xml:space="preserve"> this implementation option. </w:t>
      </w:r>
    </w:p>
    <w:p w:rsidR="00AF469D" w:rsidRPr="00AF469D" w:rsidRDefault="00AF469D" w:rsidP="00AF469D">
      <w:pPr>
        <w:pStyle w:val="PwCNormal"/>
      </w:pPr>
      <w:r w:rsidRPr="00947130">
        <w:lastRenderedPageBreak/>
        <w:fldChar w:fldCharType="begin"/>
      </w:r>
      <w:r w:rsidRPr="00947130">
        <w:instrText xml:space="preserve"> REF _Ref387943082 \h </w:instrText>
      </w:r>
      <w:r w:rsidR="00947130" w:rsidRPr="00566D61">
        <w:instrText xml:space="preserve"> \* MERGEFORMAT </w:instrText>
      </w:r>
      <w:r w:rsidRPr="00947130">
        <w:fldChar w:fldCharType="separate"/>
      </w:r>
      <w:r w:rsidR="00542564" w:rsidRPr="00542564">
        <w:rPr>
          <w:bCs/>
        </w:rPr>
        <w:t xml:space="preserve">Table </w:t>
      </w:r>
      <w:r w:rsidR="00542564">
        <w:rPr>
          <w:noProof/>
        </w:rPr>
        <w:t>3</w:t>
      </w:r>
      <w:r w:rsidRPr="00947130">
        <w:fldChar w:fldCharType="end"/>
      </w:r>
      <w:r w:rsidRPr="00AF469D">
        <w:t xml:space="preserve"> below outlines the results of the costs-benefit analysis conducted over the two </w:t>
      </w:r>
      <w:r w:rsidR="006E67F4">
        <w:t>implementation</w:t>
      </w:r>
      <w:r w:rsidR="006E67F4" w:rsidRPr="00AF469D">
        <w:t xml:space="preserve"> </w:t>
      </w:r>
      <w:r w:rsidRPr="00AF469D">
        <w:t>options relating to the timing and implementation of the GMD.</w:t>
      </w:r>
    </w:p>
    <w:p w:rsidR="00AF469D" w:rsidRPr="001F2F9F" w:rsidRDefault="00AF469D" w:rsidP="007F290F">
      <w:pPr>
        <w:pStyle w:val="Caption"/>
        <w:ind w:left="0" w:firstLine="0"/>
      </w:pPr>
      <w:bookmarkStart w:id="24" w:name="_Ref387943082"/>
      <w:r w:rsidRPr="001F2F9F">
        <w:t xml:space="preserve">Table </w:t>
      </w:r>
      <w:fldSimple w:instr=" SEQ Table \* ARABIC ">
        <w:r w:rsidR="00542564">
          <w:rPr>
            <w:noProof/>
          </w:rPr>
          <w:t>3</w:t>
        </w:r>
      </w:fldSimple>
      <w:bookmarkEnd w:id="24"/>
      <w:r w:rsidRPr="00AF58B8">
        <w:t>: Results of cost-benefit analysis</w:t>
      </w:r>
      <w:r w:rsidR="008D737D">
        <w:rPr>
          <w:rStyle w:val="FootnoteReference"/>
        </w:rPr>
        <w:footnoteReference w:id="22"/>
      </w:r>
    </w:p>
    <w:tbl>
      <w:tblPr>
        <w:tblStyle w:val="LightList-Accent1"/>
        <w:tblW w:w="8152" w:type="dxa"/>
        <w:tblLook w:val="04A0" w:firstRow="1" w:lastRow="0" w:firstColumn="1" w:lastColumn="0" w:noHBand="0" w:noVBand="1"/>
      </w:tblPr>
      <w:tblGrid>
        <w:gridCol w:w="2670"/>
        <w:gridCol w:w="2730"/>
        <w:gridCol w:w="2752"/>
      </w:tblGrid>
      <w:tr w:rsidR="00A9161C" w:rsidRPr="00A9161C" w:rsidTr="007F290F">
        <w:trPr>
          <w:cnfStyle w:val="100000000000" w:firstRow="1" w:lastRow="0" w:firstColumn="0" w:lastColumn="0" w:oddVBand="0" w:evenVBand="0" w:oddHBand="0"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0" w:type="auto"/>
          </w:tcPr>
          <w:p w:rsidR="00AF469D" w:rsidRPr="00437534" w:rsidRDefault="00AF469D" w:rsidP="001F2F9F">
            <w:pPr>
              <w:pStyle w:val="PwCNormal"/>
              <w:keepNext/>
              <w:keepLines/>
              <w:rPr>
                <w:rFonts w:asciiTheme="minorHAnsi" w:hAnsiTheme="minorHAnsi" w:cstheme="minorHAnsi"/>
                <w:sz w:val="16"/>
                <w:szCs w:val="16"/>
              </w:rPr>
            </w:pPr>
          </w:p>
        </w:tc>
        <w:tc>
          <w:tcPr>
            <w:tcW w:w="0" w:type="auto"/>
            <w:vAlign w:val="center"/>
          </w:tcPr>
          <w:p w:rsidR="00AF469D" w:rsidRPr="00437534" w:rsidRDefault="006E67F4" w:rsidP="001F2F9F">
            <w:pPr>
              <w:pStyle w:val="PwCNormal"/>
              <w:keepNext/>
              <w:keepLines/>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sz w:val="16"/>
                <w:szCs w:val="16"/>
              </w:rPr>
            </w:pPr>
            <w:r w:rsidRPr="00D60513">
              <w:rPr>
                <w:rFonts w:asciiTheme="minorHAnsi" w:hAnsiTheme="minorHAnsi" w:cstheme="minorHAnsi"/>
                <w:i/>
                <w:sz w:val="16"/>
                <w:szCs w:val="16"/>
              </w:rPr>
              <w:t>Implementation</w:t>
            </w:r>
            <w:r w:rsidRPr="00A9161C">
              <w:rPr>
                <w:rFonts w:asciiTheme="minorHAnsi" w:hAnsiTheme="minorHAnsi" w:cstheme="minorHAnsi"/>
                <w:i/>
                <w:sz w:val="16"/>
                <w:szCs w:val="16"/>
              </w:rPr>
              <w:t xml:space="preserve"> </w:t>
            </w:r>
            <w:r w:rsidR="00AF469D" w:rsidRPr="00A9161C">
              <w:rPr>
                <w:rFonts w:asciiTheme="minorHAnsi" w:hAnsiTheme="minorHAnsi" w:cstheme="minorHAnsi"/>
                <w:i/>
                <w:sz w:val="16"/>
                <w:szCs w:val="16"/>
              </w:rPr>
              <w:t xml:space="preserve">Option 1: Accident date (1 </w:t>
            </w:r>
            <w:r w:rsidR="003C217B">
              <w:rPr>
                <w:rFonts w:asciiTheme="minorHAnsi" w:hAnsiTheme="minorHAnsi" w:cstheme="minorHAnsi"/>
                <w:i/>
                <w:sz w:val="16"/>
                <w:szCs w:val="16"/>
              </w:rPr>
              <w:t>September</w:t>
            </w:r>
            <w:r w:rsidR="00AF469D" w:rsidRPr="00A9161C">
              <w:rPr>
                <w:rFonts w:asciiTheme="minorHAnsi" w:hAnsiTheme="minorHAnsi" w:cstheme="minorHAnsi"/>
                <w:i/>
                <w:sz w:val="16"/>
                <w:szCs w:val="16"/>
              </w:rPr>
              <w:t xml:space="preserve"> 2014)</w:t>
            </w:r>
          </w:p>
        </w:tc>
        <w:tc>
          <w:tcPr>
            <w:tcW w:w="0" w:type="auto"/>
            <w:vAlign w:val="center"/>
          </w:tcPr>
          <w:p w:rsidR="00AF469D" w:rsidRPr="00437534" w:rsidRDefault="006E67F4" w:rsidP="00F72A47">
            <w:pPr>
              <w:pStyle w:val="PwCNormal"/>
              <w:keepNext/>
              <w:keepLines/>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sz w:val="16"/>
                <w:szCs w:val="16"/>
              </w:rPr>
            </w:pPr>
            <w:r>
              <w:rPr>
                <w:rFonts w:asciiTheme="minorHAnsi" w:hAnsiTheme="minorHAnsi" w:cstheme="minorHAnsi"/>
                <w:i/>
                <w:sz w:val="16"/>
                <w:szCs w:val="16"/>
              </w:rPr>
              <w:t xml:space="preserve">Implementation </w:t>
            </w:r>
            <w:r w:rsidR="00AF469D" w:rsidRPr="00A9161C">
              <w:rPr>
                <w:rFonts w:asciiTheme="minorHAnsi" w:hAnsiTheme="minorHAnsi" w:cstheme="minorHAnsi"/>
                <w:i/>
                <w:sz w:val="16"/>
                <w:szCs w:val="16"/>
              </w:rPr>
              <w:t>Option 2: Assessment date (1 January 2015)</w:t>
            </w:r>
          </w:p>
        </w:tc>
      </w:tr>
      <w:tr w:rsidR="00AF469D" w:rsidRPr="00AF469D" w:rsidTr="007F290F">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0" w:type="auto"/>
            <w:shd w:val="clear" w:color="auto" w:fill="EA9595" w:themeFill="text2" w:themeFillTint="66"/>
          </w:tcPr>
          <w:p w:rsidR="00AF469D" w:rsidRPr="007F290F" w:rsidRDefault="00AF469D" w:rsidP="001F2F9F">
            <w:pPr>
              <w:pStyle w:val="PwCNormal"/>
              <w:keepNext/>
              <w:keepLines/>
              <w:rPr>
                <w:rFonts w:asciiTheme="minorHAnsi" w:hAnsiTheme="minorHAnsi" w:cstheme="minorHAnsi"/>
                <w:sz w:val="16"/>
                <w:szCs w:val="16"/>
              </w:rPr>
            </w:pPr>
            <w:r w:rsidRPr="007F290F">
              <w:rPr>
                <w:rFonts w:asciiTheme="minorHAnsi" w:hAnsiTheme="minorHAnsi" w:cstheme="minorHAnsi"/>
                <w:sz w:val="16"/>
                <w:szCs w:val="16"/>
              </w:rPr>
              <w:t>Financial benefits</w:t>
            </w:r>
          </w:p>
        </w:tc>
        <w:tc>
          <w:tcPr>
            <w:tcW w:w="0" w:type="auto"/>
            <w:shd w:val="clear" w:color="auto" w:fill="EA9595" w:themeFill="text2" w:themeFillTint="66"/>
            <w:vAlign w:val="center"/>
          </w:tcPr>
          <w:p w:rsidR="00AF469D" w:rsidRPr="007F290F" w:rsidRDefault="00AF469D" w:rsidP="001F2F9F">
            <w:pPr>
              <w:pStyle w:val="PwCNormal"/>
              <w:keepNext/>
              <w:keepLine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0" w:type="auto"/>
            <w:shd w:val="clear" w:color="auto" w:fill="EA9595" w:themeFill="text2" w:themeFillTint="66"/>
            <w:vAlign w:val="center"/>
          </w:tcPr>
          <w:p w:rsidR="00AF469D" w:rsidRPr="007F290F" w:rsidRDefault="00AF469D" w:rsidP="00F72A47">
            <w:pPr>
              <w:pStyle w:val="PwCNormal"/>
              <w:keepNext/>
              <w:keepLine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r>
      <w:tr w:rsidR="00AF469D" w:rsidRPr="00AF469D" w:rsidTr="007F290F">
        <w:trPr>
          <w:trHeight w:val="317"/>
        </w:trPr>
        <w:tc>
          <w:tcPr>
            <w:cnfStyle w:val="001000000000" w:firstRow="0" w:lastRow="0" w:firstColumn="1" w:lastColumn="0" w:oddVBand="0" w:evenVBand="0" w:oddHBand="0" w:evenHBand="0" w:firstRowFirstColumn="0" w:firstRowLastColumn="0" w:lastRowFirstColumn="0" w:lastRowLastColumn="0"/>
            <w:tcW w:w="0" w:type="auto"/>
          </w:tcPr>
          <w:p w:rsidR="00AF469D" w:rsidRPr="007F290F" w:rsidRDefault="00AF469D" w:rsidP="001F2F9F">
            <w:pPr>
              <w:pStyle w:val="PwCNormal"/>
              <w:keepNext/>
              <w:keepLines/>
              <w:rPr>
                <w:rFonts w:asciiTheme="minorHAnsi" w:hAnsiTheme="minorHAnsi" w:cstheme="minorHAnsi"/>
                <w:b w:val="0"/>
                <w:sz w:val="16"/>
                <w:szCs w:val="16"/>
              </w:rPr>
            </w:pPr>
          </w:p>
        </w:tc>
        <w:tc>
          <w:tcPr>
            <w:tcW w:w="0" w:type="auto"/>
            <w:vAlign w:val="center"/>
          </w:tcPr>
          <w:p w:rsidR="00AF469D" w:rsidRPr="007F290F" w:rsidRDefault="00AF469D" w:rsidP="001F2F9F">
            <w:pPr>
              <w:pStyle w:val="PwCNormal"/>
              <w:keepNext/>
              <w:keepLine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F290F">
              <w:rPr>
                <w:rFonts w:asciiTheme="minorHAnsi" w:hAnsiTheme="minorHAnsi" w:cstheme="minorHAnsi"/>
                <w:sz w:val="16"/>
                <w:szCs w:val="16"/>
              </w:rPr>
              <w:t>$0</w:t>
            </w:r>
          </w:p>
        </w:tc>
        <w:tc>
          <w:tcPr>
            <w:tcW w:w="0" w:type="auto"/>
            <w:vAlign w:val="center"/>
          </w:tcPr>
          <w:p w:rsidR="00AF469D" w:rsidRPr="007F290F" w:rsidRDefault="00AF469D" w:rsidP="00F72A47">
            <w:pPr>
              <w:pStyle w:val="PwCNormal"/>
              <w:keepNext/>
              <w:keepLine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F290F">
              <w:rPr>
                <w:rFonts w:asciiTheme="minorHAnsi" w:hAnsiTheme="minorHAnsi" w:cstheme="minorHAnsi"/>
                <w:sz w:val="16"/>
                <w:szCs w:val="16"/>
              </w:rPr>
              <w:t>$0</w:t>
            </w:r>
          </w:p>
        </w:tc>
      </w:tr>
      <w:tr w:rsidR="00AF469D" w:rsidRPr="00AF469D" w:rsidTr="007F290F">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0" w:type="auto"/>
            <w:shd w:val="clear" w:color="auto" w:fill="EA9595" w:themeFill="text2" w:themeFillTint="66"/>
          </w:tcPr>
          <w:p w:rsidR="00AF469D" w:rsidRPr="007F290F" w:rsidRDefault="00AF469D" w:rsidP="001F2F9F">
            <w:pPr>
              <w:pStyle w:val="PwCNormal"/>
              <w:keepNext/>
              <w:keepLines/>
              <w:rPr>
                <w:rFonts w:asciiTheme="minorHAnsi" w:hAnsiTheme="minorHAnsi" w:cstheme="minorHAnsi"/>
                <w:sz w:val="16"/>
                <w:szCs w:val="16"/>
              </w:rPr>
            </w:pPr>
            <w:r w:rsidRPr="007F290F">
              <w:rPr>
                <w:rFonts w:asciiTheme="minorHAnsi" w:hAnsiTheme="minorHAnsi" w:cstheme="minorHAnsi"/>
                <w:sz w:val="16"/>
                <w:szCs w:val="16"/>
              </w:rPr>
              <w:t>Financial costs</w:t>
            </w:r>
          </w:p>
        </w:tc>
        <w:tc>
          <w:tcPr>
            <w:tcW w:w="0" w:type="auto"/>
            <w:shd w:val="clear" w:color="auto" w:fill="EA9595" w:themeFill="text2" w:themeFillTint="66"/>
            <w:vAlign w:val="center"/>
          </w:tcPr>
          <w:p w:rsidR="00AF469D" w:rsidRPr="007F290F" w:rsidRDefault="00AF469D" w:rsidP="001F2F9F">
            <w:pPr>
              <w:pStyle w:val="PwCNormal"/>
              <w:keepNext/>
              <w:keepLine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0" w:type="auto"/>
            <w:shd w:val="clear" w:color="auto" w:fill="EA9595" w:themeFill="text2" w:themeFillTint="66"/>
            <w:vAlign w:val="center"/>
          </w:tcPr>
          <w:p w:rsidR="00AF469D" w:rsidRPr="007F290F" w:rsidRDefault="00AF469D" w:rsidP="00F72A47">
            <w:pPr>
              <w:pStyle w:val="PwCNormal"/>
              <w:keepNext/>
              <w:keepLine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r>
      <w:tr w:rsidR="00AF469D" w:rsidRPr="00AF469D" w:rsidTr="007F290F">
        <w:trPr>
          <w:trHeight w:val="317"/>
        </w:trPr>
        <w:tc>
          <w:tcPr>
            <w:cnfStyle w:val="001000000000" w:firstRow="0" w:lastRow="0" w:firstColumn="1" w:lastColumn="0" w:oddVBand="0" w:evenVBand="0" w:oddHBand="0" w:evenHBand="0" w:firstRowFirstColumn="0" w:firstRowLastColumn="0" w:lastRowFirstColumn="0" w:lastRowLastColumn="0"/>
            <w:tcW w:w="0" w:type="auto"/>
          </w:tcPr>
          <w:p w:rsidR="00AF469D" w:rsidRPr="007F290F" w:rsidRDefault="00AF469D" w:rsidP="001F2F9F">
            <w:pPr>
              <w:pStyle w:val="PwCNormal"/>
              <w:keepNext/>
              <w:keepLines/>
              <w:rPr>
                <w:rFonts w:asciiTheme="minorHAnsi" w:hAnsiTheme="minorHAnsi" w:cstheme="minorHAnsi"/>
                <w:b w:val="0"/>
                <w:sz w:val="16"/>
                <w:szCs w:val="16"/>
              </w:rPr>
            </w:pPr>
            <w:r w:rsidRPr="007F290F">
              <w:rPr>
                <w:rFonts w:asciiTheme="minorHAnsi" w:hAnsiTheme="minorHAnsi" w:cstheme="minorHAnsi"/>
                <w:sz w:val="16"/>
                <w:szCs w:val="16"/>
              </w:rPr>
              <w:t>Implementation costs</w:t>
            </w:r>
          </w:p>
        </w:tc>
        <w:tc>
          <w:tcPr>
            <w:tcW w:w="0" w:type="auto"/>
            <w:vAlign w:val="center"/>
          </w:tcPr>
          <w:p w:rsidR="00AF469D" w:rsidRPr="007F290F" w:rsidRDefault="00AF469D" w:rsidP="005E1BB9">
            <w:pPr>
              <w:pStyle w:val="PwCNormal"/>
              <w:keepNext/>
              <w:keepLine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F290F">
              <w:rPr>
                <w:rFonts w:asciiTheme="minorHAnsi" w:hAnsiTheme="minorHAnsi" w:cstheme="minorHAnsi"/>
                <w:sz w:val="16"/>
                <w:szCs w:val="16"/>
              </w:rPr>
              <w:t>($</w:t>
            </w:r>
            <w:r w:rsidR="005E1BB9">
              <w:rPr>
                <w:rFonts w:asciiTheme="minorHAnsi" w:hAnsiTheme="minorHAnsi" w:cstheme="minorHAnsi"/>
                <w:sz w:val="16"/>
                <w:szCs w:val="16"/>
              </w:rPr>
              <w:t>51,320</w:t>
            </w:r>
            <w:r w:rsidRPr="007F290F">
              <w:rPr>
                <w:rFonts w:asciiTheme="minorHAnsi" w:hAnsiTheme="minorHAnsi" w:cstheme="minorHAnsi"/>
                <w:sz w:val="16"/>
                <w:szCs w:val="16"/>
              </w:rPr>
              <w:t>)</w:t>
            </w:r>
          </w:p>
        </w:tc>
        <w:tc>
          <w:tcPr>
            <w:tcW w:w="0" w:type="auto"/>
            <w:vAlign w:val="center"/>
          </w:tcPr>
          <w:p w:rsidR="00AF469D" w:rsidRPr="007F290F" w:rsidRDefault="00AF469D" w:rsidP="00F72A47">
            <w:pPr>
              <w:pStyle w:val="PwCNormal"/>
              <w:keepNext/>
              <w:keepLine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F290F">
              <w:rPr>
                <w:rFonts w:asciiTheme="minorHAnsi" w:hAnsiTheme="minorHAnsi" w:cstheme="minorHAnsi"/>
                <w:sz w:val="16"/>
                <w:szCs w:val="16"/>
              </w:rPr>
              <w:t>($</w:t>
            </w:r>
            <w:r w:rsidR="005E1BB9">
              <w:rPr>
                <w:rFonts w:asciiTheme="minorHAnsi" w:hAnsiTheme="minorHAnsi" w:cstheme="minorHAnsi"/>
                <w:sz w:val="16"/>
                <w:szCs w:val="16"/>
              </w:rPr>
              <w:t>51,320</w:t>
            </w:r>
            <w:r w:rsidRPr="007F290F">
              <w:rPr>
                <w:rFonts w:asciiTheme="minorHAnsi" w:hAnsiTheme="minorHAnsi" w:cstheme="minorHAnsi"/>
                <w:sz w:val="16"/>
                <w:szCs w:val="16"/>
              </w:rPr>
              <w:t>)</w:t>
            </w:r>
          </w:p>
        </w:tc>
      </w:tr>
      <w:tr w:rsidR="00AF469D" w:rsidRPr="00AF469D" w:rsidTr="007F290F">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0" w:type="auto"/>
            <w:shd w:val="clear" w:color="auto" w:fill="F4CACA" w:themeFill="text2" w:themeFillTint="33"/>
          </w:tcPr>
          <w:p w:rsidR="00AF469D" w:rsidRPr="007F290F" w:rsidRDefault="00AF469D" w:rsidP="001F2F9F">
            <w:pPr>
              <w:pStyle w:val="PwCNormal"/>
              <w:keepNext/>
              <w:keepLines/>
              <w:rPr>
                <w:rFonts w:asciiTheme="minorHAnsi" w:hAnsiTheme="minorHAnsi" w:cstheme="minorHAnsi"/>
                <w:sz w:val="16"/>
                <w:szCs w:val="16"/>
              </w:rPr>
            </w:pPr>
            <w:r w:rsidRPr="007F290F">
              <w:rPr>
                <w:rFonts w:asciiTheme="minorHAnsi" w:hAnsiTheme="minorHAnsi" w:cstheme="minorHAnsi"/>
                <w:sz w:val="16"/>
                <w:szCs w:val="16"/>
              </w:rPr>
              <w:t>Net financial benefits</w:t>
            </w:r>
          </w:p>
        </w:tc>
        <w:tc>
          <w:tcPr>
            <w:tcW w:w="0" w:type="auto"/>
            <w:shd w:val="clear" w:color="auto" w:fill="F4CACA" w:themeFill="text2" w:themeFillTint="33"/>
            <w:vAlign w:val="center"/>
          </w:tcPr>
          <w:p w:rsidR="00AF469D" w:rsidRPr="007F290F" w:rsidRDefault="00AF469D" w:rsidP="001F2F9F">
            <w:pPr>
              <w:pStyle w:val="PwCNormal"/>
              <w:keepNext/>
              <w:keepLine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r w:rsidRPr="007F290F">
              <w:rPr>
                <w:rFonts w:asciiTheme="minorHAnsi" w:hAnsiTheme="minorHAnsi" w:cstheme="minorHAnsi"/>
                <w:b/>
                <w:sz w:val="16"/>
                <w:szCs w:val="16"/>
              </w:rPr>
              <w:t>($</w:t>
            </w:r>
            <w:r w:rsidR="005E1BB9">
              <w:rPr>
                <w:rFonts w:asciiTheme="minorHAnsi" w:hAnsiTheme="minorHAnsi" w:cstheme="minorHAnsi"/>
                <w:b/>
                <w:sz w:val="16"/>
                <w:szCs w:val="16"/>
              </w:rPr>
              <w:t>51,320</w:t>
            </w:r>
            <w:r w:rsidRPr="007F290F">
              <w:rPr>
                <w:rFonts w:asciiTheme="minorHAnsi" w:hAnsiTheme="minorHAnsi" w:cstheme="minorHAnsi"/>
                <w:b/>
                <w:sz w:val="16"/>
                <w:szCs w:val="16"/>
              </w:rPr>
              <w:t>)</w:t>
            </w:r>
          </w:p>
        </w:tc>
        <w:tc>
          <w:tcPr>
            <w:tcW w:w="0" w:type="auto"/>
            <w:shd w:val="clear" w:color="auto" w:fill="F4CACA" w:themeFill="text2" w:themeFillTint="33"/>
            <w:vAlign w:val="center"/>
          </w:tcPr>
          <w:p w:rsidR="00AF469D" w:rsidRPr="007F290F" w:rsidRDefault="00AF469D" w:rsidP="00F72A47">
            <w:pPr>
              <w:pStyle w:val="PwCNormal"/>
              <w:keepNext/>
              <w:keepLine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r w:rsidRPr="007F290F">
              <w:rPr>
                <w:rFonts w:asciiTheme="minorHAnsi" w:hAnsiTheme="minorHAnsi" w:cstheme="minorHAnsi"/>
                <w:b/>
                <w:sz w:val="16"/>
                <w:szCs w:val="16"/>
              </w:rPr>
              <w:t>($</w:t>
            </w:r>
            <w:r w:rsidR="005E1BB9">
              <w:rPr>
                <w:rFonts w:asciiTheme="minorHAnsi" w:hAnsiTheme="minorHAnsi" w:cstheme="minorHAnsi"/>
                <w:b/>
                <w:sz w:val="16"/>
                <w:szCs w:val="16"/>
              </w:rPr>
              <w:t>51,320</w:t>
            </w:r>
            <w:r w:rsidRPr="007F290F">
              <w:rPr>
                <w:rFonts w:asciiTheme="minorHAnsi" w:hAnsiTheme="minorHAnsi" w:cstheme="minorHAnsi"/>
                <w:b/>
                <w:sz w:val="16"/>
                <w:szCs w:val="16"/>
              </w:rPr>
              <w:t>)</w:t>
            </w:r>
          </w:p>
        </w:tc>
      </w:tr>
      <w:tr w:rsidR="00AF469D" w:rsidRPr="00AF469D" w:rsidTr="007F290F">
        <w:trPr>
          <w:trHeight w:val="317"/>
        </w:trPr>
        <w:tc>
          <w:tcPr>
            <w:cnfStyle w:val="001000000000" w:firstRow="0" w:lastRow="0" w:firstColumn="1" w:lastColumn="0" w:oddVBand="0" w:evenVBand="0" w:oddHBand="0" w:evenHBand="0" w:firstRowFirstColumn="0" w:firstRowLastColumn="0" w:lastRowFirstColumn="0" w:lastRowLastColumn="0"/>
            <w:tcW w:w="0" w:type="auto"/>
            <w:shd w:val="clear" w:color="auto" w:fill="EA9595" w:themeFill="text2" w:themeFillTint="66"/>
          </w:tcPr>
          <w:p w:rsidR="00AF469D" w:rsidRPr="007F290F" w:rsidRDefault="00AF469D" w:rsidP="001F2F9F">
            <w:pPr>
              <w:pStyle w:val="PwCNormal"/>
              <w:keepNext/>
              <w:keepLines/>
              <w:rPr>
                <w:rFonts w:asciiTheme="minorHAnsi" w:hAnsiTheme="minorHAnsi" w:cstheme="minorHAnsi"/>
                <w:sz w:val="16"/>
                <w:szCs w:val="16"/>
              </w:rPr>
            </w:pPr>
            <w:r w:rsidRPr="007F290F">
              <w:rPr>
                <w:rFonts w:asciiTheme="minorHAnsi" w:hAnsiTheme="minorHAnsi" w:cstheme="minorHAnsi"/>
                <w:sz w:val="16"/>
                <w:szCs w:val="16"/>
              </w:rPr>
              <w:t>Transfers</w:t>
            </w:r>
          </w:p>
        </w:tc>
        <w:tc>
          <w:tcPr>
            <w:tcW w:w="0" w:type="auto"/>
            <w:shd w:val="clear" w:color="auto" w:fill="EA9595" w:themeFill="text2" w:themeFillTint="66"/>
            <w:vAlign w:val="center"/>
          </w:tcPr>
          <w:p w:rsidR="00AF469D" w:rsidRPr="007F290F" w:rsidRDefault="00AF469D" w:rsidP="001F2F9F">
            <w:pPr>
              <w:pStyle w:val="PwCNormal"/>
              <w:keepNext/>
              <w:keepLine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p>
        </w:tc>
        <w:tc>
          <w:tcPr>
            <w:tcW w:w="0" w:type="auto"/>
            <w:shd w:val="clear" w:color="auto" w:fill="EA9595" w:themeFill="text2" w:themeFillTint="66"/>
            <w:vAlign w:val="center"/>
          </w:tcPr>
          <w:p w:rsidR="00AF469D" w:rsidRPr="007F290F" w:rsidRDefault="00AF469D" w:rsidP="00F72A47">
            <w:pPr>
              <w:pStyle w:val="PwCNormal"/>
              <w:keepNext/>
              <w:keepLine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p>
        </w:tc>
      </w:tr>
      <w:tr w:rsidR="00AF469D" w:rsidRPr="00AF469D" w:rsidTr="007F290F">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0" w:type="auto"/>
          </w:tcPr>
          <w:p w:rsidR="00AF469D" w:rsidRPr="007F290F" w:rsidRDefault="00AF469D" w:rsidP="001F2F9F">
            <w:pPr>
              <w:pStyle w:val="PwCNormal"/>
              <w:keepNext/>
              <w:keepLines/>
              <w:rPr>
                <w:rFonts w:asciiTheme="minorHAnsi" w:hAnsiTheme="minorHAnsi" w:cstheme="minorHAnsi"/>
                <w:b w:val="0"/>
                <w:sz w:val="16"/>
                <w:szCs w:val="16"/>
              </w:rPr>
            </w:pPr>
            <w:r w:rsidRPr="007F290F">
              <w:rPr>
                <w:rFonts w:asciiTheme="minorHAnsi" w:hAnsiTheme="minorHAnsi" w:cstheme="minorHAnsi"/>
                <w:sz w:val="16"/>
                <w:szCs w:val="16"/>
              </w:rPr>
              <w:t>Redistribution (net effect of zero)</w:t>
            </w:r>
            <w:r w:rsidR="00796EF9">
              <w:rPr>
                <w:rStyle w:val="FootnoteReference"/>
                <w:rFonts w:asciiTheme="minorHAnsi" w:hAnsiTheme="minorHAnsi"/>
                <w:szCs w:val="16"/>
              </w:rPr>
              <w:footnoteReference w:id="23"/>
            </w:r>
          </w:p>
        </w:tc>
        <w:tc>
          <w:tcPr>
            <w:tcW w:w="0" w:type="auto"/>
            <w:vAlign w:val="center"/>
          </w:tcPr>
          <w:p w:rsidR="00AF469D" w:rsidRPr="007F290F" w:rsidRDefault="00AF469D" w:rsidP="001F2F9F">
            <w:pPr>
              <w:pStyle w:val="PwCNormal"/>
              <w:keepNext/>
              <w:keepLine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F290F">
              <w:rPr>
                <w:rFonts w:asciiTheme="minorHAnsi" w:hAnsiTheme="minorHAnsi" w:cstheme="minorHAnsi"/>
                <w:sz w:val="16"/>
                <w:szCs w:val="16"/>
              </w:rPr>
              <w:t>$</w:t>
            </w:r>
            <w:r w:rsidR="00035B7B">
              <w:rPr>
                <w:rFonts w:asciiTheme="minorHAnsi" w:hAnsiTheme="minorHAnsi" w:cstheme="minorHAnsi"/>
                <w:sz w:val="16"/>
                <w:szCs w:val="16"/>
              </w:rPr>
              <w:t>6</w:t>
            </w:r>
            <w:r w:rsidR="00C9634E">
              <w:rPr>
                <w:rFonts w:asciiTheme="minorHAnsi" w:hAnsiTheme="minorHAnsi" w:cstheme="minorHAnsi"/>
                <w:sz w:val="16"/>
                <w:szCs w:val="16"/>
              </w:rPr>
              <w:t>8.</w:t>
            </w:r>
            <w:r w:rsidR="00035B7B">
              <w:rPr>
                <w:rFonts w:asciiTheme="minorHAnsi" w:hAnsiTheme="minorHAnsi" w:cstheme="minorHAnsi"/>
                <w:sz w:val="16"/>
                <w:szCs w:val="16"/>
              </w:rPr>
              <w:t>4</w:t>
            </w:r>
            <w:r w:rsidRPr="007F290F">
              <w:rPr>
                <w:rFonts w:asciiTheme="minorHAnsi" w:hAnsiTheme="minorHAnsi" w:cstheme="minorHAnsi"/>
                <w:sz w:val="16"/>
                <w:szCs w:val="16"/>
              </w:rPr>
              <w:t>m</w:t>
            </w:r>
          </w:p>
        </w:tc>
        <w:tc>
          <w:tcPr>
            <w:tcW w:w="0" w:type="auto"/>
            <w:vAlign w:val="center"/>
          </w:tcPr>
          <w:p w:rsidR="00AF469D" w:rsidRPr="007F290F" w:rsidRDefault="00AF469D" w:rsidP="00F72A47">
            <w:pPr>
              <w:pStyle w:val="PwCNormal"/>
              <w:keepNext/>
              <w:keepLine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F290F">
              <w:rPr>
                <w:rFonts w:asciiTheme="minorHAnsi" w:hAnsiTheme="minorHAnsi" w:cstheme="minorHAnsi"/>
                <w:sz w:val="16"/>
                <w:szCs w:val="16"/>
              </w:rPr>
              <w:t>$</w:t>
            </w:r>
            <w:r w:rsidR="00C9634E">
              <w:rPr>
                <w:rFonts w:asciiTheme="minorHAnsi" w:hAnsiTheme="minorHAnsi" w:cstheme="minorHAnsi"/>
                <w:sz w:val="16"/>
                <w:szCs w:val="16"/>
              </w:rPr>
              <w:t>1</w:t>
            </w:r>
            <w:r w:rsidR="00035B7B">
              <w:rPr>
                <w:rFonts w:asciiTheme="minorHAnsi" w:hAnsiTheme="minorHAnsi" w:cstheme="minorHAnsi"/>
                <w:sz w:val="16"/>
                <w:szCs w:val="16"/>
              </w:rPr>
              <w:t>14.4</w:t>
            </w:r>
            <w:r w:rsidRPr="007F290F">
              <w:rPr>
                <w:rFonts w:asciiTheme="minorHAnsi" w:hAnsiTheme="minorHAnsi" w:cstheme="minorHAnsi"/>
                <w:sz w:val="16"/>
                <w:szCs w:val="16"/>
              </w:rPr>
              <w:t>m</w:t>
            </w:r>
          </w:p>
        </w:tc>
      </w:tr>
      <w:tr w:rsidR="00AF469D" w:rsidRPr="00AF469D" w:rsidTr="007F290F">
        <w:trPr>
          <w:trHeight w:val="306"/>
        </w:trPr>
        <w:tc>
          <w:tcPr>
            <w:cnfStyle w:val="001000000000" w:firstRow="0" w:lastRow="0" w:firstColumn="1" w:lastColumn="0" w:oddVBand="0" w:evenVBand="0" w:oddHBand="0" w:evenHBand="0" w:firstRowFirstColumn="0" w:firstRowLastColumn="0" w:lastRowFirstColumn="0" w:lastRowLastColumn="0"/>
            <w:tcW w:w="0" w:type="auto"/>
            <w:shd w:val="clear" w:color="auto" w:fill="EA9595" w:themeFill="text2" w:themeFillTint="66"/>
          </w:tcPr>
          <w:p w:rsidR="00AF469D" w:rsidRPr="007F290F" w:rsidRDefault="00AF469D" w:rsidP="001F2F9F">
            <w:pPr>
              <w:pStyle w:val="PwCNormal"/>
              <w:keepNext/>
              <w:keepLines/>
              <w:rPr>
                <w:rFonts w:asciiTheme="minorHAnsi" w:hAnsiTheme="minorHAnsi" w:cstheme="minorHAnsi"/>
                <w:sz w:val="16"/>
                <w:szCs w:val="16"/>
              </w:rPr>
            </w:pPr>
            <w:r w:rsidRPr="007F290F">
              <w:rPr>
                <w:rFonts w:asciiTheme="minorHAnsi" w:hAnsiTheme="minorHAnsi" w:cstheme="minorHAnsi"/>
                <w:sz w:val="16"/>
                <w:szCs w:val="16"/>
              </w:rPr>
              <w:t>Non-monetary impacts</w:t>
            </w:r>
          </w:p>
        </w:tc>
        <w:tc>
          <w:tcPr>
            <w:tcW w:w="0" w:type="auto"/>
            <w:shd w:val="clear" w:color="auto" w:fill="EA9595" w:themeFill="text2" w:themeFillTint="66"/>
            <w:vAlign w:val="center"/>
          </w:tcPr>
          <w:p w:rsidR="00AF469D" w:rsidRPr="007F290F" w:rsidRDefault="00AF469D" w:rsidP="001F2F9F">
            <w:pPr>
              <w:pStyle w:val="PwCNormal"/>
              <w:keepNext/>
              <w:keepLine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0" w:type="auto"/>
            <w:shd w:val="clear" w:color="auto" w:fill="EA9595" w:themeFill="text2" w:themeFillTint="66"/>
            <w:vAlign w:val="center"/>
          </w:tcPr>
          <w:p w:rsidR="00AF469D" w:rsidRPr="007F290F" w:rsidRDefault="00AF469D" w:rsidP="00F72A47">
            <w:pPr>
              <w:pStyle w:val="PwCNormal"/>
              <w:keepNext/>
              <w:keepLine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AF469D" w:rsidRPr="00AF469D" w:rsidTr="007F290F">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0" w:type="auto"/>
          </w:tcPr>
          <w:p w:rsidR="00AF469D" w:rsidRPr="007F290F" w:rsidRDefault="00AF469D" w:rsidP="001F2F9F">
            <w:pPr>
              <w:pStyle w:val="PwCNormal"/>
              <w:keepNext/>
              <w:keepLines/>
              <w:rPr>
                <w:rFonts w:asciiTheme="minorHAnsi" w:hAnsiTheme="minorHAnsi" w:cstheme="minorHAnsi"/>
                <w:b w:val="0"/>
                <w:sz w:val="16"/>
                <w:szCs w:val="16"/>
              </w:rPr>
            </w:pPr>
            <w:r w:rsidRPr="007F290F">
              <w:rPr>
                <w:rFonts w:asciiTheme="minorHAnsi" w:hAnsiTheme="minorHAnsi" w:cstheme="minorHAnsi"/>
                <w:sz w:val="16"/>
                <w:szCs w:val="16"/>
              </w:rPr>
              <w:t>Changes to benefits (number of people directly impacted)</w:t>
            </w:r>
          </w:p>
        </w:tc>
        <w:tc>
          <w:tcPr>
            <w:tcW w:w="0" w:type="auto"/>
            <w:vAlign w:val="center"/>
          </w:tcPr>
          <w:p w:rsidR="00AF469D" w:rsidRPr="007F290F" w:rsidRDefault="00AF469D" w:rsidP="001F2F9F">
            <w:pPr>
              <w:pStyle w:val="PwCNormal"/>
              <w:keepNext/>
              <w:keepLine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F290F">
              <w:rPr>
                <w:rFonts w:asciiTheme="minorHAnsi" w:hAnsiTheme="minorHAnsi" w:cstheme="minorHAnsi"/>
                <w:sz w:val="16"/>
                <w:szCs w:val="16"/>
              </w:rPr>
              <w:t>1,</w:t>
            </w:r>
            <w:r w:rsidR="006A7BA1">
              <w:rPr>
                <w:rFonts w:asciiTheme="minorHAnsi" w:hAnsiTheme="minorHAnsi" w:cstheme="minorHAnsi"/>
                <w:sz w:val="16"/>
                <w:szCs w:val="16"/>
              </w:rPr>
              <w:t>2</w:t>
            </w:r>
            <w:r w:rsidR="00035B7B">
              <w:rPr>
                <w:rFonts w:asciiTheme="minorHAnsi" w:hAnsiTheme="minorHAnsi" w:cstheme="minorHAnsi"/>
                <w:sz w:val="16"/>
                <w:szCs w:val="16"/>
              </w:rPr>
              <w:t>51</w:t>
            </w:r>
          </w:p>
        </w:tc>
        <w:tc>
          <w:tcPr>
            <w:tcW w:w="0" w:type="auto"/>
            <w:vAlign w:val="center"/>
          </w:tcPr>
          <w:p w:rsidR="00AF469D" w:rsidRPr="007F290F" w:rsidRDefault="00AF469D" w:rsidP="00F72A47">
            <w:pPr>
              <w:pStyle w:val="PwCNormal"/>
              <w:keepNext/>
              <w:keepLine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F290F">
              <w:rPr>
                <w:rFonts w:asciiTheme="minorHAnsi" w:hAnsiTheme="minorHAnsi" w:cstheme="minorHAnsi"/>
                <w:sz w:val="16"/>
                <w:szCs w:val="16"/>
              </w:rPr>
              <w:t>1,</w:t>
            </w:r>
            <w:r w:rsidR="006A7BA1">
              <w:rPr>
                <w:rFonts w:asciiTheme="minorHAnsi" w:hAnsiTheme="minorHAnsi" w:cstheme="minorHAnsi"/>
                <w:sz w:val="16"/>
                <w:szCs w:val="16"/>
              </w:rPr>
              <w:t>788</w:t>
            </w:r>
          </w:p>
        </w:tc>
      </w:tr>
      <w:tr w:rsidR="00AF469D" w:rsidRPr="00AF469D" w:rsidTr="007F290F">
        <w:trPr>
          <w:trHeight w:val="613"/>
        </w:trPr>
        <w:tc>
          <w:tcPr>
            <w:cnfStyle w:val="001000000000" w:firstRow="0" w:lastRow="0" w:firstColumn="1" w:lastColumn="0" w:oddVBand="0" w:evenVBand="0" w:oddHBand="0" w:evenHBand="0" w:firstRowFirstColumn="0" w:firstRowLastColumn="0" w:lastRowFirstColumn="0" w:lastRowLastColumn="0"/>
            <w:tcW w:w="0" w:type="auto"/>
          </w:tcPr>
          <w:p w:rsidR="00AF469D" w:rsidRPr="007F290F" w:rsidRDefault="00AF469D" w:rsidP="00330CB5">
            <w:pPr>
              <w:pStyle w:val="PwCNormal"/>
              <w:keepNext/>
              <w:keepLines/>
              <w:rPr>
                <w:rFonts w:asciiTheme="minorHAnsi" w:hAnsiTheme="minorHAnsi" w:cstheme="minorHAnsi"/>
                <w:b w:val="0"/>
                <w:sz w:val="16"/>
                <w:szCs w:val="16"/>
              </w:rPr>
            </w:pPr>
            <w:r w:rsidRPr="007F290F">
              <w:rPr>
                <w:rFonts w:asciiTheme="minorHAnsi" w:hAnsiTheme="minorHAnsi" w:cstheme="minorHAnsi"/>
                <w:sz w:val="16"/>
                <w:szCs w:val="16"/>
              </w:rPr>
              <w:t xml:space="preserve">Transitional </w:t>
            </w:r>
            <w:r w:rsidR="000824FB" w:rsidRPr="007F290F">
              <w:rPr>
                <w:rFonts w:asciiTheme="minorHAnsi" w:hAnsiTheme="minorHAnsi" w:cstheme="minorHAnsi"/>
                <w:sz w:val="16"/>
                <w:szCs w:val="16"/>
              </w:rPr>
              <w:t>issue</w:t>
            </w:r>
            <w:r w:rsidRPr="007F290F">
              <w:rPr>
                <w:rFonts w:asciiTheme="minorHAnsi" w:hAnsiTheme="minorHAnsi" w:cstheme="minorHAnsi"/>
                <w:sz w:val="16"/>
                <w:szCs w:val="16"/>
              </w:rPr>
              <w:t>: entitlements (number of people)</w:t>
            </w:r>
          </w:p>
        </w:tc>
        <w:tc>
          <w:tcPr>
            <w:tcW w:w="0" w:type="auto"/>
            <w:vAlign w:val="center"/>
          </w:tcPr>
          <w:p w:rsidR="00AF469D" w:rsidRPr="007F290F" w:rsidRDefault="00AF469D" w:rsidP="001F2F9F">
            <w:pPr>
              <w:pStyle w:val="PwCNormal"/>
              <w:keepNext/>
              <w:keepLine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F290F">
              <w:rPr>
                <w:rFonts w:asciiTheme="minorHAnsi" w:hAnsiTheme="minorHAnsi" w:cstheme="minorHAnsi"/>
                <w:sz w:val="16"/>
                <w:szCs w:val="16"/>
              </w:rPr>
              <w:t>Nil</w:t>
            </w:r>
          </w:p>
        </w:tc>
        <w:tc>
          <w:tcPr>
            <w:tcW w:w="0" w:type="auto"/>
            <w:vAlign w:val="center"/>
          </w:tcPr>
          <w:p w:rsidR="00AF469D" w:rsidRPr="007F290F" w:rsidRDefault="006A7BA1" w:rsidP="00F72A47">
            <w:pPr>
              <w:pStyle w:val="PwCNormal"/>
              <w:keepNext/>
              <w:keepLine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Pr>
                <w:rFonts w:asciiTheme="minorHAnsi" w:hAnsiTheme="minorHAnsi" w:cstheme="minorHAnsi"/>
                <w:sz w:val="16"/>
                <w:szCs w:val="16"/>
              </w:rPr>
              <w:t>516</w:t>
            </w:r>
          </w:p>
        </w:tc>
      </w:tr>
    </w:tbl>
    <w:p w:rsidR="007221A3" w:rsidRDefault="007221A3" w:rsidP="007221A3">
      <w:pPr>
        <w:pStyle w:val="Sources"/>
        <w:keepNext/>
        <w:keepLines/>
      </w:pPr>
      <w:r w:rsidRPr="008A2FF0">
        <w:rPr>
          <w:color w:val="auto"/>
        </w:rPr>
        <w:t>Note: Figures may not sum exactly due to rounding</w:t>
      </w:r>
    </w:p>
    <w:p w:rsidR="00AF469D" w:rsidRPr="00AF469D" w:rsidRDefault="005528EA" w:rsidP="00785051">
      <w:pPr>
        <w:pStyle w:val="Sources"/>
        <w:keepNext/>
        <w:keepLines/>
      </w:pPr>
      <w:r>
        <w:t>Source: PwC analysis as outlined in main body</w:t>
      </w:r>
    </w:p>
    <w:p w:rsidR="00AF469D" w:rsidRDefault="00AF469D" w:rsidP="00CF1086">
      <w:pPr>
        <w:pStyle w:val="PwCNormal"/>
        <w:keepNext/>
        <w:keepLines/>
      </w:pPr>
    </w:p>
    <w:p w:rsidR="004D348F" w:rsidRDefault="004D348F" w:rsidP="004D348F">
      <w:pPr>
        <w:pStyle w:val="PrefaceTitle"/>
      </w:pPr>
      <w:bookmarkStart w:id="25" w:name="_Toc384227271"/>
      <w:bookmarkStart w:id="26" w:name="_Toc391459526"/>
      <w:bookmarkEnd w:id="0"/>
      <w:r w:rsidRPr="00DA053A">
        <w:lastRenderedPageBreak/>
        <w:t>Abbreviations</w:t>
      </w:r>
      <w:bookmarkEnd w:id="25"/>
      <w:bookmarkEnd w:id="26"/>
    </w:p>
    <w:tbl>
      <w:tblPr>
        <w:tblStyle w:val="Tables-APBase"/>
        <w:tblW w:w="5000" w:type="pct"/>
        <w:tblLayout w:type="fixed"/>
        <w:tblLook w:val="04A0" w:firstRow="1" w:lastRow="0" w:firstColumn="1" w:lastColumn="0" w:noHBand="0" w:noVBand="1"/>
      </w:tblPr>
      <w:tblGrid>
        <w:gridCol w:w="4218"/>
        <w:gridCol w:w="4219"/>
      </w:tblGrid>
      <w:tr w:rsidR="004D348F" w:rsidTr="004D348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218" w:type="dxa"/>
          </w:tcPr>
          <w:p w:rsidR="004D348F" w:rsidRDefault="004D348F" w:rsidP="004D348F">
            <w:pPr>
              <w:pStyle w:val="TableColumnHeadingSmall"/>
            </w:pPr>
            <w:r w:rsidRPr="00DA053A">
              <w:t>Abbreviation</w:t>
            </w:r>
          </w:p>
        </w:tc>
        <w:tc>
          <w:tcPr>
            <w:tcW w:w="4219" w:type="dxa"/>
          </w:tcPr>
          <w:p w:rsidR="004D348F" w:rsidRDefault="004D348F" w:rsidP="000C666A">
            <w:pPr>
              <w:pStyle w:val="TableColumnHeadingSmall"/>
              <w:jc w:val="left"/>
              <w:cnfStyle w:val="100000000000" w:firstRow="1" w:lastRow="0" w:firstColumn="0" w:lastColumn="0" w:oddVBand="0" w:evenVBand="0" w:oddHBand="0" w:evenHBand="0" w:firstRowFirstColumn="0" w:firstRowLastColumn="0" w:lastRowFirstColumn="0" w:lastRowLastColumn="0"/>
            </w:pPr>
            <w:r w:rsidRPr="00DA053A">
              <w:t>Description</w:t>
            </w:r>
          </w:p>
        </w:tc>
      </w:tr>
      <w:tr w:rsidR="004D348F" w:rsidTr="00566D61">
        <w:tc>
          <w:tcPr>
            <w:tcW w:w="4218" w:type="dxa"/>
            <w:vAlign w:val="center"/>
          </w:tcPr>
          <w:p w:rsidR="004D348F" w:rsidRPr="00DB7190" w:rsidRDefault="004D348F" w:rsidP="00947130">
            <w:pPr>
              <w:pStyle w:val="TableTextSmall"/>
              <w:rPr>
                <w:b/>
              </w:rPr>
            </w:pPr>
            <w:r w:rsidRPr="00DB7190">
              <w:rPr>
                <w:b/>
              </w:rPr>
              <w:t>AMA</w:t>
            </w:r>
          </w:p>
        </w:tc>
        <w:tc>
          <w:tcPr>
            <w:tcW w:w="4219" w:type="dxa"/>
          </w:tcPr>
          <w:p w:rsidR="004D348F" w:rsidRPr="00DB7190" w:rsidRDefault="004D348F" w:rsidP="004D348F">
            <w:pPr>
              <w:pStyle w:val="TableTextSmall"/>
              <w:rPr>
                <w:b/>
              </w:rPr>
            </w:pPr>
            <w:r w:rsidRPr="00DB7190">
              <w:rPr>
                <w:b/>
              </w:rPr>
              <w:t>American Medical Association</w:t>
            </w:r>
          </w:p>
        </w:tc>
      </w:tr>
      <w:tr w:rsidR="00F8718E" w:rsidTr="00566D61">
        <w:tc>
          <w:tcPr>
            <w:tcW w:w="4218" w:type="dxa"/>
            <w:vAlign w:val="center"/>
          </w:tcPr>
          <w:p w:rsidR="00F8718E" w:rsidRDefault="00F8718E" w:rsidP="00947130">
            <w:pPr>
              <w:pStyle w:val="TableTextSmall"/>
              <w:rPr>
                <w:b/>
              </w:rPr>
            </w:pPr>
            <w:r>
              <w:rPr>
                <w:b/>
              </w:rPr>
              <w:t>Act</w:t>
            </w:r>
          </w:p>
        </w:tc>
        <w:tc>
          <w:tcPr>
            <w:tcW w:w="4219" w:type="dxa"/>
          </w:tcPr>
          <w:p w:rsidR="00F8718E" w:rsidRPr="000C666A" w:rsidRDefault="00F8718E" w:rsidP="004D348F">
            <w:pPr>
              <w:pStyle w:val="TableTextSmall"/>
              <w:rPr>
                <w:b/>
                <w:i/>
              </w:rPr>
            </w:pPr>
            <w:r w:rsidRPr="000C666A">
              <w:rPr>
                <w:b/>
                <w:i/>
              </w:rPr>
              <w:t>Transport Accident Act (1986)</w:t>
            </w:r>
          </w:p>
        </w:tc>
      </w:tr>
      <w:tr w:rsidR="004D348F" w:rsidTr="00566D61">
        <w:tc>
          <w:tcPr>
            <w:tcW w:w="4218" w:type="dxa"/>
            <w:vAlign w:val="center"/>
          </w:tcPr>
          <w:p w:rsidR="004D348F" w:rsidRDefault="004D348F" w:rsidP="00947130">
            <w:pPr>
              <w:pStyle w:val="TableTextSmall"/>
              <w:rPr>
                <w:b/>
              </w:rPr>
            </w:pPr>
            <w:r>
              <w:rPr>
                <w:b/>
              </w:rPr>
              <w:t>DRE</w:t>
            </w:r>
          </w:p>
        </w:tc>
        <w:tc>
          <w:tcPr>
            <w:tcW w:w="4219" w:type="dxa"/>
          </w:tcPr>
          <w:p w:rsidR="004D348F" w:rsidRDefault="004D348F" w:rsidP="004D348F">
            <w:pPr>
              <w:pStyle w:val="TableTextSmall"/>
              <w:rPr>
                <w:b/>
              </w:rPr>
            </w:pPr>
            <w:r w:rsidRPr="005D34FB">
              <w:rPr>
                <w:b/>
              </w:rPr>
              <w:t>Diagnosis-Related Estimate</w:t>
            </w:r>
          </w:p>
        </w:tc>
      </w:tr>
      <w:tr w:rsidR="001F1103" w:rsidTr="00566D61">
        <w:tc>
          <w:tcPr>
            <w:tcW w:w="4218" w:type="dxa"/>
            <w:vAlign w:val="center"/>
          </w:tcPr>
          <w:p w:rsidR="001F1103" w:rsidRDefault="001F1103" w:rsidP="00947130">
            <w:pPr>
              <w:pStyle w:val="TableTextSmall"/>
              <w:rPr>
                <w:b/>
              </w:rPr>
            </w:pPr>
            <w:r>
              <w:rPr>
                <w:b/>
              </w:rPr>
              <w:t>GMD</w:t>
            </w:r>
          </w:p>
        </w:tc>
        <w:tc>
          <w:tcPr>
            <w:tcW w:w="4219" w:type="dxa"/>
          </w:tcPr>
          <w:p w:rsidR="001F1103" w:rsidRPr="000C666A" w:rsidRDefault="001F1103" w:rsidP="004D348F">
            <w:pPr>
              <w:pStyle w:val="TableTextSmall"/>
              <w:rPr>
                <w:b/>
              </w:rPr>
            </w:pPr>
            <w:r>
              <w:rPr>
                <w:b/>
              </w:rPr>
              <w:t>Guides Modification Document</w:t>
            </w:r>
          </w:p>
        </w:tc>
      </w:tr>
      <w:tr w:rsidR="00F8718E" w:rsidTr="00566D61">
        <w:tc>
          <w:tcPr>
            <w:tcW w:w="4218" w:type="dxa"/>
            <w:vAlign w:val="center"/>
          </w:tcPr>
          <w:p w:rsidR="00F8718E" w:rsidRDefault="00F8718E" w:rsidP="00947130">
            <w:pPr>
              <w:pStyle w:val="TableTextSmall"/>
              <w:rPr>
                <w:b/>
              </w:rPr>
            </w:pPr>
            <w:r>
              <w:rPr>
                <w:b/>
              </w:rPr>
              <w:t>Guides</w:t>
            </w:r>
          </w:p>
        </w:tc>
        <w:tc>
          <w:tcPr>
            <w:tcW w:w="4219" w:type="dxa"/>
          </w:tcPr>
          <w:p w:rsidR="00F8718E" w:rsidRDefault="00F8718E" w:rsidP="00B4410E">
            <w:pPr>
              <w:pStyle w:val="TableTextSmall"/>
              <w:rPr>
                <w:b/>
              </w:rPr>
            </w:pPr>
            <w:r w:rsidRPr="000C666A">
              <w:rPr>
                <w:b/>
              </w:rPr>
              <w:t>American Medical Association Guides</w:t>
            </w:r>
            <w:r w:rsidR="006E1F59">
              <w:rPr>
                <w:b/>
              </w:rPr>
              <w:t xml:space="preserve"> to the Evaluation of Permanent Impairment</w:t>
            </w:r>
            <w:r w:rsidR="00B4410E">
              <w:rPr>
                <w:b/>
              </w:rPr>
              <w:t xml:space="preserve"> (</w:t>
            </w:r>
            <w:r w:rsidR="00B4410E" w:rsidRPr="000C666A">
              <w:rPr>
                <w:b/>
              </w:rPr>
              <w:t>4th Edition</w:t>
            </w:r>
            <w:r w:rsidR="00B4410E">
              <w:rPr>
                <w:b/>
              </w:rPr>
              <w:t>)</w:t>
            </w:r>
          </w:p>
        </w:tc>
      </w:tr>
      <w:tr w:rsidR="004D348F" w:rsidTr="00566D61">
        <w:tc>
          <w:tcPr>
            <w:tcW w:w="4218" w:type="dxa"/>
            <w:vAlign w:val="center"/>
          </w:tcPr>
          <w:p w:rsidR="004D348F" w:rsidRDefault="004D348F" w:rsidP="00947130">
            <w:pPr>
              <w:pStyle w:val="TableTextSmall"/>
              <w:rPr>
                <w:b/>
              </w:rPr>
            </w:pPr>
            <w:r>
              <w:rPr>
                <w:b/>
              </w:rPr>
              <w:t>LOEC</w:t>
            </w:r>
          </w:p>
        </w:tc>
        <w:tc>
          <w:tcPr>
            <w:tcW w:w="4219" w:type="dxa"/>
          </w:tcPr>
          <w:p w:rsidR="004D348F" w:rsidRDefault="004D348F" w:rsidP="004D348F">
            <w:pPr>
              <w:pStyle w:val="TableTextSmall"/>
              <w:rPr>
                <w:b/>
              </w:rPr>
            </w:pPr>
            <w:r>
              <w:rPr>
                <w:b/>
              </w:rPr>
              <w:t>Loss of earnings capacity</w:t>
            </w:r>
          </w:p>
        </w:tc>
      </w:tr>
      <w:tr w:rsidR="004D348F" w:rsidTr="00566D61">
        <w:tc>
          <w:tcPr>
            <w:tcW w:w="4218" w:type="dxa"/>
            <w:vAlign w:val="center"/>
          </w:tcPr>
          <w:p w:rsidR="004D348F" w:rsidRDefault="004D348F" w:rsidP="00947130">
            <w:pPr>
              <w:pStyle w:val="TableTextSmall"/>
              <w:rPr>
                <w:b/>
              </w:rPr>
            </w:pPr>
            <w:r>
              <w:rPr>
                <w:b/>
              </w:rPr>
              <w:t>NPV</w:t>
            </w:r>
          </w:p>
        </w:tc>
        <w:tc>
          <w:tcPr>
            <w:tcW w:w="4219" w:type="dxa"/>
          </w:tcPr>
          <w:p w:rsidR="004D348F" w:rsidRDefault="004D348F" w:rsidP="004D348F">
            <w:pPr>
              <w:pStyle w:val="TableTextSmall"/>
              <w:rPr>
                <w:b/>
              </w:rPr>
            </w:pPr>
            <w:r>
              <w:rPr>
                <w:b/>
              </w:rPr>
              <w:t>Net Present Value</w:t>
            </w:r>
          </w:p>
        </w:tc>
      </w:tr>
      <w:tr w:rsidR="004D348F" w:rsidTr="00566D61">
        <w:tc>
          <w:tcPr>
            <w:tcW w:w="4218" w:type="dxa"/>
            <w:vAlign w:val="center"/>
          </w:tcPr>
          <w:p w:rsidR="004D348F" w:rsidRPr="00DB7190" w:rsidRDefault="004D348F" w:rsidP="00947130">
            <w:pPr>
              <w:pStyle w:val="TableTextSmall"/>
              <w:rPr>
                <w:b/>
              </w:rPr>
            </w:pPr>
            <w:r>
              <w:rPr>
                <w:b/>
              </w:rPr>
              <w:t>PwC</w:t>
            </w:r>
          </w:p>
        </w:tc>
        <w:tc>
          <w:tcPr>
            <w:tcW w:w="4219" w:type="dxa"/>
          </w:tcPr>
          <w:p w:rsidR="004D348F" w:rsidRPr="00DB7190" w:rsidRDefault="004D348F" w:rsidP="004D348F">
            <w:pPr>
              <w:pStyle w:val="TableTextSmall"/>
              <w:rPr>
                <w:b/>
              </w:rPr>
            </w:pPr>
            <w:r>
              <w:rPr>
                <w:b/>
              </w:rPr>
              <w:t>PricewaterhouseCoopers</w:t>
            </w:r>
          </w:p>
        </w:tc>
      </w:tr>
      <w:tr w:rsidR="00F8718E" w:rsidTr="00566D61">
        <w:tc>
          <w:tcPr>
            <w:tcW w:w="4218" w:type="dxa"/>
            <w:vAlign w:val="center"/>
          </w:tcPr>
          <w:p w:rsidR="00F8718E" w:rsidRDefault="00F8718E" w:rsidP="00947130">
            <w:pPr>
              <w:pStyle w:val="TableTextSmall"/>
              <w:rPr>
                <w:b/>
              </w:rPr>
            </w:pPr>
            <w:proofErr w:type="spellStart"/>
            <w:r>
              <w:rPr>
                <w:b/>
              </w:rPr>
              <w:t>Serwylo</w:t>
            </w:r>
            <w:proofErr w:type="spellEnd"/>
          </w:p>
        </w:tc>
        <w:tc>
          <w:tcPr>
            <w:tcW w:w="4219" w:type="dxa"/>
          </w:tcPr>
          <w:p w:rsidR="00F8718E" w:rsidRDefault="00F8718E" w:rsidP="004D348F">
            <w:pPr>
              <w:pStyle w:val="TableTextSmall"/>
              <w:rPr>
                <w:b/>
              </w:rPr>
            </w:pPr>
            <w:r>
              <w:rPr>
                <w:b/>
              </w:rPr>
              <w:t xml:space="preserve">TAC v </w:t>
            </w:r>
            <w:proofErr w:type="spellStart"/>
            <w:r>
              <w:rPr>
                <w:b/>
              </w:rPr>
              <w:t>Serwylo</w:t>
            </w:r>
            <w:proofErr w:type="spellEnd"/>
            <w:r>
              <w:rPr>
                <w:b/>
              </w:rPr>
              <w:t xml:space="preserve"> [2010] VSC 421</w:t>
            </w:r>
          </w:p>
        </w:tc>
      </w:tr>
      <w:tr w:rsidR="004D348F" w:rsidTr="00566D61">
        <w:tc>
          <w:tcPr>
            <w:tcW w:w="4218" w:type="dxa"/>
            <w:vAlign w:val="center"/>
          </w:tcPr>
          <w:p w:rsidR="004D348F" w:rsidRPr="00DB7190" w:rsidRDefault="004D348F" w:rsidP="00947130">
            <w:pPr>
              <w:pStyle w:val="TableTextSmall"/>
              <w:rPr>
                <w:b/>
              </w:rPr>
            </w:pPr>
            <w:r>
              <w:rPr>
                <w:b/>
              </w:rPr>
              <w:t>RIS</w:t>
            </w:r>
          </w:p>
        </w:tc>
        <w:tc>
          <w:tcPr>
            <w:tcW w:w="4219" w:type="dxa"/>
          </w:tcPr>
          <w:p w:rsidR="004D348F" w:rsidRPr="00DB7190" w:rsidRDefault="004D348F" w:rsidP="004D348F">
            <w:pPr>
              <w:pStyle w:val="TableTextSmall"/>
              <w:rPr>
                <w:b/>
              </w:rPr>
            </w:pPr>
            <w:r>
              <w:rPr>
                <w:b/>
              </w:rPr>
              <w:t>Regulatory Impact Statement</w:t>
            </w:r>
          </w:p>
        </w:tc>
      </w:tr>
      <w:tr w:rsidR="004D348F" w:rsidTr="00566D61">
        <w:tc>
          <w:tcPr>
            <w:tcW w:w="4218" w:type="dxa"/>
            <w:vAlign w:val="center"/>
          </w:tcPr>
          <w:p w:rsidR="004D348F" w:rsidRPr="00DB7190" w:rsidRDefault="004D348F" w:rsidP="00947130">
            <w:pPr>
              <w:pStyle w:val="TableTextSmall"/>
              <w:rPr>
                <w:b/>
              </w:rPr>
            </w:pPr>
            <w:r w:rsidRPr="00DB7190">
              <w:rPr>
                <w:b/>
              </w:rPr>
              <w:t>TAC</w:t>
            </w:r>
          </w:p>
        </w:tc>
        <w:tc>
          <w:tcPr>
            <w:tcW w:w="4219" w:type="dxa"/>
          </w:tcPr>
          <w:p w:rsidR="004D348F" w:rsidRPr="00DB7190" w:rsidRDefault="004D348F" w:rsidP="004D348F">
            <w:pPr>
              <w:pStyle w:val="TableTextSmall"/>
              <w:rPr>
                <w:b/>
              </w:rPr>
            </w:pPr>
            <w:r w:rsidRPr="00DB7190">
              <w:rPr>
                <w:b/>
              </w:rPr>
              <w:t xml:space="preserve">Transport Accident Commission </w:t>
            </w:r>
          </w:p>
        </w:tc>
      </w:tr>
      <w:tr w:rsidR="004D348F" w:rsidTr="004D348F">
        <w:tc>
          <w:tcPr>
            <w:tcW w:w="4218" w:type="dxa"/>
          </w:tcPr>
          <w:p w:rsidR="004D348F" w:rsidRPr="00DB7190" w:rsidRDefault="004D348F" w:rsidP="004D348F">
            <w:pPr>
              <w:pStyle w:val="TableTextSmall"/>
              <w:rPr>
                <w:b/>
              </w:rPr>
            </w:pPr>
            <w:r w:rsidRPr="00DB7190">
              <w:rPr>
                <w:b/>
              </w:rPr>
              <w:t>WPI</w:t>
            </w:r>
          </w:p>
        </w:tc>
        <w:tc>
          <w:tcPr>
            <w:tcW w:w="4219" w:type="dxa"/>
          </w:tcPr>
          <w:p w:rsidR="004D348F" w:rsidRPr="00DB7190" w:rsidRDefault="004D348F" w:rsidP="004D348F">
            <w:pPr>
              <w:pStyle w:val="TableTextSmall"/>
              <w:rPr>
                <w:b/>
              </w:rPr>
            </w:pPr>
            <w:r w:rsidRPr="00DB7190">
              <w:rPr>
                <w:b/>
              </w:rPr>
              <w:t>Whole Person Impairment</w:t>
            </w:r>
          </w:p>
        </w:tc>
      </w:tr>
    </w:tbl>
    <w:p w:rsidR="004D348F" w:rsidRDefault="004D348F" w:rsidP="004D348F">
      <w:pPr>
        <w:pStyle w:val="TOCtitle"/>
        <w:sectPr w:rsidR="004D348F" w:rsidSect="006B008A">
          <w:headerReference w:type="even" r:id="rId19"/>
          <w:headerReference w:type="default" r:id="rId20"/>
          <w:footerReference w:type="even" r:id="rId21"/>
          <w:footerReference w:type="default" r:id="rId22"/>
          <w:headerReference w:type="first" r:id="rId23"/>
          <w:footerReference w:type="first" r:id="rId24"/>
          <w:pgSz w:w="11907" w:h="16840" w:code="9"/>
          <w:pgMar w:top="1588" w:right="1843" w:bottom="1418" w:left="1843" w:header="567" w:footer="567" w:gutter="0"/>
          <w:pgNumType w:fmt="lowerRoman" w:start="1"/>
          <w:cols w:space="227"/>
          <w:titlePg/>
          <w:docGrid w:linePitch="286"/>
        </w:sectPr>
      </w:pPr>
    </w:p>
    <w:p w:rsidR="004D348F" w:rsidRPr="004F0878" w:rsidRDefault="004D348F" w:rsidP="004D348F">
      <w:pPr>
        <w:pStyle w:val="TOCtitle"/>
      </w:pPr>
      <w:r w:rsidRPr="00FC2C77">
        <w:lastRenderedPageBreak/>
        <w:t>Conten</w:t>
      </w:r>
      <w:bookmarkStart w:id="27" w:name="TOC"/>
      <w:bookmarkEnd w:id="27"/>
      <w:r w:rsidRPr="00FC2C77">
        <w:t>ts</w:t>
      </w:r>
      <w:bookmarkStart w:id="28" w:name="SmallDoc"/>
      <w:bookmarkEnd w:id="28"/>
    </w:p>
    <w:p w:rsidR="00B970B4" w:rsidRPr="00B970B4" w:rsidRDefault="004D348F">
      <w:pPr>
        <w:pStyle w:val="TOC2"/>
        <w:rPr>
          <w:noProof/>
        </w:rPr>
      </w:pPr>
      <w:r>
        <w:fldChar w:fldCharType="begin"/>
      </w:r>
      <w:r>
        <w:instrText xml:space="preserve"> TOC \h \t "Heading 1,1,Heading 2 No spacing,2,Heading 2,2,Heading 3,3,Heading 4,4,Preface Title,2" \*Charformat </w:instrText>
      </w:r>
      <w:r>
        <w:fldChar w:fldCharType="separate"/>
      </w:r>
      <w:hyperlink w:anchor="_Toc391459524" w:history="1">
        <w:r w:rsidR="00B970B4" w:rsidRPr="00B970B4">
          <w:rPr>
            <w:noProof/>
          </w:rPr>
          <w:t>Disclaimer</w:t>
        </w:r>
        <w:r w:rsidR="00B970B4">
          <w:rPr>
            <w:noProof/>
          </w:rPr>
          <w:tab/>
        </w:r>
        <w:r w:rsidR="00B970B4">
          <w:rPr>
            <w:noProof/>
          </w:rPr>
          <w:fldChar w:fldCharType="begin"/>
        </w:r>
        <w:r w:rsidR="00B970B4">
          <w:rPr>
            <w:noProof/>
          </w:rPr>
          <w:instrText xml:space="preserve"> PAGEREF _Toc391459524 \h </w:instrText>
        </w:r>
        <w:r w:rsidR="00B970B4">
          <w:rPr>
            <w:noProof/>
          </w:rPr>
        </w:r>
        <w:r w:rsidR="00B970B4">
          <w:rPr>
            <w:noProof/>
          </w:rPr>
          <w:fldChar w:fldCharType="separate"/>
        </w:r>
        <w:r w:rsidR="00542564">
          <w:rPr>
            <w:noProof/>
          </w:rPr>
          <w:t>i</w:t>
        </w:r>
        <w:r w:rsidR="00B970B4">
          <w:rPr>
            <w:noProof/>
          </w:rPr>
          <w:fldChar w:fldCharType="end"/>
        </w:r>
      </w:hyperlink>
    </w:p>
    <w:p w:rsidR="00B970B4" w:rsidRPr="00B970B4" w:rsidRDefault="00F10EB0">
      <w:pPr>
        <w:pStyle w:val="TOC2"/>
        <w:rPr>
          <w:noProof/>
        </w:rPr>
      </w:pPr>
      <w:hyperlink w:anchor="_Toc391459525" w:history="1">
        <w:r w:rsidR="00B970B4" w:rsidRPr="00B970B4">
          <w:rPr>
            <w:noProof/>
          </w:rPr>
          <w:t>Executive summary</w:t>
        </w:r>
        <w:r w:rsidR="00B970B4">
          <w:rPr>
            <w:noProof/>
          </w:rPr>
          <w:tab/>
        </w:r>
        <w:r w:rsidR="00B970B4">
          <w:rPr>
            <w:noProof/>
          </w:rPr>
          <w:fldChar w:fldCharType="begin"/>
        </w:r>
        <w:r w:rsidR="00B970B4">
          <w:rPr>
            <w:noProof/>
          </w:rPr>
          <w:instrText xml:space="preserve"> PAGEREF _Toc391459525 \h </w:instrText>
        </w:r>
        <w:r w:rsidR="00B970B4">
          <w:rPr>
            <w:noProof/>
          </w:rPr>
        </w:r>
        <w:r w:rsidR="00B970B4">
          <w:rPr>
            <w:noProof/>
          </w:rPr>
          <w:fldChar w:fldCharType="separate"/>
        </w:r>
        <w:r w:rsidR="00542564">
          <w:rPr>
            <w:noProof/>
          </w:rPr>
          <w:t>i</w:t>
        </w:r>
        <w:r w:rsidR="00B970B4">
          <w:rPr>
            <w:noProof/>
          </w:rPr>
          <w:fldChar w:fldCharType="end"/>
        </w:r>
      </w:hyperlink>
    </w:p>
    <w:p w:rsidR="00B970B4" w:rsidRPr="00B970B4" w:rsidRDefault="00F10EB0">
      <w:pPr>
        <w:pStyle w:val="TOC2"/>
        <w:rPr>
          <w:noProof/>
        </w:rPr>
      </w:pPr>
      <w:hyperlink w:anchor="_Toc391459526" w:history="1">
        <w:r w:rsidR="00B970B4" w:rsidRPr="00B970B4">
          <w:rPr>
            <w:noProof/>
          </w:rPr>
          <w:t>Abbreviations</w:t>
        </w:r>
        <w:r w:rsidR="00B970B4">
          <w:rPr>
            <w:noProof/>
          </w:rPr>
          <w:tab/>
        </w:r>
        <w:r w:rsidR="00B970B4">
          <w:rPr>
            <w:noProof/>
          </w:rPr>
          <w:fldChar w:fldCharType="begin"/>
        </w:r>
        <w:r w:rsidR="00B970B4">
          <w:rPr>
            <w:noProof/>
          </w:rPr>
          <w:instrText xml:space="preserve"> PAGEREF _Toc391459526 \h </w:instrText>
        </w:r>
        <w:r w:rsidR="00B970B4">
          <w:rPr>
            <w:noProof/>
          </w:rPr>
        </w:r>
        <w:r w:rsidR="00B970B4">
          <w:rPr>
            <w:noProof/>
          </w:rPr>
          <w:fldChar w:fldCharType="separate"/>
        </w:r>
        <w:r w:rsidR="00542564">
          <w:rPr>
            <w:noProof/>
          </w:rPr>
          <w:t>vii</w:t>
        </w:r>
        <w:r w:rsidR="00B970B4">
          <w:rPr>
            <w:noProof/>
          </w:rPr>
          <w:fldChar w:fldCharType="end"/>
        </w:r>
      </w:hyperlink>
    </w:p>
    <w:p w:rsidR="00B970B4" w:rsidRPr="00B970B4" w:rsidRDefault="00F10EB0">
      <w:pPr>
        <w:pStyle w:val="TOC2"/>
        <w:rPr>
          <w:noProof/>
        </w:rPr>
      </w:pPr>
      <w:hyperlink w:anchor="_Toc391459527" w:history="1">
        <w:r w:rsidR="00B970B4" w:rsidRPr="00B970B4">
          <w:rPr>
            <w:noProof/>
          </w:rPr>
          <w:t>1</w:t>
        </w:r>
        <w:r w:rsidR="00B970B4" w:rsidRPr="00B970B4">
          <w:rPr>
            <w:noProof/>
          </w:rPr>
          <w:tab/>
          <w:t>About this regulatory impact statement</w:t>
        </w:r>
        <w:r w:rsidR="00B970B4">
          <w:rPr>
            <w:noProof/>
          </w:rPr>
          <w:tab/>
        </w:r>
        <w:r w:rsidR="00B970B4">
          <w:rPr>
            <w:noProof/>
          </w:rPr>
          <w:fldChar w:fldCharType="begin"/>
        </w:r>
        <w:r w:rsidR="00B970B4">
          <w:rPr>
            <w:noProof/>
          </w:rPr>
          <w:instrText xml:space="preserve"> PAGEREF _Toc391459527 \h </w:instrText>
        </w:r>
        <w:r w:rsidR="00B970B4">
          <w:rPr>
            <w:noProof/>
          </w:rPr>
        </w:r>
        <w:r w:rsidR="00B970B4">
          <w:rPr>
            <w:noProof/>
          </w:rPr>
          <w:fldChar w:fldCharType="separate"/>
        </w:r>
        <w:r w:rsidR="00542564">
          <w:rPr>
            <w:noProof/>
          </w:rPr>
          <w:t>2</w:t>
        </w:r>
        <w:r w:rsidR="00B970B4">
          <w:rPr>
            <w:noProof/>
          </w:rPr>
          <w:fldChar w:fldCharType="end"/>
        </w:r>
      </w:hyperlink>
    </w:p>
    <w:p w:rsidR="00B970B4" w:rsidRPr="00B970B4" w:rsidRDefault="00F10EB0">
      <w:pPr>
        <w:pStyle w:val="TOC2"/>
        <w:rPr>
          <w:noProof/>
        </w:rPr>
      </w:pPr>
      <w:hyperlink w:anchor="_Toc391459528" w:history="1">
        <w:r w:rsidR="00B970B4" w:rsidRPr="00B970B4">
          <w:rPr>
            <w:noProof/>
          </w:rPr>
          <w:t>2</w:t>
        </w:r>
        <w:r w:rsidR="00B970B4" w:rsidRPr="00B970B4">
          <w:rPr>
            <w:noProof/>
          </w:rPr>
          <w:tab/>
          <w:t>Nature and extent of the problem</w:t>
        </w:r>
        <w:r w:rsidR="00B970B4">
          <w:rPr>
            <w:noProof/>
          </w:rPr>
          <w:tab/>
        </w:r>
        <w:r w:rsidR="00B970B4">
          <w:rPr>
            <w:noProof/>
          </w:rPr>
          <w:fldChar w:fldCharType="begin"/>
        </w:r>
        <w:r w:rsidR="00B970B4">
          <w:rPr>
            <w:noProof/>
          </w:rPr>
          <w:instrText xml:space="preserve"> PAGEREF _Toc391459528 \h </w:instrText>
        </w:r>
        <w:r w:rsidR="00B970B4">
          <w:rPr>
            <w:noProof/>
          </w:rPr>
        </w:r>
        <w:r w:rsidR="00B970B4">
          <w:rPr>
            <w:noProof/>
          </w:rPr>
          <w:fldChar w:fldCharType="separate"/>
        </w:r>
        <w:r w:rsidR="00542564">
          <w:rPr>
            <w:noProof/>
          </w:rPr>
          <w:t>4</w:t>
        </w:r>
        <w:r w:rsidR="00B970B4">
          <w:rPr>
            <w:noProof/>
          </w:rPr>
          <w:fldChar w:fldCharType="end"/>
        </w:r>
      </w:hyperlink>
    </w:p>
    <w:p w:rsidR="00B970B4" w:rsidRPr="00B970B4" w:rsidRDefault="00F10EB0">
      <w:pPr>
        <w:pStyle w:val="TOC2"/>
        <w:rPr>
          <w:noProof/>
        </w:rPr>
      </w:pPr>
      <w:hyperlink w:anchor="_Toc391459529" w:history="1">
        <w:r w:rsidR="00B970B4" w:rsidRPr="00B970B4">
          <w:rPr>
            <w:noProof/>
          </w:rPr>
          <w:t>3</w:t>
        </w:r>
        <w:r w:rsidR="00B970B4" w:rsidRPr="00B970B4">
          <w:rPr>
            <w:noProof/>
          </w:rPr>
          <w:tab/>
          <w:t>Objectives</w:t>
        </w:r>
        <w:r w:rsidR="00B970B4">
          <w:rPr>
            <w:noProof/>
          </w:rPr>
          <w:tab/>
        </w:r>
        <w:r w:rsidR="00B970B4">
          <w:rPr>
            <w:noProof/>
          </w:rPr>
          <w:fldChar w:fldCharType="begin"/>
        </w:r>
        <w:r w:rsidR="00B970B4">
          <w:rPr>
            <w:noProof/>
          </w:rPr>
          <w:instrText xml:space="preserve"> PAGEREF _Toc391459529 \h </w:instrText>
        </w:r>
        <w:r w:rsidR="00B970B4">
          <w:rPr>
            <w:noProof/>
          </w:rPr>
        </w:r>
        <w:r w:rsidR="00B970B4">
          <w:rPr>
            <w:noProof/>
          </w:rPr>
          <w:fldChar w:fldCharType="separate"/>
        </w:r>
        <w:r w:rsidR="00542564">
          <w:rPr>
            <w:noProof/>
          </w:rPr>
          <w:t>11</w:t>
        </w:r>
        <w:r w:rsidR="00B970B4">
          <w:rPr>
            <w:noProof/>
          </w:rPr>
          <w:fldChar w:fldCharType="end"/>
        </w:r>
      </w:hyperlink>
    </w:p>
    <w:p w:rsidR="00B970B4" w:rsidRPr="00B970B4" w:rsidRDefault="00F10EB0">
      <w:pPr>
        <w:pStyle w:val="TOC2"/>
        <w:rPr>
          <w:noProof/>
        </w:rPr>
      </w:pPr>
      <w:hyperlink w:anchor="_Toc391459530" w:history="1">
        <w:r w:rsidR="00B970B4" w:rsidRPr="00B970B4">
          <w:rPr>
            <w:noProof/>
          </w:rPr>
          <w:t>4</w:t>
        </w:r>
        <w:r w:rsidR="00B970B4" w:rsidRPr="00B970B4">
          <w:rPr>
            <w:noProof/>
          </w:rPr>
          <w:tab/>
          <w:t>Options</w:t>
        </w:r>
        <w:r w:rsidR="00B970B4">
          <w:rPr>
            <w:noProof/>
          </w:rPr>
          <w:tab/>
        </w:r>
        <w:r w:rsidR="00B970B4">
          <w:rPr>
            <w:noProof/>
          </w:rPr>
          <w:fldChar w:fldCharType="begin"/>
        </w:r>
        <w:r w:rsidR="00B970B4">
          <w:rPr>
            <w:noProof/>
          </w:rPr>
          <w:instrText xml:space="preserve"> PAGEREF _Toc391459530 \h </w:instrText>
        </w:r>
        <w:r w:rsidR="00B970B4">
          <w:rPr>
            <w:noProof/>
          </w:rPr>
        </w:r>
        <w:r w:rsidR="00B970B4">
          <w:rPr>
            <w:noProof/>
          </w:rPr>
          <w:fldChar w:fldCharType="separate"/>
        </w:r>
        <w:r w:rsidR="00542564">
          <w:rPr>
            <w:noProof/>
          </w:rPr>
          <w:t>12</w:t>
        </w:r>
        <w:r w:rsidR="00B970B4">
          <w:rPr>
            <w:noProof/>
          </w:rPr>
          <w:fldChar w:fldCharType="end"/>
        </w:r>
      </w:hyperlink>
    </w:p>
    <w:p w:rsidR="00B970B4" w:rsidRPr="00B970B4" w:rsidRDefault="00F10EB0">
      <w:pPr>
        <w:pStyle w:val="TOC2"/>
        <w:rPr>
          <w:noProof/>
        </w:rPr>
      </w:pPr>
      <w:hyperlink w:anchor="_Toc391459531" w:history="1">
        <w:r w:rsidR="00B970B4" w:rsidRPr="00B970B4">
          <w:rPr>
            <w:noProof/>
          </w:rPr>
          <w:t>5</w:t>
        </w:r>
        <w:r w:rsidR="00B970B4" w:rsidRPr="00B970B4">
          <w:rPr>
            <w:noProof/>
          </w:rPr>
          <w:tab/>
          <w:t>Cost benefit analysis</w:t>
        </w:r>
        <w:r w:rsidR="00B970B4">
          <w:rPr>
            <w:noProof/>
          </w:rPr>
          <w:tab/>
        </w:r>
        <w:r w:rsidR="00B970B4">
          <w:rPr>
            <w:noProof/>
          </w:rPr>
          <w:fldChar w:fldCharType="begin"/>
        </w:r>
        <w:r w:rsidR="00B970B4">
          <w:rPr>
            <w:noProof/>
          </w:rPr>
          <w:instrText xml:space="preserve"> PAGEREF _Toc391459531 \h </w:instrText>
        </w:r>
        <w:r w:rsidR="00B970B4">
          <w:rPr>
            <w:noProof/>
          </w:rPr>
        </w:r>
        <w:r w:rsidR="00B970B4">
          <w:rPr>
            <w:noProof/>
          </w:rPr>
          <w:fldChar w:fldCharType="separate"/>
        </w:r>
        <w:r w:rsidR="00542564">
          <w:rPr>
            <w:noProof/>
          </w:rPr>
          <w:t>17</w:t>
        </w:r>
        <w:r w:rsidR="00B970B4">
          <w:rPr>
            <w:noProof/>
          </w:rPr>
          <w:fldChar w:fldCharType="end"/>
        </w:r>
      </w:hyperlink>
    </w:p>
    <w:p w:rsidR="00B970B4" w:rsidRPr="00B970B4" w:rsidRDefault="00F10EB0">
      <w:pPr>
        <w:pStyle w:val="TOC2"/>
        <w:rPr>
          <w:noProof/>
        </w:rPr>
      </w:pPr>
      <w:hyperlink w:anchor="_Toc391459532" w:history="1">
        <w:r w:rsidR="00B970B4" w:rsidRPr="00B970B4">
          <w:rPr>
            <w:noProof/>
          </w:rPr>
          <w:t>6</w:t>
        </w:r>
        <w:r w:rsidR="00B970B4" w:rsidRPr="00B970B4">
          <w:rPr>
            <w:noProof/>
          </w:rPr>
          <w:tab/>
          <w:t>Preferred option</w:t>
        </w:r>
        <w:r w:rsidR="00B970B4">
          <w:rPr>
            <w:noProof/>
          </w:rPr>
          <w:tab/>
        </w:r>
        <w:r w:rsidR="00B970B4">
          <w:rPr>
            <w:noProof/>
          </w:rPr>
          <w:fldChar w:fldCharType="begin"/>
        </w:r>
        <w:r w:rsidR="00B970B4">
          <w:rPr>
            <w:noProof/>
          </w:rPr>
          <w:instrText xml:space="preserve"> PAGEREF _Toc391459532 \h </w:instrText>
        </w:r>
        <w:r w:rsidR="00B970B4">
          <w:rPr>
            <w:noProof/>
          </w:rPr>
        </w:r>
        <w:r w:rsidR="00B970B4">
          <w:rPr>
            <w:noProof/>
          </w:rPr>
          <w:fldChar w:fldCharType="separate"/>
        </w:r>
        <w:r w:rsidR="00542564">
          <w:rPr>
            <w:noProof/>
          </w:rPr>
          <w:t>25</w:t>
        </w:r>
        <w:r w:rsidR="00B970B4">
          <w:rPr>
            <w:noProof/>
          </w:rPr>
          <w:fldChar w:fldCharType="end"/>
        </w:r>
      </w:hyperlink>
    </w:p>
    <w:p w:rsidR="00B970B4" w:rsidRPr="00B970B4" w:rsidRDefault="00F10EB0">
      <w:pPr>
        <w:pStyle w:val="TOC4"/>
        <w:rPr>
          <w:noProof/>
        </w:rPr>
      </w:pPr>
      <w:hyperlink w:anchor="_Toc391459533" w:history="1">
        <w:r w:rsidR="00B970B4" w:rsidRPr="00B970B4">
          <w:rPr>
            <w:noProof/>
          </w:rPr>
          <w:t>Appendix A</w:t>
        </w:r>
        <w:r w:rsidR="00B970B4" w:rsidRPr="00B970B4">
          <w:rPr>
            <w:noProof/>
          </w:rPr>
          <w:tab/>
          <w:t>Guides modification document</w:t>
        </w:r>
        <w:r w:rsidR="00B970B4">
          <w:rPr>
            <w:noProof/>
          </w:rPr>
          <w:tab/>
        </w:r>
        <w:r w:rsidR="00B970B4">
          <w:rPr>
            <w:noProof/>
          </w:rPr>
          <w:fldChar w:fldCharType="begin"/>
        </w:r>
        <w:r w:rsidR="00B970B4">
          <w:rPr>
            <w:noProof/>
          </w:rPr>
          <w:instrText xml:space="preserve"> PAGEREF _Toc391459533 \h </w:instrText>
        </w:r>
        <w:r w:rsidR="00B970B4">
          <w:rPr>
            <w:noProof/>
          </w:rPr>
        </w:r>
        <w:r w:rsidR="00B970B4">
          <w:rPr>
            <w:noProof/>
          </w:rPr>
          <w:fldChar w:fldCharType="separate"/>
        </w:r>
        <w:r w:rsidR="00542564">
          <w:rPr>
            <w:noProof/>
          </w:rPr>
          <w:t>29</w:t>
        </w:r>
        <w:r w:rsidR="00B970B4">
          <w:rPr>
            <w:noProof/>
          </w:rPr>
          <w:fldChar w:fldCharType="end"/>
        </w:r>
      </w:hyperlink>
    </w:p>
    <w:p w:rsidR="00B970B4" w:rsidRPr="00B970B4" w:rsidRDefault="00F10EB0">
      <w:pPr>
        <w:pStyle w:val="TOC4"/>
        <w:rPr>
          <w:noProof/>
        </w:rPr>
      </w:pPr>
      <w:hyperlink w:anchor="_Toc391459534" w:history="1">
        <w:r w:rsidR="00B970B4" w:rsidRPr="00B970B4">
          <w:rPr>
            <w:noProof/>
          </w:rPr>
          <w:t>Appendix B</w:t>
        </w:r>
        <w:r w:rsidR="00B970B4" w:rsidRPr="00B970B4">
          <w:rPr>
            <w:noProof/>
          </w:rPr>
          <w:tab/>
          <w:t>Terms of reference</w:t>
        </w:r>
        <w:r w:rsidR="00B970B4">
          <w:rPr>
            <w:noProof/>
          </w:rPr>
          <w:tab/>
        </w:r>
        <w:r w:rsidR="00B970B4">
          <w:rPr>
            <w:noProof/>
          </w:rPr>
          <w:fldChar w:fldCharType="begin"/>
        </w:r>
        <w:r w:rsidR="00B970B4">
          <w:rPr>
            <w:noProof/>
          </w:rPr>
          <w:instrText xml:space="preserve"> PAGEREF _Toc391459534 \h </w:instrText>
        </w:r>
        <w:r w:rsidR="00B970B4">
          <w:rPr>
            <w:noProof/>
          </w:rPr>
        </w:r>
        <w:r w:rsidR="00B970B4">
          <w:rPr>
            <w:noProof/>
          </w:rPr>
          <w:fldChar w:fldCharType="separate"/>
        </w:r>
        <w:r w:rsidR="00542564">
          <w:rPr>
            <w:noProof/>
          </w:rPr>
          <w:t>50</w:t>
        </w:r>
        <w:r w:rsidR="00B970B4">
          <w:rPr>
            <w:noProof/>
          </w:rPr>
          <w:fldChar w:fldCharType="end"/>
        </w:r>
      </w:hyperlink>
    </w:p>
    <w:p w:rsidR="00B970B4" w:rsidRPr="00B970B4" w:rsidRDefault="00F10EB0">
      <w:pPr>
        <w:pStyle w:val="TOC4"/>
        <w:rPr>
          <w:noProof/>
        </w:rPr>
      </w:pPr>
      <w:hyperlink w:anchor="_Toc391459535" w:history="1">
        <w:r w:rsidR="00B970B4" w:rsidRPr="00B970B4">
          <w:rPr>
            <w:noProof/>
          </w:rPr>
          <w:t>Appendix C</w:t>
        </w:r>
        <w:r w:rsidR="00B970B4" w:rsidRPr="00B970B4">
          <w:rPr>
            <w:noProof/>
          </w:rPr>
          <w:tab/>
          <w:t>Calculation of cost per accident year and liability amounts resulting from Serwylo</w:t>
        </w:r>
        <w:r w:rsidR="00B970B4">
          <w:rPr>
            <w:noProof/>
          </w:rPr>
          <w:tab/>
        </w:r>
        <w:r w:rsidR="00B970B4">
          <w:rPr>
            <w:noProof/>
          </w:rPr>
          <w:fldChar w:fldCharType="begin"/>
        </w:r>
        <w:r w:rsidR="00B970B4">
          <w:rPr>
            <w:noProof/>
          </w:rPr>
          <w:instrText xml:space="preserve"> PAGEREF _Toc391459535 \h </w:instrText>
        </w:r>
        <w:r w:rsidR="00B970B4">
          <w:rPr>
            <w:noProof/>
          </w:rPr>
        </w:r>
        <w:r w:rsidR="00B970B4">
          <w:rPr>
            <w:noProof/>
          </w:rPr>
          <w:fldChar w:fldCharType="separate"/>
        </w:r>
        <w:r w:rsidR="00542564">
          <w:rPr>
            <w:noProof/>
          </w:rPr>
          <w:t>56</w:t>
        </w:r>
        <w:r w:rsidR="00B970B4">
          <w:rPr>
            <w:noProof/>
          </w:rPr>
          <w:fldChar w:fldCharType="end"/>
        </w:r>
      </w:hyperlink>
    </w:p>
    <w:p w:rsidR="00B970B4" w:rsidRPr="00B970B4" w:rsidRDefault="00F10EB0">
      <w:pPr>
        <w:pStyle w:val="TOC4"/>
        <w:rPr>
          <w:noProof/>
        </w:rPr>
      </w:pPr>
      <w:hyperlink w:anchor="_Toc391459536" w:history="1">
        <w:r w:rsidR="00B970B4" w:rsidRPr="00B970B4">
          <w:rPr>
            <w:noProof/>
          </w:rPr>
          <w:t>Appendix D</w:t>
        </w:r>
        <w:r w:rsidR="00B970B4" w:rsidRPr="00B970B4">
          <w:rPr>
            <w:noProof/>
          </w:rPr>
          <w:tab/>
          <w:t>Letter outlining Expert Panel considerations for GMD</w:t>
        </w:r>
        <w:r w:rsidR="00B970B4">
          <w:rPr>
            <w:noProof/>
          </w:rPr>
          <w:tab/>
        </w:r>
        <w:r w:rsidR="00B970B4">
          <w:rPr>
            <w:noProof/>
          </w:rPr>
          <w:fldChar w:fldCharType="begin"/>
        </w:r>
        <w:r w:rsidR="00B970B4">
          <w:rPr>
            <w:noProof/>
          </w:rPr>
          <w:instrText xml:space="preserve"> PAGEREF _Toc391459536 \h </w:instrText>
        </w:r>
        <w:r w:rsidR="00B970B4">
          <w:rPr>
            <w:noProof/>
          </w:rPr>
        </w:r>
        <w:r w:rsidR="00B970B4">
          <w:rPr>
            <w:noProof/>
          </w:rPr>
          <w:fldChar w:fldCharType="separate"/>
        </w:r>
        <w:r w:rsidR="00542564">
          <w:rPr>
            <w:noProof/>
          </w:rPr>
          <w:t>65</w:t>
        </w:r>
        <w:r w:rsidR="00B970B4">
          <w:rPr>
            <w:noProof/>
          </w:rPr>
          <w:fldChar w:fldCharType="end"/>
        </w:r>
      </w:hyperlink>
    </w:p>
    <w:p w:rsidR="004D348F" w:rsidRDefault="004D348F" w:rsidP="004D348F">
      <w:pPr>
        <w:pStyle w:val="PwCNormal"/>
        <w:numPr>
          <w:ilvl w:val="0"/>
          <w:numId w:val="0"/>
        </w:numPr>
        <w:kinsoku/>
        <w:overflowPunct/>
        <w:autoSpaceDE/>
        <w:autoSpaceDN/>
        <w:adjustRightInd/>
        <w:snapToGrid/>
      </w:pPr>
      <w:r>
        <w:fldChar w:fldCharType="end"/>
      </w:r>
    </w:p>
    <w:p w:rsidR="004D348F" w:rsidRPr="00FC2C77" w:rsidRDefault="004D348F" w:rsidP="004D348F">
      <w:pPr>
        <w:pStyle w:val="Coverpulloutframe"/>
        <w:framePr w:wrap="notBeside"/>
        <w:sectPr w:rsidR="004D348F" w:rsidRPr="00FC2C77" w:rsidSect="006B008A">
          <w:headerReference w:type="even" r:id="rId25"/>
          <w:headerReference w:type="default" r:id="rId26"/>
          <w:footerReference w:type="even" r:id="rId27"/>
          <w:footerReference w:type="default" r:id="rId28"/>
          <w:headerReference w:type="first" r:id="rId29"/>
          <w:footerReference w:type="first" r:id="rId30"/>
          <w:pgSz w:w="11907" w:h="16840" w:code="9"/>
          <w:pgMar w:top="1588" w:right="1843" w:bottom="1418" w:left="1843" w:header="567" w:footer="567" w:gutter="0"/>
          <w:pgNumType w:fmt="lowerRoman" w:start="1"/>
          <w:cols w:space="720"/>
          <w:titlePg/>
          <w:docGrid w:linePitch="286"/>
        </w:sectPr>
      </w:pPr>
    </w:p>
    <w:p w:rsidR="004D348F" w:rsidRDefault="004D348F" w:rsidP="004D348F">
      <w:pPr>
        <w:pStyle w:val="Heading2"/>
      </w:pPr>
      <w:bookmarkStart w:id="29" w:name="_Toc384227272"/>
      <w:bookmarkStart w:id="30" w:name="_Toc391459527"/>
      <w:r w:rsidRPr="00E65100">
        <w:lastRenderedPageBreak/>
        <w:t>About this regulatory impact statement</w:t>
      </w:r>
      <w:bookmarkEnd w:id="29"/>
      <w:bookmarkEnd w:id="30"/>
    </w:p>
    <w:p w:rsidR="004D348F" w:rsidRPr="00915083" w:rsidRDefault="004D348F" w:rsidP="0078338B">
      <w:pPr>
        <w:pStyle w:val="Heading6"/>
      </w:pPr>
      <w:r w:rsidRPr="00915083">
        <w:t>Introduction</w:t>
      </w:r>
    </w:p>
    <w:p w:rsidR="00991E7D" w:rsidRPr="00707B46" w:rsidRDefault="00991E7D" w:rsidP="00991E7D">
      <w:pPr>
        <w:pStyle w:val="PwCNormal"/>
      </w:pPr>
      <w:r w:rsidRPr="00707B46">
        <w:t xml:space="preserve">PricewaterhouseCoopers (PwC) has been engaged by </w:t>
      </w:r>
      <w:r>
        <w:t>the Transport Accident Commission (</w:t>
      </w:r>
      <w:r w:rsidRPr="00707B46">
        <w:t>TAC</w:t>
      </w:r>
      <w:r>
        <w:t>)</w:t>
      </w:r>
      <w:r w:rsidRPr="00707B46">
        <w:t xml:space="preserve"> to prepare this Regulatory Impact Statement (RIS) to assess the proposed amendments to the</w:t>
      </w:r>
      <w:r>
        <w:t xml:space="preserve"> </w:t>
      </w:r>
      <w:r w:rsidRPr="00676E0B">
        <w:rPr>
          <w:i/>
        </w:rPr>
        <w:t>American Medical Association Guides</w:t>
      </w:r>
      <w:r w:rsidR="006E1F59" w:rsidRPr="00676E0B">
        <w:rPr>
          <w:i/>
        </w:rPr>
        <w:t xml:space="preserve"> to the Evaluation of Permanent Impairment</w:t>
      </w:r>
      <w:r w:rsidR="00630E2B" w:rsidRPr="00676E0B">
        <w:rPr>
          <w:i/>
        </w:rPr>
        <w:t xml:space="preserve"> 4</w:t>
      </w:r>
      <w:r w:rsidR="00630E2B" w:rsidRPr="00676E0B">
        <w:rPr>
          <w:i/>
          <w:vertAlign w:val="superscript"/>
        </w:rPr>
        <w:t>th</w:t>
      </w:r>
      <w:r w:rsidR="00630E2B" w:rsidRPr="00676E0B">
        <w:rPr>
          <w:i/>
        </w:rPr>
        <w:t xml:space="preserve"> Edition</w:t>
      </w:r>
      <w:r w:rsidRPr="0019479F">
        <w:t xml:space="preserve"> (</w:t>
      </w:r>
      <w:r w:rsidR="00630E2B">
        <w:t xml:space="preserve">the </w:t>
      </w:r>
      <w:r w:rsidRPr="0019479F">
        <w:t>Guides).</w:t>
      </w:r>
      <w:r>
        <w:t xml:space="preserve"> PwC has relied on</w:t>
      </w:r>
      <w:r w:rsidR="000A789F">
        <w:t xml:space="preserve"> </w:t>
      </w:r>
      <w:r w:rsidR="00676E0B">
        <w:t xml:space="preserve">the </w:t>
      </w:r>
      <w:r>
        <w:t>TAC to advise on the practical implications of the technical components of the proposed Guides Modification Document</w:t>
      </w:r>
      <w:r w:rsidR="009D7A98">
        <w:t xml:space="preserve"> </w:t>
      </w:r>
      <w:r>
        <w:t>referred to in this RIS.</w:t>
      </w:r>
    </w:p>
    <w:p w:rsidR="004D348F" w:rsidRPr="005B1E6F" w:rsidRDefault="004D348F" w:rsidP="004D348F">
      <w:pPr>
        <w:pStyle w:val="PwCNormal"/>
      </w:pPr>
      <w:r w:rsidRPr="005B1E6F">
        <w:t xml:space="preserve">This RIS </w:t>
      </w:r>
      <w:r>
        <w:t>is based on</w:t>
      </w:r>
      <w:r w:rsidRPr="005B1E6F">
        <w:t xml:space="preserve"> the </w:t>
      </w:r>
      <w:r>
        <w:t xml:space="preserve">requirements of the </w:t>
      </w:r>
      <w:r w:rsidRPr="001E49D4">
        <w:rPr>
          <w:i/>
        </w:rPr>
        <w:t>Victorian Guide to Regulation (Edition 2.1, August 2011)</w:t>
      </w:r>
      <w:r>
        <w:t>.</w:t>
      </w:r>
      <w:r>
        <w:rPr>
          <w:rStyle w:val="FootnoteReference"/>
        </w:rPr>
        <w:footnoteReference w:id="24"/>
      </w:r>
    </w:p>
    <w:p w:rsidR="004D348F" w:rsidRPr="00915083" w:rsidRDefault="004D348F" w:rsidP="0078338B">
      <w:pPr>
        <w:pStyle w:val="Heading6"/>
      </w:pPr>
      <w:r w:rsidRPr="00915083">
        <w:t>Purpose of this regulatory impact statement</w:t>
      </w:r>
    </w:p>
    <w:p w:rsidR="004D348F" w:rsidRPr="00707B46" w:rsidRDefault="004D348F" w:rsidP="004D348F">
      <w:pPr>
        <w:pStyle w:val="PwCNormal"/>
      </w:pPr>
      <w:r w:rsidRPr="00707B46">
        <w:t>The purpose of this RIS is to:</w:t>
      </w:r>
    </w:p>
    <w:p w:rsidR="004D348F" w:rsidRPr="00707B46" w:rsidRDefault="004D348F" w:rsidP="004D348F">
      <w:pPr>
        <w:pStyle w:val="ListBullet"/>
      </w:pPr>
      <w:r w:rsidRPr="00707B46">
        <w:t xml:space="preserve">establish the problem that </w:t>
      </w:r>
      <w:r w:rsidR="00173D49">
        <w:t>g</w:t>
      </w:r>
      <w:r w:rsidRPr="00707B46">
        <w:t xml:space="preserve">overnment is seeking to address and the extent of </w:t>
      </w:r>
      <w:r>
        <w:t xml:space="preserve">that </w:t>
      </w:r>
      <w:r w:rsidRPr="00707B46">
        <w:t>problem</w:t>
      </w:r>
    </w:p>
    <w:p w:rsidR="004D348F" w:rsidRPr="00707B46" w:rsidRDefault="004D348F" w:rsidP="004D348F">
      <w:pPr>
        <w:pStyle w:val="ListBullet"/>
      </w:pPr>
      <w:r w:rsidRPr="0082710C">
        <w:t>identify</w:t>
      </w:r>
      <w:r w:rsidRPr="00707B46">
        <w:t xml:space="preserve"> a set of options for government to address </w:t>
      </w:r>
      <w:r w:rsidRPr="0082710C">
        <w:t xml:space="preserve">the </w:t>
      </w:r>
      <w:r w:rsidRPr="00C44D0E">
        <w:t>i</w:t>
      </w:r>
      <w:r w:rsidRPr="0082710C">
        <w:t>dentified</w:t>
      </w:r>
      <w:r w:rsidRPr="00707B46">
        <w:t xml:space="preserve"> problem</w:t>
      </w:r>
    </w:p>
    <w:p w:rsidR="004D348F" w:rsidRPr="00707B46" w:rsidRDefault="004D348F" w:rsidP="004D348F">
      <w:pPr>
        <w:pStyle w:val="ListBullet"/>
      </w:pPr>
      <w:r w:rsidRPr="00707B46">
        <w:t>assess the costs and benefits of these options, and the effectiveness of each option in addressing the problem before establishing a preferred option for government action</w:t>
      </w:r>
    </w:p>
    <w:p w:rsidR="004D348F" w:rsidRPr="00083500" w:rsidRDefault="004D348F" w:rsidP="004D348F">
      <w:pPr>
        <w:pStyle w:val="ListBullet"/>
      </w:pPr>
      <w:r w:rsidRPr="00083500">
        <w:t>develop an implementation and review strategy for the preferred option.</w:t>
      </w:r>
    </w:p>
    <w:p w:rsidR="008531BB" w:rsidRDefault="008531BB" w:rsidP="008E37E5">
      <w:pPr>
        <w:pStyle w:val="Heading6"/>
        <w:keepNext w:val="0"/>
        <w:keepLines w:val="0"/>
      </w:pPr>
      <w:r>
        <w:t>Public consultation</w:t>
      </w:r>
    </w:p>
    <w:p w:rsidR="009E483B" w:rsidRDefault="00BA7B89" w:rsidP="00687DAB">
      <w:pPr>
        <w:pStyle w:val="PwCNormal"/>
      </w:pPr>
      <w:r w:rsidRPr="00693579">
        <w:t xml:space="preserve">The TAC is now seeking written submissions on this RIS. The </w:t>
      </w:r>
      <w:r w:rsidR="00CA5DCC" w:rsidRPr="009D3EE2">
        <w:t>RIS is</w:t>
      </w:r>
      <w:r w:rsidRPr="009D3EE2">
        <w:t xml:space="preserve"> subject to a </w:t>
      </w:r>
      <w:r w:rsidR="00CA5DCC" w:rsidRPr="009D3EE2">
        <w:t>consultation</w:t>
      </w:r>
      <w:r w:rsidRPr="009D3EE2">
        <w:t xml:space="preserve"> period with the closing date for submissions bei</w:t>
      </w:r>
      <w:r w:rsidR="00511FE3" w:rsidRPr="009D3EE2">
        <w:t>ng</w:t>
      </w:r>
      <w:r w:rsidR="007404CB" w:rsidRPr="009D3EE2">
        <w:t xml:space="preserve"> </w:t>
      </w:r>
      <w:r w:rsidR="009D3EE2" w:rsidRPr="009D3EE2">
        <w:t>30</w:t>
      </w:r>
      <w:r w:rsidR="007404CB" w:rsidRPr="009D3EE2">
        <w:t xml:space="preserve"> </w:t>
      </w:r>
      <w:r w:rsidR="009D3EE2" w:rsidRPr="009D3EE2">
        <w:t>July</w:t>
      </w:r>
      <w:r w:rsidRPr="009D3EE2">
        <w:t xml:space="preserve"> 2014. Feedback is sought on the proposed methodology in the GMD</w:t>
      </w:r>
      <w:r w:rsidRPr="00693579">
        <w:t xml:space="preserve"> and the preferred commencement date </w:t>
      </w:r>
      <w:r w:rsidR="00511FE3" w:rsidRPr="00693579">
        <w:t>for the GMD.</w:t>
      </w:r>
      <w:r w:rsidR="00A021B1">
        <w:t xml:space="preserve"> </w:t>
      </w:r>
      <w:r w:rsidR="00E87A8E">
        <w:t>To the extent possible, all submission</w:t>
      </w:r>
      <w:r w:rsidR="00FD47B0">
        <w:t>s</w:t>
      </w:r>
      <w:r w:rsidR="00E87A8E">
        <w:t xml:space="preserve"> will be made available on the TAC website – tac.vic.gov.au. All personal information other than your name and suburb will be removed before publishing. </w:t>
      </w:r>
      <w:r w:rsidR="009E483B">
        <w:t xml:space="preserve">If any information contained in your submission should be treated as confidential, please clearly identify this on the submission cover sheet. Submissions received by post will be available in PDF on the website. The TAC does not intend to formally reply to each submission. </w:t>
      </w:r>
    </w:p>
    <w:p w:rsidR="00511FE3" w:rsidRPr="00693579" w:rsidRDefault="00511FE3" w:rsidP="00693579">
      <w:pPr>
        <w:pStyle w:val="PwCNormal"/>
        <w:numPr>
          <w:ilvl w:val="0"/>
          <w:numId w:val="0"/>
        </w:numPr>
      </w:pPr>
      <w:r w:rsidRPr="00693579">
        <w:t>Responses to the Consulta</w:t>
      </w:r>
      <w:r>
        <w:t>t</w:t>
      </w:r>
      <w:r w:rsidRPr="00693579">
        <w:t xml:space="preserve">ion RIS can be provided as follows </w:t>
      </w:r>
    </w:p>
    <w:p w:rsidR="00511FE3" w:rsidRPr="00693579" w:rsidRDefault="009E483B" w:rsidP="00693579">
      <w:pPr>
        <w:pStyle w:val="PwCNormal"/>
        <w:numPr>
          <w:ilvl w:val="0"/>
          <w:numId w:val="0"/>
        </w:numPr>
        <w:rPr>
          <w:b/>
        </w:rPr>
      </w:pPr>
      <w:r w:rsidRPr="009E483B">
        <w:rPr>
          <w:b/>
        </w:rPr>
        <w:t xml:space="preserve">By email </w:t>
      </w:r>
      <w:r>
        <w:rPr>
          <w:b/>
        </w:rPr>
        <w:t>(</w:t>
      </w:r>
      <w:r w:rsidR="00511FE3" w:rsidRPr="00693579">
        <w:rPr>
          <w:b/>
        </w:rPr>
        <w:t>preferred)</w:t>
      </w:r>
    </w:p>
    <w:p w:rsidR="00511FE3" w:rsidRPr="00693579" w:rsidRDefault="005A3BCC" w:rsidP="00693579">
      <w:pPr>
        <w:pStyle w:val="PwCNormal"/>
        <w:numPr>
          <w:ilvl w:val="0"/>
          <w:numId w:val="0"/>
        </w:numPr>
      </w:pPr>
      <w:r>
        <w:t>GMD@tac.vic.gov.au</w:t>
      </w:r>
      <w:r w:rsidR="009E483B">
        <w:t xml:space="preserve"> </w:t>
      </w:r>
    </w:p>
    <w:p w:rsidR="00511FE3" w:rsidRPr="00693579" w:rsidRDefault="00511FE3" w:rsidP="001E49D4">
      <w:pPr>
        <w:pStyle w:val="PwCNormal"/>
        <w:keepNext/>
        <w:keepLines/>
        <w:numPr>
          <w:ilvl w:val="0"/>
          <w:numId w:val="0"/>
        </w:numPr>
        <w:rPr>
          <w:b/>
        </w:rPr>
      </w:pPr>
      <w:r w:rsidRPr="00693579">
        <w:rPr>
          <w:b/>
        </w:rPr>
        <w:lastRenderedPageBreak/>
        <w:t>In writing</w:t>
      </w:r>
    </w:p>
    <w:p w:rsidR="009E483B" w:rsidRDefault="002E67D1" w:rsidP="001E49D4">
      <w:pPr>
        <w:pStyle w:val="NormalWeb"/>
        <w:keepNext/>
        <w:keepLines/>
        <w:spacing w:before="0" w:line="240" w:lineRule="auto"/>
        <w:rPr>
          <w:rStyle w:val="Hyperlink"/>
          <w:rFonts w:asciiTheme="majorHAnsi" w:hAnsiTheme="majorHAnsi" w:cs="Arial"/>
          <w:snapToGrid w:val="0"/>
          <w:sz w:val="20"/>
          <w:szCs w:val="20"/>
          <w:lang w:val="en" w:eastAsia="en-US"/>
        </w:rPr>
      </w:pPr>
      <w:r>
        <w:rPr>
          <w:rStyle w:val="Hyperlink"/>
          <w:rFonts w:asciiTheme="majorHAnsi" w:hAnsiTheme="majorHAnsi"/>
          <w:sz w:val="20"/>
          <w:szCs w:val="20"/>
          <w:lang w:val="en"/>
        </w:rPr>
        <w:t>Ms.</w:t>
      </w:r>
      <w:r w:rsidR="009E483B">
        <w:rPr>
          <w:rStyle w:val="Hyperlink"/>
          <w:rFonts w:asciiTheme="majorHAnsi" w:hAnsiTheme="majorHAnsi"/>
          <w:sz w:val="20"/>
          <w:szCs w:val="20"/>
          <w:lang w:val="en"/>
        </w:rPr>
        <w:t xml:space="preserve"> </w:t>
      </w:r>
      <w:r w:rsidR="009E483B" w:rsidRPr="005D6E46">
        <w:rPr>
          <w:rStyle w:val="Hyperlink"/>
          <w:rFonts w:asciiTheme="majorHAnsi" w:hAnsiTheme="majorHAnsi"/>
          <w:sz w:val="20"/>
          <w:szCs w:val="20"/>
          <w:lang w:val="en"/>
        </w:rPr>
        <w:t xml:space="preserve">Lee-Anne </w:t>
      </w:r>
      <w:proofErr w:type="spellStart"/>
      <w:r w:rsidR="009E483B" w:rsidRPr="005D6E46">
        <w:rPr>
          <w:rStyle w:val="Hyperlink"/>
          <w:rFonts w:asciiTheme="majorHAnsi" w:hAnsiTheme="majorHAnsi"/>
          <w:sz w:val="20"/>
          <w:szCs w:val="20"/>
          <w:lang w:val="en"/>
        </w:rPr>
        <w:t>Gatt</w:t>
      </w:r>
      <w:proofErr w:type="spellEnd"/>
      <w:r w:rsidR="009E483B">
        <w:rPr>
          <w:rStyle w:val="Hyperlink"/>
          <w:rFonts w:asciiTheme="majorHAnsi" w:hAnsiTheme="majorHAnsi"/>
          <w:sz w:val="20"/>
          <w:szCs w:val="20"/>
          <w:lang w:val="en"/>
        </w:rPr>
        <w:t xml:space="preserve"> </w:t>
      </w:r>
    </w:p>
    <w:p w:rsidR="009E483B" w:rsidRPr="00693579" w:rsidRDefault="009E483B" w:rsidP="001E49D4">
      <w:pPr>
        <w:pStyle w:val="NormalWeb"/>
        <w:keepNext/>
        <w:keepLines/>
        <w:spacing w:before="0" w:line="240" w:lineRule="auto"/>
        <w:rPr>
          <w:rFonts w:asciiTheme="majorHAnsi" w:hAnsiTheme="majorHAnsi"/>
          <w:sz w:val="20"/>
          <w:szCs w:val="20"/>
          <w:lang w:val="en"/>
        </w:rPr>
      </w:pPr>
      <w:r w:rsidRPr="00693579">
        <w:rPr>
          <w:rFonts w:asciiTheme="majorHAnsi" w:hAnsiTheme="majorHAnsi"/>
          <w:sz w:val="20"/>
          <w:szCs w:val="20"/>
          <w:lang w:val="en"/>
        </w:rPr>
        <w:t>Government Relations</w:t>
      </w:r>
      <w:r w:rsidRPr="00693579">
        <w:rPr>
          <w:rFonts w:asciiTheme="majorHAnsi" w:hAnsiTheme="majorHAnsi"/>
          <w:sz w:val="20"/>
          <w:szCs w:val="20"/>
          <w:lang w:val="en"/>
        </w:rPr>
        <w:br/>
        <w:t>Transport Accident Commission</w:t>
      </w:r>
      <w:r w:rsidRPr="00693579">
        <w:rPr>
          <w:rFonts w:asciiTheme="majorHAnsi" w:hAnsiTheme="majorHAnsi"/>
          <w:sz w:val="20"/>
          <w:szCs w:val="20"/>
          <w:lang w:val="en"/>
        </w:rPr>
        <w:br/>
        <w:t>PO BOX 742</w:t>
      </w:r>
      <w:r w:rsidRPr="00693579">
        <w:rPr>
          <w:rFonts w:asciiTheme="majorHAnsi" w:hAnsiTheme="majorHAnsi"/>
          <w:sz w:val="20"/>
          <w:szCs w:val="20"/>
          <w:lang w:val="en"/>
        </w:rPr>
        <w:br/>
        <w:t>GEELONG VIC 3220</w:t>
      </w:r>
    </w:p>
    <w:p w:rsidR="009E483B" w:rsidRPr="00693579" w:rsidRDefault="00C44D0E" w:rsidP="001E49D4">
      <w:pPr>
        <w:pStyle w:val="PwCNormal"/>
        <w:keepNext/>
        <w:keepLines/>
        <w:numPr>
          <w:ilvl w:val="0"/>
          <w:numId w:val="0"/>
        </w:numPr>
        <w:rPr>
          <w:rStyle w:val="Hyperlink"/>
          <w:rFonts w:ascii="Times New Roman" w:hAnsi="Times New Roman" w:cs="Times New Roman"/>
          <w:snapToGrid/>
          <w:color w:val="auto"/>
          <w:sz w:val="24"/>
          <w:szCs w:val="24"/>
          <w:u w:val="none"/>
          <w:lang w:eastAsia="en-AU"/>
        </w:rPr>
      </w:pPr>
      <w:r w:rsidRPr="00693579">
        <w:rPr>
          <w:rStyle w:val="Hyperlink"/>
          <w:rFonts w:asciiTheme="majorHAnsi" w:hAnsiTheme="majorHAnsi"/>
          <w:lang w:val="en"/>
        </w:rPr>
        <w:t xml:space="preserve">For enquiries about the consultation process please </w:t>
      </w:r>
      <w:r>
        <w:rPr>
          <w:rStyle w:val="Hyperlink"/>
          <w:rFonts w:asciiTheme="majorHAnsi" w:hAnsiTheme="majorHAnsi"/>
          <w:lang w:val="en"/>
        </w:rPr>
        <w:t xml:space="preserve">email </w:t>
      </w:r>
      <w:r w:rsidRPr="00693579">
        <w:rPr>
          <w:rStyle w:val="Hyperlink"/>
          <w:rFonts w:asciiTheme="majorHAnsi" w:hAnsiTheme="majorHAnsi"/>
          <w:lang w:val="en"/>
        </w:rPr>
        <w:t xml:space="preserve">Lee-Anne </w:t>
      </w:r>
      <w:proofErr w:type="spellStart"/>
      <w:r w:rsidRPr="00693579">
        <w:rPr>
          <w:rStyle w:val="Hyperlink"/>
          <w:rFonts w:asciiTheme="majorHAnsi" w:hAnsiTheme="majorHAnsi"/>
          <w:lang w:val="en"/>
        </w:rPr>
        <w:t>Gatt</w:t>
      </w:r>
      <w:proofErr w:type="spellEnd"/>
      <w:r w:rsidRPr="00693579">
        <w:rPr>
          <w:rStyle w:val="Hyperlink"/>
          <w:rFonts w:asciiTheme="majorHAnsi" w:hAnsiTheme="majorHAnsi"/>
          <w:lang w:val="en"/>
        </w:rPr>
        <w:t xml:space="preserve"> </w:t>
      </w:r>
      <w:r>
        <w:rPr>
          <w:rStyle w:val="Hyperlink"/>
          <w:rFonts w:asciiTheme="majorHAnsi" w:hAnsiTheme="majorHAnsi"/>
          <w:lang w:val="en"/>
        </w:rPr>
        <w:t xml:space="preserve">at </w:t>
      </w:r>
      <w:r w:rsidR="00351724">
        <w:t>gmdenquiries</w:t>
      </w:r>
      <w:r>
        <w:t xml:space="preserve">@tac.vic.gov.au </w:t>
      </w:r>
    </w:p>
    <w:p w:rsidR="008531BB" w:rsidRPr="00693579" w:rsidRDefault="00511FE3" w:rsidP="001E49D4">
      <w:pPr>
        <w:pStyle w:val="PwCNormal"/>
        <w:keepNext/>
        <w:keepLines/>
        <w:numPr>
          <w:ilvl w:val="0"/>
          <w:numId w:val="0"/>
        </w:numPr>
      </w:pPr>
      <w:r w:rsidRPr="00693579">
        <w:t xml:space="preserve">The </w:t>
      </w:r>
      <w:r w:rsidRPr="009E483B">
        <w:t>c</w:t>
      </w:r>
      <w:r w:rsidRPr="00693579">
        <w:t xml:space="preserve">losing date for submissions is </w:t>
      </w:r>
      <w:r w:rsidR="009D3EE2" w:rsidRPr="009D3EE2">
        <w:rPr>
          <w:b/>
        </w:rPr>
        <w:t>30 July</w:t>
      </w:r>
      <w:r w:rsidRPr="009D3EE2">
        <w:rPr>
          <w:b/>
        </w:rPr>
        <w:t xml:space="preserve"> </w:t>
      </w:r>
      <w:r w:rsidR="009E483B" w:rsidRPr="009D3EE2">
        <w:rPr>
          <w:b/>
        </w:rPr>
        <w:t>2014</w:t>
      </w:r>
      <w:r w:rsidR="00BA7B89" w:rsidRPr="00693579">
        <w:t xml:space="preserve"> </w:t>
      </w:r>
    </w:p>
    <w:p w:rsidR="004D348F" w:rsidRPr="00915083" w:rsidRDefault="004D348F" w:rsidP="008E37E5">
      <w:pPr>
        <w:pStyle w:val="Heading6"/>
        <w:keepNext w:val="0"/>
        <w:keepLines w:val="0"/>
      </w:pPr>
      <w:r w:rsidRPr="00915083">
        <w:t>Structure of this report</w:t>
      </w:r>
    </w:p>
    <w:p w:rsidR="004D348F" w:rsidRPr="00E15B02" w:rsidRDefault="004D348F" w:rsidP="008E37E5">
      <w:pPr>
        <w:pStyle w:val="PwCNormal"/>
      </w:pPr>
      <w:r w:rsidRPr="00E15B02">
        <w:t>This RIS is structured as follows:</w:t>
      </w:r>
    </w:p>
    <w:p w:rsidR="004D348F" w:rsidRPr="00D179D3" w:rsidRDefault="004D348F" w:rsidP="008E37E5">
      <w:pPr>
        <w:pStyle w:val="ListBullet"/>
      </w:pPr>
      <w:r w:rsidRPr="00D179D3">
        <w:t xml:space="preserve">Chapter </w:t>
      </w:r>
      <w:r w:rsidR="0005710C">
        <w:fldChar w:fldCharType="begin"/>
      </w:r>
      <w:r w:rsidR="0005710C">
        <w:instrText xml:space="preserve"> REF _Ref388529720 \r \h </w:instrText>
      </w:r>
      <w:r w:rsidR="0005710C">
        <w:fldChar w:fldCharType="separate"/>
      </w:r>
      <w:r w:rsidR="00542564">
        <w:t>2</w:t>
      </w:r>
      <w:r w:rsidR="0005710C">
        <w:fldChar w:fldCharType="end"/>
      </w:r>
      <w:r w:rsidRPr="00D179D3">
        <w:t xml:space="preserve"> describes the nature of the problem and measures the extent of </w:t>
      </w:r>
      <w:r>
        <w:t xml:space="preserve">that </w:t>
      </w:r>
      <w:r w:rsidR="00047EC5">
        <w:t>problem</w:t>
      </w:r>
    </w:p>
    <w:p w:rsidR="004D348F" w:rsidRPr="00D179D3" w:rsidRDefault="004D348F" w:rsidP="008E37E5">
      <w:pPr>
        <w:pStyle w:val="ListBullet"/>
      </w:pPr>
      <w:r w:rsidRPr="00D179D3">
        <w:t xml:space="preserve">Chapter </w:t>
      </w:r>
      <w:r w:rsidR="0005710C">
        <w:fldChar w:fldCharType="begin"/>
      </w:r>
      <w:r w:rsidR="0005710C">
        <w:instrText xml:space="preserve"> REF _Ref388529727 \r \h </w:instrText>
      </w:r>
      <w:r w:rsidR="0005710C">
        <w:fldChar w:fldCharType="separate"/>
      </w:r>
      <w:r w:rsidR="00542564">
        <w:t>3</w:t>
      </w:r>
      <w:r w:rsidR="0005710C">
        <w:fldChar w:fldCharType="end"/>
      </w:r>
      <w:r w:rsidRPr="00D179D3">
        <w:t xml:space="preserve"> outlines the</w:t>
      </w:r>
      <w:r w:rsidR="00047EC5">
        <w:t xml:space="preserve"> objective of government action</w:t>
      </w:r>
    </w:p>
    <w:p w:rsidR="004D348F" w:rsidRPr="00D179D3" w:rsidRDefault="004D348F" w:rsidP="008E37E5">
      <w:pPr>
        <w:pStyle w:val="ListBullet"/>
      </w:pPr>
      <w:r w:rsidRPr="00D179D3">
        <w:t xml:space="preserve">Chapter </w:t>
      </w:r>
      <w:r w:rsidR="0005710C">
        <w:fldChar w:fldCharType="begin"/>
      </w:r>
      <w:r w:rsidR="0005710C">
        <w:instrText xml:space="preserve"> REF _Ref388529733 \r \h </w:instrText>
      </w:r>
      <w:r w:rsidR="0005710C">
        <w:fldChar w:fldCharType="separate"/>
      </w:r>
      <w:r w:rsidR="00542564">
        <w:t>4</w:t>
      </w:r>
      <w:r w:rsidR="0005710C">
        <w:fldChar w:fldCharType="end"/>
      </w:r>
      <w:r w:rsidRPr="00D179D3">
        <w:t xml:space="preserve"> considers the options available to </w:t>
      </w:r>
      <w:r w:rsidR="000C666A" w:rsidRPr="00D179D3">
        <w:t>government</w:t>
      </w:r>
      <w:r w:rsidRPr="00D179D3">
        <w:t xml:space="preserve"> to address the problem in light of the </w:t>
      </w:r>
      <w:r>
        <w:t>G</w:t>
      </w:r>
      <w:r w:rsidR="00047EC5">
        <w:t>overnment’s objectives</w:t>
      </w:r>
    </w:p>
    <w:p w:rsidR="004D348F" w:rsidRPr="00D179D3" w:rsidRDefault="004D348F" w:rsidP="008E37E5">
      <w:pPr>
        <w:pStyle w:val="ListBullet"/>
      </w:pPr>
      <w:r w:rsidRPr="00D179D3">
        <w:t xml:space="preserve">Chapter </w:t>
      </w:r>
      <w:r w:rsidR="0005710C">
        <w:fldChar w:fldCharType="begin"/>
      </w:r>
      <w:r w:rsidR="0005710C">
        <w:instrText xml:space="preserve"> REF _Ref388529741 \r \h </w:instrText>
      </w:r>
      <w:r w:rsidR="0005710C">
        <w:fldChar w:fldCharType="separate"/>
      </w:r>
      <w:r w:rsidR="00542564">
        <w:t>5</w:t>
      </w:r>
      <w:r w:rsidR="0005710C">
        <w:fldChar w:fldCharType="end"/>
      </w:r>
      <w:r w:rsidRPr="00D179D3">
        <w:t xml:space="preserve"> assesses the co</w:t>
      </w:r>
      <w:r w:rsidR="00047EC5">
        <w:t>sts and benefits of each option</w:t>
      </w:r>
    </w:p>
    <w:p w:rsidR="004D348F" w:rsidRPr="00A218EE" w:rsidRDefault="004D348F" w:rsidP="008E37E5">
      <w:pPr>
        <w:pStyle w:val="ListBullet"/>
      </w:pPr>
      <w:r w:rsidRPr="00A218EE">
        <w:t xml:space="preserve">Chapter </w:t>
      </w:r>
      <w:r w:rsidR="0005710C">
        <w:fldChar w:fldCharType="begin"/>
      </w:r>
      <w:r w:rsidR="0005710C">
        <w:instrText xml:space="preserve"> REF _Ref388529748 \r \h </w:instrText>
      </w:r>
      <w:r w:rsidR="0005710C">
        <w:fldChar w:fldCharType="separate"/>
      </w:r>
      <w:r w:rsidR="00542564">
        <w:t>6</w:t>
      </w:r>
      <w:r w:rsidR="0005710C">
        <w:fldChar w:fldCharType="end"/>
      </w:r>
      <w:r w:rsidRPr="00A218EE">
        <w:t xml:space="preserve"> discusses the preferred option as well as its impact on small business,</w:t>
      </w:r>
      <w:r w:rsidR="00173D49">
        <w:t xml:space="preserve"> provides</w:t>
      </w:r>
      <w:r w:rsidRPr="00A218EE">
        <w:t xml:space="preserve"> a competition assessment, </w:t>
      </w:r>
      <w:r w:rsidR="00173D49">
        <w:t xml:space="preserve">discusses </w:t>
      </w:r>
      <w:r w:rsidRPr="00A218EE">
        <w:t xml:space="preserve">any implementation and enforcement issues and </w:t>
      </w:r>
      <w:r w:rsidR="00173D49">
        <w:t xml:space="preserve">outlines </w:t>
      </w:r>
      <w:r w:rsidR="00047EC5">
        <w:t>an evaluation strategy</w:t>
      </w:r>
    </w:p>
    <w:p w:rsidR="004D348F" w:rsidRDefault="0005710C" w:rsidP="008E37E5">
      <w:pPr>
        <w:pStyle w:val="ListBullet"/>
      </w:pPr>
      <w:r>
        <w:fldChar w:fldCharType="begin"/>
      </w:r>
      <w:r>
        <w:instrText xml:space="preserve"> REF _Ref388529640 \n \h </w:instrText>
      </w:r>
      <w:r>
        <w:fldChar w:fldCharType="separate"/>
      </w:r>
      <w:r w:rsidR="00542564">
        <w:t>Appendix A</w:t>
      </w:r>
      <w:r>
        <w:fldChar w:fldCharType="end"/>
      </w:r>
      <w:r>
        <w:t xml:space="preserve"> </w:t>
      </w:r>
      <w:r w:rsidR="004D348F" w:rsidRPr="006267FA">
        <w:t>provides the propos</w:t>
      </w:r>
      <w:r w:rsidR="00047EC5">
        <w:t>ed Guides Modification Document</w:t>
      </w:r>
    </w:p>
    <w:p w:rsidR="00991E7D" w:rsidRDefault="0005710C" w:rsidP="008E37E5">
      <w:pPr>
        <w:pStyle w:val="ListBullet"/>
      </w:pPr>
      <w:r>
        <w:fldChar w:fldCharType="begin"/>
      </w:r>
      <w:r>
        <w:instrText xml:space="preserve"> REF _Ref387650160 \n \h </w:instrText>
      </w:r>
      <w:r>
        <w:fldChar w:fldCharType="separate"/>
      </w:r>
      <w:r w:rsidR="00542564">
        <w:t>Appendix B</w:t>
      </w:r>
      <w:r>
        <w:fldChar w:fldCharType="end"/>
      </w:r>
      <w:r>
        <w:t xml:space="preserve"> </w:t>
      </w:r>
      <w:r w:rsidR="00991E7D">
        <w:t>provides the Expert Panel’s Term</w:t>
      </w:r>
      <w:r w:rsidR="00305677">
        <w:t>s</w:t>
      </w:r>
      <w:r w:rsidR="00991E7D">
        <w:t xml:space="preserve"> of Reference </w:t>
      </w:r>
    </w:p>
    <w:p w:rsidR="004D348F" w:rsidRDefault="0005710C" w:rsidP="008E37E5">
      <w:pPr>
        <w:pStyle w:val="ListBullet"/>
      </w:pPr>
      <w:r>
        <w:fldChar w:fldCharType="begin"/>
      </w:r>
      <w:r>
        <w:instrText xml:space="preserve"> REF _Ref387412397 \n \h </w:instrText>
      </w:r>
      <w:r>
        <w:fldChar w:fldCharType="separate"/>
      </w:r>
      <w:r w:rsidR="00542564">
        <w:t>Appendix C</w:t>
      </w:r>
      <w:r>
        <w:fldChar w:fldCharType="end"/>
      </w:r>
      <w:r>
        <w:t xml:space="preserve"> </w:t>
      </w:r>
      <w:r w:rsidR="00173D49">
        <w:t>provides detailed calcula</w:t>
      </w:r>
      <w:r w:rsidR="00047EC5">
        <w:t>tions underpinning the analysis</w:t>
      </w:r>
    </w:p>
    <w:p w:rsidR="007A3DA2" w:rsidRDefault="0005710C" w:rsidP="008E37E5">
      <w:pPr>
        <w:pStyle w:val="ListBullet"/>
      </w:pPr>
      <w:r>
        <w:fldChar w:fldCharType="begin"/>
      </w:r>
      <w:r>
        <w:instrText xml:space="preserve"> REF _Ref388529673 \n \h </w:instrText>
      </w:r>
      <w:r>
        <w:fldChar w:fldCharType="separate"/>
      </w:r>
      <w:r w:rsidR="00542564">
        <w:t>Appendix D</w:t>
      </w:r>
      <w:r>
        <w:fldChar w:fldCharType="end"/>
      </w:r>
      <w:r w:rsidR="00944AF3">
        <w:t xml:space="preserve"> sets out the </w:t>
      </w:r>
      <w:r w:rsidR="00F36922">
        <w:t>Expert Panel</w:t>
      </w:r>
      <w:r w:rsidR="00944AF3">
        <w:t xml:space="preserve"> considerations for the Guides Modification Document</w:t>
      </w:r>
      <w:r w:rsidR="007A3DA2">
        <w:t>.</w:t>
      </w:r>
    </w:p>
    <w:p w:rsidR="004D348F" w:rsidRDefault="004D348F" w:rsidP="004D348F">
      <w:pPr>
        <w:pStyle w:val="Heading2"/>
      </w:pPr>
      <w:bookmarkStart w:id="31" w:name="_Toc384227273"/>
      <w:bookmarkStart w:id="32" w:name="_Ref388529720"/>
      <w:bookmarkStart w:id="33" w:name="_Toc391459528"/>
      <w:r w:rsidRPr="00E65100">
        <w:lastRenderedPageBreak/>
        <w:t>Nature and extent of the problem</w:t>
      </w:r>
      <w:bookmarkEnd w:id="31"/>
      <w:bookmarkEnd w:id="32"/>
      <w:bookmarkEnd w:id="33"/>
    </w:p>
    <w:p w:rsidR="004D348F" w:rsidRDefault="004D348F" w:rsidP="004D348F">
      <w:pPr>
        <w:pStyle w:val="PwCNormal"/>
      </w:pPr>
      <w:r>
        <w:t>The following ch</w:t>
      </w:r>
      <w:r w:rsidRPr="00707B46">
        <w:t xml:space="preserve">apter </w:t>
      </w:r>
      <w:r>
        <w:t xml:space="preserve">provides some background on the TAC and </w:t>
      </w:r>
      <w:r w:rsidR="00ED112D">
        <w:t xml:space="preserve">the </w:t>
      </w:r>
      <w:r>
        <w:t>rational</w:t>
      </w:r>
      <w:r w:rsidR="006E1F59">
        <w:t>e</w:t>
      </w:r>
      <w:r>
        <w:t xml:space="preserve"> for government intervention into providing compensation to people injured in transport accidents. It also describes the </w:t>
      </w:r>
      <w:r w:rsidRPr="00707B46">
        <w:t xml:space="preserve">nature </w:t>
      </w:r>
      <w:r>
        <w:t xml:space="preserve">and extent </w:t>
      </w:r>
      <w:r w:rsidRPr="00707B46">
        <w:t xml:space="preserve">of the problem </w:t>
      </w:r>
      <w:r>
        <w:t>being addressed in this RIS.</w:t>
      </w:r>
    </w:p>
    <w:p w:rsidR="004D348F" w:rsidRPr="00707B46" w:rsidRDefault="004D348F" w:rsidP="004D348F">
      <w:pPr>
        <w:pStyle w:val="Heading6"/>
      </w:pPr>
      <w:r>
        <w:t>Background</w:t>
      </w:r>
    </w:p>
    <w:p w:rsidR="004D348F" w:rsidRPr="00915083" w:rsidRDefault="004D348F" w:rsidP="006E1F59">
      <w:pPr>
        <w:pStyle w:val="Heading7"/>
      </w:pPr>
      <w:r w:rsidRPr="00915083">
        <w:t>Transport Accident Commission (TAC)</w:t>
      </w:r>
    </w:p>
    <w:p w:rsidR="00437C5C" w:rsidRDefault="00437C5C" w:rsidP="00437C5C">
      <w:pPr>
        <w:pStyle w:val="PwCNormal"/>
      </w:pPr>
      <w:r>
        <w:t xml:space="preserve">The TAC is a statutory agency created under the </w:t>
      </w:r>
      <w:r w:rsidRPr="00873A86">
        <w:rPr>
          <w:i/>
        </w:rPr>
        <w:t>Transport Accident Act 1986</w:t>
      </w:r>
      <w:r>
        <w:t xml:space="preserve"> (the Act). The TAC administers a comprehensive no-fault and common law damages compensation scheme for people who are injured or die as a result of a transport accident involving a Victorian registered motor vehicle.</w:t>
      </w:r>
    </w:p>
    <w:p w:rsidR="00437C5C" w:rsidRDefault="00437C5C" w:rsidP="00437C5C">
      <w:pPr>
        <w:pStyle w:val="PwCNormal"/>
      </w:pPr>
      <w:r>
        <w:t xml:space="preserve">The TAC aims to provide a compensation scheme that is not only affordable to the Victorian community but also provides </w:t>
      </w:r>
      <w:r w:rsidR="00305677">
        <w:t>“</w:t>
      </w:r>
      <w:r>
        <w:t>suitable and just compensation</w:t>
      </w:r>
      <w:r w:rsidR="00305677">
        <w:t>”</w:t>
      </w:r>
      <w:r>
        <w:t xml:space="preserve"> for people injured </w:t>
      </w:r>
      <w:r w:rsidR="00047EC5">
        <w:t xml:space="preserve">in </w:t>
      </w:r>
      <w:r>
        <w:t>transport accidents.</w:t>
      </w:r>
      <w:r w:rsidR="00305677" w:rsidRPr="00305677">
        <w:rPr>
          <w:rStyle w:val="FootnoteReference"/>
        </w:rPr>
        <w:t xml:space="preserve"> </w:t>
      </w:r>
      <w:r w:rsidR="00305677">
        <w:rPr>
          <w:rStyle w:val="FootnoteReference"/>
        </w:rPr>
        <w:footnoteReference w:id="25"/>
      </w:r>
      <w:r>
        <w:t xml:space="preserve"> One of the key factors in determining suitable and just compensation is the severity of an individual’s impairment.</w:t>
      </w:r>
    </w:p>
    <w:p w:rsidR="004D348F" w:rsidRDefault="004D348F" w:rsidP="004D348F">
      <w:pPr>
        <w:pStyle w:val="Heading7"/>
      </w:pPr>
      <w:bookmarkStart w:id="34" w:name="_Ref391392288"/>
      <w:r>
        <w:t>The compensation process</w:t>
      </w:r>
      <w:bookmarkEnd w:id="34"/>
    </w:p>
    <w:p w:rsidR="004D348F" w:rsidRDefault="004D348F" w:rsidP="004D348F">
      <w:pPr>
        <w:pStyle w:val="PwCNormal"/>
      </w:pPr>
      <w:r>
        <w:t xml:space="preserve">The process from </w:t>
      </w:r>
      <w:r w:rsidR="00A85695">
        <w:t>accident</w:t>
      </w:r>
      <w:r>
        <w:t xml:space="preserve"> to potential compensation can be complex, but is set out </w:t>
      </w:r>
      <w:r w:rsidR="00A85695">
        <w:t>i</w:t>
      </w:r>
      <w:r>
        <w:t>n</w:t>
      </w:r>
      <w:r w:rsidR="00A85695">
        <w:t xml:space="preserve"> a simplified flow chart (</w:t>
      </w:r>
      <w:r w:rsidR="00A85695">
        <w:fldChar w:fldCharType="begin"/>
      </w:r>
      <w:r w:rsidR="00A85695">
        <w:instrText xml:space="preserve"> REF _Ref388002622 \h </w:instrText>
      </w:r>
      <w:r w:rsidR="00A85695">
        <w:fldChar w:fldCharType="separate"/>
      </w:r>
      <w:r w:rsidR="00542564">
        <w:t xml:space="preserve">Figure </w:t>
      </w:r>
      <w:r w:rsidR="00542564">
        <w:rPr>
          <w:noProof/>
        </w:rPr>
        <w:t>1</w:t>
      </w:r>
      <w:r w:rsidR="00A85695">
        <w:fldChar w:fldCharType="end"/>
      </w:r>
      <w:r w:rsidR="00A85695">
        <w:t>)</w:t>
      </w:r>
      <w:r>
        <w:t xml:space="preserve"> to assist readers to understand the main steps. However, in practice:</w:t>
      </w:r>
    </w:p>
    <w:p w:rsidR="004D348F" w:rsidRDefault="004D348F" w:rsidP="004D348F">
      <w:pPr>
        <w:pStyle w:val="ListBullet"/>
      </w:pPr>
      <w:r>
        <w:t>these steps can be undertaken in a different order</w:t>
      </w:r>
    </w:p>
    <w:p w:rsidR="004D348F" w:rsidRDefault="004D348F" w:rsidP="004D348F">
      <w:pPr>
        <w:pStyle w:val="ListBullet"/>
      </w:pPr>
      <w:r>
        <w:t>there can be many loops where processes are repeated</w:t>
      </w:r>
    </w:p>
    <w:p w:rsidR="004D348F" w:rsidRDefault="004D348F" w:rsidP="004D348F">
      <w:pPr>
        <w:pStyle w:val="ListBullet"/>
      </w:pPr>
      <w:r>
        <w:t>there can be significant delays in progressing from one step to the next</w:t>
      </w:r>
    </w:p>
    <w:p w:rsidR="00437C5C" w:rsidRPr="00E11686" w:rsidRDefault="00437C5C" w:rsidP="00437C5C">
      <w:pPr>
        <w:pStyle w:val="ListBullet"/>
      </w:pPr>
      <w:r>
        <w:t>some claimants will not progress through all of the steps, but rather finish the process at an intermediate step.</w:t>
      </w:r>
    </w:p>
    <w:p w:rsidR="004D348F" w:rsidRDefault="004D348F" w:rsidP="005528EA">
      <w:pPr>
        <w:pStyle w:val="Caption"/>
        <w:tabs>
          <w:tab w:val="clear" w:pos="992"/>
          <w:tab w:val="left" w:pos="-2410"/>
        </w:tabs>
        <w:ind w:left="0" w:firstLine="0"/>
      </w:pPr>
      <w:bookmarkStart w:id="35" w:name="_Ref388002622"/>
      <w:r>
        <w:lastRenderedPageBreak/>
        <w:t xml:space="preserve">Figure </w:t>
      </w:r>
      <w:fldSimple w:instr=" SEQ Figure \* ARABIC ">
        <w:r w:rsidR="00542564">
          <w:rPr>
            <w:noProof/>
          </w:rPr>
          <w:t>1</w:t>
        </w:r>
      </w:fldSimple>
      <w:bookmarkEnd w:id="35"/>
      <w:r>
        <w:t>: Transport a</w:t>
      </w:r>
      <w:r w:rsidRPr="00282F53">
        <w:t xml:space="preserve">ccident </w:t>
      </w:r>
      <w:r>
        <w:t>c</w:t>
      </w:r>
      <w:r w:rsidRPr="00282F53">
        <w:t xml:space="preserve">ompensation </w:t>
      </w:r>
      <w:r>
        <w:t>p</w:t>
      </w:r>
      <w:r w:rsidRPr="00282F53">
        <w:t>rocess</w:t>
      </w:r>
    </w:p>
    <w:p w:rsidR="004D348F" w:rsidRPr="00E11686" w:rsidRDefault="006E0938" w:rsidP="00785051">
      <w:pPr>
        <w:pStyle w:val="PwCNormal"/>
        <w:keepNext/>
        <w:keepLines/>
      </w:pPr>
      <w:r>
        <w:object w:dxaOrig="17793" w:dyaOrig="50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pt;height:132pt" o:ole="">
            <v:imagedata r:id="rId31" o:title=""/>
          </v:shape>
          <o:OLEObject Type="Embed" ProgID="Visio.Drawing.11" ShapeID="_x0000_i1025" DrawAspect="Content" ObjectID="_1465724577" r:id="rId32"/>
        </w:object>
      </w:r>
    </w:p>
    <w:p w:rsidR="004D348F" w:rsidRPr="003B6703" w:rsidRDefault="004D348F" w:rsidP="00785051">
      <w:pPr>
        <w:pStyle w:val="Sources"/>
        <w:keepNext/>
        <w:keepLines/>
      </w:pPr>
      <w:r w:rsidRPr="003B6703">
        <w:t>S</w:t>
      </w:r>
      <w:r w:rsidR="00BD75AA">
        <w:t>ource: TAC and PwC</w:t>
      </w:r>
    </w:p>
    <w:p w:rsidR="00437C5C" w:rsidRDefault="00437C5C" w:rsidP="00437C5C">
      <w:pPr>
        <w:pStyle w:val="PwCNormal"/>
        <w:numPr>
          <w:ilvl w:val="0"/>
          <w:numId w:val="0"/>
        </w:numPr>
      </w:pPr>
      <w:r>
        <w:t xml:space="preserve">The key stages in the process </w:t>
      </w:r>
      <w:r w:rsidR="00022048">
        <w:t xml:space="preserve">for </w:t>
      </w:r>
      <w:r w:rsidR="00A85695">
        <w:t xml:space="preserve">a person who has been in a transport accident </w:t>
      </w:r>
      <w:r w:rsidR="00022048">
        <w:t xml:space="preserve">to </w:t>
      </w:r>
      <w:r w:rsidR="00A85695">
        <w:t>c</w:t>
      </w:r>
      <w:r>
        <w:t>laim compensation from the scheme are:</w:t>
      </w:r>
    </w:p>
    <w:p w:rsidR="004D348F" w:rsidRDefault="004D348F" w:rsidP="00F64763">
      <w:pPr>
        <w:pStyle w:val="Minorheading2"/>
      </w:pPr>
      <w:r>
        <w:t>Accident</w:t>
      </w:r>
    </w:p>
    <w:p w:rsidR="004D348F" w:rsidRDefault="004D348F" w:rsidP="004D348F">
      <w:pPr>
        <w:pStyle w:val="PwCNormal"/>
      </w:pPr>
      <w:r>
        <w:t>The accident date is defined as the date on which the transport accident causing the claimant’s injuries occurred.</w:t>
      </w:r>
    </w:p>
    <w:p w:rsidR="004D348F" w:rsidRPr="00E471F9" w:rsidRDefault="00BD75AA" w:rsidP="00F64763">
      <w:pPr>
        <w:pStyle w:val="Minorheading2"/>
      </w:pPr>
      <w:r>
        <w:t>C</w:t>
      </w:r>
      <w:r w:rsidR="004D348F" w:rsidRPr="00C35EE0">
        <w:t>laim</w:t>
      </w:r>
      <w:r>
        <w:t xml:space="preserve"> </w:t>
      </w:r>
      <w:r w:rsidR="00C913F2">
        <w:t>and acceptance</w:t>
      </w:r>
      <w:r w:rsidR="00F812B5">
        <w:t xml:space="preserve"> of claim </w:t>
      </w:r>
      <w:r>
        <w:t>for medical and income benefits</w:t>
      </w:r>
    </w:p>
    <w:p w:rsidR="00437C5C" w:rsidRDefault="00437C5C" w:rsidP="00437C5C">
      <w:pPr>
        <w:pStyle w:val="PwCNormal"/>
        <w:numPr>
          <w:ilvl w:val="0"/>
          <w:numId w:val="0"/>
        </w:numPr>
      </w:pPr>
      <w:r>
        <w:t>The first step for an injured person entering the scheme is to make a claim for compensation with the TAC. The claim is then processed and</w:t>
      </w:r>
      <w:r w:rsidR="00047EC5">
        <w:t>,</w:t>
      </w:r>
      <w:r>
        <w:t xml:space="preserve"> if the person was injured in a transport accident</w:t>
      </w:r>
      <w:r w:rsidR="00047EC5">
        <w:t>,</w:t>
      </w:r>
      <w:r>
        <w:t xml:space="preserve"> the claim is accepted. Once the claim has been accepted, the claimant can start receiving compensation for medical costs</w:t>
      </w:r>
      <w:r w:rsidR="006E1F59">
        <w:t>,</w:t>
      </w:r>
      <w:r>
        <w:t xml:space="preserve"> and if unable to return to work</w:t>
      </w:r>
      <w:r w:rsidR="006E1F59">
        <w:t>,</w:t>
      </w:r>
      <w:r>
        <w:t xml:space="preserve"> income benefits (for up to 3 years).</w:t>
      </w:r>
    </w:p>
    <w:p w:rsidR="004D348F" w:rsidRPr="00E471F9" w:rsidRDefault="004D348F" w:rsidP="00F64763">
      <w:pPr>
        <w:pStyle w:val="Minorheading2"/>
      </w:pPr>
      <w:r>
        <w:t xml:space="preserve">Claim for </w:t>
      </w:r>
      <w:r w:rsidR="00437C5C">
        <w:t>additional compensation</w:t>
      </w:r>
    </w:p>
    <w:p w:rsidR="00437C5C" w:rsidRDefault="00437C5C" w:rsidP="00437C5C">
      <w:pPr>
        <w:pStyle w:val="PwCNormal"/>
        <w:numPr>
          <w:ilvl w:val="0"/>
          <w:numId w:val="0"/>
        </w:numPr>
      </w:pPr>
      <w:r>
        <w:t>Following acceptance of the TAC claim, the injured party may also apply for additional compensation depending on the severity of their injury. The three categories of additional compensation that can be claimed are detailed below</w:t>
      </w:r>
      <w:r w:rsidR="006E1F59">
        <w:t>:</w:t>
      </w:r>
    </w:p>
    <w:p w:rsidR="00F64763" w:rsidRDefault="00437C5C" w:rsidP="00F64763">
      <w:pPr>
        <w:pStyle w:val="ListBullet"/>
      </w:pPr>
      <w:r>
        <w:t xml:space="preserve">Impairment benefits are aimed at compensating an injured person who has been permanently physically or psychologically impaired as a result of a transport accident. An impairment benefit is paid irrespective of fault for the transport accident. Claimants must be assessed by the TAC as having a </w:t>
      </w:r>
      <w:r w:rsidR="00305677">
        <w:t>W</w:t>
      </w:r>
      <w:r w:rsidR="0078043C">
        <w:t>hole</w:t>
      </w:r>
      <w:r w:rsidR="00A270D6">
        <w:t xml:space="preserve"> </w:t>
      </w:r>
      <w:r w:rsidR="00305677">
        <w:t>P</w:t>
      </w:r>
      <w:r w:rsidR="00A270D6">
        <w:t xml:space="preserve">erson </w:t>
      </w:r>
      <w:r w:rsidR="00305677">
        <w:t>I</w:t>
      </w:r>
      <w:r w:rsidR="00A270D6">
        <w:t>mpairment (</w:t>
      </w:r>
      <w:r>
        <w:t>WPI</w:t>
      </w:r>
      <w:r w:rsidR="00A270D6">
        <w:t>)</w:t>
      </w:r>
      <w:r>
        <w:t xml:space="preserve"> of greater than 10 per cent in order to qualify for impairment benefits. Impairment benefits are paid in a single lump sum amount and incrementally increase based on the claimant’s WPI.</w:t>
      </w:r>
    </w:p>
    <w:p w:rsidR="00F64763" w:rsidRDefault="00437C5C" w:rsidP="00F64763">
      <w:pPr>
        <w:pStyle w:val="ListBullet"/>
      </w:pPr>
      <w:r>
        <w:t>Common law damages are awarded by the Court when an injured person can establish negligence against another party. Damages in a transport accident claim</w:t>
      </w:r>
      <w:r w:rsidR="00D31F02">
        <w:t xml:space="preserve"> are awarded as</w:t>
      </w:r>
      <w:r>
        <w:t xml:space="preserve"> a lump sum payment for the pain, loss of enjoyment of life and loss of income c</w:t>
      </w:r>
      <w:r w:rsidR="00047EC5">
        <w:t>aused by the transport accident-</w:t>
      </w:r>
      <w:r>
        <w:t xml:space="preserve">related injuries. A person injured in a transport accident can only recover damages if they have sustained an injury </w:t>
      </w:r>
      <w:r w:rsidR="00047EC5">
        <w:t>that</w:t>
      </w:r>
      <w:r>
        <w:t xml:space="preserve"> satisfies the criteria of a </w:t>
      </w:r>
      <w:r w:rsidRPr="00F64763">
        <w:rPr>
          <w:rFonts w:ascii="Arial Unicode MS"/>
        </w:rPr>
        <w:t>‘</w:t>
      </w:r>
      <w:r>
        <w:t>serious injury</w:t>
      </w:r>
      <w:r w:rsidRPr="00F64763">
        <w:rPr>
          <w:rFonts w:ascii="Arial Unicode MS"/>
        </w:rPr>
        <w:t>’</w:t>
      </w:r>
      <w:r w:rsidRPr="00F64763">
        <w:rPr>
          <w:rFonts w:ascii="Arial Unicode MS"/>
        </w:rPr>
        <w:t xml:space="preserve"> </w:t>
      </w:r>
      <w:r>
        <w:t>in the Act</w:t>
      </w:r>
      <w:r w:rsidR="006E1F59">
        <w:t>.</w:t>
      </w:r>
      <w:r>
        <w:t xml:space="preserve"> </w:t>
      </w:r>
      <w:r w:rsidRPr="00F64763">
        <w:rPr>
          <w:rFonts w:ascii="Arial Unicode MS"/>
        </w:rPr>
        <w:t>‘</w:t>
      </w:r>
      <w:r>
        <w:t>Serious injury</w:t>
      </w:r>
      <w:r w:rsidRPr="00F64763">
        <w:rPr>
          <w:rFonts w:ascii="Arial Unicode MS"/>
        </w:rPr>
        <w:t>’</w:t>
      </w:r>
      <w:r w:rsidRPr="00F64763">
        <w:rPr>
          <w:rFonts w:ascii="Arial Unicode MS"/>
        </w:rPr>
        <w:t xml:space="preserve"> </w:t>
      </w:r>
      <w:r>
        <w:t>is automatically deemed when a claimant</w:t>
      </w:r>
      <w:r w:rsidRPr="00F64763">
        <w:rPr>
          <w:rFonts w:ascii="Arial Unicode MS"/>
        </w:rPr>
        <w:t>’</w:t>
      </w:r>
      <w:r>
        <w:t>s impairment is determined as a WPI of at least 30</w:t>
      </w:r>
      <w:r w:rsidRPr="00F64763">
        <w:rPr>
          <w:rFonts w:ascii="Arial Unicode MS"/>
        </w:rPr>
        <w:t> </w:t>
      </w:r>
      <w:r>
        <w:t>per</w:t>
      </w:r>
      <w:r w:rsidRPr="00F64763">
        <w:rPr>
          <w:rFonts w:ascii="Arial Unicode MS"/>
        </w:rPr>
        <w:t> </w:t>
      </w:r>
      <w:r>
        <w:t>cent. If a claimant does not have a WPI of at least 30 per cent</w:t>
      </w:r>
      <w:r w:rsidR="006E1F59">
        <w:t>,</w:t>
      </w:r>
      <w:r>
        <w:t xml:space="preserve"> they may have a </w:t>
      </w:r>
      <w:r w:rsidRPr="00F64763">
        <w:rPr>
          <w:rFonts w:ascii="Arial Unicode MS"/>
        </w:rPr>
        <w:t>‘</w:t>
      </w:r>
      <w:r>
        <w:t>serious injury</w:t>
      </w:r>
      <w:r w:rsidRPr="00F64763">
        <w:rPr>
          <w:rFonts w:ascii="Arial Unicode MS"/>
        </w:rPr>
        <w:t>’</w:t>
      </w:r>
      <w:r>
        <w:t xml:space="preserve"> under the narrative criteria in section 93 of the Act.</w:t>
      </w:r>
    </w:p>
    <w:p w:rsidR="00437C5C" w:rsidRDefault="00437C5C" w:rsidP="00F64763">
      <w:pPr>
        <w:pStyle w:val="ListBullet"/>
      </w:pPr>
      <w:r>
        <w:t xml:space="preserve">In most cases, income benefits comprising loss of earnings benefits and loss of earning capacity benefits </w:t>
      </w:r>
      <w:r w:rsidR="00D31F02">
        <w:t>are</w:t>
      </w:r>
      <w:r>
        <w:t xml:space="preserve"> paid by the TAC for up to three years. However, when a claimant is severely impaired and has </w:t>
      </w:r>
      <w:r w:rsidR="00A270D6">
        <w:t xml:space="preserve">a </w:t>
      </w:r>
      <w:r>
        <w:t xml:space="preserve">partial or no capacity to work, they may be entitled to ongoing benefits beyond three years from </w:t>
      </w:r>
      <w:r w:rsidR="006E1F59">
        <w:t xml:space="preserve">the </w:t>
      </w:r>
      <w:r>
        <w:t>accident date. Ongoing benefits are payable to claimants with a WPI of 50</w:t>
      </w:r>
      <w:r w:rsidRPr="00F64763">
        <w:rPr>
          <w:rFonts w:ascii="Arial Unicode MS"/>
        </w:rPr>
        <w:t> </w:t>
      </w:r>
      <w:r>
        <w:t>per</w:t>
      </w:r>
      <w:r w:rsidRPr="00F64763">
        <w:rPr>
          <w:rFonts w:ascii="Arial Unicode MS"/>
        </w:rPr>
        <w:t> </w:t>
      </w:r>
      <w:r>
        <w:t>cent or more and are paid on a continuous basis as assessed.</w:t>
      </w:r>
    </w:p>
    <w:p w:rsidR="004D348F" w:rsidRDefault="00D24AD7" w:rsidP="004D348F">
      <w:pPr>
        <w:pStyle w:val="PwCNormal"/>
        <w:numPr>
          <w:ilvl w:val="0"/>
          <w:numId w:val="0"/>
        </w:numPr>
      </w:pPr>
      <w:r>
        <w:lastRenderedPageBreak/>
        <w:fldChar w:fldCharType="begin"/>
      </w:r>
      <w:r>
        <w:instrText xml:space="preserve"> REF _Ref386538009 \h </w:instrText>
      </w:r>
      <w:r>
        <w:fldChar w:fldCharType="separate"/>
      </w:r>
      <w:r w:rsidR="00542564">
        <w:t xml:space="preserve">Table </w:t>
      </w:r>
      <w:r w:rsidR="00542564">
        <w:rPr>
          <w:noProof/>
        </w:rPr>
        <w:t>4</w:t>
      </w:r>
      <w:r>
        <w:fldChar w:fldCharType="end"/>
      </w:r>
      <w:r w:rsidR="004D348F">
        <w:t xml:space="preserve"> </w:t>
      </w:r>
      <w:r w:rsidR="00047EC5">
        <w:t>sets out</w:t>
      </w:r>
      <w:r w:rsidR="004D348F">
        <w:t xml:space="preserve"> eligibility </w:t>
      </w:r>
      <w:r w:rsidR="00047EC5">
        <w:t xml:space="preserve">for </w:t>
      </w:r>
      <w:r w:rsidR="00F132BF">
        <w:t>additional compensation entitlements</w:t>
      </w:r>
      <w:r w:rsidR="00047EC5">
        <w:t xml:space="preserve"> based on</w:t>
      </w:r>
      <w:r w:rsidR="004D348F">
        <w:t xml:space="preserve"> different levels of impairment</w:t>
      </w:r>
      <w:r w:rsidR="00047EC5">
        <w:t>.</w:t>
      </w:r>
    </w:p>
    <w:p w:rsidR="00B93E0B" w:rsidRDefault="00B93E0B" w:rsidP="00B93E0B">
      <w:pPr>
        <w:pStyle w:val="Caption"/>
      </w:pPr>
      <w:bookmarkStart w:id="36" w:name="_Ref386538009"/>
      <w:r>
        <w:t xml:space="preserve">Table </w:t>
      </w:r>
      <w:fldSimple w:instr=" SEQ Table \* ARABIC ">
        <w:r w:rsidR="00542564">
          <w:rPr>
            <w:noProof/>
          </w:rPr>
          <w:t>4</w:t>
        </w:r>
      </w:fldSimple>
      <w:bookmarkEnd w:id="36"/>
      <w:r w:rsidR="00437C5C">
        <w:t>: Compensation</w:t>
      </w:r>
      <w:r>
        <w:t xml:space="preserve"> eligibility</w:t>
      </w:r>
    </w:p>
    <w:tbl>
      <w:tblPr>
        <w:tblStyle w:val="Tables-APBase"/>
        <w:tblW w:w="0" w:type="auto"/>
        <w:tblLook w:val="04A0" w:firstRow="1" w:lastRow="0" w:firstColumn="1" w:lastColumn="0" w:noHBand="0" w:noVBand="1"/>
      </w:tblPr>
      <w:tblGrid>
        <w:gridCol w:w="1687"/>
        <w:gridCol w:w="305"/>
        <w:gridCol w:w="1611"/>
        <w:gridCol w:w="1611"/>
        <w:gridCol w:w="1611"/>
        <w:gridCol w:w="1612"/>
      </w:tblGrid>
      <w:tr w:rsidR="004D348F" w:rsidRPr="00E45F44" w:rsidTr="004D348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687" w:type="dxa"/>
            <w:tcBorders>
              <w:bottom w:val="nil"/>
            </w:tcBorders>
          </w:tcPr>
          <w:p w:rsidR="004D348F" w:rsidRPr="00E45F44" w:rsidRDefault="004D348F" w:rsidP="004D348F">
            <w:pPr>
              <w:pStyle w:val="TableColumnHeadingNormal"/>
              <w:jc w:val="center"/>
            </w:pPr>
          </w:p>
        </w:tc>
        <w:tc>
          <w:tcPr>
            <w:tcW w:w="6750" w:type="dxa"/>
            <w:gridSpan w:val="5"/>
            <w:tcBorders>
              <w:bottom w:val="nil"/>
            </w:tcBorders>
          </w:tcPr>
          <w:p w:rsidR="004D348F" w:rsidRPr="00E45F44" w:rsidRDefault="004D348F" w:rsidP="004D348F">
            <w:pPr>
              <w:pStyle w:val="TableColumnHeadingNormal"/>
              <w:cnfStyle w:val="100000000000" w:firstRow="1" w:lastRow="0" w:firstColumn="0" w:lastColumn="0" w:oddVBand="0" w:evenVBand="0" w:oddHBand="0" w:evenHBand="0" w:firstRowFirstColumn="0" w:firstRowLastColumn="0" w:lastRowFirstColumn="0" w:lastRowLastColumn="0"/>
            </w:pPr>
            <w:r w:rsidRPr="00E45F44">
              <w:t>Whole Person Impairment Level (WPI)</w:t>
            </w:r>
          </w:p>
        </w:tc>
      </w:tr>
      <w:tr w:rsidR="00492AB7" w:rsidRPr="00E45F44" w:rsidTr="004D348F">
        <w:tc>
          <w:tcPr>
            <w:tcW w:w="1992" w:type="dxa"/>
            <w:gridSpan w:val="2"/>
            <w:tcBorders>
              <w:top w:val="nil"/>
            </w:tcBorders>
          </w:tcPr>
          <w:p w:rsidR="00492AB7" w:rsidRPr="00E45F44" w:rsidRDefault="00492AB7" w:rsidP="004D348F">
            <w:pPr>
              <w:pStyle w:val="PwCNormal"/>
              <w:keepNext/>
              <w:keepLines/>
              <w:numPr>
                <w:ilvl w:val="0"/>
                <w:numId w:val="0"/>
              </w:numPr>
            </w:pPr>
          </w:p>
        </w:tc>
        <w:tc>
          <w:tcPr>
            <w:tcW w:w="1611" w:type="dxa"/>
            <w:tcBorders>
              <w:top w:val="nil"/>
            </w:tcBorders>
            <w:vAlign w:val="center"/>
          </w:tcPr>
          <w:p w:rsidR="00492AB7" w:rsidRPr="00E45F44" w:rsidRDefault="00492AB7" w:rsidP="00F12964">
            <w:pPr>
              <w:pStyle w:val="PwCNormal"/>
              <w:keepNext/>
              <w:keepLines/>
              <w:numPr>
                <w:ilvl w:val="0"/>
                <w:numId w:val="0"/>
              </w:numPr>
              <w:jc w:val="center"/>
            </w:pPr>
            <w:r>
              <w:t>≤</w:t>
            </w:r>
            <w:r w:rsidRPr="00E45F44">
              <w:t xml:space="preserve"> 10%</w:t>
            </w:r>
          </w:p>
        </w:tc>
        <w:tc>
          <w:tcPr>
            <w:tcW w:w="1611" w:type="dxa"/>
            <w:tcBorders>
              <w:top w:val="nil"/>
            </w:tcBorders>
            <w:vAlign w:val="center"/>
          </w:tcPr>
          <w:p w:rsidR="00492AB7" w:rsidRPr="00E45F44" w:rsidRDefault="00492AB7" w:rsidP="00F12964">
            <w:pPr>
              <w:pStyle w:val="PwCNormal"/>
              <w:keepNext/>
              <w:keepLines/>
              <w:numPr>
                <w:ilvl w:val="0"/>
                <w:numId w:val="0"/>
              </w:numPr>
              <w:jc w:val="center"/>
            </w:pPr>
            <w:r>
              <w:t>11</w:t>
            </w:r>
            <w:r w:rsidRPr="00E45F44">
              <w:t xml:space="preserve">% – </w:t>
            </w:r>
            <w:r w:rsidR="005B29E1">
              <w:t>29</w:t>
            </w:r>
            <w:r w:rsidRPr="00E45F44">
              <w:t>%</w:t>
            </w:r>
          </w:p>
        </w:tc>
        <w:tc>
          <w:tcPr>
            <w:tcW w:w="1611" w:type="dxa"/>
            <w:tcBorders>
              <w:top w:val="nil"/>
            </w:tcBorders>
            <w:vAlign w:val="center"/>
          </w:tcPr>
          <w:p w:rsidR="00492AB7" w:rsidRPr="00E45F44" w:rsidRDefault="00492AB7" w:rsidP="00F12964">
            <w:pPr>
              <w:pStyle w:val="PwCNormal"/>
              <w:keepNext/>
              <w:keepLines/>
              <w:numPr>
                <w:ilvl w:val="0"/>
                <w:numId w:val="0"/>
              </w:numPr>
              <w:jc w:val="center"/>
            </w:pPr>
            <w:r w:rsidRPr="00E45F44">
              <w:t xml:space="preserve">30% – </w:t>
            </w:r>
            <w:r w:rsidR="005B29E1">
              <w:t>49</w:t>
            </w:r>
            <w:r w:rsidRPr="00E45F44">
              <w:t>%</w:t>
            </w:r>
          </w:p>
        </w:tc>
        <w:tc>
          <w:tcPr>
            <w:tcW w:w="1612" w:type="dxa"/>
            <w:tcBorders>
              <w:top w:val="nil"/>
            </w:tcBorders>
            <w:vAlign w:val="center"/>
          </w:tcPr>
          <w:p w:rsidR="00492AB7" w:rsidRPr="00E45F44" w:rsidRDefault="00305677" w:rsidP="00F12964">
            <w:pPr>
              <w:pStyle w:val="PwCNormal"/>
              <w:keepNext/>
              <w:keepLines/>
              <w:numPr>
                <w:ilvl w:val="0"/>
                <w:numId w:val="0"/>
              </w:numPr>
              <w:jc w:val="center"/>
            </w:pPr>
            <w:r>
              <w:t>≥</w:t>
            </w:r>
            <w:r w:rsidR="00492AB7" w:rsidRPr="00E45F44">
              <w:t xml:space="preserve"> 50%</w:t>
            </w:r>
          </w:p>
        </w:tc>
      </w:tr>
      <w:tr w:rsidR="004D348F" w:rsidRPr="00E45F44" w:rsidTr="004D348F">
        <w:tc>
          <w:tcPr>
            <w:tcW w:w="1992" w:type="dxa"/>
            <w:gridSpan w:val="2"/>
          </w:tcPr>
          <w:p w:rsidR="004D348F" w:rsidRPr="00E45F44" w:rsidRDefault="004D348F" w:rsidP="009D7A98">
            <w:pPr>
              <w:pStyle w:val="PwCNormal"/>
              <w:keepNext/>
              <w:keepLines/>
              <w:numPr>
                <w:ilvl w:val="0"/>
                <w:numId w:val="0"/>
              </w:numPr>
            </w:pPr>
            <w:r w:rsidRPr="00E45F44">
              <w:t xml:space="preserve">Medical </w:t>
            </w:r>
            <w:r>
              <w:t>e</w:t>
            </w:r>
            <w:r w:rsidRPr="00E45F44">
              <w:t>xpenses/</w:t>
            </w:r>
            <w:r w:rsidR="009D7A98">
              <w:t>Loss of earnings capacity</w:t>
            </w:r>
            <w:r w:rsidRPr="00E45F44">
              <w:t xml:space="preserve"> </w:t>
            </w:r>
            <w:r>
              <w:t>b</w:t>
            </w:r>
            <w:r w:rsidRPr="00E45F44">
              <w:t>enefits (≤3 years)</w:t>
            </w:r>
          </w:p>
        </w:tc>
        <w:tc>
          <w:tcPr>
            <w:tcW w:w="1611" w:type="dxa"/>
            <w:vAlign w:val="center"/>
          </w:tcPr>
          <w:p w:rsidR="004D348F" w:rsidRPr="00E45F44" w:rsidRDefault="004D348F" w:rsidP="004D348F">
            <w:pPr>
              <w:pStyle w:val="PwCNormal"/>
              <w:keepNext/>
              <w:keepLines/>
              <w:numPr>
                <w:ilvl w:val="0"/>
                <w:numId w:val="0"/>
              </w:numPr>
              <w:jc w:val="center"/>
              <w:rPr>
                <w:rFonts w:asciiTheme="majorHAnsi" w:hAnsiTheme="majorHAnsi"/>
              </w:rPr>
            </w:pPr>
            <w:r w:rsidRPr="00E45F44">
              <w:rPr>
                <w:rFonts w:ascii="Marlett" w:hAnsi="Marlett"/>
              </w:rPr>
              <w:t></w:t>
            </w:r>
          </w:p>
        </w:tc>
        <w:tc>
          <w:tcPr>
            <w:tcW w:w="1611" w:type="dxa"/>
            <w:vAlign w:val="center"/>
          </w:tcPr>
          <w:p w:rsidR="004D348F" w:rsidRPr="00E45F44" w:rsidRDefault="004D348F" w:rsidP="004D348F">
            <w:pPr>
              <w:pStyle w:val="PwCNormal"/>
              <w:keepNext/>
              <w:keepLines/>
              <w:numPr>
                <w:ilvl w:val="0"/>
                <w:numId w:val="0"/>
              </w:numPr>
              <w:jc w:val="center"/>
            </w:pPr>
            <w:r w:rsidRPr="00E45F44">
              <w:rPr>
                <w:rFonts w:ascii="Marlett" w:hAnsi="Marlett"/>
              </w:rPr>
              <w:t></w:t>
            </w:r>
          </w:p>
        </w:tc>
        <w:tc>
          <w:tcPr>
            <w:tcW w:w="1611" w:type="dxa"/>
            <w:vAlign w:val="center"/>
          </w:tcPr>
          <w:p w:rsidR="004D348F" w:rsidRPr="00E45F44" w:rsidRDefault="004D348F" w:rsidP="004D348F">
            <w:pPr>
              <w:pStyle w:val="PwCNormal"/>
              <w:keepNext/>
              <w:keepLines/>
              <w:numPr>
                <w:ilvl w:val="0"/>
                <w:numId w:val="0"/>
              </w:numPr>
              <w:jc w:val="center"/>
            </w:pPr>
            <w:r w:rsidRPr="00E45F44">
              <w:rPr>
                <w:rFonts w:ascii="Marlett" w:hAnsi="Marlett"/>
              </w:rPr>
              <w:t></w:t>
            </w:r>
          </w:p>
        </w:tc>
        <w:tc>
          <w:tcPr>
            <w:tcW w:w="1612" w:type="dxa"/>
            <w:vAlign w:val="center"/>
          </w:tcPr>
          <w:p w:rsidR="004D348F" w:rsidRPr="00E45F44" w:rsidRDefault="004D348F" w:rsidP="004D348F">
            <w:pPr>
              <w:pStyle w:val="PwCNormal"/>
              <w:keepNext/>
              <w:keepLines/>
              <w:numPr>
                <w:ilvl w:val="0"/>
                <w:numId w:val="0"/>
              </w:numPr>
              <w:jc w:val="center"/>
            </w:pPr>
            <w:r w:rsidRPr="00E45F44">
              <w:rPr>
                <w:rFonts w:ascii="Marlett" w:hAnsi="Marlett"/>
              </w:rPr>
              <w:t></w:t>
            </w:r>
          </w:p>
        </w:tc>
      </w:tr>
      <w:tr w:rsidR="004D348F" w:rsidRPr="00E45F44" w:rsidTr="004D348F">
        <w:tc>
          <w:tcPr>
            <w:tcW w:w="1992" w:type="dxa"/>
            <w:gridSpan w:val="2"/>
          </w:tcPr>
          <w:p w:rsidR="004D348F" w:rsidRPr="00E45F44" w:rsidRDefault="004D348F" w:rsidP="004D348F">
            <w:pPr>
              <w:pStyle w:val="PwCNormal"/>
              <w:keepNext/>
              <w:keepLines/>
              <w:numPr>
                <w:ilvl w:val="0"/>
                <w:numId w:val="0"/>
              </w:numPr>
            </w:pPr>
            <w:r w:rsidRPr="00E45F44">
              <w:t xml:space="preserve">Impairment </w:t>
            </w:r>
            <w:r>
              <w:t>b</w:t>
            </w:r>
            <w:r w:rsidRPr="00E45F44">
              <w:t>enefits</w:t>
            </w:r>
          </w:p>
        </w:tc>
        <w:tc>
          <w:tcPr>
            <w:tcW w:w="1611" w:type="dxa"/>
            <w:vAlign w:val="center"/>
          </w:tcPr>
          <w:p w:rsidR="004D348F" w:rsidRPr="00E45F44" w:rsidRDefault="004D348F" w:rsidP="004D348F">
            <w:pPr>
              <w:pStyle w:val="PwCNormal"/>
              <w:keepNext/>
              <w:keepLines/>
              <w:numPr>
                <w:ilvl w:val="0"/>
                <w:numId w:val="0"/>
              </w:numPr>
              <w:jc w:val="center"/>
            </w:pPr>
          </w:p>
        </w:tc>
        <w:tc>
          <w:tcPr>
            <w:tcW w:w="1611" w:type="dxa"/>
            <w:vAlign w:val="center"/>
          </w:tcPr>
          <w:p w:rsidR="004D348F" w:rsidRPr="00E45F44" w:rsidRDefault="004D348F" w:rsidP="004D348F">
            <w:pPr>
              <w:pStyle w:val="PwCNormal"/>
              <w:keepNext/>
              <w:keepLines/>
              <w:numPr>
                <w:ilvl w:val="0"/>
                <w:numId w:val="0"/>
              </w:numPr>
              <w:jc w:val="center"/>
            </w:pPr>
            <w:r w:rsidRPr="00E45F44">
              <w:rPr>
                <w:rFonts w:ascii="Marlett" w:hAnsi="Marlett"/>
              </w:rPr>
              <w:t></w:t>
            </w:r>
          </w:p>
        </w:tc>
        <w:tc>
          <w:tcPr>
            <w:tcW w:w="1611" w:type="dxa"/>
            <w:vAlign w:val="center"/>
          </w:tcPr>
          <w:p w:rsidR="004D348F" w:rsidRPr="00E45F44" w:rsidRDefault="004D348F" w:rsidP="004D348F">
            <w:pPr>
              <w:pStyle w:val="PwCNormal"/>
              <w:keepNext/>
              <w:keepLines/>
              <w:numPr>
                <w:ilvl w:val="0"/>
                <w:numId w:val="0"/>
              </w:numPr>
              <w:jc w:val="center"/>
            </w:pPr>
            <w:r w:rsidRPr="00E45F44">
              <w:rPr>
                <w:rFonts w:ascii="Marlett" w:hAnsi="Marlett"/>
              </w:rPr>
              <w:t></w:t>
            </w:r>
          </w:p>
        </w:tc>
        <w:tc>
          <w:tcPr>
            <w:tcW w:w="1612" w:type="dxa"/>
            <w:vAlign w:val="center"/>
          </w:tcPr>
          <w:p w:rsidR="004D348F" w:rsidRPr="00E45F44" w:rsidRDefault="004D348F" w:rsidP="004D348F">
            <w:pPr>
              <w:pStyle w:val="PwCNormal"/>
              <w:keepNext/>
              <w:keepLines/>
              <w:numPr>
                <w:ilvl w:val="0"/>
                <w:numId w:val="0"/>
              </w:numPr>
              <w:jc w:val="center"/>
            </w:pPr>
            <w:r w:rsidRPr="00E45F44">
              <w:rPr>
                <w:rFonts w:ascii="Marlett" w:hAnsi="Marlett"/>
              </w:rPr>
              <w:t></w:t>
            </w:r>
          </w:p>
        </w:tc>
      </w:tr>
      <w:tr w:rsidR="004D348F" w:rsidRPr="00E45F44" w:rsidTr="004D348F">
        <w:tc>
          <w:tcPr>
            <w:tcW w:w="1992" w:type="dxa"/>
            <w:gridSpan w:val="2"/>
          </w:tcPr>
          <w:p w:rsidR="004D348F" w:rsidRPr="00E45F44" w:rsidRDefault="004D348F" w:rsidP="004D348F">
            <w:pPr>
              <w:pStyle w:val="PwCNormal"/>
              <w:keepNext/>
              <w:keepLines/>
              <w:numPr>
                <w:ilvl w:val="0"/>
                <w:numId w:val="0"/>
              </w:numPr>
            </w:pPr>
            <w:r w:rsidRPr="00E45F44">
              <w:t xml:space="preserve">Common </w:t>
            </w:r>
            <w:r>
              <w:t>l</w:t>
            </w:r>
            <w:r w:rsidRPr="00E45F44">
              <w:t xml:space="preserve">aw </w:t>
            </w:r>
            <w:r>
              <w:t>damages</w:t>
            </w:r>
            <w:r w:rsidRPr="00E45F44">
              <w:t>*</w:t>
            </w:r>
          </w:p>
        </w:tc>
        <w:tc>
          <w:tcPr>
            <w:tcW w:w="1611" w:type="dxa"/>
            <w:vAlign w:val="center"/>
          </w:tcPr>
          <w:p w:rsidR="004D348F" w:rsidRPr="00E45F44" w:rsidRDefault="00492AB7" w:rsidP="004D348F">
            <w:pPr>
              <w:pStyle w:val="PwCNormal"/>
              <w:keepNext/>
              <w:keepLines/>
              <w:numPr>
                <w:ilvl w:val="0"/>
                <w:numId w:val="0"/>
              </w:numPr>
              <w:jc w:val="center"/>
            </w:pPr>
            <w:r w:rsidRPr="00E45F44">
              <w:rPr>
                <w:rFonts w:ascii="Marlett" w:hAnsi="Marlett"/>
              </w:rPr>
              <w:t></w:t>
            </w:r>
            <w:r w:rsidR="002943CA" w:rsidRPr="005F3B86">
              <w:t>**</w:t>
            </w:r>
          </w:p>
        </w:tc>
        <w:tc>
          <w:tcPr>
            <w:tcW w:w="1611" w:type="dxa"/>
            <w:vAlign w:val="center"/>
          </w:tcPr>
          <w:p w:rsidR="004D348F" w:rsidRPr="00E45F44" w:rsidRDefault="00492AB7" w:rsidP="004D348F">
            <w:pPr>
              <w:pStyle w:val="PwCNormal"/>
              <w:keepNext/>
              <w:keepLines/>
              <w:numPr>
                <w:ilvl w:val="0"/>
                <w:numId w:val="0"/>
              </w:numPr>
              <w:jc w:val="center"/>
            </w:pPr>
            <w:r w:rsidRPr="00E45F44">
              <w:rPr>
                <w:rFonts w:ascii="Marlett" w:hAnsi="Marlett"/>
              </w:rPr>
              <w:t></w:t>
            </w:r>
            <w:r w:rsidR="004D348F" w:rsidRPr="005F3B86">
              <w:t>**</w:t>
            </w:r>
          </w:p>
        </w:tc>
        <w:tc>
          <w:tcPr>
            <w:tcW w:w="1611" w:type="dxa"/>
            <w:vAlign w:val="center"/>
          </w:tcPr>
          <w:p w:rsidR="004D348F" w:rsidRPr="00E45F44" w:rsidRDefault="004D348F" w:rsidP="004D348F">
            <w:pPr>
              <w:pStyle w:val="PwCNormal"/>
              <w:keepNext/>
              <w:keepLines/>
              <w:numPr>
                <w:ilvl w:val="0"/>
                <w:numId w:val="0"/>
              </w:numPr>
              <w:jc w:val="center"/>
            </w:pPr>
            <w:r w:rsidRPr="00E45F44">
              <w:rPr>
                <w:rFonts w:ascii="Marlett" w:hAnsi="Marlett"/>
              </w:rPr>
              <w:t></w:t>
            </w:r>
          </w:p>
        </w:tc>
        <w:tc>
          <w:tcPr>
            <w:tcW w:w="1612" w:type="dxa"/>
            <w:vAlign w:val="center"/>
          </w:tcPr>
          <w:p w:rsidR="004D348F" w:rsidRPr="00E45F44" w:rsidRDefault="004D348F" w:rsidP="004D348F">
            <w:pPr>
              <w:pStyle w:val="PwCNormal"/>
              <w:keepNext/>
              <w:keepLines/>
              <w:numPr>
                <w:ilvl w:val="0"/>
                <w:numId w:val="0"/>
              </w:numPr>
              <w:jc w:val="center"/>
            </w:pPr>
            <w:r w:rsidRPr="00E45F44">
              <w:rPr>
                <w:rFonts w:ascii="Marlett" w:hAnsi="Marlett"/>
              </w:rPr>
              <w:t></w:t>
            </w:r>
          </w:p>
        </w:tc>
      </w:tr>
      <w:tr w:rsidR="004D348F" w:rsidRPr="00E45F44" w:rsidTr="004D348F">
        <w:tc>
          <w:tcPr>
            <w:tcW w:w="1992" w:type="dxa"/>
            <w:gridSpan w:val="2"/>
          </w:tcPr>
          <w:p w:rsidR="004D348F" w:rsidRPr="00E45F44" w:rsidRDefault="004D348F" w:rsidP="009D7A98">
            <w:pPr>
              <w:pStyle w:val="PwCNormal"/>
              <w:keepNext/>
              <w:keepLines/>
              <w:numPr>
                <w:ilvl w:val="0"/>
                <w:numId w:val="0"/>
              </w:numPr>
            </w:pPr>
            <w:r>
              <w:t>Ongoing</w:t>
            </w:r>
            <w:r w:rsidRPr="00E45F44">
              <w:t xml:space="preserve"> </w:t>
            </w:r>
            <w:r w:rsidR="009D7A98">
              <w:t>loss of earnings capacity</w:t>
            </w:r>
            <w:r w:rsidRPr="00E45F44">
              <w:t xml:space="preserve"> </w:t>
            </w:r>
            <w:r>
              <w:t>b</w:t>
            </w:r>
            <w:r w:rsidRPr="00E45F44">
              <w:t>enefits (&gt;3 years)</w:t>
            </w:r>
          </w:p>
        </w:tc>
        <w:tc>
          <w:tcPr>
            <w:tcW w:w="1611" w:type="dxa"/>
            <w:vAlign w:val="center"/>
          </w:tcPr>
          <w:p w:rsidR="004D348F" w:rsidRPr="00E45F44" w:rsidRDefault="004D348F" w:rsidP="004D348F">
            <w:pPr>
              <w:pStyle w:val="PwCNormal"/>
              <w:keepNext/>
              <w:keepLines/>
              <w:numPr>
                <w:ilvl w:val="0"/>
                <w:numId w:val="0"/>
              </w:numPr>
              <w:jc w:val="center"/>
            </w:pPr>
          </w:p>
        </w:tc>
        <w:tc>
          <w:tcPr>
            <w:tcW w:w="1611" w:type="dxa"/>
            <w:vAlign w:val="center"/>
          </w:tcPr>
          <w:p w:rsidR="004D348F" w:rsidRPr="00E45F44" w:rsidRDefault="004D348F" w:rsidP="004D348F">
            <w:pPr>
              <w:pStyle w:val="PwCNormal"/>
              <w:keepNext/>
              <w:keepLines/>
              <w:numPr>
                <w:ilvl w:val="0"/>
                <w:numId w:val="0"/>
              </w:numPr>
              <w:jc w:val="center"/>
            </w:pPr>
          </w:p>
        </w:tc>
        <w:tc>
          <w:tcPr>
            <w:tcW w:w="1611" w:type="dxa"/>
            <w:vAlign w:val="center"/>
          </w:tcPr>
          <w:p w:rsidR="004D348F" w:rsidRPr="00E45F44" w:rsidRDefault="004D348F" w:rsidP="004D348F">
            <w:pPr>
              <w:pStyle w:val="PwCNormal"/>
              <w:keepNext/>
              <w:keepLines/>
              <w:numPr>
                <w:ilvl w:val="0"/>
                <w:numId w:val="0"/>
              </w:numPr>
              <w:jc w:val="center"/>
            </w:pPr>
          </w:p>
        </w:tc>
        <w:tc>
          <w:tcPr>
            <w:tcW w:w="1612" w:type="dxa"/>
            <w:vAlign w:val="center"/>
          </w:tcPr>
          <w:p w:rsidR="004D348F" w:rsidRPr="00E45F44" w:rsidRDefault="004D348F" w:rsidP="004D348F">
            <w:pPr>
              <w:pStyle w:val="PwCNormal"/>
              <w:keepNext/>
              <w:keepLines/>
              <w:numPr>
                <w:ilvl w:val="0"/>
                <w:numId w:val="0"/>
              </w:numPr>
              <w:jc w:val="center"/>
            </w:pPr>
            <w:r w:rsidRPr="00E45F44">
              <w:rPr>
                <w:rFonts w:ascii="Marlett" w:hAnsi="Marlett"/>
              </w:rPr>
              <w:t></w:t>
            </w:r>
          </w:p>
        </w:tc>
      </w:tr>
    </w:tbl>
    <w:p w:rsidR="00250FB3" w:rsidRPr="00D60513" w:rsidRDefault="004D348F" w:rsidP="0052385A">
      <w:pPr>
        <w:pStyle w:val="Sources"/>
        <w:rPr>
          <w:color w:val="auto"/>
        </w:rPr>
      </w:pPr>
      <w:r w:rsidRPr="00D60513">
        <w:rPr>
          <w:color w:val="auto"/>
        </w:rPr>
        <w:t xml:space="preserve">* </w:t>
      </w:r>
      <w:r w:rsidR="00492AB7" w:rsidRPr="00D60513">
        <w:rPr>
          <w:color w:val="auto"/>
        </w:rPr>
        <w:t>Claimant is only eligible if they can establish negligence by another party.</w:t>
      </w:r>
      <w:r w:rsidR="00250FB3" w:rsidRPr="00D60513">
        <w:rPr>
          <w:color w:val="auto"/>
        </w:rPr>
        <w:br/>
      </w:r>
      <w:r w:rsidRPr="00D60513">
        <w:rPr>
          <w:color w:val="auto"/>
        </w:rPr>
        <w:t xml:space="preserve">** </w:t>
      </w:r>
      <w:r w:rsidR="00492AB7" w:rsidRPr="00D60513">
        <w:rPr>
          <w:color w:val="auto"/>
        </w:rPr>
        <w:t xml:space="preserve">Claimant with a WPI&lt;30 per cent may be eligible for common law damages if they satisfy the serious injury </w:t>
      </w:r>
      <w:r w:rsidRPr="00D60513">
        <w:rPr>
          <w:color w:val="auto"/>
        </w:rPr>
        <w:t>narrative criteria in the Act.</w:t>
      </w:r>
    </w:p>
    <w:p w:rsidR="00250FB3" w:rsidRPr="00250FB3" w:rsidRDefault="00250FB3" w:rsidP="0052385A">
      <w:pPr>
        <w:pStyle w:val="Sources"/>
      </w:pPr>
      <w:r>
        <w:t>Sources: TAC and PwC</w:t>
      </w:r>
    </w:p>
    <w:p w:rsidR="004D348F" w:rsidRPr="00E45F44" w:rsidRDefault="004D348F" w:rsidP="00F64763">
      <w:pPr>
        <w:pStyle w:val="Minorheading2"/>
      </w:pPr>
      <w:r>
        <w:t>Impairment</w:t>
      </w:r>
      <w:r w:rsidRPr="00C35EE0">
        <w:t xml:space="preserve"> </w:t>
      </w:r>
      <w:r>
        <w:t>a</w:t>
      </w:r>
      <w:r w:rsidRPr="00C35EE0">
        <w:t>ssessment</w:t>
      </w:r>
    </w:p>
    <w:p w:rsidR="00F64763" w:rsidRDefault="00F64763" w:rsidP="00F64763">
      <w:pPr>
        <w:pStyle w:val="PwCNormal"/>
        <w:numPr>
          <w:ilvl w:val="0"/>
          <w:numId w:val="0"/>
        </w:numPr>
      </w:pPr>
      <w:r>
        <w:t xml:space="preserve">In order to claim any of the </w:t>
      </w:r>
      <w:r w:rsidR="00F812B5">
        <w:t xml:space="preserve">additional compensation </w:t>
      </w:r>
      <w:r w:rsidR="00C913F2">
        <w:t>entitlements</w:t>
      </w:r>
      <w:r>
        <w:t xml:space="preserve"> listed above, claimants are required to obtain an assessment of their WPI caused by the transport accident. The Act requires an injured person’s impairment to be assessed in accordance with the Guides. The Guides provide a methodology where impairment scores from different organs or body systems are combined together to get an overall score of </w:t>
      </w:r>
      <w:r w:rsidR="00D63058">
        <w:t>W</w:t>
      </w:r>
      <w:r>
        <w:t xml:space="preserve">hole </w:t>
      </w:r>
      <w:r w:rsidR="00D63058">
        <w:t>P</w:t>
      </w:r>
      <w:r>
        <w:t xml:space="preserve">erson </w:t>
      </w:r>
      <w:r w:rsidR="00D63058">
        <w:t>I</w:t>
      </w:r>
      <w:r>
        <w:t xml:space="preserve">mpairment between </w:t>
      </w:r>
      <w:r w:rsidR="00A270D6">
        <w:t xml:space="preserve">zero </w:t>
      </w:r>
      <w:r>
        <w:t>per cent and 100 per cent. The WPI score is used to represent the degree of physical and psychological impairment directly caused by the transport accident, with zero per cent representing a person with minimal or no impairment and 100 per cent representing a person with catastrophic injuries.</w:t>
      </w:r>
    </w:p>
    <w:p w:rsidR="00492AB7" w:rsidRDefault="00492AB7" w:rsidP="00492AB7">
      <w:pPr>
        <w:pStyle w:val="PwCNormal"/>
        <w:numPr>
          <w:ilvl w:val="0"/>
          <w:numId w:val="0"/>
        </w:numPr>
      </w:pPr>
      <w:r>
        <w:t xml:space="preserve">The TAC assesses and determines the level of WPI based on impairment reports from accredited medical examiners. Examiners are required to successfully complete a Ministerially approved training course in the use of the Guides to be </w:t>
      </w:r>
      <w:r>
        <w:rPr>
          <w:rFonts w:ascii="Arial Unicode MS"/>
        </w:rPr>
        <w:t>‘</w:t>
      </w:r>
      <w:r>
        <w:t>accredited</w:t>
      </w:r>
      <w:r>
        <w:rPr>
          <w:rFonts w:ascii="Arial Unicode MS"/>
        </w:rPr>
        <w:t>’</w:t>
      </w:r>
      <w:r>
        <w:rPr>
          <w:rFonts w:ascii="Arial Unicode MS"/>
        </w:rPr>
        <w:t xml:space="preserve"> </w:t>
      </w:r>
      <w:r>
        <w:t>to perform an impairment assessment. The impairment assessment must be conducted after the claimant's injuries have stabilised. Claimants may have to undergo multiple impairment assessments when there are multiple injuries due to the different medical specialties required to assess the injuries.</w:t>
      </w:r>
    </w:p>
    <w:p w:rsidR="004D348F" w:rsidRDefault="00F812B5" w:rsidP="00F64763">
      <w:pPr>
        <w:pStyle w:val="Minorheading2"/>
      </w:pPr>
      <w:r>
        <w:t xml:space="preserve">Approval and payment of additional compensation </w:t>
      </w:r>
    </w:p>
    <w:p w:rsidR="004D348F" w:rsidRDefault="00492AB7" w:rsidP="004D348F">
      <w:pPr>
        <w:pStyle w:val="PwCNormal"/>
        <w:numPr>
          <w:ilvl w:val="0"/>
          <w:numId w:val="0"/>
        </w:numPr>
      </w:pPr>
      <w:r>
        <w:t>Impairment benefits and ongoing LOEC benefits are paid by the TAC based on the claimant’s WPI score. Payment is made on or soon after the date of the impairment determination. Impairment benefits involve a statutory scale of payments, meaning that the higher the WPI score, the higher the compensation levels. To qualify for ongoing LOEC benefits</w:t>
      </w:r>
      <w:r w:rsidR="00F55F9B">
        <w:t>,</w:t>
      </w:r>
      <w:r>
        <w:t xml:space="preserve"> the WPI must be 50 per cent or greater. Common law damages, on the other hand, are usually negotiated but can proceed through the Court system.</w:t>
      </w:r>
    </w:p>
    <w:p w:rsidR="004D348F" w:rsidRDefault="004D348F" w:rsidP="0078338B">
      <w:pPr>
        <w:pStyle w:val="Heading7"/>
      </w:pPr>
      <w:r>
        <w:lastRenderedPageBreak/>
        <w:t xml:space="preserve">Spinal </w:t>
      </w:r>
      <w:r w:rsidRPr="00915083">
        <w:t>assessment</w:t>
      </w:r>
    </w:p>
    <w:p w:rsidR="00492AB7" w:rsidRDefault="00492AB7" w:rsidP="00492AB7">
      <w:pPr>
        <w:pStyle w:val="PwCNormal"/>
      </w:pPr>
      <w:r w:rsidRPr="003C2EF9">
        <w:t>The Act requires that impairment assessments must be in accordance with the Guides. Section 3.3 of the Guides specifies the approach to be taken by the medical impairment examiners when assessing an impairment of the spine.</w:t>
      </w:r>
    </w:p>
    <w:p w:rsidR="004D348F" w:rsidRDefault="003C2EF9" w:rsidP="003C2EF9">
      <w:pPr>
        <w:pStyle w:val="PwCNormal"/>
      </w:pPr>
      <w:r>
        <w:t xml:space="preserve">The Guides’ preferred approach for assessing spinal impairment is the Diagnosis Related Estimate (DRE) Model, under which there are eight possible categories, ranked by the indicative level of WPI. These categories range from DRE 1 </w:t>
      </w:r>
      <w:r w:rsidR="00F55F9B">
        <w:t>(</w:t>
      </w:r>
      <w:r w:rsidR="00443E7B">
        <w:t xml:space="preserve">zero </w:t>
      </w:r>
      <w:r>
        <w:t>per cent WPI) to DRE VIII (75 per cent WPI).</w:t>
      </w:r>
      <w:r w:rsidR="00492AB7" w:rsidRPr="003C2EF9">
        <w:t>The eight categories each contain two subsections. The first subsection is entitled ‘</w:t>
      </w:r>
      <w:r w:rsidR="00492AB7" w:rsidRPr="003C2EF9">
        <w:rPr>
          <w:i/>
        </w:rPr>
        <w:t>Description and Verification</w:t>
      </w:r>
      <w:r w:rsidR="00492AB7" w:rsidRPr="003C2EF9">
        <w:t>’ that specifies medical signs of a spinal injury that must be present to justify a rating under that particular DRE category. The second subset of each category is entitled ‘</w:t>
      </w:r>
      <w:r w:rsidR="00492AB7" w:rsidRPr="003C2EF9">
        <w:rPr>
          <w:i/>
        </w:rPr>
        <w:t>Structural Inclusions’</w:t>
      </w:r>
      <w:r w:rsidR="00492AB7" w:rsidRPr="003C2EF9">
        <w:t xml:space="preserve">. </w:t>
      </w:r>
      <w:r w:rsidR="00492AB7" w:rsidRPr="00F64763">
        <w:rPr>
          <w:i/>
        </w:rPr>
        <w:t>Structural Inclusions</w:t>
      </w:r>
      <w:r w:rsidR="00492AB7" w:rsidRPr="003C2EF9">
        <w:t xml:space="preserve"> serve as an alternative impairment criteria based on spinal fractures. If a claimant has an injury which corresponds to a </w:t>
      </w:r>
      <w:r w:rsidR="00DE0D95" w:rsidRPr="00A816E4">
        <w:rPr>
          <w:i/>
        </w:rPr>
        <w:t>S</w:t>
      </w:r>
      <w:r w:rsidR="00492AB7" w:rsidRPr="00A816E4">
        <w:rPr>
          <w:i/>
        </w:rPr>
        <w:t xml:space="preserve">tructural </w:t>
      </w:r>
      <w:r w:rsidR="00DE0D95" w:rsidRPr="00A816E4">
        <w:rPr>
          <w:i/>
        </w:rPr>
        <w:t>I</w:t>
      </w:r>
      <w:r w:rsidR="00492AB7" w:rsidRPr="00A816E4">
        <w:rPr>
          <w:i/>
        </w:rPr>
        <w:t>nclusion</w:t>
      </w:r>
      <w:r w:rsidR="00F55F9B">
        <w:rPr>
          <w:i/>
        </w:rPr>
        <w:t>,</w:t>
      </w:r>
      <w:r w:rsidR="00492AB7" w:rsidRPr="003C2EF9">
        <w:t xml:space="preserve"> the injury is automatically assessed at that impairment category. </w:t>
      </w:r>
      <w:r>
        <w:t>For example, if a spinal injury has the characteristics of a DRE Category II (5 per cent WPI), but due to the presence of fractures</w:t>
      </w:r>
      <w:r w:rsidR="00F55F9B">
        <w:t>,</w:t>
      </w:r>
      <w:r>
        <w:t xml:space="preserve"> satisfies the criteria of </w:t>
      </w:r>
      <w:r w:rsidRPr="003C2EF9">
        <w:rPr>
          <w:i/>
        </w:rPr>
        <w:t>Structural Inclusion (2)</w:t>
      </w:r>
      <w:r>
        <w:t xml:space="preserve"> of DRE IV, it would automatically fall into DRE Category IV and be deemed to have a WPI of 20 per cent.</w:t>
      </w:r>
    </w:p>
    <w:p w:rsidR="004D348F" w:rsidRPr="00915083" w:rsidRDefault="004D348F" w:rsidP="0078338B">
      <w:pPr>
        <w:pStyle w:val="Heading7"/>
      </w:pPr>
      <w:r w:rsidRPr="00915083">
        <w:t>Impact of TAC v Serwylo 2010</w:t>
      </w:r>
    </w:p>
    <w:p w:rsidR="00492AB7" w:rsidRDefault="00492AB7" w:rsidP="00492AB7">
      <w:pPr>
        <w:pStyle w:val="PwCNormal"/>
      </w:pPr>
      <w:r>
        <w:t>It is not uncommon for claimants to sustain one o</w:t>
      </w:r>
      <w:r w:rsidR="00F55F9B">
        <w:t>r</w:t>
      </w:r>
      <w:r>
        <w:t xml:space="preserve"> more fractures in their spine in a transport accident due to the </w:t>
      </w:r>
      <w:r w:rsidR="00712430">
        <w:t>torsional</w:t>
      </w:r>
      <w:r>
        <w:t xml:space="preserve"> forces involved in the crash. These fractures vary in severity and can affect different parts of the vertebrae in the spine (for example, the body of the vertebra may be crushed to varying degrees, or there might be a fracture of the transverse process of a vertebra).</w:t>
      </w:r>
    </w:p>
    <w:p w:rsidR="00492AB7" w:rsidRDefault="00492AB7" w:rsidP="00492AB7">
      <w:pPr>
        <w:pStyle w:val="PwCNormal"/>
      </w:pPr>
      <w:r>
        <w:t xml:space="preserve">Prior to the Supreme Court judgment of </w:t>
      </w:r>
      <w:r>
        <w:rPr>
          <w:i/>
          <w:iCs/>
        </w:rPr>
        <w:t>Transport Accident Commission v Serwylo [2010] VSC 421</w:t>
      </w:r>
      <w:r w:rsidR="00A816E4">
        <w:rPr>
          <w:i/>
          <w:iCs/>
        </w:rPr>
        <w:t xml:space="preserve"> </w:t>
      </w:r>
      <w:r w:rsidRPr="00A816E4">
        <w:rPr>
          <w:iCs/>
        </w:rPr>
        <w:t>(Serwylo</w:t>
      </w:r>
      <w:r>
        <w:rPr>
          <w:i/>
          <w:iCs/>
        </w:rPr>
        <w:t>)</w:t>
      </w:r>
      <w:r>
        <w:t xml:space="preserve">, the impairment assessment of multiple fractures was dependent on the clinical assessment of medical examiners as to whether </w:t>
      </w:r>
      <w:r w:rsidR="00A816E4">
        <w:t xml:space="preserve">or not </w:t>
      </w:r>
      <w:r>
        <w:t>multiple fractures represented multiple levels of structural compromise</w:t>
      </w:r>
      <w:r w:rsidR="00A816E4">
        <w:t>.</w:t>
      </w:r>
      <w:r w:rsidR="00931C88">
        <w:t xml:space="preserve"> Fractures that ha</w:t>
      </w:r>
      <w:r w:rsidR="0072532D">
        <w:t>d</w:t>
      </w:r>
      <w:r w:rsidR="00931C88">
        <w:t xml:space="preserve"> the capacity to disrupt the spinal canal or impair the ability of the spine to provide postural support were rated as DRE Category IV.</w:t>
      </w:r>
    </w:p>
    <w:p w:rsidR="00492AB7" w:rsidRDefault="00492AB7" w:rsidP="00492AB7">
      <w:pPr>
        <w:pStyle w:val="PwCNormal"/>
      </w:pPr>
      <w:r>
        <w:t>In Serwylo, the claimant sustained an injury to the low</w:t>
      </w:r>
      <w:r w:rsidR="00A816E4">
        <w:t>er</w:t>
      </w:r>
      <w:r>
        <w:t xml:space="preserve"> </w:t>
      </w:r>
      <w:r w:rsidR="00F55F9B">
        <w:t xml:space="preserve">part of the </w:t>
      </w:r>
      <w:r>
        <w:t>back</w:t>
      </w:r>
      <w:r w:rsidR="00F55F9B">
        <w:t>,</w:t>
      </w:r>
      <w:r>
        <w:t xml:space="preserve"> but no spinal fractures were detected on x-ray studies performed at the time of initial treatment. Fractures of three lumbar vertebra</w:t>
      </w:r>
      <w:r w:rsidR="003C2EF9">
        <w:t>e</w:t>
      </w:r>
      <w:r>
        <w:t xml:space="preserve"> were later detected on a CT scan.</w:t>
      </w:r>
    </w:p>
    <w:p w:rsidR="00492AB7" w:rsidRDefault="00492AB7" w:rsidP="00492AB7">
      <w:pPr>
        <w:pStyle w:val="PwCNormal"/>
      </w:pPr>
      <w:r>
        <w:t xml:space="preserve">All the impairment examiners agreed there was no basis for the spinal injury to fall in the DRE Category IV </w:t>
      </w:r>
      <w:r w:rsidRPr="000C339F">
        <w:rPr>
          <w:i/>
        </w:rPr>
        <w:t xml:space="preserve">Description or Verification </w:t>
      </w:r>
      <w:r w:rsidRPr="00D9523A">
        <w:t>criteria for</w:t>
      </w:r>
      <w:r>
        <w:t xml:space="preserve"> a loss of motion segment or structural integrity.</w:t>
      </w:r>
    </w:p>
    <w:p w:rsidR="00492AB7" w:rsidRDefault="00492AB7" w:rsidP="00492AB7">
      <w:pPr>
        <w:pStyle w:val="PwCNormal"/>
      </w:pPr>
      <w:r>
        <w:t xml:space="preserve">One impairment examiner assessed that, although there were minor multiple fractures in the lumbar spine, those fractures did not represent multiple levels of </w:t>
      </w:r>
      <w:r>
        <w:rPr>
          <w:rFonts w:ascii="Arial Unicode MS"/>
        </w:rPr>
        <w:t>‘</w:t>
      </w:r>
      <w:r>
        <w:t>structural compromise</w:t>
      </w:r>
      <w:r>
        <w:rPr>
          <w:rFonts w:ascii="Arial Unicode MS"/>
        </w:rPr>
        <w:t>’</w:t>
      </w:r>
      <w:r>
        <w:rPr>
          <w:rFonts w:ascii="Arial Unicode MS"/>
        </w:rPr>
        <w:t xml:space="preserve"> </w:t>
      </w:r>
      <w:r>
        <w:t>and assessed the spinal impairment as a DRE Category II.</w:t>
      </w:r>
    </w:p>
    <w:p w:rsidR="00492AB7" w:rsidRDefault="00492AB7" w:rsidP="00492AB7">
      <w:pPr>
        <w:pStyle w:val="PwCNormal"/>
      </w:pPr>
      <w:r>
        <w:t xml:space="preserve">Other examiners assessed the minor multiple fractures on the basis </w:t>
      </w:r>
      <w:r w:rsidR="003C2EF9">
        <w:t xml:space="preserve">that </w:t>
      </w:r>
      <w:r>
        <w:t>the presence of the multiple fractures was sufficient to justify S</w:t>
      </w:r>
      <w:r w:rsidRPr="003A2232">
        <w:rPr>
          <w:i/>
        </w:rPr>
        <w:t xml:space="preserve">tructural </w:t>
      </w:r>
      <w:r w:rsidRPr="00BE17B7">
        <w:rPr>
          <w:i/>
        </w:rPr>
        <w:t>Inclusion (2)</w:t>
      </w:r>
      <w:r>
        <w:t xml:space="preserve"> of DRE Category IV which states:</w:t>
      </w:r>
    </w:p>
    <w:p w:rsidR="00492AB7" w:rsidRDefault="00492AB7" w:rsidP="00492AB7">
      <w:pPr>
        <w:pStyle w:val="PwCNormal"/>
        <w:ind w:left="720"/>
      </w:pPr>
      <w:r w:rsidRPr="004E47D5">
        <w:rPr>
          <w:i/>
        </w:rPr>
        <w:t>‘Multilevel spine segment compromise, as with fractures or dislocations,</w:t>
      </w:r>
      <w:r w:rsidR="004E47D5">
        <w:rPr>
          <w:i/>
        </w:rPr>
        <w:t xml:space="preserve"> w</w:t>
      </w:r>
      <w:r w:rsidRPr="004E47D5">
        <w:rPr>
          <w:i/>
        </w:rPr>
        <w:t>ithout residual neurologic motor compromise’</w:t>
      </w:r>
    </w:p>
    <w:p w:rsidR="00492AB7" w:rsidRDefault="00492AB7" w:rsidP="00492AB7">
      <w:pPr>
        <w:pStyle w:val="PwCNormal"/>
      </w:pPr>
      <w:r>
        <w:t xml:space="preserve">The TAC’s impairment </w:t>
      </w:r>
      <w:r w:rsidR="000E0394">
        <w:t xml:space="preserve">determination </w:t>
      </w:r>
      <w:r>
        <w:t>was the subject of a merits review at the Victorian Civil and Administrative Tribunal (</w:t>
      </w:r>
      <w:r w:rsidRPr="000D45C4">
        <w:t>VCAT</w:t>
      </w:r>
      <w:r>
        <w:t xml:space="preserve">). </w:t>
      </w:r>
      <w:r w:rsidR="00F2539A">
        <w:t>VCAT</w:t>
      </w:r>
      <w:r>
        <w:t xml:space="preserve"> held that the plain and ordinary meaning of the words </w:t>
      </w:r>
      <w:r w:rsidRPr="0078338B">
        <w:t>‘</w:t>
      </w:r>
      <w:r>
        <w:t>as with’</w:t>
      </w:r>
      <w:r>
        <w:rPr>
          <w:rFonts w:ascii="ArialUnicodeMS"/>
        </w:rPr>
        <w:t xml:space="preserve"> </w:t>
      </w:r>
      <w:r w:rsidRPr="009758EF">
        <w:t xml:space="preserve">in </w:t>
      </w:r>
      <w:r w:rsidRPr="003A2232">
        <w:rPr>
          <w:i/>
        </w:rPr>
        <w:t>Structural Inclusion</w:t>
      </w:r>
      <w:r w:rsidRPr="009758EF">
        <w:t xml:space="preserve"> </w:t>
      </w:r>
      <w:r w:rsidRPr="004E47D5">
        <w:rPr>
          <w:i/>
        </w:rPr>
        <w:t>(2)</w:t>
      </w:r>
      <w:r w:rsidRPr="009758EF">
        <w:t xml:space="preserve"> </w:t>
      </w:r>
      <w:r w:rsidRPr="00D9523A">
        <w:t>meant</w:t>
      </w:r>
      <w:r>
        <w:t xml:space="preserve"> that the presence of multiple fractures (regardless of severity) automatically satisfies the requirements of DRE Category IV.</w:t>
      </w:r>
    </w:p>
    <w:p w:rsidR="00492AB7" w:rsidRDefault="00492AB7" w:rsidP="00492AB7">
      <w:pPr>
        <w:pStyle w:val="PwCNormal"/>
      </w:pPr>
      <w:r>
        <w:t>On appeal, the Supreme Court upheld the Tribunal’s interpretation.</w:t>
      </w:r>
    </w:p>
    <w:p w:rsidR="00492AB7" w:rsidRPr="00D40F25" w:rsidRDefault="00492AB7" w:rsidP="00492AB7">
      <w:pPr>
        <w:pStyle w:val="FootnoteText"/>
        <w:tabs>
          <w:tab w:val="clear" w:pos="284"/>
        </w:tabs>
        <w:ind w:left="0" w:firstLine="0"/>
        <w:rPr>
          <w:sz w:val="20"/>
        </w:rPr>
      </w:pPr>
      <w:r w:rsidRPr="00D40F25">
        <w:rPr>
          <w:sz w:val="20"/>
        </w:rPr>
        <w:t xml:space="preserve">As a consequence, the presence of multiple fractures in a region of the spine is now deemed sufficient to automatically justify an impairment assessment of DRE </w:t>
      </w:r>
      <w:r w:rsidR="000C3AC5">
        <w:rPr>
          <w:sz w:val="20"/>
        </w:rPr>
        <w:t>C</w:t>
      </w:r>
      <w:r w:rsidRPr="00D40F25">
        <w:rPr>
          <w:sz w:val="20"/>
        </w:rPr>
        <w:t xml:space="preserve">ategory IV (representing 20 per cent WPI), regardless of any consideration as to whether the particular types of fractures are actually causing multi-level compromise to the spine. In other words, </w:t>
      </w:r>
      <w:r w:rsidRPr="004E47D5">
        <w:rPr>
          <w:i/>
          <w:sz w:val="20"/>
        </w:rPr>
        <w:lastRenderedPageBreak/>
        <w:t>Structural</w:t>
      </w:r>
      <w:r w:rsidRPr="00D40F25">
        <w:rPr>
          <w:i/>
          <w:sz w:val="20"/>
        </w:rPr>
        <w:t xml:space="preserve"> Inclusion</w:t>
      </w:r>
      <w:r w:rsidRPr="00D40F25">
        <w:rPr>
          <w:sz w:val="20"/>
        </w:rPr>
        <w:t xml:space="preserve"> </w:t>
      </w:r>
      <w:r w:rsidRPr="004E47D5">
        <w:rPr>
          <w:i/>
          <w:sz w:val="20"/>
        </w:rPr>
        <w:t>(2)</w:t>
      </w:r>
      <w:r w:rsidRPr="00D40F25">
        <w:rPr>
          <w:sz w:val="20"/>
        </w:rPr>
        <w:t xml:space="preserve"> of DRE Category IV provides a gateway for a </w:t>
      </w:r>
      <w:r w:rsidR="000C3AC5">
        <w:rPr>
          <w:sz w:val="20"/>
        </w:rPr>
        <w:t>claimant</w:t>
      </w:r>
      <w:r w:rsidR="000C3AC5" w:rsidRPr="00D40F25">
        <w:rPr>
          <w:sz w:val="20"/>
        </w:rPr>
        <w:t xml:space="preserve"> </w:t>
      </w:r>
      <w:r w:rsidRPr="00D40F25">
        <w:rPr>
          <w:sz w:val="20"/>
        </w:rPr>
        <w:t>who sustains spinal fractures (of even the most minor kind) that may not be indicative of physical impairment, to be classified as significantly impaired for compensation purposes.</w:t>
      </w:r>
    </w:p>
    <w:p w:rsidR="00492AB7" w:rsidRPr="004835BF" w:rsidRDefault="00492AB7" w:rsidP="00492AB7">
      <w:pPr>
        <w:pStyle w:val="FootnoteText"/>
        <w:tabs>
          <w:tab w:val="clear" w:pos="284"/>
        </w:tabs>
        <w:ind w:left="0" w:firstLine="0"/>
      </w:pPr>
      <w:r>
        <w:rPr>
          <w:sz w:val="20"/>
        </w:rPr>
        <w:t>For example, there</w:t>
      </w:r>
      <w:r w:rsidRPr="004835BF">
        <w:rPr>
          <w:sz w:val="20"/>
        </w:rPr>
        <w:t xml:space="preserve"> are several fracture types that, prior to Serwylo, were rarely considered by examiners to cause ‘structural compromise’, such as microt</w:t>
      </w:r>
      <w:r w:rsidR="00353DD6">
        <w:rPr>
          <w:sz w:val="20"/>
        </w:rPr>
        <w:t>r</w:t>
      </w:r>
      <w:r w:rsidRPr="004835BF">
        <w:rPr>
          <w:sz w:val="20"/>
        </w:rPr>
        <w:t xml:space="preserve">abecular fractures (microscopic fractures detected </w:t>
      </w:r>
      <w:r>
        <w:rPr>
          <w:sz w:val="20"/>
        </w:rPr>
        <w:t>only by</w:t>
      </w:r>
      <w:r w:rsidRPr="004835BF">
        <w:rPr>
          <w:sz w:val="20"/>
        </w:rPr>
        <w:t xml:space="preserve"> MRI), or fractures of the transverse and spinous process of a vertebra.</w:t>
      </w:r>
    </w:p>
    <w:p w:rsidR="00492AB7" w:rsidRPr="004835BF" w:rsidRDefault="00492AB7" w:rsidP="00492AB7">
      <w:pPr>
        <w:pStyle w:val="FootnoteText"/>
      </w:pPr>
      <w:r w:rsidRPr="004835BF">
        <w:rPr>
          <w:sz w:val="20"/>
        </w:rPr>
        <w:t>After Serwylo, even these most minor fracture types now justify a DRE Category IV.</w:t>
      </w:r>
    </w:p>
    <w:p w:rsidR="000B4247" w:rsidRDefault="00492AB7" w:rsidP="00492AB7">
      <w:pPr>
        <w:pStyle w:val="PwCNormal"/>
      </w:pPr>
      <w:r>
        <w:t>It has also been the TAC’s experience that</w:t>
      </w:r>
      <w:r w:rsidR="00274189">
        <w:t xml:space="preserve"> the</w:t>
      </w:r>
      <w:r>
        <w:t xml:space="preserve"> routine use of MRI and CT scans in clinical treatment </w:t>
      </w:r>
      <w:r w:rsidR="00BE17B7">
        <w:t>is</w:t>
      </w:r>
      <w:r>
        <w:t xml:space="preserve"> detecting many minor fractures. These were not previously detectable on plain x-ray studies. The presence of minor fractures may not have been fully considered by the authors of the Guides as MRI and CT scans were not routine when the Guides were written.</w:t>
      </w:r>
    </w:p>
    <w:p w:rsidR="004D348F" w:rsidRPr="00915083" w:rsidRDefault="004D348F" w:rsidP="0078338B">
      <w:pPr>
        <w:pStyle w:val="Heading7"/>
      </w:pPr>
      <w:r w:rsidRPr="00915083">
        <w:t xml:space="preserve">Spinal </w:t>
      </w:r>
      <w:r w:rsidR="00492AB7">
        <w:t>surgery</w:t>
      </w:r>
    </w:p>
    <w:p w:rsidR="00492AB7" w:rsidRDefault="00492AB7" w:rsidP="00492AB7">
      <w:pPr>
        <w:pStyle w:val="PwCNormal"/>
      </w:pPr>
      <w:r>
        <w:t xml:space="preserve">There are various types of spinal surgeries performed to treat spinal injuries. They can range from discectomy </w:t>
      </w:r>
      <w:r w:rsidR="00611D84">
        <w:t>and</w:t>
      </w:r>
      <w:r>
        <w:t xml:space="preserve"> laminectomy to more significant procedures such as spinal fusions.</w:t>
      </w:r>
    </w:p>
    <w:p w:rsidR="00492AB7" w:rsidRDefault="00492AB7" w:rsidP="00492AB7">
      <w:pPr>
        <w:pStyle w:val="PwCNormal"/>
      </w:pPr>
      <w:r>
        <w:t>A spinal fusion involves the joining of two bones (vertebrae) in the spine so that there is no movement between them.</w:t>
      </w:r>
      <w:r>
        <w:rPr>
          <w:rFonts w:eastAsia="Georgia" w:cs="Georgia"/>
          <w:sz w:val="21"/>
          <w:szCs w:val="21"/>
          <w:vertAlign w:val="superscript"/>
        </w:rPr>
        <w:footnoteReference w:id="26"/>
      </w:r>
    </w:p>
    <w:p w:rsidR="00492AB7" w:rsidRDefault="00492AB7" w:rsidP="00492AB7">
      <w:pPr>
        <w:pStyle w:val="PwCNormal"/>
      </w:pPr>
      <w:r>
        <w:t xml:space="preserve">Many spinal surgeries involve procedures </w:t>
      </w:r>
      <w:r w:rsidR="00BE17B7">
        <w:t>that</w:t>
      </w:r>
      <w:r>
        <w:t xml:space="preserve"> have some effect on the bony parts of the spine, and may include cutting or drilling bone, or insertion of stabilising screws or plates.</w:t>
      </w:r>
    </w:p>
    <w:p w:rsidR="00492AB7" w:rsidRDefault="00492AB7" w:rsidP="00492AB7">
      <w:pPr>
        <w:pStyle w:val="PwCNormal"/>
      </w:pPr>
      <w:r>
        <w:t xml:space="preserve">Many examiners now express the view in their impairment reports that spinal surgery does something to bone that is the equivalent to a fracture. The examiners then conclude that spinal surgery is the equivalent of multiple fractures under </w:t>
      </w:r>
      <w:r w:rsidRPr="004E47D5">
        <w:rPr>
          <w:i/>
        </w:rPr>
        <w:t>Structural Inclusion (2)</w:t>
      </w:r>
      <w:r>
        <w:t xml:space="preserve"> of DRE Category IV</w:t>
      </w:r>
      <w:r w:rsidR="00BE17B7">
        <w:t>,</w:t>
      </w:r>
      <w:r w:rsidRPr="00CD591B">
        <w:t xml:space="preserve"> </w:t>
      </w:r>
      <w:r>
        <w:t>which justifies a higher WPI score.</w:t>
      </w:r>
    </w:p>
    <w:p w:rsidR="00492AB7" w:rsidRDefault="00492AB7" w:rsidP="00492AB7">
      <w:pPr>
        <w:pStyle w:val="PwCNormal"/>
      </w:pPr>
      <w:r>
        <w:t>Some examiners are also of the opinion that a fusion of two or more motion segments represents multiple levels of motion segment compromise and that a rating of DRE Category IV should be given.</w:t>
      </w:r>
    </w:p>
    <w:p w:rsidR="004D348F" w:rsidRDefault="00492AB7" w:rsidP="00492AB7">
      <w:pPr>
        <w:pStyle w:val="PwCNormal"/>
      </w:pPr>
      <w:r>
        <w:t>Primarily, the higher assessments claimed for spinal surgery will affect the level of impairment benefits payable and the entitlement to receive ongoing LOEC benefits. The TAC has advised that it will usually grant a serious injury certificate to a claimant who has had a spinal fusion</w:t>
      </w:r>
      <w:r w:rsidR="000C3AC5">
        <w:t>, meaning</w:t>
      </w:r>
      <w:r w:rsidR="00305677">
        <w:t xml:space="preserve"> </w:t>
      </w:r>
      <w:r w:rsidR="000C3AC5">
        <w:t>t</w:t>
      </w:r>
      <w:r>
        <w:t xml:space="preserve">he claimant will be able to access common law damages without having to satisfy the 30 per cent WPI criteria or rely on </w:t>
      </w:r>
      <w:r w:rsidRPr="009758EF">
        <w:rPr>
          <w:i/>
        </w:rPr>
        <w:t>Structural Inclusion</w:t>
      </w:r>
      <w:r>
        <w:t xml:space="preserve"> </w:t>
      </w:r>
      <w:r w:rsidRPr="004E47D5">
        <w:rPr>
          <w:i/>
        </w:rPr>
        <w:t>(2)</w:t>
      </w:r>
      <w:r>
        <w:t xml:space="preserve"> of DRE Category IV</w:t>
      </w:r>
      <w:r w:rsidR="00F55F9B">
        <w:t>.</w:t>
      </w:r>
      <w:r w:rsidR="000C3AC5" w:rsidRPr="000C3AC5">
        <w:rPr>
          <w:rStyle w:val="FootnoteReference"/>
        </w:rPr>
        <w:t xml:space="preserve"> </w:t>
      </w:r>
      <w:r w:rsidR="000C3AC5">
        <w:rPr>
          <w:rStyle w:val="FootnoteReference"/>
        </w:rPr>
        <w:footnoteReference w:id="27"/>
      </w:r>
    </w:p>
    <w:p w:rsidR="005E3B6F" w:rsidRDefault="004D348F" w:rsidP="005E3B6F">
      <w:pPr>
        <w:pStyle w:val="Heading6"/>
      </w:pPr>
      <w:r w:rsidRPr="00915083">
        <w:t>The problem considered in this RIS</w:t>
      </w:r>
    </w:p>
    <w:p w:rsidR="00492AB7" w:rsidRDefault="00492AB7" w:rsidP="00492AB7">
      <w:pPr>
        <w:pStyle w:val="PwCNormal"/>
      </w:pPr>
      <w:r>
        <w:t xml:space="preserve">The problem considered in this RIS is the broad and inclusive language used in </w:t>
      </w:r>
      <w:r w:rsidRPr="004E47D5">
        <w:rPr>
          <w:i/>
        </w:rPr>
        <w:t>Structural Inclusion (2)</w:t>
      </w:r>
      <w:r>
        <w:t xml:space="preserve"> of DRE Category IV of the Guides</w:t>
      </w:r>
      <w:r w:rsidR="00F55F9B">
        <w:t>.</w:t>
      </w:r>
    </w:p>
    <w:p w:rsidR="00492AB7" w:rsidRDefault="00492AB7" w:rsidP="00492AB7">
      <w:pPr>
        <w:pStyle w:val="PwCNormal"/>
      </w:pPr>
      <w:r>
        <w:t>The Act requires that the Guides are to be used to provide consistency and certainty in the assessment of impairment following a transport accident. The Guides are intended to be an objective and equitable way of determining an injured person</w:t>
      </w:r>
      <w:r>
        <w:rPr>
          <w:rFonts w:ascii="Arial Unicode MS"/>
        </w:rPr>
        <w:t>’</w:t>
      </w:r>
      <w:r>
        <w:t>s level of compensation.</w:t>
      </w:r>
    </w:p>
    <w:p w:rsidR="00492AB7" w:rsidRDefault="00492AB7" w:rsidP="00492AB7">
      <w:pPr>
        <w:pStyle w:val="PwCNormal"/>
      </w:pPr>
      <w:r>
        <w:t xml:space="preserve">However the application of </w:t>
      </w:r>
      <w:r>
        <w:rPr>
          <w:i/>
          <w:iCs/>
        </w:rPr>
        <w:t>Structural Inclusion (2)</w:t>
      </w:r>
      <w:r>
        <w:t xml:space="preserve"> of DRE Category IV post</w:t>
      </w:r>
      <w:r w:rsidR="00305677">
        <w:t>-</w:t>
      </w:r>
      <w:r>
        <w:t>Serwylo directly conflicts</w:t>
      </w:r>
      <w:r w:rsidR="00F55F9B">
        <w:t xml:space="preserve"> with</w:t>
      </w:r>
      <w:r>
        <w:t xml:space="preserve"> this rationale,</w:t>
      </w:r>
      <w:r w:rsidRPr="00693579">
        <w:t xml:space="preserve"> as it permits minor spinal fractures that result in little or no structural impairment to rate disproportionally higher than the level of impairment that the injury actual</w:t>
      </w:r>
      <w:r w:rsidR="00305677">
        <w:t>ly</w:t>
      </w:r>
      <w:r w:rsidRPr="00693579">
        <w:t xml:space="preserve"> causes. </w:t>
      </w:r>
      <w:r>
        <w:t xml:space="preserve">As explained above, the use of the words </w:t>
      </w:r>
      <w:r>
        <w:rPr>
          <w:rFonts w:ascii="Arial Unicode MS"/>
        </w:rPr>
        <w:t>“</w:t>
      </w:r>
      <w:r>
        <w:rPr>
          <w:i/>
          <w:iCs/>
        </w:rPr>
        <w:t>as with</w:t>
      </w:r>
      <w:r>
        <w:rPr>
          <w:rFonts w:ascii="Arial Unicode MS"/>
        </w:rPr>
        <w:t>”</w:t>
      </w:r>
      <w:r>
        <w:rPr>
          <w:rFonts w:ascii="Arial Unicode MS"/>
        </w:rPr>
        <w:t xml:space="preserve"> </w:t>
      </w:r>
      <w:r>
        <w:t>in the Guides has created a situation where any type of fracture necessarily equate</w:t>
      </w:r>
      <w:r w:rsidR="00F55F9B">
        <w:t>s</w:t>
      </w:r>
      <w:r>
        <w:t xml:space="preserve"> to multilevel spine </w:t>
      </w:r>
      <w:r>
        <w:lastRenderedPageBreak/>
        <w:t xml:space="preserve">segment structural compromise. </w:t>
      </w:r>
      <w:r>
        <w:rPr>
          <w:i/>
          <w:iCs/>
        </w:rPr>
        <w:t>Structural Inclusion (2)</w:t>
      </w:r>
      <w:r>
        <w:t xml:space="preserve"> was previously regarded by examiners to imply that fractures and dislocations are potential causes of multilevel structural compromise, as opposed to precursors.</w:t>
      </w:r>
      <w:r w:rsidR="005E3B6F">
        <w:rPr>
          <w:rStyle w:val="FootnoteReference"/>
        </w:rPr>
        <w:footnoteReference w:id="28"/>
      </w:r>
    </w:p>
    <w:p w:rsidR="00891358" w:rsidRPr="005A638D" w:rsidRDefault="00087003" w:rsidP="00891358">
      <w:pPr>
        <w:pStyle w:val="PwCNormal"/>
        <w:numPr>
          <w:ilvl w:val="0"/>
          <w:numId w:val="0"/>
        </w:numPr>
      </w:pPr>
      <w:r w:rsidRPr="005A638D">
        <w:t>Following Serwylo</w:t>
      </w:r>
      <w:r w:rsidR="005E3B6F" w:rsidRPr="005A638D">
        <w:t>,</w:t>
      </w:r>
      <w:r w:rsidRPr="005A638D">
        <w:t xml:space="preserve"> </w:t>
      </w:r>
      <w:r w:rsidR="00891358" w:rsidRPr="005A638D">
        <w:t>all claimants with multiple spinal fractures irrespective of the severity of the fractures are placed on equivalent compensation levels. Some spinal fractures are microscopic and result in little or no structural consequences to the spine. Therefore, claimants displaying the same number of spinal fractures may be at highly varying levels of impairment. The application of what is effectively a ‘form over substance’ criteria for assessing spinal fractures does not appear to have a medical basis and is inequitable.</w:t>
      </w:r>
    </w:p>
    <w:p w:rsidR="004D348F" w:rsidRDefault="005E3B6F" w:rsidP="00891358">
      <w:pPr>
        <w:pStyle w:val="PwCNormal"/>
        <w:numPr>
          <w:ilvl w:val="0"/>
          <w:numId w:val="0"/>
        </w:numPr>
      </w:pPr>
      <w:r w:rsidRPr="005A638D">
        <w:t xml:space="preserve">More broadly, </w:t>
      </w:r>
      <w:r w:rsidR="00891358" w:rsidRPr="005A638D">
        <w:t>a claimant who has multiple spinal fractures (even where microscopic) is now assessed at the same level of compensation as a claimant who is more severely</w:t>
      </w:r>
      <w:r w:rsidR="00891358" w:rsidRPr="007221A3">
        <w:t xml:space="preserve"> impaired from a non-spinal related injury (such as a serious brain injury).</w:t>
      </w:r>
    </w:p>
    <w:p w:rsidR="004D348F" w:rsidRDefault="004D348F" w:rsidP="004D348F">
      <w:pPr>
        <w:pStyle w:val="PwCNormal"/>
        <w:numPr>
          <w:ilvl w:val="0"/>
          <w:numId w:val="0"/>
        </w:numPr>
      </w:pPr>
      <w:r>
        <w:t>These inequities can be summarised using the hypothetical example</w:t>
      </w:r>
      <w:r w:rsidR="005E3B6F">
        <w:t>s</w:t>
      </w:r>
      <w:r w:rsidR="00952B45">
        <w:t xml:space="preserve"> outlined in </w:t>
      </w:r>
      <w:r w:rsidR="00952B45">
        <w:fldChar w:fldCharType="begin"/>
      </w:r>
      <w:r w:rsidR="00952B45">
        <w:instrText xml:space="preserve"> REF _Ref387650081 \h </w:instrText>
      </w:r>
      <w:r w:rsidR="00952B45">
        <w:fldChar w:fldCharType="separate"/>
      </w:r>
      <w:r w:rsidR="00542564" w:rsidRPr="004E0C44">
        <w:t xml:space="preserve">Table </w:t>
      </w:r>
      <w:r w:rsidR="00542564">
        <w:rPr>
          <w:noProof/>
        </w:rPr>
        <w:t>5</w:t>
      </w:r>
      <w:r w:rsidR="00952B45">
        <w:fldChar w:fldCharType="end"/>
      </w:r>
      <w:r>
        <w:t>.</w:t>
      </w:r>
    </w:p>
    <w:p w:rsidR="00B93E0B" w:rsidRDefault="00B93E0B" w:rsidP="00B93E0B">
      <w:pPr>
        <w:pStyle w:val="Caption"/>
      </w:pPr>
      <w:bookmarkStart w:id="37" w:name="_Ref387650081"/>
      <w:r w:rsidRPr="004E0C44">
        <w:t xml:space="preserve">Table </w:t>
      </w:r>
      <w:fldSimple w:instr=" SEQ Table \* ARABIC ">
        <w:r w:rsidR="00542564">
          <w:rPr>
            <w:noProof/>
          </w:rPr>
          <w:t>5</w:t>
        </w:r>
      </w:fldSimple>
      <w:bookmarkEnd w:id="37"/>
      <w:r w:rsidRPr="004E0C44">
        <w:t xml:space="preserve">: Example of </w:t>
      </w:r>
      <w:r w:rsidR="00087003">
        <w:t>post Serwylo impairment assessments by injury type</w:t>
      </w:r>
    </w:p>
    <w:tbl>
      <w:tblPr>
        <w:tblStyle w:val="Tables-APBase"/>
        <w:tblW w:w="5000" w:type="pct"/>
        <w:tblLayout w:type="fixed"/>
        <w:tblLook w:val="04A0" w:firstRow="1" w:lastRow="0" w:firstColumn="1" w:lastColumn="0" w:noHBand="0" w:noVBand="1"/>
      </w:tblPr>
      <w:tblGrid>
        <w:gridCol w:w="4928"/>
        <w:gridCol w:w="1701"/>
        <w:gridCol w:w="1808"/>
      </w:tblGrid>
      <w:tr w:rsidR="004D348F" w:rsidRPr="007A3AFB" w:rsidTr="004D348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928" w:type="dxa"/>
            <w:vAlign w:val="center"/>
          </w:tcPr>
          <w:p w:rsidR="004D348F" w:rsidRPr="0052385A" w:rsidRDefault="004D348F" w:rsidP="0052385A">
            <w:pPr>
              <w:pStyle w:val="TableColumnHeadingNormal"/>
              <w:jc w:val="both"/>
              <w:rPr>
                <w:rFonts w:asciiTheme="minorHAnsi" w:hAnsiTheme="minorHAnsi" w:cstheme="minorHAnsi"/>
                <w:sz w:val="16"/>
                <w:szCs w:val="16"/>
              </w:rPr>
            </w:pPr>
            <w:r w:rsidRPr="0052385A">
              <w:rPr>
                <w:rFonts w:asciiTheme="minorHAnsi" w:hAnsiTheme="minorHAnsi" w:cstheme="minorHAnsi"/>
                <w:sz w:val="16"/>
                <w:szCs w:val="16"/>
              </w:rPr>
              <w:t>Characteristics of injured person</w:t>
            </w:r>
          </w:p>
        </w:tc>
        <w:tc>
          <w:tcPr>
            <w:tcW w:w="1701" w:type="dxa"/>
            <w:vAlign w:val="center"/>
          </w:tcPr>
          <w:p w:rsidR="004D348F" w:rsidRPr="0052385A" w:rsidRDefault="004D348F" w:rsidP="004D348F">
            <w:pPr>
              <w:pStyle w:val="TableColumnHeadingNormal"/>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2385A">
              <w:rPr>
                <w:rFonts w:asciiTheme="minorHAnsi" w:hAnsiTheme="minorHAnsi" w:cstheme="minorHAnsi"/>
                <w:sz w:val="16"/>
                <w:szCs w:val="16"/>
              </w:rPr>
              <w:t>Actual level of impairment</w:t>
            </w:r>
            <w:r w:rsidRPr="0052385A">
              <w:rPr>
                <w:rStyle w:val="FootnoteReference"/>
                <w:rFonts w:asciiTheme="minorHAnsi" w:hAnsiTheme="minorHAnsi" w:cstheme="minorHAnsi"/>
                <w:sz w:val="16"/>
                <w:szCs w:val="16"/>
              </w:rPr>
              <w:footnoteReference w:id="29"/>
            </w:r>
          </w:p>
        </w:tc>
        <w:tc>
          <w:tcPr>
            <w:tcW w:w="1808" w:type="dxa"/>
            <w:vAlign w:val="center"/>
          </w:tcPr>
          <w:p w:rsidR="004D348F" w:rsidRPr="0052385A" w:rsidRDefault="004D348F" w:rsidP="004D348F">
            <w:pPr>
              <w:pStyle w:val="TableColumnHeadingNormal"/>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2385A">
              <w:rPr>
                <w:rFonts w:asciiTheme="minorHAnsi" w:hAnsiTheme="minorHAnsi" w:cstheme="minorHAnsi"/>
                <w:sz w:val="16"/>
                <w:szCs w:val="16"/>
              </w:rPr>
              <w:t>WPI (as assessed post-Serwylo)</w:t>
            </w:r>
          </w:p>
        </w:tc>
      </w:tr>
      <w:tr w:rsidR="004D348F" w:rsidRPr="007A3AFB" w:rsidTr="004D348F">
        <w:tc>
          <w:tcPr>
            <w:tcW w:w="4928" w:type="dxa"/>
          </w:tcPr>
          <w:p w:rsidR="004D348F" w:rsidRPr="0052385A" w:rsidRDefault="004D348F" w:rsidP="004D348F">
            <w:pPr>
              <w:pStyle w:val="TableTextNormal"/>
              <w:keepNext/>
              <w:keepLines/>
              <w:rPr>
                <w:rFonts w:asciiTheme="minorHAnsi" w:hAnsiTheme="minorHAnsi" w:cstheme="minorHAnsi"/>
                <w:sz w:val="16"/>
                <w:szCs w:val="16"/>
              </w:rPr>
            </w:pPr>
            <w:r w:rsidRPr="0052385A">
              <w:rPr>
                <w:rFonts w:asciiTheme="minorHAnsi" w:hAnsiTheme="minorHAnsi" w:cstheme="minorHAnsi"/>
                <w:sz w:val="16"/>
                <w:szCs w:val="16"/>
              </w:rPr>
              <w:t>Non-significant non-spinal injury</w:t>
            </w:r>
          </w:p>
        </w:tc>
        <w:tc>
          <w:tcPr>
            <w:tcW w:w="1701" w:type="dxa"/>
            <w:vAlign w:val="center"/>
          </w:tcPr>
          <w:p w:rsidR="004D348F" w:rsidRPr="0052385A" w:rsidRDefault="00881C35" w:rsidP="004D348F">
            <w:pPr>
              <w:pStyle w:val="TableTextNormal"/>
              <w:keepNext/>
              <w:keepLines/>
              <w:ind w:left="284"/>
              <w:jc w:val="center"/>
              <w:rPr>
                <w:rFonts w:asciiTheme="minorHAnsi" w:hAnsiTheme="minorHAnsi" w:cstheme="minorHAnsi"/>
                <w:sz w:val="16"/>
                <w:szCs w:val="16"/>
              </w:rPr>
            </w:pPr>
            <w:r>
              <w:rPr>
                <w:rFonts w:asciiTheme="minorHAnsi" w:hAnsiTheme="minorHAnsi" w:cstheme="minorHAnsi"/>
                <w:sz w:val="16"/>
                <w:szCs w:val="16"/>
              </w:rPr>
              <w:t>5</w:t>
            </w:r>
            <w:r w:rsidR="004D348F" w:rsidRPr="0052385A">
              <w:rPr>
                <w:rFonts w:asciiTheme="minorHAnsi" w:hAnsiTheme="minorHAnsi" w:cstheme="minorHAnsi"/>
                <w:sz w:val="16"/>
                <w:szCs w:val="16"/>
              </w:rPr>
              <w:t>%</w:t>
            </w:r>
          </w:p>
        </w:tc>
        <w:tc>
          <w:tcPr>
            <w:tcW w:w="1808" w:type="dxa"/>
            <w:vAlign w:val="center"/>
          </w:tcPr>
          <w:p w:rsidR="004D348F" w:rsidRPr="0052385A" w:rsidRDefault="00881C35" w:rsidP="004D348F">
            <w:pPr>
              <w:pStyle w:val="TableTextNormal"/>
              <w:keepNext/>
              <w:keepLines/>
              <w:ind w:left="284"/>
              <w:jc w:val="center"/>
              <w:rPr>
                <w:rFonts w:asciiTheme="minorHAnsi" w:hAnsiTheme="minorHAnsi" w:cstheme="minorHAnsi"/>
                <w:sz w:val="16"/>
                <w:szCs w:val="16"/>
              </w:rPr>
            </w:pPr>
            <w:r>
              <w:rPr>
                <w:rFonts w:asciiTheme="minorHAnsi" w:hAnsiTheme="minorHAnsi" w:cstheme="minorHAnsi"/>
                <w:sz w:val="16"/>
                <w:szCs w:val="16"/>
              </w:rPr>
              <w:t>5</w:t>
            </w:r>
            <w:r w:rsidR="004D348F" w:rsidRPr="0052385A">
              <w:rPr>
                <w:rFonts w:asciiTheme="minorHAnsi" w:hAnsiTheme="minorHAnsi" w:cstheme="minorHAnsi"/>
                <w:sz w:val="16"/>
                <w:szCs w:val="16"/>
              </w:rPr>
              <w:t>%</w:t>
            </w:r>
          </w:p>
        </w:tc>
      </w:tr>
      <w:tr w:rsidR="004D348F" w:rsidRPr="007A3AFB" w:rsidTr="004D348F">
        <w:tc>
          <w:tcPr>
            <w:tcW w:w="4928" w:type="dxa"/>
          </w:tcPr>
          <w:p w:rsidR="004D348F" w:rsidRPr="0052385A" w:rsidRDefault="004D348F" w:rsidP="004D348F">
            <w:pPr>
              <w:pStyle w:val="TableTextNormal"/>
              <w:keepNext/>
              <w:keepLines/>
              <w:rPr>
                <w:rFonts w:asciiTheme="minorHAnsi" w:hAnsiTheme="minorHAnsi" w:cstheme="minorHAnsi"/>
                <w:sz w:val="16"/>
                <w:szCs w:val="16"/>
              </w:rPr>
            </w:pPr>
            <w:r w:rsidRPr="0052385A">
              <w:rPr>
                <w:rFonts w:asciiTheme="minorHAnsi" w:hAnsiTheme="minorHAnsi" w:cstheme="minorHAnsi"/>
                <w:sz w:val="16"/>
                <w:szCs w:val="16"/>
              </w:rPr>
              <w:t>Significant non-spinal injury</w:t>
            </w:r>
          </w:p>
        </w:tc>
        <w:tc>
          <w:tcPr>
            <w:tcW w:w="1701" w:type="dxa"/>
            <w:vAlign w:val="center"/>
          </w:tcPr>
          <w:p w:rsidR="004D348F" w:rsidRPr="0052385A" w:rsidRDefault="004D348F" w:rsidP="004D348F">
            <w:pPr>
              <w:pStyle w:val="TableTextNormal"/>
              <w:keepNext/>
              <w:keepLines/>
              <w:ind w:left="284"/>
              <w:jc w:val="center"/>
              <w:rPr>
                <w:rFonts w:asciiTheme="minorHAnsi" w:hAnsiTheme="minorHAnsi" w:cstheme="minorHAnsi"/>
                <w:sz w:val="16"/>
                <w:szCs w:val="16"/>
              </w:rPr>
            </w:pPr>
            <w:r w:rsidRPr="0052385A">
              <w:rPr>
                <w:rFonts w:asciiTheme="minorHAnsi" w:hAnsiTheme="minorHAnsi" w:cstheme="minorHAnsi"/>
                <w:sz w:val="16"/>
                <w:szCs w:val="16"/>
              </w:rPr>
              <w:t>20%</w:t>
            </w:r>
          </w:p>
        </w:tc>
        <w:tc>
          <w:tcPr>
            <w:tcW w:w="1808" w:type="dxa"/>
            <w:vAlign w:val="center"/>
          </w:tcPr>
          <w:p w:rsidR="004D348F" w:rsidRPr="0052385A" w:rsidRDefault="004D348F" w:rsidP="004D348F">
            <w:pPr>
              <w:pStyle w:val="TableTextNormal"/>
              <w:keepNext/>
              <w:keepLines/>
              <w:ind w:left="284"/>
              <w:jc w:val="center"/>
              <w:rPr>
                <w:rFonts w:asciiTheme="minorHAnsi" w:hAnsiTheme="minorHAnsi" w:cstheme="minorHAnsi"/>
                <w:sz w:val="16"/>
                <w:szCs w:val="16"/>
              </w:rPr>
            </w:pPr>
            <w:r w:rsidRPr="0052385A">
              <w:rPr>
                <w:rFonts w:asciiTheme="minorHAnsi" w:hAnsiTheme="minorHAnsi" w:cstheme="minorHAnsi"/>
                <w:sz w:val="16"/>
                <w:szCs w:val="16"/>
              </w:rPr>
              <w:t>20%</w:t>
            </w:r>
          </w:p>
        </w:tc>
      </w:tr>
      <w:tr w:rsidR="004D348F" w:rsidRPr="007A3AFB" w:rsidTr="004D348F">
        <w:tc>
          <w:tcPr>
            <w:tcW w:w="4928" w:type="dxa"/>
          </w:tcPr>
          <w:p w:rsidR="004D348F" w:rsidRPr="0052385A" w:rsidRDefault="004D348F" w:rsidP="00626524">
            <w:pPr>
              <w:pStyle w:val="TableTextNormal"/>
              <w:keepNext/>
              <w:keepLines/>
              <w:rPr>
                <w:rFonts w:asciiTheme="minorHAnsi" w:hAnsiTheme="minorHAnsi" w:cstheme="minorHAnsi"/>
                <w:sz w:val="16"/>
                <w:szCs w:val="16"/>
              </w:rPr>
            </w:pPr>
            <w:r w:rsidRPr="0052385A">
              <w:rPr>
                <w:rFonts w:asciiTheme="minorHAnsi" w:hAnsiTheme="minorHAnsi" w:cstheme="minorHAnsi"/>
                <w:sz w:val="16"/>
                <w:szCs w:val="16"/>
              </w:rPr>
              <w:t xml:space="preserve">Multiple spinal fractures without multilevel structural </w:t>
            </w:r>
            <w:r w:rsidR="002D3827">
              <w:rPr>
                <w:rFonts w:asciiTheme="minorHAnsi" w:hAnsiTheme="minorHAnsi" w:cstheme="minorHAnsi"/>
                <w:sz w:val="16"/>
                <w:szCs w:val="16"/>
              </w:rPr>
              <w:t>compromise</w:t>
            </w:r>
          </w:p>
        </w:tc>
        <w:tc>
          <w:tcPr>
            <w:tcW w:w="1701" w:type="dxa"/>
            <w:vAlign w:val="center"/>
          </w:tcPr>
          <w:p w:rsidR="004D348F" w:rsidRPr="0052385A" w:rsidRDefault="00351724" w:rsidP="004D348F">
            <w:pPr>
              <w:pStyle w:val="TableTextNormal"/>
              <w:keepNext/>
              <w:keepLines/>
              <w:ind w:left="284"/>
              <w:jc w:val="center"/>
              <w:rPr>
                <w:rFonts w:asciiTheme="minorHAnsi" w:hAnsiTheme="minorHAnsi" w:cstheme="minorHAnsi"/>
                <w:sz w:val="16"/>
                <w:szCs w:val="16"/>
              </w:rPr>
            </w:pPr>
            <w:r>
              <w:rPr>
                <w:rFonts w:asciiTheme="minorHAnsi" w:hAnsiTheme="minorHAnsi" w:cstheme="minorHAnsi"/>
                <w:sz w:val="16"/>
                <w:szCs w:val="16"/>
              </w:rPr>
              <w:t>5</w:t>
            </w:r>
            <w:r w:rsidR="004D348F" w:rsidRPr="0052385A">
              <w:rPr>
                <w:rFonts w:asciiTheme="minorHAnsi" w:hAnsiTheme="minorHAnsi" w:cstheme="minorHAnsi"/>
                <w:sz w:val="16"/>
                <w:szCs w:val="16"/>
              </w:rPr>
              <w:t>%</w:t>
            </w:r>
          </w:p>
        </w:tc>
        <w:tc>
          <w:tcPr>
            <w:tcW w:w="1808" w:type="dxa"/>
            <w:vAlign w:val="center"/>
          </w:tcPr>
          <w:p w:rsidR="004D348F" w:rsidRPr="001E49D4" w:rsidRDefault="004D348F" w:rsidP="004D348F">
            <w:pPr>
              <w:pStyle w:val="TableTextNormal"/>
              <w:keepNext/>
              <w:keepLines/>
              <w:ind w:left="284"/>
              <w:jc w:val="center"/>
              <w:rPr>
                <w:rFonts w:asciiTheme="minorHAnsi" w:hAnsiTheme="minorHAnsi" w:cstheme="minorHAnsi"/>
                <w:b/>
                <w:sz w:val="16"/>
                <w:szCs w:val="16"/>
              </w:rPr>
            </w:pPr>
            <w:r w:rsidRPr="001E49D4">
              <w:rPr>
                <w:rFonts w:asciiTheme="minorHAnsi" w:hAnsiTheme="minorHAnsi" w:cstheme="minorHAnsi"/>
                <w:b/>
                <w:sz w:val="16"/>
                <w:szCs w:val="16"/>
              </w:rPr>
              <w:t>20%</w:t>
            </w:r>
          </w:p>
        </w:tc>
      </w:tr>
      <w:tr w:rsidR="004D348F" w:rsidRPr="007A3AFB" w:rsidTr="004D348F">
        <w:tc>
          <w:tcPr>
            <w:tcW w:w="4928" w:type="dxa"/>
          </w:tcPr>
          <w:p w:rsidR="004D348F" w:rsidRPr="0052385A" w:rsidRDefault="004D348F" w:rsidP="002D3827">
            <w:pPr>
              <w:pStyle w:val="TableTextNormal"/>
              <w:keepNext/>
              <w:keepLines/>
              <w:rPr>
                <w:rFonts w:asciiTheme="minorHAnsi" w:hAnsiTheme="minorHAnsi" w:cstheme="minorHAnsi"/>
                <w:sz w:val="16"/>
                <w:szCs w:val="16"/>
              </w:rPr>
            </w:pPr>
            <w:r w:rsidRPr="0052385A">
              <w:rPr>
                <w:rFonts w:asciiTheme="minorHAnsi" w:hAnsiTheme="minorHAnsi" w:cstheme="minorHAnsi"/>
                <w:sz w:val="16"/>
                <w:szCs w:val="16"/>
              </w:rPr>
              <w:t xml:space="preserve">Multiple spinal fractures with multilevel structural </w:t>
            </w:r>
            <w:r w:rsidR="002D3827">
              <w:rPr>
                <w:rFonts w:asciiTheme="minorHAnsi" w:hAnsiTheme="minorHAnsi" w:cstheme="minorHAnsi"/>
                <w:sz w:val="16"/>
                <w:szCs w:val="16"/>
              </w:rPr>
              <w:t>compromise</w:t>
            </w:r>
          </w:p>
        </w:tc>
        <w:tc>
          <w:tcPr>
            <w:tcW w:w="1701" w:type="dxa"/>
            <w:vAlign w:val="center"/>
          </w:tcPr>
          <w:p w:rsidR="004D348F" w:rsidRPr="0052385A" w:rsidRDefault="004D348F" w:rsidP="004D348F">
            <w:pPr>
              <w:pStyle w:val="TableTextNormal"/>
              <w:keepNext/>
              <w:keepLines/>
              <w:ind w:left="284"/>
              <w:jc w:val="center"/>
              <w:rPr>
                <w:rFonts w:asciiTheme="minorHAnsi" w:hAnsiTheme="minorHAnsi" w:cstheme="minorHAnsi"/>
                <w:sz w:val="16"/>
                <w:szCs w:val="16"/>
              </w:rPr>
            </w:pPr>
            <w:r w:rsidRPr="0052385A">
              <w:rPr>
                <w:rFonts w:asciiTheme="minorHAnsi" w:hAnsiTheme="minorHAnsi" w:cstheme="minorHAnsi"/>
                <w:sz w:val="16"/>
                <w:szCs w:val="16"/>
              </w:rPr>
              <w:t>20%</w:t>
            </w:r>
          </w:p>
        </w:tc>
        <w:tc>
          <w:tcPr>
            <w:tcW w:w="1808" w:type="dxa"/>
            <w:vAlign w:val="center"/>
          </w:tcPr>
          <w:p w:rsidR="004D348F" w:rsidRPr="0052385A" w:rsidRDefault="004D348F" w:rsidP="004D348F">
            <w:pPr>
              <w:pStyle w:val="TableTextNormal"/>
              <w:keepNext/>
              <w:keepLines/>
              <w:ind w:left="284"/>
              <w:jc w:val="center"/>
              <w:rPr>
                <w:rFonts w:asciiTheme="minorHAnsi" w:hAnsiTheme="minorHAnsi" w:cstheme="minorHAnsi"/>
                <w:sz w:val="16"/>
                <w:szCs w:val="16"/>
              </w:rPr>
            </w:pPr>
            <w:r w:rsidRPr="0052385A">
              <w:rPr>
                <w:rFonts w:asciiTheme="minorHAnsi" w:hAnsiTheme="minorHAnsi" w:cstheme="minorHAnsi"/>
                <w:sz w:val="16"/>
                <w:szCs w:val="16"/>
              </w:rPr>
              <w:t>20%</w:t>
            </w:r>
          </w:p>
        </w:tc>
      </w:tr>
    </w:tbl>
    <w:p w:rsidR="00402F59" w:rsidRDefault="00906812" w:rsidP="00D60513">
      <w:pPr>
        <w:pStyle w:val="Sources"/>
      </w:pPr>
      <w:r>
        <w:t>Source: PwC and TAC</w:t>
      </w:r>
    </w:p>
    <w:p w:rsidR="00891358" w:rsidRDefault="00402F59" w:rsidP="00891358">
      <w:pPr>
        <w:pStyle w:val="PwCNormal"/>
        <w:numPr>
          <w:ilvl w:val="0"/>
          <w:numId w:val="0"/>
        </w:numPr>
      </w:pPr>
      <w:r>
        <w:t>The</w:t>
      </w:r>
      <w:r w:rsidR="00891358">
        <w:t xml:space="preserve"> scheme permits claimants with WPIs meeting the thresholds outlined in section </w:t>
      </w:r>
      <w:r w:rsidR="000C3AC5">
        <w:fldChar w:fldCharType="begin"/>
      </w:r>
      <w:r w:rsidR="000C3AC5">
        <w:instrText xml:space="preserve"> REF _Ref391392288 \n \h </w:instrText>
      </w:r>
      <w:r w:rsidR="000C3AC5">
        <w:fldChar w:fldCharType="separate"/>
      </w:r>
      <w:r w:rsidR="00542564">
        <w:t>2.1.2</w:t>
      </w:r>
      <w:r w:rsidR="000C3AC5">
        <w:fldChar w:fldCharType="end"/>
      </w:r>
      <w:r w:rsidR="00891358">
        <w:t xml:space="preserve"> to obtain additional </w:t>
      </w:r>
      <w:r w:rsidR="004122AE">
        <w:t>compensation entitlements</w:t>
      </w:r>
      <w:r w:rsidR="00891358">
        <w:t xml:space="preserve">. </w:t>
      </w:r>
      <w:r w:rsidR="004122AE">
        <w:t xml:space="preserve">The wording in DRE Category IV has therefore directly resulted in additional claimants now being categorised in higher DRE categories and in some cases receiving access to common law damages and other additional </w:t>
      </w:r>
      <w:r w:rsidR="00F132BF">
        <w:t>compensation entitlements</w:t>
      </w:r>
      <w:r w:rsidR="004122AE">
        <w:t>.</w:t>
      </w:r>
    </w:p>
    <w:p w:rsidR="00022048" w:rsidRDefault="009C6325" w:rsidP="007B015A">
      <w:pPr>
        <w:pStyle w:val="PwCNormal"/>
        <w:numPr>
          <w:ilvl w:val="0"/>
          <w:numId w:val="0"/>
        </w:numPr>
      </w:pPr>
      <w:r>
        <w:t xml:space="preserve">On the other hand, </w:t>
      </w:r>
      <w:r w:rsidR="00891358">
        <w:t xml:space="preserve">the broad wording in DRE Category IV </w:t>
      </w:r>
      <w:r>
        <w:t>also</w:t>
      </w:r>
      <w:r w:rsidR="00AE7ACA">
        <w:t xml:space="preserve"> has the potential to </w:t>
      </w:r>
      <w:r w:rsidR="00891358">
        <w:t xml:space="preserve">reduce </w:t>
      </w:r>
      <w:r>
        <w:t>some</w:t>
      </w:r>
      <w:r w:rsidR="00891358">
        <w:t xml:space="preserve"> claimants</w:t>
      </w:r>
      <w:r>
        <w:t>’</w:t>
      </w:r>
      <w:r w:rsidR="00891358">
        <w:t xml:space="preserve"> entitlement to impairment benefit</w:t>
      </w:r>
      <w:r>
        <w:t>s</w:t>
      </w:r>
      <w:r w:rsidR="00891358">
        <w:t xml:space="preserve">. </w:t>
      </w:r>
      <w:r w:rsidR="00AE7ACA">
        <w:t>For example, a</w:t>
      </w:r>
      <w:r w:rsidR="00891358">
        <w:t xml:space="preserve">n injured claimant who has pre-existing spinal injuries or degenerative changes in their spine may be classed as DRE IV pre-accident due to the presence of old fractures. They may not be entitled to an impairment benefit for a further spinal injury caused by the transport accident unless the injury now places the claimant into a higher DRE category </w:t>
      </w:r>
      <w:r w:rsidR="0052385A">
        <w:t xml:space="preserve">(in which case </w:t>
      </w:r>
      <w:r w:rsidR="00891358">
        <w:t>they will be entitled to only the percentage difference between the two categories</w:t>
      </w:r>
      <w:r w:rsidR="0052385A">
        <w:t>)</w:t>
      </w:r>
      <w:r w:rsidR="00891358">
        <w:t>.</w:t>
      </w:r>
      <w:r w:rsidR="00EC00D0">
        <w:t xml:space="preserve"> However, on balance, the impact of the </w:t>
      </w:r>
      <w:r w:rsidR="00EC00D0" w:rsidRPr="00687A0D">
        <w:t>post-Serwylo</w:t>
      </w:r>
      <w:r w:rsidR="00811863">
        <w:t xml:space="preserve"> </w:t>
      </w:r>
      <w:r w:rsidR="00F931D1">
        <w:t xml:space="preserve">application of </w:t>
      </w:r>
      <w:r w:rsidR="00EC00D0">
        <w:t>DRE Category IV is still an increase in claimant compensation.</w:t>
      </w:r>
    </w:p>
    <w:p w:rsidR="00891358" w:rsidRDefault="00891358" w:rsidP="007B015A">
      <w:pPr>
        <w:pStyle w:val="PwCNormal"/>
        <w:numPr>
          <w:ilvl w:val="0"/>
          <w:numId w:val="0"/>
        </w:numPr>
      </w:pPr>
      <w:r>
        <w:t xml:space="preserve">Aside from the inequities </w:t>
      </w:r>
      <w:r w:rsidR="004122AE">
        <w:t xml:space="preserve">that the language of DRE Category IV has created, there is also a resulting financial </w:t>
      </w:r>
      <w:r>
        <w:t xml:space="preserve">cost </w:t>
      </w:r>
      <w:r w:rsidR="004122AE">
        <w:t>to</w:t>
      </w:r>
      <w:r>
        <w:t xml:space="preserve"> the scheme.</w:t>
      </w:r>
      <w:r w:rsidR="007B015A" w:rsidRPr="007B015A">
        <w:t xml:space="preserve"> </w:t>
      </w:r>
      <w:r>
        <w:t>PwC has performed a costing analysis based on 2013 data that valued the annual impact of the DRE Category IV assessments on the scheme. The analysis consisted of estimating the impact on the three primary compensation types within the scheme:</w:t>
      </w:r>
    </w:p>
    <w:p w:rsidR="00891358" w:rsidRDefault="00891358" w:rsidP="00990AC7">
      <w:pPr>
        <w:pStyle w:val="ListBullet"/>
        <w:keepNext/>
        <w:keepLines/>
      </w:pPr>
      <w:r>
        <w:lastRenderedPageBreak/>
        <w:t>impairment lump sum</w:t>
      </w:r>
    </w:p>
    <w:p w:rsidR="00891358" w:rsidRDefault="00891358" w:rsidP="00990AC7">
      <w:pPr>
        <w:pStyle w:val="ListBullet"/>
        <w:keepNext/>
        <w:keepLines/>
      </w:pPr>
      <w:r>
        <w:t>common law payments</w:t>
      </w:r>
    </w:p>
    <w:p w:rsidR="00891358" w:rsidRDefault="00891358" w:rsidP="00990AC7">
      <w:pPr>
        <w:pStyle w:val="ListBullet"/>
        <w:keepNext/>
        <w:keepLines/>
      </w:pPr>
      <w:r>
        <w:t>ongoing LOEC.</w:t>
      </w:r>
    </w:p>
    <w:p w:rsidR="004D348F" w:rsidRDefault="00891358" w:rsidP="00891358">
      <w:pPr>
        <w:pStyle w:val="PwCNormal"/>
      </w:pPr>
      <w:r>
        <w:t>Specifically, the analysis looked at claims within the DRE II and DRE III categories that would have had a higher WPI rating if assessed post-Serwylo. The analysis concluded that the total impact of DRE Category IV to the scheme was an additional cost of $11.4 million per accident year, and an additional liability of $67.</w:t>
      </w:r>
      <w:r w:rsidR="004C285D">
        <w:t xml:space="preserve">5 </w:t>
      </w:r>
      <w:r>
        <w:t>million.</w:t>
      </w:r>
    </w:p>
    <w:p w:rsidR="009D7A98" w:rsidRPr="009D7A98" w:rsidRDefault="004D348F" w:rsidP="009D7A98">
      <w:pPr>
        <w:pStyle w:val="PwCNormal"/>
      </w:pPr>
      <w:r>
        <w:t xml:space="preserve">The breakdown of these cost estimates </w:t>
      </w:r>
      <w:r w:rsidR="00402F59">
        <w:t>is</w:t>
      </w:r>
      <w:r>
        <w:t xml:space="preserve"> provided </w:t>
      </w:r>
      <w:r w:rsidR="00952B45">
        <w:t xml:space="preserve">in </w:t>
      </w:r>
      <w:r w:rsidR="00952B45">
        <w:fldChar w:fldCharType="begin"/>
      </w:r>
      <w:r w:rsidR="00952B45">
        <w:instrText xml:space="preserve"> REF _Ref387335445 \h </w:instrText>
      </w:r>
      <w:r w:rsidR="00952B45">
        <w:fldChar w:fldCharType="separate"/>
      </w:r>
      <w:r w:rsidR="00542564" w:rsidRPr="00A816E4">
        <w:t xml:space="preserve">Table </w:t>
      </w:r>
      <w:r w:rsidR="00542564">
        <w:rPr>
          <w:noProof/>
        </w:rPr>
        <w:t>6</w:t>
      </w:r>
      <w:r w:rsidR="00952B45">
        <w:fldChar w:fldCharType="end"/>
      </w:r>
      <w:r w:rsidR="009D7A98">
        <w:t xml:space="preserve">. </w:t>
      </w:r>
      <w:r w:rsidR="009D7A98" w:rsidRPr="009D7A98">
        <w:t>A full explanation of the assumptions used and calculation of these figures is provided in</w:t>
      </w:r>
      <w:r w:rsidR="00944AF3">
        <w:t xml:space="preserve"> </w:t>
      </w:r>
      <w:r w:rsidR="00944AF3">
        <w:fldChar w:fldCharType="begin"/>
      </w:r>
      <w:r w:rsidR="00944AF3">
        <w:instrText xml:space="preserve"> REF _Ref387412397 \n \h </w:instrText>
      </w:r>
      <w:r w:rsidR="00944AF3">
        <w:fldChar w:fldCharType="separate"/>
      </w:r>
      <w:r w:rsidR="00542564">
        <w:t>Appendix C</w:t>
      </w:r>
      <w:r w:rsidR="00944AF3">
        <w:fldChar w:fldCharType="end"/>
      </w:r>
      <w:r w:rsidR="009D7A98" w:rsidRPr="009D7A98">
        <w:t>.</w:t>
      </w:r>
    </w:p>
    <w:p w:rsidR="00CF1086" w:rsidRDefault="00CF1086" w:rsidP="00A816E4">
      <w:pPr>
        <w:pStyle w:val="Caption"/>
        <w:tabs>
          <w:tab w:val="clear" w:pos="992"/>
          <w:tab w:val="left" w:pos="0"/>
        </w:tabs>
        <w:ind w:left="0" w:firstLine="0"/>
      </w:pPr>
      <w:bookmarkStart w:id="38" w:name="_Ref387335445"/>
      <w:bookmarkStart w:id="39" w:name="_Ref387335440"/>
      <w:r w:rsidRPr="00A816E4">
        <w:t xml:space="preserve">Table </w:t>
      </w:r>
      <w:r w:rsidR="0078338B" w:rsidRPr="00047EC5">
        <w:fldChar w:fldCharType="begin"/>
      </w:r>
      <w:r w:rsidR="0078338B" w:rsidRPr="00A816E4">
        <w:instrText xml:space="preserve"> SEQ Table \* ARABIC </w:instrText>
      </w:r>
      <w:r w:rsidR="0078338B" w:rsidRPr="00047EC5">
        <w:fldChar w:fldCharType="separate"/>
      </w:r>
      <w:r w:rsidR="00542564">
        <w:rPr>
          <w:noProof/>
        </w:rPr>
        <w:t>6</w:t>
      </w:r>
      <w:r w:rsidR="0078338B" w:rsidRPr="00047EC5">
        <w:rPr>
          <w:noProof/>
        </w:rPr>
        <w:fldChar w:fldCharType="end"/>
      </w:r>
      <w:bookmarkEnd w:id="38"/>
      <w:r w:rsidRPr="00A816E4">
        <w:t xml:space="preserve">: </w:t>
      </w:r>
      <w:r w:rsidR="00891358" w:rsidRPr="00A816E4">
        <w:t xml:space="preserve">Estimated </w:t>
      </w:r>
      <w:r w:rsidR="00087003" w:rsidRPr="00A816E4">
        <w:t xml:space="preserve">change in costs and liability </w:t>
      </w:r>
      <w:r w:rsidR="00891358" w:rsidRPr="00A816E4">
        <w:t xml:space="preserve">impact </w:t>
      </w:r>
      <w:r w:rsidR="00087003" w:rsidRPr="00A816E4">
        <w:t xml:space="preserve">following Serwylo </w:t>
      </w:r>
      <w:bookmarkEnd w:id="39"/>
    </w:p>
    <w:tbl>
      <w:tblPr>
        <w:tblStyle w:val="Tables-APBase"/>
        <w:tblW w:w="5000" w:type="pct"/>
        <w:tblLook w:val="04A0" w:firstRow="1" w:lastRow="0" w:firstColumn="1" w:lastColumn="0" w:noHBand="0" w:noVBand="1"/>
      </w:tblPr>
      <w:tblGrid>
        <w:gridCol w:w="3184"/>
        <w:gridCol w:w="2327"/>
        <w:gridCol w:w="2926"/>
      </w:tblGrid>
      <w:tr w:rsidR="004D348F" w:rsidRPr="007A3AFB" w:rsidTr="004D348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887" w:type="pct"/>
            <w:vAlign w:val="center"/>
          </w:tcPr>
          <w:p w:rsidR="004D348F" w:rsidRPr="0052385A" w:rsidRDefault="004D348F" w:rsidP="00891358">
            <w:pPr>
              <w:pStyle w:val="PwCNormal"/>
              <w:keepNext/>
              <w:keepLines/>
              <w:numPr>
                <w:ilvl w:val="0"/>
                <w:numId w:val="0"/>
              </w:numPr>
              <w:rPr>
                <w:rFonts w:asciiTheme="minorHAnsi" w:hAnsiTheme="minorHAnsi" w:cstheme="minorHAnsi"/>
                <w:b/>
                <w:color w:val="A72316" w:themeColor="accent2" w:themeShade="BF"/>
                <w:sz w:val="16"/>
                <w:szCs w:val="16"/>
              </w:rPr>
            </w:pPr>
            <w:r w:rsidRPr="0052385A">
              <w:rPr>
                <w:rFonts w:asciiTheme="minorHAnsi" w:hAnsiTheme="minorHAnsi" w:cstheme="minorHAnsi"/>
                <w:b/>
                <w:color w:val="A72316" w:themeColor="accent2" w:themeShade="BF"/>
                <w:sz w:val="16"/>
                <w:szCs w:val="16"/>
              </w:rPr>
              <w:t xml:space="preserve">Type of </w:t>
            </w:r>
            <w:r w:rsidR="00891358" w:rsidRPr="0052385A">
              <w:rPr>
                <w:rFonts w:asciiTheme="minorHAnsi" w:hAnsiTheme="minorHAnsi" w:cstheme="minorHAnsi"/>
                <w:b/>
                <w:color w:val="A72316" w:themeColor="accent2" w:themeShade="BF"/>
                <w:sz w:val="16"/>
                <w:szCs w:val="16"/>
              </w:rPr>
              <w:t>compensation</w:t>
            </w:r>
          </w:p>
        </w:tc>
        <w:tc>
          <w:tcPr>
            <w:tcW w:w="1379" w:type="pct"/>
            <w:vAlign w:val="center"/>
          </w:tcPr>
          <w:p w:rsidR="004D348F" w:rsidRPr="0052385A" w:rsidRDefault="004D348F" w:rsidP="004D348F">
            <w:pPr>
              <w:pStyle w:val="PwCNormal"/>
              <w:keepNext/>
              <w:keepLines/>
              <w:numPr>
                <w:ilvl w:val="0"/>
                <w:numId w:val="0"/>
              </w:num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A72316" w:themeColor="accent2" w:themeShade="BF"/>
                <w:sz w:val="16"/>
                <w:szCs w:val="16"/>
              </w:rPr>
            </w:pPr>
            <w:r w:rsidRPr="0052385A">
              <w:rPr>
                <w:rFonts w:asciiTheme="minorHAnsi" w:hAnsiTheme="minorHAnsi" w:cstheme="minorHAnsi"/>
                <w:b/>
                <w:color w:val="A72316" w:themeColor="accent2" w:themeShade="BF"/>
                <w:sz w:val="16"/>
                <w:szCs w:val="16"/>
              </w:rPr>
              <w:t>Estimated cost per new accident year</w:t>
            </w:r>
          </w:p>
        </w:tc>
        <w:tc>
          <w:tcPr>
            <w:tcW w:w="1734" w:type="pct"/>
            <w:vAlign w:val="center"/>
          </w:tcPr>
          <w:p w:rsidR="004D348F" w:rsidRPr="0052385A" w:rsidRDefault="004D348F" w:rsidP="004D348F">
            <w:pPr>
              <w:pStyle w:val="PwCNormal"/>
              <w:keepNext/>
              <w:keepLines/>
              <w:numPr>
                <w:ilvl w:val="0"/>
                <w:numId w:val="0"/>
              </w:num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A72316" w:themeColor="accent2" w:themeShade="BF"/>
                <w:sz w:val="16"/>
                <w:szCs w:val="16"/>
              </w:rPr>
            </w:pPr>
            <w:r w:rsidRPr="0052385A">
              <w:rPr>
                <w:rFonts w:asciiTheme="minorHAnsi" w:hAnsiTheme="minorHAnsi" w:cstheme="minorHAnsi"/>
                <w:b/>
                <w:color w:val="A72316" w:themeColor="accent2" w:themeShade="BF"/>
                <w:sz w:val="16"/>
                <w:szCs w:val="16"/>
              </w:rPr>
              <w:t>Estimated change to liability</w:t>
            </w:r>
          </w:p>
        </w:tc>
      </w:tr>
      <w:tr w:rsidR="004D348F" w:rsidRPr="007A3AFB" w:rsidTr="004D348F">
        <w:tc>
          <w:tcPr>
            <w:tcW w:w="1887" w:type="pct"/>
          </w:tcPr>
          <w:p w:rsidR="004D348F" w:rsidRPr="0052385A" w:rsidRDefault="004D348F" w:rsidP="004D348F">
            <w:pPr>
              <w:pStyle w:val="PwCNormal"/>
              <w:keepNext/>
              <w:keepLines/>
              <w:numPr>
                <w:ilvl w:val="0"/>
                <w:numId w:val="0"/>
              </w:numPr>
              <w:rPr>
                <w:rFonts w:asciiTheme="minorHAnsi" w:hAnsiTheme="minorHAnsi" w:cstheme="minorHAnsi"/>
                <w:sz w:val="16"/>
                <w:szCs w:val="16"/>
              </w:rPr>
            </w:pPr>
            <w:r w:rsidRPr="0052385A">
              <w:rPr>
                <w:rFonts w:asciiTheme="minorHAnsi" w:hAnsiTheme="minorHAnsi" w:cstheme="minorHAnsi"/>
                <w:sz w:val="16"/>
                <w:szCs w:val="16"/>
              </w:rPr>
              <w:t>Impairment Lump Sum Benefits</w:t>
            </w:r>
          </w:p>
        </w:tc>
        <w:tc>
          <w:tcPr>
            <w:tcW w:w="1379" w:type="pct"/>
          </w:tcPr>
          <w:p w:rsidR="004D348F" w:rsidRPr="0052385A" w:rsidRDefault="004D348F" w:rsidP="004D348F">
            <w:pPr>
              <w:pStyle w:val="PwCNormal"/>
              <w:keepNext/>
              <w:keepLines/>
              <w:numPr>
                <w:ilvl w:val="0"/>
                <w:numId w:val="0"/>
              </w:numPr>
              <w:jc w:val="center"/>
              <w:rPr>
                <w:rFonts w:asciiTheme="minorHAnsi" w:hAnsiTheme="minorHAnsi" w:cstheme="minorHAnsi"/>
                <w:sz w:val="16"/>
                <w:szCs w:val="16"/>
              </w:rPr>
            </w:pPr>
            <w:r w:rsidRPr="0052385A">
              <w:rPr>
                <w:rFonts w:asciiTheme="minorHAnsi" w:hAnsiTheme="minorHAnsi" w:cstheme="minorHAnsi"/>
                <w:sz w:val="16"/>
                <w:szCs w:val="16"/>
              </w:rPr>
              <w:t>$4.3m</w:t>
            </w:r>
          </w:p>
        </w:tc>
        <w:tc>
          <w:tcPr>
            <w:tcW w:w="1734" w:type="pct"/>
          </w:tcPr>
          <w:p w:rsidR="004D348F" w:rsidRPr="0052385A" w:rsidRDefault="004D348F" w:rsidP="004D348F">
            <w:pPr>
              <w:pStyle w:val="PwCNormal"/>
              <w:keepNext/>
              <w:keepLines/>
              <w:numPr>
                <w:ilvl w:val="0"/>
                <w:numId w:val="0"/>
              </w:numPr>
              <w:jc w:val="center"/>
              <w:rPr>
                <w:rFonts w:asciiTheme="minorHAnsi" w:hAnsiTheme="minorHAnsi" w:cstheme="minorHAnsi"/>
                <w:sz w:val="16"/>
                <w:szCs w:val="16"/>
              </w:rPr>
            </w:pPr>
            <w:r w:rsidRPr="0052385A">
              <w:rPr>
                <w:rFonts w:asciiTheme="minorHAnsi" w:hAnsiTheme="minorHAnsi" w:cstheme="minorHAnsi"/>
                <w:sz w:val="16"/>
                <w:szCs w:val="16"/>
              </w:rPr>
              <w:t>$15.5m</w:t>
            </w:r>
          </w:p>
        </w:tc>
      </w:tr>
      <w:tr w:rsidR="004D348F" w:rsidRPr="007A3AFB" w:rsidTr="004D348F">
        <w:tc>
          <w:tcPr>
            <w:tcW w:w="1887" w:type="pct"/>
          </w:tcPr>
          <w:p w:rsidR="004D348F" w:rsidRPr="0052385A" w:rsidRDefault="004D348F" w:rsidP="004D348F">
            <w:pPr>
              <w:pStyle w:val="PwCNormal"/>
              <w:keepNext/>
              <w:keepLines/>
              <w:numPr>
                <w:ilvl w:val="0"/>
                <w:numId w:val="0"/>
              </w:numPr>
              <w:rPr>
                <w:rFonts w:asciiTheme="minorHAnsi" w:hAnsiTheme="minorHAnsi" w:cstheme="minorHAnsi"/>
                <w:sz w:val="16"/>
                <w:szCs w:val="16"/>
              </w:rPr>
            </w:pPr>
            <w:r w:rsidRPr="0052385A">
              <w:rPr>
                <w:rFonts w:asciiTheme="minorHAnsi" w:hAnsiTheme="minorHAnsi" w:cstheme="minorHAnsi"/>
                <w:sz w:val="16"/>
                <w:szCs w:val="16"/>
              </w:rPr>
              <w:t>Loss of Earnings Capacity Benefits</w:t>
            </w:r>
          </w:p>
        </w:tc>
        <w:tc>
          <w:tcPr>
            <w:tcW w:w="1379" w:type="pct"/>
          </w:tcPr>
          <w:p w:rsidR="004D348F" w:rsidRPr="0052385A" w:rsidRDefault="004D348F" w:rsidP="004D348F">
            <w:pPr>
              <w:pStyle w:val="PwCNormal"/>
              <w:keepNext/>
              <w:keepLines/>
              <w:numPr>
                <w:ilvl w:val="0"/>
                <w:numId w:val="0"/>
              </w:numPr>
              <w:jc w:val="center"/>
              <w:rPr>
                <w:rFonts w:asciiTheme="minorHAnsi" w:hAnsiTheme="minorHAnsi" w:cstheme="minorHAnsi"/>
                <w:sz w:val="16"/>
                <w:szCs w:val="16"/>
              </w:rPr>
            </w:pPr>
            <w:r w:rsidRPr="0052385A">
              <w:rPr>
                <w:rFonts w:asciiTheme="minorHAnsi" w:hAnsiTheme="minorHAnsi" w:cstheme="minorHAnsi"/>
                <w:sz w:val="16"/>
                <w:szCs w:val="16"/>
              </w:rPr>
              <w:t>$3.2m</w:t>
            </w:r>
          </w:p>
        </w:tc>
        <w:tc>
          <w:tcPr>
            <w:tcW w:w="1734" w:type="pct"/>
          </w:tcPr>
          <w:p w:rsidR="004D348F" w:rsidRPr="0052385A" w:rsidRDefault="004D348F" w:rsidP="004D348F">
            <w:pPr>
              <w:pStyle w:val="PwCNormal"/>
              <w:keepNext/>
              <w:keepLines/>
              <w:numPr>
                <w:ilvl w:val="0"/>
                <w:numId w:val="0"/>
              </w:numPr>
              <w:jc w:val="center"/>
              <w:rPr>
                <w:rFonts w:asciiTheme="minorHAnsi" w:hAnsiTheme="minorHAnsi" w:cstheme="minorHAnsi"/>
                <w:sz w:val="16"/>
                <w:szCs w:val="16"/>
              </w:rPr>
            </w:pPr>
            <w:r w:rsidRPr="0052385A">
              <w:rPr>
                <w:rFonts w:asciiTheme="minorHAnsi" w:hAnsiTheme="minorHAnsi" w:cstheme="minorHAnsi"/>
                <w:sz w:val="16"/>
                <w:szCs w:val="16"/>
              </w:rPr>
              <w:t>$31.</w:t>
            </w:r>
            <w:r w:rsidR="004C285D">
              <w:rPr>
                <w:rFonts w:asciiTheme="minorHAnsi" w:hAnsiTheme="minorHAnsi" w:cstheme="minorHAnsi"/>
                <w:sz w:val="16"/>
                <w:szCs w:val="16"/>
              </w:rPr>
              <w:t>3</w:t>
            </w:r>
            <w:r w:rsidRPr="0052385A">
              <w:rPr>
                <w:rFonts w:asciiTheme="minorHAnsi" w:hAnsiTheme="minorHAnsi" w:cstheme="minorHAnsi"/>
                <w:sz w:val="16"/>
                <w:szCs w:val="16"/>
              </w:rPr>
              <w:t>m</w:t>
            </w:r>
          </w:p>
        </w:tc>
      </w:tr>
      <w:tr w:rsidR="004D348F" w:rsidRPr="007A3AFB" w:rsidTr="004D348F">
        <w:tc>
          <w:tcPr>
            <w:tcW w:w="1887" w:type="pct"/>
          </w:tcPr>
          <w:p w:rsidR="004D348F" w:rsidRPr="0052385A" w:rsidRDefault="004D348F" w:rsidP="004D348F">
            <w:pPr>
              <w:pStyle w:val="PwCNormal"/>
              <w:keepNext/>
              <w:keepLines/>
              <w:numPr>
                <w:ilvl w:val="0"/>
                <w:numId w:val="0"/>
              </w:numPr>
              <w:rPr>
                <w:rFonts w:asciiTheme="minorHAnsi" w:hAnsiTheme="minorHAnsi" w:cstheme="minorHAnsi"/>
                <w:sz w:val="16"/>
                <w:szCs w:val="16"/>
              </w:rPr>
            </w:pPr>
            <w:r w:rsidRPr="0052385A">
              <w:rPr>
                <w:rFonts w:asciiTheme="minorHAnsi" w:hAnsiTheme="minorHAnsi" w:cstheme="minorHAnsi"/>
                <w:sz w:val="16"/>
                <w:szCs w:val="16"/>
              </w:rPr>
              <w:t>Common Law Damages</w:t>
            </w:r>
          </w:p>
        </w:tc>
        <w:tc>
          <w:tcPr>
            <w:tcW w:w="1379" w:type="pct"/>
          </w:tcPr>
          <w:p w:rsidR="004D348F" w:rsidRPr="0052385A" w:rsidRDefault="004D348F" w:rsidP="004D348F">
            <w:pPr>
              <w:pStyle w:val="PwCNormal"/>
              <w:keepNext/>
              <w:keepLines/>
              <w:numPr>
                <w:ilvl w:val="0"/>
                <w:numId w:val="0"/>
              </w:numPr>
              <w:jc w:val="center"/>
              <w:rPr>
                <w:rFonts w:asciiTheme="minorHAnsi" w:hAnsiTheme="minorHAnsi" w:cstheme="minorHAnsi"/>
                <w:sz w:val="16"/>
                <w:szCs w:val="16"/>
              </w:rPr>
            </w:pPr>
            <w:r w:rsidRPr="0052385A">
              <w:rPr>
                <w:rFonts w:asciiTheme="minorHAnsi" w:hAnsiTheme="minorHAnsi" w:cstheme="minorHAnsi"/>
                <w:sz w:val="16"/>
                <w:szCs w:val="16"/>
              </w:rPr>
              <w:t>$3.9m</w:t>
            </w:r>
          </w:p>
        </w:tc>
        <w:tc>
          <w:tcPr>
            <w:tcW w:w="1734" w:type="pct"/>
          </w:tcPr>
          <w:p w:rsidR="004D348F" w:rsidRPr="0052385A" w:rsidRDefault="004D348F" w:rsidP="004D348F">
            <w:pPr>
              <w:pStyle w:val="PwCNormal"/>
              <w:keepNext/>
              <w:keepLines/>
              <w:numPr>
                <w:ilvl w:val="0"/>
                <w:numId w:val="0"/>
              </w:numPr>
              <w:jc w:val="center"/>
              <w:rPr>
                <w:rFonts w:asciiTheme="minorHAnsi" w:hAnsiTheme="minorHAnsi" w:cstheme="minorHAnsi"/>
                <w:sz w:val="16"/>
                <w:szCs w:val="16"/>
              </w:rPr>
            </w:pPr>
            <w:r w:rsidRPr="0052385A">
              <w:rPr>
                <w:rFonts w:asciiTheme="minorHAnsi" w:hAnsiTheme="minorHAnsi" w:cstheme="minorHAnsi"/>
                <w:sz w:val="16"/>
                <w:szCs w:val="16"/>
              </w:rPr>
              <w:t>$20.7m</w:t>
            </w:r>
          </w:p>
        </w:tc>
      </w:tr>
      <w:tr w:rsidR="004D348F" w:rsidRPr="007A3AFB" w:rsidTr="004D348F">
        <w:tc>
          <w:tcPr>
            <w:tcW w:w="1887" w:type="pct"/>
            <w:vAlign w:val="center"/>
          </w:tcPr>
          <w:p w:rsidR="004D348F" w:rsidRPr="0052385A" w:rsidRDefault="004D348F" w:rsidP="004D348F">
            <w:pPr>
              <w:pStyle w:val="PwCNormal"/>
              <w:keepNext/>
              <w:keepLines/>
              <w:numPr>
                <w:ilvl w:val="0"/>
                <w:numId w:val="0"/>
              </w:numPr>
              <w:rPr>
                <w:rFonts w:asciiTheme="minorHAnsi" w:hAnsiTheme="minorHAnsi" w:cstheme="minorHAnsi"/>
                <w:b/>
                <w:sz w:val="16"/>
                <w:szCs w:val="16"/>
              </w:rPr>
            </w:pPr>
            <w:r w:rsidRPr="0052385A">
              <w:rPr>
                <w:rFonts w:asciiTheme="minorHAnsi" w:hAnsiTheme="minorHAnsi" w:cstheme="minorHAnsi"/>
                <w:b/>
                <w:sz w:val="16"/>
                <w:szCs w:val="16"/>
              </w:rPr>
              <w:t>TOTAL</w:t>
            </w:r>
          </w:p>
        </w:tc>
        <w:tc>
          <w:tcPr>
            <w:tcW w:w="1379" w:type="pct"/>
          </w:tcPr>
          <w:p w:rsidR="004D348F" w:rsidRPr="0052385A" w:rsidRDefault="004D348F" w:rsidP="004D348F">
            <w:pPr>
              <w:pStyle w:val="PwCNormal"/>
              <w:keepNext/>
              <w:keepLines/>
              <w:numPr>
                <w:ilvl w:val="0"/>
                <w:numId w:val="0"/>
              </w:numPr>
              <w:jc w:val="center"/>
              <w:rPr>
                <w:rFonts w:asciiTheme="minorHAnsi" w:hAnsiTheme="minorHAnsi" w:cstheme="minorHAnsi"/>
                <w:b/>
                <w:sz w:val="16"/>
                <w:szCs w:val="16"/>
              </w:rPr>
            </w:pPr>
            <w:r w:rsidRPr="0052385A">
              <w:rPr>
                <w:rFonts w:asciiTheme="minorHAnsi" w:hAnsiTheme="minorHAnsi" w:cstheme="minorHAnsi"/>
                <w:b/>
                <w:sz w:val="16"/>
                <w:szCs w:val="16"/>
              </w:rPr>
              <w:t>$11.4m</w:t>
            </w:r>
          </w:p>
        </w:tc>
        <w:tc>
          <w:tcPr>
            <w:tcW w:w="1734" w:type="pct"/>
          </w:tcPr>
          <w:p w:rsidR="004D348F" w:rsidRPr="0052385A" w:rsidRDefault="004D348F" w:rsidP="004D348F">
            <w:pPr>
              <w:pStyle w:val="PwCNormal"/>
              <w:keepNext/>
              <w:keepLines/>
              <w:numPr>
                <w:ilvl w:val="0"/>
                <w:numId w:val="0"/>
              </w:numPr>
              <w:jc w:val="center"/>
              <w:rPr>
                <w:rFonts w:asciiTheme="minorHAnsi" w:hAnsiTheme="minorHAnsi" w:cstheme="minorHAnsi"/>
                <w:b/>
                <w:sz w:val="16"/>
                <w:szCs w:val="16"/>
              </w:rPr>
            </w:pPr>
            <w:r w:rsidRPr="0052385A">
              <w:rPr>
                <w:rFonts w:asciiTheme="minorHAnsi" w:hAnsiTheme="minorHAnsi" w:cstheme="minorHAnsi"/>
                <w:b/>
                <w:sz w:val="16"/>
                <w:szCs w:val="16"/>
              </w:rPr>
              <w:t>$67.</w:t>
            </w:r>
            <w:r w:rsidR="004C285D">
              <w:rPr>
                <w:rFonts w:asciiTheme="minorHAnsi" w:hAnsiTheme="minorHAnsi" w:cstheme="minorHAnsi"/>
                <w:b/>
                <w:sz w:val="16"/>
                <w:szCs w:val="16"/>
              </w:rPr>
              <w:t>5</w:t>
            </w:r>
            <w:r w:rsidRPr="0052385A">
              <w:rPr>
                <w:rFonts w:asciiTheme="minorHAnsi" w:hAnsiTheme="minorHAnsi" w:cstheme="minorHAnsi"/>
                <w:b/>
                <w:sz w:val="16"/>
                <w:szCs w:val="16"/>
              </w:rPr>
              <w:t>m</w:t>
            </w:r>
          </w:p>
        </w:tc>
      </w:tr>
    </w:tbl>
    <w:p w:rsidR="00250FB3" w:rsidRDefault="00250FB3" w:rsidP="0052385A">
      <w:pPr>
        <w:pStyle w:val="Sources"/>
      </w:pPr>
      <w:r>
        <w:t>Source: PwC</w:t>
      </w:r>
      <w:r w:rsidR="00947130">
        <w:t>.</w:t>
      </w:r>
    </w:p>
    <w:p w:rsidR="004D348F" w:rsidRDefault="00DA57F0" w:rsidP="009D7A98">
      <w:pPr>
        <w:pStyle w:val="PwCNormal"/>
      </w:pPr>
      <w:r>
        <w:t xml:space="preserve">The figures </w:t>
      </w:r>
      <w:r w:rsidR="002375E8">
        <w:t xml:space="preserve">in </w:t>
      </w:r>
      <w:r w:rsidR="002375E8">
        <w:fldChar w:fldCharType="begin"/>
      </w:r>
      <w:r w:rsidR="002375E8">
        <w:instrText xml:space="preserve"> REF _Ref387335445 \h </w:instrText>
      </w:r>
      <w:r w:rsidR="002375E8">
        <w:fldChar w:fldCharType="separate"/>
      </w:r>
      <w:r w:rsidR="00542564" w:rsidRPr="00A816E4">
        <w:t xml:space="preserve">Table </w:t>
      </w:r>
      <w:r w:rsidR="00542564">
        <w:rPr>
          <w:noProof/>
        </w:rPr>
        <w:t>6</w:t>
      </w:r>
      <w:r w:rsidR="002375E8">
        <w:fldChar w:fldCharType="end"/>
      </w:r>
      <w:r>
        <w:t xml:space="preserve"> represent </w:t>
      </w:r>
      <w:r w:rsidR="009D7A98">
        <w:t>a</w:t>
      </w:r>
      <w:r>
        <w:t xml:space="preserve"> transfer of funds from the scheme</w:t>
      </w:r>
      <w:r w:rsidR="009D7A98">
        <w:t xml:space="preserve"> (and ultimately </w:t>
      </w:r>
      <w:r w:rsidR="00BD75AA">
        <w:t xml:space="preserve">those who register </w:t>
      </w:r>
      <w:r>
        <w:t>motor vehicle</w:t>
      </w:r>
      <w:r w:rsidR="00BD75AA">
        <w:t>s</w:t>
      </w:r>
      <w:r w:rsidR="009D7A98">
        <w:t>)</w:t>
      </w:r>
      <w:r>
        <w:t xml:space="preserve"> to claimants with multiple fracture spinal injuries without structural impairment.</w:t>
      </w:r>
    </w:p>
    <w:p w:rsidR="004D348F" w:rsidRDefault="004D348F" w:rsidP="004D348F">
      <w:pPr>
        <w:pStyle w:val="PwCNormal"/>
        <w:numPr>
          <w:ilvl w:val="0"/>
          <w:numId w:val="0"/>
        </w:numPr>
        <w:sectPr w:rsidR="004D348F" w:rsidSect="006B008A">
          <w:headerReference w:type="even" r:id="rId33"/>
          <w:headerReference w:type="default" r:id="rId34"/>
          <w:footerReference w:type="even" r:id="rId35"/>
          <w:footerReference w:type="default" r:id="rId36"/>
          <w:headerReference w:type="first" r:id="rId37"/>
          <w:footerReference w:type="first" r:id="rId38"/>
          <w:pgSz w:w="11907" w:h="16840" w:code="9"/>
          <w:pgMar w:top="1588" w:right="1843" w:bottom="1418" w:left="1843" w:header="567" w:footer="567" w:gutter="0"/>
          <w:cols w:space="227"/>
          <w:titlePg/>
          <w:docGrid w:linePitch="360"/>
        </w:sectPr>
      </w:pPr>
    </w:p>
    <w:p w:rsidR="004D348F" w:rsidRDefault="004D348F" w:rsidP="004D348F">
      <w:pPr>
        <w:pStyle w:val="Heading2"/>
      </w:pPr>
      <w:bookmarkStart w:id="40" w:name="_Toc384227274"/>
      <w:bookmarkStart w:id="41" w:name="_Ref388529727"/>
      <w:bookmarkStart w:id="42" w:name="_Toc391459529"/>
      <w:r w:rsidRPr="0093655A">
        <w:lastRenderedPageBreak/>
        <w:t>Objectives</w:t>
      </w:r>
      <w:bookmarkEnd w:id="40"/>
      <w:bookmarkEnd w:id="41"/>
      <w:bookmarkEnd w:id="42"/>
    </w:p>
    <w:p w:rsidR="009D7A98" w:rsidRDefault="004D348F" w:rsidP="004D348F">
      <w:pPr>
        <w:pStyle w:val="PwCNormal"/>
      </w:pPr>
      <w:r w:rsidRPr="00873A86">
        <w:t xml:space="preserve">The </w:t>
      </w:r>
      <w:r w:rsidRPr="00300996">
        <w:rPr>
          <w:i/>
        </w:rPr>
        <w:t>Subordinate Legislation Act 1994</w:t>
      </w:r>
      <w:r w:rsidRPr="00873A86">
        <w:t xml:space="preserve"> requires a RIS to include a statement of the proposed regulations’ objectives.</w:t>
      </w:r>
      <w:r w:rsidR="00305677" w:rsidRPr="00305677">
        <w:rPr>
          <w:rStyle w:val="FootnoteReference"/>
        </w:rPr>
        <w:t xml:space="preserve"> </w:t>
      </w:r>
      <w:r w:rsidR="00305677" w:rsidRPr="00873A86">
        <w:rPr>
          <w:rStyle w:val="FootnoteReference"/>
        </w:rPr>
        <w:footnoteReference w:id="30"/>
      </w:r>
      <w:r w:rsidRPr="00873A86">
        <w:t xml:space="preserve"> These objectives should be closely related to the objectives of the Act authorising the proposed </w:t>
      </w:r>
      <w:r w:rsidR="00B73BC9">
        <w:t>legislat</w:t>
      </w:r>
      <w:r w:rsidR="00DF61A6">
        <w:t>ive instrument</w:t>
      </w:r>
      <w:r w:rsidRPr="00873A86">
        <w:t xml:space="preserve"> and should be consistent with, or contribute to, the achievement of the government’s strategic policy aims.</w:t>
      </w:r>
      <w:r w:rsidR="00305677" w:rsidRPr="00305677">
        <w:rPr>
          <w:rStyle w:val="FootnoteReference"/>
        </w:rPr>
        <w:t xml:space="preserve"> </w:t>
      </w:r>
      <w:r w:rsidR="00305677" w:rsidRPr="00873A86">
        <w:rPr>
          <w:rStyle w:val="FootnoteReference"/>
        </w:rPr>
        <w:footnoteReference w:id="31"/>
      </w:r>
    </w:p>
    <w:p w:rsidR="004D348F" w:rsidRPr="00873A86" w:rsidRDefault="004D348F" w:rsidP="004D348F">
      <w:pPr>
        <w:pStyle w:val="PwCNormal"/>
      </w:pPr>
      <w:r w:rsidRPr="00873A86">
        <w:t>Some proposed measures may have several objectives and where this is the case, the statement must identify a primary objective. The objectives should be stated in terms of the ends to be achieved rather than the means of their achievement. In other words, they must be specified in relation to the underlying problems that have been identified in Chapter 2.</w:t>
      </w:r>
      <w:r w:rsidRPr="00873A86">
        <w:rPr>
          <w:rStyle w:val="FootnoteReference"/>
        </w:rPr>
        <w:footnoteReference w:id="32"/>
      </w:r>
    </w:p>
    <w:p w:rsidR="004D348F" w:rsidRDefault="004D348F" w:rsidP="004D348F">
      <w:pPr>
        <w:pStyle w:val="PwCNormal"/>
      </w:pPr>
      <w:r>
        <w:t>Section 11 of the Act states the objectives of the TAC as follows:</w:t>
      </w:r>
    </w:p>
    <w:p w:rsidR="004D348F" w:rsidRDefault="004D348F" w:rsidP="009D7A98">
      <w:pPr>
        <w:pStyle w:val="ListBullet"/>
      </w:pPr>
      <w:r>
        <w:t xml:space="preserve">to manage the transport accident compensation </w:t>
      </w:r>
      <w:r w:rsidR="00F55F9B">
        <w:t xml:space="preserve">scheme </w:t>
      </w:r>
      <w:r>
        <w:t>as effectively and efficiently as possible</w:t>
      </w:r>
    </w:p>
    <w:p w:rsidR="004D348F" w:rsidRDefault="004D348F" w:rsidP="009D7A98">
      <w:pPr>
        <w:pStyle w:val="ListBullet"/>
      </w:pPr>
      <w:r>
        <w:t>to ensure that appropriate compensation is delivered in the most socially and economically appropriate manner and as expeditiously as possible</w:t>
      </w:r>
    </w:p>
    <w:p w:rsidR="004D348F" w:rsidRDefault="004D348F" w:rsidP="009D7A98">
      <w:pPr>
        <w:pStyle w:val="ListBullet"/>
      </w:pPr>
      <w:r>
        <w:t>to ensure that the transport accident scheme emphasises accident prevention and effective rehabilitation</w:t>
      </w:r>
    </w:p>
    <w:p w:rsidR="004D348F" w:rsidRDefault="004D348F" w:rsidP="009D7A98">
      <w:pPr>
        <w:pStyle w:val="ListBullet"/>
      </w:pPr>
      <w:r>
        <w:t>to develop such internal management structures and procedures as will enable it to perform its functions and exercise its powers effectively, efficiently and economically.</w:t>
      </w:r>
      <w:r>
        <w:rPr>
          <w:rStyle w:val="FootnoteReference"/>
        </w:rPr>
        <w:footnoteReference w:id="33"/>
      </w:r>
    </w:p>
    <w:p w:rsidR="00DA57F0" w:rsidRDefault="00B75F78" w:rsidP="003733BE">
      <w:pPr>
        <w:pStyle w:val="PwCNormal"/>
        <w:numPr>
          <w:ilvl w:val="0"/>
          <w:numId w:val="0"/>
        </w:numPr>
      </w:pPr>
      <w:r>
        <w:t>The proposed measure outlined in this RIS seeks to achieve a more equitable distribution of compensation across claimants, which ultimately contributes to the objective of delivering a ‘socially and economically appropriate’ scheme.</w:t>
      </w:r>
    </w:p>
    <w:p w:rsidR="004D348F" w:rsidRDefault="00DA57F0" w:rsidP="003733BE">
      <w:pPr>
        <w:pStyle w:val="PwCNormal"/>
        <w:numPr>
          <w:ilvl w:val="0"/>
          <w:numId w:val="0"/>
        </w:numPr>
      </w:pPr>
      <w:r>
        <w:t xml:space="preserve">As a secondary objective, the proposed </w:t>
      </w:r>
      <w:r w:rsidR="00F55F9B">
        <w:t xml:space="preserve">Guides Modification </w:t>
      </w:r>
      <w:r w:rsidR="009D7A98">
        <w:t xml:space="preserve">Document </w:t>
      </w:r>
      <w:r>
        <w:t>also seeks to improve the efficiency of the transport accident compensation scheme</w:t>
      </w:r>
      <w:r w:rsidR="009D7A98">
        <w:t>.</w:t>
      </w:r>
    </w:p>
    <w:p w:rsidR="004D348F" w:rsidRDefault="004D348F" w:rsidP="004D348F">
      <w:pPr>
        <w:pStyle w:val="Heading2"/>
      </w:pPr>
      <w:bookmarkStart w:id="43" w:name="_Toc384227275"/>
      <w:bookmarkStart w:id="44" w:name="_Ref388529733"/>
      <w:bookmarkStart w:id="45" w:name="_Toc391459530"/>
      <w:r>
        <w:lastRenderedPageBreak/>
        <w:t>Options</w:t>
      </w:r>
      <w:bookmarkEnd w:id="43"/>
      <w:bookmarkEnd w:id="44"/>
      <w:bookmarkEnd w:id="45"/>
    </w:p>
    <w:p w:rsidR="004D348F" w:rsidRPr="00915083" w:rsidRDefault="004D348F" w:rsidP="009D7A98">
      <w:pPr>
        <w:pStyle w:val="PwCNormal"/>
      </w:pPr>
      <w:r w:rsidRPr="00873A86">
        <w:t>This chapter sets out the options considered in this RIS to address the problem</w:t>
      </w:r>
      <w:r w:rsidR="00227316">
        <w:t>s</w:t>
      </w:r>
      <w:r w:rsidRPr="00873A86">
        <w:t xml:space="preserve"> identified in Chapter 2.</w:t>
      </w:r>
    </w:p>
    <w:p w:rsidR="004967D5" w:rsidRPr="00915083" w:rsidRDefault="00CF3668" w:rsidP="004967D5">
      <w:pPr>
        <w:pStyle w:val="Heading6"/>
      </w:pPr>
      <w:r>
        <w:t>Option 1: GMD</w:t>
      </w:r>
    </w:p>
    <w:p w:rsidR="001F3E67" w:rsidRDefault="001F3E67" w:rsidP="001F3E67">
      <w:pPr>
        <w:pStyle w:val="PwCNormal"/>
      </w:pPr>
      <w:r>
        <w:t>The TAC considers the most equitable long-term situation to be one where the assessment of multiple fractures is based on the degree to which the fractures cause structural compromise to the spine, rather than just the presence of any kinds of multiple fractures.</w:t>
      </w:r>
    </w:p>
    <w:p w:rsidR="00005DA4" w:rsidRDefault="00005DA4" w:rsidP="00005DA4">
      <w:pPr>
        <w:pStyle w:val="PwCNormal"/>
        <w:numPr>
          <w:ilvl w:val="0"/>
          <w:numId w:val="0"/>
        </w:numPr>
      </w:pPr>
      <w:r>
        <w:t xml:space="preserve">As a first step to correcting the deficiencies in the wording of </w:t>
      </w:r>
      <w:r w:rsidRPr="00232280">
        <w:rPr>
          <w:i/>
        </w:rPr>
        <w:t>Structural Inclusion</w:t>
      </w:r>
      <w:r>
        <w:t xml:space="preserve"> </w:t>
      </w:r>
      <w:r w:rsidRPr="000C666A">
        <w:rPr>
          <w:i/>
        </w:rPr>
        <w:t>(2)</w:t>
      </w:r>
      <w:r>
        <w:t xml:space="preserve"> in DRE Category IV, the </w:t>
      </w:r>
      <w:r w:rsidRPr="00B76A6A">
        <w:rPr>
          <w:i/>
        </w:rPr>
        <w:t>Transport Accident Amendment Act 2013</w:t>
      </w:r>
      <w:r>
        <w:t xml:space="preserve"> was passed by the Victorian Parliament on 14 November 2013. As per Section 46A(2C) of the Act:</w:t>
      </w:r>
    </w:p>
    <w:p w:rsidR="00005DA4" w:rsidRPr="00553554" w:rsidRDefault="00005DA4" w:rsidP="00A021B1">
      <w:pPr>
        <w:pStyle w:val="PwCNormal"/>
        <w:numPr>
          <w:ilvl w:val="0"/>
          <w:numId w:val="0"/>
        </w:numPr>
        <w:ind w:left="720" w:hanging="720"/>
        <w:rPr>
          <w:i/>
        </w:rPr>
      </w:pPr>
      <w:r w:rsidRPr="00553554">
        <w:rPr>
          <w:i/>
        </w:rPr>
        <w:t>(2C)</w:t>
      </w:r>
      <w:r w:rsidRPr="00553554">
        <w:rPr>
          <w:i/>
        </w:rPr>
        <w:tab/>
        <w:t>The Commission may, with the approval of the Minister, make a Guides Modification Document containing guidelines regarding the use and application of the A.M.A</w:t>
      </w:r>
      <w:r w:rsidR="002E67D1">
        <w:rPr>
          <w:i/>
        </w:rPr>
        <w:t>.</w:t>
      </w:r>
      <w:r w:rsidRPr="00553554">
        <w:rPr>
          <w:i/>
        </w:rPr>
        <w:t xml:space="preserve"> Guides for the purposes of this Act including but not limited to guidelines that:</w:t>
      </w:r>
    </w:p>
    <w:p w:rsidR="00005DA4" w:rsidRPr="00553554" w:rsidRDefault="00005DA4" w:rsidP="00005DA4">
      <w:pPr>
        <w:pStyle w:val="PwCNormal"/>
        <w:numPr>
          <w:ilvl w:val="0"/>
          <w:numId w:val="26"/>
        </w:numPr>
        <w:rPr>
          <w:i/>
        </w:rPr>
      </w:pPr>
      <w:r w:rsidRPr="00553554">
        <w:rPr>
          <w:i/>
        </w:rPr>
        <w:t>amend the A.M.</w:t>
      </w:r>
      <w:r>
        <w:rPr>
          <w:i/>
        </w:rPr>
        <w:t>A.</w:t>
      </w:r>
      <w:r w:rsidRPr="00553554">
        <w:rPr>
          <w:i/>
        </w:rPr>
        <w:t xml:space="preserve"> Guides</w:t>
      </w:r>
      <w:r w:rsidR="00305677">
        <w:rPr>
          <w:i/>
        </w:rPr>
        <w:t>;</w:t>
      </w:r>
    </w:p>
    <w:p w:rsidR="00005DA4" w:rsidRPr="00553554" w:rsidRDefault="00005DA4" w:rsidP="00005DA4">
      <w:pPr>
        <w:pStyle w:val="PwCNormal"/>
        <w:numPr>
          <w:ilvl w:val="0"/>
          <w:numId w:val="26"/>
        </w:numPr>
        <w:rPr>
          <w:i/>
        </w:rPr>
      </w:pPr>
      <w:r w:rsidRPr="00553554">
        <w:rPr>
          <w:i/>
        </w:rPr>
        <w:t>provide for the application or interpretation of the A.M.A</w:t>
      </w:r>
      <w:r w:rsidR="002E67D1">
        <w:rPr>
          <w:i/>
        </w:rPr>
        <w:t>.</w:t>
      </w:r>
      <w:r w:rsidRPr="00553554">
        <w:rPr>
          <w:i/>
        </w:rPr>
        <w:t xml:space="preserve"> Guides, including provision for modified application, or exclusion, of part o</w:t>
      </w:r>
      <w:r w:rsidR="00305677">
        <w:rPr>
          <w:i/>
        </w:rPr>
        <w:t>r</w:t>
      </w:r>
      <w:r w:rsidRPr="00553554">
        <w:rPr>
          <w:i/>
        </w:rPr>
        <w:t xml:space="preserve"> all of the A.M.A</w:t>
      </w:r>
      <w:r w:rsidR="002E67D1">
        <w:rPr>
          <w:i/>
        </w:rPr>
        <w:t>.</w:t>
      </w:r>
      <w:r w:rsidRPr="00553554">
        <w:rPr>
          <w:i/>
        </w:rPr>
        <w:t xml:space="preserve"> Guides</w:t>
      </w:r>
      <w:r>
        <w:rPr>
          <w:i/>
        </w:rPr>
        <w:t>, or</w:t>
      </w:r>
      <w:r w:rsidRPr="00553554">
        <w:rPr>
          <w:i/>
        </w:rPr>
        <w:t>;</w:t>
      </w:r>
    </w:p>
    <w:p w:rsidR="00005DA4" w:rsidRPr="00553554" w:rsidRDefault="00005DA4" w:rsidP="00005DA4">
      <w:pPr>
        <w:pStyle w:val="PwCNormal"/>
        <w:numPr>
          <w:ilvl w:val="0"/>
          <w:numId w:val="26"/>
        </w:numPr>
        <w:rPr>
          <w:i/>
        </w:rPr>
      </w:pPr>
      <w:r w:rsidRPr="00553554">
        <w:rPr>
          <w:i/>
        </w:rPr>
        <w:t>substitute or replace part o</w:t>
      </w:r>
      <w:r w:rsidR="00305677">
        <w:rPr>
          <w:i/>
        </w:rPr>
        <w:t>r</w:t>
      </w:r>
      <w:r w:rsidRPr="00553554">
        <w:rPr>
          <w:i/>
        </w:rPr>
        <w:t xml:space="preserve"> all of the A.M.A</w:t>
      </w:r>
      <w:r w:rsidR="002E67D1">
        <w:rPr>
          <w:i/>
        </w:rPr>
        <w:t>.</w:t>
      </w:r>
      <w:r w:rsidRPr="00553554">
        <w:rPr>
          <w:i/>
        </w:rPr>
        <w:t xml:space="preserve"> Guides.</w:t>
      </w:r>
    </w:p>
    <w:p w:rsidR="00005DA4" w:rsidRPr="00300996" w:rsidRDefault="00005DA4" w:rsidP="00005DA4">
      <w:pPr>
        <w:pStyle w:val="PwCNormal"/>
        <w:numPr>
          <w:ilvl w:val="0"/>
          <w:numId w:val="0"/>
        </w:numPr>
        <w:rPr>
          <w:i/>
        </w:rPr>
      </w:pPr>
      <w:r w:rsidRPr="00553554">
        <w:rPr>
          <w:i/>
        </w:rPr>
        <w:t>(2D)</w:t>
      </w:r>
      <w:r w:rsidRPr="00553554">
        <w:rPr>
          <w:i/>
        </w:rPr>
        <w:tab/>
        <w:t>A Guides Modification Document made under subsection (2C) must be published in the Government Gazette as soon as practicable after it is approved by the Minister.</w:t>
      </w:r>
    </w:p>
    <w:p w:rsidR="00376A58" w:rsidRDefault="00F72A47" w:rsidP="001F3E67">
      <w:pPr>
        <w:pStyle w:val="PwCNormal"/>
      </w:pPr>
      <w:r>
        <w:t>The viable option considered in this RIS relate</w:t>
      </w:r>
      <w:r w:rsidR="00321888">
        <w:t>s</w:t>
      </w:r>
      <w:r>
        <w:t xml:space="preserve"> to the introduction of a Guides Modification Document (GMD) that would modify the conditions that justify an impairment being rated as a </w:t>
      </w:r>
      <w:r w:rsidRPr="00482221">
        <w:rPr>
          <w:i/>
        </w:rPr>
        <w:t>Structural Inclusion (2)</w:t>
      </w:r>
      <w:r w:rsidRPr="00BB2AC0">
        <w:t xml:space="preserve"> </w:t>
      </w:r>
      <w:r>
        <w:t>of DRE Category IV</w:t>
      </w:r>
      <w:r w:rsidRPr="00BB2AC0">
        <w:t>.</w:t>
      </w:r>
      <w:r>
        <w:t xml:space="preserve"> The</w:t>
      </w:r>
      <w:r w:rsidRPr="001A685B">
        <w:t xml:space="preserve"> </w:t>
      </w:r>
      <w:r>
        <w:t xml:space="preserve">GMD </w:t>
      </w:r>
      <w:r w:rsidRPr="009F0F73">
        <w:t xml:space="preserve">has been developed by an </w:t>
      </w:r>
      <w:r>
        <w:t xml:space="preserve">independent Spinal Expert Panel and seeks to address the wording issues in DRE Category IV without amending </w:t>
      </w:r>
      <w:r w:rsidR="007E25E6">
        <w:t xml:space="preserve">any </w:t>
      </w:r>
      <w:r>
        <w:t xml:space="preserve">other </w:t>
      </w:r>
      <w:r w:rsidR="007B1D00">
        <w:t xml:space="preserve">Chapters </w:t>
      </w:r>
      <w:r>
        <w:t xml:space="preserve">of the Guides. </w:t>
      </w:r>
      <w:r>
        <w:fldChar w:fldCharType="begin"/>
      </w:r>
      <w:r>
        <w:instrText xml:space="preserve"> REF _Ref387998316 \h </w:instrText>
      </w:r>
      <w:r>
        <w:fldChar w:fldCharType="separate"/>
      </w:r>
      <w:r w:rsidR="00542564">
        <w:t xml:space="preserve">Figure </w:t>
      </w:r>
      <w:r w:rsidR="00542564">
        <w:rPr>
          <w:noProof/>
        </w:rPr>
        <w:t>2</w:t>
      </w:r>
      <w:r>
        <w:fldChar w:fldCharType="end"/>
      </w:r>
      <w:r>
        <w:t xml:space="preserve"> below outlines the areas in which the proposed GMD will override the current Guides.</w:t>
      </w:r>
    </w:p>
    <w:p w:rsidR="005B3ED8" w:rsidRPr="001F3E67" w:rsidRDefault="00F72A47" w:rsidP="00022048">
      <w:pPr>
        <w:pStyle w:val="Caption"/>
        <w:tabs>
          <w:tab w:val="clear" w:pos="992"/>
          <w:tab w:val="left" w:pos="0"/>
        </w:tabs>
        <w:ind w:left="0" w:firstLine="0"/>
      </w:pPr>
      <w:bookmarkStart w:id="46" w:name="_Ref387998316"/>
      <w:r>
        <w:t xml:space="preserve">Figure </w:t>
      </w:r>
      <w:fldSimple w:instr=" SEQ Figure \* ARABIC ">
        <w:r w:rsidR="00542564">
          <w:rPr>
            <w:noProof/>
          </w:rPr>
          <w:t>2</w:t>
        </w:r>
      </w:fldSimple>
      <w:bookmarkEnd w:id="46"/>
      <w:r>
        <w:t xml:space="preserve">: </w:t>
      </w:r>
      <w:r w:rsidR="005B3ED8" w:rsidRPr="00F72A47">
        <w:t>Development of the GMD</w:t>
      </w:r>
    </w:p>
    <w:p w:rsidR="00376A58" w:rsidRPr="001A685B" w:rsidRDefault="006645C7" w:rsidP="001F3E67">
      <w:pPr>
        <w:pStyle w:val="PwCNormal"/>
        <w:pBdr>
          <w:top w:val="single" w:sz="4" w:space="1" w:color="A72316" w:themeColor="accent2" w:themeShade="BF"/>
          <w:left w:val="single" w:sz="4" w:space="4" w:color="A72316" w:themeColor="accent2" w:themeShade="BF"/>
          <w:bottom w:val="single" w:sz="4" w:space="1" w:color="A72316" w:themeColor="accent2" w:themeShade="BF"/>
          <w:right w:val="single" w:sz="4" w:space="4" w:color="A72316" w:themeColor="accent2" w:themeShade="BF"/>
        </w:pBdr>
        <w:shd w:val="clear" w:color="auto" w:fill="F4CACA" w:themeFill="text2" w:themeFillTint="33"/>
      </w:pPr>
      <w:r>
        <w:t>The significant decisions made by the Spinal Expert Panel in the drafting of the GMD are categorised below</w:t>
      </w:r>
      <w:r w:rsidR="002E67D1">
        <w:t>:</w:t>
      </w:r>
    </w:p>
    <w:p w:rsidR="006645C7" w:rsidRDefault="006645C7" w:rsidP="00785051">
      <w:pPr>
        <w:pStyle w:val="PwCNormal"/>
        <w:pBdr>
          <w:top w:val="single" w:sz="4" w:space="1" w:color="A72316" w:themeColor="accent2" w:themeShade="BF"/>
          <w:left w:val="single" w:sz="4" w:space="4" w:color="A72316" w:themeColor="accent2" w:themeShade="BF"/>
          <w:bottom w:val="single" w:sz="4" w:space="1" w:color="A72316" w:themeColor="accent2" w:themeShade="BF"/>
          <w:right w:val="single" w:sz="4" w:space="4" w:color="A72316" w:themeColor="accent2" w:themeShade="BF"/>
        </w:pBdr>
        <w:shd w:val="clear" w:color="auto" w:fill="F4CACA" w:themeFill="text2" w:themeFillTint="33"/>
      </w:pPr>
      <w:r>
        <w:t xml:space="preserve">The proposed GMD introduced a definition of fracture (see 3.4 of the GMD) as no definition was previously contained in the Guides. This will provide clarity for examiners and consistency in assessments. The definition excludes minor pathology such as bone bruising or microtrabecular fractures that can only be seen or implied on MRI or nuclear scanning. </w:t>
      </w:r>
    </w:p>
    <w:p w:rsidR="006645C7" w:rsidRDefault="006645C7" w:rsidP="00785051">
      <w:pPr>
        <w:pStyle w:val="PwCNormal"/>
        <w:pBdr>
          <w:top w:val="single" w:sz="4" w:space="1" w:color="A72316" w:themeColor="accent2" w:themeShade="BF"/>
          <w:left w:val="single" w:sz="4" w:space="4" w:color="A72316" w:themeColor="accent2" w:themeShade="BF"/>
          <w:bottom w:val="single" w:sz="4" w:space="1" w:color="A72316" w:themeColor="accent2" w:themeShade="BF"/>
          <w:right w:val="single" w:sz="4" w:space="4" w:color="A72316" w:themeColor="accent2" w:themeShade="BF"/>
        </w:pBdr>
        <w:shd w:val="clear" w:color="auto" w:fill="F4CACA" w:themeFill="text2" w:themeFillTint="33"/>
      </w:pPr>
      <w:r>
        <w:t xml:space="preserve">The GMD has replaced the single gradation of structural fractures with four gradations of increasing severity and a new DRE Category III. The </w:t>
      </w:r>
      <w:r w:rsidR="00F36922">
        <w:t>Expert Panel</w:t>
      </w:r>
      <w:r>
        <w:t xml:space="preserve"> has developed a new table of structural inclusions - Table A (see pages 17-19 of the GMD) which takes into account conditions affecting single and multiple fractures of the vertebrae and surgical or other procedures. This provides the assessor with a range of ratings from DRE I-IV so the appropriate category can be chosen for the injury on the basis that the more severe the injury the higher the DRE Category and degree of WPI. </w:t>
      </w:r>
    </w:p>
    <w:p w:rsidR="006645C7" w:rsidRDefault="006645C7" w:rsidP="00785051">
      <w:pPr>
        <w:pStyle w:val="PwCNormal"/>
        <w:pBdr>
          <w:top w:val="single" w:sz="4" w:space="1" w:color="A72316" w:themeColor="accent2" w:themeShade="BF"/>
          <w:left w:val="single" w:sz="4" w:space="4" w:color="A72316" w:themeColor="accent2" w:themeShade="BF"/>
          <w:bottom w:val="single" w:sz="4" w:space="1" w:color="A72316" w:themeColor="accent2" w:themeShade="BF"/>
          <w:right w:val="single" w:sz="4" w:space="4" w:color="A72316" w:themeColor="accent2" w:themeShade="BF"/>
        </w:pBdr>
        <w:shd w:val="clear" w:color="auto" w:fill="F4CACA" w:themeFill="text2" w:themeFillTint="33"/>
      </w:pPr>
      <w:r>
        <w:t xml:space="preserve">The Expert Panel has provided detailed definitions about what parts of the spine constitute each assessment region of the spine (see Clause 5 of the GMD) including pathology on the borders. The </w:t>
      </w:r>
      <w:r w:rsidR="00F36922">
        <w:t>Expert Panel</w:t>
      </w:r>
      <w:r>
        <w:t xml:space="preserve"> has made the rules in the GMD quite explicit so that spinal assessments will be easier to undertake and be more consistent (see Terms</w:t>
      </w:r>
      <w:r w:rsidR="00837C36">
        <w:t xml:space="preserve"> of Reference Clause 2 and 9).</w:t>
      </w:r>
    </w:p>
    <w:p w:rsidR="00376A58" w:rsidRPr="00D9523A" w:rsidRDefault="006645C7" w:rsidP="00785051">
      <w:pPr>
        <w:pStyle w:val="PwCNormal"/>
        <w:pBdr>
          <w:top w:val="single" w:sz="4" w:space="1" w:color="A72316" w:themeColor="accent2" w:themeShade="BF"/>
          <w:left w:val="single" w:sz="4" w:space="4" w:color="A72316" w:themeColor="accent2" w:themeShade="BF"/>
          <w:bottom w:val="single" w:sz="4" w:space="1" w:color="A72316" w:themeColor="accent2" w:themeShade="BF"/>
          <w:right w:val="single" w:sz="4" w:space="4" w:color="A72316" w:themeColor="accent2" w:themeShade="BF"/>
        </w:pBdr>
        <w:shd w:val="clear" w:color="auto" w:fill="F4CACA" w:themeFill="text2" w:themeFillTint="33"/>
      </w:pPr>
      <w:r>
        <w:lastRenderedPageBreak/>
        <w:t>The Expert Panel also confirmed that that assessment of fractures is best undertaken by using x-rays and or CT scans. This provides direction to assessors that MRI scans or flexion / extension x-rays are not required to conduct an assessment. However there should be clear evidence of a fracture objectively confirmed. This will also assist in making assessments easier to undertake and more efficient as there is no need to obtain additional scans solely for the purpose of an impairment assessment.</w:t>
      </w:r>
    </w:p>
    <w:p w:rsidR="004967D5" w:rsidRPr="00785051" w:rsidRDefault="000A1F0C" w:rsidP="004967D5">
      <w:r>
        <w:t>The new method provides a gradated approach to assessment of multiple fractures and spinal surgeries so only fractures that have the capacity to compromise the spinal structure will be assessed as DRE IV. The proposed GMD will place approximately 80 per cent of these claimants at a pre-Serwylo level of impairment.</w:t>
      </w:r>
      <w:r w:rsidR="00765D8B">
        <w:rPr>
          <w:rStyle w:val="FootnoteReference"/>
        </w:rPr>
        <w:footnoteReference w:id="34"/>
      </w:r>
      <w:r w:rsidR="00765D8B" w:rsidRPr="00765D8B">
        <w:t xml:space="preserve"> </w:t>
      </w:r>
      <w:r w:rsidR="00195CE1">
        <w:t>According to the TAC, t</w:t>
      </w:r>
      <w:r w:rsidR="004967D5" w:rsidRPr="00785051">
        <w:t>he Expert Panel’s approach did not fully restore the pre-Serwylo position as it was</w:t>
      </w:r>
      <w:r w:rsidR="00195CE1">
        <w:t xml:space="preserve"> an</w:t>
      </w:r>
      <w:r w:rsidR="004967D5" w:rsidRPr="00785051">
        <w:t xml:space="preserve"> inadequate method of assessing the diverse range of multiple spinal fractures</w:t>
      </w:r>
      <w:r w:rsidR="00DA2AF8">
        <w:t xml:space="preserve"> (due to the </w:t>
      </w:r>
      <w:r w:rsidR="00741481">
        <w:t xml:space="preserve">limited assessment options </w:t>
      </w:r>
      <w:r w:rsidR="003C217B">
        <w:t xml:space="preserve">in the current Guides, discussed in </w:t>
      </w:r>
      <w:r w:rsidR="003C217B">
        <w:fldChar w:fldCharType="begin"/>
      </w:r>
      <w:r w:rsidR="003C217B">
        <w:instrText xml:space="preserve"> REF _Ref387998316 \h </w:instrText>
      </w:r>
      <w:r w:rsidR="003C217B">
        <w:fldChar w:fldCharType="separate"/>
      </w:r>
      <w:r w:rsidR="00542564">
        <w:t xml:space="preserve">Figure </w:t>
      </w:r>
      <w:r w:rsidR="00542564">
        <w:rPr>
          <w:noProof/>
        </w:rPr>
        <w:t>2</w:t>
      </w:r>
      <w:r w:rsidR="003C217B">
        <w:fldChar w:fldCharType="end"/>
      </w:r>
      <w:r w:rsidR="003C217B">
        <w:t>)</w:t>
      </w:r>
      <w:r w:rsidR="00DA2AF8">
        <w:t xml:space="preserve"> </w:t>
      </w:r>
      <w:r w:rsidR="004967D5" w:rsidRPr="00785051">
        <w:t>and there was little information about how the consequences of spinal surgery should be assessed</w:t>
      </w:r>
      <w:r w:rsidR="00DA2AF8">
        <w:t xml:space="preserve"> (such as fusions)</w:t>
      </w:r>
      <w:r w:rsidR="004967D5" w:rsidRPr="00785051">
        <w:t xml:space="preserve">. The Expert Panel has proposed a fairer approach of assessing fractures in accordance with Table A in the GMD which provides for a gradated assessment based on the severity of the fracture. The </w:t>
      </w:r>
      <w:r w:rsidR="00F36922">
        <w:t>Expert Panel</w:t>
      </w:r>
      <w:r w:rsidR="004967D5" w:rsidRPr="00785051">
        <w:t xml:space="preserve"> has replaced the single gradation with four gradations of increasing severity including a new DRE Category III rating.</w:t>
      </w:r>
    </w:p>
    <w:p w:rsidR="000A1F0C" w:rsidRDefault="000A1F0C" w:rsidP="00785051">
      <w:pPr>
        <w:pStyle w:val="PwCNormal"/>
      </w:pPr>
      <w:r>
        <w:t>After the introduction of the GMD, if minor spinal fractures are the only injury sustained in the transport accident the person will not exceed the 10% WPI threshold for an impairment benefit.</w:t>
      </w:r>
      <w:r w:rsidR="00305677">
        <w:rPr>
          <w:rStyle w:val="FootnoteReference"/>
        </w:rPr>
        <w:footnoteReference w:id="35"/>
      </w:r>
    </w:p>
    <w:p w:rsidR="00CF3668" w:rsidRDefault="00CF3668" w:rsidP="00CF3668">
      <w:pPr>
        <w:pStyle w:val="PwCNormal"/>
        <w:numPr>
          <w:ilvl w:val="0"/>
          <w:numId w:val="0"/>
        </w:numPr>
      </w:pPr>
      <w:r>
        <w:t>The</w:t>
      </w:r>
      <w:r w:rsidRPr="005B1E6F">
        <w:t xml:space="preserve"> </w:t>
      </w:r>
      <w:r>
        <w:t>TAC has determined that the enactment of the GMD is the only viable option to rectify the problem since:</w:t>
      </w:r>
    </w:p>
    <w:p w:rsidR="00CF3668" w:rsidRDefault="00CF3668" w:rsidP="00D60513">
      <w:pPr>
        <w:pStyle w:val="ListBullet"/>
      </w:pPr>
      <w:r w:rsidRPr="005B1E6F">
        <w:t xml:space="preserve">The TAC has no </w:t>
      </w:r>
      <w:r>
        <w:t xml:space="preserve">viable </w:t>
      </w:r>
      <w:r w:rsidRPr="005B1E6F">
        <w:t xml:space="preserve">alternative to the </w:t>
      </w:r>
      <w:r>
        <w:t>proposed GMD</w:t>
      </w:r>
      <w:r w:rsidRPr="005B1E6F">
        <w:t xml:space="preserve"> under its current legislative framework, and indeed the </w:t>
      </w:r>
      <w:r w:rsidRPr="005B1E6F">
        <w:rPr>
          <w:i/>
        </w:rPr>
        <w:t>Transport Accident Amendment Act 2013</w:t>
      </w:r>
      <w:r w:rsidRPr="005B1E6F">
        <w:t xml:space="preserve"> was enacted with this modification in mind.</w:t>
      </w:r>
    </w:p>
    <w:p w:rsidR="00CF3668" w:rsidRDefault="00CF3668" w:rsidP="00D60513">
      <w:pPr>
        <w:pStyle w:val="ListBullet"/>
      </w:pPr>
      <w:r>
        <w:t xml:space="preserve">As the problem is in relation to the wording of the Guides, non-regulatory approaches, such as retraining assessors, would not be appropriate in this instance to rectify the words of DRE Category IV. Legislative amendment is the necessary option for the TAC to override the text of the Guides and the </w:t>
      </w:r>
      <w:r w:rsidRPr="00005DA4">
        <w:rPr>
          <w:i/>
        </w:rPr>
        <w:t>Transport Accident Amendment Act 2013</w:t>
      </w:r>
      <w:r>
        <w:t xml:space="preserve"> provides the only viable avenue for this.</w:t>
      </w:r>
    </w:p>
    <w:p w:rsidR="00CF3668" w:rsidRDefault="00CF3668" w:rsidP="00D60513">
      <w:pPr>
        <w:pStyle w:val="ListBullet"/>
      </w:pPr>
      <w:r>
        <w:t>Due to the complexity of the AMA Guides</w:t>
      </w:r>
      <w:r w:rsidR="00321888">
        <w:t>,</w:t>
      </w:r>
      <w:r>
        <w:t xml:space="preserve"> which contains 11 Chapters of detailed assessments of body systems it was not a viable option to change the way other types of injuries were assessed to restore relative equity. This would require extensive consultation with a wide range </w:t>
      </w:r>
      <w:r w:rsidR="00712430">
        <w:t xml:space="preserve">of </w:t>
      </w:r>
      <w:r>
        <w:t>medical experts to consider the re-evaluation of all the assessment tables and charts in the Guides that were not currently causing any substantial concerns. As the problem identified related to a very discrete issue that was confined to one chapter of the Guides it more appropriate to refer the modification of the DRE methodology to an independent Expert Panel of orthopaedic examiners for review and amendment.</w:t>
      </w:r>
    </w:p>
    <w:p w:rsidR="00CF3668" w:rsidRDefault="00CF3668" w:rsidP="00D60513">
      <w:pPr>
        <w:pStyle w:val="ListBullet"/>
      </w:pPr>
      <w:r w:rsidRPr="006E504C">
        <w:t xml:space="preserve">The Expert Panel reviewed other compensation schemes’ approaches but opted to create their own methodology for assessing spinal fractures. The Expert panel by consensus has developed the preferred method of assessment in the GMD with input from accredited Guides assessors following consultation. </w:t>
      </w:r>
    </w:p>
    <w:p w:rsidR="00317BC3" w:rsidRPr="00915083" w:rsidRDefault="00317BC3" w:rsidP="00317BC3">
      <w:pPr>
        <w:pStyle w:val="Heading7"/>
      </w:pPr>
      <w:r>
        <w:lastRenderedPageBreak/>
        <w:t>Consultation</w:t>
      </w:r>
    </w:p>
    <w:p w:rsidR="00317BC3" w:rsidRDefault="00317BC3" w:rsidP="00317BC3">
      <w:pPr>
        <w:pStyle w:val="Minorheading2"/>
      </w:pPr>
      <w:r>
        <w:t>Summary of the process and approach taken by the Spinal Expert Panel</w:t>
      </w:r>
    </w:p>
    <w:p w:rsidR="00317BC3" w:rsidRDefault="00317BC3" w:rsidP="00317BC3">
      <w:pPr>
        <w:pStyle w:val="PwCNormal"/>
        <w:numPr>
          <w:ilvl w:val="0"/>
          <w:numId w:val="0"/>
        </w:numPr>
      </w:pPr>
      <w:r>
        <w:t>When the TAC engaged the independent Spinal Expert Panel to develop the</w:t>
      </w:r>
      <w:r w:rsidR="002C64D1">
        <w:t xml:space="preserve"> GMD</w:t>
      </w:r>
      <w:r w:rsidRPr="008E09AF">
        <w:t>,</w:t>
      </w:r>
      <w:r>
        <w:t xml:space="preserve"> the Terms of </w:t>
      </w:r>
      <w:r w:rsidR="00C23A73">
        <w:t>Reference required</w:t>
      </w:r>
      <w:r>
        <w:t xml:space="preserve"> the Expert Panel to consult with other medical practitioners who were accredited Guides assessors.</w:t>
      </w:r>
      <w:r w:rsidR="000807AC" w:rsidRPr="000807AC">
        <w:rPr>
          <w:rStyle w:val="FootnoteReference"/>
        </w:rPr>
        <w:t xml:space="preserve"> </w:t>
      </w:r>
      <w:r w:rsidR="000807AC">
        <w:rPr>
          <w:rStyle w:val="FootnoteReference"/>
        </w:rPr>
        <w:footnoteReference w:id="36"/>
      </w:r>
    </w:p>
    <w:p w:rsidR="00317BC3" w:rsidRDefault="00317BC3" w:rsidP="00317BC3">
      <w:r>
        <w:t>On 12 March 2014, the Expert Panel held a consultation session for all impairment examiners who were accredited in the Spine module of the Ministerially</w:t>
      </w:r>
      <w:r w:rsidR="002C64D1">
        <w:t>-</w:t>
      </w:r>
      <w:r>
        <w:t xml:space="preserve">approved training course in the use of the Guides. The impairment examiners were provided with a draft version of the </w:t>
      </w:r>
      <w:r w:rsidR="002C64D1">
        <w:t xml:space="preserve">GMD </w:t>
      </w:r>
      <w:r>
        <w:t xml:space="preserve">and asked to test its proposed methodology using various common impairment assessment scenarios. Feedback received from the impairment examiners confirmed the validity of approaches taken by the Expert Panel and highlighted some parts of the methodology </w:t>
      </w:r>
      <w:r w:rsidR="002C64D1">
        <w:t>that</w:t>
      </w:r>
      <w:r>
        <w:t xml:space="preserve"> required further work.</w:t>
      </w:r>
    </w:p>
    <w:p w:rsidR="00317BC3" w:rsidRDefault="0085604B" w:rsidP="00317BC3">
      <w:pPr>
        <w:pStyle w:val="PwCNormal"/>
        <w:numPr>
          <w:ilvl w:val="0"/>
          <w:numId w:val="0"/>
        </w:numPr>
      </w:pPr>
      <w:r>
        <w:t xml:space="preserve">Feedback provided by stakeholders at the </w:t>
      </w:r>
      <w:r w:rsidR="00195CE1">
        <w:t xml:space="preserve">Expert Panel’s </w:t>
      </w:r>
      <w:r>
        <w:t xml:space="preserve">consultation </w:t>
      </w:r>
      <w:r w:rsidR="00195CE1">
        <w:t>session</w:t>
      </w:r>
      <w:r>
        <w:t xml:space="preserve"> included:</w:t>
      </w:r>
    </w:p>
    <w:p w:rsidR="0085604B" w:rsidRDefault="0085604B" w:rsidP="00785051">
      <w:pPr>
        <w:pStyle w:val="ListBullet"/>
      </w:pPr>
      <w:r>
        <w:t>Positive feedback that the inclusion of ‘definitions’ within the GMD was of assistance to examiners. Feedback included a request for a clearer definition of the term ‘per-</w:t>
      </w:r>
      <w:r w:rsidR="002E67D1">
        <w:t>cutaneous</w:t>
      </w:r>
      <w:r>
        <w:t xml:space="preserve"> spinal procedure’. Consequently, a definition of ‘per-cutaneous spinal procedure’ was added to the GMD. </w:t>
      </w:r>
    </w:p>
    <w:p w:rsidR="0085604B" w:rsidRDefault="0085604B" w:rsidP="00785051">
      <w:pPr>
        <w:pStyle w:val="ListBullet"/>
      </w:pPr>
      <w:r>
        <w:t>Positive feedback regarding the</w:t>
      </w:r>
      <w:r w:rsidR="002C64D1">
        <w:t xml:space="preserve"> potential addition </w:t>
      </w:r>
      <w:r>
        <w:t>of a table of structural inclusions</w:t>
      </w:r>
      <w:r w:rsidR="003507FA">
        <w:t xml:space="preserve"> and </w:t>
      </w:r>
      <w:r>
        <w:t>consideration of surgical procedures within th</w:t>
      </w:r>
      <w:r w:rsidR="003507FA">
        <w:t>at</w:t>
      </w:r>
      <w:r>
        <w:t xml:space="preserve"> table. Some feedback highlighted a possible variation of surgical procedure that had not been accounted for in the draft of the table at that time. Consequently, the table was amended to take account of that specific variant of surgical procedure.</w:t>
      </w:r>
    </w:p>
    <w:p w:rsidR="0085604B" w:rsidRDefault="0085604B" w:rsidP="00785051">
      <w:pPr>
        <w:pStyle w:val="ListBullet"/>
        <w:keepNext/>
        <w:keepLines/>
      </w:pPr>
      <w:r w:rsidRPr="00A5352B">
        <w:t xml:space="preserve">Feedback </w:t>
      </w:r>
      <w:r w:rsidRPr="005528EA">
        <w:t xml:space="preserve">that the table of structural inclusions did not properly take account of </w:t>
      </w:r>
      <w:r w:rsidR="003507FA">
        <w:t xml:space="preserve">the </w:t>
      </w:r>
      <w:r w:rsidRPr="005528EA">
        <w:t>level of impairment that should be associated with multiple non-displaced fractures of some posterior ele</w:t>
      </w:r>
      <w:r w:rsidR="00837C36">
        <w:t xml:space="preserve">ments of the spinal vertebrae. </w:t>
      </w:r>
      <w:r w:rsidRPr="005528EA">
        <w:t>Consequently, the table</w:t>
      </w:r>
      <w:r w:rsidRPr="00837C36">
        <w:t xml:space="preserve"> of structural</w:t>
      </w:r>
      <w:r>
        <w:t xml:space="preserve"> inclusions was amended to include certain multiple fracture patterns that should justify a DRE III Category assessment.</w:t>
      </w:r>
    </w:p>
    <w:p w:rsidR="00317BC3" w:rsidRDefault="00317BC3" w:rsidP="00317BC3">
      <w:pPr>
        <w:pStyle w:val="PwCNormal"/>
        <w:numPr>
          <w:ilvl w:val="0"/>
          <w:numId w:val="0"/>
        </w:numPr>
      </w:pPr>
      <w:r>
        <w:t xml:space="preserve">The TAC is also proposing to conduct an information session about the </w:t>
      </w:r>
      <w:r w:rsidR="00195CE1">
        <w:t xml:space="preserve">GMD </w:t>
      </w:r>
      <w:r>
        <w:t>with its legal stakeholders. The legal stakeholders not only represent TAC clients but will also use the</w:t>
      </w:r>
      <w:r w:rsidR="00195CE1">
        <w:t xml:space="preserve"> GMD </w:t>
      </w:r>
      <w:r>
        <w:t>to advise their clients. At the information session, the legal practitioners will be taken through the document and will be given the opportunity to provide feedback on the proposed methodology and timing options.</w:t>
      </w:r>
    </w:p>
    <w:p w:rsidR="004D348F" w:rsidRDefault="004D348F" w:rsidP="0078338B">
      <w:pPr>
        <w:pStyle w:val="Heading6"/>
      </w:pPr>
      <w:bookmarkStart w:id="47" w:name="_Ref387405410"/>
      <w:r w:rsidRPr="00915083">
        <w:t xml:space="preserve">Viable </w:t>
      </w:r>
      <w:r w:rsidR="00CF3668">
        <w:t xml:space="preserve">implementation </w:t>
      </w:r>
      <w:r w:rsidRPr="00915083">
        <w:t>options</w:t>
      </w:r>
      <w:bookmarkEnd w:id="47"/>
    </w:p>
    <w:p w:rsidR="00317BC3" w:rsidRDefault="00CF3668" w:rsidP="00317BC3">
      <w:pPr>
        <w:pStyle w:val="PwCNormal"/>
        <w:numPr>
          <w:ilvl w:val="0"/>
          <w:numId w:val="0"/>
        </w:numPr>
      </w:pPr>
      <w:r>
        <w:t xml:space="preserve">As the TAC has no viable alternative to the GMD, the options analysed in detail in the remaining parts of this chapter </w:t>
      </w:r>
      <w:r w:rsidR="00317BC3">
        <w:t>relate to differences</w:t>
      </w:r>
      <w:r w:rsidR="00317BC3" w:rsidRPr="005B1E6F">
        <w:t xml:space="preserve"> </w:t>
      </w:r>
      <w:r w:rsidR="00317BC3">
        <w:t>in potential</w:t>
      </w:r>
      <w:r w:rsidR="00317BC3" w:rsidRPr="005B1E6F">
        <w:t xml:space="preserve"> timing</w:t>
      </w:r>
      <w:r w:rsidR="00317BC3">
        <w:t xml:space="preserve"> and suitable implementation thresholds (i.e. which specific points in the process of making a claim) for the GMD</w:t>
      </w:r>
      <w:r>
        <w:t>.</w:t>
      </w:r>
      <w:r w:rsidR="005B3BE6">
        <w:t xml:space="preserve"> It is important to note that the expected release date of the GMD is 1 July 2014, therefore both implementation options are considered using this as the reference date.</w:t>
      </w:r>
    </w:p>
    <w:p w:rsidR="004D348F" w:rsidRPr="00915083" w:rsidRDefault="00CF3668" w:rsidP="0078338B">
      <w:pPr>
        <w:pStyle w:val="Heading7"/>
      </w:pPr>
      <w:r>
        <w:t xml:space="preserve">Implementation </w:t>
      </w:r>
      <w:r w:rsidR="004D348F" w:rsidRPr="00915083">
        <w:t xml:space="preserve">Option 1: Accident date (1 </w:t>
      </w:r>
      <w:r w:rsidR="00B9311B">
        <w:t>September</w:t>
      </w:r>
      <w:r w:rsidR="004D348F" w:rsidRPr="00915083">
        <w:t xml:space="preserve"> 2014)</w:t>
      </w:r>
    </w:p>
    <w:p w:rsidR="00891358" w:rsidRDefault="00891358" w:rsidP="00891358">
      <w:pPr>
        <w:pStyle w:val="PwCNormal"/>
      </w:pPr>
      <w:r>
        <w:t xml:space="preserve">The first </w:t>
      </w:r>
      <w:r w:rsidR="00CF3668">
        <w:t xml:space="preserve">implementation </w:t>
      </w:r>
      <w:r>
        <w:t xml:space="preserve">option is for the </w:t>
      </w:r>
      <w:r w:rsidR="002C10B0">
        <w:t>GMD</w:t>
      </w:r>
      <w:r>
        <w:t xml:space="preserve"> to apply to impairment assessments for all claimants injured in transport accidents that occurred on or after </w:t>
      </w:r>
      <w:r w:rsidR="00B9311B">
        <w:t>1 September 2014.</w:t>
      </w:r>
    </w:p>
    <w:p w:rsidR="004D348F" w:rsidRDefault="00B9311B" w:rsidP="007B65CA">
      <w:pPr>
        <w:pStyle w:val="PwCNormal"/>
        <w:numPr>
          <w:ilvl w:val="0"/>
          <w:numId w:val="0"/>
        </w:numPr>
      </w:pPr>
      <w:r>
        <w:t xml:space="preserve">Under this implementation option, all claimants with an accident date </w:t>
      </w:r>
      <w:r w:rsidR="007221A3">
        <w:t>on or after</w:t>
      </w:r>
      <w:r>
        <w:t xml:space="preserve"> 1 September 2014 would be subject to the new method of assessment as per the GMD</w:t>
      </w:r>
      <w:r w:rsidR="00227316">
        <w:t>.</w:t>
      </w:r>
      <w:r w:rsidR="00891358">
        <w:t xml:space="preserve"> </w:t>
      </w:r>
      <w:r w:rsidR="007B65CA">
        <w:lastRenderedPageBreak/>
        <w:t>Conversely, c</w:t>
      </w:r>
      <w:r w:rsidR="00891358">
        <w:t>laimants injured prior to 1 </w:t>
      </w:r>
      <w:r>
        <w:t xml:space="preserve">September </w:t>
      </w:r>
      <w:r w:rsidR="00891358">
        <w:t xml:space="preserve">2014 would continue to have their impairment assessed using the criteria under the current </w:t>
      </w:r>
      <w:r w:rsidR="00891358" w:rsidRPr="001F7CD5">
        <w:rPr>
          <w:i/>
        </w:rPr>
        <w:t>Structural Inclusion (2)</w:t>
      </w:r>
      <w:r w:rsidR="00891358">
        <w:rPr>
          <w:i/>
        </w:rPr>
        <w:t xml:space="preserve"> </w:t>
      </w:r>
      <w:r w:rsidR="00891358" w:rsidRPr="00DD5DD8">
        <w:t xml:space="preserve">of </w:t>
      </w:r>
      <w:r w:rsidR="00891358">
        <w:t>DRE Category IV.</w:t>
      </w:r>
      <w:r w:rsidR="007B65CA">
        <w:t xml:space="preserve"> </w:t>
      </w:r>
      <w:r w:rsidR="000647C3">
        <w:t xml:space="preserve">Implementation </w:t>
      </w:r>
      <w:r w:rsidR="00AF2E4B">
        <w:t>Option 1 is prospective, and will not alter the potential entitlement of any existing claimants.</w:t>
      </w:r>
      <w:r w:rsidR="00AF2E4B">
        <w:rPr>
          <w:rStyle w:val="FootnoteReference"/>
        </w:rPr>
        <w:footnoteReference w:id="37"/>
      </w:r>
    </w:p>
    <w:p w:rsidR="004D348F" w:rsidRPr="00915083" w:rsidRDefault="00CF3668" w:rsidP="003C217B">
      <w:pPr>
        <w:pStyle w:val="Heading7"/>
      </w:pPr>
      <w:bookmarkStart w:id="48" w:name="_Ref387934578"/>
      <w:r>
        <w:t>Implementation</w:t>
      </w:r>
      <w:r w:rsidRPr="00915083">
        <w:t xml:space="preserve"> </w:t>
      </w:r>
      <w:r w:rsidR="004D348F" w:rsidRPr="00915083">
        <w:t xml:space="preserve">Option </w:t>
      </w:r>
      <w:r w:rsidR="00D13DF7">
        <w:t>2</w:t>
      </w:r>
      <w:r w:rsidR="004D348F" w:rsidRPr="00915083">
        <w:t>: Assessment Date (1 January 2015)</w:t>
      </w:r>
      <w:bookmarkEnd w:id="48"/>
    </w:p>
    <w:p w:rsidR="00F12964" w:rsidRDefault="001E5ED3" w:rsidP="00891358">
      <w:pPr>
        <w:pStyle w:val="PwCNormal"/>
      </w:pPr>
      <w:r>
        <w:t xml:space="preserve">Under </w:t>
      </w:r>
      <w:r w:rsidR="00CF3668">
        <w:t xml:space="preserve">Implementation </w:t>
      </w:r>
      <w:r w:rsidR="00891358">
        <w:t xml:space="preserve">Option </w:t>
      </w:r>
      <w:r w:rsidR="00330DE0">
        <w:t>2</w:t>
      </w:r>
      <w:r>
        <w:t>,</w:t>
      </w:r>
      <w:r w:rsidR="00891358">
        <w:t xml:space="preserve"> </w:t>
      </w:r>
      <w:r>
        <w:t>the</w:t>
      </w:r>
      <w:r w:rsidR="00891358">
        <w:t xml:space="preserve"> </w:t>
      </w:r>
      <w:r w:rsidR="002C10B0">
        <w:t>GMD</w:t>
      </w:r>
      <w:r w:rsidR="00891358">
        <w:t xml:space="preserve"> </w:t>
      </w:r>
      <w:r>
        <w:t>would be</w:t>
      </w:r>
      <w:r w:rsidR="00891358">
        <w:t xml:space="preserve"> applied to claimants who attend an impairment examination on or after a date that is six months after </w:t>
      </w:r>
      <w:r w:rsidR="00B9311B">
        <w:t xml:space="preserve">the expected GMD release date of </w:t>
      </w:r>
      <w:r w:rsidR="00F12964">
        <w:t>1 July 2014</w:t>
      </w:r>
      <w:r w:rsidR="00891358">
        <w:t xml:space="preserve"> (that is,</w:t>
      </w:r>
      <w:r w:rsidR="000807AC">
        <w:t xml:space="preserve"> it</w:t>
      </w:r>
      <w:r w:rsidR="00891358">
        <w:t xml:space="preserve"> would apply from 1 January 2015).</w:t>
      </w:r>
    </w:p>
    <w:p w:rsidR="00330DE0" w:rsidRDefault="00330DE0" w:rsidP="00D800B3">
      <w:pPr>
        <w:pStyle w:val="PwCNormal"/>
      </w:pPr>
      <w:r>
        <w:t>The Act</w:t>
      </w:r>
      <w:r w:rsidRPr="007757C4">
        <w:t xml:space="preserve"> requires that </w:t>
      </w:r>
      <w:r>
        <w:t xml:space="preserve">a claimant’s permanent WPI </w:t>
      </w:r>
      <w:r w:rsidRPr="007757C4">
        <w:t xml:space="preserve">be assessed once their injury has stabilised. </w:t>
      </w:r>
      <w:r>
        <w:t>Injuries</w:t>
      </w:r>
      <w:r w:rsidRPr="007757C4">
        <w:t xml:space="preserve"> sustained in a transport accident can take </w:t>
      </w:r>
      <w:r>
        <w:t xml:space="preserve">several years to </w:t>
      </w:r>
      <w:r w:rsidRPr="007757C4">
        <w:t>stabilise</w:t>
      </w:r>
      <w:r w:rsidR="00227316">
        <w:t>,</w:t>
      </w:r>
      <w:r>
        <w:t xml:space="preserve"> although most stabilise within 12-18 months</w:t>
      </w:r>
      <w:r w:rsidRPr="007757C4">
        <w:t>.</w:t>
      </w:r>
      <w:r>
        <w:rPr>
          <w:rStyle w:val="FootnoteReference"/>
        </w:rPr>
        <w:footnoteReference w:id="38"/>
      </w:r>
      <w:r w:rsidRPr="007757C4">
        <w:t xml:space="preserve"> In addition, there is traditionally a six month waiting list to obtain assessments from medical </w:t>
      </w:r>
      <w:r>
        <w:t>examiners</w:t>
      </w:r>
      <w:r w:rsidR="00227316">
        <w:t>.</w:t>
      </w:r>
      <w:r>
        <w:rPr>
          <w:rStyle w:val="FootnoteReference"/>
        </w:rPr>
        <w:footnoteReference w:id="39"/>
      </w:r>
      <w:r>
        <w:t xml:space="preserve"> </w:t>
      </w:r>
      <w:r w:rsidRPr="007757C4">
        <w:t xml:space="preserve">For this reason, </w:t>
      </w:r>
      <w:r w:rsidR="00AC57B3">
        <w:t xml:space="preserve">many </w:t>
      </w:r>
      <w:r>
        <w:t>impairment examinations</w:t>
      </w:r>
      <w:r w:rsidRPr="007757C4">
        <w:t xml:space="preserve"> </w:t>
      </w:r>
      <w:r w:rsidR="006D3270">
        <w:t>are booked in as soon as possible</w:t>
      </w:r>
      <w:r w:rsidRPr="007757C4">
        <w:t xml:space="preserve"> and </w:t>
      </w:r>
      <w:r w:rsidR="00AC57B3">
        <w:t xml:space="preserve">then </w:t>
      </w:r>
      <w:r w:rsidRPr="007757C4">
        <w:t>reschedule</w:t>
      </w:r>
      <w:r w:rsidR="00693579">
        <w:t>d</w:t>
      </w:r>
      <w:r w:rsidRPr="007757C4">
        <w:t xml:space="preserve"> if </w:t>
      </w:r>
      <w:r>
        <w:t xml:space="preserve">the claimant’s </w:t>
      </w:r>
      <w:r w:rsidRPr="007757C4">
        <w:t>injury is not stable at the time of appointment.</w:t>
      </w:r>
      <w:r>
        <w:t xml:space="preserve"> This does</w:t>
      </w:r>
      <w:r w:rsidR="001E5ED3">
        <w:t>,</w:t>
      </w:r>
      <w:r>
        <w:t xml:space="preserve"> however</w:t>
      </w:r>
      <w:r w:rsidR="001E5ED3">
        <w:t>,</w:t>
      </w:r>
      <w:r>
        <w:t xml:space="preserve"> mean that some appointments may become available</w:t>
      </w:r>
      <w:r w:rsidR="00227316">
        <w:t>,</w:t>
      </w:r>
      <w:r>
        <w:t xml:space="preserve"> and could be utilised by other claimants who have a stable injury to reduce the time between accident and assessment if the injury has stabilised. However,</w:t>
      </w:r>
      <w:r w:rsidR="0070533D">
        <w:t xml:space="preserve"> </w:t>
      </w:r>
      <w:r>
        <w:t>this is relatively uncommon</w:t>
      </w:r>
      <w:r w:rsidR="005427E6">
        <w:t>.</w:t>
      </w:r>
    </w:p>
    <w:p w:rsidR="00891358" w:rsidRDefault="00CF3668" w:rsidP="00437534">
      <w:pPr>
        <w:pStyle w:val="PwCNormal"/>
      </w:pPr>
      <w:r>
        <w:t xml:space="preserve">Implementation </w:t>
      </w:r>
      <w:r w:rsidR="0075048E">
        <w:t xml:space="preserve">Option 2 is therefore likely </w:t>
      </w:r>
      <w:r w:rsidR="00437534">
        <w:t>to</w:t>
      </w:r>
      <w:r w:rsidR="0075048E">
        <w:t xml:space="preserve"> impact claimants whose accident occurs after 1 January 2015 and those with an accident date between 1 July 2014 and </w:t>
      </w:r>
      <w:r w:rsidR="00437F9A">
        <w:t>31 December 2014</w:t>
      </w:r>
      <w:r w:rsidR="0075048E">
        <w:t xml:space="preserve"> whose injury is unlikely to have stabilised. </w:t>
      </w:r>
      <w:r w:rsidR="005427E6">
        <w:t>In addition</w:t>
      </w:r>
      <w:r w:rsidR="0075048E">
        <w:t xml:space="preserve">, </w:t>
      </w:r>
      <w:r>
        <w:t xml:space="preserve">Implementation </w:t>
      </w:r>
      <w:r w:rsidR="0075048E">
        <w:t xml:space="preserve">Option 2 </w:t>
      </w:r>
      <w:r w:rsidR="00437534" w:rsidRPr="00437534">
        <w:t>is partially retrospective</w:t>
      </w:r>
      <w:r w:rsidR="00437534">
        <w:t xml:space="preserve">, </w:t>
      </w:r>
      <w:r w:rsidR="0075048E">
        <w:t xml:space="preserve">in that it applies the GMD to a portion of claimants whose accident occurs prior to </w:t>
      </w:r>
      <w:r w:rsidR="00B9311B">
        <w:t xml:space="preserve">the expected GMD release date of </w:t>
      </w:r>
      <w:r w:rsidR="0075048E">
        <w:t>1 July 2014.</w:t>
      </w:r>
    </w:p>
    <w:p w:rsidR="004D348F" w:rsidRDefault="00891358" w:rsidP="00891358">
      <w:pPr>
        <w:pStyle w:val="PwCNormal"/>
      </w:pPr>
      <w:r>
        <w:t xml:space="preserve">The </w:t>
      </w:r>
      <w:r w:rsidRPr="009B0281">
        <w:t>TAC has selected th</w:t>
      </w:r>
      <w:r w:rsidR="00D13DF7">
        <w:t>e application</w:t>
      </w:r>
      <w:r w:rsidRPr="009B0281">
        <w:t xml:space="preserve"> date</w:t>
      </w:r>
      <w:r>
        <w:t xml:space="preserve"> </w:t>
      </w:r>
      <w:r w:rsidR="00D13DF7">
        <w:t>of 1 January 2015</w:t>
      </w:r>
      <w:r w:rsidR="00227316">
        <w:t>,</w:t>
      </w:r>
      <w:r w:rsidR="00D13DF7">
        <w:t xml:space="preserve"> </w:t>
      </w:r>
      <w:r>
        <w:t xml:space="preserve">based on the </w:t>
      </w:r>
      <w:r w:rsidRPr="009B0281">
        <w:t>assumption that there i</w:t>
      </w:r>
      <w:r>
        <w:t>s on average approximately a six month wait</w:t>
      </w:r>
      <w:r w:rsidRPr="009B0281">
        <w:t xml:space="preserve"> before </w:t>
      </w:r>
      <w:r>
        <w:t>a claimant</w:t>
      </w:r>
      <w:r w:rsidRPr="009B0281">
        <w:t xml:space="preserve"> can </w:t>
      </w:r>
      <w:r>
        <w:t>obtain an appointment with an accredited impairment examiner.</w:t>
      </w:r>
      <w:r w:rsidRPr="009B0281">
        <w:t xml:space="preserve"> The intention is to provide a buffer to </w:t>
      </w:r>
      <w:r>
        <w:t>claimants</w:t>
      </w:r>
      <w:r w:rsidRPr="009B0281">
        <w:t xml:space="preserve"> injured prior to the implementation date </w:t>
      </w:r>
      <w:r>
        <w:t xml:space="preserve">who </w:t>
      </w:r>
      <w:r w:rsidRPr="009B0281">
        <w:t xml:space="preserve">already have their </w:t>
      </w:r>
      <w:r>
        <w:t>impairment examinations</w:t>
      </w:r>
      <w:r w:rsidRPr="009B0281">
        <w:t xml:space="preserve"> booked in, without allowing </w:t>
      </w:r>
      <w:r>
        <w:t xml:space="preserve">too </w:t>
      </w:r>
      <w:r w:rsidRPr="009B0281">
        <w:t xml:space="preserve">many </w:t>
      </w:r>
      <w:r>
        <w:t>new claims</w:t>
      </w:r>
      <w:r w:rsidRPr="009B0281">
        <w:t xml:space="preserve"> after 1 July 2014 to </w:t>
      </w:r>
      <w:r>
        <w:t xml:space="preserve">be assessed in accordance with the current DRE Category IV. However, due to the length of time taken for injuries to stabilise, this also means that </w:t>
      </w:r>
      <w:r w:rsidR="001E5ED3">
        <w:t>some</w:t>
      </w:r>
      <w:r>
        <w:t xml:space="preserve"> </w:t>
      </w:r>
      <w:r w:rsidR="00AF2E4B">
        <w:t xml:space="preserve">existing </w:t>
      </w:r>
      <w:r w:rsidR="007031B8">
        <w:t>claimants</w:t>
      </w:r>
      <w:r>
        <w:t xml:space="preserve"> </w:t>
      </w:r>
      <w:r w:rsidR="00AF2E4B">
        <w:t>(</w:t>
      </w:r>
      <w:r>
        <w:t xml:space="preserve">injured prior to 1 July </w:t>
      </w:r>
      <w:r w:rsidR="00AF2E4B">
        <w:t xml:space="preserve">2014) </w:t>
      </w:r>
      <w:r w:rsidR="001E5ED3">
        <w:t>would</w:t>
      </w:r>
      <w:r>
        <w:t xml:space="preserve"> also be impacted</w:t>
      </w:r>
      <w:r w:rsidR="004D348F">
        <w:t>.</w:t>
      </w:r>
    </w:p>
    <w:p w:rsidR="004D348F" w:rsidRPr="00915083" w:rsidRDefault="00CF3668" w:rsidP="0078338B">
      <w:pPr>
        <w:pStyle w:val="Heading6"/>
      </w:pPr>
      <w:r>
        <w:t>Implementation</w:t>
      </w:r>
      <w:r w:rsidRPr="00915083">
        <w:t xml:space="preserve"> </w:t>
      </w:r>
      <w:r>
        <w:t>o</w:t>
      </w:r>
      <w:r w:rsidR="004D348F" w:rsidRPr="00915083">
        <w:t>ptions not considered in further detail</w:t>
      </w:r>
    </w:p>
    <w:p w:rsidR="00891358" w:rsidRDefault="00891358" w:rsidP="00891358">
      <w:pPr>
        <w:pStyle w:val="PwCNormal"/>
        <w:numPr>
          <w:ilvl w:val="0"/>
          <w:numId w:val="0"/>
        </w:numPr>
      </w:pPr>
      <w:r>
        <w:t>It is expected that an injured person will make a claim shortly after their injury date in order to begin the process of receiving compensation. ‘Date of claim acceptance</w:t>
      </w:r>
      <w:r>
        <w:rPr>
          <w:rFonts w:ascii="Arial Unicode MS"/>
        </w:rPr>
        <w:t>’</w:t>
      </w:r>
      <w:r>
        <w:t xml:space="preserve"> could be an appropriate </w:t>
      </w:r>
      <w:r w:rsidR="00257884">
        <w:t xml:space="preserve">date to introduce the GMD </w:t>
      </w:r>
      <w:r>
        <w:t xml:space="preserve">as it is effectively the date that an injured person enters the scheme. However in practice, using </w:t>
      </w:r>
      <w:r w:rsidR="00227316">
        <w:t xml:space="preserve">the </w:t>
      </w:r>
      <w:r>
        <w:t xml:space="preserve">claim date may place pressure on injured persons and their families to submit their claims quickly in order to take advantage of the higher compensation prior to the threshold. Furthermore, </w:t>
      </w:r>
      <w:r w:rsidR="00227316">
        <w:t xml:space="preserve">the </w:t>
      </w:r>
      <w:r>
        <w:t>claim date is not traditionally used by</w:t>
      </w:r>
      <w:r w:rsidR="000604C5">
        <w:t xml:space="preserve"> the</w:t>
      </w:r>
      <w:r>
        <w:t xml:space="preserve"> TAC as an implementation threshold.</w:t>
      </w:r>
    </w:p>
    <w:p w:rsidR="004D348F" w:rsidRDefault="00891358" w:rsidP="00891358">
      <w:pPr>
        <w:pStyle w:val="PwCNormal"/>
        <w:numPr>
          <w:ilvl w:val="0"/>
          <w:numId w:val="0"/>
        </w:numPr>
      </w:pPr>
      <w:r>
        <w:t xml:space="preserve">As </w:t>
      </w:r>
      <w:r w:rsidR="00227316">
        <w:t xml:space="preserve">the </w:t>
      </w:r>
      <w:r>
        <w:t xml:space="preserve">accident date and </w:t>
      </w:r>
      <w:r w:rsidR="00227316">
        <w:t xml:space="preserve">the </w:t>
      </w:r>
      <w:r>
        <w:t xml:space="preserve">claim acceptance date are likely to be very close together, and </w:t>
      </w:r>
      <w:r w:rsidR="000807AC">
        <w:t xml:space="preserve">the </w:t>
      </w:r>
      <w:r>
        <w:t xml:space="preserve">accident date does not place undue pressure on potentially vulnerable members of the community, we have determined </w:t>
      </w:r>
      <w:r w:rsidR="00227316">
        <w:t xml:space="preserve">the </w:t>
      </w:r>
      <w:r>
        <w:t>accident date to be a more appropriate measure.</w:t>
      </w:r>
    </w:p>
    <w:p w:rsidR="004D348F" w:rsidRDefault="00891358" w:rsidP="004D348F">
      <w:pPr>
        <w:pStyle w:val="PwCNormal"/>
        <w:numPr>
          <w:ilvl w:val="0"/>
          <w:numId w:val="0"/>
        </w:numPr>
      </w:pPr>
      <w:r>
        <w:lastRenderedPageBreak/>
        <w:t xml:space="preserve">The </w:t>
      </w:r>
      <w:r w:rsidR="00B7364B">
        <w:t>lodgement</w:t>
      </w:r>
      <w:r>
        <w:t xml:space="preserve"> dates of applications for additional compensation (impairment, common law or ongoing LOEC) could also theoretically be used as enforcement thresholds, however similar issues apply whereby it potentially put</w:t>
      </w:r>
      <w:r w:rsidR="00D13DF7">
        <w:t>s</w:t>
      </w:r>
      <w:r>
        <w:t xml:space="preserve"> pressure on claimants to rush through applications. Additionally, there is the potential that it could result in perverse behavioural changes</w:t>
      </w:r>
      <w:r w:rsidR="000807AC">
        <w:t>,</w:t>
      </w:r>
      <w:r>
        <w:t xml:space="preserve"> as it creates potential incentives to speed up or slow down the process.</w:t>
      </w:r>
      <w:r w:rsidRPr="007062B5">
        <w:t xml:space="preserve"> </w:t>
      </w:r>
      <w:r>
        <w:t>This option is therefore not considered to be as practical to implement as the accident or assessment date.</w:t>
      </w:r>
    </w:p>
    <w:p w:rsidR="004D348F" w:rsidRDefault="00891358" w:rsidP="004D348F">
      <w:pPr>
        <w:pStyle w:val="PwCNormal"/>
        <w:numPr>
          <w:ilvl w:val="0"/>
          <w:numId w:val="0"/>
        </w:numPr>
      </w:pPr>
      <w:r>
        <w:t xml:space="preserve">The use of </w:t>
      </w:r>
      <w:r w:rsidR="000807AC">
        <w:t xml:space="preserve">the </w:t>
      </w:r>
      <w:r w:rsidR="00F132BF">
        <w:t>compensation</w:t>
      </w:r>
      <w:r>
        <w:t xml:space="preserve"> determination date also creates potential incentives to speed up or slow down the process</w:t>
      </w:r>
      <w:r w:rsidR="00D13DF7">
        <w:t xml:space="preserve"> in a</w:t>
      </w:r>
      <w:r w:rsidR="00481783">
        <w:t xml:space="preserve"> similar manner to that outlined</w:t>
      </w:r>
      <w:r w:rsidR="00D13DF7">
        <w:t xml:space="preserve"> </w:t>
      </w:r>
      <w:r w:rsidR="00257884">
        <w:t>above and is not considered further.</w:t>
      </w:r>
    </w:p>
    <w:p w:rsidR="00881C35" w:rsidRDefault="00E96B18" w:rsidP="004D348F">
      <w:pPr>
        <w:pStyle w:val="PwCNormal"/>
        <w:numPr>
          <w:ilvl w:val="0"/>
          <w:numId w:val="0"/>
        </w:numPr>
      </w:pPr>
      <w:r>
        <w:t xml:space="preserve">An </w:t>
      </w:r>
      <w:r w:rsidR="00881C35">
        <w:t>accident date of 1 January 2015 is</w:t>
      </w:r>
      <w:r w:rsidR="00101F3F">
        <w:t xml:space="preserve"> not</w:t>
      </w:r>
      <w:r w:rsidR="00881C35">
        <w:t xml:space="preserve"> considered </w:t>
      </w:r>
      <w:r>
        <w:t>as it is the</w:t>
      </w:r>
      <w:r w:rsidR="00881C35">
        <w:t xml:space="preserve"> TAC’s intention to fix </w:t>
      </w:r>
      <w:r>
        <w:t>the identified</w:t>
      </w:r>
      <w:r w:rsidR="00881C35">
        <w:t xml:space="preserve"> inequity in the scheme as early as possible</w:t>
      </w:r>
      <w:r>
        <w:t xml:space="preserve">. An accident </w:t>
      </w:r>
      <w:r w:rsidR="000807AC">
        <w:t xml:space="preserve">date </w:t>
      </w:r>
      <w:r>
        <w:t xml:space="preserve">of 1 January would mean that new accidents occurring up until that time would still be </w:t>
      </w:r>
      <w:r w:rsidR="00B1399E">
        <w:t xml:space="preserve">assessed under the post-Serwylo </w:t>
      </w:r>
      <w:r w:rsidR="00C51FCB">
        <w:t>methodology</w:t>
      </w:r>
      <w:r w:rsidR="00881C35">
        <w:t xml:space="preserve">. </w:t>
      </w:r>
    </w:p>
    <w:p w:rsidR="000647C3" w:rsidRDefault="000647C3" w:rsidP="004D348F">
      <w:pPr>
        <w:pStyle w:val="PwCNormal"/>
        <w:numPr>
          <w:ilvl w:val="0"/>
          <w:numId w:val="0"/>
        </w:numPr>
      </w:pPr>
      <w:r>
        <w:t>An accident date of 1 July 2014 (the expected release date of the GMD) is also not considered as it does not allow adequate time for implementation, in particular training of medical practitioners and communication to potentially affected parties.</w:t>
      </w:r>
    </w:p>
    <w:p w:rsidR="0098018E" w:rsidRDefault="0098018E" w:rsidP="0098018E">
      <w:pPr>
        <w:pStyle w:val="Heading2"/>
      </w:pPr>
      <w:bookmarkStart w:id="49" w:name="_Ref388529741"/>
      <w:bookmarkStart w:id="50" w:name="_Toc391459531"/>
      <w:r>
        <w:lastRenderedPageBreak/>
        <w:t>Cost benefit analysis</w:t>
      </w:r>
      <w:bookmarkEnd w:id="49"/>
      <w:bookmarkEnd w:id="50"/>
    </w:p>
    <w:p w:rsidR="004B3B29" w:rsidRDefault="009F770C" w:rsidP="001F3E67">
      <w:pPr>
        <w:pStyle w:val="PwCNormal"/>
        <w:numPr>
          <w:ilvl w:val="0"/>
          <w:numId w:val="0"/>
        </w:numPr>
      </w:pPr>
      <w:r>
        <w:t xml:space="preserve">This chapter considers the costs and benefits </w:t>
      </w:r>
      <w:r w:rsidR="00ED367F" w:rsidRPr="000915C5">
        <w:t>likely to arise from the viable options</w:t>
      </w:r>
      <w:r>
        <w:t>. In order to do so</w:t>
      </w:r>
      <w:r w:rsidR="00ED367F" w:rsidRPr="000915C5">
        <w:t xml:space="preserve">, the base case needs to be defined for comparison purposes (i.e. what are the potential costs and benefits compared to the situation where the proposed approach is not adopted). In the case of proposals for amended </w:t>
      </w:r>
      <w:r w:rsidR="00ED367F">
        <w:t>legislative instruments</w:t>
      </w:r>
      <w:r w:rsidR="00ED367F" w:rsidRPr="000915C5">
        <w:t xml:space="preserve">, the base case is the </w:t>
      </w:r>
      <w:r w:rsidR="00ED367F">
        <w:t>situation that would play out should no changes to the regulations be made;</w:t>
      </w:r>
      <w:r w:rsidR="00ED367F" w:rsidRPr="000915C5">
        <w:t xml:space="preserve"> in other words, the current </w:t>
      </w:r>
      <w:r w:rsidR="00ED367F">
        <w:t>legislative framework and interpretations of the Guides</w:t>
      </w:r>
      <w:r w:rsidR="00ED367F" w:rsidRPr="000915C5">
        <w:t>.</w:t>
      </w:r>
    </w:p>
    <w:p w:rsidR="006A7B42" w:rsidRDefault="00ED367F" w:rsidP="0005334C">
      <w:pPr>
        <w:pStyle w:val="PwCNormal"/>
        <w:numPr>
          <w:ilvl w:val="0"/>
          <w:numId w:val="0"/>
        </w:numPr>
        <w:rPr>
          <w:i/>
        </w:rPr>
      </w:pPr>
      <w:r>
        <w:t xml:space="preserve">In the case </w:t>
      </w:r>
      <w:r w:rsidR="004B3B29">
        <w:t>of this RIS</w:t>
      </w:r>
      <w:r>
        <w:t xml:space="preserve">, </w:t>
      </w:r>
      <w:r w:rsidRPr="000915C5">
        <w:t xml:space="preserve">the current legislative framework </w:t>
      </w:r>
      <w:r>
        <w:t>incorporates</w:t>
      </w:r>
      <w:r w:rsidRPr="000915C5">
        <w:t xml:space="preserve"> </w:t>
      </w:r>
      <w:r w:rsidRPr="0071108D">
        <w:rPr>
          <w:i/>
        </w:rPr>
        <w:t>Structural Inclusion (2)</w:t>
      </w:r>
      <w:r w:rsidRPr="000915C5">
        <w:t xml:space="preserve"> of DRE </w:t>
      </w:r>
      <w:r>
        <w:t xml:space="preserve">Category </w:t>
      </w:r>
      <w:r w:rsidRPr="000915C5">
        <w:t xml:space="preserve">IV </w:t>
      </w:r>
      <w:r>
        <w:t>of</w:t>
      </w:r>
      <w:r w:rsidRPr="000915C5">
        <w:t xml:space="preserve"> the </w:t>
      </w:r>
      <w:r>
        <w:t xml:space="preserve">Guides </w:t>
      </w:r>
      <w:r w:rsidRPr="000915C5">
        <w:t>post-Serwylo</w:t>
      </w:r>
      <w:r>
        <w:t xml:space="preserve">, and the </w:t>
      </w:r>
      <w:r w:rsidRPr="0071108D">
        <w:rPr>
          <w:i/>
        </w:rPr>
        <w:t>Transport Accident Amendment Act 2013</w:t>
      </w:r>
      <w:r w:rsidR="00706119" w:rsidRPr="0071108D">
        <w:rPr>
          <w:i/>
        </w:rPr>
        <w:t>.</w:t>
      </w:r>
    </w:p>
    <w:p w:rsidR="000647C3" w:rsidRPr="000647C3" w:rsidRDefault="000647C3" w:rsidP="0005334C">
      <w:pPr>
        <w:pStyle w:val="PwCNormal"/>
        <w:numPr>
          <w:ilvl w:val="0"/>
          <w:numId w:val="0"/>
        </w:numPr>
      </w:pPr>
      <w:r>
        <w:t>It should be noted that all figures outlined in this section</w:t>
      </w:r>
      <w:r w:rsidR="007D2CFB">
        <w:t xml:space="preserve"> (and in the remainder of the RIS)</w:t>
      </w:r>
      <w:r>
        <w:t xml:space="preserve"> are estimates only, and are based on assumptions that are uncertain.</w:t>
      </w:r>
      <w:r w:rsidR="007D2CFB">
        <w:t xml:space="preserve"> The underlying data was provided by either the TAC itself or various other sources as indicated in the text. Estimates relating to cost and liability have been provided in consultation with PwC Actuarial, which is </w:t>
      </w:r>
      <w:r w:rsidR="009933F0">
        <w:t xml:space="preserve">the </w:t>
      </w:r>
      <w:r w:rsidR="007D2CFB">
        <w:t>TAC</w:t>
      </w:r>
      <w:r w:rsidR="009933F0">
        <w:t>’s</w:t>
      </w:r>
      <w:r w:rsidR="007D2CFB">
        <w:t xml:space="preserve"> actuary.</w:t>
      </w:r>
    </w:p>
    <w:p w:rsidR="00CF3668" w:rsidRDefault="00CF3668" w:rsidP="00CF3668">
      <w:pPr>
        <w:pStyle w:val="Heading6"/>
      </w:pPr>
      <w:r>
        <w:t>Option 1: GMD</w:t>
      </w:r>
    </w:p>
    <w:p w:rsidR="004B3B29" w:rsidRDefault="006A7B42" w:rsidP="0005334C">
      <w:pPr>
        <w:pStyle w:val="PwCNormal"/>
        <w:numPr>
          <w:ilvl w:val="0"/>
          <w:numId w:val="0"/>
        </w:numPr>
      </w:pPr>
      <w:r>
        <w:t>As discussed in Chapter 4, the proposed option to be considered in this analysis is therefore the implementation of the GMD</w:t>
      </w:r>
      <w:r w:rsidR="0005334C">
        <w:t xml:space="preserve">. </w:t>
      </w:r>
      <w:r w:rsidR="00E75DD7">
        <w:t xml:space="preserve">Under the GMD, claimants with multiple spinal fractures would be assessed on logical gradations of DRE Categories depending on the significance of the fracture types. In other words, the blanket rule on multiple spinal fractures </w:t>
      </w:r>
      <w:r w:rsidR="004708CA">
        <w:t xml:space="preserve">that currently exists </w:t>
      </w:r>
      <w:r w:rsidR="004B3B29">
        <w:t>would</w:t>
      </w:r>
      <w:r w:rsidR="00E75DD7">
        <w:t xml:space="preserve"> be removed and replaced with a more equitable method of assessment.</w:t>
      </w:r>
    </w:p>
    <w:p w:rsidR="00E75DD7" w:rsidRDefault="00E75DD7" w:rsidP="00E75DD7">
      <w:pPr>
        <w:pStyle w:val="PwCNormal"/>
      </w:pPr>
      <w:r>
        <w:t xml:space="preserve">It has been estimated that the new method would result in </w:t>
      </w:r>
      <w:r w:rsidR="00E92205">
        <w:t>80</w:t>
      </w:r>
      <w:r>
        <w:t xml:space="preserve"> per cent of cases being assessed in the DRE Categories they would have been</w:t>
      </w:r>
      <w:r w:rsidR="000807AC">
        <w:t xml:space="preserve"> in</w:t>
      </w:r>
      <w:r>
        <w:t xml:space="preserve"> before the Serwylo judgment.</w:t>
      </w:r>
      <w:r>
        <w:rPr>
          <w:rFonts w:eastAsia="Georgia" w:cs="Georgia"/>
          <w:sz w:val="21"/>
          <w:szCs w:val="21"/>
          <w:vertAlign w:val="superscript"/>
        </w:rPr>
        <w:footnoteReference w:id="40"/>
      </w:r>
      <w:r>
        <w:t xml:space="preserve"> This is due to the prevalence of cases that involve only minor fractures. The remaining 2</w:t>
      </w:r>
      <w:r w:rsidR="00E92205">
        <w:t>0</w:t>
      </w:r>
      <w:r>
        <w:t xml:space="preserve"> per cent include some of the more complex cases that involve spinal surgery or injuries with neurological signs that would now be rated under DRE Category III or IV. This is illustrated by the example</w:t>
      </w:r>
      <w:r w:rsidR="004B3B29">
        <w:t>s</w:t>
      </w:r>
      <w:r>
        <w:t xml:space="preserve"> in</w:t>
      </w:r>
      <w:r w:rsidR="00A85695">
        <w:t xml:space="preserve"> </w:t>
      </w:r>
      <w:r w:rsidR="00A85695">
        <w:fldChar w:fldCharType="begin"/>
      </w:r>
      <w:r w:rsidR="00A85695">
        <w:instrText xml:space="preserve"> REF _Ref388002709 \h </w:instrText>
      </w:r>
      <w:r w:rsidR="00A85695">
        <w:fldChar w:fldCharType="separate"/>
      </w:r>
      <w:r w:rsidR="00542564">
        <w:t xml:space="preserve">Table </w:t>
      </w:r>
      <w:r w:rsidR="00542564">
        <w:rPr>
          <w:noProof/>
        </w:rPr>
        <w:t>7</w:t>
      </w:r>
      <w:r w:rsidR="00A85695">
        <w:fldChar w:fldCharType="end"/>
      </w:r>
      <w:r>
        <w:t>.</w:t>
      </w:r>
    </w:p>
    <w:p w:rsidR="00E75DD7" w:rsidRDefault="00E75DD7" w:rsidP="0005334C">
      <w:pPr>
        <w:pStyle w:val="Caption"/>
        <w:keepNext w:val="0"/>
      </w:pPr>
      <w:bookmarkStart w:id="51" w:name="_Ref388002709"/>
      <w:r>
        <w:t xml:space="preserve">Table </w:t>
      </w:r>
      <w:fldSimple w:instr=" SEQ Table \* ARABIC ">
        <w:r w:rsidR="00542564">
          <w:rPr>
            <w:noProof/>
          </w:rPr>
          <w:t>7</w:t>
        </w:r>
      </w:fldSimple>
      <w:bookmarkEnd w:id="51"/>
      <w:r>
        <w:t>: Example of impact of GMD on different injury types</w:t>
      </w:r>
    </w:p>
    <w:tbl>
      <w:tblPr>
        <w:tblStyle w:val="Tables-APBase"/>
        <w:tblW w:w="5000" w:type="pct"/>
        <w:tblLayout w:type="fixed"/>
        <w:tblLook w:val="04A0" w:firstRow="1" w:lastRow="0" w:firstColumn="1" w:lastColumn="0" w:noHBand="0" w:noVBand="1"/>
      </w:tblPr>
      <w:tblGrid>
        <w:gridCol w:w="4017"/>
        <w:gridCol w:w="1416"/>
        <w:gridCol w:w="1502"/>
        <w:gridCol w:w="1502"/>
      </w:tblGrid>
      <w:tr w:rsidR="00E75DD7" w:rsidRPr="007A3AFB" w:rsidTr="008D2272">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017" w:type="dxa"/>
            <w:vAlign w:val="center"/>
          </w:tcPr>
          <w:p w:rsidR="00E75DD7" w:rsidRPr="002D3F42" w:rsidRDefault="00E75DD7" w:rsidP="0005334C">
            <w:pPr>
              <w:pStyle w:val="TableColumnHeadingNormal"/>
              <w:keepNext w:val="0"/>
              <w:ind w:left="284"/>
              <w:rPr>
                <w:sz w:val="16"/>
                <w:szCs w:val="16"/>
              </w:rPr>
            </w:pPr>
            <w:r w:rsidRPr="002D3F42">
              <w:rPr>
                <w:sz w:val="16"/>
                <w:szCs w:val="16"/>
              </w:rPr>
              <w:t>Characteristics of injured person</w:t>
            </w:r>
          </w:p>
        </w:tc>
        <w:tc>
          <w:tcPr>
            <w:tcW w:w="1416" w:type="dxa"/>
            <w:vAlign w:val="center"/>
          </w:tcPr>
          <w:p w:rsidR="00E75DD7" w:rsidRPr="002D3F42" w:rsidRDefault="00E75DD7" w:rsidP="0005334C">
            <w:pPr>
              <w:pStyle w:val="TableColumnHeadingNormal"/>
              <w:keepNext w:val="0"/>
              <w:jc w:val="left"/>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DRE category (as assessed pre-Serwylo)</w:t>
            </w:r>
          </w:p>
        </w:tc>
        <w:tc>
          <w:tcPr>
            <w:tcW w:w="1502" w:type="dxa"/>
          </w:tcPr>
          <w:p w:rsidR="00E75DD7" w:rsidRPr="002D3F42" w:rsidRDefault="00E75DD7" w:rsidP="0005334C">
            <w:pPr>
              <w:pStyle w:val="TableColumnHeadingNormal"/>
              <w:keepNext w:val="0"/>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WPI (as assessed post-Serwylo)</w:t>
            </w:r>
          </w:p>
        </w:tc>
        <w:tc>
          <w:tcPr>
            <w:tcW w:w="1502" w:type="dxa"/>
            <w:vAlign w:val="center"/>
          </w:tcPr>
          <w:p w:rsidR="00E75DD7" w:rsidRPr="002D3F42" w:rsidRDefault="00E75DD7" w:rsidP="0005334C">
            <w:pPr>
              <w:pStyle w:val="TableColumnHeadingNormal"/>
              <w:keepNext w:val="0"/>
              <w:jc w:val="left"/>
              <w:cnfStyle w:val="100000000000" w:firstRow="1" w:lastRow="0" w:firstColumn="0" w:lastColumn="0" w:oddVBand="0" w:evenVBand="0" w:oddHBand="0" w:evenHBand="0" w:firstRowFirstColumn="0" w:firstRowLastColumn="0" w:lastRowFirstColumn="0" w:lastRowLastColumn="0"/>
              <w:rPr>
                <w:sz w:val="16"/>
                <w:szCs w:val="16"/>
              </w:rPr>
            </w:pPr>
            <w:r w:rsidRPr="002D3F42">
              <w:rPr>
                <w:sz w:val="16"/>
                <w:szCs w:val="16"/>
              </w:rPr>
              <w:t>WPI (as assessed post-</w:t>
            </w:r>
            <w:r>
              <w:rPr>
                <w:sz w:val="16"/>
                <w:szCs w:val="16"/>
              </w:rPr>
              <w:t>GMD</w:t>
            </w:r>
            <w:r w:rsidRPr="002D3F42">
              <w:rPr>
                <w:sz w:val="16"/>
                <w:szCs w:val="16"/>
              </w:rPr>
              <w:t>)</w:t>
            </w:r>
          </w:p>
        </w:tc>
      </w:tr>
      <w:tr w:rsidR="00E75DD7" w:rsidRPr="007A3AFB" w:rsidTr="008D2272">
        <w:tc>
          <w:tcPr>
            <w:tcW w:w="4017" w:type="dxa"/>
            <w:vAlign w:val="center"/>
          </w:tcPr>
          <w:p w:rsidR="00E75DD7" w:rsidRPr="002D3F42" w:rsidRDefault="00E75DD7" w:rsidP="00AC57B3">
            <w:pPr>
              <w:pStyle w:val="TableTextNormal"/>
              <w:keepLines/>
              <w:rPr>
                <w:sz w:val="16"/>
                <w:szCs w:val="16"/>
              </w:rPr>
            </w:pPr>
            <w:r w:rsidRPr="002D3F42">
              <w:rPr>
                <w:sz w:val="16"/>
                <w:szCs w:val="16"/>
              </w:rPr>
              <w:t xml:space="preserve">A: </w:t>
            </w:r>
            <w:r>
              <w:rPr>
                <w:sz w:val="16"/>
                <w:szCs w:val="16"/>
              </w:rPr>
              <w:t>Multiple minor spinal fracture</w:t>
            </w:r>
            <w:r w:rsidR="00AC57B3">
              <w:rPr>
                <w:sz w:val="16"/>
                <w:szCs w:val="16"/>
              </w:rPr>
              <w:t>s</w:t>
            </w:r>
            <w:r>
              <w:rPr>
                <w:sz w:val="16"/>
                <w:szCs w:val="16"/>
              </w:rPr>
              <w:t xml:space="preserve"> </w:t>
            </w:r>
          </w:p>
        </w:tc>
        <w:tc>
          <w:tcPr>
            <w:tcW w:w="1416" w:type="dxa"/>
            <w:vAlign w:val="center"/>
          </w:tcPr>
          <w:p w:rsidR="00E75DD7" w:rsidRPr="002D3F42" w:rsidRDefault="00E75DD7" w:rsidP="0005334C">
            <w:pPr>
              <w:pStyle w:val="TableTextNormal"/>
              <w:keepLines/>
              <w:ind w:left="284"/>
              <w:rPr>
                <w:sz w:val="16"/>
                <w:szCs w:val="16"/>
              </w:rPr>
            </w:pPr>
            <w:r>
              <w:rPr>
                <w:sz w:val="16"/>
                <w:szCs w:val="16"/>
              </w:rPr>
              <w:t>DRE II</w:t>
            </w:r>
          </w:p>
        </w:tc>
        <w:tc>
          <w:tcPr>
            <w:tcW w:w="1502" w:type="dxa"/>
            <w:vAlign w:val="center"/>
          </w:tcPr>
          <w:p w:rsidR="00E75DD7" w:rsidRPr="002D3F42" w:rsidRDefault="00E75DD7" w:rsidP="0005334C">
            <w:pPr>
              <w:pStyle w:val="TableTextNormal"/>
              <w:keepLines/>
              <w:ind w:left="284"/>
              <w:rPr>
                <w:sz w:val="16"/>
                <w:szCs w:val="16"/>
              </w:rPr>
            </w:pPr>
            <w:r>
              <w:rPr>
                <w:sz w:val="16"/>
                <w:szCs w:val="16"/>
              </w:rPr>
              <w:t>DRE IV</w:t>
            </w:r>
          </w:p>
        </w:tc>
        <w:tc>
          <w:tcPr>
            <w:tcW w:w="1502" w:type="dxa"/>
            <w:vAlign w:val="center"/>
          </w:tcPr>
          <w:p w:rsidR="00E75DD7" w:rsidRPr="002D3F42" w:rsidRDefault="00E75DD7" w:rsidP="0005334C">
            <w:pPr>
              <w:pStyle w:val="TableTextNormal"/>
              <w:keepLines/>
              <w:ind w:left="284"/>
              <w:rPr>
                <w:sz w:val="16"/>
                <w:szCs w:val="16"/>
              </w:rPr>
            </w:pPr>
            <w:r>
              <w:rPr>
                <w:sz w:val="16"/>
                <w:szCs w:val="16"/>
              </w:rPr>
              <w:t>DRE I</w:t>
            </w:r>
            <w:r w:rsidR="00587CE1">
              <w:rPr>
                <w:sz w:val="16"/>
                <w:szCs w:val="16"/>
              </w:rPr>
              <w:t>I</w:t>
            </w:r>
          </w:p>
        </w:tc>
      </w:tr>
      <w:tr w:rsidR="00E75DD7" w:rsidRPr="007A3AFB" w:rsidTr="008D2272">
        <w:tc>
          <w:tcPr>
            <w:tcW w:w="4017" w:type="dxa"/>
          </w:tcPr>
          <w:p w:rsidR="00E75DD7" w:rsidRPr="002D3F42" w:rsidRDefault="00E75DD7" w:rsidP="00E92205">
            <w:pPr>
              <w:pStyle w:val="TableTextNormal"/>
              <w:keepLines/>
              <w:rPr>
                <w:sz w:val="16"/>
                <w:szCs w:val="16"/>
              </w:rPr>
            </w:pPr>
            <w:r w:rsidRPr="002D3F42">
              <w:rPr>
                <w:sz w:val="16"/>
                <w:szCs w:val="16"/>
              </w:rPr>
              <w:t xml:space="preserve">B: </w:t>
            </w:r>
            <w:r>
              <w:rPr>
                <w:sz w:val="16"/>
                <w:szCs w:val="16"/>
              </w:rPr>
              <w:t>Multiple spinal fracture</w:t>
            </w:r>
            <w:r w:rsidR="00E92205">
              <w:rPr>
                <w:sz w:val="16"/>
                <w:szCs w:val="16"/>
              </w:rPr>
              <w:t>s without structural compromise involving neurological signs</w:t>
            </w:r>
            <w:r>
              <w:rPr>
                <w:sz w:val="16"/>
                <w:szCs w:val="16"/>
              </w:rPr>
              <w:t xml:space="preserve"> </w:t>
            </w:r>
          </w:p>
        </w:tc>
        <w:tc>
          <w:tcPr>
            <w:tcW w:w="1416" w:type="dxa"/>
            <w:vAlign w:val="center"/>
          </w:tcPr>
          <w:p w:rsidR="00E75DD7" w:rsidRPr="002D3F42" w:rsidRDefault="00E75DD7" w:rsidP="0005334C">
            <w:pPr>
              <w:pStyle w:val="TableTextNormal"/>
              <w:keepLines/>
              <w:ind w:left="284"/>
              <w:rPr>
                <w:sz w:val="16"/>
                <w:szCs w:val="16"/>
              </w:rPr>
            </w:pPr>
            <w:r>
              <w:rPr>
                <w:sz w:val="16"/>
                <w:szCs w:val="16"/>
              </w:rPr>
              <w:t xml:space="preserve">DRE II </w:t>
            </w:r>
          </w:p>
        </w:tc>
        <w:tc>
          <w:tcPr>
            <w:tcW w:w="1502" w:type="dxa"/>
            <w:vAlign w:val="center"/>
          </w:tcPr>
          <w:p w:rsidR="00E75DD7" w:rsidRDefault="00E75DD7" w:rsidP="0005334C">
            <w:pPr>
              <w:pStyle w:val="TableTextNormal"/>
              <w:keepLines/>
              <w:ind w:left="284"/>
              <w:rPr>
                <w:sz w:val="16"/>
                <w:szCs w:val="16"/>
              </w:rPr>
            </w:pPr>
            <w:r>
              <w:rPr>
                <w:sz w:val="16"/>
                <w:szCs w:val="16"/>
              </w:rPr>
              <w:t xml:space="preserve">DRE IV </w:t>
            </w:r>
          </w:p>
        </w:tc>
        <w:tc>
          <w:tcPr>
            <w:tcW w:w="1502" w:type="dxa"/>
            <w:vAlign w:val="center"/>
          </w:tcPr>
          <w:p w:rsidR="00E75DD7" w:rsidRPr="002D3F42" w:rsidRDefault="00E75DD7" w:rsidP="000A5A4F">
            <w:pPr>
              <w:pStyle w:val="TableTextNormal"/>
              <w:keepLines/>
              <w:ind w:left="284"/>
              <w:rPr>
                <w:sz w:val="16"/>
                <w:szCs w:val="16"/>
              </w:rPr>
            </w:pPr>
            <w:r>
              <w:rPr>
                <w:sz w:val="16"/>
                <w:szCs w:val="16"/>
              </w:rPr>
              <w:t xml:space="preserve">DRE III </w:t>
            </w:r>
          </w:p>
        </w:tc>
      </w:tr>
      <w:tr w:rsidR="00E75DD7" w:rsidRPr="007A3AFB" w:rsidTr="008D2272">
        <w:tc>
          <w:tcPr>
            <w:tcW w:w="4017" w:type="dxa"/>
          </w:tcPr>
          <w:p w:rsidR="00E75DD7" w:rsidRPr="002D3F42" w:rsidRDefault="00E75DD7" w:rsidP="00E92205">
            <w:pPr>
              <w:pStyle w:val="TableTextNormal"/>
              <w:keepLines/>
              <w:rPr>
                <w:sz w:val="16"/>
                <w:szCs w:val="16"/>
              </w:rPr>
            </w:pPr>
            <w:r w:rsidRPr="002D3F42">
              <w:rPr>
                <w:sz w:val="16"/>
                <w:szCs w:val="16"/>
              </w:rPr>
              <w:t xml:space="preserve">C: </w:t>
            </w:r>
            <w:r>
              <w:rPr>
                <w:sz w:val="16"/>
                <w:szCs w:val="16"/>
              </w:rPr>
              <w:t>Multiple spinal fractures with structural compromise</w:t>
            </w:r>
          </w:p>
        </w:tc>
        <w:tc>
          <w:tcPr>
            <w:tcW w:w="1416" w:type="dxa"/>
            <w:vAlign w:val="center"/>
          </w:tcPr>
          <w:p w:rsidR="00E75DD7" w:rsidRPr="002D3F42" w:rsidRDefault="00E75DD7" w:rsidP="0005334C">
            <w:pPr>
              <w:pStyle w:val="TableTextNormal"/>
              <w:keepLines/>
              <w:ind w:left="284"/>
              <w:rPr>
                <w:sz w:val="16"/>
                <w:szCs w:val="16"/>
              </w:rPr>
            </w:pPr>
            <w:r>
              <w:rPr>
                <w:sz w:val="16"/>
                <w:szCs w:val="16"/>
              </w:rPr>
              <w:t>DRE IV</w:t>
            </w:r>
          </w:p>
        </w:tc>
        <w:tc>
          <w:tcPr>
            <w:tcW w:w="1502" w:type="dxa"/>
            <w:vAlign w:val="center"/>
          </w:tcPr>
          <w:p w:rsidR="00E75DD7" w:rsidRPr="00005DA4" w:rsidRDefault="00E75DD7" w:rsidP="0005334C">
            <w:pPr>
              <w:pStyle w:val="TableTextNormal"/>
              <w:keepLines/>
              <w:ind w:left="284"/>
              <w:rPr>
                <w:sz w:val="16"/>
                <w:szCs w:val="16"/>
              </w:rPr>
            </w:pPr>
            <w:r>
              <w:rPr>
                <w:sz w:val="16"/>
                <w:szCs w:val="16"/>
              </w:rPr>
              <w:t>DRE IV</w:t>
            </w:r>
          </w:p>
        </w:tc>
        <w:tc>
          <w:tcPr>
            <w:tcW w:w="1502" w:type="dxa"/>
            <w:vAlign w:val="center"/>
          </w:tcPr>
          <w:p w:rsidR="00E75DD7" w:rsidRPr="00005DA4" w:rsidRDefault="00E75DD7" w:rsidP="0005334C">
            <w:pPr>
              <w:pStyle w:val="TableTextNormal"/>
              <w:keepLines/>
              <w:ind w:left="284"/>
              <w:rPr>
                <w:sz w:val="16"/>
                <w:szCs w:val="16"/>
              </w:rPr>
            </w:pPr>
            <w:r>
              <w:rPr>
                <w:sz w:val="16"/>
                <w:szCs w:val="16"/>
              </w:rPr>
              <w:t>DRE IV</w:t>
            </w:r>
          </w:p>
        </w:tc>
      </w:tr>
    </w:tbl>
    <w:p w:rsidR="00F36922" w:rsidRDefault="00F36922" w:rsidP="00D60513">
      <w:pPr>
        <w:pStyle w:val="Sources"/>
      </w:pPr>
      <w:r>
        <w:t xml:space="preserve">Source: </w:t>
      </w:r>
      <w:r w:rsidR="00057E1B">
        <w:t>PwC</w:t>
      </w:r>
    </w:p>
    <w:p w:rsidR="00E00D3A" w:rsidRDefault="00CE0058" w:rsidP="0005334C">
      <w:pPr>
        <w:pStyle w:val="ListBullet"/>
        <w:keepNext/>
        <w:keepLines/>
        <w:numPr>
          <w:ilvl w:val="0"/>
          <w:numId w:val="0"/>
        </w:numPr>
      </w:pPr>
      <w:r>
        <w:lastRenderedPageBreak/>
        <w:fldChar w:fldCharType="begin"/>
      </w:r>
      <w:r>
        <w:instrText xml:space="preserve"> REF _Ref387937640 \h </w:instrText>
      </w:r>
      <w:r>
        <w:fldChar w:fldCharType="separate"/>
      </w:r>
      <w:r w:rsidR="00542564">
        <w:t xml:space="preserve">Table </w:t>
      </w:r>
      <w:r w:rsidR="00542564">
        <w:rPr>
          <w:noProof/>
        </w:rPr>
        <w:t>8</w:t>
      </w:r>
      <w:r>
        <w:fldChar w:fldCharType="end"/>
      </w:r>
      <w:r w:rsidR="004B3B29">
        <w:t xml:space="preserve"> </w:t>
      </w:r>
      <w:r w:rsidR="00E00D3A">
        <w:t>below s</w:t>
      </w:r>
      <w:r w:rsidR="00A85695">
        <w:t xml:space="preserve">ummarises </w:t>
      </w:r>
      <w:r w:rsidR="00B1399E">
        <w:t xml:space="preserve">an estimation of </w:t>
      </w:r>
      <w:r w:rsidR="00A85695">
        <w:t>the breakdown of current and future (over 10 years) claimants in the scheme</w:t>
      </w:r>
      <w:r w:rsidR="00B1399E">
        <w:t xml:space="preserve"> that receive impairment benefits</w:t>
      </w:r>
      <w:r w:rsidR="007609E8">
        <w:t>, as at the expected GMD release date of 1 July 2014</w:t>
      </w:r>
      <w:r w:rsidR="0005334C">
        <w:t>.</w:t>
      </w:r>
    </w:p>
    <w:p w:rsidR="00E00D3A" w:rsidRDefault="00E00D3A" w:rsidP="00A85695">
      <w:pPr>
        <w:pStyle w:val="Caption"/>
      </w:pPr>
      <w:bookmarkStart w:id="52" w:name="_Ref387937640"/>
      <w:r>
        <w:t xml:space="preserve">Table </w:t>
      </w:r>
      <w:fldSimple w:instr=" SEQ Table \* ARABIC ">
        <w:r w:rsidR="00542564">
          <w:rPr>
            <w:noProof/>
          </w:rPr>
          <w:t>8</w:t>
        </w:r>
      </w:fldSimple>
      <w:bookmarkEnd w:id="52"/>
      <w:r>
        <w:t>: Number of existing and future claimants</w:t>
      </w:r>
      <w:r w:rsidR="00995041">
        <w:t xml:space="preserve"> (over 10 years)</w:t>
      </w:r>
    </w:p>
    <w:tbl>
      <w:tblPr>
        <w:tblStyle w:val="LightList-Accent1"/>
        <w:tblW w:w="5000" w:type="pct"/>
        <w:tblLayout w:type="fixed"/>
        <w:tblLook w:val="04A0" w:firstRow="1" w:lastRow="0" w:firstColumn="1" w:lastColumn="0" w:noHBand="0" w:noVBand="1"/>
      </w:tblPr>
      <w:tblGrid>
        <w:gridCol w:w="2108"/>
        <w:gridCol w:w="2109"/>
        <w:gridCol w:w="2111"/>
        <w:gridCol w:w="2109"/>
      </w:tblGrid>
      <w:tr w:rsidR="00E00D3A" w:rsidRPr="00B214B1" w:rsidTr="008D2272">
        <w:trPr>
          <w:cnfStyle w:val="100000000000" w:firstRow="1" w:lastRow="0" w:firstColumn="0" w:lastColumn="0" w:oddVBand="0" w:evenVBand="0" w:oddHBand="0"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249" w:type="pct"/>
            <w:tcBorders>
              <w:top w:val="nil"/>
              <w:left w:val="nil"/>
              <w:bottom w:val="single" w:sz="8" w:space="0" w:color="FFFFFF" w:themeColor="background2"/>
              <w:right w:val="single" w:sz="8" w:space="0" w:color="FFFFFF" w:themeColor="background2"/>
            </w:tcBorders>
            <w:shd w:val="clear" w:color="auto" w:fill="FFFFFF" w:themeFill="background1"/>
          </w:tcPr>
          <w:p w:rsidR="00E00D3A" w:rsidRPr="004B3B29" w:rsidRDefault="00E00D3A" w:rsidP="00A85695">
            <w:pPr>
              <w:pStyle w:val="TableColumnHeadingNormal"/>
              <w:rPr>
                <w:rFonts w:asciiTheme="minorHAnsi" w:hAnsiTheme="minorHAnsi" w:cstheme="minorHAnsi"/>
                <w:sz w:val="16"/>
                <w:szCs w:val="16"/>
              </w:rPr>
            </w:pPr>
          </w:p>
        </w:tc>
        <w:tc>
          <w:tcPr>
            <w:tcW w:w="3751" w:type="pct"/>
            <w:gridSpan w:val="3"/>
            <w:tcBorders>
              <w:top w:val="nil"/>
              <w:left w:val="single" w:sz="8" w:space="0" w:color="FFFFFF" w:themeColor="background2"/>
              <w:bottom w:val="single" w:sz="8" w:space="0" w:color="FFFFFF" w:themeColor="background2"/>
            </w:tcBorders>
          </w:tcPr>
          <w:p w:rsidR="00E00D3A" w:rsidRPr="004B3B29" w:rsidRDefault="00E00D3A" w:rsidP="00995101">
            <w:pPr>
              <w:pStyle w:val="TableColumnHeadingNormal"/>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16"/>
                <w:szCs w:val="16"/>
              </w:rPr>
            </w:pPr>
            <w:r w:rsidRPr="004B3B29">
              <w:rPr>
                <w:rFonts w:asciiTheme="minorHAnsi" w:hAnsiTheme="minorHAnsi" w:cstheme="minorHAnsi"/>
                <w:color w:val="FFFFFF" w:themeColor="background1"/>
                <w:sz w:val="16"/>
                <w:szCs w:val="16"/>
              </w:rPr>
              <w:t>Accident date</w:t>
            </w:r>
          </w:p>
        </w:tc>
      </w:tr>
      <w:tr w:rsidR="00E00D3A" w:rsidRPr="00B214B1" w:rsidTr="008D2272">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249" w:type="pct"/>
            <w:tcBorders>
              <w:top w:val="single" w:sz="8" w:space="0" w:color="FFFFFF" w:themeColor="background2"/>
              <w:left w:val="nil"/>
              <w:right w:val="single" w:sz="8" w:space="0" w:color="FFFFFF" w:themeColor="background2"/>
            </w:tcBorders>
            <w:shd w:val="clear" w:color="auto" w:fill="A32020" w:themeFill="text2"/>
            <w:vAlign w:val="center"/>
          </w:tcPr>
          <w:p w:rsidR="00E00D3A" w:rsidRPr="00A85695" w:rsidRDefault="00E00D3A" w:rsidP="00A85695">
            <w:pPr>
              <w:pStyle w:val="TableColumnHeadingNormal"/>
              <w:rPr>
                <w:rFonts w:asciiTheme="minorHAnsi" w:hAnsiTheme="minorHAnsi" w:cstheme="minorHAnsi"/>
                <w:b/>
                <w:color w:val="FFFFFF" w:themeColor="background1"/>
                <w:sz w:val="16"/>
                <w:szCs w:val="16"/>
              </w:rPr>
            </w:pPr>
            <w:r w:rsidRPr="00A85695">
              <w:rPr>
                <w:rFonts w:asciiTheme="minorHAnsi" w:hAnsiTheme="minorHAnsi" w:cstheme="minorHAnsi"/>
                <w:color w:val="FFFFFF" w:themeColor="background1"/>
                <w:sz w:val="16"/>
                <w:szCs w:val="16"/>
              </w:rPr>
              <w:t>Injury type</w:t>
            </w:r>
          </w:p>
        </w:tc>
        <w:tc>
          <w:tcPr>
            <w:tcW w:w="1250" w:type="pct"/>
            <w:tcBorders>
              <w:top w:val="single" w:sz="8" w:space="0" w:color="FFFFFF" w:themeColor="background2"/>
              <w:left w:val="single" w:sz="8" w:space="0" w:color="FFFFFF" w:themeColor="background2"/>
              <w:right w:val="single" w:sz="8" w:space="0" w:color="FFFFFF" w:themeColor="background2"/>
            </w:tcBorders>
            <w:shd w:val="clear" w:color="auto" w:fill="E06161" w:themeFill="text2" w:themeFillTint="99"/>
          </w:tcPr>
          <w:p w:rsidR="00E00D3A" w:rsidRPr="004B3B29" w:rsidRDefault="009E302C" w:rsidP="00995041">
            <w:pPr>
              <w:pStyle w:val="TableColumnHeading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16"/>
                <w:szCs w:val="16"/>
              </w:rPr>
            </w:pPr>
            <w:r w:rsidRPr="0005334C">
              <w:rPr>
                <w:rFonts w:asciiTheme="minorHAnsi" w:hAnsiTheme="minorHAnsi" w:cstheme="minorHAnsi"/>
                <w:color w:val="FFFFFF" w:themeColor="background1"/>
                <w:sz w:val="16"/>
                <w:szCs w:val="16"/>
              </w:rPr>
              <w:t xml:space="preserve">Existing </w:t>
            </w:r>
            <w:r>
              <w:rPr>
                <w:rFonts w:asciiTheme="minorHAnsi" w:hAnsiTheme="minorHAnsi" w:cstheme="minorHAnsi"/>
                <w:color w:val="FFFFFF" w:themeColor="background1"/>
                <w:sz w:val="16"/>
                <w:szCs w:val="16"/>
              </w:rPr>
              <w:t>claimants</w:t>
            </w:r>
            <w:r w:rsidRPr="0005334C">
              <w:rPr>
                <w:rFonts w:asciiTheme="minorHAnsi" w:hAnsiTheme="minorHAnsi" w:cstheme="minorHAnsi"/>
                <w:color w:val="FFFFFF" w:themeColor="background1"/>
                <w:sz w:val="16"/>
                <w:szCs w:val="16"/>
              </w:rPr>
              <w:t xml:space="preserve"> in the scheme at 1 July 2014</w:t>
            </w:r>
          </w:p>
        </w:tc>
        <w:tc>
          <w:tcPr>
            <w:tcW w:w="1251" w:type="pct"/>
            <w:tcBorders>
              <w:top w:val="single" w:sz="8" w:space="0" w:color="FFFFFF" w:themeColor="background2"/>
              <w:left w:val="single" w:sz="8" w:space="0" w:color="FFFFFF" w:themeColor="background2"/>
              <w:right w:val="single" w:sz="8" w:space="0" w:color="FFFFFF" w:themeColor="background2"/>
            </w:tcBorders>
            <w:shd w:val="clear" w:color="auto" w:fill="E06161" w:themeFill="text2" w:themeFillTint="99"/>
          </w:tcPr>
          <w:p w:rsidR="00E00D3A" w:rsidRPr="004B3B29" w:rsidRDefault="00E00D3A" w:rsidP="00995101">
            <w:pPr>
              <w:pStyle w:val="TableColumnHeading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16"/>
                <w:szCs w:val="16"/>
              </w:rPr>
            </w:pPr>
            <w:r w:rsidRPr="004B3B29">
              <w:rPr>
                <w:rFonts w:asciiTheme="minorHAnsi" w:hAnsiTheme="minorHAnsi" w:cstheme="minorHAnsi"/>
                <w:color w:val="FFFFFF" w:themeColor="background1"/>
                <w:sz w:val="16"/>
                <w:szCs w:val="16"/>
              </w:rPr>
              <w:t>Future accidents from 1 July 2014 (over 10 years)</w:t>
            </w:r>
          </w:p>
        </w:tc>
        <w:tc>
          <w:tcPr>
            <w:tcW w:w="1251" w:type="pct"/>
            <w:tcBorders>
              <w:top w:val="single" w:sz="8" w:space="0" w:color="FFFFFF" w:themeColor="background2"/>
              <w:left w:val="single" w:sz="8" w:space="0" w:color="FFFFFF" w:themeColor="background2"/>
            </w:tcBorders>
            <w:shd w:val="clear" w:color="auto" w:fill="E06161" w:themeFill="text2" w:themeFillTint="99"/>
          </w:tcPr>
          <w:p w:rsidR="00E00D3A" w:rsidRPr="004B3B29" w:rsidRDefault="00E00D3A">
            <w:pPr>
              <w:pStyle w:val="TableColumnHeading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16"/>
                <w:szCs w:val="16"/>
              </w:rPr>
            </w:pPr>
            <w:r w:rsidRPr="004B3B29">
              <w:rPr>
                <w:rFonts w:asciiTheme="minorHAnsi" w:hAnsiTheme="minorHAnsi" w:cstheme="minorHAnsi"/>
                <w:color w:val="FFFFFF" w:themeColor="background1"/>
                <w:sz w:val="16"/>
                <w:szCs w:val="16"/>
              </w:rPr>
              <w:t>Total</w:t>
            </w:r>
          </w:p>
        </w:tc>
      </w:tr>
      <w:tr w:rsidR="00E00D3A" w:rsidRPr="00F96253" w:rsidTr="008D2272">
        <w:trPr>
          <w:trHeight w:val="403"/>
        </w:trPr>
        <w:tc>
          <w:tcPr>
            <w:cnfStyle w:val="001000000000" w:firstRow="0" w:lastRow="0" w:firstColumn="1" w:lastColumn="0" w:oddVBand="0" w:evenVBand="0" w:oddHBand="0" w:evenHBand="0" w:firstRowFirstColumn="0" w:firstRowLastColumn="0" w:lastRowFirstColumn="0" w:lastRowLastColumn="0"/>
            <w:tcW w:w="1249" w:type="pct"/>
            <w:tcBorders>
              <w:top w:val="single" w:sz="8" w:space="0" w:color="A32020" w:themeColor="accent1"/>
              <w:left w:val="single" w:sz="8" w:space="0" w:color="A32020" w:themeColor="accent1"/>
              <w:bottom w:val="single" w:sz="8" w:space="0" w:color="A32020" w:themeColor="accent1"/>
            </w:tcBorders>
            <w:shd w:val="clear" w:color="auto" w:fill="E06161" w:themeFill="text2" w:themeFillTint="99"/>
          </w:tcPr>
          <w:p w:rsidR="00E00D3A" w:rsidRPr="004B3B29" w:rsidRDefault="00E00D3A" w:rsidP="00A85695">
            <w:pPr>
              <w:pStyle w:val="TableTextNormal"/>
              <w:keepNext/>
              <w:keepLines/>
              <w:rPr>
                <w:rFonts w:asciiTheme="minorHAnsi" w:hAnsiTheme="minorHAnsi" w:cstheme="minorHAnsi"/>
                <w:color w:val="FFFFFF" w:themeColor="background1"/>
                <w:sz w:val="16"/>
                <w:szCs w:val="16"/>
              </w:rPr>
            </w:pPr>
            <w:r w:rsidRPr="004B3B29">
              <w:rPr>
                <w:rFonts w:asciiTheme="minorHAnsi" w:hAnsiTheme="minorHAnsi" w:cstheme="minorHAnsi"/>
                <w:color w:val="FFFFFF" w:themeColor="background1"/>
                <w:sz w:val="16"/>
                <w:szCs w:val="16"/>
              </w:rPr>
              <w:t>Multiple spinal fracture cases</w:t>
            </w:r>
          </w:p>
        </w:tc>
        <w:tc>
          <w:tcPr>
            <w:tcW w:w="1250" w:type="pct"/>
          </w:tcPr>
          <w:p w:rsidR="00E00D3A" w:rsidRPr="004B3B29" w:rsidRDefault="00E00D3A" w:rsidP="00A85695">
            <w:pPr>
              <w:pStyle w:val="TableTextNormal"/>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4B3B29">
              <w:rPr>
                <w:rFonts w:asciiTheme="minorHAnsi" w:hAnsiTheme="minorHAnsi" w:cstheme="minorHAnsi"/>
                <w:sz w:val="16"/>
                <w:szCs w:val="16"/>
              </w:rPr>
              <w:t>725 (31%)</w:t>
            </w:r>
          </w:p>
        </w:tc>
        <w:tc>
          <w:tcPr>
            <w:tcW w:w="1251" w:type="pct"/>
          </w:tcPr>
          <w:p w:rsidR="00E00D3A" w:rsidRPr="004B3B29" w:rsidRDefault="00E00D3A" w:rsidP="00995101">
            <w:pPr>
              <w:pStyle w:val="TableTextNormal"/>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4B3B29">
              <w:rPr>
                <w:rFonts w:asciiTheme="minorHAnsi" w:hAnsiTheme="minorHAnsi" w:cstheme="minorHAnsi"/>
                <w:sz w:val="16"/>
                <w:szCs w:val="16"/>
              </w:rPr>
              <w:t>1,590 (69%)</w:t>
            </w:r>
          </w:p>
        </w:tc>
        <w:tc>
          <w:tcPr>
            <w:tcW w:w="1251" w:type="pct"/>
          </w:tcPr>
          <w:p w:rsidR="00E00D3A" w:rsidRPr="004B3B29" w:rsidRDefault="00E00D3A">
            <w:pPr>
              <w:pStyle w:val="TableTextNormal"/>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4B3B29">
              <w:rPr>
                <w:rFonts w:asciiTheme="minorHAnsi" w:hAnsiTheme="minorHAnsi" w:cstheme="minorHAnsi"/>
                <w:b/>
                <w:sz w:val="16"/>
                <w:szCs w:val="16"/>
              </w:rPr>
              <w:t>2,315</w:t>
            </w:r>
            <w:r w:rsidR="00BC55C1">
              <w:rPr>
                <w:rFonts w:asciiTheme="minorHAnsi" w:hAnsiTheme="minorHAnsi" w:cstheme="minorHAnsi"/>
                <w:b/>
                <w:sz w:val="16"/>
                <w:szCs w:val="16"/>
              </w:rPr>
              <w:t xml:space="preserve"> (100%)</w:t>
            </w:r>
          </w:p>
        </w:tc>
      </w:tr>
      <w:tr w:rsidR="00E00D3A" w:rsidRPr="00F96253" w:rsidTr="008D2272">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249" w:type="pct"/>
            <w:shd w:val="clear" w:color="auto" w:fill="E06161" w:themeFill="text2" w:themeFillTint="99"/>
          </w:tcPr>
          <w:p w:rsidR="00E00D3A" w:rsidRPr="004B3B29" w:rsidRDefault="00E00D3A" w:rsidP="00A85695">
            <w:pPr>
              <w:pStyle w:val="TableTextNormal"/>
              <w:keepNext/>
              <w:keepLines/>
              <w:rPr>
                <w:rFonts w:asciiTheme="minorHAnsi" w:hAnsiTheme="minorHAnsi" w:cstheme="minorHAnsi"/>
                <w:color w:val="FFFFFF" w:themeColor="background1"/>
                <w:sz w:val="16"/>
                <w:szCs w:val="16"/>
              </w:rPr>
            </w:pPr>
            <w:r w:rsidRPr="004B3B29">
              <w:rPr>
                <w:rFonts w:asciiTheme="minorHAnsi" w:hAnsiTheme="minorHAnsi" w:cstheme="minorHAnsi"/>
                <w:color w:val="FFFFFF" w:themeColor="background1"/>
                <w:sz w:val="16"/>
                <w:szCs w:val="16"/>
              </w:rPr>
              <w:t>All other cases</w:t>
            </w:r>
            <w:r w:rsidR="00B1399E">
              <w:rPr>
                <w:rFonts w:asciiTheme="minorHAnsi" w:hAnsiTheme="minorHAnsi" w:cstheme="minorHAnsi"/>
                <w:color w:val="FFFFFF" w:themeColor="background1"/>
                <w:sz w:val="16"/>
                <w:szCs w:val="16"/>
              </w:rPr>
              <w:t xml:space="preserve"> (that receive impairment benefits)</w:t>
            </w:r>
          </w:p>
        </w:tc>
        <w:tc>
          <w:tcPr>
            <w:tcW w:w="1250" w:type="pct"/>
            <w:shd w:val="clear" w:color="auto" w:fill="F4CACA" w:themeFill="text2" w:themeFillTint="33"/>
          </w:tcPr>
          <w:p w:rsidR="00E00D3A" w:rsidRPr="004B3B29" w:rsidRDefault="00E00D3A" w:rsidP="00A85695">
            <w:pPr>
              <w:pStyle w:val="TableTextNormal"/>
              <w:keepNext/>
              <w:keepLine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4B3B29">
              <w:rPr>
                <w:rFonts w:asciiTheme="minorHAnsi" w:hAnsiTheme="minorHAnsi" w:cstheme="minorHAnsi"/>
                <w:sz w:val="16"/>
                <w:szCs w:val="16"/>
              </w:rPr>
              <w:t>6,115 (31%)</w:t>
            </w:r>
          </w:p>
        </w:tc>
        <w:tc>
          <w:tcPr>
            <w:tcW w:w="1251" w:type="pct"/>
            <w:shd w:val="clear" w:color="auto" w:fill="F4CACA" w:themeFill="text2" w:themeFillTint="33"/>
          </w:tcPr>
          <w:p w:rsidR="00E00D3A" w:rsidRPr="004B3B29" w:rsidRDefault="00E00D3A" w:rsidP="00995101">
            <w:pPr>
              <w:pStyle w:val="TableTextNormal"/>
              <w:keepNext/>
              <w:keepLine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4B3B29">
              <w:rPr>
                <w:rFonts w:asciiTheme="minorHAnsi" w:hAnsiTheme="minorHAnsi" w:cstheme="minorHAnsi"/>
                <w:sz w:val="16"/>
                <w:szCs w:val="16"/>
              </w:rPr>
              <w:t>13,410 (69%)</w:t>
            </w:r>
          </w:p>
        </w:tc>
        <w:tc>
          <w:tcPr>
            <w:tcW w:w="1251" w:type="pct"/>
            <w:shd w:val="clear" w:color="auto" w:fill="F4CACA" w:themeFill="text2" w:themeFillTint="33"/>
          </w:tcPr>
          <w:p w:rsidR="00E00D3A" w:rsidRPr="004B3B29" w:rsidRDefault="00E00D3A">
            <w:pPr>
              <w:pStyle w:val="TableTextNormal"/>
              <w:keepNext/>
              <w:keepLine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r w:rsidRPr="004B3B29">
              <w:rPr>
                <w:rFonts w:asciiTheme="minorHAnsi" w:hAnsiTheme="minorHAnsi" w:cstheme="minorHAnsi"/>
                <w:b/>
                <w:sz w:val="16"/>
                <w:szCs w:val="16"/>
              </w:rPr>
              <w:t>19,525</w:t>
            </w:r>
            <w:r w:rsidR="00BC55C1">
              <w:rPr>
                <w:rFonts w:asciiTheme="minorHAnsi" w:hAnsiTheme="minorHAnsi" w:cstheme="minorHAnsi"/>
                <w:b/>
                <w:sz w:val="16"/>
                <w:szCs w:val="16"/>
              </w:rPr>
              <w:t xml:space="preserve"> (100%)</w:t>
            </w:r>
          </w:p>
        </w:tc>
      </w:tr>
      <w:tr w:rsidR="00E00D3A" w:rsidRPr="00F96253" w:rsidTr="008D2272">
        <w:trPr>
          <w:trHeight w:val="403"/>
        </w:trPr>
        <w:tc>
          <w:tcPr>
            <w:cnfStyle w:val="001000000000" w:firstRow="0" w:lastRow="0" w:firstColumn="1" w:lastColumn="0" w:oddVBand="0" w:evenVBand="0" w:oddHBand="0" w:evenHBand="0" w:firstRowFirstColumn="0" w:firstRowLastColumn="0" w:lastRowFirstColumn="0" w:lastRowLastColumn="0"/>
            <w:tcW w:w="1249" w:type="pct"/>
            <w:shd w:val="clear" w:color="auto" w:fill="E06161" w:themeFill="text2" w:themeFillTint="99"/>
          </w:tcPr>
          <w:p w:rsidR="00E00D3A" w:rsidRPr="004B3B29" w:rsidRDefault="00E00D3A" w:rsidP="00A85695">
            <w:pPr>
              <w:pStyle w:val="TableTextNormal"/>
              <w:keepNext/>
              <w:keepLines/>
              <w:rPr>
                <w:rFonts w:asciiTheme="minorHAnsi" w:hAnsiTheme="minorHAnsi" w:cstheme="minorHAnsi"/>
                <w:color w:val="FFFFFF" w:themeColor="background1"/>
                <w:sz w:val="16"/>
                <w:szCs w:val="16"/>
              </w:rPr>
            </w:pPr>
            <w:r w:rsidRPr="004B3B29">
              <w:rPr>
                <w:rFonts w:asciiTheme="minorHAnsi" w:hAnsiTheme="minorHAnsi" w:cstheme="minorHAnsi"/>
                <w:color w:val="FFFFFF" w:themeColor="background1"/>
                <w:sz w:val="16"/>
                <w:szCs w:val="16"/>
              </w:rPr>
              <w:t>Total</w:t>
            </w:r>
          </w:p>
        </w:tc>
        <w:tc>
          <w:tcPr>
            <w:tcW w:w="1250" w:type="pct"/>
          </w:tcPr>
          <w:p w:rsidR="00E00D3A" w:rsidRPr="004B3B29" w:rsidRDefault="00E00D3A" w:rsidP="00A85695">
            <w:pPr>
              <w:pStyle w:val="TableTextNormal"/>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4B3B29">
              <w:rPr>
                <w:rFonts w:asciiTheme="minorHAnsi" w:hAnsiTheme="minorHAnsi" w:cstheme="minorHAnsi"/>
                <w:b/>
                <w:sz w:val="16"/>
                <w:szCs w:val="16"/>
              </w:rPr>
              <w:t xml:space="preserve">6,840 </w:t>
            </w:r>
          </w:p>
        </w:tc>
        <w:tc>
          <w:tcPr>
            <w:tcW w:w="1251" w:type="pct"/>
          </w:tcPr>
          <w:p w:rsidR="00E00D3A" w:rsidRPr="004B3B29" w:rsidRDefault="00E00D3A" w:rsidP="00995101">
            <w:pPr>
              <w:pStyle w:val="TableTextNormal"/>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4B3B29">
              <w:rPr>
                <w:rFonts w:asciiTheme="minorHAnsi" w:hAnsiTheme="minorHAnsi" w:cstheme="minorHAnsi"/>
                <w:b/>
                <w:sz w:val="16"/>
                <w:szCs w:val="16"/>
              </w:rPr>
              <w:t xml:space="preserve">15,000 </w:t>
            </w:r>
          </w:p>
        </w:tc>
        <w:tc>
          <w:tcPr>
            <w:tcW w:w="1251" w:type="pct"/>
          </w:tcPr>
          <w:p w:rsidR="00E00D3A" w:rsidRPr="004B3B29" w:rsidRDefault="00E00D3A">
            <w:pPr>
              <w:pStyle w:val="TableTextNormal"/>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4B3B29">
              <w:rPr>
                <w:rFonts w:asciiTheme="minorHAnsi" w:hAnsiTheme="minorHAnsi" w:cstheme="minorHAnsi"/>
                <w:b/>
                <w:sz w:val="16"/>
                <w:szCs w:val="16"/>
              </w:rPr>
              <w:t>21,840</w:t>
            </w:r>
          </w:p>
        </w:tc>
      </w:tr>
    </w:tbl>
    <w:p w:rsidR="00E00D3A" w:rsidRDefault="00E00D3A" w:rsidP="00A85695">
      <w:pPr>
        <w:pStyle w:val="Sources"/>
        <w:keepNext/>
        <w:keepLines/>
      </w:pPr>
      <w:r>
        <w:t>Sources: TAC data and PwC analysis as described below.</w:t>
      </w:r>
    </w:p>
    <w:p w:rsidR="00E00D3A" w:rsidRDefault="00BC55C1" w:rsidP="004B3B29">
      <w:pPr>
        <w:pStyle w:val="PwCNormal"/>
        <w:keepNext/>
        <w:keepLines/>
      </w:pPr>
      <w:r>
        <w:fldChar w:fldCharType="begin"/>
      </w:r>
      <w:r>
        <w:instrText xml:space="preserve"> REF _Ref387937640 \h </w:instrText>
      </w:r>
      <w:r>
        <w:fldChar w:fldCharType="separate"/>
      </w:r>
      <w:r w:rsidR="00542564">
        <w:t xml:space="preserve">Table </w:t>
      </w:r>
      <w:r w:rsidR="00542564">
        <w:rPr>
          <w:noProof/>
        </w:rPr>
        <w:t>8</w:t>
      </w:r>
      <w:r>
        <w:fldChar w:fldCharType="end"/>
      </w:r>
      <w:r w:rsidR="00E00D3A">
        <w:t xml:space="preserve"> shows that </w:t>
      </w:r>
      <w:r w:rsidR="00E109E1">
        <w:t xml:space="preserve">there are 725 existing </w:t>
      </w:r>
      <w:r w:rsidR="00E00D3A">
        <w:t>claimants</w:t>
      </w:r>
      <w:r w:rsidR="000807AC">
        <w:t>,</w:t>
      </w:r>
      <w:r w:rsidR="00995041">
        <w:rPr>
          <w:rStyle w:val="FootnoteReference"/>
        </w:rPr>
        <w:footnoteReference w:id="41"/>
      </w:r>
      <w:r w:rsidR="00E00D3A">
        <w:t xml:space="preserve"> with multiple spinal fracture injuries in the scheme out of around 6,840 total claimants that are currently in the scheme</w:t>
      </w:r>
      <w:r w:rsidR="00E109E1">
        <w:t>.</w:t>
      </w:r>
      <w:r w:rsidR="00E00D3A">
        <w:rPr>
          <w:rStyle w:val="FootnoteReference"/>
        </w:rPr>
        <w:footnoteReference w:id="42"/>
      </w:r>
    </w:p>
    <w:p w:rsidR="00E00D3A" w:rsidRDefault="00177B79" w:rsidP="004B3B29">
      <w:pPr>
        <w:pStyle w:val="PwCNormal"/>
        <w:keepNext/>
        <w:keepLines/>
      </w:pPr>
      <w:r>
        <w:t>I</w:t>
      </w:r>
      <w:r w:rsidR="00E00D3A">
        <w:t xml:space="preserve">t is assumed that there will be on average 159 multiple spinal fracture cases per year totalling 1,590 over </w:t>
      </w:r>
      <w:r>
        <w:t>a</w:t>
      </w:r>
      <w:r w:rsidR="00E00D3A">
        <w:t xml:space="preserve"> ten year period (these f</w:t>
      </w:r>
      <w:r w:rsidR="00944AF3">
        <w:t xml:space="preserve">igures are set out in </w:t>
      </w:r>
      <w:r w:rsidR="00944AF3">
        <w:fldChar w:fldCharType="begin"/>
      </w:r>
      <w:r w:rsidR="00944AF3">
        <w:instrText xml:space="preserve"> REF _Ref387412397 \n \h </w:instrText>
      </w:r>
      <w:r w:rsidR="00944AF3">
        <w:fldChar w:fldCharType="separate"/>
      </w:r>
      <w:r w:rsidR="00542564">
        <w:t>Appendix C</w:t>
      </w:r>
      <w:r w:rsidR="00944AF3">
        <w:fldChar w:fldCharType="end"/>
      </w:r>
      <w:r w:rsidR="00E00D3A">
        <w:t>).</w:t>
      </w:r>
      <w:r w:rsidR="00747D15">
        <w:rPr>
          <w:rStyle w:val="FootnoteReference"/>
        </w:rPr>
        <w:footnoteReference w:id="43"/>
      </w:r>
      <w:r w:rsidR="00E00D3A">
        <w:t xml:space="preserve"> This compares with 1,500 total cases per year</w:t>
      </w:r>
      <w:r w:rsidR="00B1399E">
        <w:t xml:space="preserve"> (that receive impairment benefits)</w:t>
      </w:r>
      <w:r w:rsidR="00E00D3A">
        <w:rPr>
          <w:rStyle w:val="FootnoteReference"/>
        </w:rPr>
        <w:footnoteReference w:id="44"/>
      </w:r>
      <w:r w:rsidR="00E00D3A">
        <w:t xml:space="preserve"> or 15,000 over the ten year period.</w:t>
      </w:r>
      <w:r w:rsidR="00F77092">
        <w:rPr>
          <w:rStyle w:val="FootnoteReference"/>
        </w:rPr>
        <w:footnoteReference w:id="45"/>
      </w:r>
    </w:p>
    <w:p w:rsidR="00E75DD7" w:rsidRDefault="00E00D3A" w:rsidP="004B3B29">
      <w:pPr>
        <w:pStyle w:val="PwCNormal"/>
        <w:keepNext/>
        <w:keepLines/>
      </w:pPr>
      <w:r>
        <w:t xml:space="preserve">Following the full implementation of the GMD, </w:t>
      </w:r>
      <w:r w:rsidR="003D7F56">
        <w:t>80</w:t>
      </w:r>
      <w:r>
        <w:t xml:space="preserve"> per cent of multiple spinal fracture claimants (</w:t>
      </w:r>
      <w:r w:rsidR="003D7F56">
        <w:t xml:space="preserve">127 </w:t>
      </w:r>
      <w:r>
        <w:t xml:space="preserve">claimants) each year will be restored to </w:t>
      </w:r>
      <w:r w:rsidR="00473C8D">
        <w:t xml:space="preserve">a </w:t>
      </w:r>
      <w:r>
        <w:t>pre-Serwylo state, while the remaining 2</w:t>
      </w:r>
      <w:r w:rsidR="003D7F56">
        <w:t>0</w:t>
      </w:r>
      <w:r>
        <w:t xml:space="preserve"> per cent will be compensated under the </w:t>
      </w:r>
      <w:r w:rsidR="00473C8D">
        <w:t xml:space="preserve">GMD modified </w:t>
      </w:r>
      <w:r>
        <w:t>cases discussed above.</w:t>
      </w:r>
    </w:p>
    <w:p w:rsidR="00542564" w:rsidRPr="00542564" w:rsidRDefault="003702B2" w:rsidP="00542564">
      <w:pPr>
        <w:pStyle w:val="Caption"/>
        <w:keepNext w:val="0"/>
        <w:keepLines w:val="0"/>
        <w:tabs>
          <w:tab w:val="clear" w:pos="992"/>
        </w:tabs>
        <w:ind w:left="0" w:firstLine="0"/>
        <w:rPr>
          <w:rFonts w:ascii="Georgia" w:hAnsi="Georgia"/>
          <w:b w:val="0"/>
          <w:bCs w:val="0"/>
          <w:color w:val="auto"/>
          <w:szCs w:val="20"/>
        </w:rPr>
      </w:pPr>
      <w:r w:rsidRPr="00990AC7">
        <w:rPr>
          <w:rFonts w:ascii="Georgia" w:hAnsi="Georgia"/>
          <w:b w:val="0"/>
          <w:bCs w:val="0"/>
          <w:color w:val="auto"/>
          <w:szCs w:val="20"/>
        </w:rPr>
        <w:t>From a cost perspective, the estimated saving t</w:t>
      </w:r>
      <w:r w:rsidR="00990AC7">
        <w:rPr>
          <w:rFonts w:ascii="Georgia" w:hAnsi="Georgia"/>
          <w:b w:val="0"/>
          <w:bCs w:val="0"/>
          <w:color w:val="auto"/>
          <w:szCs w:val="20"/>
        </w:rPr>
        <w:t xml:space="preserve">o the scheme resulting from the </w:t>
      </w:r>
      <w:r w:rsidRPr="00990AC7">
        <w:rPr>
          <w:rFonts w:ascii="Georgia" w:hAnsi="Georgia"/>
          <w:b w:val="0"/>
          <w:bCs w:val="0"/>
          <w:color w:val="auto"/>
          <w:szCs w:val="20"/>
        </w:rPr>
        <w:t xml:space="preserve">implementation of the GMD is estimated to be $8.5 million per year, as shown in </w:t>
      </w:r>
      <w:r w:rsidR="00ED06C6">
        <w:rPr>
          <w:rFonts w:ascii="Georgia" w:hAnsi="Georgia"/>
          <w:b w:val="0"/>
          <w:bCs w:val="0"/>
          <w:color w:val="auto"/>
          <w:szCs w:val="20"/>
        </w:rPr>
        <w:fldChar w:fldCharType="begin"/>
      </w:r>
      <w:r w:rsidR="00ED06C6" w:rsidRPr="00990AC7">
        <w:rPr>
          <w:rFonts w:ascii="Georgia" w:hAnsi="Georgia"/>
          <w:b w:val="0"/>
          <w:bCs w:val="0"/>
          <w:color w:val="auto"/>
          <w:szCs w:val="20"/>
        </w:rPr>
        <w:instrText xml:space="preserve"> REF _Ref390249759 \h </w:instrText>
      </w:r>
      <w:r w:rsidR="00990AC7">
        <w:rPr>
          <w:rFonts w:ascii="Georgia" w:hAnsi="Georgia"/>
          <w:b w:val="0"/>
          <w:bCs w:val="0"/>
          <w:color w:val="auto"/>
          <w:szCs w:val="20"/>
        </w:rPr>
        <w:instrText xml:space="preserve"> \* MERGEFORMAT </w:instrText>
      </w:r>
      <w:r w:rsidR="00ED06C6">
        <w:rPr>
          <w:rFonts w:ascii="Georgia" w:hAnsi="Georgia"/>
          <w:b w:val="0"/>
          <w:bCs w:val="0"/>
          <w:color w:val="auto"/>
          <w:szCs w:val="20"/>
        </w:rPr>
      </w:r>
      <w:r w:rsidR="00ED06C6">
        <w:rPr>
          <w:rFonts w:ascii="Georgia" w:hAnsi="Georgia"/>
          <w:b w:val="0"/>
          <w:bCs w:val="0"/>
          <w:color w:val="auto"/>
          <w:szCs w:val="20"/>
        </w:rPr>
        <w:fldChar w:fldCharType="separate"/>
      </w:r>
    </w:p>
    <w:p w:rsidR="00542564" w:rsidRDefault="00542564" w:rsidP="00542564">
      <w:pPr>
        <w:pStyle w:val="PwCNormal"/>
        <w:keepNext/>
        <w:keepLines/>
      </w:pPr>
    </w:p>
    <w:p w:rsidR="003702B2" w:rsidRDefault="00542564" w:rsidP="003702B2">
      <w:pPr>
        <w:pStyle w:val="PwCNormal"/>
        <w:keepNext/>
        <w:keepLines/>
      </w:pPr>
      <w:r>
        <w:t>Table</w:t>
      </w:r>
      <w:r>
        <w:rPr>
          <w:noProof/>
        </w:rPr>
        <w:t xml:space="preserve"> 9</w:t>
      </w:r>
      <w:r w:rsidR="00ED06C6">
        <w:fldChar w:fldCharType="end"/>
      </w:r>
      <w:r w:rsidR="00ED06C6">
        <w:t>.</w:t>
      </w:r>
      <w:r w:rsidR="001B3566">
        <w:t xml:space="preserve"> This represents 74</w:t>
      </w:r>
      <w:r w:rsidR="000807AC">
        <w:t>.</w:t>
      </w:r>
      <w:r w:rsidR="001B3566">
        <w:t>5 per cent of the cost post-Serwylo impact. This is lower than the 80 per cent of claimants affected as it takes into account changes in common law and LOEC payments, which are a subset of impairment claims and expected to be less sensitive to the GMD changes.</w:t>
      </w:r>
      <w:r w:rsidR="003702B2">
        <w:t xml:space="preserve"> Further detail in the calculation of these figures is provided in </w:t>
      </w:r>
      <w:r w:rsidR="003702B2">
        <w:fldChar w:fldCharType="begin"/>
      </w:r>
      <w:r w:rsidR="003702B2">
        <w:instrText xml:space="preserve"> REF _Ref387412397 \n \h </w:instrText>
      </w:r>
      <w:r w:rsidR="003702B2">
        <w:fldChar w:fldCharType="separate"/>
      </w:r>
      <w:r>
        <w:t>Appendix C</w:t>
      </w:r>
      <w:r w:rsidR="003702B2">
        <w:fldChar w:fldCharType="end"/>
      </w:r>
      <w:r w:rsidR="003702B2">
        <w:t>.</w:t>
      </w:r>
    </w:p>
    <w:p w:rsidR="00990AC7" w:rsidRDefault="00990AC7" w:rsidP="00990AC7">
      <w:pPr>
        <w:pStyle w:val="Caption"/>
        <w:keepNext w:val="0"/>
        <w:keepLines w:val="0"/>
      </w:pPr>
      <w:bookmarkStart w:id="53" w:name="_Ref390249759"/>
    </w:p>
    <w:p w:rsidR="00990AC7" w:rsidRDefault="00990AC7" w:rsidP="00990AC7">
      <w:pPr>
        <w:pStyle w:val="Caption"/>
        <w:keepNext w:val="0"/>
        <w:keepLines w:val="0"/>
      </w:pPr>
    </w:p>
    <w:p w:rsidR="003702B2" w:rsidRDefault="003702B2" w:rsidP="00990AC7">
      <w:pPr>
        <w:pStyle w:val="Caption"/>
      </w:pPr>
      <w:r>
        <w:lastRenderedPageBreak/>
        <w:t xml:space="preserve">Table </w:t>
      </w:r>
      <w:fldSimple w:instr=" SEQ Table \* ARABIC ">
        <w:r w:rsidR="00542564">
          <w:rPr>
            <w:noProof/>
          </w:rPr>
          <w:t>9</w:t>
        </w:r>
      </w:fldSimple>
      <w:bookmarkEnd w:id="53"/>
      <w:r>
        <w:t>: Scheme cost impact following GMD implementation</w:t>
      </w:r>
    </w:p>
    <w:tbl>
      <w:tblPr>
        <w:tblStyle w:val="Tables-APBase2"/>
        <w:tblW w:w="5000" w:type="pct"/>
        <w:tblLayout w:type="fixed"/>
        <w:tblLook w:val="04A0" w:firstRow="1" w:lastRow="0" w:firstColumn="1" w:lastColumn="0" w:noHBand="0" w:noVBand="1"/>
      </w:tblPr>
      <w:tblGrid>
        <w:gridCol w:w="3361"/>
        <w:gridCol w:w="1269"/>
        <w:gridCol w:w="1269"/>
        <w:gridCol w:w="1269"/>
        <w:gridCol w:w="1269"/>
      </w:tblGrid>
      <w:tr w:rsidR="0009021A" w:rsidRPr="00E34E21" w:rsidTr="001E49D4">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3361" w:type="dxa"/>
            <w:shd w:val="clear" w:color="auto" w:fill="A32020" w:themeFill="text2"/>
            <w:vAlign w:val="center"/>
          </w:tcPr>
          <w:p w:rsidR="0009021A" w:rsidRPr="001E49D4" w:rsidRDefault="0009021A" w:rsidP="00990AC7">
            <w:pPr>
              <w:pStyle w:val="TableColumnHeadingNormal"/>
              <w:rPr>
                <w:rFonts w:cstheme="minorHAnsi"/>
                <w:b/>
                <w:sz w:val="16"/>
                <w:szCs w:val="16"/>
              </w:rPr>
            </w:pPr>
            <w:r w:rsidRPr="001E49D4">
              <w:rPr>
                <w:rFonts w:cstheme="minorHAnsi"/>
                <w:color w:val="FFFFFF" w:themeColor="background1"/>
                <w:sz w:val="16"/>
                <w:szCs w:val="16"/>
              </w:rPr>
              <w:t>Type of compensation</w:t>
            </w:r>
          </w:p>
        </w:tc>
        <w:tc>
          <w:tcPr>
            <w:tcW w:w="1269" w:type="dxa"/>
            <w:shd w:val="clear" w:color="auto" w:fill="E06161" w:themeFill="text2" w:themeFillTint="99"/>
            <w:vAlign w:val="center"/>
          </w:tcPr>
          <w:p w:rsidR="0009021A" w:rsidRPr="0070528C" w:rsidRDefault="0009021A" w:rsidP="00990AC7">
            <w:pPr>
              <w:pStyle w:val="TableColumnHeadingNormal"/>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sz w:val="16"/>
                <w:szCs w:val="16"/>
              </w:rPr>
            </w:pPr>
            <w:r w:rsidRPr="00101F3F">
              <w:rPr>
                <w:rFonts w:cstheme="minorHAnsi"/>
                <w:color w:val="FFFFFF" w:themeColor="background1"/>
                <w:sz w:val="16"/>
                <w:szCs w:val="16"/>
              </w:rPr>
              <w:t>Post-Serwylo impact per new accident year</w:t>
            </w:r>
          </w:p>
        </w:tc>
        <w:tc>
          <w:tcPr>
            <w:tcW w:w="1269" w:type="dxa"/>
            <w:shd w:val="clear" w:color="auto" w:fill="E06161" w:themeFill="text2" w:themeFillTint="99"/>
            <w:vAlign w:val="center"/>
          </w:tcPr>
          <w:p w:rsidR="0009021A" w:rsidRPr="00101F3F" w:rsidRDefault="0009021A" w:rsidP="00990AC7">
            <w:pPr>
              <w:pStyle w:val="TableColumnHeadingNormal"/>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sz w:val="16"/>
                <w:szCs w:val="16"/>
              </w:rPr>
            </w:pPr>
            <w:r w:rsidRPr="00101F3F">
              <w:rPr>
                <w:rFonts w:cstheme="minorHAnsi"/>
                <w:color w:val="FFFFFF" w:themeColor="background1"/>
                <w:sz w:val="16"/>
                <w:szCs w:val="16"/>
              </w:rPr>
              <w:t>Estimated impact of GMD (%)</w:t>
            </w:r>
          </w:p>
        </w:tc>
        <w:tc>
          <w:tcPr>
            <w:tcW w:w="1269" w:type="dxa"/>
            <w:shd w:val="clear" w:color="auto" w:fill="E06161" w:themeFill="text2" w:themeFillTint="99"/>
            <w:vAlign w:val="center"/>
          </w:tcPr>
          <w:p w:rsidR="0009021A" w:rsidRPr="00101F3F" w:rsidRDefault="0009021A" w:rsidP="00990AC7">
            <w:pPr>
              <w:pStyle w:val="TableColumnHeadingNormal"/>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sz w:val="16"/>
                <w:szCs w:val="16"/>
              </w:rPr>
            </w:pPr>
            <w:r w:rsidRPr="00101F3F">
              <w:rPr>
                <w:rFonts w:cstheme="minorHAnsi"/>
                <w:color w:val="FFFFFF" w:themeColor="background1"/>
                <w:sz w:val="16"/>
                <w:szCs w:val="16"/>
              </w:rPr>
              <w:t>Estimated impact of GMD ($)</w:t>
            </w:r>
          </w:p>
        </w:tc>
        <w:tc>
          <w:tcPr>
            <w:tcW w:w="1269" w:type="dxa"/>
            <w:shd w:val="clear" w:color="auto" w:fill="E06161" w:themeFill="text2" w:themeFillTint="99"/>
            <w:vAlign w:val="center"/>
          </w:tcPr>
          <w:p w:rsidR="0009021A" w:rsidRPr="00101F3F" w:rsidRDefault="0009021A" w:rsidP="00990AC7">
            <w:pPr>
              <w:pStyle w:val="TableColumnHeadingNormal"/>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sz w:val="16"/>
                <w:szCs w:val="16"/>
              </w:rPr>
            </w:pPr>
            <w:r w:rsidRPr="00101F3F">
              <w:rPr>
                <w:rFonts w:cstheme="minorHAnsi"/>
                <w:color w:val="FFFFFF" w:themeColor="background1"/>
                <w:sz w:val="16"/>
                <w:szCs w:val="16"/>
              </w:rPr>
              <w:t>Residual post-Serwylo impact</w:t>
            </w:r>
          </w:p>
        </w:tc>
      </w:tr>
      <w:tr w:rsidR="00832291" w:rsidRPr="00E34E21" w:rsidTr="001E49D4">
        <w:trPr>
          <w:cantSplit/>
        </w:trPr>
        <w:tc>
          <w:tcPr>
            <w:cnfStyle w:val="001000000000" w:firstRow="0" w:lastRow="0" w:firstColumn="1" w:lastColumn="0" w:oddVBand="0" w:evenVBand="0" w:oddHBand="0" w:evenHBand="0" w:firstRowFirstColumn="0" w:firstRowLastColumn="0" w:lastRowFirstColumn="0" w:lastRowLastColumn="0"/>
            <w:tcW w:w="3361" w:type="dxa"/>
            <w:shd w:val="clear" w:color="auto" w:fill="E06161" w:themeFill="text2" w:themeFillTint="99"/>
          </w:tcPr>
          <w:p w:rsidR="00832291" w:rsidRPr="00D60513" w:rsidRDefault="00832291" w:rsidP="00990AC7">
            <w:pPr>
              <w:pStyle w:val="TableColumnHeadingNormal"/>
              <w:rPr>
                <w:rFonts w:asciiTheme="minorHAnsi" w:hAnsiTheme="minorHAnsi" w:cstheme="minorHAnsi"/>
                <w:b w:val="0"/>
                <w:color w:val="FFFFFF" w:themeColor="background1"/>
                <w:sz w:val="16"/>
                <w:szCs w:val="16"/>
              </w:rPr>
            </w:pPr>
            <w:r w:rsidRPr="00D60513">
              <w:rPr>
                <w:rFonts w:asciiTheme="minorHAnsi" w:hAnsiTheme="minorHAnsi" w:cstheme="minorHAnsi"/>
                <w:color w:val="FFFFFF" w:themeColor="background1"/>
                <w:sz w:val="16"/>
                <w:szCs w:val="16"/>
              </w:rPr>
              <w:t>Impairment Lump Sum Benefits</w:t>
            </w:r>
          </w:p>
        </w:tc>
        <w:tc>
          <w:tcPr>
            <w:tcW w:w="1269" w:type="dxa"/>
          </w:tcPr>
          <w:p w:rsidR="00832291" w:rsidRPr="00D60513" w:rsidRDefault="00832291" w:rsidP="00990AC7">
            <w:pPr>
              <w:pStyle w:val="TableTextNormal"/>
              <w:keepNext/>
              <w:keepLines/>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34E21">
              <w:rPr>
                <w:rFonts w:asciiTheme="minorHAnsi" w:hAnsiTheme="minorHAnsi" w:cstheme="minorHAnsi"/>
                <w:sz w:val="16"/>
                <w:szCs w:val="16"/>
              </w:rPr>
              <w:t>$4.3m</w:t>
            </w:r>
          </w:p>
        </w:tc>
        <w:tc>
          <w:tcPr>
            <w:tcW w:w="1269" w:type="dxa"/>
          </w:tcPr>
          <w:p w:rsidR="00832291" w:rsidRPr="00D60513" w:rsidRDefault="00832291" w:rsidP="00990AC7">
            <w:pPr>
              <w:pStyle w:val="TableTextNormal"/>
              <w:keepNext/>
              <w:keepLines/>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34E21">
              <w:rPr>
                <w:rFonts w:asciiTheme="minorHAnsi" w:hAnsiTheme="minorHAnsi" w:cstheme="minorHAnsi"/>
                <w:sz w:val="16"/>
                <w:szCs w:val="16"/>
              </w:rPr>
              <w:t>-80%</w:t>
            </w:r>
          </w:p>
        </w:tc>
        <w:tc>
          <w:tcPr>
            <w:tcW w:w="1269" w:type="dxa"/>
          </w:tcPr>
          <w:p w:rsidR="00832291" w:rsidRPr="00D60513" w:rsidRDefault="00832291" w:rsidP="00990AC7">
            <w:pPr>
              <w:pStyle w:val="TableTextNormal"/>
              <w:keepNext/>
              <w:keepLines/>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34E21">
              <w:rPr>
                <w:rFonts w:asciiTheme="minorHAnsi" w:hAnsiTheme="minorHAnsi" w:cstheme="minorHAnsi"/>
                <w:sz w:val="16"/>
                <w:szCs w:val="16"/>
              </w:rPr>
              <w:t>-$3.4m</w:t>
            </w:r>
          </w:p>
        </w:tc>
        <w:tc>
          <w:tcPr>
            <w:tcW w:w="1269" w:type="dxa"/>
          </w:tcPr>
          <w:p w:rsidR="00832291" w:rsidRPr="00D60513" w:rsidRDefault="00832291" w:rsidP="00990AC7">
            <w:pPr>
              <w:pStyle w:val="TableTextNormal"/>
              <w:keepNext/>
              <w:keepLines/>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34E21">
              <w:rPr>
                <w:rFonts w:asciiTheme="minorHAnsi" w:hAnsiTheme="minorHAnsi" w:cstheme="minorHAnsi"/>
                <w:sz w:val="16"/>
                <w:szCs w:val="16"/>
              </w:rPr>
              <w:t>$0.9m</w:t>
            </w:r>
          </w:p>
        </w:tc>
      </w:tr>
      <w:tr w:rsidR="00832291" w:rsidRPr="00E34E21" w:rsidTr="001E49D4">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61" w:type="dxa"/>
            <w:shd w:val="clear" w:color="auto" w:fill="E06161" w:themeFill="text2" w:themeFillTint="99"/>
          </w:tcPr>
          <w:p w:rsidR="00832291" w:rsidRPr="00D60513" w:rsidRDefault="00832291" w:rsidP="00990AC7">
            <w:pPr>
              <w:pStyle w:val="TableColumnHeadingNormal"/>
              <w:rPr>
                <w:rFonts w:asciiTheme="minorHAnsi" w:hAnsiTheme="minorHAnsi" w:cstheme="minorHAnsi"/>
                <w:b w:val="0"/>
                <w:color w:val="FFFFFF" w:themeColor="background1"/>
                <w:sz w:val="16"/>
                <w:szCs w:val="16"/>
              </w:rPr>
            </w:pPr>
            <w:r w:rsidRPr="00D60513">
              <w:rPr>
                <w:rFonts w:asciiTheme="minorHAnsi" w:hAnsiTheme="minorHAnsi" w:cstheme="minorHAnsi"/>
                <w:color w:val="FFFFFF" w:themeColor="background1"/>
                <w:sz w:val="16"/>
                <w:szCs w:val="16"/>
              </w:rPr>
              <w:t>Loss of Earnings Capacity Benefits</w:t>
            </w:r>
          </w:p>
        </w:tc>
        <w:tc>
          <w:tcPr>
            <w:tcW w:w="1269" w:type="dxa"/>
          </w:tcPr>
          <w:p w:rsidR="00832291" w:rsidRPr="00D60513" w:rsidRDefault="00832291" w:rsidP="00990AC7">
            <w:pPr>
              <w:pStyle w:val="TableTextNormal"/>
              <w:keepNext/>
              <w:keepLines/>
              <w:ind w:left="284"/>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E34E21">
              <w:rPr>
                <w:rFonts w:asciiTheme="minorHAnsi" w:hAnsiTheme="minorHAnsi" w:cstheme="minorHAnsi"/>
                <w:sz w:val="16"/>
                <w:szCs w:val="16"/>
              </w:rPr>
              <w:t>$3.2m</w:t>
            </w:r>
          </w:p>
        </w:tc>
        <w:tc>
          <w:tcPr>
            <w:tcW w:w="1269" w:type="dxa"/>
          </w:tcPr>
          <w:p w:rsidR="00832291" w:rsidRPr="00D60513" w:rsidRDefault="00832291" w:rsidP="00990AC7">
            <w:pPr>
              <w:pStyle w:val="TableTextNormal"/>
              <w:keepNext/>
              <w:keepLines/>
              <w:ind w:left="284"/>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E34E21">
              <w:rPr>
                <w:rFonts w:asciiTheme="minorHAnsi" w:hAnsiTheme="minorHAnsi" w:cstheme="minorHAnsi"/>
                <w:sz w:val="16"/>
                <w:szCs w:val="16"/>
              </w:rPr>
              <w:t>-78%</w:t>
            </w:r>
          </w:p>
        </w:tc>
        <w:tc>
          <w:tcPr>
            <w:tcW w:w="1269" w:type="dxa"/>
          </w:tcPr>
          <w:p w:rsidR="00832291" w:rsidRPr="00D60513" w:rsidRDefault="00832291" w:rsidP="00990AC7">
            <w:pPr>
              <w:pStyle w:val="TableTextNormal"/>
              <w:keepNext/>
              <w:keepLines/>
              <w:ind w:left="284"/>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E34E21">
              <w:rPr>
                <w:rFonts w:asciiTheme="minorHAnsi" w:hAnsiTheme="minorHAnsi" w:cstheme="minorHAnsi"/>
                <w:sz w:val="16"/>
                <w:szCs w:val="16"/>
              </w:rPr>
              <w:t>-$2.5m</w:t>
            </w:r>
          </w:p>
        </w:tc>
        <w:tc>
          <w:tcPr>
            <w:tcW w:w="1269" w:type="dxa"/>
          </w:tcPr>
          <w:p w:rsidR="00832291" w:rsidRPr="00D60513" w:rsidRDefault="00832291" w:rsidP="00990AC7">
            <w:pPr>
              <w:pStyle w:val="TableTextNormal"/>
              <w:keepNext/>
              <w:keepLines/>
              <w:ind w:left="284"/>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E34E21">
              <w:rPr>
                <w:rFonts w:asciiTheme="minorHAnsi" w:hAnsiTheme="minorHAnsi" w:cstheme="minorHAnsi"/>
                <w:sz w:val="16"/>
                <w:szCs w:val="16"/>
              </w:rPr>
              <w:t>$0.7m</w:t>
            </w:r>
          </w:p>
        </w:tc>
      </w:tr>
      <w:tr w:rsidR="00832291" w:rsidRPr="00E34E21" w:rsidTr="001E49D4">
        <w:trPr>
          <w:cantSplit/>
        </w:trPr>
        <w:tc>
          <w:tcPr>
            <w:cnfStyle w:val="001000000000" w:firstRow="0" w:lastRow="0" w:firstColumn="1" w:lastColumn="0" w:oddVBand="0" w:evenVBand="0" w:oddHBand="0" w:evenHBand="0" w:firstRowFirstColumn="0" w:firstRowLastColumn="0" w:lastRowFirstColumn="0" w:lastRowLastColumn="0"/>
            <w:tcW w:w="3361" w:type="dxa"/>
            <w:shd w:val="clear" w:color="auto" w:fill="E06161" w:themeFill="text2" w:themeFillTint="99"/>
          </w:tcPr>
          <w:p w:rsidR="00832291" w:rsidRPr="00D60513" w:rsidRDefault="00832291" w:rsidP="00990AC7">
            <w:pPr>
              <w:pStyle w:val="TableColumnHeadingNormal"/>
              <w:rPr>
                <w:rFonts w:asciiTheme="minorHAnsi" w:hAnsiTheme="minorHAnsi" w:cstheme="minorHAnsi"/>
                <w:b w:val="0"/>
                <w:color w:val="FFFFFF" w:themeColor="background1"/>
                <w:sz w:val="16"/>
                <w:szCs w:val="16"/>
              </w:rPr>
            </w:pPr>
            <w:r w:rsidRPr="00D60513">
              <w:rPr>
                <w:rFonts w:asciiTheme="minorHAnsi" w:hAnsiTheme="minorHAnsi" w:cstheme="minorHAnsi"/>
                <w:color w:val="FFFFFF" w:themeColor="background1"/>
                <w:sz w:val="16"/>
                <w:szCs w:val="16"/>
              </w:rPr>
              <w:t>Common Law Damages</w:t>
            </w:r>
          </w:p>
        </w:tc>
        <w:tc>
          <w:tcPr>
            <w:tcW w:w="1269" w:type="dxa"/>
          </w:tcPr>
          <w:p w:rsidR="00832291" w:rsidRPr="00D60513" w:rsidRDefault="00832291" w:rsidP="00990AC7">
            <w:pPr>
              <w:pStyle w:val="TableTextNormal"/>
              <w:keepNext/>
              <w:keepLines/>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34E21">
              <w:rPr>
                <w:rFonts w:asciiTheme="minorHAnsi" w:hAnsiTheme="minorHAnsi" w:cstheme="minorHAnsi"/>
                <w:sz w:val="16"/>
                <w:szCs w:val="16"/>
              </w:rPr>
              <w:t>$3.9m</w:t>
            </w:r>
          </w:p>
        </w:tc>
        <w:tc>
          <w:tcPr>
            <w:tcW w:w="1269" w:type="dxa"/>
          </w:tcPr>
          <w:p w:rsidR="00832291" w:rsidRPr="00D60513" w:rsidRDefault="00832291" w:rsidP="00990AC7">
            <w:pPr>
              <w:pStyle w:val="TableTextNormal"/>
              <w:keepNext/>
              <w:keepLines/>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34E21">
              <w:rPr>
                <w:rFonts w:asciiTheme="minorHAnsi" w:hAnsiTheme="minorHAnsi" w:cstheme="minorHAnsi"/>
                <w:sz w:val="16"/>
                <w:szCs w:val="16"/>
              </w:rPr>
              <w:t>-65%</w:t>
            </w:r>
          </w:p>
        </w:tc>
        <w:tc>
          <w:tcPr>
            <w:tcW w:w="1269" w:type="dxa"/>
          </w:tcPr>
          <w:p w:rsidR="00832291" w:rsidRPr="00D60513" w:rsidRDefault="00832291" w:rsidP="00990AC7">
            <w:pPr>
              <w:pStyle w:val="TableTextNormal"/>
              <w:keepNext/>
              <w:keepLines/>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34E21">
              <w:rPr>
                <w:rFonts w:asciiTheme="minorHAnsi" w:hAnsiTheme="minorHAnsi" w:cstheme="minorHAnsi"/>
                <w:sz w:val="16"/>
                <w:szCs w:val="16"/>
              </w:rPr>
              <w:t>-$2.</w:t>
            </w:r>
            <w:r w:rsidR="000807AC">
              <w:rPr>
                <w:rFonts w:asciiTheme="minorHAnsi" w:hAnsiTheme="minorHAnsi" w:cstheme="minorHAnsi"/>
                <w:sz w:val="16"/>
                <w:szCs w:val="16"/>
              </w:rPr>
              <w:t>6</w:t>
            </w:r>
            <w:r w:rsidRPr="00E34E21">
              <w:rPr>
                <w:rFonts w:asciiTheme="minorHAnsi" w:hAnsiTheme="minorHAnsi" w:cstheme="minorHAnsi"/>
                <w:sz w:val="16"/>
                <w:szCs w:val="16"/>
              </w:rPr>
              <w:t>m</w:t>
            </w:r>
          </w:p>
        </w:tc>
        <w:tc>
          <w:tcPr>
            <w:tcW w:w="1269" w:type="dxa"/>
          </w:tcPr>
          <w:p w:rsidR="00832291" w:rsidRPr="00D60513" w:rsidRDefault="00832291" w:rsidP="00990AC7">
            <w:pPr>
              <w:pStyle w:val="TableTextNormal"/>
              <w:keepNext/>
              <w:keepLines/>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34E21">
              <w:rPr>
                <w:rFonts w:asciiTheme="minorHAnsi" w:hAnsiTheme="minorHAnsi" w:cstheme="minorHAnsi"/>
                <w:sz w:val="16"/>
                <w:szCs w:val="16"/>
              </w:rPr>
              <w:t>$1.3m</w:t>
            </w:r>
          </w:p>
        </w:tc>
      </w:tr>
      <w:tr w:rsidR="00832291" w:rsidRPr="00E34E21" w:rsidTr="001E49D4">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61" w:type="dxa"/>
            <w:shd w:val="clear" w:color="auto" w:fill="E06161" w:themeFill="text2" w:themeFillTint="99"/>
          </w:tcPr>
          <w:p w:rsidR="00832291" w:rsidRPr="00D60513" w:rsidRDefault="00832291" w:rsidP="00990AC7">
            <w:pPr>
              <w:pStyle w:val="TableColumnHeadingNormal"/>
              <w:rPr>
                <w:rFonts w:asciiTheme="minorHAnsi" w:hAnsiTheme="minorHAnsi" w:cstheme="minorHAnsi"/>
                <w:b w:val="0"/>
                <w:color w:val="FFFFFF" w:themeColor="background1"/>
                <w:sz w:val="16"/>
                <w:szCs w:val="16"/>
              </w:rPr>
            </w:pPr>
            <w:r w:rsidRPr="00D60513">
              <w:rPr>
                <w:rFonts w:asciiTheme="minorHAnsi" w:hAnsiTheme="minorHAnsi" w:cstheme="minorHAnsi"/>
                <w:color w:val="FFFFFF" w:themeColor="background1"/>
                <w:sz w:val="16"/>
                <w:szCs w:val="16"/>
              </w:rPr>
              <w:t>TOTAL</w:t>
            </w:r>
          </w:p>
        </w:tc>
        <w:tc>
          <w:tcPr>
            <w:tcW w:w="1269" w:type="dxa"/>
          </w:tcPr>
          <w:p w:rsidR="00832291" w:rsidRPr="00D60513" w:rsidRDefault="00832291" w:rsidP="00990AC7">
            <w:pPr>
              <w:pStyle w:val="TableTextNormal"/>
              <w:keepNext/>
              <w:keepLines/>
              <w:ind w:left="284"/>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E34E21">
              <w:rPr>
                <w:rFonts w:asciiTheme="minorHAnsi" w:hAnsiTheme="minorHAnsi" w:cstheme="minorHAnsi"/>
                <w:b/>
                <w:sz w:val="16"/>
                <w:szCs w:val="16"/>
              </w:rPr>
              <w:t>$11.4m</w:t>
            </w:r>
          </w:p>
        </w:tc>
        <w:tc>
          <w:tcPr>
            <w:tcW w:w="1269" w:type="dxa"/>
          </w:tcPr>
          <w:p w:rsidR="00832291" w:rsidRPr="00D60513" w:rsidRDefault="00832291" w:rsidP="00990AC7">
            <w:pPr>
              <w:pStyle w:val="TableTextNormal"/>
              <w:keepNext/>
              <w:keepLines/>
              <w:ind w:left="284"/>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E34E21">
              <w:rPr>
                <w:rFonts w:asciiTheme="minorHAnsi" w:hAnsiTheme="minorHAnsi" w:cstheme="minorHAnsi"/>
                <w:b/>
                <w:sz w:val="16"/>
                <w:szCs w:val="16"/>
              </w:rPr>
              <w:t>-74.5%</w:t>
            </w:r>
          </w:p>
        </w:tc>
        <w:tc>
          <w:tcPr>
            <w:tcW w:w="1269" w:type="dxa"/>
          </w:tcPr>
          <w:p w:rsidR="00832291" w:rsidRPr="00D60513" w:rsidRDefault="00832291" w:rsidP="00990AC7">
            <w:pPr>
              <w:pStyle w:val="TableTextNormal"/>
              <w:keepNext/>
              <w:keepLines/>
              <w:ind w:left="284"/>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E34E21">
              <w:rPr>
                <w:rFonts w:asciiTheme="minorHAnsi" w:hAnsiTheme="minorHAnsi" w:cstheme="minorHAnsi"/>
                <w:b/>
                <w:sz w:val="16"/>
                <w:szCs w:val="16"/>
              </w:rPr>
              <w:t>-$8.5m</w:t>
            </w:r>
          </w:p>
        </w:tc>
        <w:tc>
          <w:tcPr>
            <w:tcW w:w="1269" w:type="dxa"/>
          </w:tcPr>
          <w:p w:rsidR="00832291" w:rsidRPr="00D60513" w:rsidRDefault="00832291" w:rsidP="00990AC7">
            <w:pPr>
              <w:pStyle w:val="TableTextNormal"/>
              <w:keepNext/>
              <w:keepLines/>
              <w:ind w:left="284"/>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E34E21">
              <w:rPr>
                <w:rFonts w:asciiTheme="minorHAnsi" w:hAnsiTheme="minorHAnsi" w:cstheme="minorHAnsi"/>
                <w:b/>
                <w:sz w:val="16"/>
                <w:szCs w:val="16"/>
              </w:rPr>
              <w:t>$2.9m</w:t>
            </w:r>
          </w:p>
        </w:tc>
      </w:tr>
    </w:tbl>
    <w:p w:rsidR="000807AC" w:rsidRDefault="000807AC" w:rsidP="00990AC7">
      <w:pPr>
        <w:pStyle w:val="Sources"/>
      </w:pPr>
      <w:r w:rsidRPr="001E49D4">
        <w:rPr>
          <w:color w:val="auto"/>
        </w:rPr>
        <w:t>Note: Figures may not sum exactly due to rounding</w:t>
      </w:r>
    </w:p>
    <w:p w:rsidR="003702B2" w:rsidRDefault="003702B2" w:rsidP="00990AC7">
      <w:pPr>
        <w:pStyle w:val="Sources"/>
      </w:pPr>
      <w:r>
        <w:t>Source: PwC analysis of TAC data</w:t>
      </w:r>
    </w:p>
    <w:p w:rsidR="003702B2" w:rsidRPr="003702B2" w:rsidRDefault="00832291" w:rsidP="00990AC7">
      <w:pPr>
        <w:pStyle w:val="PwCNormal"/>
        <w:numPr>
          <w:ilvl w:val="0"/>
          <w:numId w:val="0"/>
        </w:numPr>
      </w:pPr>
      <w:r>
        <w:t>I</w:t>
      </w:r>
      <w:r w:rsidR="00ED06C6">
        <w:t>f implemented</w:t>
      </w:r>
      <w:r w:rsidR="003702B2">
        <w:t xml:space="preserve"> immediately</w:t>
      </w:r>
      <w:r w:rsidR="00AA23DF">
        <w:t xml:space="preserve"> and applied to all applicable existing and future claimants</w:t>
      </w:r>
      <w:r w:rsidR="003702B2">
        <w:t xml:space="preserve">, </w:t>
      </w:r>
      <w:r>
        <w:t xml:space="preserve">the GMD </w:t>
      </w:r>
      <w:r w:rsidR="003702B2">
        <w:t>also has the potential to re</w:t>
      </w:r>
      <w:r w:rsidR="001B3566">
        <w:t>verse 74.5 per cent of the TAC’s current liability</w:t>
      </w:r>
      <w:r w:rsidR="00D63058">
        <w:t xml:space="preserve"> in respect of the estimated impact of the</w:t>
      </w:r>
      <w:r w:rsidR="005C746C">
        <w:t xml:space="preserve"> consequences of</w:t>
      </w:r>
      <w:r w:rsidR="00D63058">
        <w:t xml:space="preserve"> Serwylo</w:t>
      </w:r>
      <w:r w:rsidR="001B3566">
        <w:t>.</w:t>
      </w:r>
      <w:r w:rsidR="001B3566" w:rsidRPr="001B3566">
        <w:t xml:space="preserve"> </w:t>
      </w:r>
      <w:r w:rsidR="001B3566">
        <w:t xml:space="preserve">This translates to a liability saving of $50.3 million, leaving a residual liability of $17.2 million. This is shown in </w:t>
      </w:r>
      <w:r w:rsidR="001B3566">
        <w:fldChar w:fldCharType="begin"/>
      </w:r>
      <w:r w:rsidR="001B3566">
        <w:instrText xml:space="preserve"> REF _Ref390167103 \h </w:instrText>
      </w:r>
      <w:r w:rsidR="001B3566">
        <w:fldChar w:fldCharType="separate"/>
      </w:r>
      <w:r w:rsidR="00542564">
        <w:t xml:space="preserve">Table </w:t>
      </w:r>
      <w:r w:rsidR="00542564">
        <w:rPr>
          <w:noProof/>
        </w:rPr>
        <w:t>10</w:t>
      </w:r>
      <w:r w:rsidR="001B3566">
        <w:fldChar w:fldCharType="end"/>
      </w:r>
      <w:r w:rsidR="001B3566">
        <w:t xml:space="preserve">, and the full calculation of these figures is shown in </w:t>
      </w:r>
      <w:r w:rsidR="001B3566">
        <w:fldChar w:fldCharType="begin"/>
      </w:r>
      <w:r w:rsidR="001B3566">
        <w:instrText xml:space="preserve"> REF _Ref387412397 \n \h </w:instrText>
      </w:r>
      <w:r w:rsidR="001B3566">
        <w:fldChar w:fldCharType="separate"/>
      </w:r>
      <w:r w:rsidR="00542564">
        <w:t>Appendix C</w:t>
      </w:r>
      <w:r w:rsidR="001B3566">
        <w:fldChar w:fldCharType="end"/>
      </w:r>
      <w:r w:rsidR="001B3566">
        <w:t>.</w:t>
      </w:r>
    </w:p>
    <w:p w:rsidR="001B3566" w:rsidRDefault="001B3566" w:rsidP="00D60513">
      <w:pPr>
        <w:pStyle w:val="Caption"/>
      </w:pPr>
      <w:bookmarkStart w:id="54" w:name="_Ref390167103"/>
      <w:r>
        <w:t xml:space="preserve">Table </w:t>
      </w:r>
      <w:fldSimple w:instr=" SEQ Table \* ARABIC ">
        <w:r w:rsidR="00542564">
          <w:rPr>
            <w:noProof/>
          </w:rPr>
          <w:t>10</w:t>
        </w:r>
      </w:fldSimple>
      <w:bookmarkEnd w:id="54"/>
      <w:r>
        <w:t>: Liability impact following GMD implementation</w:t>
      </w:r>
    </w:p>
    <w:tbl>
      <w:tblPr>
        <w:tblStyle w:val="Tables-APBase2"/>
        <w:tblW w:w="5000" w:type="pct"/>
        <w:tblLayout w:type="fixed"/>
        <w:tblLook w:val="04A0" w:firstRow="1" w:lastRow="0" w:firstColumn="1" w:lastColumn="0" w:noHBand="0" w:noVBand="1"/>
      </w:tblPr>
      <w:tblGrid>
        <w:gridCol w:w="3402"/>
        <w:gridCol w:w="1256"/>
        <w:gridCol w:w="1261"/>
        <w:gridCol w:w="1261"/>
        <w:gridCol w:w="1257"/>
      </w:tblGrid>
      <w:tr w:rsidR="00832291" w:rsidRPr="00E34E21" w:rsidTr="001E49D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402" w:type="dxa"/>
            <w:shd w:val="clear" w:color="auto" w:fill="A32020" w:themeFill="text2"/>
            <w:vAlign w:val="center"/>
          </w:tcPr>
          <w:p w:rsidR="00832291" w:rsidRPr="00E34E21" w:rsidRDefault="00832291" w:rsidP="001E49D4">
            <w:pPr>
              <w:pStyle w:val="TableColumnHeadingNormal"/>
              <w:keepNext w:val="0"/>
              <w:rPr>
                <w:rFonts w:cstheme="minorHAnsi"/>
                <w:sz w:val="16"/>
                <w:szCs w:val="16"/>
              </w:rPr>
            </w:pPr>
            <w:r w:rsidRPr="001E49D4">
              <w:rPr>
                <w:rFonts w:cstheme="minorHAnsi"/>
                <w:color w:val="FFFFFF" w:themeColor="background1"/>
                <w:sz w:val="16"/>
                <w:szCs w:val="16"/>
              </w:rPr>
              <w:t>Type of compensation</w:t>
            </w:r>
          </w:p>
        </w:tc>
        <w:tc>
          <w:tcPr>
            <w:tcW w:w="1256" w:type="dxa"/>
            <w:shd w:val="clear" w:color="auto" w:fill="E06161" w:themeFill="text2" w:themeFillTint="99"/>
            <w:vAlign w:val="center"/>
          </w:tcPr>
          <w:p w:rsidR="00832291" w:rsidRPr="00101F3F" w:rsidRDefault="00832291" w:rsidP="00D63058">
            <w:pPr>
              <w:pStyle w:val="TableColumnHeadingNormal"/>
              <w:keepNext w:val="0"/>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sz w:val="16"/>
                <w:szCs w:val="16"/>
              </w:rPr>
            </w:pPr>
            <w:r w:rsidRPr="00101F3F">
              <w:rPr>
                <w:rFonts w:cstheme="minorHAnsi"/>
                <w:color w:val="FFFFFF" w:themeColor="background1"/>
                <w:sz w:val="16"/>
                <w:szCs w:val="16"/>
              </w:rPr>
              <w:t xml:space="preserve">Post-Serwylo impact </w:t>
            </w:r>
          </w:p>
        </w:tc>
        <w:tc>
          <w:tcPr>
            <w:tcW w:w="1261" w:type="dxa"/>
            <w:shd w:val="clear" w:color="auto" w:fill="E06161" w:themeFill="text2" w:themeFillTint="99"/>
            <w:vAlign w:val="center"/>
          </w:tcPr>
          <w:p w:rsidR="00832291" w:rsidRPr="00101F3F" w:rsidRDefault="00832291" w:rsidP="0046379B">
            <w:pPr>
              <w:pStyle w:val="TableColumnHeadingNormal"/>
              <w:keepNext w:val="0"/>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sz w:val="16"/>
                <w:szCs w:val="16"/>
              </w:rPr>
            </w:pPr>
            <w:r w:rsidRPr="00101F3F">
              <w:rPr>
                <w:rFonts w:cstheme="minorHAnsi"/>
                <w:color w:val="FFFFFF" w:themeColor="background1"/>
                <w:sz w:val="16"/>
                <w:szCs w:val="16"/>
              </w:rPr>
              <w:t>Estimated impact of GMD (%)</w:t>
            </w:r>
          </w:p>
        </w:tc>
        <w:tc>
          <w:tcPr>
            <w:tcW w:w="1261" w:type="dxa"/>
            <w:shd w:val="clear" w:color="auto" w:fill="E06161" w:themeFill="text2" w:themeFillTint="99"/>
            <w:vAlign w:val="center"/>
          </w:tcPr>
          <w:p w:rsidR="00832291" w:rsidRPr="00101F3F" w:rsidRDefault="00832291" w:rsidP="0046379B">
            <w:pPr>
              <w:pStyle w:val="TableColumnHeadingNormal"/>
              <w:keepNext w:val="0"/>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sz w:val="16"/>
                <w:szCs w:val="16"/>
              </w:rPr>
            </w:pPr>
            <w:r w:rsidRPr="00101F3F">
              <w:rPr>
                <w:rFonts w:cstheme="minorHAnsi"/>
                <w:color w:val="FFFFFF" w:themeColor="background1"/>
                <w:sz w:val="16"/>
                <w:szCs w:val="16"/>
              </w:rPr>
              <w:t>Estimated impact of GMD ($)</w:t>
            </w:r>
          </w:p>
        </w:tc>
        <w:tc>
          <w:tcPr>
            <w:tcW w:w="1257" w:type="dxa"/>
            <w:shd w:val="clear" w:color="auto" w:fill="E06161" w:themeFill="text2" w:themeFillTint="99"/>
            <w:vAlign w:val="center"/>
          </w:tcPr>
          <w:p w:rsidR="00832291" w:rsidRPr="00101F3F" w:rsidRDefault="00832291" w:rsidP="0046379B">
            <w:pPr>
              <w:pStyle w:val="TableColumnHeadingNormal"/>
              <w:keepNext w:val="0"/>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sz w:val="16"/>
                <w:szCs w:val="16"/>
              </w:rPr>
            </w:pPr>
            <w:r w:rsidRPr="00101F3F">
              <w:rPr>
                <w:rFonts w:cstheme="minorHAnsi"/>
                <w:color w:val="FFFFFF" w:themeColor="background1"/>
                <w:sz w:val="16"/>
                <w:szCs w:val="16"/>
              </w:rPr>
              <w:t>Residual post-Serwylo impact</w:t>
            </w:r>
          </w:p>
        </w:tc>
      </w:tr>
      <w:tr w:rsidR="00E34E21" w:rsidRPr="00E34E21" w:rsidTr="001E49D4">
        <w:tc>
          <w:tcPr>
            <w:cnfStyle w:val="001000000000" w:firstRow="0" w:lastRow="0" w:firstColumn="1" w:lastColumn="0" w:oddVBand="0" w:evenVBand="0" w:oddHBand="0" w:evenHBand="0" w:firstRowFirstColumn="0" w:firstRowLastColumn="0" w:lastRowFirstColumn="0" w:lastRowLastColumn="0"/>
            <w:tcW w:w="3402" w:type="dxa"/>
            <w:shd w:val="clear" w:color="auto" w:fill="E06161" w:themeFill="text2" w:themeFillTint="99"/>
          </w:tcPr>
          <w:p w:rsidR="00832291" w:rsidRPr="00D60513" w:rsidRDefault="00832291" w:rsidP="007E1B3D">
            <w:pPr>
              <w:pStyle w:val="TableTextNormal"/>
              <w:keepLines/>
              <w:rPr>
                <w:rFonts w:asciiTheme="minorHAnsi" w:hAnsiTheme="minorHAnsi" w:cstheme="minorHAnsi"/>
                <w:b/>
                <w:color w:val="FFFFFF" w:themeColor="background1"/>
                <w:sz w:val="16"/>
                <w:szCs w:val="16"/>
              </w:rPr>
            </w:pPr>
            <w:r w:rsidRPr="00D60513">
              <w:rPr>
                <w:rFonts w:asciiTheme="minorHAnsi" w:hAnsiTheme="minorHAnsi" w:cstheme="minorHAnsi"/>
                <w:b/>
                <w:color w:val="FFFFFF" w:themeColor="background1"/>
                <w:sz w:val="16"/>
                <w:szCs w:val="16"/>
              </w:rPr>
              <w:t>Impairment Lump Sum Benefits</w:t>
            </w:r>
          </w:p>
        </w:tc>
        <w:tc>
          <w:tcPr>
            <w:tcW w:w="1256" w:type="dxa"/>
          </w:tcPr>
          <w:p w:rsidR="00832291" w:rsidRPr="00D60513" w:rsidRDefault="00832291" w:rsidP="007E1B3D">
            <w:pPr>
              <w:pStyle w:val="TableTextNormal"/>
              <w:keepLines/>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34E21">
              <w:rPr>
                <w:rFonts w:asciiTheme="minorHAnsi" w:hAnsiTheme="minorHAnsi" w:cstheme="minorHAnsi"/>
                <w:bCs/>
                <w:sz w:val="16"/>
                <w:szCs w:val="16"/>
              </w:rPr>
              <w:t>$15.5m</w:t>
            </w:r>
          </w:p>
        </w:tc>
        <w:tc>
          <w:tcPr>
            <w:tcW w:w="1261" w:type="dxa"/>
          </w:tcPr>
          <w:p w:rsidR="00832291" w:rsidRPr="00D60513" w:rsidRDefault="00832291" w:rsidP="007E1B3D">
            <w:pPr>
              <w:pStyle w:val="TableTextNormal"/>
              <w:keepLines/>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34E21">
              <w:rPr>
                <w:rFonts w:asciiTheme="minorHAnsi" w:hAnsiTheme="minorHAnsi" w:cstheme="minorHAnsi"/>
                <w:bCs/>
                <w:sz w:val="16"/>
                <w:szCs w:val="16"/>
              </w:rPr>
              <w:t>-80%</w:t>
            </w:r>
          </w:p>
        </w:tc>
        <w:tc>
          <w:tcPr>
            <w:tcW w:w="1261" w:type="dxa"/>
          </w:tcPr>
          <w:p w:rsidR="00832291" w:rsidRPr="00D60513" w:rsidRDefault="00832291" w:rsidP="007E1B3D">
            <w:pPr>
              <w:pStyle w:val="TableTextNormal"/>
              <w:keepLines/>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34E21">
              <w:rPr>
                <w:rFonts w:asciiTheme="minorHAnsi" w:hAnsiTheme="minorHAnsi" w:cstheme="minorHAnsi"/>
                <w:bCs/>
                <w:sz w:val="16"/>
                <w:szCs w:val="16"/>
              </w:rPr>
              <w:t>-$12.4m</w:t>
            </w:r>
          </w:p>
        </w:tc>
        <w:tc>
          <w:tcPr>
            <w:tcW w:w="1257" w:type="dxa"/>
          </w:tcPr>
          <w:p w:rsidR="00832291" w:rsidRPr="00D60513" w:rsidRDefault="00832291" w:rsidP="007E1B3D">
            <w:pPr>
              <w:pStyle w:val="TableTextNormal"/>
              <w:keepLines/>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34E21">
              <w:rPr>
                <w:rFonts w:asciiTheme="minorHAnsi" w:hAnsiTheme="minorHAnsi" w:cstheme="minorHAnsi"/>
                <w:bCs/>
                <w:sz w:val="16"/>
                <w:szCs w:val="16"/>
              </w:rPr>
              <w:t>$3.1m</w:t>
            </w:r>
          </w:p>
        </w:tc>
      </w:tr>
      <w:tr w:rsidR="00832291" w:rsidRPr="00E34E21" w:rsidTr="001E49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E06161" w:themeFill="text2" w:themeFillTint="99"/>
          </w:tcPr>
          <w:p w:rsidR="00832291" w:rsidRPr="00D60513" w:rsidRDefault="00832291" w:rsidP="007E1B3D">
            <w:pPr>
              <w:pStyle w:val="TableTextNormal"/>
              <w:keepLines/>
              <w:rPr>
                <w:rFonts w:asciiTheme="minorHAnsi" w:hAnsiTheme="minorHAnsi" w:cstheme="minorHAnsi"/>
                <w:b/>
                <w:color w:val="FFFFFF" w:themeColor="background1"/>
                <w:sz w:val="16"/>
                <w:szCs w:val="16"/>
              </w:rPr>
            </w:pPr>
            <w:r w:rsidRPr="00D60513">
              <w:rPr>
                <w:rFonts w:asciiTheme="minorHAnsi" w:hAnsiTheme="minorHAnsi" w:cstheme="minorHAnsi"/>
                <w:b/>
                <w:color w:val="FFFFFF" w:themeColor="background1"/>
                <w:sz w:val="16"/>
                <w:szCs w:val="16"/>
              </w:rPr>
              <w:t>Loss of Earnings Capacity Benefits</w:t>
            </w:r>
          </w:p>
        </w:tc>
        <w:tc>
          <w:tcPr>
            <w:tcW w:w="1256" w:type="dxa"/>
          </w:tcPr>
          <w:p w:rsidR="00832291" w:rsidRPr="00D60513" w:rsidRDefault="00832291" w:rsidP="007E1B3D">
            <w:pPr>
              <w:pStyle w:val="TableTextNormal"/>
              <w:keepLines/>
              <w:ind w:left="284"/>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E34E21">
              <w:rPr>
                <w:rFonts w:asciiTheme="minorHAnsi" w:hAnsiTheme="minorHAnsi" w:cstheme="minorHAnsi"/>
                <w:sz w:val="16"/>
                <w:szCs w:val="16"/>
              </w:rPr>
              <w:t>$31.3m</w:t>
            </w:r>
          </w:p>
        </w:tc>
        <w:tc>
          <w:tcPr>
            <w:tcW w:w="1261" w:type="dxa"/>
          </w:tcPr>
          <w:p w:rsidR="00832291" w:rsidRPr="00D60513" w:rsidRDefault="00832291" w:rsidP="007E1B3D">
            <w:pPr>
              <w:pStyle w:val="TableTextNormal"/>
              <w:keepLines/>
              <w:ind w:left="284"/>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E34E21">
              <w:rPr>
                <w:rFonts w:asciiTheme="minorHAnsi" w:hAnsiTheme="minorHAnsi" w:cstheme="minorHAnsi"/>
                <w:sz w:val="16"/>
                <w:szCs w:val="16"/>
              </w:rPr>
              <w:t>-78%</w:t>
            </w:r>
          </w:p>
        </w:tc>
        <w:tc>
          <w:tcPr>
            <w:tcW w:w="1261" w:type="dxa"/>
          </w:tcPr>
          <w:p w:rsidR="00832291" w:rsidRPr="00D60513" w:rsidRDefault="00832291" w:rsidP="007E1B3D">
            <w:pPr>
              <w:pStyle w:val="TableTextNormal"/>
              <w:keepLines/>
              <w:ind w:left="284"/>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E34E21">
              <w:rPr>
                <w:rFonts w:asciiTheme="minorHAnsi" w:hAnsiTheme="minorHAnsi" w:cstheme="minorHAnsi"/>
                <w:sz w:val="16"/>
                <w:szCs w:val="16"/>
              </w:rPr>
              <w:t>-$24.4m</w:t>
            </w:r>
          </w:p>
        </w:tc>
        <w:tc>
          <w:tcPr>
            <w:tcW w:w="1257" w:type="dxa"/>
          </w:tcPr>
          <w:p w:rsidR="00832291" w:rsidRPr="00D60513" w:rsidRDefault="00832291" w:rsidP="007E1B3D">
            <w:pPr>
              <w:pStyle w:val="TableTextNormal"/>
              <w:keepLines/>
              <w:ind w:left="284"/>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E34E21">
              <w:rPr>
                <w:rFonts w:asciiTheme="minorHAnsi" w:hAnsiTheme="minorHAnsi" w:cstheme="minorHAnsi"/>
                <w:sz w:val="16"/>
                <w:szCs w:val="16"/>
              </w:rPr>
              <w:t>$6.9m</w:t>
            </w:r>
          </w:p>
        </w:tc>
      </w:tr>
      <w:tr w:rsidR="00E34E21" w:rsidRPr="00E34E21" w:rsidTr="001E49D4">
        <w:tc>
          <w:tcPr>
            <w:cnfStyle w:val="001000000000" w:firstRow="0" w:lastRow="0" w:firstColumn="1" w:lastColumn="0" w:oddVBand="0" w:evenVBand="0" w:oddHBand="0" w:evenHBand="0" w:firstRowFirstColumn="0" w:firstRowLastColumn="0" w:lastRowFirstColumn="0" w:lastRowLastColumn="0"/>
            <w:tcW w:w="3402" w:type="dxa"/>
            <w:shd w:val="clear" w:color="auto" w:fill="E06161" w:themeFill="text2" w:themeFillTint="99"/>
          </w:tcPr>
          <w:p w:rsidR="00832291" w:rsidRPr="00D60513" w:rsidRDefault="00832291" w:rsidP="007E1B3D">
            <w:pPr>
              <w:pStyle w:val="TableTextNormal"/>
              <w:keepLines/>
              <w:rPr>
                <w:rFonts w:asciiTheme="minorHAnsi" w:hAnsiTheme="minorHAnsi" w:cstheme="minorHAnsi"/>
                <w:b/>
                <w:color w:val="FFFFFF" w:themeColor="background1"/>
                <w:sz w:val="16"/>
                <w:szCs w:val="16"/>
              </w:rPr>
            </w:pPr>
            <w:r w:rsidRPr="00D60513">
              <w:rPr>
                <w:rFonts w:asciiTheme="minorHAnsi" w:hAnsiTheme="minorHAnsi" w:cstheme="minorHAnsi"/>
                <w:b/>
                <w:color w:val="FFFFFF" w:themeColor="background1"/>
                <w:sz w:val="16"/>
                <w:szCs w:val="16"/>
              </w:rPr>
              <w:t>Common Law Damages</w:t>
            </w:r>
          </w:p>
        </w:tc>
        <w:tc>
          <w:tcPr>
            <w:tcW w:w="1256" w:type="dxa"/>
          </w:tcPr>
          <w:p w:rsidR="00832291" w:rsidRPr="00D60513" w:rsidRDefault="00832291" w:rsidP="007E1B3D">
            <w:pPr>
              <w:pStyle w:val="TableTextNormal"/>
              <w:keepLines/>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34E21">
              <w:rPr>
                <w:rFonts w:asciiTheme="minorHAnsi" w:hAnsiTheme="minorHAnsi" w:cstheme="minorHAnsi"/>
                <w:bCs/>
                <w:sz w:val="16"/>
                <w:szCs w:val="16"/>
              </w:rPr>
              <w:t>$20.7m</w:t>
            </w:r>
          </w:p>
        </w:tc>
        <w:tc>
          <w:tcPr>
            <w:tcW w:w="1261" w:type="dxa"/>
          </w:tcPr>
          <w:p w:rsidR="00832291" w:rsidRPr="00D60513" w:rsidRDefault="00832291" w:rsidP="007E1B3D">
            <w:pPr>
              <w:pStyle w:val="TableTextNormal"/>
              <w:keepLines/>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34E21">
              <w:rPr>
                <w:rFonts w:asciiTheme="minorHAnsi" w:hAnsiTheme="minorHAnsi" w:cstheme="minorHAnsi"/>
                <w:bCs/>
                <w:sz w:val="16"/>
                <w:szCs w:val="16"/>
              </w:rPr>
              <w:t>-65%</w:t>
            </w:r>
          </w:p>
        </w:tc>
        <w:tc>
          <w:tcPr>
            <w:tcW w:w="1261" w:type="dxa"/>
          </w:tcPr>
          <w:p w:rsidR="00832291" w:rsidRPr="00D60513" w:rsidRDefault="00832291" w:rsidP="007E1B3D">
            <w:pPr>
              <w:pStyle w:val="TableTextNormal"/>
              <w:keepLines/>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34E21">
              <w:rPr>
                <w:rFonts w:asciiTheme="minorHAnsi" w:hAnsiTheme="minorHAnsi" w:cstheme="minorHAnsi"/>
                <w:bCs/>
                <w:sz w:val="16"/>
                <w:szCs w:val="16"/>
              </w:rPr>
              <w:t>-$13.5m</w:t>
            </w:r>
          </w:p>
        </w:tc>
        <w:tc>
          <w:tcPr>
            <w:tcW w:w="1257" w:type="dxa"/>
          </w:tcPr>
          <w:p w:rsidR="00832291" w:rsidRPr="00D60513" w:rsidRDefault="00832291" w:rsidP="007E1B3D">
            <w:pPr>
              <w:pStyle w:val="TableTextNormal"/>
              <w:keepLines/>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34E21">
              <w:rPr>
                <w:rFonts w:asciiTheme="minorHAnsi" w:hAnsiTheme="minorHAnsi" w:cstheme="minorHAnsi"/>
                <w:bCs/>
                <w:sz w:val="16"/>
                <w:szCs w:val="16"/>
              </w:rPr>
              <w:t>$7.2m</w:t>
            </w:r>
          </w:p>
        </w:tc>
      </w:tr>
      <w:tr w:rsidR="00832291" w:rsidRPr="00E34E21" w:rsidTr="001E49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E06161" w:themeFill="text2" w:themeFillTint="99"/>
          </w:tcPr>
          <w:p w:rsidR="00832291" w:rsidRPr="00D60513" w:rsidRDefault="00832291" w:rsidP="007E1B3D">
            <w:pPr>
              <w:pStyle w:val="TableTextNormal"/>
              <w:keepLines/>
              <w:rPr>
                <w:rFonts w:asciiTheme="minorHAnsi" w:hAnsiTheme="minorHAnsi" w:cstheme="minorHAnsi"/>
                <w:b/>
                <w:color w:val="FFFFFF" w:themeColor="background1"/>
                <w:sz w:val="16"/>
                <w:szCs w:val="16"/>
              </w:rPr>
            </w:pPr>
            <w:r w:rsidRPr="00D60513">
              <w:rPr>
                <w:rFonts w:asciiTheme="minorHAnsi" w:hAnsiTheme="minorHAnsi" w:cstheme="minorHAnsi"/>
                <w:b/>
                <w:color w:val="FFFFFF" w:themeColor="background1"/>
                <w:sz w:val="16"/>
                <w:szCs w:val="16"/>
              </w:rPr>
              <w:t>TOTAL</w:t>
            </w:r>
          </w:p>
        </w:tc>
        <w:tc>
          <w:tcPr>
            <w:tcW w:w="1256" w:type="dxa"/>
          </w:tcPr>
          <w:p w:rsidR="00832291" w:rsidRPr="00D60513" w:rsidRDefault="00832291" w:rsidP="007E1B3D">
            <w:pPr>
              <w:pStyle w:val="TableTextNormal"/>
              <w:keepLines/>
              <w:ind w:left="284"/>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E34E21">
              <w:rPr>
                <w:rFonts w:asciiTheme="minorHAnsi" w:hAnsiTheme="minorHAnsi" w:cstheme="minorHAnsi"/>
                <w:b/>
                <w:sz w:val="16"/>
                <w:szCs w:val="16"/>
              </w:rPr>
              <w:t>$67.5m</w:t>
            </w:r>
          </w:p>
        </w:tc>
        <w:tc>
          <w:tcPr>
            <w:tcW w:w="1261" w:type="dxa"/>
          </w:tcPr>
          <w:p w:rsidR="00832291" w:rsidRPr="00D60513" w:rsidRDefault="00832291" w:rsidP="007E1B3D">
            <w:pPr>
              <w:pStyle w:val="TableTextNormal"/>
              <w:keepLines/>
              <w:ind w:left="284"/>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E34E21">
              <w:rPr>
                <w:rFonts w:asciiTheme="minorHAnsi" w:hAnsiTheme="minorHAnsi" w:cstheme="minorHAnsi"/>
                <w:b/>
                <w:sz w:val="16"/>
                <w:szCs w:val="16"/>
              </w:rPr>
              <w:t>-74.5%</w:t>
            </w:r>
          </w:p>
        </w:tc>
        <w:tc>
          <w:tcPr>
            <w:tcW w:w="1261" w:type="dxa"/>
          </w:tcPr>
          <w:p w:rsidR="00832291" w:rsidRPr="00D60513" w:rsidRDefault="00832291" w:rsidP="007E1B3D">
            <w:pPr>
              <w:pStyle w:val="TableTextNormal"/>
              <w:keepLines/>
              <w:ind w:left="284"/>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E34E21">
              <w:rPr>
                <w:rFonts w:asciiTheme="minorHAnsi" w:hAnsiTheme="minorHAnsi" w:cstheme="minorHAnsi"/>
                <w:b/>
                <w:sz w:val="16"/>
                <w:szCs w:val="16"/>
              </w:rPr>
              <w:t>-$50.3m</w:t>
            </w:r>
          </w:p>
        </w:tc>
        <w:tc>
          <w:tcPr>
            <w:tcW w:w="1257" w:type="dxa"/>
          </w:tcPr>
          <w:p w:rsidR="00832291" w:rsidRPr="00D60513" w:rsidRDefault="00832291" w:rsidP="007E1B3D">
            <w:pPr>
              <w:pStyle w:val="TableTextNormal"/>
              <w:keepLines/>
              <w:ind w:left="284"/>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E34E21">
              <w:rPr>
                <w:rFonts w:asciiTheme="minorHAnsi" w:hAnsiTheme="minorHAnsi" w:cstheme="minorHAnsi"/>
                <w:b/>
                <w:sz w:val="16"/>
                <w:szCs w:val="16"/>
              </w:rPr>
              <w:t>$17.2m</w:t>
            </w:r>
          </w:p>
        </w:tc>
      </w:tr>
    </w:tbl>
    <w:p w:rsidR="000807AC" w:rsidRDefault="000807AC" w:rsidP="00D60513">
      <w:pPr>
        <w:pStyle w:val="Sources"/>
      </w:pPr>
      <w:r w:rsidRPr="008A2FF0">
        <w:rPr>
          <w:color w:val="auto"/>
        </w:rPr>
        <w:t>Note: Figures may not sum exactly due to rounding</w:t>
      </w:r>
      <w:r w:rsidRPr="00566D61">
        <w:t xml:space="preserve"> </w:t>
      </w:r>
    </w:p>
    <w:p w:rsidR="001B3566" w:rsidRDefault="001B3566" w:rsidP="00D60513">
      <w:pPr>
        <w:pStyle w:val="Sources"/>
      </w:pPr>
      <w:r w:rsidRPr="00566D61">
        <w:t>Source: PwC analysis of detailed TAC data</w:t>
      </w:r>
      <w:r>
        <w:t>.</w:t>
      </w:r>
    </w:p>
    <w:p w:rsidR="0071108D" w:rsidRDefault="004B3B29" w:rsidP="00D60513">
      <w:pPr>
        <w:pStyle w:val="Heading6"/>
        <w:keepNext w:val="0"/>
        <w:keepLines w:val="0"/>
      </w:pPr>
      <w:r>
        <w:t xml:space="preserve">Method for assessing </w:t>
      </w:r>
      <w:r w:rsidR="00CF3668">
        <w:t xml:space="preserve">implementation </w:t>
      </w:r>
      <w:r>
        <w:t>options</w:t>
      </w:r>
    </w:p>
    <w:p w:rsidR="00E00D3A" w:rsidRPr="00CA78C9" w:rsidRDefault="0071108D" w:rsidP="00D60513">
      <w:pPr>
        <w:pStyle w:val="PwCNormal"/>
      </w:pPr>
      <w:r>
        <w:t>The two</w:t>
      </w:r>
      <w:r w:rsidR="00CF3668">
        <w:t xml:space="preserve"> </w:t>
      </w:r>
      <w:r>
        <w:t xml:space="preserve">options relating to the timing and implementation threshold of the GMD have been assessed using a cost-benefit analysis. </w:t>
      </w:r>
      <w:r w:rsidRPr="00886CF3">
        <w:t>Where impacts occur over time, the value of costs and benefits is ‘discounted’ to ensure they are assessed in constant dollar terms</w:t>
      </w:r>
      <w:r>
        <w:t xml:space="preserve"> as a net present value (NPV)</w:t>
      </w:r>
      <w:r w:rsidRPr="00886CF3">
        <w:t xml:space="preserve">. </w:t>
      </w:r>
      <w:r w:rsidRPr="00CA78C9">
        <w:t xml:space="preserve">In this instance however, not all of the costs and benefits have been able to be quantified in dollar terms, </w:t>
      </w:r>
      <w:r>
        <w:t>for example, the impacts on equity</w:t>
      </w:r>
      <w:r w:rsidRPr="00CA78C9">
        <w:t>. These are provided at the end of the below analysis in a table based on the number of people impacted.</w:t>
      </w:r>
    </w:p>
    <w:p w:rsidR="0098018E" w:rsidRDefault="0064275C" w:rsidP="00832291">
      <w:pPr>
        <w:pStyle w:val="Heading6"/>
      </w:pPr>
      <w:bookmarkStart w:id="55" w:name="_Ref391327358"/>
      <w:r>
        <w:lastRenderedPageBreak/>
        <w:t xml:space="preserve">Implementation </w:t>
      </w:r>
      <w:r w:rsidR="0098018E">
        <w:t xml:space="preserve">Option 1: Accident </w:t>
      </w:r>
      <w:r w:rsidR="00886CF3">
        <w:t>d</w:t>
      </w:r>
      <w:r w:rsidR="0098018E">
        <w:t xml:space="preserve">ate (1 </w:t>
      </w:r>
      <w:r w:rsidR="00A61958">
        <w:t xml:space="preserve">September </w:t>
      </w:r>
      <w:r w:rsidR="0098018E">
        <w:t>2014)</w:t>
      </w:r>
      <w:bookmarkEnd w:id="55"/>
    </w:p>
    <w:p w:rsidR="0098018E" w:rsidRDefault="0098018E" w:rsidP="00832291">
      <w:pPr>
        <w:pStyle w:val="StyleHeading7After12pt"/>
      </w:pPr>
      <w:r>
        <w:t>Equity</w:t>
      </w:r>
      <w:r w:rsidR="00DA5793">
        <w:t xml:space="preserve"> benefits</w:t>
      </w:r>
    </w:p>
    <w:p w:rsidR="00DD07C6" w:rsidRPr="00177B79" w:rsidRDefault="00177B79" w:rsidP="00832291">
      <w:pPr>
        <w:pStyle w:val="PwCNormal"/>
        <w:keepNext/>
        <w:keepLines/>
        <w:rPr>
          <w:b/>
          <w:i/>
        </w:rPr>
      </w:pPr>
      <w:r>
        <w:t xml:space="preserve">The key benefit of the </w:t>
      </w:r>
      <w:r w:rsidR="0064275C">
        <w:t xml:space="preserve">implementation </w:t>
      </w:r>
      <w:r>
        <w:t xml:space="preserve">options relates to equity, specifically </w:t>
      </w:r>
      <w:r w:rsidR="00DD07C6" w:rsidRPr="00177B79">
        <w:t xml:space="preserve">the extent to which </w:t>
      </w:r>
      <w:r w:rsidR="00473C8D">
        <w:t>a</w:t>
      </w:r>
      <w:r w:rsidR="00473C8D" w:rsidRPr="00177B79">
        <w:t xml:space="preserve"> </w:t>
      </w:r>
      <w:r w:rsidR="00DD07C6" w:rsidRPr="00177B79">
        <w:t>pre-Serwylo situation is restored</w:t>
      </w:r>
      <w:r>
        <w:t>. There are two aspects to equity:</w:t>
      </w:r>
    </w:p>
    <w:p w:rsidR="00DD07C6" w:rsidRPr="00F73453" w:rsidRDefault="00177B79" w:rsidP="00D60513">
      <w:pPr>
        <w:pStyle w:val="ListBullet"/>
        <w:keepNext/>
        <w:keepLines/>
      </w:pPr>
      <w:r>
        <w:t>H</w:t>
      </w:r>
      <w:r w:rsidR="00DD07C6">
        <w:t>orizontal equity refers to treating people with similar characteristics in similar ways.</w:t>
      </w:r>
      <w:r w:rsidR="00F77092">
        <w:rPr>
          <w:rStyle w:val="FootnoteReference"/>
        </w:rPr>
        <w:footnoteReference w:id="46"/>
      </w:r>
      <w:r w:rsidR="00DD07C6">
        <w:t xml:space="preserve"> In this context, it refers to claimants with similar functional impairment receiving similar </w:t>
      </w:r>
      <w:r w:rsidR="00DD07C6" w:rsidRPr="00F73453">
        <w:t>levels of compensation.</w:t>
      </w:r>
      <w:r w:rsidRPr="00F73453">
        <w:t xml:space="preserve"> </w:t>
      </w:r>
      <w:r w:rsidR="00DA5793" w:rsidRPr="00F73453">
        <w:t>This RIS focusses on horizontal equity.</w:t>
      </w:r>
    </w:p>
    <w:p w:rsidR="00814F70" w:rsidRPr="0070528C" w:rsidRDefault="00DD07C6" w:rsidP="00D60513">
      <w:pPr>
        <w:pStyle w:val="ListBullet"/>
        <w:keepNext/>
        <w:keepLines/>
        <w:rPr>
          <w:rStyle w:val="FootnoteReference"/>
          <w:sz w:val="20"/>
          <w:vertAlign w:val="baseline"/>
        </w:rPr>
      </w:pPr>
      <w:r w:rsidRPr="00DA2AF8">
        <w:t>Vertical equity refers to the notion that persons in different situations should be treated differently according to their level of need. In this case, vertical equit</w:t>
      </w:r>
      <w:r w:rsidRPr="003C217B">
        <w:t xml:space="preserve">y </w:t>
      </w:r>
      <w:r w:rsidR="00177B79" w:rsidRPr="003C217B">
        <w:t>means</w:t>
      </w:r>
      <w:r w:rsidRPr="003C217B">
        <w:t xml:space="preserve"> that people with more severe injuries receive higher compensation</w:t>
      </w:r>
      <w:r w:rsidR="000E5DA3" w:rsidRPr="00631D4B">
        <w:t>.</w:t>
      </w:r>
      <w:r w:rsidR="000E5DA3" w:rsidRPr="0070528C">
        <w:rPr>
          <w:rStyle w:val="FootnoteReference"/>
        </w:rPr>
        <w:footnoteReference w:id="47"/>
      </w:r>
      <w:r w:rsidR="00814F70" w:rsidRPr="0070528C" w:rsidDel="00814F70">
        <w:rPr>
          <w:rStyle w:val="FootnoteReference"/>
        </w:rPr>
        <w:t xml:space="preserve"> </w:t>
      </w:r>
    </w:p>
    <w:p w:rsidR="0075622F" w:rsidRPr="0070528C" w:rsidRDefault="00A61958" w:rsidP="00814F70">
      <w:pPr>
        <w:pStyle w:val="ListBullet"/>
        <w:numPr>
          <w:ilvl w:val="0"/>
          <w:numId w:val="0"/>
        </w:numPr>
      </w:pPr>
      <w:r w:rsidRPr="0070528C">
        <w:t xml:space="preserve">Under </w:t>
      </w:r>
      <w:r w:rsidR="0064275C" w:rsidRPr="0070528C">
        <w:t xml:space="preserve">Implementation </w:t>
      </w:r>
      <w:r w:rsidR="0075622F" w:rsidRPr="0070528C">
        <w:t xml:space="preserve">Option 1, the </w:t>
      </w:r>
      <w:r w:rsidR="008E5CEB" w:rsidRPr="0070528C">
        <w:t>GMD</w:t>
      </w:r>
      <w:r w:rsidR="0075622F" w:rsidRPr="0070528C">
        <w:t xml:space="preserve"> would </w:t>
      </w:r>
      <w:r w:rsidR="009933F0">
        <w:t>apply from</w:t>
      </w:r>
      <w:r w:rsidR="009933F0" w:rsidRPr="0070528C">
        <w:t xml:space="preserve"> </w:t>
      </w:r>
      <w:r w:rsidRPr="0070528C">
        <w:t>1 September 2014.</w:t>
      </w:r>
      <w:r w:rsidR="0075622F" w:rsidRPr="0070528C">
        <w:t xml:space="preserve"> </w:t>
      </w:r>
      <w:r w:rsidR="00903654" w:rsidRPr="001E49D4">
        <w:t xml:space="preserve">This implementation option </w:t>
      </w:r>
      <w:r w:rsidR="009933F0">
        <w:t>would</w:t>
      </w:r>
      <w:r w:rsidR="00903654" w:rsidRPr="001E49D4">
        <w:t xml:space="preserve"> </w:t>
      </w:r>
      <w:r w:rsidR="0075622F" w:rsidRPr="00F73453">
        <w:t xml:space="preserve">directly impact </w:t>
      </w:r>
      <w:r w:rsidR="003D7F56" w:rsidRPr="00F73453">
        <w:t>80</w:t>
      </w:r>
      <w:r w:rsidR="0075622F" w:rsidRPr="00F73453">
        <w:t> per cent</w:t>
      </w:r>
      <w:r w:rsidR="000E5DA3" w:rsidRPr="00F73453">
        <w:rPr>
          <w:rStyle w:val="FootnoteReference"/>
        </w:rPr>
        <w:footnoteReference w:id="48"/>
      </w:r>
      <w:r w:rsidR="0075622F" w:rsidRPr="00F73453">
        <w:t xml:space="preserve"> of claimants with multiple </w:t>
      </w:r>
      <w:r w:rsidR="0075622F" w:rsidRPr="002853FB">
        <w:t>spinal injuries</w:t>
      </w:r>
      <w:r w:rsidR="005E44D9" w:rsidRPr="001E49D4">
        <w:t xml:space="preserve"> occurring on or after 1 September 2014.</w:t>
      </w:r>
      <w:r w:rsidR="0075622F" w:rsidRPr="002853FB">
        <w:t xml:space="preserve"> (1,</w:t>
      </w:r>
      <w:r w:rsidR="005E44D9" w:rsidRPr="001E49D4">
        <w:t>251</w:t>
      </w:r>
      <w:r w:rsidR="0075622F" w:rsidRPr="00D217C4">
        <w:rPr>
          <w:rStyle w:val="FootnoteReference"/>
        </w:rPr>
        <w:footnoteReference w:id="49"/>
      </w:r>
      <w:r w:rsidR="0075622F" w:rsidRPr="00D217C4">
        <w:t>). This represents 5</w:t>
      </w:r>
      <w:r w:rsidR="00F73453" w:rsidRPr="001E49D4">
        <w:t>4</w:t>
      </w:r>
      <w:r w:rsidR="0075622F" w:rsidRPr="00D217C4">
        <w:t xml:space="preserve"> per cent</w:t>
      </w:r>
      <w:r w:rsidR="0075622F" w:rsidRPr="00D217C4">
        <w:rPr>
          <w:rStyle w:val="FootnoteReference"/>
        </w:rPr>
        <w:footnoteReference w:id="50"/>
      </w:r>
      <w:r w:rsidR="0075622F" w:rsidRPr="00D217C4">
        <w:t xml:space="preserve"> of the current and</w:t>
      </w:r>
      <w:r w:rsidR="0075622F" w:rsidRPr="00DA2AF8">
        <w:t xml:space="preserve"> </w:t>
      </w:r>
      <w:r w:rsidR="0075622F" w:rsidRPr="003C217B">
        <w:t xml:space="preserve">future claimants in the scheme (over the next ten years) with </w:t>
      </w:r>
      <w:r w:rsidR="004B1CFE" w:rsidRPr="003C217B">
        <w:t xml:space="preserve">multiple fractures </w:t>
      </w:r>
      <w:r w:rsidR="0075622F" w:rsidRPr="003C217B">
        <w:t xml:space="preserve">(i.e. the horizontal equity impact). Refer to </w:t>
      </w:r>
      <w:r w:rsidR="00E00D3A" w:rsidRPr="003C217B">
        <w:fldChar w:fldCharType="begin"/>
      </w:r>
      <w:r w:rsidR="00E00D3A" w:rsidRPr="0070528C">
        <w:instrText xml:space="preserve"> REF _Ref387937640 \h </w:instrText>
      </w:r>
      <w:r w:rsidR="00F30314" w:rsidRPr="001E49D4">
        <w:instrText xml:space="preserve"> \* MERGEFORMAT </w:instrText>
      </w:r>
      <w:r w:rsidR="00E00D3A" w:rsidRPr="003C217B">
        <w:fldChar w:fldCharType="separate"/>
      </w:r>
      <w:r w:rsidR="00542564">
        <w:t xml:space="preserve">Table </w:t>
      </w:r>
      <w:r w:rsidR="00542564">
        <w:rPr>
          <w:noProof/>
        </w:rPr>
        <w:t>8</w:t>
      </w:r>
      <w:r w:rsidR="00E00D3A" w:rsidRPr="003C217B">
        <w:fldChar w:fldCharType="end"/>
      </w:r>
      <w:r w:rsidR="00E00D3A" w:rsidRPr="003C217B">
        <w:t xml:space="preserve"> </w:t>
      </w:r>
      <w:r w:rsidR="0075622F" w:rsidRPr="00631D4B">
        <w:t xml:space="preserve">for </w:t>
      </w:r>
      <w:r w:rsidR="00177B79" w:rsidRPr="0070528C">
        <w:t>further information on</w:t>
      </w:r>
      <w:r w:rsidR="0075622F" w:rsidRPr="0070528C">
        <w:t xml:space="preserve"> these </w:t>
      </w:r>
      <w:r w:rsidR="00177B79" w:rsidRPr="0070528C">
        <w:t>estimates</w:t>
      </w:r>
      <w:r w:rsidR="0075622F" w:rsidRPr="0070528C">
        <w:t>.</w:t>
      </w:r>
    </w:p>
    <w:p w:rsidR="00BE599E" w:rsidRPr="001E49D4" w:rsidRDefault="00D53A91" w:rsidP="0005334C">
      <w:pPr>
        <w:pStyle w:val="PwCNormal"/>
        <w:rPr>
          <w:b/>
          <w:i/>
        </w:rPr>
      </w:pPr>
      <w:r w:rsidRPr="0070528C">
        <w:t>More broadly however, a</w:t>
      </w:r>
      <w:r w:rsidR="0098018E" w:rsidRPr="0070528C">
        <w:t xml:space="preserve">ll persons entering the scheme on or after </w:t>
      </w:r>
      <w:r w:rsidR="005A638D">
        <w:t>1 September 2014</w:t>
      </w:r>
      <w:r w:rsidR="001947C6" w:rsidRPr="0070528C">
        <w:t xml:space="preserve"> </w:t>
      </w:r>
      <w:r w:rsidR="0098018E" w:rsidRPr="0070528C">
        <w:t xml:space="preserve">would be placed on a more equitable footing. </w:t>
      </w:r>
      <w:r w:rsidR="00BE599E" w:rsidRPr="0070528C">
        <w:t>That is, there is a vertical equity benefit for all other cases over the next ten years</w:t>
      </w:r>
      <w:r w:rsidR="00175DB8" w:rsidRPr="0070528C">
        <w:t xml:space="preserve"> </w:t>
      </w:r>
      <w:r w:rsidR="00486F32" w:rsidRPr="0070528C">
        <w:t>(13,</w:t>
      </w:r>
      <w:r w:rsidR="00F73453" w:rsidRPr="001E49D4">
        <w:t>187</w:t>
      </w:r>
      <w:r w:rsidR="00944AF3" w:rsidRPr="00D217C4">
        <w:rPr>
          <w:rStyle w:val="FootnoteReference"/>
        </w:rPr>
        <w:footnoteReference w:id="51"/>
      </w:r>
      <w:r w:rsidR="00486F32" w:rsidRPr="00D217C4">
        <w:t>)</w:t>
      </w:r>
      <w:r w:rsidR="00BE599E" w:rsidRPr="00D217C4">
        <w:t xml:space="preserve"> whereby even though their own </w:t>
      </w:r>
      <w:r w:rsidR="00F132BF" w:rsidRPr="00D217C4">
        <w:t>compensation level</w:t>
      </w:r>
      <w:r w:rsidR="00BE599E" w:rsidRPr="00DA2AF8">
        <w:t xml:space="preserve"> will not</w:t>
      </w:r>
      <w:r w:rsidR="00BE599E" w:rsidRPr="003C217B">
        <w:t xml:space="preserve"> change, they will receive a more equitable amount (in a relative sense when compared </w:t>
      </w:r>
      <w:r w:rsidR="00473C8D" w:rsidRPr="003C217B">
        <w:t xml:space="preserve">with </w:t>
      </w:r>
      <w:r w:rsidR="004B1CFE" w:rsidRPr="003C217B">
        <w:t>multiple fractures claims</w:t>
      </w:r>
      <w:r w:rsidR="00BE599E" w:rsidRPr="003C217B">
        <w:t>)</w:t>
      </w:r>
      <w:r w:rsidR="000D0DFE" w:rsidRPr="003C217B">
        <w:t>.</w:t>
      </w:r>
    </w:p>
    <w:p w:rsidR="00ED367F" w:rsidRPr="003C217B" w:rsidRDefault="00ED367F" w:rsidP="00ED367F">
      <w:pPr>
        <w:pStyle w:val="PwCNormal"/>
      </w:pPr>
      <w:r w:rsidRPr="002853FB">
        <w:t xml:space="preserve">As previously mentioned, a </w:t>
      </w:r>
      <w:r w:rsidRPr="00D217C4">
        <w:t xml:space="preserve">group to consider </w:t>
      </w:r>
      <w:r w:rsidR="00DA5793" w:rsidRPr="00D217C4">
        <w:t>in regard</w:t>
      </w:r>
      <w:r w:rsidRPr="00D217C4">
        <w:t xml:space="preserve"> to equity is claimants that have undertaken spinal surgery</w:t>
      </w:r>
      <w:r w:rsidRPr="00DA2AF8">
        <w:t xml:space="preserve"> such as fusions. Spinal</w:t>
      </w:r>
      <w:r w:rsidRPr="003C217B">
        <w:t xml:space="preserve"> fusion patients are effectively captured in the equity analysis above as it involves all injured persons</w:t>
      </w:r>
      <w:r w:rsidR="00B1399E">
        <w:t xml:space="preserve"> receiving impairment benefits</w:t>
      </w:r>
      <w:r w:rsidRPr="003C217B">
        <w:t xml:space="preserve"> in the scheme.</w:t>
      </w:r>
      <w:r w:rsidR="00481783" w:rsidRPr="003C217B">
        <w:t xml:space="preserve"> </w:t>
      </w:r>
    </w:p>
    <w:p w:rsidR="0098018E" w:rsidRDefault="000F5B03" w:rsidP="0005334C">
      <w:pPr>
        <w:pStyle w:val="StyleHeading7After12pt"/>
        <w:numPr>
          <w:ilvl w:val="0"/>
          <w:numId w:val="0"/>
        </w:numPr>
        <w:ind w:left="850" w:hanging="850"/>
      </w:pPr>
      <w:r>
        <w:t>Implementation c</w:t>
      </w:r>
      <w:r w:rsidR="0098018E">
        <w:t>osts</w:t>
      </w:r>
    </w:p>
    <w:p w:rsidR="0098018E" w:rsidRDefault="0098018E" w:rsidP="0098018E">
      <w:pPr>
        <w:pStyle w:val="PwCNormal"/>
        <w:numPr>
          <w:ilvl w:val="0"/>
          <w:numId w:val="0"/>
        </w:numPr>
      </w:pPr>
      <w:r>
        <w:t xml:space="preserve">The implementation costs of </w:t>
      </w:r>
      <w:r w:rsidR="00D33911">
        <w:t>this option</w:t>
      </w:r>
      <w:r>
        <w:t xml:space="preserve"> predominately relate to the cost of communication to relevant medical, as well as potentially to legal professionals. </w:t>
      </w:r>
      <w:r w:rsidR="0068118A">
        <w:t>The cost is primarily comprised of</w:t>
      </w:r>
      <w:r w:rsidR="00346A3C">
        <w:t xml:space="preserve"> the </w:t>
      </w:r>
      <w:r w:rsidR="0068118A">
        <w:t xml:space="preserve">medical professional time taken </w:t>
      </w:r>
      <w:r w:rsidR="00346A3C">
        <w:t>to deliver</w:t>
      </w:r>
      <w:r w:rsidR="0068118A">
        <w:t xml:space="preserve"> the relevant training course</w:t>
      </w:r>
      <w:r w:rsidR="00346A3C">
        <w:t>s to the impairment examiners</w:t>
      </w:r>
      <w:r w:rsidR="0068118A">
        <w:t>.</w:t>
      </w:r>
      <w:r w:rsidR="00BF509A">
        <w:t xml:space="preserve"> Data provided by </w:t>
      </w:r>
      <w:r w:rsidR="000604C5">
        <w:t xml:space="preserve">the </w:t>
      </w:r>
      <w:r w:rsidR="00BF509A">
        <w:t>TAC has valued this cost at $</w:t>
      </w:r>
      <w:r w:rsidR="005E1BB9">
        <w:t>50,820</w:t>
      </w:r>
      <w:r w:rsidR="009357CE">
        <w:rPr>
          <w:rStyle w:val="FootnoteReference"/>
        </w:rPr>
        <w:footnoteReference w:id="52"/>
      </w:r>
      <w:r w:rsidR="00BF509A">
        <w:t xml:space="preserve"> to be borne in 2014 only.</w:t>
      </w:r>
      <w:r>
        <w:t xml:space="preserve"> </w:t>
      </w:r>
      <w:r w:rsidR="00BF509A">
        <w:t>There will also be minor IT costs for the</w:t>
      </w:r>
      <w:r w:rsidR="00DC1943">
        <w:t xml:space="preserve"> professional service required to set</w:t>
      </w:r>
      <w:r w:rsidR="00BF509A">
        <w:t xml:space="preserve"> up an Impairment Assessment Training Website. This cost will also be one-off and borne </w:t>
      </w:r>
      <w:r w:rsidR="00BF509A">
        <w:lastRenderedPageBreak/>
        <w:t xml:space="preserve">in 2014. </w:t>
      </w:r>
      <w:r w:rsidR="000604C5">
        <w:t xml:space="preserve">The </w:t>
      </w:r>
      <w:r w:rsidR="00BF509A">
        <w:t>TAC estimates this to be approximately $</w:t>
      </w:r>
      <w:r w:rsidR="00A93DD4">
        <w:t>500</w:t>
      </w:r>
      <w:r w:rsidR="00BF509A">
        <w:t>. No material implementation costs are likely to be outla</w:t>
      </w:r>
      <w:r w:rsidR="005A22D8">
        <w:t>id</w:t>
      </w:r>
      <w:r w:rsidR="00BF509A">
        <w:t xml:space="preserve"> after this.</w:t>
      </w:r>
    </w:p>
    <w:p w:rsidR="00BF509A" w:rsidRDefault="00BF509A" w:rsidP="0098018E">
      <w:pPr>
        <w:pStyle w:val="PwCNormal"/>
        <w:numPr>
          <w:ilvl w:val="0"/>
          <w:numId w:val="0"/>
        </w:numPr>
      </w:pPr>
      <w:r>
        <w:t>Total implementation costs are therefore calculated to be</w:t>
      </w:r>
      <w:r w:rsidR="004A3ABF">
        <w:t xml:space="preserve"> </w:t>
      </w:r>
      <w:r>
        <w:t>$</w:t>
      </w:r>
      <w:r w:rsidR="005E1BB9">
        <w:t>51,320</w:t>
      </w:r>
      <w:r>
        <w:t>.</w:t>
      </w:r>
    </w:p>
    <w:p w:rsidR="00DA5793" w:rsidRPr="00DA5793" w:rsidRDefault="00DA5793" w:rsidP="00DA5793">
      <w:pPr>
        <w:pStyle w:val="StyleHeading7After12pt"/>
      </w:pPr>
      <w:r w:rsidRPr="00DA5793">
        <w:t>O</w:t>
      </w:r>
      <w:r>
        <w:t xml:space="preserve">ther impacts </w:t>
      </w:r>
    </w:p>
    <w:p w:rsidR="00DA5793" w:rsidRDefault="00DA5793" w:rsidP="00DA5793">
      <w:pPr>
        <w:pStyle w:val="PwCNormal"/>
      </w:pPr>
      <w:r w:rsidRPr="00DA5793">
        <w:t xml:space="preserve">The implementation of the GMD will have the effect of reducing the WPI ratings for claimants with multiple spinal fractures without structural compromise. </w:t>
      </w:r>
      <w:r>
        <w:t xml:space="preserve">This is </w:t>
      </w:r>
      <w:r w:rsidRPr="00DA5793">
        <w:t xml:space="preserve">likely to increase the amount of total time spent </w:t>
      </w:r>
      <w:r w:rsidR="00BA250C">
        <w:t xml:space="preserve">legally </w:t>
      </w:r>
      <w:r w:rsidRPr="00DA5793">
        <w:t xml:space="preserve">determining whether an injured person has a ‘serious injury’ (as fewer claimants will automatically reach the 30 per cent impairment threshold), but less total time would be spent determining legally claimants’ WPI (due to operational efficiencies in the new method) and the amount of common law damages (as fewer injured people may receive common law damages). Analysis undertaken by the TAC has identified that these two impacts are largely offsetting, and thus the resulting impact under </w:t>
      </w:r>
      <w:r w:rsidR="0064275C">
        <w:t>Implementation</w:t>
      </w:r>
      <w:r w:rsidR="0064275C" w:rsidRPr="00DA5793">
        <w:t xml:space="preserve"> </w:t>
      </w:r>
      <w:r w:rsidRPr="00DA5793">
        <w:t>Option 1 is estimated to be nil.</w:t>
      </w:r>
    </w:p>
    <w:p w:rsidR="00DA5793" w:rsidRPr="00DA5793" w:rsidRDefault="00A85695" w:rsidP="00DA5793">
      <w:pPr>
        <w:pStyle w:val="PwCNormal"/>
        <w:rPr>
          <w:highlight w:val="yellow"/>
        </w:rPr>
      </w:pPr>
      <w:r>
        <w:t>In addition, feedback from</w:t>
      </w:r>
      <w:r w:rsidR="00BA250C">
        <w:t xml:space="preserve"> the</w:t>
      </w:r>
      <w:r>
        <w:t xml:space="preserve"> TAC suggests that the GMD is likely to generate additional efficiency improvements due to increased clarity in the impairment assessment process. This benefit has not been quantified</w:t>
      </w:r>
      <w:r w:rsidR="0005334C">
        <w:t xml:space="preserve"> but is acknowledged.</w:t>
      </w:r>
    </w:p>
    <w:p w:rsidR="000F5B03" w:rsidRPr="000F5B03" w:rsidRDefault="00DC1943" w:rsidP="00CA78C9">
      <w:pPr>
        <w:pStyle w:val="StyleHeading7After12pt"/>
      </w:pPr>
      <w:r>
        <w:t>Distributional impacts</w:t>
      </w:r>
    </w:p>
    <w:p w:rsidR="00303BE3" w:rsidRDefault="00047050" w:rsidP="00303BE3">
      <w:pPr>
        <w:pStyle w:val="PwCNormal"/>
        <w:numPr>
          <w:ilvl w:val="0"/>
          <w:numId w:val="0"/>
        </w:numPr>
      </w:pPr>
      <w:r>
        <w:t>A</w:t>
      </w:r>
      <w:r w:rsidR="00300EAC">
        <w:t xml:space="preserve">ny reduction in </w:t>
      </w:r>
      <w:r w:rsidR="00F132BF">
        <w:t>compensation</w:t>
      </w:r>
      <w:r w:rsidR="00303BE3">
        <w:t xml:space="preserve"> to claimants </w:t>
      </w:r>
      <w:r w:rsidR="00300EAC">
        <w:t>would</w:t>
      </w:r>
      <w:r w:rsidR="00303BE3">
        <w:t xml:space="preserve"> </w:t>
      </w:r>
      <w:r w:rsidR="00693579">
        <w:t xml:space="preserve">reduce cost pressure on the scheme. </w:t>
      </w:r>
      <w:r w:rsidR="00303BE3">
        <w:t xml:space="preserve">From a cost-benefit analysis perspective, this </w:t>
      </w:r>
      <w:r w:rsidR="00693579">
        <w:t>impact</w:t>
      </w:r>
      <w:r w:rsidR="00303BE3">
        <w:t xml:space="preserve"> simply represents a transfer of resources or redistribution between two groups in society.</w:t>
      </w:r>
      <w:r w:rsidR="00303BE3" w:rsidRPr="00B43EA3">
        <w:rPr>
          <w:rStyle w:val="FootnoteReference"/>
        </w:rPr>
        <w:footnoteReference w:id="53"/>
      </w:r>
      <w:r w:rsidR="00303BE3">
        <w:t xml:space="preserve"> </w:t>
      </w:r>
      <w:r w:rsidR="00303BE3" w:rsidRPr="00D52678">
        <w:t>T</w:t>
      </w:r>
      <w:r w:rsidR="00303BE3">
        <w:t>ransfers can only be regarded as enhancing community wellbeing if a decision is made that one group derives more value from the resources than the other.</w:t>
      </w:r>
      <w:r w:rsidR="00303BE3">
        <w:rPr>
          <w:rStyle w:val="FootnoteReference"/>
        </w:rPr>
        <w:footnoteReference w:id="54"/>
      </w:r>
      <w:r w:rsidR="00303BE3">
        <w:t xml:space="preserve"> In this case, we do not make this assumption and </w:t>
      </w:r>
      <w:r w:rsidR="00300EAC">
        <w:t>so t</w:t>
      </w:r>
      <w:r w:rsidR="00303BE3">
        <w:t>he cost-benefit impact of this transfer is therefore nil.</w:t>
      </w:r>
      <w:r w:rsidR="002634FB">
        <w:t xml:space="preserve"> While transfers involving taxation can have a range of distortionary impacts, the CTP levy represents the cost of certain risks associated with driving, essentially internalising what was an externality.</w:t>
      </w:r>
      <w:r w:rsidR="00330CB5">
        <w:rPr>
          <w:rStyle w:val="FootnoteReference"/>
        </w:rPr>
        <w:footnoteReference w:id="55"/>
      </w:r>
    </w:p>
    <w:p w:rsidR="000F5B03" w:rsidRDefault="000F5B03" w:rsidP="000F5B03">
      <w:pPr>
        <w:pStyle w:val="PwCNormal"/>
        <w:numPr>
          <w:ilvl w:val="0"/>
          <w:numId w:val="0"/>
        </w:numPr>
      </w:pPr>
      <w:r>
        <w:t xml:space="preserve">Under this </w:t>
      </w:r>
      <w:r w:rsidR="0064275C">
        <w:t xml:space="preserve">implementation </w:t>
      </w:r>
      <w:r>
        <w:t>option, the total transfer</w:t>
      </w:r>
      <w:r w:rsidR="004A3ABF">
        <w:t xml:space="preserve"> is</w:t>
      </w:r>
      <w:r>
        <w:t xml:space="preserve"> </w:t>
      </w:r>
      <w:r w:rsidRPr="003F5A71">
        <w:t>$</w:t>
      </w:r>
      <w:r w:rsidR="00D217C4">
        <w:t>6</w:t>
      </w:r>
      <w:r w:rsidR="007C7625">
        <w:t>8</w:t>
      </w:r>
      <w:r w:rsidR="00D217C4">
        <w:t>.4</w:t>
      </w:r>
      <w:r w:rsidRPr="003F5A71">
        <w:t xml:space="preserve"> million</w:t>
      </w:r>
      <w:r w:rsidR="00DC1943">
        <w:t xml:space="preserve"> NPV over ten years</w:t>
      </w:r>
      <w:r w:rsidR="00047050">
        <w:t>.</w:t>
      </w:r>
      <w:r w:rsidR="00B970B4">
        <w:rPr>
          <w:rStyle w:val="FootnoteReference"/>
        </w:rPr>
        <w:footnoteReference w:id="56"/>
      </w:r>
      <w:r w:rsidR="00B970B4">
        <w:t xml:space="preserve"> </w:t>
      </w:r>
      <w:r w:rsidR="00AE6298">
        <w:t xml:space="preserve">Refer to </w:t>
      </w:r>
      <w:r w:rsidR="00AE6298">
        <w:fldChar w:fldCharType="begin"/>
      </w:r>
      <w:r w:rsidR="00AE6298">
        <w:instrText xml:space="preserve"> REF _Ref387412397 \n \h </w:instrText>
      </w:r>
      <w:r w:rsidR="00AE6298">
        <w:fldChar w:fldCharType="separate"/>
      </w:r>
      <w:r w:rsidR="00542564">
        <w:t>Appendix C</w:t>
      </w:r>
      <w:r w:rsidR="00AE6298">
        <w:fldChar w:fldCharType="end"/>
      </w:r>
      <w:r w:rsidR="00AE6298">
        <w:t xml:space="preserve"> for a detailed explanation on the relationship between number of claimants affected and the value of the transfer.</w:t>
      </w:r>
    </w:p>
    <w:p w:rsidR="00CE580B" w:rsidRDefault="00300EAC" w:rsidP="0098018E">
      <w:pPr>
        <w:pStyle w:val="PwCNormal"/>
        <w:numPr>
          <w:ilvl w:val="0"/>
          <w:numId w:val="0"/>
        </w:numPr>
      </w:pPr>
      <w:r>
        <w:t>T</w:t>
      </w:r>
      <w:r w:rsidR="00E46634">
        <w:t xml:space="preserve">he impact to the scheme’s </w:t>
      </w:r>
      <w:r w:rsidR="000824FB">
        <w:t xml:space="preserve">current </w:t>
      </w:r>
      <w:r w:rsidR="00E46634">
        <w:t xml:space="preserve">liability will be nil under this </w:t>
      </w:r>
      <w:r w:rsidR="0064275C">
        <w:t xml:space="preserve">implementation </w:t>
      </w:r>
      <w:r w:rsidR="00E46634">
        <w:t>option</w:t>
      </w:r>
      <w:r w:rsidR="00B11168">
        <w:t>. This is due to</w:t>
      </w:r>
      <w:r w:rsidR="00E46634">
        <w:t xml:space="preserve"> the </w:t>
      </w:r>
      <w:r w:rsidR="0064275C">
        <w:t xml:space="preserve">implementation </w:t>
      </w:r>
      <w:r w:rsidR="00E46634">
        <w:t xml:space="preserve">option </w:t>
      </w:r>
      <w:r w:rsidR="00B11168">
        <w:t>being</w:t>
      </w:r>
      <w:r w:rsidR="00E46634">
        <w:t xml:space="preserve"> prospective only and therefore </w:t>
      </w:r>
      <w:r w:rsidR="00B11168">
        <w:t>not impacting the compensation entitlements of existing claimants.</w:t>
      </w:r>
    </w:p>
    <w:p w:rsidR="0098018E" w:rsidRPr="001862DB" w:rsidRDefault="0064275C" w:rsidP="0098018E">
      <w:pPr>
        <w:pStyle w:val="Heading6"/>
      </w:pPr>
      <w:r>
        <w:lastRenderedPageBreak/>
        <w:t xml:space="preserve">Implementation </w:t>
      </w:r>
      <w:r w:rsidR="0098018E">
        <w:t xml:space="preserve">Option 2: Assessment </w:t>
      </w:r>
      <w:r w:rsidR="00886CF3">
        <w:t>d</w:t>
      </w:r>
      <w:r w:rsidR="0098018E">
        <w:t>ate (1 J</w:t>
      </w:r>
      <w:r w:rsidR="00E1029C">
        <w:t>anuary 2015</w:t>
      </w:r>
      <w:r w:rsidR="0098018E">
        <w:t>)</w:t>
      </w:r>
    </w:p>
    <w:p w:rsidR="0098018E" w:rsidRDefault="0098018E" w:rsidP="00E16112">
      <w:pPr>
        <w:pStyle w:val="StyleHeading7After12pt"/>
      </w:pPr>
      <w:r>
        <w:t>Equity</w:t>
      </w:r>
      <w:r w:rsidR="00300EAC">
        <w:t xml:space="preserve"> benefits</w:t>
      </w:r>
    </w:p>
    <w:p w:rsidR="00E1029C" w:rsidRDefault="00E1029C" w:rsidP="00E1029C">
      <w:pPr>
        <w:pStyle w:val="PwCNormal"/>
        <w:numPr>
          <w:ilvl w:val="0"/>
          <w:numId w:val="0"/>
        </w:numPr>
      </w:pPr>
      <w:r>
        <w:t>I</w:t>
      </w:r>
      <w:r w:rsidR="0056414E">
        <w:t xml:space="preserve">n </w:t>
      </w:r>
      <w:r w:rsidR="0064275C">
        <w:t xml:space="preserve">Implementation </w:t>
      </w:r>
      <w:r w:rsidR="0056414E">
        <w:t>O</w:t>
      </w:r>
      <w:r>
        <w:t>ption 2, impacted persons are determined by their assessment examination date rather than their accident date. As it is not possible to be assessed prior to</w:t>
      </w:r>
      <w:r w:rsidR="004A3ABF">
        <w:t xml:space="preserve"> the</w:t>
      </w:r>
      <w:r>
        <w:t xml:space="preserve"> date of accident, the new GMD will capture every claimant with an accident date of 1 January 2015 and beyond. In addition, for the reasons discussed in section</w:t>
      </w:r>
      <w:r w:rsidR="003C217B">
        <w:t xml:space="preserve"> </w:t>
      </w:r>
      <w:r w:rsidR="00C574C4">
        <w:fldChar w:fldCharType="begin"/>
      </w:r>
      <w:r w:rsidR="00C574C4">
        <w:instrText xml:space="preserve"> REF _Ref387934578 \r \h </w:instrText>
      </w:r>
      <w:r w:rsidR="00C574C4">
        <w:fldChar w:fldCharType="separate"/>
      </w:r>
      <w:r w:rsidR="00542564">
        <w:t>4.2.2</w:t>
      </w:r>
      <w:r w:rsidR="00C574C4">
        <w:fldChar w:fldCharType="end"/>
      </w:r>
      <w:r>
        <w:t>, we have assumed that no claimant can obtain an assessment within six months of their accident date. Hen</w:t>
      </w:r>
      <w:r w:rsidR="00534F7B">
        <w:t>ce,</w:t>
      </w:r>
      <w:r w:rsidR="0064275C">
        <w:t xml:space="preserve"> Implementation </w:t>
      </w:r>
      <w:r w:rsidR="00534F7B">
        <w:t>O</w:t>
      </w:r>
      <w:r>
        <w:t xml:space="preserve">ption 2 captures the </w:t>
      </w:r>
      <w:r w:rsidR="003D7F56">
        <w:t>80</w:t>
      </w:r>
      <w:r>
        <w:t xml:space="preserve"> per cent of future claimants outlined in</w:t>
      </w:r>
      <w:r w:rsidR="003C217B">
        <w:t xml:space="preserve"> </w:t>
      </w:r>
      <w:r w:rsidR="003C217B">
        <w:fldChar w:fldCharType="begin"/>
      </w:r>
      <w:r w:rsidR="003C217B">
        <w:instrText xml:space="preserve"> REF _Ref386522072 \h </w:instrText>
      </w:r>
      <w:r w:rsidR="003C217B">
        <w:fldChar w:fldCharType="separate"/>
      </w:r>
      <w:r w:rsidR="00542564">
        <w:t xml:space="preserve">Table </w:t>
      </w:r>
      <w:r w:rsidR="00542564">
        <w:rPr>
          <w:noProof/>
        </w:rPr>
        <w:t>11</w:t>
      </w:r>
      <w:r w:rsidR="003C217B">
        <w:fldChar w:fldCharType="end"/>
      </w:r>
      <w:r>
        <w:t>.</w:t>
      </w:r>
      <w:r w:rsidR="00631D4B">
        <w:t xml:space="preserve">, which represents the claimants affected under Implementation Option 1 plus the two months of claimants injured between 1 July 2014 and </w:t>
      </w:r>
      <w:r w:rsidR="0073755B">
        <w:t>31 August</w:t>
      </w:r>
      <w:r w:rsidR="00631D4B">
        <w:t xml:space="preserve"> 2014.</w:t>
      </w:r>
    </w:p>
    <w:p w:rsidR="00593C73" w:rsidRDefault="00487C6F" w:rsidP="0078338B">
      <w:pPr>
        <w:pStyle w:val="PwCNormal"/>
        <w:numPr>
          <w:ilvl w:val="0"/>
          <w:numId w:val="0"/>
        </w:numPr>
      </w:pPr>
      <w:r>
        <w:t xml:space="preserve">Furthermore, </w:t>
      </w:r>
      <w:r w:rsidR="0064275C">
        <w:t xml:space="preserve">Implementation </w:t>
      </w:r>
      <w:r>
        <w:t>O</w:t>
      </w:r>
      <w:r w:rsidR="00E1029C">
        <w:t xml:space="preserve">ption 2 also has a retrospective impact as a proportion of claimants with an accident date prior to 1 July 2014 will also be impacted by the GMD. </w:t>
      </w:r>
      <w:r w:rsidR="00C51FCB">
        <w:t xml:space="preserve">Data provided by the TAC has indicated that the number of claimants in the scheme at any point in time remains relatively </w:t>
      </w:r>
      <w:proofErr w:type="gramStart"/>
      <w:r w:rsidR="00C51FCB">
        <w:t>constant,</w:t>
      </w:r>
      <w:proofErr w:type="gramEnd"/>
      <w:r w:rsidR="00C51FCB">
        <w:t xml:space="preserve"> hence the current claimant figures outlined in </w:t>
      </w:r>
      <w:r w:rsidR="00C51FCB">
        <w:fldChar w:fldCharType="begin"/>
      </w:r>
      <w:r w:rsidR="00C51FCB">
        <w:instrText xml:space="preserve"> REF _Ref386522072 \h </w:instrText>
      </w:r>
      <w:r w:rsidR="00C51FCB">
        <w:fldChar w:fldCharType="separate"/>
      </w:r>
      <w:r w:rsidR="00542564">
        <w:t xml:space="preserve">Table </w:t>
      </w:r>
      <w:r w:rsidR="00542564">
        <w:rPr>
          <w:noProof/>
        </w:rPr>
        <w:t>11</w:t>
      </w:r>
      <w:r w:rsidR="00C51FCB">
        <w:fldChar w:fldCharType="end"/>
      </w:r>
      <w:r w:rsidR="00C51FCB">
        <w:t xml:space="preserve"> below are able to be used.</w:t>
      </w:r>
    </w:p>
    <w:p w:rsidR="00593C73" w:rsidRDefault="00593C73" w:rsidP="00593C73">
      <w:pPr>
        <w:pStyle w:val="Caption"/>
      </w:pPr>
      <w:bookmarkStart w:id="56" w:name="_Ref386522072"/>
      <w:r>
        <w:t xml:space="preserve">Table </w:t>
      </w:r>
      <w:fldSimple w:instr=" SEQ Table \* ARABIC ">
        <w:r w:rsidR="00542564">
          <w:rPr>
            <w:noProof/>
          </w:rPr>
          <w:t>11</w:t>
        </w:r>
      </w:fldSimple>
      <w:bookmarkEnd w:id="56"/>
      <w:r>
        <w:t>: Number of existing and future claimant</w:t>
      </w:r>
      <w:r w:rsidR="00995041">
        <w:t>s</w:t>
      </w:r>
      <w:r>
        <w:t xml:space="preserve"> (over 10 years)</w:t>
      </w:r>
    </w:p>
    <w:tbl>
      <w:tblPr>
        <w:tblStyle w:val="LightList-Accent1"/>
        <w:tblW w:w="4897" w:type="pct"/>
        <w:tblLayout w:type="fixed"/>
        <w:tblLook w:val="04A0" w:firstRow="1" w:lastRow="0" w:firstColumn="1" w:lastColumn="0" w:noHBand="0" w:noVBand="1"/>
      </w:tblPr>
      <w:tblGrid>
        <w:gridCol w:w="2064"/>
        <w:gridCol w:w="2065"/>
        <w:gridCol w:w="2067"/>
        <w:gridCol w:w="2067"/>
      </w:tblGrid>
      <w:tr w:rsidR="003C4034" w:rsidRPr="00B214B1" w:rsidTr="00C5533D">
        <w:trPr>
          <w:cnfStyle w:val="100000000000" w:firstRow="1" w:lastRow="0" w:firstColumn="0" w:lastColumn="0" w:oddVBand="0" w:evenVBand="0" w:oddHBand="0"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2064" w:type="dxa"/>
            <w:tcBorders>
              <w:top w:val="nil"/>
              <w:left w:val="nil"/>
              <w:bottom w:val="single" w:sz="8" w:space="0" w:color="FFFFFF" w:themeColor="background2"/>
              <w:right w:val="single" w:sz="8" w:space="0" w:color="FFFFFF" w:themeColor="background2"/>
            </w:tcBorders>
            <w:shd w:val="clear" w:color="auto" w:fill="FFFFFF" w:themeFill="background1"/>
          </w:tcPr>
          <w:p w:rsidR="003C4034" w:rsidRPr="0005334C" w:rsidRDefault="003C4034" w:rsidP="00C5533D">
            <w:pPr>
              <w:pStyle w:val="TableColumnHeadingNormal"/>
              <w:rPr>
                <w:rFonts w:asciiTheme="minorHAnsi" w:hAnsiTheme="minorHAnsi" w:cstheme="minorHAnsi"/>
                <w:sz w:val="16"/>
                <w:szCs w:val="16"/>
              </w:rPr>
            </w:pPr>
          </w:p>
        </w:tc>
        <w:tc>
          <w:tcPr>
            <w:tcW w:w="6199" w:type="dxa"/>
            <w:gridSpan w:val="3"/>
            <w:tcBorders>
              <w:top w:val="nil"/>
              <w:left w:val="single" w:sz="8" w:space="0" w:color="FFFFFF" w:themeColor="background2"/>
              <w:bottom w:val="single" w:sz="8" w:space="0" w:color="FFFFFF" w:themeColor="background2"/>
            </w:tcBorders>
          </w:tcPr>
          <w:p w:rsidR="003C4034" w:rsidRPr="0005334C" w:rsidRDefault="009E302C" w:rsidP="00C5533D">
            <w:pPr>
              <w:pStyle w:val="TableColumnHeadingNormal"/>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16"/>
                <w:szCs w:val="16"/>
              </w:rPr>
            </w:pPr>
            <w:r>
              <w:rPr>
                <w:rFonts w:asciiTheme="minorHAnsi" w:hAnsiTheme="minorHAnsi" w:cstheme="minorHAnsi"/>
                <w:color w:val="FFFFFF" w:themeColor="background1"/>
                <w:sz w:val="16"/>
                <w:szCs w:val="16"/>
              </w:rPr>
              <w:t>Accident</w:t>
            </w:r>
            <w:r w:rsidRPr="0005334C">
              <w:rPr>
                <w:rFonts w:asciiTheme="minorHAnsi" w:hAnsiTheme="minorHAnsi" w:cstheme="minorHAnsi"/>
                <w:color w:val="FFFFFF" w:themeColor="background1"/>
                <w:sz w:val="16"/>
                <w:szCs w:val="16"/>
              </w:rPr>
              <w:t xml:space="preserve"> </w:t>
            </w:r>
            <w:r w:rsidR="003C4034" w:rsidRPr="0005334C">
              <w:rPr>
                <w:rFonts w:asciiTheme="minorHAnsi" w:hAnsiTheme="minorHAnsi" w:cstheme="minorHAnsi"/>
                <w:color w:val="FFFFFF" w:themeColor="background1"/>
                <w:sz w:val="16"/>
                <w:szCs w:val="16"/>
              </w:rPr>
              <w:t>date</w:t>
            </w:r>
          </w:p>
        </w:tc>
      </w:tr>
      <w:tr w:rsidR="003C4034" w:rsidRPr="00B214B1" w:rsidTr="00295C4A">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064" w:type="dxa"/>
            <w:tcBorders>
              <w:top w:val="single" w:sz="8" w:space="0" w:color="FFFFFF" w:themeColor="background2"/>
              <w:left w:val="nil"/>
              <w:right w:val="single" w:sz="8" w:space="0" w:color="FFFFFF" w:themeColor="background2"/>
            </w:tcBorders>
            <w:shd w:val="clear" w:color="auto" w:fill="A32020" w:themeFill="text2"/>
            <w:vAlign w:val="center"/>
          </w:tcPr>
          <w:p w:rsidR="003C4034" w:rsidRPr="0005334C" w:rsidRDefault="003C4034" w:rsidP="00C5533D">
            <w:pPr>
              <w:pStyle w:val="TableColumnHeadingNormal"/>
              <w:rPr>
                <w:rFonts w:asciiTheme="minorHAnsi" w:hAnsiTheme="minorHAnsi" w:cstheme="minorHAnsi"/>
                <w:b/>
                <w:color w:val="FFFFFF" w:themeColor="background1"/>
                <w:sz w:val="16"/>
                <w:szCs w:val="16"/>
              </w:rPr>
            </w:pPr>
            <w:r w:rsidRPr="0005334C">
              <w:rPr>
                <w:rFonts w:asciiTheme="minorHAnsi" w:hAnsiTheme="minorHAnsi" w:cstheme="minorHAnsi"/>
                <w:color w:val="FFFFFF" w:themeColor="background1"/>
                <w:sz w:val="16"/>
                <w:szCs w:val="16"/>
              </w:rPr>
              <w:t>Injury type</w:t>
            </w:r>
          </w:p>
        </w:tc>
        <w:tc>
          <w:tcPr>
            <w:tcW w:w="2065" w:type="dxa"/>
            <w:tcBorders>
              <w:top w:val="single" w:sz="8" w:space="0" w:color="FFFFFF" w:themeColor="background2"/>
              <w:left w:val="single" w:sz="8" w:space="0" w:color="FFFFFF" w:themeColor="background2"/>
              <w:right w:val="single" w:sz="8" w:space="0" w:color="FFFFFF" w:themeColor="background2"/>
            </w:tcBorders>
            <w:shd w:val="clear" w:color="auto" w:fill="E06161" w:themeFill="text2" w:themeFillTint="99"/>
            <w:vAlign w:val="center"/>
          </w:tcPr>
          <w:p w:rsidR="003C4034" w:rsidRPr="0005334C" w:rsidRDefault="003C4034" w:rsidP="00CE4B4A">
            <w:pPr>
              <w:pStyle w:val="TableColumnHeading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16"/>
                <w:szCs w:val="16"/>
              </w:rPr>
            </w:pPr>
            <w:r w:rsidRPr="0005334C">
              <w:rPr>
                <w:rFonts w:asciiTheme="minorHAnsi" w:hAnsiTheme="minorHAnsi" w:cstheme="minorHAnsi"/>
                <w:color w:val="FFFFFF" w:themeColor="background1"/>
                <w:sz w:val="16"/>
                <w:szCs w:val="16"/>
              </w:rPr>
              <w:t xml:space="preserve">Existing </w:t>
            </w:r>
            <w:r w:rsidR="006F4B21">
              <w:rPr>
                <w:rFonts w:asciiTheme="minorHAnsi" w:hAnsiTheme="minorHAnsi" w:cstheme="minorHAnsi"/>
                <w:color w:val="FFFFFF" w:themeColor="background1"/>
                <w:sz w:val="16"/>
                <w:szCs w:val="16"/>
              </w:rPr>
              <w:t>claimants</w:t>
            </w:r>
            <w:r w:rsidR="006F4B21" w:rsidRPr="0005334C">
              <w:rPr>
                <w:rFonts w:asciiTheme="minorHAnsi" w:hAnsiTheme="minorHAnsi" w:cstheme="minorHAnsi"/>
                <w:color w:val="FFFFFF" w:themeColor="background1"/>
                <w:sz w:val="16"/>
                <w:szCs w:val="16"/>
              </w:rPr>
              <w:t xml:space="preserve"> </w:t>
            </w:r>
            <w:r w:rsidRPr="0005334C">
              <w:rPr>
                <w:rFonts w:asciiTheme="minorHAnsi" w:hAnsiTheme="minorHAnsi" w:cstheme="minorHAnsi"/>
                <w:color w:val="FFFFFF" w:themeColor="background1"/>
                <w:sz w:val="16"/>
                <w:szCs w:val="16"/>
              </w:rPr>
              <w:t xml:space="preserve">in the scheme at 1 July 2014 </w:t>
            </w:r>
          </w:p>
        </w:tc>
        <w:tc>
          <w:tcPr>
            <w:tcW w:w="2067" w:type="dxa"/>
            <w:tcBorders>
              <w:top w:val="single" w:sz="8" w:space="0" w:color="FFFFFF" w:themeColor="background2"/>
              <w:left w:val="single" w:sz="8" w:space="0" w:color="FFFFFF" w:themeColor="background2"/>
              <w:right w:val="single" w:sz="8" w:space="0" w:color="FFFFFF" w:themeColor="background2"/>
            </w:tcBorders>
            <w:shd w:val="clear" w:color="auto" w:fill="E06161" w:themeFill="text2" w:themeFillTint="99"/>
            <w:vAlign w:val="center"/>
          </w:tcPr>
          <w:p w:rsidR="003C4034" w:rsidRPr="0005334C" w:rsidRDefault="003C4034" w:rsidP="0046379B">
            <w:pPr>
              <w:pStyle w:val="TableColumnHeading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16"/>
                <w:szCs w:val="16"/>
              </w:rPr>
            </w:pPr>
            <w:r w:rsidRPr="0005334C">
              <w:rPr>
                <w:rFonts w:asciiTheme="minorHAnsi" w:hAnsiTheme="minorHAnsi" w:cstheme="minorHAnsi"/>
                <w:color w:val="FFFFFF" w:themeColor="background1"/>
                <w:sz w:val="16"/>
                <w:szCs w:val="16"/>
              </w:rPr>
              <w:t xml:space="preserve">Future </w:t>
            </w:r>
            <w:r w:rsidR="009E302C">
              <w:rPr>
                <w:rFonts w:asciiTheme="minorHAnsi" w:hAnsiTheme="minorHAnsi" w:cstheme="minorHAnsi"/>
                <w:color w:val="FFFFFF" w:themeColor="background1"/>
                <w:sz w:val="16"/>
                <w:szCs w:val="16"/>
              </w:rPr>
              <w:t>accidents</w:t>
            </w:r>
            <w:r w:rsidR="009E302C" w:rsidRPr="0005334C">
              <w:rPr>
                <w:rFonts w:asciiTheme="minorHAnsi" w:hAnsiTheme="minorHAnsi" w:cstheme="minorHAnsi"/>
                <w:color w:val="FFFFFF" w:themeColor="background1"/>
                <w:sz w:val="16"/>
                <w:szCs w:val="16"/>
              </w:rPr>
              <w:t xml:space="preserve"> </w:t>
            </w:r>
            <w:r w:rsidRPr="0005334C">
              <w:rPr>
                <w:rFonts w:asciiTheme="minorHAnsi" w:hAnsiTheme="minorHAnsi" w:cstheme="minorHAnsi"/>
                <w:color w:val="FFFFFF" w:themeColor="background1"/>
                <w:sz w:val="16"/>
                <w:szCs w:val="16"/>
              </w:rPr>
              <w:t>from 1 July 2014 (over 10 years)</w:t>
            </w:r>
          </w:p>
        </w:tc>
        <w:tc>
          <w:tcPr>
            <w:tcW w:w="2067" w:type="dxa"/>
            <w:tcBorders>
              <w:top w:val="single" w:sz="8" w:space="0" w:color="FFFFFF" w:themeColor="background2"/>
              <w:left w:val="single" w:sz="8" w:space="0" w:color="FFFFFF" w:themeColor="background2"/>
            </w:tcBorders>
            <w:shd w:val="clear" w:color="auto" w:fill="E06161" w:themeFill="text2" w:themeFillTint="99"/>
            <w:vAlign w:val="center"/>
          </w:tcPr>
          <w:p w:rsidR="003C4034" w:rsidRPr="0005334C" w:rsidRDefault="003C4034" w:rsidP="0046379B">
            <w:pPr>
              <w:pStyle w:val="TableColumnHeading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16"/>
                <w:szCs w:val="16"/>
              </w:rPr>
            </w:pPr>
            <w:r w:rsidRPr="0005334C">
              <w:rPr>
                <w:rFonts w:asciiTheme="minorHAnsi" w:hAnsiTheme="minorHAnsi" w:cstheme="minorHAnsi"/>
                <w:color w:val="FFFFFF" w:themeColor="background1"/>
                <w:sz w:val="16"/>
                <w:szCs w:val="16"/>
              </w:rPr>
              <w:t>Total</w:t>
            </w:r>
          </w:p>
        </w:tc>
      </w:tr>
      <w:tr w:rsidR="003C4034" w:rsidRPr="00B214B1" w:rsidTr="00C5533D">
        <w:trPr>
          <w:trHeight w:val="403"/>
        </w:trPr>
        <w:tc>
          <w:tcPr>
            <w:cnfStyle w:val="001000000000" w:firstRow="0" w:lastRow="0" w:firstColumn="1" w:lastColumn="0" w:oddVBand="0" w:evenVBand="0" w:oddHBand="0" w:evenHBand="0" w:firstRowFirstColumn="0" w:firstRowLastColumn="0" w:lastRowFirstColumn="0" w:lastRowLastColumn="0"/>
            <w:tcW w:w="2064" w:type="dxa"/>
            <w:tcBorders>
              <w:top w:val="single" w:sz="8" w:space="0" w:color="A32020" w:themeColor="accent1"/>
              <w:left w:val="single" w:sz="8" w:space="0" w:color="A32020" w:themeColor="accent1"/>
              <w:bottom w:val="single" w:sz="8" w:space="0" w:color="A32020" w:themeColor="accent1"/>
            </w:tcBorders>
            <w:shd w:val="clear" w:color="auto" w:fill="E06161" w:themeFill="text2" w:themeFillTint="99"/>
          </w:tcPr>
          <w:p w:rsidR="003C4034" w:rsidRPr="0005334C" w:rsidRDefault="00346925" w:rsidP="00C5533D">
            <w:pPr>
              <w:pStyle w:val="TableTextNormal"/>
              <w:rPr>
                <w:rFonts w:asciiTheme="minorHAnsi" w:hAnsiTheme="minorHAnsi" w:cstheme="minorHAnsi"/>
                <w:color w:val="FFFFFF" w:themeColor="background1"/>
                <w:sz w:val="16"/>
                <w:szCs w:val="16"/>
              </w:rPr>
            </w:pPr>
            <w:r w:rsidRPr="0005334C">
              <w:rPr>
                <w:rFonts w:asciiTheme="minorHAnsi" w:hAnsiTheme="minorHAnsi" w:cstheme="minorHAnsi"/>
                <w:color w:val="FFFFFF" w:themeColor="background1"/>
                <w:sz w:val="16"/>
                <w:szCs w:val="16"/>
              </w:rPr>
              <w:t>Multiple spinal fracture</w:t>
            </w:r>
            <w:r w:rsidR="003C4034" w:rsidRPr="0005334C">
              <w:rPr>
                <w:rFonts w:asciiTheme="minorHAnsi" w:hAnsiTheme="minorHAnsi" w:cstheme="minorHAnsi"/>
                <w:color w:val="FFFFFF" w:themeColor="background1"/>
                <w:sz w:val="16"/>
                <w:szCs w:val="16"/>
              </w:rPr>
              <w:t xml:space="preserve"> cases</w:t>
            </w:r>
          </w:p>
        </w:tc>
        <w:tc>
          <w:tcPr>
            <w:tcW w:w="2065" w:type="dxa"/>
          </w:tcPr>
          <w:p w:rsidR="003C4034" w:rsidRPr="0005334C" w:rsidRDefault="003C4034" w:rsidP="00C5533D">
            <w:pPr>
              <w:pStyle w:val="TableText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05334C">
              <w:rPr>
                <w:rFonts w:asciiTheme="minorHAnsi" w:hAnsiTheme="minorHAnsi" w:cstheme="minorHAnsi"/>
                <w:sz w:val="16"/>
                <w:szCs w:val="16"/>
              </w:rPr>
              <w:t>725 (31%)</w:t>
            </w:r>
          </w:p>
        </w:tc>
        <w:tc>
          <w:tcPr>
            <w:tcW w:w="2067" w:type="dxa"/>
          </w:tcPr>
          <w:p w:rsidR="003C4034" w:rsidRPr="0005334C" w:rsidRDefault="003C4034" w:rsidP="00C5533D">
            <w:pPr>
              <w:pStyle w:val="TableText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05334C">
              <w:rPr>
                <w:rFonts w:asciiTheme="minorHAnsi" w:hAnsiTheme="minorHAnsi" w:cstheme="minorHAnsi"/>
                <w:sz w:val="16"/>
                <w:szCs w:val="16"/>
              </w:rPr>
              <w:t>1,590 (69%)</w:t>
            </w:r>
          </w:p>
        </w:tc>
        <w:tc>
          <w:tcPr>
            <w:tcW w:w="2067" w:type="dxa"/>
          </w:tcPr>
          <w:p w:rsidR="003C4034" w:rsidRPr="0005334C" w:rsidRDefault="003C4034" w:rsidP="00C5533D">
            <w:pPr>
              <w:pStyle w:val="TableText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05334C">
              <w:rPr>
                <w:rFonts w:asciiTheme="minorHAnsi" w:hAnsiTheme="minorHAnsi" w:cstheme="minorHAnsi"/>
                <w:b/>
                <w:sz w:val="16"/>
                <w:szCs w:val="16"/>
              </w:rPr>
              <w:t>2,315 (100%)</w:t>
            </w:r>
          </w:p>
        </w:tc>
      </w:tr>
      <w:tr w:rsidR="003C4034" w:rsidRPr="00B214B1" w:rsidTr="00C5533D">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064" w:type="dxa"/>
            <w:shd w:val="clear" w:color="auto" w:fill="E06161" w:themeFill="text2" w:themeFillTint="99"/>
          </w:tcPr>
          <w:p w:rsidR="003C4034" w:rsidRPr="0005334C" w:rsidRDefault="003C4034" w:rsidP="00C5533D">
            <w:pPr>
              <w:pStyle w:val="TableTextNormal"/>
              <w:rPr>
                <w:rFonts w:asciiTheme="minorHAnsi" w:hAnsiTheme="minorHAnsi" w:cstheme="minorHAnsi"/>
                <w:color w:val="FFFFFF" w:themeColor="background1"/>
                <w:sz w:val="16"/>
                <w:szCs w:val="16"/>
              </w:rPr>
            </w:pPr>
            <w:r w:rsidRPr="0005334C">
              <w:rPr>
                <w:rFonts w:asciiTheme="minorHAnsi" w:hAnsiTheme="minorHAnsi" w:cstheme="minorHAnsi"/>
                <w:color w:val="FFFFFF" w:themeColor="background1"/>
                <w:sz w:val="16"/>
                <w:szCs w:val="16"/>
              </w:rPr>
              <w:t>All other cases</w:t>
            </w:r>
          </w:p>
        </w:tc>
        <w:tc>
          <w:tcPr>
            <w:tcW w:w="2065" w:type="dxa"/>
            <w:shd w:val="clear" w:color="auto" w:fill="F4CACA" w:themeFill="text2" w:themeFillTint="33"/>
          </w:tcPr>
          <w:p w:rsidR="003C4034" w:rsidRPr="0005334C" w:rsidRDefault="003C4034" w:rsidP="00C5533D">
            <w:pPr>
              <w:pStyle w:val="TableText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05334C">
              <w:rPr>
                <w:rFonts w:asciiTheme="minorHAnsi" w:hAnsiTheme="minorHAnsi" w:cstheme="minorHAnsi"/>
                <w:sz w:val="16"/>
                <w:szCs w:val="16"/>
              </w:rPr>
              <w:t>6,115 (31%)</w:t>
            </w:r>
          </w:p>
        </w:tc>
        <w:tc>
          <w:tcPr>
            <w:tcW w:w="2067" w:type="dxa"/>
            <w:shd w:val="clear" w:color="auto" w:fill="F4CACA" w:themeFill="text2" w:themeFillTint="33"/>
          </w:tcPr>
          <w:p w:rsidR="003C4034" w:rsidRPr="0005334C" w:rsidRDefault="003C4034" w:rsidP="00C5533D">
            <w:pPr>
              <w:pStyle w:val="TableText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05334C">
              <w:rPr>
                <w:rFonts w:asciiTheme="minorHAnsi" w:hAnsiTheme="minorHAnsi" w:cstheme="minorHAnsi"/>
                <w:sz w:val="16"/>
                <w:szCs w:val="16"/>
              </w:rPr>
              <w:t>13,410 (69%)</w:t>
            </w:r>
          </w:p>
        </w:tc>
        <w:tc>
          <w:tcPr>
            <w:tcW w:w="2067" w:type="dxa"/>
            <w:shd w:val="clear" w:color="auto" w:fill="F4CACA" w:themeFill="text2" w:themeFillTint="33"/>
          </w:tcPr>
          <w:p w:rsidR="003C4034" w:rsidRPr="0005334C" w:rsidRDefault="003C4034" w:rsidP="00C5533D">
            <w:pPr>
              <w:pStyle w:val="TableText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r w:rsidRPr="0005334C">
              <w:rPr>
                <w:rFonts w:asciiTheme="minorHAnsi" w:hAnsiTheme="minorHAnsi" w:cstheme="minorHAnsi"/>
                <w:b/>
                <w:sz w:val="16"/>
                <w:szCs w:val="16"/>
              </w:rPr>
              <w:t>19,525 (100%)</w:t>
            </w:r>
          </w:p>
        </w:tc>
      </w:tr>
      <w:tr w:rsidR="003C4034" w:rsidRPr="00B214B1" w:rsidTr="00C5533D">
        <w:trPr>
          <w:trHeight w:val="403"/>
        </w:trPr>
        <w:tc>
          <w:tcPr>
            <w:cnfStyle w:val="001000000000" w:firstRow="0" w:lastRow="0" w:firstColumn="1" w:lastColumn="0" w:oddVBand="0" w:evenVBand="0" w:oddHBand="0" w:evenHBand="0" w:firstRowFirstColumn="0" w:firstRowLastColumn="0" w:lastRowFirstColumn="0" w:lastRowLastColumn="0"/>
            <w:tcW w:w="2064" w:type="dxa"/>
            <w:shd w:val="clear" w:color="auto" w:fill="E06161" w:themeFill="text2" w:themeFillTint="99"/>
          </w:tcPr>
          <w:p w:rsidR="003C4034" w:rsidRPr="0005334C" w:rsidRDefault="003C4034" w:rsidP="00C5533D">
            <w:pPr>
              <w:pStyle w:val="TableTextNormal"/>
              <w:rPr>
                <w:rFonts w:asciiTheme="minorHAnsi" w:hAnsiTheme="minorHAnsi" w:cstheme="minorHAnsi"/>
                <w:color w:val="FFFFFF" w:themeColor="background1"/>
                <w:sz w:val="16"/>
                <w:szCs w:val="16"/>
              </w:rPr>
            </w:pPr>
            <w:r w:rsidRPr="0005334C">
              <w:rPr>
                <w:rFonts w:asciiTheme="minorHAnsi" w:hAnsiTheme="minorHAnsi" w:cstheme="minorHAnsi"/>
                <w:color w:val="FFFFFF" w:themeColor="background1"/>
                <w:sz w:val="16"/>
                <w:szCs w:val="16"/>
              </w:rPr>
              <w:t>Total</w:t>
            </w:r>
          </w:p>
        </w:tc>
        <w:tc>
          <w:tcPr>
            <w:tcW w:w="2065" w:type="dxa"/>
          </w:tcPr>
          <w:p w:rsidR="003C4034" w:rsidRPr="0005334C" w:rsidRDefault="003C4034" w:rsidP="00C5533D">
            <w:pPr>
              <w:pStyle w:val="TableText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05334C">
              <w:rPr>
                <w:rFonts w:asciiTheme="minorHAnsi" w:hAnsiTheme="minorHAnsi" w:cstheme="minorHAnsi"/>
                <w:b/>
                <w:sz w:val="16"/>
                <w:szCs w:val="16"/>
              </w:rPr>
              <w:t>6,840</w:t>
            </w:r>
          </w:p>
        </w:tc>
        <w:tc>
          <w:tcPr>
            <w:tcW w:w="2067" w:type="dxa"/>
          </w:tcPr>
          <w:p w:rsidR="003C4034" w:rsidRPr="0005334C" w:rsidRDefault="003C4034" w:rsidP="00C5533D">
            <w:pPr>
              <w:pStyle w:val="TableText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05334C">
              <w:rPr>
                <w:rFonts w:asciiTheme="minorHAnsi" w:hAnsiTheme="minorHAnsi" w:cstheme="minorHAnsi"/>
                <w:b/>
                <w:sz w:val="16"/>
                <w:szCs w:val="16"/>
              </w:rPr>
              <w:t>15,000</w:t>
            </w:r>
          </w:p>
        </w:tc>
        <w:tc>
          <w:tcPr>
            <w:tcW w:w="2067" w:type="dxa"/>
          </w:tcPr>
          <w:p w:rsidR="003C4034" w:rsidRPr="0005334C" w:rsidRDefault="003C4034" w:rsidP="00C5533D">
            <w:pPr>
              <w:pStyle w:val="TableText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05334C">
              <w:rPr>
                <w:rFonts w:asciiTheme="minorHAnsi" w:hAnsiTheme="minorHAnsi" w:cstheme="minorHAnsi"/>
                <w:b/>
                <w:sz w:val="16"/>
                <w:szCs w:val="16"/>
              </w:rPr>
              <w:t>21,840</w:t>
            </w:r>
          </w:p>
        </w:tc>
      </w:tr>
    </w:tbl>
    <w:p w:rsidR="00250FB3" w:rsidRDefault="00250FB3" w:rsidP="0005334C">
      <w:pPr>
        <w:pStyle w:val="Sources"/>
      </w:pPr>
      <w:r>
        <w:t>Sources: TAC data and PwC analysis as described below.</w:t>
      </w:r>
    </w:p>
    <w:p w:rsidR="00B76AC8" w:rsidRPr="00BB1E68" w:rsidRDefault="00B76AC8" w:rsidP="0005334C">
      <w:pPr>
        <w:pStyle w:val="PwCNormal"/>
        <w:numPr>
          <w:ilvl w:val="0"/>
          <w:numId w:val="0"/>
        </w:numPr>
        <w:rPr>
          <w:b/>
          <w:i/>
          <w:highlight w:val="yellow"/>
        </w:rPr>
      </w:pPr>
      <w:r>
        <w:t xml:space="preserve">This </w:t>
      </w:r>
      <w:r w:rsidR="0064275C">
        <w:t xml:space="preserve">implementation </w:t>
      </w:r>
      <w:r>
        <w:t xml:space="preserve">option will hence impact </w:t>
      </w:r>
      <w:r w:rsidR="003D7F56">
        <w:t>80</w:t>
      </w:r>
      <w:r>
        <w:t xml:space="preserve"> per cent</w:t>
      </w:r>
      <w:r w:rsidR="003D7F56">
        <w:rPr>
          <w:rStyle w:val="FootnoteReference"/>
        </w:rPr>
        <w:footnoteReference w:id="57"/>
      </w:r>
      <w:r>
        <w:t xml:space="preserve"> of the claimants in the scheme as at 1 </w:t>
      </w:r>
      <w:r w:rsidR="007A1815">
        <w:t xml:space="preserve">July </w:t>
      </w:r>
      <w:r>
        <w:t xml:space="preserve">2014 less the six months’ worth of claimants who will be assessed between 1 July 2014 and </w:t>
      </w:r>
      <w:r w:rsidR="00437F9A">
        <w:t>31 December 2014</w:t>
      </w:r>
      <w:r>
        <w:t xml:space="preserve">. </w:t>
      </w:r>
      <w:r w:rsidR="00F31152">
        <w:t xml:space="preserve">This totals </w:t>
      </w:r>
      <w:r w:rsidR="00175DB8">
        <w:t xml:space="preserve">to a retrospective impact of </w:t>
      </w:r>
      <w:r w:rsidR="003D7F56">
        <w:t>516</w:t>
      </w:r>
      <w:r w:rsidR="00F31152">
        <w:t xml:space="preserve"> claimants.</w:t>
      </w:r>
      <w:r w:rsidR="00F31152">
        <w:rPr>
          <w:rStyle w:val="FootnoteReference"/>
        </w:rPr>
        <w:footnoteReference w:id="58"/>
      </w:r>
      <w:r w:rsidR="00F31152">
        <w:t xml:space="preserve"> </w:t>
      </w:r>
      <w:r>
        <w:t xml:space="preserve">The total claimants </w:t>
      </w:r>
      <w:r w:rsidR="00467512">
        <w:t>directly</w:t>
      </w:r>
      <w:r>
        <w:t xml:space="preserve"> impacted</w:t>
      </w:r>
      <w:r w:rsidR="00F31152">
        <w:t xml:space="preserve"> is therefore</w:t>
      </w:r>
      <w:r>
        <w:t xml:space="preserve"> 1,</w:t>
      </w:r>
      <w:r w:rsidR="00FB1FB5">
        <w:t>788</w:t>
      </w:r>
      <w:r>
        <w:rPr>
          <w:rStyle w:val="FootnoteReference"/>
        </w:rPr>
        <w:footnoteReference w:id="59"/>
      </w:r>
      <w:r w:rsidR="00175DB8">
        <w:t xml:space="preserve"> (horizontal equity impact)</w:t>
      </w:r>
      <w:r w:rsidR="009D04F0">
        <w:t>, representing 77 per cent</w:t>
      </w:r>
      <w:r w:rsidR="009D04F0">
        <w:rPr>
          <w:rStyle w:val="FootnoteReference"/>
        </w:rPr>
        <w:footnoteReference w:id="60"/>
      </w:r>
      <w:r w:rsidR="009D04F0">
        <w:t xml:space="preserve"> of the current and future multiple spinal fracture claimants in the scheme (over the next ten years).</w:t>
      </w:r>
    </w:p>
    <w:p w:rsidR="00BE599E" w:rsidRPr="00BB1E68" w:rsidRDefault="00C52B22" w:rsidP="0005334C">
      <w:pPr>
        <w:pStyle w:val="PwCNormal"/>
        <w:rPr>
          <w:b/>
          <w:i/>
          <w:highlight w:val="yellow"/>
        </w:rPr>
      </w:pPr>
      <w:r>
        <w:t>More broadly however, all claimants with other cases would be placed on a more equitable footing. That is, there is an indirect vertical equity benefit for all other cases (1</w:t>
      </w:r>
      <w:r w:rsidR="00FA287B">
        <w:t>8</w:t>
      </w:r>
      <w:r>
        <w:t>,</w:t>
      </w:r>
      <w:r w:rsidR="00FA287B">
        <w:t>184</w:t>
      </w:r>
      <w:r w:rsidR="00FA287B">
        <w:rPr>
          <w:rStyle w:val="FootnoteReference"/>
        </w:rPr>
        <w:footnoteReference w:id="61"/>
      </w:r>
      <w:r>
        <w:t xml:space="preserve">) whereby even though their own </w:t>
      </w:r>
      <w:r w:rsidR="00F132BF">
        <w:t xml:space="preserve">compensation </w:t>
      </w:r>
      <w:r>
        <w:t xml:space="preserve">amount will not change, they will receive a more equitable </w:t>
      </w:r>
      <w:r w:rsidR="0065539C">
        <w:t xml:space="preserve">outcome </w:t>
      </w:r>
      <w:r>
        <w:t>(in a relative sense when compared to post</w:t>
      </w:r>
      <w:r w:rsidR="004A3ABF">
        <w:t>-</w:t>
      </w:r>
      <w:r>
        <w:t>Serwylo cases)</w:t>
      </w:r>
      <w:r w:rsidR="00BE599E">
        <w:t>.</w:t>
      </w:r>
    </w:p>
    <w:p w:rsidR="00E724F6" w:rsidRDefault="000F5B03" w:rsidP="001E49D4">
      <w:pPr>
        <w:pStyle w:val="StyleHeading7After12pt"/>
      </w:pPr>
      <w:r>
        <w:lastRenderedPageBreak/>
        <w:t>Implementation c</w:t>
      </w:r>
      <w:r w:rsidR="0098018E">
        <w:t>osts</w:t>
      </w:r>
    </w:p>
    <w:p w:rsidR="00685932" w:rsidRDefault="0098018E" w:rsidP="0098018E">
      <w:pPr>
        <w:pStyle w:val="PwCNormal"/>
        <w:numPr>
          <w:ilvl w:val="0"/>
          <w:numId w:val="0"/>
        </w:numPr>
      </w:pPr>
      <w:r>
        <w:t xml:space="preserve">The </w:t>
      </w:r>
      <w:r w:rsidR="00685932">
        <w:t xml:space="preserve">implementation costs for </w:t>
      </w:r>
      <w:r w:rsidR="0064275C">
        <w:t xml:space="preserve">Implementation </w:t>
      </w:r>
      <w:r w:rsidR="00685932">
        <w:t xml:space="preserve">Option 2 will be identical to that of </w:t>
      </w:r>
      <w:r w:rsidR="0064275C">
        <w:t xml:space="preserve">Implementation </w:t>
      </w:r>
      <w:r w:rsidR="00685932">
        <w:t>Option 1, as they are one</w:t>
      </w:r>
      <w:r w:rsidR="004A3ABF">
        <w:t>-</w:t>
      </w:r>
      <w:r w:rsidR="00685932">
        <w:t>off fixed costs ($</w:t>
      </w:r>
      <w:r w:rsidR="005E1BB9">
        <w:t>51,320</w:t>
      </w:r>
      <w:r w:rsidR="00685932">
        <w:t>).</w:t>
      </w:r>
      <w:r w:rsidR="00B026F3">
        <w:t xml:space="preserve"> As training would occur at a similar time as in </w:t>
      </w:r>
      <w:r w:rsidR="0064275C">
        <w:t xml:space="preserve">Implementation </w:t>
      </w:r>
      <w:r w:rsidR="00B026F3">
        <w:t>Option 1, no discounting has been applied to this figure.</w:t>
      </w:r>
    </w:p>
    <w:p w:rsidR="0098018E" w:rsidRDefault="0098018E" w:rsidP="00E16112">
      <w:pPr>
        <w:pStyle w:val="StyleHeading7After12pt"/>
      </w:pPr>
      <w:r>
        <w:t xml:space="preserve">Transitional </w:t>
      </w:r>
      <w:r w:rsidR="00300EAC">
        <w:t>issues</w:t>
      </w:r>
    </w:p>
    <w:p w:rsidR="0098018E" w:rsidRPr="005331C0" w:rsidRDefault="00332992" w:rsidP="0098018E">
      <w:pPr>
        <w:pStyle w:val="PwCNormal"/>
        <w:rPr>
          <w:i/>
          <w:color w:val="A32020" w:themeColor="text2"/>
        </w:rPr>
      </w:pPr>
      <w:r w:rsidRPr="0023735F">
        <w:rPr>
          <w:i/>
          <w:color w:val="A32020" w:themeColor="text2"/>
        </w:rPr>
        <w:t xml:space="preserve">Change in </w:t>
      </w:r>
      <w:r>
        <w:rPr>
          <w:i/>
          <w:color w:val="A32020" w:themeColor="text2"/>
        </w:rPr>
        <w:t>entitlements of existing claimants</w:t>
      </w:r>
    </w:p>
    <w:p w:rsidR="00735D46" w:rsidRPr="006D6344" w:rsidRDefault="00466338" w:rsidP="00466338">
      <w:pPr>
        <w:pStyle w:val="PwCNormal"/>
        <w:numPr>
          <w:ilvl w:val="0"/>
          <w:numId w:val="0"/>
        </w:numPr>
      </w:pPr>
      <w:r>
        <w:t>A</w:t>
      </w:r>
      <w:r w:rsidR="00C95773">
        <w:t xml:space="preserve">pplying </w:t>
      </w:r>
      <w:r>
        <w:t>policies</w:t>
      </w:r>
      <w:r w:rsidR="00C95773">
        <w:t xml:space="preserve"> retrospectively</w:t>
      </w:r>
      <w:r>
        <w:t xml:space="preserve"> can a</w:t>
      </w:r>
      <w:r w:rsidR="00C95773">
        <w:t xml:space="preserve">lter existing </w:t>
      </w:r>
      <w:r w:rsidR="00EF2037">
        <w:t xml:space="preserve">and potential </w:t>
      </w:r>
      <w:r w:rsidR="00C95773">
        <w:t xml:space="preserve">entitlements. </w:t>
      </w:r>
      <w:r w:rsidR="0098018E">
        <w:t xml:space="preserve">Under this </w:t>
      </w:r>
      <w:r w:rsidR="0064275C">
        <w:t xml:space="preserve">implementation </w:t>
      </w:r>
      <w:r w:rsidR="0098018E">
        <w:t xml:space="preserve">option, </w:t>
      </w:r>
      <w:r w:rsidR="00626E08">
        <w:t xml:space="preserve">a proportion of </w:t>
      </w:r>
      <w:r w:rsidR="0098018E">
        <w:t xml:space="preserve">claimants </w:t>
      </w:r>
      <w:r w:rsidR="002A4275">
        <w:t xml:space="preserve">(with multiple spinal fractures without structural compromise) </w:t>
      </w:r>
      <w:r w:rsidR="00626E08">
        <w:t xml:space="preserve">whose accident occurred prior to </w:t>
      </w:r>
      <w:r w:rsidR="009357CE">
        <w:t xml:space="preserve">the expected release date of </w:t>
      </w:r>
      <w:r w:rsidR="0098018E">
        <w:t>1 July 2014 may be disadvantaged</w:t>
      </w:r>
      <w:r w:rsidR="004A3ABF">
        <w:t>,</w:t>
      </w:r>
      <w:r w:rsidR="0098018E">
        <w:t xml:space="preserve"> i</w:t>
      </w:r>
      <w:r w:rsidR="002A4275">
        <w:t xml:space="preserve">n that their </w:t>
      </w:r>
      <w:r w:rsidR="00D151B7">
        <w:t xml:space="preserve">potential </w:t>
      </w:r>
      <w:r w:rsidR="002A4275">
        <w:t xml:space="preserve">compensation entitlements </w:t>
      </w:r>
      <w:r w:rsidR="00290883">
        <w:t xml:space="preserve">may </w:t>
      </w:r>
      <w:r w:rsidR="002A4275">
        <w:t xml:space="preserve">have changed as a result of the </w:t>
      </w:r>
      <w:r w:rsidR="002C10B0">
        <w:t>GMD</w:t>
      </w:r>
      <w:r w:rsidR="002A4275">
        <w:t xml:space="preserve">. Specifically, these claimants </w:t>
      </w:r>
      <w:r w:rsidR="00D151B7">
        <w:t xml:space="preserve">had a potential entitlement </w:t>
      </w:r>
      <w:r w:rsidR="002A4275">
        <w:t>to higher compensation prior to the change</w:t>
      </w:r>
      <w:r>
        <w:t xml:space="preserve"> and they may have planned around the expectation that they would receive that higher compensation</w:t>
      </w:r>
      <w:r w:rsidR="002A4275">
        <w:t>.</w:t>
      </w:r>
      <w:r w:rsidR="0000119F">
        <w:rPr>
          <w:rStyle w:val="FootnoteReference"/>
        </w:rPr>
        <w:footnoteReference w:id="62"/>
      </w:r>
      <w:r w:rsidR="00947130">
        <w:t xml:space="preserve"> </w:t>
      </w:r>
      <w:r>
        <w:t>T</w:t>
      </w:r>
      <w:r w:rsidRPr="00466338">
        <w:t>he</w:t>
      </w:r>
      <w:r>
        <w:t xml:space="preserve">re would be </w:t>
      </w:r>
      <w:r w:rsidR="00704F21">
        <w:t>516</w:t>
      </w:r>
      <w:r>
        <w:t xml:space="preserve"> existing claimants whose entitlements would change under</w:t>
      </w:r>
      <w:r w:rsidRPr="00466338">
        <w:t xml:space="preserve"> </w:t>
      </w:r>
      <w:r w:rsidR="0064275C">
        <w:t>Implementation</w:t>
      </w:r>
      <w:r w:rsidR="0064275C" w:rsidRPr="00466338">
        <w:t xml:space="preserve"> </w:t>
      </w:r>
      <w:r w:rsidRPr="00466338">
        <w:t>Option 2</w:t>
      </w:r>
      <w:r>
        <w:t>.</w:t>
      </w:r>
      <w:r w:rsidR="008D6739">
        <w:rPr>
          <w:rStyle w:val="FootnoteReference"/>
        </w:rPr>
        <w:footnoteReference w:id="63"/>
      </w:r>
    </w:p>
    <w:p w:rsidR="00735D46" w:rsidRPr="006D6344" w:rsidRDefault="00735D46" w:rsidP="00735D46">
      <w:pPr>
        <w:pStyle w:val="PwCNormal"/>
        <w:rPr>
          <w:i/>
          <w:color w:val="A32020" w:themeColor="text2"/>
        </w:rPr>
      </w:pPr>
      <w:r w:rsidRPr="006D6344">
        <w:rPr>
          <w:i/>
          <w:color w:val="A32020" w:themeColor="text2"/>
        </w:rPr>
        <w:t>Change in behaviour</w:t>
      </w:r>
    </w:p>
    <w:p w:rsidR="00735D46" w:rsidRPr="006D6344" w:rsidRDefault="00C95773" w:rsidP="00735D46">
      <w:pPr>
        <w:pStyle w:val="PwCNormal"/>
        <w:numPr>
          <w:ilvl w:val="0"/>
          <w:numId w:val="0"/>
        </w:numPr>
      </w:pPr>
      <w:r>
        <w:t xml:space="preserve">The retrospective application of policies </w:t>
      </w:r>
      <w:r w:rsidR="00466338">
        <w:t>may also</w:t>
      </w:r>
      <w:r>
        <w:t xml:space="preserve"> </w:t>
      </w:r>
      <w:r w:rsidR="00466338">
        <w:t>a</w:t>
      </w:r>
      <w:r>
        <w:t xml:space="preserve">lter the behaviour of individuals to speed up or slow down cases if sufficient incentive is created. </w:t>
      </w:r>
      <w:r w:rsidR="00735D46" w:rsidRPr="006D6344">
        <w:t xml:space="preserve">As </w:t>
      </w:r>
      <w:r w:rsidR="0064275C">
        <w:t xml:space="preserve">Implementation </w:t>
      </w:r>
      <w:r>
        <w:t>Option 2</w:t>
      </w:r>
      <w:r w:rsidR="00735D46" w:rsidRPr="006D6344">
        <w:t xml:space="preserve"> involves a future assessment date, it </w:t>
      </w:r>
      <w:r w:rsidR="00566D61">
        <w:t>may</w:t>
      </w:r>
      <w:r w:rsidR="00735D46" w:rsidRPr="006D6344">
        <w:t xml:space="preserve"> create incentives to seek means of obtaining their impairment assessments earlier than scheduled if they are </w:t>
      </w:r>
      <w:r w:rsidR="00AD137F">
        <w:t xml:space="preserve">likely to be rated at a higher WPI </w:t>
      </w:r>
      <w:r w:rsidR="00936C24">
        <w:t xml:space="preserve">score </w:t>
      </w:r>
      <w:r w:rsidR="00AD137F">
        <w:t>using the current method of assessment</w:t>
      </w:r>
      <w:r w:rsidR="00735D46" w:rsidRPr="006D6344">
        <w:t xml:space="preserve">. For example, a claimant </w:t>
      </w:r>
      <w:r w:rsidR="00EF2037">
        <w:t xml:space="preserve">with </w:t>
      </w:r>
      <w:r w:rsidR="00EF2037" w:rsidRPr="004835BF">
        <w:t>microt</w:t>
      </w:r>
      <w:r w:rsidR="00B50C09">
        <w:t>r</w:t>
      </w:r>
      <w:r w:rsidR="00EF2037" w:rsidRPr="004835BF">
        <w:t>abecular fractures</w:t>
      </w:r>
      <w:r w:rsidR="00735D46" w:rsidRPr="006D6344">
        <w:t xml:space="preserve"> </w:t>
      </w:r>
      <w:r w:rsidR="00693579">
        <w:t xml:space="preserve">who </w:t>
      </w:r>
      <w:r w:rsidR="00735D46" w:rsidRPr="006D6344">
        <w:t xml:space="preserve">has an impairment assessment booked in January 2015 may attempt to bring forward the assessment </w:t>
      </w:r>
      <w:r w:rsidR="00566D61">
        <w:t>to December 2014. I</w:t>
      </w:r>
      <w:r w:rsidR="00735D46" w:rsidRPr="006D6344">
        <w:t xml:space="preserve">f claimants are not able to book in their assessments prior to 1 January 2015 due to long waiting lists, this could result in inequities between two persons whose injuries stabilise at the same time but receive assessments at either side of the threshold. </w:t>
      </w:r>
    </w:p>
    <w:p w:rsidR="0098018E" w:rsidRDefault="00735D46" w:rsidP="00466338">
      <w:pPr>
        <w:pStyle w:val="PwCNormal"/>
        <w:keepLines/>
        <w:numPr>
          <w:ilvl w:val="0"/>
          <w:numId w:val="0"/>
        </w:numPr>
      </w:pPr>
      <w:r w:rsidRPr="006D6344">
        <w:t xml:space="preserve">For the purpose of this analysis, we have assumed that only claimants within three months (up to </w:t>
      </w:r>
      <w:r w:rsidR="009357CE">
        <w:t>31 March</w:t>
      </w:r>
      <w:r w:rsidRPr="006D6344">
        <w:t xml:space="preserve"> 2015) of their assessment date would have stabilised enough to be able to move their assessment forward. </w:t>
      </w:r>
      <w:r w:rsidR="00466338">
        <w:t>Given the a</w:t>
      </w:r>
      <w:r w:rsidRPr="006D6344">
        <w:t xml:space="preserve">nnual number of claims </w:t>
      </w:r>
      <w:r w:rsidR="00534F7B">
        <w:t>affected by the GMD is</w:t>
      </w:r>
      <w:r w:rsidRPr="006D6344">
        <w:t xml:space="preserve"> 1</w:t>
      </w:r>
      <w:r w:rsidR="00704F21">
        <w:t>27</w:t>
      </w:r>
      <w:r w:rsidR="00466338">
        <w:t xml:space="preserve">, this suggests that </w:t>
      </w:r>
      <w:r w:rsidRPr="006D6344">
        <w:t>approximately 3</w:t>
      </w:r>
      <w:r w:rsidR="00ED79A4">
        <w:t>2</w:t>
      </w:r>
      <w:r w:rsidRPr="006D6344">
        <w:t xml:space="preserve"> people </w:t>
      </w:r>
      <w:r w:rsidR="0066659E">
        <w:t xml:space="preserve">could </w:t>
      </w:r>
      <w:r w:rsidR="00466338">
        <w:t>be</w:t>
      </w:r>
      <w:r w:rsidRPr="006D6344">
        <w:t xml:space="preserve"> affected.</w:t>
      </w:r>
      <w:r w:rsidR="00534F7B">
        <w:rPr>
          <w:rStyle w:val="FootnoteReference"/>
        </w:rPr>
        <w:footnoteReference w:id="64"/>
      </w:r>
    </w:p>
    <w:p w:rsidR="00995101" w:rsidRDefault="00995101" w:rsidP="00995101">
      <w:pPr>
        <w:pStyle w:val="StyleHeading7After12pt"/>
      </w:pPr>
      <w:r>
        <w:t>Other impacts</w:t>
      </w:r>
    </w:p>
    <w:p w:rsidR="00995101" w:rsidRPr="00995101" w:rsidRDefault="00995101" w:rsidP="00566D61">
      <w:pPr>
        <w:pStyle w:val="PwCNormal"/>
      </w:pPr>
      <w:r w:rsidRPr="00995101">
        <w:t xml:space="preserve">Other impacts will be identical to those outlined in </w:t>
      </w:r>
      <w:r w:rsidR="0064275C">
        <w:t>Implementation</w:t>
      </w:r>
      <w:r w:rsidR="0064275C" w:rsidRPr="00995101">
        <w:t xml:space="preserve"> </w:t>
      </w:r>
      <w:r w:rsidRPr="00995101">
        <w:t>Option 1, and do not explicitly factor into our quantitative analysis. Refe</w:t>
      </w:r>
      <w:r w:rsidRPr="00B64307">
        <w:t xml:space="preserve">r to section </w:t>
      </w:r>
      <w:r w:rsidR="0066659E">
        <w:fldChar w:fldCharType="begin"/>
      </w:r>
      <w:r w:rsidR="0066659E">
        <w:instrText xml:space="preserve"> REF _Ref391327358 \n \h </w:instrText>
      </w:r>
      <w:r w:rsidR="0066659E">
        <w:fldChar w:fldCharType="separate"/>
      </w:r>
      <w:r w:rsidR="00542564">
        <w:t>5.3</w:t>
      </w:r>
      <w:r w:rsidR="0066659E">
        <w:fldChar w:fldCharType="end"/>
      </w:r>
      <w:r w:rsidR="0066659E">
        <w:t>.2</w:t>
      </w:r>
      <w:r w:rsidRPr="00B64307">
        <w:t xml:space="preserve"> for further detail.</w:t>
      </w:r>
    </w:p>
    <w:p w:rsidR="00637F76" w:rsidRPr="00BB1E68" w:rsidRDefault="00CF534B" w:rsidP="001E49D4">
      <w:pPr>
        <w:pStyle w:val="StyleHeading7After12pt"/>
      </w:pPr>
      <w:r w:rsidRPr="006D6344">
        <w:t>Distributional impacts</w:t>
      </w:r>
    </w:p>
    <w:p w:rsidR="003A4A67" w:rsidRDefault="0064275C" w:rsidP="0098018E">
      <w:pPr>
        <w:pStyle w:val="PwCNormal"/>
        <w:numPr>
          <w:ilvl w:val="0"/>
          <w:numId w:val="0"/>
        </w:numPr>
      </w:pPr>
      <w:r>
        <w:t xml:space="preserve">Implementation </w:t>
      </w:r>
      <w:r w:rsidR="00637F76">
        <w:t xml:space="preserve">Option </w:t>
      </w:r>
      <w:r w:rsidR="00861A42">
        <w:t>2</w:t>
      </w:r>
      <w:r w:rsidR="009357CE">
        <w:t xml:space="preserve"> has a retrospective impact </w:t>
      </w:r>
      <w:r w:rsidR="00682F19">
        <w:t xml:space="preserve">in that it </w:t>
      </w:r>
      <w:r w:rsidR="003A4A67">
        <w:t xml:space="preserve">affects </w:t>
      </w:r>
      <w:r w:rsidR="00682F19">
        <w:t>a proportion of existing claimants. This</w:t>
      </w:r>
      <w:r w:rsidR="00637F76" w:rsidRPr="001A1B40">
        <w:t xml:space="preserve"> will result in a</w:t>
      </w:r>
      <w:r w:rsidR="00566D61">
        <w:t xml:space="preserve"> </w:t>
      </w:r>
      <w:r w:rsidR="00682F19">
        <w:t>li</w:t>
      </w:r>
      <w:r w:rsidR="00637F76" w:rsidRPr="001A1B40">
        <w:t>ability saving to</w:t>
      </w:r>
      <w:r w:rsidR="000604C5">
        <w:t xml:space="preserve"> the</w:t>
      </w:r>
      <w:r w:rsidR="00637F76" w:rsidRPr="001A1B40">
        <w:t xml:space="preserve"> TAC</w:t>
      </w:r>
      <w:r w:rsidR="007F7D55">
        <w:t xml:space="preserve">, </w:t>
      </w:r>
      <w:r w:rsidR="00637F76">
        <w:t>represent</w:t>
      </w:r>
      <w:r w:rsidR="007F7D55">
        <w:t>ing</w:t>
      </w:r>
      <w:r w:rsidR="00637F76">
        <w:t xml:space="preserve"> future income transferred away from </w:t>
      </w:r>
      <w:r w:rsidR="003A4A67">
        <w:t xml:space="preserve">existing </w:t>
      </w:r>
      <w:r w:rsidR="00637F76">
        <w:t xml:space="preserve">claimants (with multiple spinal fractures). </w:t>
      </w:r>
      <w:r w:rsidR="002A46B1">
        <w:t xml:space="preserve">The value of this </w:t>
      </w:r>
      <w:r w:rsidR="002A46B1">
        <w:lastRenderedPageBreak/>
        <w:t xml:space="preserve">reduction </w:t>
      </w:r>
      <w:r w:rsidR="00566D61">
        <w:t xml:space="preserve">is </w:t>
      </w:r>
      <w:r w:rsidR="008D6739">
        <w:t>estimated</w:t>
      </w:r>
      <w:r w:rsidR="002A46B1">
        <w:t xml:space="preserve"> </w:t>
      </w:r>
      <w:r w:rsidR="008D6739">
        <w:t xml:space="preserve">to be </w:t>
      </w:r>
      <w:r w:rsidR="002A46B1">
        <w:t>approximately $46 million</w:t>
      </w:r>
      <w:bookmarkStart w:id="57" w:name="_Ref391314686"/>
      <w:r w:rsidR="00453C5A">
        <w:t>,</w:t>
      </w:r>
      <w:r w:rsidR="00A36A05">
        <w:rPr>
          <w:rStyle w:val="FootnoteReference"/>
        </w:rPr>
        <w:footnoteReference w:id="65"/>
      </w:r>
      <w:bookmarkEnd w:id="57"/>
      <w:r w:rsidR="002A46B1">
        <w:t xml:space="preserve"> leaving a remaining liability of $21.</w:t>
      </w:r>
      <w:r w:rsidR="00AB2D86">
        <w:t>5</w:t>
      </w:r>
      <w:r w:rsidR="002A46B1">
        <w:t xml:space="preserve"> million</w:t>
      </w:r>
      <w:r w:rsidR="00566D61">
        <w:t>.</w:t>
      </w:r>
      <w:r w:rsidR="002A46B1">
        <w:rPr>
          <w:rStyle w:val="FootnoteReference"/>
        </w:rPr>
        <w:footnoteReference w:id="66"/>
      </w:r>
      <w:r w:rsidR="002A46B1">
        <w:t xml:space="preserve"> The $46 million represents the </w:t>
      </w:r>
      <w:r w:rsidR="00861A42">
        <w:t xml:space="preserve">potential compensation as at 1 July 2014 that </w:t>
      </w:r>
      <w:r w:rsidR="002A46B1">
        <w:t>the TAC</w:t>
      </w:r>
      <w:r w:rsidR="00861A42">
        <w:t xml:space="preserve"> no longer has to fund. Refer </w:t>
      </w:r>
      <w:r w:rsidR="00947130">
        <w:fldChar w:fldCharType="begin"/>
      </w:r>
      <w:r w:rsidR="00947130">
        <w:instrText xml:space="preserve"> REF _Ref387412397 \n \h </w:instrText>
      </w:r>
      <w:r w:rsidR="00947130">
        <w:fldChar w:fldCharType="separate"/>
      </w:r>
      <w:r w:rsidR="00542564">
        <w:t>Appendix C</w:t>
      </w:r>
      <w:r w:rsidR="00947130">
        <w:fldChar w:fldCharType="end"/>
      </w:r>
      <w:r w:rsidR="00861A42">
        <w:t xml:space="preserve"> for a description of liability.</w:t>
      </w:r>
    </w:p>
    <w:p w:rsidR="003A4A67" w:rsidRDefault="003A4A67" w:rsidP="0098018E">
      <w:pPr>
        <w:pStyle w:val="PwCNormal"/>
        <w:numPr>
          <w:ilvl w:val="0"/>
          <w:numId w:val="0"/>
        </w:numPr>
      </w:pPr>
      <w:r>
        <w:t>The value of the transfer under Implementation Option 2 is therefore larger than under Implementation Option 1</w:t>
      </w:r>
      <w:r w:rsidRPr="003A4A67">
        <w:t xml:space="preserve"> </w:t>
      </w:r>
      <w:r w:rsidRPr="00BB1E68">
        <w:t xml:space="preserve">as </w:t>
      </w:r>
      <w:r>
        <w:t>the same number of</w:t>
      </w:r>
      <w:r w:rsidRPr="00BB1E68">
        <w:t xml:space="preserve"> future claimants </w:t>
      </w:r>
      <w:r w:rsidRPr="00BB1E68">
        <w:rPr>
          <w:i/>
        </w:rPr>
        <w:t>and</w:t>
      </w:r>
      <w:r w:rsidRPr="00BB1E68">
        <w:t xml:space="preserve"> a proportion of existing claimants are being affected. </w:t>
      </w:r>
      <w:r>
        <w:t>T</w:t>
      </w:r>
      <w:r w:rsidRPr="00BB1E68">
        <w:t>he transfer</w:t>
      </w:r>
      <w:r>
        <w:t xml:space="preserve"> under Implementation Option 2</w:t>
      </w:r>
      <w:r w:rsidRPr="00BB1E68">
        <w:t xml:space="preserve"> is </w:t>
      </w:r>
      <w:r>
        <w:t xml:space="preserve">estimated as </w:t>
      </w:r>
      <w:r w:rsidRPr="00BB1E68">
        <w:t>$</w:t>
      </w:r>
      <w:r>
        <w:t>114.4</w:t>
      </w:r>
      <w:r w:rsidRPr="00BB1E68">
        <w:t xml:space="preserve"> million</w:t>
      </w:r>
      <w:r>
        <w:t>.</w:t>
      </w:r>
      <w:r w:rsidR="00CE0E7A">
        <w:rPr>
          <w:rStyle w:val="FootnoteReference"/>
        </w:rPr>
        <w:footnoteReference w:id="67"/>
      </w:r>
      <w:r w:rsidR="00EE6E4F">
        <w:t xml:space="preserve"> Refer to </w:t>
      </w:r>
      <w:r w:rsidR="00AE6298">
        <w:fldChar w:fldCharType="begin"/>
      </w:r>
      <w:r w:rsidR="00AE6298">
        <w:instrText xml:space="preserve"> REF _Ref387412397 \n \h </w:instrText>
      </w:r>
      <w:r w:rsidR="00AE6298">
        <w:fldChar w:fldCharType="separate"/>
      </w:r>
      <w:r w:rsidR="00542564">
        <w:t>Appendix C</w:t>
      </w:r>
      <w:r w:rsidR="00AE6298">
        <w:fldChar w:fldCharType="end"/>
      </w:r>
      <w:r w:rsidR="00AE6298">
        <w:t xml:space="preserve"> for a detailed explanation on the relationship between number of claimants affected and the value of the transfer.</w:t>
      </w:r>
    </w:p>
    <w:p w:rsidR="0098018E" w:rsidRDefault="0098018E" w:rsidP="0098018E">
      <w:pPr>
        <w:pStyle w:val="Heading2"/>
      </w:pPr>
      <w:bookmarkStart w:id="58" w:name="_Toc391372551"/>
      <w:bookmarkStart w:id="59" w:name="_Toc391389363"/>
      <w:bookmarkStart w:id="60" w:name="_Toc383776167"/>
      <w:bookmarkStart w:id="61" w:name="_Toc384050403"/>
      <w:bookmarkStart w:id="62" w:name="_Toc384123856"/>
      <w:bookmarkStart w:id="63" w:name="_Ref388529748"/>
      <w:bookmarkStart w:id="64" w:name="_Toc391459532"/>
      <w:bookmarkEnd w:id="58"/>
      <w:bookmarkEnd w:id="59"/>
      <w:bookmarkEnd w:id="60"/>
      <w:r>
        <w:lastRenderedPageBreak/>
        <w:t>Preferred option</w:t>
      </w:r>
      <w:bookmarkEnd w:id="61"/>
      <w:bookmarkEnd w:id="62"/>
      <w:bookmarkEnd w:id="63"/>
      <w:bookmarkEnd w:id="64"/>
    </w:p>
    <w:p w:rsidR="00290883" w:rsidRDefault="0098018E" w:rsidP="0005334C">
      <w:pPr>
        <w:pStyle w:val="Heading6"/>
      </w:pPr>
      <w:r>
        <w:t>Summary of preferred option</w:t>
      </w:r>
    </w:p>
    <w:p w:rsidR="006E67F4" w:rsidRDefault="006E67F4" w:rsidP="0005334C">
      <w:pPr>
        <w:pStyle w:val="PwCNormal"/>
      </w:pPr>
      <w:r>
        <w:t>From the discussion in Chapter 4, it has been shown that the TAC has no viable alternative to Option 1, which is the enactment of the GMD.</w:t>
      </w:r>
    </w:p>
    <w:p w:rsidR="0005334C" w:rsidRPr="0005334C" w:rsidRDefault="006E67F4" w:rsidP="0005334C">
      <w:pPr>
        <w:pStyle w:val="PwCNormal"/>
      </w:pPr>
      <w:r>
        <w:t>Th</w:t>
      </w:r>
      <w:r w:rsidR="00EF554A">
        <w:t>is RIS has explored two options for implementing the GMD.</w:t>
      </w:r>
      <w:r>
        <w:t xml:space="preserve"> </w:t>
      </w:r>
      <w:r w:rsidR="0005334C" w:rsidRPr="0005334C">
        <w:t xml:space="preserve">The benefits of the </w:t>
      </w:r>
      <w:r w:rsidR="0064275C">
        <w:t>implementation</w:t>
      </w:r>
      <w:r w:rsidR="0064275C" w:rsidRPr="0005334C">
        <w:t xml:space="preserve"> </w:t>
      </w:r>
      <w:r w:rsidR="0005334C" w:rsidRPr="0005334C">
        <w:t xml:space="preserve">options relate to the extent to which they restore claimants to the pre-Serwylo state. Under </w:t>
      </w:r>
      <w:r w:rsidR="0064275C">
        <w:t>Implementation</w:t>
      </w:r>
      <w:r w:rsidR="0064275C" w:rsidRPr="0005334C">
        <w:t xml:space="preserve"> </w:t>
      </w:r>
      <w:r w:rsidR="0005334C" w:rsidRPr="0005334C">
        <w:t>Option 1, only future claimants (1,</w:t>
      </w:r>
      <w:r w:rsidR="006A7BA1">
        <w:t>2</w:t>
      </w:r>
      <w:r w:rsidR="003C217B">
        <w:t>51</w:t>
      </w:r>
      <w:r w:rsidR="0005334C" w:rsidRPr="0005334C">
        <w:t xml:space="preserve"> claimants over a ten year period) will be restored to the pre-Serwylo state, while under </w:t>
      </w:r>
      <w:r w:rsidR="0064275C">
        <w:t>Implementation</w:t>
      </w:r>
      <w:r w:rsidR="0064275C" w:rsidRPr="0005334C">
        <w:t xml:space="preserve"> </w:t>
      </w:r>
      <w:r w:rsidR="0005334C" w:rsidRPr="0005334C">
        <w:t>Option 2, a proportion of existing claimants</w:t>
      </w:r>
      <w:r w:rsidR="00631D4B">
        <w:t xml:space="preserve"> as well as an additional two months of future claimants</w:t>
      </w:r>
      <w:r w:rsidR="0005334C" w:rsidRPr="0005334C">
        <w:t xml:space="preserve"> </w:t>
      </w:r>
      <w:r w:rsidR="00631D4B">
        <w:t xml:space="preserve">(injured between 1 July 2014 and </w:t>
      </w:r>
      <w:r w:rsidR="0073755B">
        <w:t>31 August</w:t>
      </w:r>
      <w:r w:rsidR="00631D4B">
        <w:t xml:space="preserve"> 2014) </w:t>
      </w:r>
      <w:r w:rsidR="0005334C" w:rsidRPr="0005334C">
        <w:t>will also be affected (totalling 1,</w:t>
      </w:r>
      <w:r w:rsidR="006A7BA1">
        <w:t>788</w:t>
      </w:r>
      <w:r w:rsidR="0005334C" w:rsidRPr="0005334C">
        <w:t xml:space="preserve"> claimants over a ten year period)</w:t>
      </w:r>
      <w:r w:rsidR="00631D4B">
        <w:t xml:space="preserve">, </w:t>
      </w:r>
      <w:r w:rsidR="0005334C" w:rsidRPr="0005334C">
        <w:t xml:space="preserve">which means higher benefits under </w:t>
      </w:r>
      <w:r w:rsidR="0064275C">
        <w:t>Implementation</w:t>
      </w:r>
      <w:r w:rsidR="0064275C" w:rsidRPr="0005334C">
        <w:t xml:space="preserve"> </w:t>
      </w:r>
      <w:r w:rsidR="0005334C" w:rsidRPr="0005334C">
        <w:t>Option 2.</w:t>
      </w:r>
      <w:r w:rsidR="00805712">
        <w:t xml:space="preserve"> </w:t>
      </w:r>
    </w:p>
    <w:p w:rsidR="0005334C" w:rsidRPr="0005334C" w:rsidRDefault="0005334C" w:rsidP="0005334C">
      <w:pPr>
        <w:pStyle w:val="PwCNormal"/>
      </w:pPr>
      <w:r w:rsidRPr="0005334C">
        <w:t>Both</w:t>
      </w:r>
      <w:r w:rsidR="0064275C" w:rsidRPr="0064275C">
        <w:t xml:space="preserve"> </w:t>
      </w:r>
      <w:r w:rsidRPr="0005334C">
        <w:t>options have one</w:t>
      </w:r>
      <w:r w:rsidR="00BA250C">
        <w:t>-</w:t>
      </w:r>
      <w:r w:rsidRPr="0005334C">
        <w:t>off implementation costs of $</w:t>
      </w:r>
      <w:r w:rsidR="005E1BB9">
        <w:t>51,320</w:t>
      </w:r>
      <w:r w:rsidRPr="0005334C">
        <w:t>.</w:t>
      </w:r>
    </w:p>
    <w:p w:rsidR="0005334C" w:rsidRPr="0005334C" w:rsidRDefault="00B859EF" w:rsidP="001E49D4">
      <w:pPr>
        <w:pStyle w:val="PwCNormal"/>
      </w:pPr>
      <w:r>
        <w:t>However, t</w:t>
      </w:r>
      <w:r w:rsidR="0005334C" w:rsidRPr="0005334C">
        <w:t xml:space="preserve">here are transitional issues associated with </w:t>
      </w:r>
      <w:r>
        <w:t>Implementation Option 2</w:t>
      </w:r>
      <w:r w:rsidR="0005334C" w:rsidRPr="0005334C">
        <w:t>:</w:t>
      </w:r>
    </w:p>
    <w:p w:rsidR="0005334C" w:rsidRPr="0005334C" w:rsidRDefault="0005334C" w:rsidP="0005334C">
      <w:pPr>
        <w:pStyle w:val="PwCNormal"/>
        <w:numPr>
          <w:ilvl w:val="0"/>
          <w:numId w:val="29"/>
        </w:numPr>
      </w:pPr>
      <w:r w:rsidRPr="0005334C">
        <w:t xml:space="preserve">The entitlements of existing claimants are affected under </w:t>
      </w:r>
      <w:r w:rsidR="0064275C">
        <w:t>Implementation</w:t>
      </w:r>
      <w:r w:rsidR="0064275C" w:rsidRPr="0005334C">
        <w:t xml:space="preserve"> </w:t>
      </w:r>
      <w:r w:rsidRPr="0005334C">
        <w:t xml:space="preserve">Option 2, unlike </w:t>
      </w:r>
      <w:r w:rsidR="0064275C">
        <w:t>Implementation</w:t>
      </w:r>
      <w:r w:rsidR="0064275C" w:rsidRPr="0005334C">
        <w:t xml:space="preserve"> </w:t>
      </w:r>
      <w:r w:rsidRPr="0005334C">
        <w:t>Option 1.</w:t>
      </w:r>
    </w:p>
    <w:p w:rsidR="0005334C" w:rsidRPr="0005334C" w:rsidRDefault="0005334C" w:rsidP="0005334C">
      <w:pPr>
        <w:pStyle w:val="PwCNormal"/>
        <w:numPr>
          <w:ilvl w:val="0"/>
          <w:numId w:val="29"/>
        </w:numPr>
      </w:pPr>
      <w:r w:rsidRPr="0005334C">
        <w:t xml:space="preserve">Similarly, under </w:t>
      </w:r>
      <w:r w:rsidR="0064275C">
        <w:t>Implementation</w:t>
      </w:r>
      <w:r w:rsidR="0064275C" w:rsidRPr="0005334C">
        <w:t xml:space="preserve"> </w:t>
      </w:r>
      <w:r w:rsidRPr="0005334C">
        <w:t>Option 2 there is a risk of behaviour changes by claimants, such as attempting to obtain medical assessments prematurely prior to the cut-off date.</w:t>
      </w:r>
    </w:p>
    <w:p w:rsidR="0005334C" w:rsidRPr="0005334C" w:rsidRDefault="0005334C" w:rsidP="0005334C">
      <w:pPr>
        <w:pStyle w:val="PwCNormal"/>
      </w:pPr>
      <w:r w:rsidRPr="0005334C">
        <w:t xml:space="preserve">Both </w:t>
      </w:r>
      <w:r w:rsidR="0064275C">
        <w:t>implementation</w:t>
      </w:r>
      <w:r w:rsidR="0064275C" w:rsidRPr="0005334C">
        <w:t xml:space="preserve"> </w:t>
      </w:r>
      <w:r w:rsidRPr="0005334C">
        <w:t xml:space="preserve">options change compensation arrangements, and therefore represent a cost saving to the scheme. The largest saving is under </w:t>
      </w:r>
      <w:r w:rsidR="0064275C">
        <w:t>Implementation</w:t>
      </w:r>
      <w:r w:rsidR="0064275C" w:rsidRPr="0005334C">
        <w:t xml:space="preserve"> </w:t>
      </w:r>
      <w:r w:rsidRPr="0005334C">
        <w:t>Option 2 ($</w:t>
      </w:r>
      <w:r w:rsidR="00D61087">
        <w:t>114.4</w:t>
      </w:r>
      <w:r w:rsidRPr="0005334C">
        <w:t>m</w:t>
      </w:r>
      <w:r w:rsidR="00C9634E">
        <w:t>illion</w:t>
      </w:r>
      <w:r w:rsidRPr="0005334C">
        <w:t xml:space="preserve">), rather than </w:t>
      </w:r>
      <w:r w:rsidR="0064275C">
        <w:t>Implementation</w:t>
      </w:r>
      <w:r w:rsidR="0064275C" w:rsidRPr="0005334C">
        <w:t xml:space="preserve"> </w:t>
      </w:r>
      <w:r w:rsidRPr="0005334C">
        <w:t>Option 1 ($</w:t>
      </w:r>
      <w:r w:rsidR="00D61087">
        <w:t>68.4</w:t>
      </w:r>
      <w:r w:rsidR="00C9634E">
        <w:t xml:space="preserve"> million</w:t>
      </w:r>
      <w:r w:rsidRPr="0005334C">
        <w:t>).</w:t>
      </w:r>
      <w:r w:rsidR="00AE6298">
        <w:rPr>
          <w:rStyle w:val="FootnoteReference"/>
        </w:rPr>
        <w:footnoteReference w:id="68"/>
      </w:r>
    </w:p>
    <w:p w:rsidR="0005334C" w:rsidRPr="0005334C" w:rsidRDefault="0005334C" w:rsidP="0005334C">
      <w:pPr>
        <w:pStyle w:val="PwCNormal"/>
      </w:pPr>
      <w:r w:rsidRPr="0005334C">
        <w:t>From a cost-benefit analysis perspective, this cost saving simply represents a transfer of resources or redistribution between two groups in society.</w:t>
      </w:r>
      <w:r w:rsidRPr="0005334C">
        <w:rPr>
          <w:vertAlign w:val="superscript"/>
        </w:rPr>
        <w:footnoteReference w:id="69"/>
      </w:r>
      <w:r w:rsidRPr="0005334C">
        <w:t xml:space="preserve"> Transfers can only be regarded as enhancing community wellbeing if a decision is made that one group derives more value from the resources than the other.</w:t>
      </w:r>
      <w:r w:rsidRPr="0005334C">
        <w:rPr>
          <w:vertAlign w:val="superscript"/>
        </w:rPr>
        <w:footnoteReference w:id="70"/>
      </w:r>
      <w:r w:rsidRPr="0005334C">
        <w:t xml:space="preserve"> In this case, we do not make this assumption and so the cost-benefit impact of this transfer is therefore nil.</w:t>
      </w:r>
    </w:p>
    <w:p w:rsidR="0005334C" w:rsidRPr="001E49D4" w:rsidRDefault="006434F2" w:rsidP="0005334C">
      <w:pPr>
        <w:pStyle w:val="PwCNormal"/>
        <w:rPr>
          <w:highlight w:val="yellow"/>
        </w:rPr>
      </w:pPr>
      <w:r w:rsidRPr="00C413FD">
        <w:t xml:space="preserve">On balance, </w:t>
      </w:r>
      <w:r>
        <w:t>Implementation</w:t>
      </w:r>
      <w:r w:rsidRPr="00C413FD">
        <w:t xml:space="preserve"> Option 2 is selected as the preferred </w:t>
      </w:r>
      <w:r>
        <w:t>implementation</w:t>
      </w:r>
      <w:r w:rsidRPr="00C413FD">
        <w:t xml:space="preserve"> option. This is primarily due to the fact that it</w:t>
      </w:r>
      <w:r>
        <w:t xml:space="preserve"> generates more significant equity benefits at the same financial cost as Implementation Option 1. It should be acknowledged, however, that there are some transitional issues associated with this implementation option.</w:t>
      </w:r>
    </w:p>
    <w:p w:rsidR="0098018E" w:rsidRDefault="0098018E">
      <w:pPr>
        <w:pStyle w:val="Heading6"/>
      </w:pPr>
      <w:r>
        <w:t>Impact on small businesses</w:t>
      </w:r>
    </w:p>
    <w:p w:rsidR="0098018E" w:rsidRDefault="0098018E" w:rsidP="0098018E">
      <w:pPr>
        <w:pStyle w:val="PwCNormal"/>
      </w:pPr>
      <w:r>
        <w:t>An assessment of the small business impacts must consider matters such as:</w:t>
      </w:r>
    </w:p>
    <w:p w:rsidR="0098018E" w:rsidRDefault="0098018E" w:rsidP="0012715F">
      <w:pPr>
        <w:pStyle w:val="ListBullet"/>
      </w:pPr>
      <w:r>
        <w:t>variation in the compliance burden</w:t>
      </w:r>
    </w:p>
    <w:p w:rsidR="0098018E" w:rsidRDefault="0098018E" w:rsidP="00857AE8">
      <w:pPr>
        <w:pStyle w:val="ListBullet"/>
      </w:pPr>
      <w:r>
        <w:t xml:space="preserve">whether any compliance flexibility option </w:t>
      </w:r>
      <w:r w:rsidR="006C58B1">
        <w:t xml:space="preserve">has </w:t>
      </w:r>
      <w:r>
        <w:t>been considered that will assist small businesses to meet the requirements of the proposed measure</w:t>
      </w:r>
    </w:p>
    <w:p w:rsidR="0098018E" w:rsidRDefault="0098018E" w:rsidP="00857AE8">
      <w:pPr>
        <w:pStyle w:val="ListBullet"/>
      </w:pPr>
      <w:r>
        <w:lastRenderedPageBreak/>
        <w:t>the likely extent of compliance by small versus large business</w:t>
      </w:r>
    </w:p>
    <w:p w:rsidR="0098018E" w:rsidRDefault="0098018E" w:rsidP="00857AE8">
      <w:pPr>
        <w:pStyle w:val="ListBullet"/>
      </w:pPr>
      <w:r>
        <w:t>the distribution of benefits arising from the proposed measure</w:t>
      </w:r>
    </w:p>
    <w:p w:rsidR="0098018E" w:rsidRDefault="0098018E" w:rsidP="00857AE8">
      <w:pPr>
        <w:pStyle w:val="ListBullet"/>
      </w:pPr>
      <w:r>
        <w:t>the relative impacts of penalties and fines for non-compliance.</w:t>
      </w:r>
    </w:p>
    <w:p w:rsidR="0098018E" w:rsidRDefault="0098018E" w:rsidP="0098018E">
      <w:pPr>
        <w:pStyle w:val="ListBullet"/>
        <w:numPr>
          <w:ilvl w:val="0"/>
          <w:numId w:val="0"/>
        </w:numPr>
      </w:pPr>
      <w:r>
        <w:t>In saving a future outlay of compensation for</w:t>
      </w:r>
      <w:r w:rsidR="000604C5">
        <w:t xml:space="preserve"> the</w:t>
      </w:r>
      <w:r>
        <w:t xml:space="preserve"> TAC, the preferred option will ultimately reduce pressure on </w:t>
      </w:r>
      <w:r w:rsidR="00FD3875">
        <w:t xml:space="preserve">charges </w:t>
      </w:r>
      <w:r>
        <w:t xml:space="preserve">paid by motor vehicle users. As this </w:t>
      </w:r>
      <w:r w:rsidR="009D1DB7">
        <w:t xml:space="preserve">also </w:t>
      </w:r>
      <w:r>
        <w:t>affects businesses, small businesses will experience some benefit from the saving. However, as the size of the costs saving is only around 1 per cent of the total cost of the scheme, the effect on premiums and hence small business is likely to be relatively low.</w:t>
      </w:r>
    </w:p>
    <w:p w:rsidR="0098018E" w:rsidRDefault="0098018E" w:rsidP="0098018E">
      <w:pPr>
        <w:pStyle w:val="Heading6"/>
      </w:pPr>
      <w:r>
        <w:t>Competition assessment</w:t>
      </w:r>
    </w:p>
    <w:p w:rsidR="0098018E" w:rsidRDefault="0098018E" w:rsidP="0098018E">
      <w:pPr>
        <w:pStyle w:val="PwCNormal"/>
      </w:pPr>
      <w:r>
        <w:t>Considerations of national competition policy include identifying any restrictions to competition in the preferred option, showing that the restriction is necessary to achieve the objective, and assessing whether the benefits of the restriction outweigh the costs in each particular case.</w:t>
      </w:r>
    </w:p>
    <w:p w:rsidR="0098018E" w:rsidRDefault="0098018E" w:rsidP="0098018E">
      <w:pPr>
        <w:pStyle w:val="PwCNormal"/>
      </w:pPr>
      <w:r>
        <w:t>Any new legislation in Victoria must not restrict competition unless it can be demonstrated that:</w:t>
      </w:r>
    </w:p>
    <w:p w:rsidR="0098018E" w:rsidRDefault="0098018E" w:rsidP="0098018E">
      <w:pPr>
        <w:pStyle w:val="ListBullet"/>
      </w:pPr>
      <w:r>
        <w:t>the benefits of the restriction, as a whole, outweigh the costs</w:t>
      </w:r>
    </w:p>
    <w:p w:rsidR="0098018E" w:rsidRDefault="0098018E" w:rsidP="0098018E">
      <w:pPr>
        <w:pStyle w:val="ListBullet"/>
      </w:pPr>
      <w:r>
        <w:t>the objectives of the legislation can only be achieved by restricting competition.</w:t>
      </w:r>
    </w:p>
    <w:p w:rsidR="0098018E" w:rsidRDefault="0098018E" w:rsidP="0098018E">
      <w:pPr>
        <w:pStyle w:val="PwCNormal"/>
      </w:pPr>
      <w:r>
        <w:t xml:space="preserve">A legislative amendment is considered to have an impact on competition if any of the following questions in </w:t>
      </w:r>
      <w:r w:rsidR="004F1D57">
        <w:fldChar w:fldCharType="begin"/>
      </w:r>
      <w:r w:rsidR="004F1D57">
        <w:instrText xml:space="preserve"> REF _Ref386547224 \h </w:instrText>
      </w:r>
      <w:r w:rsidR="004F1D57">
        <w:fldChar w:fldCharType="separate"/>
      </w:r>
      <w:r w:rsidR="00542564" w:rsidRPr="00723E18">
        <w:t xml:space="preserve">Table </w:t>
      </w:r>
      <w:r w:rsidR="00542564">
        <w:rPr>
          <w:noProof/>
        </w:rPr>
        <w:t>12</w:t>
      </w:r>
      <w:r w:rsidR="004F1D57">
        <w:fldChar w:fldCharType="end"/>
      </w:r>
      <w:r w:rsidR="004F1D57">
        <w:t xml:space="preserve"> </w:t>
      </w:r>
      <w:r>
        <w:t xml:space="preserve">can be answered in the affirmative. </w:t>
      </w:r>
      <w:r w:rsidR="008529E1">
        <w:fldChar w:fldCharType="begin"/>
      </w:r>
      <w:r w:rsidR="008529E1">
        <w:instrText xml:space="preserve"> REF _Ref386547224 \h </w:instrText>
      </w:r>
      <w:r w:rsidR="008529E1">
        <w:fldChar w:fldCharType="separate"/>
      </w:r>
      <w:r w:rsidR="00542564" w:rsidRPr="00723E18">
        <w:t xml:space="preserve">Table </w:t>
      </w:r>
      <w:r w:rsidR="00542564">
        <w:rPr>
          <w:noProof/>
        </w:rPr>
        <w:t>12</w:t>
      </w:r>
      <w:r w:rsidR="008529E1">
        <w:fldChar w:fldCharType="end"/>
      </w:r>
      <w:r>
        <w:t xml:space="preserve"> shows the rationale and </w:t>
      </w:r>
      <w:r w:rsidR="006C58B1">
        <w:t xml:space="preserve">significance </w:t>
      </w:r>
      <w:r>
        <w:t>of those areas where there is an impact on competition.</w:t>
      </w:r>
    </w:p>
    <w:p w:rsidR="0098018E" w:rsidRDefault="0098018E" w:rsidP="0098018E">
      <w:pPr>
        <w:pStyle w:val="Caption"/>
      </w:pPr>
      <w:bookmarkStart w:id="65" w:name="_Ref386547224"/>
      <w:r w:rsidRPr="00723E18">
        <w:t xml:space="preserve">Table </w:t>
      </w:r>
      <w:fldSimple w:instr=" SEQ Table \* ARABIC ">
        <w:r w:rsidR="00542564">
          <w:rPr>
            <w:noProof/>
          </w:rPr>
          <w:t>12</w:t>
        </w:r>
      </w:fldSimple>
      <w:bookmarkEnd w:id="65"/>
      <w:r w:rsidRPr="00723E18">
        <w:t>: Criteria for determining adverse competition impacts</w:t>
      </w:r>
    </w:p>
    <w:tbl>
      <w:tblPr>
        <w:tblStyle w:val="Tables-APBase"/>
        <w:tblW w:w="5000" w:type="pct"/>
        <w:tblLook w:val="04A0" w:firstRow="1" w:lastRow="0" w:firstColumn="1" w:lastColumn="0" w:noHBand="0" w:noVBand="1"/>
      </w:tblPr>
      <w:tblGrid>
        <w:gridCol w:w="5637"/>
        <w:gridCol w:w="1136"/>
        <w:gridCol w:w="1664"/>
      </w:tblGrid>
      <w:tr w:rsidR="0098018E" w:rsidTr="00693579">
        <w:trPr>
          <w:cnfStyle w:val="100000000000" w:firstRow="1" w:lastRow="0" w:firstColumn="0" w:lastColumn="0" w:oddVBand="0" w:evenVBand="0" w:oddHBand="0" w:evenHBand="0" w:firstRowFirstColumn="0" w:firstRowLastColumn="0" w:lastRowFirstColumn="0" w:lastRowLastColumn="0"/>
          <w:trHeight w:val="54"/>
        </w:trPr>
        <w:tc>
          <w:tcPr>
            <w:cnfStyle w:val="000000000100" w:firstRow="0" w:lastRow="0" w:firstColumn="0" w:lastColumn="0" w:oddVBand="0" w:evenVBand="0" w:oddHBand="0" w:evenHBand="0" w:firstRowFirstColumn="1" w:firstRowLastColumn="0" w:lastRowFirstColumn="0" w:lastRowLastColumn="0"/>
            <w:tcW w:w="3341" w:type="pct"/>
          </w:tcPr>
          <w:p w:rsidR="0098018E" w:rsidRDefault="0098018E" w:rsidP="0098018E">
            <w:pPr>
              <w:pStyle w:val="TableColumnHeadingSmall"/>
            </w:pPr>
            <w:r>
              <w:t>Question</w:t>
            </w:r>
          </w:p>
        </w:tc>
        <w:tc>
          <w:tcPr>
            <w:tcW w:w="673" w:type="pct"/>
            <w:vAlign w:val="center"/>
          </w:tcPr>
          <w:p w:rsidR="0098018E" w:rsidRDefault="0098018E">
            <w:pPr>
              <w:pStyle w:val="TableColumnHeadingSmall"/>
              <w:cnfStyle w:val="100000000000" w:firstRow="1" w:lastRow="0" w:firstColumn="0" w:lastColumn="0" w:oddVBand="0" w:evenVBand="0" w:oddHBand="0" w:evenHBand="0" w:firstRowFirstColumn="0" w:firstRowLastColumn="0" w:lastRowFirstColumn="0" w:lastRowLastColumn="0"/>
            </w:pPr>
            <w:r>
              <w:t>Answer</w:t>
            </w:r>
          </w:p>
        </w:tc>
        <w:tc>
          <w:tcPr>
            <w:tcW w:w="987" w:type="pct"/>
            <w:vAlign w:val="center"/>
          </w:tcPr>
          <w:p w:rsidR="0098018E" w:rsidRDefault="0098018E" w:rsidP="0078338B">
            <w:pPr>
              <w:pStyle w:val="TableColumnHeadingSmall"/>
              <w:jc w:val="left"/>
              <w:cnfStyle w:val="100000000000" w:firstRow="1" w:lastRow="0" w:firstColumn="0" w:lastColumn="0" w:oddVBand="0" w:evenVBand="0" w:oddHBand="0" w:evenHBand="0" w:firstRowFirstColumn="0" w:firstRowLastColumn="0" w:lastRowFirstColumn="0" w:lastRowLastColumn="0"/>
            </w:pPr>
            <w:r>
              <w:t>Significance</w:t>
            </w:r>
          </w:p>
        </w:tc>
      </w:tr>
      <w:tr w:rsidR="0098018E" w:rsidTr="0078338B">
        <w:tc>
          <w:tcPr>
            <w:tcW w:w="3341" w:type="pct"/>
          </w:tcPr>
          <w:p w:rsidR="0098018E" w:rsidRPr="005D6F94" w:rsidRDefault="0098018E" w:rsidP="0098018E">
            <w:pPr>
              <w:pStyle w:val="TableTextSmall"/>
            </w:pPr>
            <w:r w:rsidRPr="005D6F94">
              <w:t>Is the proposed measure likely to affect the market structure of the affected sector(s) – i.e. will it reduce the number of participants in the market, or increase the size of incumbent firms?</w:t>
            </w:r>
          </w:p>
        </w:tc>
        <w:tc>
          <w:tcPr>
            <w:tcW w:w="673" w:type="pct"/>
            <w:vAlign w:val="center"/>
          </w:tcPr>
          <w:p w:rsidR="0098018E" w:rsidRPr="005D6F94" w:rsidRDefault="0098018E" w:rsidP="0078338B">
            <w:pPr>
              <w:pStyle w:val="TableTextSmall"/>
              <w:jc w:val="center"/>
            </w:pPr>
            <w:r w:rsidRPr="005D6F94">
              <w:t>No</w:t>
            </w:r>
          </w:p>
        </w:tc>
        <w:tc>
          <w:tcPr>
            <w:tcW w:w="987" w:type="pct"/>
            <w:vAlign w:val="center"/>
          </w:tcPr>
          <w:p w:rsidR="0098018E" w:rsidRPr="005D6F94" w:rsidRDefault="0098018E">
            <w:pPr>
              <w:pStyle w:val="TableTextSmall"/>
            </w:pPr>
            <w:r w:rsidRPr="005D6F94">
              <w:t>N/A</w:t>
            </w:r>
          </w:p>
        </w:tc>
      </w:tr>
      <w:tr w:rsidR="0098018E" w:rsidTr="0078338B">
        <w:tc>
          <w:tcPr>
            <w:tcW w:w="3341" w:type="pct"/>
          </w:tcPr>
          <w:p w:rsidR="0098018E" w:rsidRPr="005D6F94" w:rsidRDefault="0098018E" w:rsidP="0098018E">
            <w:pPr>
              <w:pStyle w:val="TableTextSmall"/>
            </w:pPr>
            <w:r w:rsidRPr="005D6F94">
              <w:t>Would it be more difficult for new firms or individuals to enter the industry after the imposition of the proposed measure?</w:t>
            </w:r>
          </w:p>
        </w:tc>
        <w:tc>
          <w:tcPr>
            <w:tcW w:w="673" w:type="pct"/>
            <w:vAlign w:val="center"/>
          </w:tcPr>
          <w:p w:rsidR="0098018E" w:rsidRPr="005D6F94" w:rsidRDefault="0098018E" w:rsidP="0078338B">
            <w:pPr>
              <w:pStyle w:val="TableTextSmall"/>
              <w:jc w:val="center"/>
            </w:pPr>
            <w:r w:rsidRPr="005D6F94">
              <w:t>No</w:t>
            </w:r>
          </w:p>
        </w:tc>
        <w:tc>
          <w:tcPr>
            <w:tcW w:w="987" w:type="pct"/>
            <w:vAlign w:val="center"/>
          </w:tcPr>
          <w:p w:rsidR="0098018E" w:rsidRPr="005D6F94" w:rsidRDefault="0098018E">
            <w:pPr>
              <w:pStyle w:val="TableTextSmall"/>
            </w:pPr>
            <w:r w:rsidRPr="005D6F94">
              <w:t>N/A</w:t>
            </w:r>
          </w:p>
        </w:tc>
      </w:tr>
      <w:tr w:rsidR="0098018E" w:rsidTr="0078338B">
        <w:tc>
          <w:tcPr>
            <w:tcW w:w="3341" w:type="pct"/>
          </w:tcPr>
          <w:p w:rsidR="0098018E" w:rsidRPr="005D6F94" w:rsidRDefault="0098018E" w:rsidP="0098018E">
            <w:pPr>
              <w:pStyle w:val="TableTextSmall"/>
            </w:pPr>
            <w:r w:rsidRPr="005D6F94">
              <w:t xml:space="preserve">Would the costs/benefits associated with the proposed measure affect some firms or individuals substantially more than others (e.g. small firms, part–time participants in occupations, </w:t>
            </w:r>
            <w:r w:rsidR="00630514" w:rsidRPr="005D6F94">
              <w:t>etc.</w:t>
            </w:r>
            <w:r w:rsidRPr="005D6F94">
              <w:t>)?</w:t>
            </w:r>
          </w:p>
        </w:tc>
        <w:tc>
          <w:tcPr>
            <w:tcW w:w="673" w:type="pct"/>
            <w:vAlign w:val="center"/>
          </w:tcPr>
          <w:p w:rsidR="0098018E" w:rsidRPr="005D6F94" w:rsidRDefault="001E71DC" w:rsidP="0078338B">
            <w:pPr>
              <w:pStyle w:val="TableTextSmall"/>
              <w:jc w:val="center"/>
            </w:pPr>
            <w:r>
              <w:t>No</w:t>
            </w:r>
          </w:p>
        </w:tc>
        <w:tc>
          <w:tcPr>
            <w:tcW w:w="987" w:type="pct"/>
            <w:vAlign w:val="center"/>
          </w:tcPr>
          <w:p w:rsidR="0098018E" w:rsidRPr="005D6F94" w:rsidRDefault="001E71DC">
            <w:pPr>
              <w:pStyle w:val="TableTextSmall"/>
            </w:pPr>
            <w:r>
              <w:t>No expected impact on compe</w:t>
            </w:r>
            <w:r w:rsidR="00C03478">
              <w:t>tition</w:t>
            </w:r>
          </w:p>
        </w:tc>
      </w:tr>
      <w:tr w:rsidR="0098018E" w:rsidTr="0078338B">
        <w:tc>
          <w:tcPr>
            <w:tcW w:w="3341" w:type="pct"/>
          </w:tcPr>
          <w:p w:rsidR="0098018E" w:rsidRPr="005D6F94" w:rsidRDefault="0098018E" w:rsidP="0098018E">
            <w:pPr>
              <w:pStyle w:val="TableTextSmall"/>
            </w:pPr>
            <w:r w:rsidRPr="005D6F94">
              <w:t>Would the proposed measure restrict the ability of businesses to choose the price, quality, range or location of their products?</w:t>
            </w:r>
          </w:p>
        </w:tc>
        <w:tc>
          <w:tcPr>
            <w:tcW w:w="673" w:type="pct"/>
            <w:vAlign w:val="center"/>
          </w:tcPr>
          <w:p w:rsidR="0098018E" w:rsidRPr="005D6F94" w:rsidRDefault="0098018E" w:rsidP="0078338B">
            <w:pPr>
              <w:pStyle w:val="TableTextSmall"/>
              <w:jc w:val="center"/>
            </w:pPr>
            <w:r w:rsidRPr="005D6F94">
              <w:t>No</w:t>
            </w:r>
          </w:p>
        </w:tc>
        <w:tc>
          <w:tcPr>
            <w:tcW w:w="987" w:type="pct"/>
            <w:vAlign w:val="center"/>
          </w:tcPr>
          <w:p w:rsidR="0098018E" w:rsidRPr="005D6F94" w:rsidRDefault="0098018E">
            <w:pPr>
              <w:pStyle w:val="TableTextSmall"/>
            </w:pPr>
            <w:r w:rsidRPr="005D6F94">
              <w:t>N/A</w:t>
            </w:r>
          </w:p>
        </w:tc>
      </w:tr>
      <w:tr w:rsidR="0098018E" w:rsidTr="0078338B">
        <w:tc>
          <w:tcPr>
            <w:tcW w:w="3341" w:type="pct"/>
          </w:tcPr>
          <w:p w:rsidR="0098018E" w:rsidRPr="005D6F94" w:rsidRDefault="0098018E" w:rsidP="0098018E">
            <w:pPr>
              <w:pStyle w:val="TableTextSmall"/>
            </w:pPr>
            <w:r w:rsidRPr="005D6F94">
              <w:t>Would the proposed measure lead to higher ongoing costs for new entrants that existing firms do not have to meet?</w:t>
            </w:r>
          </w:p>
        </w:tc>
        <w:tc>
          <w:tcPr>
            <w:tcW w:w="673" w:type="pct"/>
            <w:vAlign w:val="center"/>
          </w:tcPr>
          <w:p w:rsidR="0098018E" w:rsidRPr="005D6F94" w:rsidRDefault="0098018E" w:rsidP="0078338B">
            <w:pPr>
              <w:pStyle w:val="TableTextSmall"/>
              <w:jc w:val="center"/>
            </w:pPr>
            <w:r w:rsidRPr="005D6F94">
              <w:t>No</w:t>
            </w:r>
          </w:p>
        </w:tc>
        <w:tc>
          <w:tcPr>
            <w:tcW w:w="987" w:type="pct"/>
            <w:vAlign w:val="center"/>
          </w:tcPr>
          <w:p w:rsidR="0098018E" w:rsidRPr="005D6F94" w:rsidRDefault="0098018E">
            <w:pPr>
              <w:pStyle w:val="TableTextSmall"/>
            </w:pPr>
            <w:r w:rsidRPr="005D6F94">
              <w:t>N/A</w:t>
            </w:r>
          </w:p>
        </w:tc>
      </w:tr>
      <w:tr w:rsidR="0098018E" w:rsidTr="0078338B">
        <w:tc>
          <w:tcPr>
            <w:tcW w:w="3341" w:type="pct"/>
          </w:tcPr>
          <w:p w:rsidR="0098018E" w:rsidRPr="005D6F94" w:rsidRDefault="0098018E" w:rsidP="0098018E">
            <w:pPr>
              <w:pStyle w:val="TableTextSmall"/>
            </w:pPr>
            <w:r w:rsidRPr="005D6F94">
              <w:t>Is the ability or incentive to innovate or develop new products or services likely to be affected by the proposed measure?</w:t>
            </w:r>
          </w:p>
        </w:tc>
        <w:tc>
          <w:tcPr>
            <w:tcW w:w="673" w:type="pct"/>
            <w:vAlign w:val="center"/>
          </w:tcPr>
          <w:p w:rsidR="0098018E" w:rsidRPr="005D6F94" w:rsidRDefault="0098018E" w:rsidP="0078338B">
            <w:pPr>
              <w:pStyle w:val="TableTextSmall"/>
              <w:jc w:val="center"/>
            </w:pPr>
            <w:r w:rsidRPr="005D6F94">
              <w:t>No</w:t>
            </w:r>
          </w:p>
        </w:tc>
        <w:tc>
          <w:tcPr>
            <w:tcW w:w="987" w:type="pct"/>
            <w:vAlign w:val="center"/>
          </w:tcPr>
          <w:p w:rsidR="0098018E" w:rsidRPr="005D6F94" w:rsidRDefault="0098018E">
            <w:pPr>
              <w:pStyle w:val="TableTextSmall"/>
            </w:pPr>
            <w:r w:rsidRPr="005D6F94">
              <w:t>N/A</w:t>
            </w:r>
          </w:p>
        </w:tc>
      </w:tr>
    </w:tbl>
    <w:p w:rsidR="0098018E" w:rsidRDefault="000E3A7F" w:rsidP="0098018E">
      <w:pPr>
        <w:pStyle w:val="Sources"/>
      </w:pPr>
      <w:r>
        <w:t>Source:</w:t>
      </w:r>
      <w:r w:rsidRPr="000E3A7F">
        <w:t xml:space="preserve"> Department of Treasury and Finance Victoria, </w:t>
      </w:r>
      <w:r w:rsidRPr="000E3A7F">
        <w:rPr>
          <w:i/>
        </w:rPr>
        <w:t>Victorian Guide to Regulation (Edition 2.1)</w:t>
      </w:r>
      <w:r w:rsidRPr="000E3A7F">
        <w:t>, Department of Treasury and Finance, Melbourne, August 2011, pp88-91</w:t>
      </w:r>
      <w:r>
        <w:t xml:space="preserve">. </w:t>
      </w:r>
    </w:p>
    <w:p w:rsidR="0098018E" w:rsidRDefault="0098018E" w:rsidP="0098018E">
      <w:pPr>
        <w:pStyle w:val="PwCNormal"/>
      </w:pPr>
      <w:r>
        <w:t>The preceding chapters and analysis have generally demonstrated that the proposed measures represent a net benefit, and that the government’s objectives can only be achieved by reducing the benefit payout of a small cohort of persons with multiple spinal fractures, on the premise that they are already receiving economic profits.</w:t>
      </w:r>
    </w:p>
    <w:p w:rsidR="0098018E" w:rsidRDefault="0098018E" w:rsidP="0033304D">
      <w:pPr>
        <w:pStyle w:val="Heading6"/>
      </w:pPr>
      <w:r>
        <w:t>Enforcement</w:t>
      </w:r>
    </w:p>
    <w:p w:rsidR="0098018E" w:rsidRDefault="0098018E" w:rsidP="0098018E">
      <w:pPr>
        <w:pStyle w:val="PwCNormal"/>
      </w:pPr>
      <w:r>
        <w:t xml:space="preserve">In this case, the </w:t>
      </w:r>
      <w:r w:rsidR="007521DA">
        <w:t xml:space="preserve">proposed </w:t>
      </w:r>
      <w:r w:rsidR="002C10B0">
        <w:t>GMD</w:t>
      </w:r>
      <w:r>
        <w:t xml:space="preserve"> will not be enforced per se, as they will simply replace the relevant sections in the Guides and then be applied by</w:t>
      </w:r>
      <w:r w:rsidR="000604C5">
        <w:t xml:space="preserve"> the</w:t>
      </w:r>
      <w:r>
        <w:t xml:space="preserve"> TAC and the courts in </w:t>
      </w:r>
      <w:r w:rsidR="00671F38">
        <w:t>future</w:t>
      </w:r>
      <w:r w:rsidR="00BE63FD">
        <w:t xml:space="preserve"> </w:t>
      </w:r>
      <w:r w:rsidR="00930083">
        <w:t>impairment</w:t>
      </w:r>
      <w:r>
        <w:t xml:space="preserve"> assessments.</w:t>
      </w:r>
    </w:p>
    <w:p w:rsidR="0098018E" w:rsidRDefault="0098018E" w:rsidP="0098018E">
      <w:pPr>
        <w:pStyle w:val="Heading6"/>
      </w:pPr>
      <w:r>
        <w:lastRenderedPageBreak/>
        <w:t>Evaluation strategy</w:t>
      </w:r>
    </w:p>
    <w:p w:rsidR="0098018E" w:rsidRDefault="0098018E" w:rsidP="0098018E">
      <w:pPr>
        <w:pStyle w:val="PwCNormal"/>
      </w:pPr>
      <w:r>
        <w:t>This section will outline a strategy to evaluate the regulations in the future. It is an important step in best practice regulation to review the regulations regularly to ensure that they remain the most appropriate means of addressing the specified objectives. An evaluation strategy is therefore needed to monitor the effectiveness of the preferred regulatory option.</w:t>
      </w:r>
      <w:r>
        <w:rPr>
          <w:rStyle w:val="FootnoteReference"/>
        </w:rPr>
        <w:footnoteReference w:id="71"/>
      </w:r>
    </w:p>
    <w:p w:rsidR="0098018E" w:rsidRDefault="0098018E" w:rsidP="0098018E">
      <w:pPr>
        <w:pStyle w:val="PwCNormal"/>
      </w:pPr>
      <w:r>
        <w:t xml:space="preserve">As the </w:t>
      </w:r>
      <w:r w:rsidRPr="001E49D4">
        <w:rPr>
          <w:i/>
        </w:rPr>
        <w:t>Victorian Guide to Regulation</w:t>
      </w:r>
      <w:r w:rsidR="00BA250C" w:rsidRPr="001E49D4">
        <w:rPr>
          <w:i/>
        </w:rPr>
        <w:t xml:space="preserve">(Edition 2.1, August 2011) </w:t>
      </w:r>
      <w:r>
        <w:t xml:space="preserve">states the following key issues should be considered when reviewing the </w:t>
      </w:r>
      <w:r w:rsidR="00B73BC9">
        <w:t>legislative amendment</w:t>
      </w:r>
      <w:r>
        <w:t>:</w:t>
      </w:r>
      <w:r w:rsidR="00BA250C" w:rsidRPr="00BA250C">
        <w:rPr>
          <w:rStyle w:val="FootnoteReference"/>
        </w:rPr>
        <w:t xml:space="preserve"> </w:t>
      </w:r>
      <w:r w:rsidR="00BA250C">
        <w:rPr>
          <w:rStyle w:val="FootnoteReference"/>
        </w:rPr>
        <w:footnoteReference w:id="72"/>
      </w:r>
    </w:p>
    <w:p w:rsidR="0098018E" w:rsidRDefault="0098018E" w:rsidP="0098018E">
      <w:pPr>
        <w:pStyle w:val="ListBullet"/>
      </w:pPr>
      <w:r>
        <w:t>Is there still a problem that requires government intervention? Have there been any relevant changes or developments since the regulation was implemented?</w:t>
      </w:r>
    </w:p>
    <w:p w:rsidR="0098018E" w:rsidRDefault="0098018E" w:rsidP="0098018E">
      <w:pPr>
        <w:pStyle w:val="ListBullet"/>
      </w:pPr>
      <w:r>
        <w:t>Are the objectives of the regulation being met?</w:t>
      </w:r>
    </w:p>
    <w:p w:rsidR="0098018E" w:rsidRDefault="0098018E" w:rsidP="0098018E">
      <w:pPr>
        <w:pStyle w:val="ListBullet"/>
      </w:pPr>
      <w:r>
        <w:t>Are the impacts of the regulation as expected? Are there any effects or problems that were not anticipated?</w:t>
      </w:r>
    </w:p>
    <w:p w:rsidR="0098018E" w:rsidRDefault="0098018E" w:rsidP="0098018E">
      <w:pPr>
        <w:pStyle w:val="ListBullet"/>
      </w:pPr>
      <w:r>
        <w:t>Is the regulation currently in place still the most appropriate for</w:t>
      </w:r>
      <w:r w:rsidR="003D366E">
        <w:t>m</w:t>
      </w:r>
      <w:r>
        <w:t xml:space="preserve"> of action? Does experience with the measure suggest ways that it can be improved to meet the objectives? Is a different regulatory approach now warranted?</w:t>
      </w:r>
    </w:p>
    <w:p w:rsidR="00823CD7" w:rsidRDefault="000A5857" w:rsidP="0098018E">
      <w:pPr>
        <w:pStyle w:val="ListBullet"/>
        <w:numPr>
          <w:ilvl w:val="0"/>
          <w:numId w:val="0"/>
        </w:numPr>
      </w:pPr>
      <w:r>
        <w:t>Under the proposed option,</w:t>
      </w:r>
      <w:r w:rsidR="000604C5">
        <w:t xml:space="preserve"> the</w:t>
      </w:r>
      <w:r>
        <w:t xml:space="preserve"> TAC will monitor the resulting impact from the </w:t>
      </w:r>
      <w:r w:rsidR="007521DA">
        <w:t xml:space="preserve">proposed </w:t>
      </w:r>
      <w:r w:rsidR="002C10B0">
        <w:t>GMD</w:t>
      </w:r>
      <w:r>
        <w:t xml:space="preserve"> and identify any unintended consequences. As the scope of this modification is quite narrow and </w:t>
      </w:r>
      <w:r w:rsidR="00EA4A2D">
        <w:t xml:space="preserve">the intention is </w:t>
      </w:r>
      <w:r w:rsidR="006C58B1">
        <w:t xml:space="preserve">predominantly </w:t>
      </w:r>
      <w:r w:rsidR="00EA4A2D">
        <w:t xml:space="preserve">to restore the Guides to </w:t>
      </w:r>
      <w:r w:rsidR="007E25E6">
        <w:t xml:space="preserve">a </w:t>
      </w:r>
      <w:r w:rsidR="00EA4A2D">
        <w:t>pre-Serwylo</w:t>
      </w:r>
      <w:r w:rsidR="007E25E6">
        <w:t xml:space="preserve"> position</w:t>
      </w:r>
      <w:r w:rsidR="00EA4A2D">
        <w:t xml:space="preserve">, a detailed evaluation strategy will not be undertaken by </w:t>
      </w:r>
      <w:r w:rsidR="000604C5">
        <w:t xml:space="preserve">the </w:t>
      </w:r>
      <w:r w:rsidR="00EA4A2D">
        <w:t>TAC</w:t>
      </w:r>
      <w:r w:rsidR="008746BE">
        <w:t xml:space="preserve">. The strategy would be primarily concerned with ensuring no additional flaws come out of the wording of the new </w:t>
      </w:r>
      <w:r w:rsidR="002C10B0">
        <w:t xml:space="preserve">GMD </w:t>
      </w:r>
      <w:r w:rsidR="008746BE">
        <w:t>that could give rise to further inequities.</w:t>
      </w:r>
    </w:p>
    <w:p w:rsidR="0098018E" w:rsidRDefault="0098018E" w:rsidP="0098018E">
      <w:pPr>
        <w:pStyle w:val="PwCNormal"/>
        <w:numPr>
          <w:ilvl w:val="0"/>
          <w:numId w:val="0"/>
        </w:numPr>
      </w:pPr>
    </w:p>
    <w:p w:rsidR="0098018E" w:rsidRDefault="0098018E" w:rsidP="0098018E">
      <w:pPr>
        <w:pStyle w:val="PwCNormal"/>
        <w:numPr>
          <w:ilvl w:val="0"/>
          <w:numId w:val="0"/>
        </w:numPr>
        <w:sectPr w:rsidR="0098018E" w:rsidSect="006B008A">
          <w:headerReference w:type="even" r:id="rId39"/>
          <w:headerReference w:type="default" r:id="rId40"/>
          <w:footerReference w:type="even" r:id="rId41"/>
          <w:footerReference w:type="default" r:id="rId42"/>
          <w:headerReference w:type="first" r:id="rId43"/>
          <w:footerReference w:type="first" r:id="rId44"/>
          <w:pgSz w:w="11907" w:h="16840" w:code="9"/>
          <w:pgMar w:top="1588" w:right="1843" w:bottom="1418" w:left="1843" w:header="567" w:footer="567" w:gutter="0"/>
          <w:cols w:space="227"/>
          <w:titlePg/>
          <w:docGrid w:linePitch="360"/>
        </w:sectPr>
      </w:pPr>
    </w:p>
    <w:p w:rsidR="0098018E" w:rsidRDefault="0098018E" w:rsidP="0098018E">
      <w:pPr>
        <w:pStyle w:val="Appendicestitle"/>
      </w:pPr>
      <w:bookmarkStart w:id="66" w:name="_Toc150158830"/>
      <w:bookmarkStart w:id="67" w:name="_Toc152054531"/>
      <w:bookmarkStart w:id="68" w:name="_Toc175455170"/>
      <w:bookmarkStart w:id="69" w:name="_Toc188929763"/>
      <w:bookmarkStart w:id="70" w:name="_Toc190831168"/>
      <w:bookmarkStart w:id="71" w:name="_Toc190831919"/>
      <w:bookmarkStart w:id="72" w:name="_Toc222740491"/>
      <w:bookmarkStart w:id="73" w:name="_Toc222797936"/>
      <w:bookmarkStart w:id="74" w:name="_Toc222812200"/>
      <w:bookmarkStart w:id="75" w:name="_Toc222812227"/>
      <w:bookmarkStart w:id="76" w:name="_Toc222812328"/>
      <w:bookmarkStart w:id="77" w:name="_Toc222812365"/>
      <w:bookmarkStart w:id="78" w:name="_Toc225761846"/>
      <w:bookmarkStart w:id="79" w:name="_Toc225761870"/>
      <w:bookmarkStart w:id="80" w:name="_Toc225761910"/>
      <w:bookmarkStart w:id="81" w:name="_Toc225761938"/>
      <w:bookmarkStart w:id="82" w:name="_Toc225761943"/>
      <w:bookmarkStart w:id="83" w:name="_Toc225761966"/>
      <w:bookmarkStart w:id="84" w:name="_Toc225761994"/>
      <w:bookmarkStart w:id="85" w:name="_Toc225762001"/>
      <w:bookmarkStart w:id="86" w:name="_Toc225762006"/>
      <w:bookmarkStart w:id="87" w:name="_Toc225762012"/>
      <w:bookmarkStart w:id="88" w:name="_Toc225762175"/>
      <w:bookmarkStart w:id="89" w:name="_Toc225762181"/>
      <w:bookmarkStart w:id="90" w:name="_Toc225762203"/>
      <w:bookmarkStart w:id="91" w:name="_Toc225763053"/>
      <w:bookmarkStart w:id="92" w:name="_Toc225910585"/>
      <w:bookmarkStart w:id="93" w:name="_Toc225910639"/>
      <w:bookmarkStart w:id="94" w:name="_Toc225910665"/>
      <w:bookmarkStart w:id="95" w:name="_Toc225910695"/>
      <w:bookmarkStart w:id="96" w:name="_Toc225911504"/>
      <w:bookmarkStart w:id="97" w:name="_Toc225911520"/>
      <w:bookmarkStart w:id="98" w:name="_Toc225912405"/>
      <w:bookmarkStart w:id="99" w:name="_Toc225912871"/>
      <w:bookmarkStart w:id="100" w:name="_Toc225913057"/>
      <w:bookmarkStart w:id="101" w:name="_Toc225913091"/>
      <w:bookmarkStart w:id="102" w:name="_Toc225913280"/>
      <w:r>
        <w:lastRenderedPageBreak/>
        <w:t>Appendices</w:t>
      </w:r>
      <w:bookmarkStart w:id="103" w:name="TOCAppendix"/>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rsidR="00B970B4" w:rsidRPr="00B970B4" w:rsidRDefault="0098018E">
      <w:pPr>
        <w:pStyle w:val="TOC4"/>
        <w:rPr>
          <w:noProof/>
        </w:rPr>
      </w:pPr>
      <w:r>
        <w:rPr>
          <w:color w:val="FFFFFF" w:themeColor="background1"/>
        </w:rPr>
        <w:fldChar w:fldCharType="begin"/>
      </w:r>
      <w:r>
        <w:instrText xml:space="preserve"> </w:instrText>
      </w:r>
      <w:r w:rsidRPr="003A7350">
        <w:instrText>TOC \t " Heading 3,3,Heading 4,4" \*Charformat</w:instrText>
      </w:r>
      <w:r>
        <w:instrText xml:space="preserve"> </w:instrText>
      </w:r>
      <w:r>
        <w:rPr>
          <w:color w:val="FFFFFF" w:themeColor="background1"/>
        </w:rPr>
        <w:fldChar w:fldCharType="separate"/>
      </w:r>
      <w:r w:rsidR="00B970B4">
        <w:rPr>
          <w:noProof/>
        </w:rPr>
        <w:t>Appendix A</w:t>
      </w:r>
      <w:r w:rsidR="00B970B4" w:rsidRPr="00B970B4">
        <w:rPr>
          <w:noProof/>
        </w:rPr>
        <w:tab/>
      </w:r>
      <w:r w:rsidR="00B970B4">
        <w:rPr>
          <w:noProof/>
        </w:rPr>
        <w:t>Guides modification document</w:t>
      </w:r>
      <w:r w:rsidR="00B970B4">
        <w:rPr>
          <w:noProof/>
        </w:rPr>
        <w:tab/>
      </w:r>
      <w:r w:rsidR="00B970B4">
        <w:rPr>
          <w:noProof/>
        </w:rPr>
        <w:fldChar w:fldCharType="begin"/>
      </w:r>
      <w:r w:rsidR="00B970B4">
        <w:rPr>
          <w:noProof/>
        </w:rPr>
        <w:instrText xml:space="preserve"> PAGEREF _Toc391459537 \h </w:instrText>
      </w:r>
      <w:r w:rsidR="00B970B4">
        <w:rPr>
          <w:noProof/>
        </w:rPr>
      </w:r>
      <w:r w:rsidR="00B970B4">
        <w:rPr>
          <w:noProof/>
        </w:rPr>
        <w:fldChar w:fldCharType="separate"/>
      </w:r>
      <w:r w:rsidR="00542564">
        <w:rPr>
          <w:noProof/>
        </w:rPr>
        <w:t>29</w:t>
      </w:r>
      <w:r w:rsidR="00B970B4">
        <w:rPr>
          <w:noProof/>
        </w:rPr>
        <w:fldChar w:fldCharType="end"/>
      </w:r>
    </w:p>
    <w:p w:rsidR="00B970B4" w:rsidRPr="00B970B4" w:rsidRDefault="00B970B4">
      <w:pPr>
        <w:pStyle w:val="TOC4"/>
        <w:rPr>
          <w:noProof/>
        </w:rPr>
      </w:pPr>
      <w:r>
        <w:rPr>
          <w:noProof/>
        </w:rPr>
        <w:t>Appendix B</w:t>
      </w:r>
      <w:r w:rsidRPr="00B970B4">
        <w:rPr>
          <w:noProof/>
        </w:rPr>
        <w:tab/>
      </w:r>
      <w:r>
        <w:rPr>
          <w:noProof/>
        </w:rPr>
        <w:t>Terms of reference</w:t>
      </w:r>
      <w:r>
        <w:rPr>
          <w:noProof/>
        </w:rPr>
        <w:tab/>
      </w:r>
      <w:r>
        <w:rPr>
          <w:noProof/>
        </w:rPr>
        <w:fldChar w:fldCharType="begin"/>
      </w:r>
      <w:r>
        <w:rPr>
          <w:noProof/>
        </w:rPr>
        <w:instrText xml:space="preserve"> PAGEREF _Toc391459538 \h </w:instrText>
      </w:r>
      <w:r>
        <w:rPr>
          <w:noProof/>
        </w:rPr>
      </w:r>
      <w:r>
        <w:rPr>
          <w:noProof/>
        </w:rPr>
        <w:fldChar w:fldCharType="separate"/>
      </w:r>
      <w:r w:rsidR="00542564">
        <w:rPr>
          <w:noProof/>
        </w:rPr>
        <w:t>50</w:t>
      </w:r>
      <w:r>
        <w:rPr>
          <w:noProof/>
        </w:rPr>
        <w:fldChar w:fldCharType="end"/>
      </w:r>
    </w:p>
    <w:p w:rsidR="00B970B4" w:rsidRPr="00B970B4" w:rsidRDefault="00B970B4">
      <w:pPr>
        <w:pStyle w:val="TOC4"/>
        <w:rPr>
          <w:noProof/>
        </w:rPr>
      </w:pPr>
      <w:r>
        <w:rPr>
          <w:noProof/>
        </w:rPr>
        <w:t>Appendix C</w:t>
      </w:r>
      <w:r w:rsidRPr="00B970B4">
        <w:rPr>
          <w:noProof/>
        </w:rPr>
        <w:tab/>
      </w:r>
      <w:r>
        <w:rPr>
          <w:noProof/>
        </w:rPr>
        <w:t>Calculation of cost per accident year and liability amounts resulting from Serwylo</w:t>
      </w:r>
      <w:r>
        <w:rPr>
          <w:noProof/>
        </w:rPr>
        <w:tab/>
      </w:r>
      <w:r>
        <w:rPr>
          <w:noProof/>
        </w:rPr>
        <w:fldChar w:fldCharType="begin"/>
      </w:r>
      <w:r>
        <w:rPr>
          <w:noProof/>
        </w:rPr>
        <w:instrText xml:space="preserve"> PAGEREF _Toc391459539 \h </w:instrText>
      </w:r>
      <w:r>
        <w:rPr>
          <w:noProof/>
        </w:rPr>
      </w:r>
      <w:r>
        <w:rPr>
          <w:noProof/>
        </w:rPr>
        <w:fldChar w:fldCharType="separate"/>
      </w:r>
      <w:r w:rsidR="00542564">
        <w:rPr>
          <w:noProof/>
        </w:rPr>
        <w:t>56</w:t>
      </w:r>
      <w:r>
        <w:rPr>
          <w:noProof/>
        </w:rPr>
        <w:fldChar w:fldCharType="end"/>
      </w:r>
    </w:p>
    <w:p w:rsidR="00B970B4" w:rsidRPr="00B970B4" w:rsidRDefault="00B970B4">
      <w:pPr>
        <w:pStyle w:val="TOC4"/>
        <w:rPr>
          <w:noProof/>
        </w:rPr>
      </w:pPr>
      <w:r>
        <w:rPr>
          <w:noProof/>
        </w:rPr>
        <w:t>Appendix D</w:t>
      </w:r>
      <w:r w:rsidRPr="00B970B4">
        <w:rPr>
          <w:noProof/>
        </w:rPr>
        <w:tab/>
      </w:r>
      <w:r>
        <w:rPr>
          <w:noProof/>
        </w:rPr>
        <w:t>Letter outlining Expert Panel considerations for GMD</w:t>
      </w:r>
      <w:r>
        <w:rPr>
          <w:noProof/>
        </w:rPr>
        <w:tab/>
      </w:r>
      <w:r>
        <w:rPr>
          <w:noProof/>
        </w:rPr>
        <w:fldChar w:fldCharType="begin"/>
      </w:r>
      <w:r>
        <w:rPr>
          <w:noProof/>
        </w:rPr>
        <w:instrText xml:space="preserve"> PAGEREF _Toc391459540 \h </w:instrText>
      </w:r>
      <w:r>
        <w:rPr>
          <w:noProof/>
        </w:rPr>
      </w:r>
      <w:r>
        <w:rPr>
          <w:noProof/>
        </w:rPr>
        <w:fldChar w:fldCharType="separate"/>
      </w:r>
      <w:r w:rsidR="00542564">
        <w:rPr>
          <w:noProof/>
        </w:rPr>
        <w:t>65</w:t>
      </w:r>
      <w:r>
        <w:rPr>
          <w:noProof/>
        </w:rPr>
        <w:fldChar w:fldCharType="end"/>
      </w:r>
    </w:p>
    <w:p w:rsidR="0098018E" w:rsidRPr="00A925C6" w:rsidRDefault="0098018E" w:rsidP="0098018E">
      <w:pPr>
        <w:pStyle w:val="PwCNormal"/>
      </w:pPr>
      <w:r>
        <w:fldChar w:fldCharType="end"/>
      </w:r>
    </w:p>
    <w:p w:rsidR="0098018E" w:rsidRPr="00FC2C77" w:rsidRDefault="0098018E" w:rsidP="0098018E">
      <w:pPr>
        <w:pStyle w:val="ChapterNumberLong"/>
        <w:sectPr w:rsidR="0098018E" w:rsidRPr="00FC2C77" w:rsidSect="006B008A">
          <w:headerReference w:type="even" r:id="rId45"/>
          <w:headerReference w:type="default" r:id="rId46"/>
          <w:footerReference w:type="even" r:id="rId47"/>
          <w:footerReference w:type="default" r:id="rId48"/>
          <w:headerReference w:type="first" r:id="rId49"/>
          <w:footerReference w:type="first" r:id="rId50"/>
          <w:pgSz w:w="11907" w:h="16840" w:code="9"/>
          <w:pgMar w:top="1588" w:right="1843" w:bottom="1418" w:left="1843" w:header="567" w:footer="567" w:gutter="0"/>
          <w:cols w:space="227"/>
          <w:titlePg/>
          <w:docGrid w:linePitch="360"/>
        </w:sectPr>
      </w:pPr>
    </w:p>
    <w:p w:rsidR="0098018E" w:rsidRPr="0078338B" w:rsidRDefault="0098018E" w:rsidP="0098018E">
      <w:pPr>
        <w:pStyle w:val="Heading4"/>
      </w:pPr>
      <w:bookmarkStart w:id="104" w:name="_Toc383412081"/>
      <w:bookmarkStart w:id="105" w:name="_Toc383412099"/>
      <w:bookmarkStart w:id="106" w:name="_Toc383412082"/>
      <w:bookmarkStart w:id="107" w:name="_Toc383412100"/>
      <w:bookmarkStart w:id="108" w:name="_Toc384050404"/>
      <w:bookmarkStart w:id="109" w:name="_Toc384123857"/>
      <w:bookmarkStart w:id="110" w:name="_Ref388529640"/>
      <w:bookmarkStart w:id="111" w:name="_Toc391459533"/>
      <w:bookmarkStart w:id="112" w:name="_Toc391459537"/>
      <w:bookmarkEnd w:id="104"/>
      <w:bookmarkEnd w:id="105"/>
      <w:bookmarkEnd w:id="106"/>
      <w:bookmarkEnd w:id="107"/>
      <w:r w:rsidRPr="0078338B">
        <w:lastRenderedPageBreak/>
        <w:t>Guides modification document</w:t>
      </w:r>
      <w:bookmarkEnd w:id="108"/>
      <w:bookmarkEnd w:id="109"/>
      <w:bookmarkEnd w:id="110"/>
      <w:bookmarkEnd w:id="111"/>
      <w:bookmarkEnd w:id="112"/>
    </w:p>
    <w:p w:rsidR="00117A61" w:rsidRDefault="00117A61">
      <w:pPr>
        <w:kinsoku/>
        <w:overflowPunct/>
        <w:autoSpaceDE/>
        <w:autoSpaceDN/>
        <w:adjustRightInd/>
        <w:snapToGrid/>
      </w:pPr>
      <w:bookmarkStart w:id="113" w:name="_Toc383412083"/>
      <w:bookmarkStart w:id="114" w:name="_Toc383412101"/>
      <w:bookmarkEnd w:id="113"/>
      <w:bookmarkEnd w:id="114"/>
      <w:r>
        <w:br w:type="page"/>
      </w:r>
    </w:p>
    <w:p w:rsidR="00117A61" w:rsidRDefault="00117A61">
      <w:pPr>
        <w:kinsoku/>
        <w:overflowPunct/>
        <w:autoSpaceDE/>
        <w:autoSpaceDN/>
        <w:adjustRightInd/>
        <w:snapToGrid/>
      </w:pPr>
      <w:r w:rsidRPr="0078338B">
        <w:rPr>
          <w:noProof/>
          <w:snapToGrid/>
          <w:lang w:eastAsia="en-AU"/>
        </w:rPr>
        <w:lastRenderedPageBreak/>
        <w:drawing>
          <wp:inline distT="0" distB="0" distL="0" distR="0" wp14:anchorId="0DF986E5" wp14:editId="38B8C16E">
            <wp:extent cx="4953000" cy="798195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953000" cy="7981950"/>
                    </a:xfrm>
                    <a:prstGeom prst="rect">
                      <a:avLst/>
                    </a:prstGeom>
                  </pic:spPr>
                </pic:pic>
              </a:graphicData>
            </a:graphic>
          </wp:inline>
        </w:drawing>
      </w:r>
      <w:r>
        <w:br w:type="page"/>
      </w:r>
    </w:p>
    <w:p w:rsidR="00117A61" w:rsidRDefault="00117A61">
      <w:pPr>
        <w:kinsoku/>
        <w:overflowPunct/>
        <w:autoSpaceDE/>
        <w:autoSpaceDN/>
        <w:adjustRightInd/>
        <w:snapToGrid/>
      </w:pPr>
      <w:r w:rsidRPr="0078338B">
        <w:rPr>
          <w:noProof/>
          <w:snapToGrid/>
          <w:lang w:eastAsia="en-AU"/>
        </w:rPr>
        <w:lastRenderedPageBreak/>
        <w:drawing>
          <wp:inline distT="0" distB="0" distL="0" distR="0" wp14:anchorId="22E16251" wp14:editId="3B859099">
            <wp:extent cx="5105400" cy="81534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105400" cy="8153400"/>
                    </a:xfrm>
                    <a:prstGeom prst="rect">
                      <a:avLst/>
                    </a:prstGeom>
                  </pic:spPr>
                </pic:pic>
              </a:graphicData>
            </a:graphic>
          </wp:inline>
        </w:drawing>
      </w:r>
      <w:r>
        <w:br w:type="page"/>
      </w:r>
    </w:p>
    <w:p w:rsidR="00117A61" w:rsidRDefault="00117A61">
      <w:pPr>
        <w:kinsoku/>
        <w:overflowPunct/>
        <w:autoSpaceDE/>
        <w:autoSpaceDN/>
        <w:adjustRightInd/>
        <w:snapToGrid/>
      </w:pPr>
      <w:r w:rsidRPr="0078338B">
        <w:rPr>
          <w:noProof/>
          <w:snapToGrid/>
          <w:lang w:eastAsia="en-AU"/>
        </w:rPr>
        <w:lastRenderedPageBreak/>
        <w:drawing>
          <wp:inline distT="0" distB="0" distL="0" distR="0" wp14:anchorId="0E0908E3" wp14:editId="0BA6B500">
            <wp:extent cx="4886325" cy="7886700"/>
            <wp:effectExtent l="0" t="0" r="952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886325" cy="7886700"/>
                    </a:xfrm>
                    <a:prstGeom prst="rect">
                      <a:avLst/>
                    </a:prstGeom>
                  </pic:spPr>
                </pic:pic>
              </a:graphicData>
            </a:graphic>
          </wp:inline>
        </w:drawing>
      </w:r>
      <w:r>
        <w:br w:type="page"/>
      </w:r>
    </w:p>
    <w:p w:rsidR="00117A61" w:rsidRDefault="00117A61">
      <w:pPr>
        <w:kinsoku/>
        <w:overflowPunct/>
        <w:autoSpaceDE/>
        <w:autoSpaceDN/>
        <w:adjustRightInd/>
        <w:snapToGrid/>
      </w:pPr>
      <w:r w:rsidRPr="0078338B">
        <w:rPr>
          <w:noProof/>
          <w:snapToGrid/>
          <w:lang w:eastAsia="en-AU"/>
        </w:rPr>
        <w:lastRenderedPageBreak/>
        <w:drawing>
          <wp:inline distT="0" distB="0" distL="0" distR="0" wp14:anchorId="157A6DE3" wp14:editId="14D64960">
            <wp:extent cx="4857750" cy="80772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857750" cy="8077200"/>
                    </a:xfrm>
                    <a:prstGeom prst="rect">
                      <a:avLst/>
                    </a:prstGeom>
                  </pic:spPr>
                </pic:pic>
              </a:graphicData>
            </a:graphic>
          </wp:inline>
        </w:drawing>
      </w:r>
      <w:r>
        <w:br w:type="page"/>
      </w:r>
    </w:p>
    <w:p w:rsidR="00117A61" w:rsidRDefault="00117A61">
      <w:pPr>
        <w:kinsoku/>
        <w:overflowPunct/>
        <w:autoSpaceDE/>
        <w:autoSpaceDN/>
        <w:adjustRightInd/>
        <w:snapToGrid/>
      </w:pPr>
      <w:r w:rsidRPr="0078338B">
        <w:rPr>
          <w:noProof/>
          <w:snapToGrid/>
          <w:lang w:eastAsia="en-AU"/>
        </w:rPr>
        <w:lastRenderedPageBreak/>
        <w:drawing>
          <wp:inline distT="0" distB="0" distL="0" distR="0" wp14:anchorId="7BC9AC48" wp14:editId="02E34025">
            <wp:extent cx="5000625" cy="8020050"/>
            <wp:effectExtent l="0" t="0" r="952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000625" cy="8020050"/>
                    </a:xfrm>
                    <a:prstGeom prst="rect">
                      <a:avLst/>
                    </a:prstGeom>
                  </pic:spPr>
                </pic:pic>
              </a:graphicData>
            </a:graphic>
          </wp:inline>
        </w:drawing>
      </w:r>
      <w:r>
        <w:br w:type="page"/>
      </w:r>
    </w:p>
    <w:p w:rsidR="00117A61" w:rsidRDefault="00117A61">
      <w:pPr>
        <w:kinsoku/>
        <w:overflowPunct/>
        <w:autoSpaceDE/>
        <w:autoSpaceDN/>
        <w:adjustRightInd/>
        <w:snapToGrid/>
      </w:pPr>
      <w:r w:rsidRPr="0078338B">
        <w:rPr>
          <w:noProof/>
          <w:snapToGrid/>
          <w:lang w:eastAsia="en-AU"/>
        </w:rPr>
        <w:lastRenderedPageBreak/>
        <w:drawing>
          <wp:inline distT="0" distB="0" distL="0" distR="0" wp14:anchorId="632073D3" wp14:editId="6F08622F">
            <wp:extent cx="5095875" cy="8020050"/>
            <wp:effectExtent l="0" t="0" r="952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095875" cy="8020050"/>
                    </a:xfrm>
                    <a:prstGeom prst="rect">
                      <a:avLst/>
                    </a:prstGeom>
                  </pic:spPr>
                </pic:pic>
              </a:graphicData>
            </a:graphic>
          </wp:inline>
        </w:drawing>
      </w:r>
      <w:r>
        <w:br w:type="page"/>
      </w:r>
    </w:p>
    <w:p w:rsidR="00117A61" w:rsidRDefault="00117A61">
      <w:pPr>
        <w:kinsoku/>
        <w:overflowPunct/>
        <w:autoSpaceDE/>
        <w:autoSpaceDN/>
        <w:adjustRightInd/>
        <w:snapToGrid/>
      </w:pPr>
      <w:r w:rsidRPr="0078338B">
        <w:rPr>
          <w:noProof/>
          <w:snapToGrid/>
          <w:lang w:eastAsia="en-AU"/>
        </w:rPr>
        <w:lastRenderedPageBreak/>
        <w:drawing>
          <wp:inline distT="0" distB="0" distL="0" distR="0" wp14:anchorId="2FAB9192" wp14:editId="63FC687A">
            <wp:extent cx="4962525" cy="8039100"/>
            <wp:effectExtent l="0" t="0" r="952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962525" cy="8039100"/>
                    </a:xfrm>
                    <a:prstGeom prst="rect">
                      <a:avLst/>
                    </a:prstGeom>
                  </pic:spPr>
                </pic:pic>
              </a:graphicData>
            </a:graphic>
          </wp:inline>
        </w:drawing>
      </w:r>
      <w:r>
        <w:br w:type="page"/>
      </w:r>
    </w:p>
    <w:p w:rsidR="00117A61" w:rsidRDefault="00117A61">
      <w:pPr>
        <w:kinsoku/>
        <w:overflowPunct/>
        <w:autoSpaceDE/>
        <w:autoSpaceDN/>
        <w:adjustRightInd/>
        <w:snapToGrid/>
      </w:pPr>
      <w:r w:rsidRPr="0078338B">
        <w:rPr>
          <w:noProof/>
          <w:snapToGrid/>
          <w:lang w:eastAsia="en-AU"/>
        </w:rPr>
        <w:lastRenderedPageBreak/>
        <w:drawing>
          <wp:inline distT="0" distB="0" distL="0" distR="0" wp14:anchorId="6540F360" wp14:editId="07C588AA">
            <wp:extent cx="4276725" cy="7972425"/>
            <wp:effectExtent l="0" t="0" r="9525"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276725" cy="7972425"/>
                    </a:xfrm>
                    <a:prstGeom prst="rect">
                      <a:avLst/>
                    </a:prstGeom>
                  </pic:spPr>
                </pic:pic>
              </a:graphicData>
            </a:graphic>
          </wp:inline>
        </w:drawing>
      </w:r>
      <w:r>
        <w:br w:type="page"/>
      </w:r>
    </w:p>
    <w:p w:rsidR="00117A61" w:rsidRDefault="00117A61">
      <w:pPr>
        <w:kinsoku/>
        <w:overflowPunct/>
        <w:autoSpaceDE/>
        <w:autoSpaceDN/>
        <w:adjustRightInd/>
        <w:snapToGrid/>
      </w:pPr>
      <w:r w:rsidRPr="0078338B">
        <w:rPr>
          <w:noProof/>
          <w:snapToGrid/>
          <w:lang w:eastAsia="en-AU"/>
        </w:rPr>
        <w:lastRenderedPageBreak/>
        <w:drawing>
          <wp:inline distT="0" distB="0" distL="0" distR="0" wp14:anchorId="40188C9E" wp14:editId="08D75F58">
            <wp:extent cx="4914900" cy="80010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914900" cy="8001000"/>
                    </a:xfrm>
                    <a:prstGeom prst="rect">
                      <a:avLst/>
                    </a:prstGeom>
                  </pic:spPr>
                </pic:pic>
              </a:graphicData>
            </a:graphic>
          </wp:inline>
        </w:drawing>
      </w:r>
      <w:r>
        <w:br w:type="page"/>
      </w:r>
    </w:p>
    <w:p w:rsidR="00117A61" w:rsidRDefault="00117A61">
      <w:pPr>
        <w:kinsoku/>
        <w:overflowPunct/>
        <w:autoSpaceDE/>
        <w:autoSpaceDN/>
        <w:adjustRightInd/>
        <w:snapToGrid/>
      </w:pPr>
      <w:r w:rsidRPr="0078338B">
        <w:rPr>
          <w:noProof/>
          <w:snapToGrid/>
          <w:lang w:eastAsia="en-AU"/>
        </w:rPr>
        <w:lastRenderedPageBreak/>
        <w:drawing>
          <wp:inline distT="0" distB="0" distL="0" distR="0" wp14:anchorId="4971738F" wp14:editId="206AFE75">
            <wp:extent cx="4933950" cy="798195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933950" cy="7981950"/>
                    </a:xfrm>
                    <a:prstGeom prst="rect">
                      <a:avLst/>
                    </a:prstGeom>
                  </pic:spPr>
                </pic:pic>
              </a:graphicData>
            </a:graphic>
          </wp:inline>
        </w:drawing>
      </w:r>
      <w:r>
        <w:br w:type="page"/>
      </w:r>
    </w:p>
    <w:p w:rsidR="00117A61" w:rsidRDefault="00117A61">
      <w:pPr>
        <w:kinsoku/>
        <w:overflowPunct/>
        <w:autoSpaceDE/>
        <w:autoSpaceDN/>
        <w:adjustRightInd/>
        <w:snapToGrid/>
      </w:pPr>
      <w:r w:rsidRPr="0078338B">
        <w:rPr>
          <w:noProof/>
          <w:snapToGrid/>
          <w:lang w:eastAsia="en-AU"/>
        </w:rPr>
        <w:lastRenderedPageBreak/>
        <w:drawing>
          <wp:inline distT="0" distB="0" distL="0" distR="0" wp14:anchorId="43B0893F" wp14:editId="668E1F4F">
            <wp:extent cx="4943475" cy="7981950"/>
            <wp:effectExtent l="0" t="0" r="952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943475" cy="7981950"/>
                    </a:xfrm>
                    <a:prstGeom prst="rect">
                      <a:avLst/>
                    </a:prstGeom>
                  </pic:spPr>
                </pic:pic>
              </a:graphicData>
            </a:graphic>
          </wp:inline>
        </w:drawing>
      </w:r>
      <w:r>
        <w:br w:type="page"/>
      </w:r>
    </w:p>
    <w:p w:rsidR="00117A61" w:rsidRDefault="00117A61">
      <w:pPr>
        <w:kinsoku/>
        <w:overflowPunct/>
        <w:autoSpaceDE/>
        <w:autoSpaceDN/>
        <w:adjustRightInd/>
        <w:snapToGrid/>
      </w:pPr>
      <w:r w:rsidRPr="0078338B">
        <w:rPr>
          <w:noProof/>
          <w:snapToGrid/>
          <w:lang w:eastAsia="en-AU"/>
        </w:rPr>
        <w:lastRenderedPageBreak/>
        <w:drawing>
          <wp:inline distT="0" distB="0" distL="0" distR="0" wp14:anchorId="75540957" wp14:editId="33F7412C">
            <wp:extent cx="4857750" cy="7953375"/>
            <wp:effectExtent l="0" t="0" r="0"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4857750" cy="7953375"/>
                    </a:xfrm>
                    <a:prstGeom prst="rect">
                      <a:avLst/>
                    </a:prstGeom>
                  </pic:spPr>
                </pic:pic>
              </a:graphicData>
            </a:graphic>
          </wp:inline>
        </w:drawing>
      </w:r>
      <w:r>
        <w:br w:type="page"/>
      </w:r>
    </w:p>
    <w:p w:rsidR="00117A61" w:rsidRDefault="00117A61">
      <w:pPr>
        <w:kinsoku/>
        <w:overflowPunct/>
        <w:autoSpaceDE/>
        <w:autoSpaceDN/>
        <w:adjustRightInd/>
        <w:snapToGrid/>
      </w:pPr>
      <w:r w:rsidRPr="0078338B">
        <w:rPr>
          <w:noProof/>
          <w:snapToGrid/>
          <w:lang w:eastAsia="en-AU"/>
        </w:rPr>
        <w:lastRenderedPageBreak/>
        <w:drawing>
          <wp:inline distT="0" distB="0" distL="0" distR="0" wp14:anchorId="2F8C047C" wp14:editId="2994D82C">
            <wp:extent cx="5153025" cy="8048625"/>
            <wp:effectExtent l="0" t="0" r="9525"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153025" cy="8048625"/>
                    </a:xfrm>
                    <a:prstGeom prst="rect">
                      <a:avLst/>
                    </a:prstGeom>
                  </pic:spPr>
                </pic:pic>
              </a:graphicData>
            </a:graphic>
          </wp:inline>
        </w:drawing>
      </w:r>
      <w:r>
        <w:br w:type="page"/>
      </w:r>
    </w:p>
    <w:p w:rsidR="00117A61" w:rsidRDefault="00117A61">
      <w:pPr>
        <w:kinsoku/>
        <w:overflowPunct/>
        <w:autoSpaceDE/>
        <w:autoSpaceDN/>
        <w:adjustRightInd/>
        <w:snapToGrid/>
      </w:pPr>
      <w:r w:rsidRPr="0078338B">
        <w:rPr>
          <w:noProof/>
          <w:snapToGrid/>
          <w:lang w:eastAsia="en-AU"/>
        </w:rPr>
        <w:lastRenderedPageBreak/>
        <w:drawing>
          <wp:inline distT="0" distB="0" distL="0" distR="0" wp14:anchorId="4E35E2A1" wp14:editId="044421BE">
            <wp:extent cx="4705350" cy="809625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705350" cy="8096250"/>
                    </a:xfrm>
                    <a:prstGeom prst="rect">
                      <a:avLst/>
                    </a:prstGeom>
                  </pic:spPr>
                </pic:pic>
              </a:graphicData>
            </a:graphic>
          </wp:inline>
        </w:drawing>
      </w:r>
      <w:r>
        <w:br w:type="page"/>
      </w:r>
    </w:p>
    <w:p w:rsidR="00117A61" w:rsidRDefault="00117A61">
      <w:pPr>
        <w:kinsoku/>
        <w:overflowPunct/>
        <w:autoSpaceDE/>
        <w:autoSpaceDN/>
        <w:adjustRightInd/>
        <w:snapToGrid/>
      </w:pPr>
      <w:r w:rsidRPr="0078338B">
        <w:rPr>
          <w:noProof/>
          <w:snapToGrid/>
          <w:lang w:eastAsia="en-AU"/>
        </w:rPr>
        <w:lastRenderedPageBreak/>
        <w:drawing>
          <wp:inline distT="0" distB="0" distL="0" distR="0" wp14:anchorId="44CF350A" wp14:editId="5C329141">
            <wp:extent cx="5086350" cy="7762875"/>
            <wp:effectExtent l="0" t="0" r="0"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086350" cy="7762875"/>
                    </a:xfrm>
                    <a:prstGeom prst="rect">
                      <a:avLst/>
                    </a:prstGeom>
                  </pic:spPr>
                </pic:pic>
              </a:graphicData>
            </a:graphic>
          </wp:inline>
        </w:drawing>
      </w:r>
      <w:r>
        <w:br w:type="page"/>
      </w:r>
    </w:p>
    <w:p w:rsidR="00117A61" w:rsidRDefault="00117A61">
      <w:pPr>
        <w:kinsoku/>
        <w:overflowPunct/>
        <w:autoSpaceDE/>
        <w:autoSpaceDN/>
        <w:adjustRightInd/>
        <w:snapToGrid/>
      </w:pPr>
      <w:r w:rsidRPr="0078338B">
        <w:rPr>
          <w:noProof/>
          <w:snapToGrid/>
          <w:lang w:eastAsia="en-AU"/>
        </w:rPr>
        <w:lastRenderedPageBreak/>
        <w:drawing>
          <wp:inline distT="0" distB="0" distL="0" distR="0" wp14:anchorId="1AFB558A" wp14:editId="370D4A54">
            <wp:extent cx="5095875" cy="8067675"/>
            <wp:effectExtent l="0" t="0" r="9525"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095875" cy="8067675"/>
                    </a:xfrm>
                    <a:prstGeom prst="rect">
                      <a:avLst/>
                    </a:prstGeom>
                  </pic:spPr>
                </pic:pic>
              </a:graphicData>
            </a:graphic>
          </wp:inline>
        </w:drawing>
      </w:r>
      <w:r>
        <w:br w:type="page"/>
      </w:r>
    </w:p>
    <w:p w:rsidR="00117A61" w:rsidRDefault="00C507AA">
      <w:pPr>
        <w:kinsoku/>
        <w:overflowPunct/>
        <w:autoSpaceDE/>
        <w:autoSpaceDN/>
        <w:adjustRightInd/>
        <w:snapToGrid/>
      </w:pPr>
      <w:r>
        <w:rPr>
          <w:noProof/>
          <w:snapToGrid/>
          <w:lang w:eastAsia="en-AU"/>
        </w:rPr>
        <w:lastRenderedPageBreak/>
        <w:drawing>
          <wp:inline distT="0" distB="0" distL="0" distR="0" wp14:anchorId="13E93F07" wp14:editId="7623A018">
            <wp:extent cx="4763135" cy="82296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4763135" cy="8229600"/>
                    </a:xfrm>
                    <a:prstGeom prst="rect">
                      <a:avLst/>
                    </a:prstGeom>
                  </pic:spPr>
                </pic:pic>
              </a:graphicData>
            </a:graphic>
          </wp:inline>
        </w:drawing>
      </w:r>
      <w:r>
        <w:rPr>
          <w:noProof/>
          <w:snapToGrid/>
          <w:lang w:eastAsia="en-AU"/>
        </w:rPr>
        <w:lastRenderedPageBreak/>
        <w:drawing>
          <wp:inline distT="0" distB="0" distL="0" distR="0" wp14:anchorId="4FC1AD88" wp14:editId="542B1B23">
            <wp:extent cx="5076825" cy="8229600"/>
            <wp:effectExtent l="0" t="0" r="952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076825" cy="8229600"/>
                    </a:xfrm>
                    <a:prstGeom prst="rect">
                      <a:avLst/>
                    </a:prstGeom>
                  </pic:spPr>
                </pic:pic>
              </a:graphicData>
            </a:graphic>
          </wp:inline>
        </w:drawing>
      </w:r>
      <w:r>
        <w:rPr>
          <w:noProof/>
          <w:snapToGrid/>
          <w:lang w:eastAsia="en-AU"/>
        </w:rPr>
        <w:lastRenderedPageBreak/>
        <w:drawing>
          <wp:inline distT="0" distB="0" distL="0" distR="0" wp14:anchorId="14BCFAAA" wp14:editId="30E90348">
            <wp:extent cx="5114290" cy="822960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114290" cy="8229600"/>
                    </a:xfrm>
                    <a:prstGeom prst="rect">
                      <a:avLst/>
                    </a:prstGeom>
                  </pic:spPr>
                </pic:pic>
              </a:graphicData>
            </a:graphic>
          </wp:inline>
        </w:drawing>
      </w:r>
      <w:r>
        <w:rPr>
          <w:noProof/>
          <w:snapToGrid/>
          <w:lang w:eastAsia="en-AU"/>
        </w:rPr>
        <w:lastRenderedPageBreak/>
        <w:drawing>
          <wp:inline distT="0" distB="0" distL="0" distR="0" wp14:anchorId="762FAB7B" wp14:editId="1DD29515">
            <wp:extent cx="4781550" cy="8162925"/>
            <wp:effectExtent l="0" t="0" r="0"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4781550" cy="8162925"/>
                    </a:xfrm>
                    <a:prstGeom prst="rect">
                      <a:avLst/>
                    </a:prstGeom>
                  </pic:spPr>
                </pic:pic>
              </a:graphicData>
            </a:graphic>
          </wp:inline>
        </w:drawing>
      </w:r>
    </w:p>
    <w:p w:rsidR="0098018E" w:rsidRDefault="0098018E" w:rsidP="0098018E">
      <w:pPr>
        <w:pStyle w:val="PwCNormal"/>
        <w:numPr>
          <w:ilvl w:val="0"/>
          <w:numId w:val="0"/>
        </w:numPr>
      </w:pPr>
    </w:p>
    <w:p w:rsidR="0098018E" w:rsidRDefault="0098018E" w:rsidP="0098018E">
      <w:pPr>
        <w:pStyle w:val="PwCNormal"/>
      </w:pPr>
    </w:p>
    <w:p w:rsidR="00566EAE" w:rsidRDefault="00566EAE" w:rsidP="00566EAE">
      <w:pPr>
        <w:pStyle w:val="PwCNormal"/>
        <w:sectPr w:rsidR="00566EAE" w:rsidSect="006B008A">
          <w:headerReference w:type="even" r:id="rId71"/>
          <w:headerReference w:type="default" r:id="rId72"/>
          <w:footerReference w:type="even" r:id="rId73"/>
          <w:footerReference w:type="default" r:id="rId74"/>
          <w:headerReference w:type="first" r:id="rId75"/>
          <w:pgSz w:w="11907" w:h="16840" w:code="9"/>
          <w:pgMar w:top="1588" w:right="1843" w:bottom="1418" w:left="1843" w:header="567" w:footer="567" w:gutter="0"/>
          <w:cols w:space="227"/>
          <w:titlePg/>
          <w:docGrid w:linePitch="360"/>
        </w:sectPr>
      </w:pPr>
    </w:p>
    <w:p w:rsidR="00566EAE" w:rsidRDefault="00566EAE" w:rsidP="004E0C44">
      <w:pPr>
        <w:pStyle w:val="Heading4"/>
      </w:pPr>
      <w:bookmarkStart w:id="115" w:name="_Ref387650160"/>
      <w:bookmarkStart w:id="116" w:name="_Toc391459534"/>
      <w:bookmarkStart w:id="117" w:name="_Toc391459538"/>
      <w:r>
        <w:lastRenderedPageBreak/>
        <w:t>Terms of reference</w:t>
      </w:r>
      <w:bookmarkEnd w:id="115"/>
      <w:bookmarkEnd w:id="116"/>
      <w:bookmarkEnd w:id="117"/>
    </w:p>
    <w:p w:rsidR="00566EAE" w:rsidRDefault="00C507AA" w:rsidP="00566EAE">
      <w:pPr>
        <w:pStyle w:val="PwCNormal"/>
      </w:pPr>
      <w:r>
        <w:rPr>
          <w:noProof/>
          <w:snapToGrid/>
          <w:lang w:eastAsia="en-AU"/>
        </w:rPr>
        <w:lastRenderedPageBreak/>
        <w:drawing>
          <wp:inline distT="0" distB="0" distL="0" distR="0" wp14:anchorId="32AE02CC" wp14:editId="58AE207A">
            <wp:extent cx="5038725" cy="7848600"/>
            <wp:effectExtent l="0" t="0" r="952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038725" cy="7848600"/>
                    </a:xfrm>
                    <a:prstGeom prst="rect">
                      <a:avLst/>
                    </a:prstGeom>
                  </pic:spPr>
                </pic:pic>
              </a:graphicData>
            </a:graphic>
          </wp:inline>
        </w:drawing>
      </w:r>
      <w:r>
        <w:rPr>
          <w:noProof/>
          <w:snapToGrid/>
          <w:lang w:eastAsia="en-AU"/>
        </w:rPr>
        <w:lastRenderedPageBreak/>
        <w:drawing>
          <wp:inline distT="0" distB="0" distL="0" distR="0" wp14:anchorId="2B20D664" wp14:editId="25CD8DA6">
            <wp:extent cx="5067300" cy="7877175"/>
            <wp:effectExtent l="0" t="0" r="0"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067300" cy="7877175"/>
                    </a:xfrm>
                    <a:prstGeom prst="rect">
                      <a:avLst/>
                    </a:prstGeom>
                  </pic:spPr>
                </pic:pic>
              </a:graphicData>
            </a:graphic>
          </wp:inline>
        </w:drawing>
      </w:r>
      <w:r>
        <w:rPr>
          <w:noProof/>
          <w:snapToGrid/>
          <w:lang w:eastAsia="en-AU"/>
        </w:rPr>
        <w:lastRenderedPageBreak/>
        <w:drawing>
          <wp:inline distT="0" distB="0" distL="0" distR="0" wp14:anchorId="59BFF28B" wp14:editId="33C8A526">
            <wp:extent cx="5010150" cy="786765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010150" cy="7867650"/>
                    </a:xfrm>
                    <a:prstGeom prst="rect">
                      <a:avLst/>
                    </a:prstGeom>
                  </pic:spPr>
                </pic:pic>
              </a:graphicData>
            </a:graphic>
          </wp:inline>
        </w:drawing>
      </w:r>
      <w:r>
        <w:rPr>
          <w:noProof/>
          <w:snapToGrid/>
          <w:lang w:eastAsia="en-AU"/>
        </w:rPr>
        <w:lastRenderedPageBreak/>
        <w:drawing>
          <wp:inline distT="0" distB="0" distL="0" distR="0" wp14:anchorId="337476CD" wp14:editId="15FE61B4">
            <wp:extent cx="5000625" cy="7886700"/>
            <wp:effectExtent l="0" t="0" r="952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000625" cy="7886700"/>
                    </a:xfrm>
                    <a:prstGeom prst="rect">
                      <a:avLst/>
                    </a:prstGeom>
                  </pic:spPr>
                </pic:pic>
              </a:graphicData>
            </a:graphic>
          </wp:inline>
        </w:drawing>
      </w:r>
      <w:r>
        <w:rPr>
          <w:noProof/>
          <w:snapToGrid/>
          <w:lang w:eastAsia="en-AU"/>
        </w:rPr>
        <w:lastRenderedPageBreak/>
        <w:drawing>
          <wp:inline distT="0" distB="0" distL="0" distR="0" wp14:anchorId="5AF6F7F4" wp14:editId="4F932302">
            <wp:extent cx="5076825" cy="7915275"/>
            <wp:effectExtent l="0" t="0" r="9525"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076825" cy="7915275"/>
                    </a:xfrm>
                    <a:prstGeom prst="rect">
                      <a:avLst/>
                    </a:prstGeom>
                  </pic:spPr>
                </pic:pic>
              </a:graphicData>
            </a:graphic>
          </wp:inline>
        </w:drawing>
      </w:r>
    </w:p>
    <w:p w:rsidR="00566EAE" w:rsidRDefault="00566EAE" w:rsidP="004E0C44">
      <w:pPr>
        <w:pStyle w:val="PwCNormal"/>
        <w:numPr>
          <w:ilvl w:val="0"/>
          <w:numId w:val="0"/>
        </w:numPr>
      </w:pPr>
    </w:p>
    <w:p w:rsidR="00566EAE" w:rsidRDefault="00566EAE" w:rsidP="004E0C44">
      <w:pPr>
        <w:pStyle w:val="PwCNormal"/>
        <w:numPr>
          <w:ilvl w:val="0"/>
          <w:numId w:val="0"/>
        </w:numPr>
      </w:pPr>
    </w:p>
    <w:p w:rsidR="00566EAE" w:rsidRDefault="00566EAE" w:rsidP="0098018E">
      <w:pPr>
        <w:pStyle w:val="PwCNormal"/>
        <w:sectPr w:rsidR="00566EAE" w:rsidSect="006B008A">
          <w:pgSz w:w="11907" w:h="16840" w:code="9"/>
          <w:pgMar w:top="1588" w:right="1843" w:bottom="1418" w:left="1843" w:header="567" w:footer="567" w:gutter="0"/>
          <w:cols w:space="227"/>
          <w:titlePg/>
          <w:docGrid w:linePitch="360"/>
        </w:sectPr>
      </w:pPr>
    </w:p>
    <w:p w:rsidR="0098018E" w:rsidRDefault="001325B4" w:rsidP="0098018E">
      <w:pPr>
        <w:pStyle w:val="Heading4"/>
      </w:pPr>
      <w:bookmarkStart w:id="118" w:name="_Ref387412397"/>
      <w:bookmarkStart w:id="119" w:name="_Ref387650179"/>
      <w:bookmarkStart w:id="120" w:name="_Toc391459535"/>
      <w:bookmarkStart w:id="121" w:name="_Toc391459539"/>
      <w:r>
        <w:lastRenderedPageBreak/>
        <w:t>Calculation of cost per accident year and liability amounts</w:t>
      </w:r>
      <w:r w:rsidR="004F1D57">
        <w:t xml:space="preserve"> resulting from Serwylo</w:t>
      </w:r>
      <w:bookmarkEnd w:id="118"/>
      <w:bookmarkEnd w:id="119"/>
      <w:bookmarkEnd w:id="120"/>
      <w:bookmarkEnd w:id="121"/>
    </w:p>
    <w:p w:rsidR="00D7072C" w:rsidRDefault="004A246F" w:rsidP="00785051">
      <w:pPr>
        <w:pStyle w:val="Minorheading"/>
        <w:rPr>
          <w:rFonts w:ascii="Georgia" w:hAnsi="Georgia"/>
          <w:i w:val="0"/>
          <w:color w:val="auto"/>
          <w:sz w:val="20"/>
          <w:szCs w:val="20"/>
        </w:rPr>
      </w:pPr>
      <w:r w:rsidRPr="00E94F95">
        <w:rPr>
          <w:rFonts w:ascii="Georgia" w:hAnsi="Georgia"/>
          <w:i w:val="0"/>
          <w:color w:val="auto"/>
          <w:sz w:val="20"/>
          <w:szCs w:val="20"/>
        </w:rPr>
        <w:t xml:space="preserve">This appendix </w:t>
      </w:r>
      <w:r w:rsidR="00D7072C">
        <w:rPr>
          <w:rFonts w:ascii="Georgia" w:hAnsi="Georgia"/>
          <w:i w:val="0"/>
          <w:color w:val="auto"/>
          <w:sz w:val="20"/>
          <w:szCs w:val="20"/>
        </w:rPr>
        <w:t>provides information on the calculations of the cost per accident year and liability amounts resulting from Serwylo and from the GMD</w:t>
      </w:r>
      <w:r w:rsidR="00AE6298">
        <w:rPr>
          <w:rFonts w:ascii="Georgia" w:hAnsi="Georgia"/>
          <w:i w:val="0"/>
          <w:color w:val="auto"/>
          <w:sz w:val="20"/>
          <w:szCs w:val="20"/>
        </w:rPr>
        <w:t xml:space="preserve">, as well as an explanation of the </w:t>
      </w:r>
      <w:r w:rsidR="001E1970">
        <w:rPr>
          <w:rFonts w:ascii="Georgia" w:hAnsi="Georgia"/>
          <w:i w:val="0"/>
          <w:color w:val="auto"/>
          <w:sz w:val="20"/>
          <w:szCs w:val="20"/>
        </w:rPr>
        <w:t>non-linear relationship</w:t>
      </w:r>
      <w:r w:rsidR="00AE6298">
        <w:rPr>
          <w:rFonts w:ascii="Georgia" w:hAnsi="Georgia"/>
          <w:i w:val="0"/>
          <w:color w:val="auto"/>
          <w:sz w:val="20"/>
          <w:szCs w:val="20"/>
        </w:rPr>
        <w:t xml:space="preserve"> between number of claimants affected and value of the transfer between claimants with multiple spinal fractures and the scheme under each implementation option</w:t>
      </w:r>
      <w:r w:rsidR="00D7072C">
        <w:rPr>
          <w:rFonts w:ascii="Georgia" w:hAnsi="Georgia"/>
          <w:i w:val="0"/>
          <w:color w:val="auto"/>
          <w:sz w:val="20"/>
          <w:szCs w:val="20"/>
        </w:rPr>
        <w:t xml:space="preserve">. </w:t>
      </w:r>
    </w:p>
    <w:p w:rsidR="007D2CFB" w:rsidRPr="007D2CFB" w:rsidRDefault="007D2CFB" w:rsidP="001E49D4">
      <w:pPr>
        <w:pStyle w:val="PwCNormal"/>
      </w:pPr>
      <w:r>
        <w:t xml:space="preserve">It should be noted that all figures outlined in this section are estimates only, and are based on assumptions that are uncertain. The underlying data was provided by either the TAC itself or various other sources as indicated in the text. Estimates relating to cost and liability have been provided in consultation with PwC Actuarial, which is </w:t>
      </w:r>
      <w:r w:rsidR="001E1970">
        <w:t xml:space="preserve">the </w:t>
      </w:r>
      <w:r>
        <w:t>TAC</w:t>
      </w:r>
      <w:r w:rsidR="001E1970">
        <w:t>’s</w:t>
      </w:r>
      <w:r>
        <w:t xml:space="preserve"> actuary.</w:t>
      </w:r>
    </w:p>
    <w:p w:rsidR="00E94F95" w:rsidRPr="00785051" w:rsidRDefault="004A246F" w:rsidP="00785051">
      <w:pPr>
        <w:pStyle w:val="Minorheading"/>
        <w:rPr>
          <w:i w:val="0"/>
        </w:rPr>
      </w:pPr>
      <w:r w:rsidRPr="00E94F95">
        <w:rPr>
          <w:rFonts w:ascii="Georgia" w:hAnsi="Georgia"/>
          <w:i w:val="0"/>
          <w:color w:val="auto"/>
          <w:sz w:val="20"/>
          <w:szCs w:val="20"/>
        </w:rPr>
        <w:t xml:space="preserve">It is important to note here that </w:t>
      </w:r>
      <w:r w:rsidR="00D7072C">
        <w:rPr>
          <w:rFonts w:ascii="Georgia" w:hAnsi="Georgia"/>
          <w:i w:val="0"/>
          <w:color w:val="auto"/>
          <w:sz w:val="20"/>
          <w:szCs w:val="20"/>
        </w:rPr>
        <w:t>a</w:t>
      </w:r>
      <w:r w:rsidR="00E96B18" w:rsidRPr="00E96B18">
        <w:rPr>
          <w:rFonts w:ascii="Georgia" w:hAnsi="Georgia"/>
          <w:i w:val="0"/>
          <w:color w:val="auto"/>
          <w:sz w:val="20"/>
          <w:szCs w:val="20"/>
        </w:rPr>
        <w:t xml:space="preserve">ny reduction in compensation to claimants would reduce cost pressure on the scheme. From a cost-benefit analysis perspective, this impact simply represents a transfer of resources or redistribution </w:t>
      </w:r>
      <w:r w:rsidR="005A3BCC">
        <w:rPr>
          <w:rFonts w:ascii="Georgia" w:hAnsi="Georgia"/>
          <w:i w:val="0"/>
          <w:color w:val="auto"/>
          <w:sz w:val="20"/>
          <w:szCs w:val="20"/>
        </w:rPr>
        <w:t xml:space="preserve">between two groups in society. </w:t>
      </w:r>
      <w:r w:rsidR="00E96B18" w:rsidRPr="00E96B18">
        <w:rPr>
          <w:rFonts w:ascii="Georgia" w:hAnsi="Georgia"/>
          <w:i w:val="0"/>
          <w:color w:val="auto"/>
          <w:sz w:val="20"/>
          <w:szCs w:val="20"/>
        </w:rPr>
        <w:t>Transfers can only be regarded as enhancing community wellbeing if a decision is made that one group derives more value from</w:t>
      </w:r>
      <w:r w:rsidR="005A3BCC">
        <w:rPr>
          <w:rFonts w:ascii="Georgia" w:hAnsi="Georgia"/>
          <w:i w:val="0"/>
          <w:color w:val="auto"/>
          <w:sz w:val="20"/>
          <w:szCs w:val="20"/>
        </w:rPr>
        <w:t xml:space="preserve"> the resources than the other. </w:t>
      </w:r>
      <w:r w:rsidR="00E96B18" w:rsidRPr="00E96B18">
        <w:rPr>
          <w:rFonts w:ascii="Georgia" w:hAnsi="Georgia"/>
          <w:i w:val="0"/>
          <w:color w:val="auto"/>
          <w:sz w:val="20"/>
          <w:szCs w:val="20"/>
        </w:rPr>
        <w:t>In this case, we do not make this assumption and so the cost-benefit impact of this transfer is therefore nil.</w:t>
      </w:r>
    </w:p>
    <w:p w:rsidR="008124F7" w:rsidRDefault="008124F7" w:rsidP="0007678D">
      <w:pPr>
        <w:pStyle w:val="Minorheading"/>
      </w:pPr>
      <w:r>
        <w:t>Post-Serwylo cost and liability calculations</w:t>
      </w:r>
    </w:p>
    <w:p w:rsidR="0098018E" w:rsidRPr="009D1265" w:rsidRDefault="0098018E" w:rsidP="0090188B">
      <w:pPr>
        <w:pStyle w:val="PwCNormal"/>
        <w:numPr>
          <w:ilvl w:val="0"/>
          <w:numId w:val="0"/>
        </w:numPr>
        <w:rPr>
          <w:rFonts w:asciiTheme="majorHAnsi" w:hAnsiTheme="majorHAnsi"/>
          <w:b/>
          <w:bCs/>
          <w:color w:val="A32020" w:themeColor="text2"/>
          <w:szCs w:val="18"/>
        </w:rPr>
      </w:pPr>
      <w:r>
        <w:t xml:space="preserve">Data provided by </w:t>
      </w:r>
      <w:r w:rsidR="000604C5">
        <w:t xml:space="preserve">the </w:t>
      </w:r>
      <w:r>
        <w:t>TAC covering impairment claims over the past decade identified that on average, there are 1</w:t>
      </w:r>
      <w:r w:rsidR="009D1DB7">
        <w:t>,</w:t>
      </w:r>
      <w:r>
        <w:t>500 impairment claims per year. In order to identify the impact of Serwylo, we identified the proportion of claimants with spinal injuries in the DRE</w:t>
      </w:r>
      <w:r w:rsidR="009357CE">
        <w:t xml:space="preserve"> II</w:t>
      </w:r>
      <w:r>
        <w:t xml:space="preserve"> or DRE</w:t>
      </w:r>
      <w:r w:rsidR="009357CE">
        <w:t xml:space="preserve"> III</w:t>
      </w:r>
      <w:r>
        <w:t xml:space="preserve"> category whose WPI was likely to increase to DRE</w:t>
      </w:r>
      <w:r w:rsidR="009357CE">
        <w:t xml:space="preserve"> IV</w:t>
      </w:r>
      <w:r>
        <w:t xml:space="preserve"> or abov</w:t>
      </w:r>
      <w:r w:rsidR="006C04CD">
        <w:t>e</w:t>
      </w:r>
      <w:r w:rsidR="009357CE">
        <w:t xml:space="preserve"> as a result of the consequences arising from Serwylo.</w:t>
      </w:r>
      <w:r w:rsidR="00995101">
        <w:t xml:space="preserve"> This is outlined in </w:t>
      </w:r>
      <w:r w:rsidR="00995101">
        <w:fldChar w:fldCharType="begin"/>
      </w:r>
      <w:r w:rsidR="00995101">
        <w:instrText xml:space="preserve"> REF _Ref388003503 \h </w:instrText>
      </w:r>
      <w:r w:rsidR="00995101">
        <w:fldChar w:fldCharType="separate"/>
      </w:r>
      <w:r w:rsidR="00542564">
        <w:t xml:space="preserve">Table </w:t>
      </w:r>
      <w:r w:rsidR="00542564">
        <w:rPr>
          <w:noProof/>
        </w:rPr>
        <w:t>13</w:t>
      </w:r>
      <w:r w:rsidR="00995101">
        <w:fldChar w:fldCharType="end"/>
      </w:r>
      <w:r w:rsidR="00995101">
        <w:t>.</w:t>
      </w:r>
    </w:p>
    <w:p w:rsidR="0090188B" w:rsidRDefault="0090188B" w:rsidP="0090188B">
      <w:pPr>
        <w:pStyle w:val="Caption"/>
      </w:pPr>
      <w:bookmarkStart w:id="122" w:name="_Ref388003503"/>
      <w:r>
        <w:t xml:space="preserve">Table </w:t>
      </w:r>
      <w:fldSimple w:instr=" SEQ Table \* ARABIC ">
        <w:r w:rsidR="00542564">
          <w:rPr>
            <w:noProof/>
          </w:rPr>
          <w:t>13</w:t>
        </w:r>
      </w:fldSimple>
      <w:bookmarkEnd w:id="122"/>
      <w:r>
        <w:t xml:space="preserve">: </w:t>
      </w:r>
      <w:r w:rsidRPr="009D1265">
        <w:t>Number of Serwylo affected claims per year</w:t>
      </w:r>
    </w:p>
    <w:tbl>
      <w:tblPr>
        <w:tblStyle w:val="LightList-Accent1"/>
        <w:tblW w:w="5000" w:type="pct"/>
        <w:tblLook w:val="04A0" w:firstRow="1" w:lastRow="0" w:firstColumn="1" w:lastColumn="0" w:noHBand="0" w:noVBand="1"/>
      </w:tblPr>
      <w:tblGrid>
        <w:gridCol w:w="4853"/>
        <w:gridCol w:w="1792"/>
        <w:gridCol w:w="1792"/>
      </w:tblGrid>
      <w:tr w:rsidR="00F56BBC" w:rsidRPr="006A0A4A" w:rsidTr="00F56B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6" w:type="pct"/>
          </w:tcPr>
          <w:p w:rsidR="00F56BBC" w:rsidRPr="00566D61" w:rsidRDefault="00F56BBC" w:rsidP="00F56BBC">
            <w:pPr>
              <w:pStyle w:val="PwCNormal"/>
              <w:numPr>
                <w:ilvl w:val="0"/>
                <w:numId w:val="0"/>
              </w:numPr>
              <w:spacing w:before="60" w:after="60"/>
              <w:rPr>
                <w:rFonts w:asciiTheme="minorHAnsi" w:hAnsiTheme="minorHAnsi" w:cstheme="minorHAnsi"/>
                <w:sz w:val="16"/>
                <w:szCs w:val="16"/>
              </w:rPr>
            </w:pPr>
          </w:p>
        </w:tc>
        <w:tc>
          <w:tcPr>
            <w:tcW w:w="1062" w:type="pct"/>
          </w:tcPr>
          <w:p w:rsidR="00F56BBC" w:rsidRPr="00566D61" w:rsidRDefault="00F56BBC" w:rsidP="00F56BBC">
            <w:pPr>
              <w:pStyle w:val="PwCNormal"/>
              <w:numPr>
                <w:ilvl w:val="0"/>
                <w:numId w:val="0"/>
              </w:num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Pr>
                <w:rFonts w:asciiTheme="minorHAnsi" w:hAnsiTheme="minorHAnsi" w:cstheme="minorHAnsi"/>
                <w:sz w:val="16"/>
                <w:szCs w:val="16"/>
              </w:rPr>
              <w:t>Proportion of line above</w:t>
            </w:r>
          </w:p>
        </w:tc>
        <w:tc>
          <w:tcPr>
            <w:tcW w:w="1062" w:type="pct"/>
          </w:tcPr>
          <w:p w:rsidR="00F56BBC" w:rsidRPr="00566D61" w:rsidRDefault="00F56BBC" w:rsidP="00F56BBC">
            <w:pPr>
              <w:pStyle w:val="PwCNormal"/>
              <w:numPr>
                <w:ilvl w:val="0"/>
                <w:numId w:val="0"/>
              </w:num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Pr>
                <w:rFonts w:asciiTheme="minorHAnsi" w:hAnsiTheme="minorHAnsi" w:cstheme="minorHAnsi"/>
                <w:sz w:val="16"/>
                <w:szCs w:val="16"/>
              </w:rPr>
              <w:t>Number of claims</w:t>
            </w:r>
          </w:p>
        </w:tc>
      </w:tr>
      <w:tr w:rsidR="000223BE" w:rsidRPr="006A0A4A" w:rsidTr="00F56B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6" w:type="pct"/>
          </w:tcPr>
          <w:p w:rsidR="000223BE" w:rsidRPr="000223BE" w:rsidRDefault="000223BE" w:rsidP="000223BE">
            <w:pPr>
              <w:pStyle w:val="PwCNormal"/>
              <w:numPr>
                <w:ilvl w:val="0"/>
                <w:numId w:val="0"/>
              </w:numPr>
              <w:rPr>
                <w:rFonts w:asciiTheme="minorHAnsi" w:hAnsiTheme="minorHAnsi" w:cstheme="minorHAnsi"/>
                <w:b w:val="0"/>
                <w:sz w:val="16"/>
                <w:szCs w:val="16"/>
              </w:rPr>
            </w:pPr>
            <w:r w:rsidRPr="000223BE">
              <w:rPr>
                <w:rFonts w:asciiTheme="minorHAnsi" w:hAnsiTheme="minorHAnsi" w:cstheme="minorHAnsi"/>
                <w:b w:val="0"/>
                <w:sz w:val="16"/>
                <w:szCs w:val="16"/>
              </w:rPr>
              <w:t>Total Impairment Claims per year</w:t>
            </w:r>
          </w:p>
        </w:tc>
        <w:tc>
          <w:tcPr>
            <w:tcW w:w="1062" w:type="pct"/>
            <w:vAlign w:val="center"/>
          </w:tcPr>
          <w:p w:rsidR="000223BE" w:rsidRPr="00566D61" w:rsidRDefault="000223BE" w:rsidP="00F56BBC">
            <w:pPr>
              <w:pStyle w:val="PwCNormal"/>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566D61">
              <w:rPr>
                <w:rFonts w:asciiTheme="minorHAnsi" w:hAnsiTheme="minorHAnsi" w:cstheme="minorHAnsi"/>
                <w:sz w:val="16"/>
                <w:szCs w:val="16"/>
              </w:rPr>
              <w:t>N/A</w:t>
            </w:r>
          </w:p>
        </w:tc>
        <w:tc>
          <w:tcPr>
            <w:tcW w:w="1062" w:type="pct"/>
            <w:vAlign w:val="center"/>
          </w:tcPr>
          <w:p w:rsidR="000223BE" w:rsidRPr="00566D61" w:rsidRDefault="000223BE" w:rsidP="00F56BBC">
            <w:pPr>
              <w:pStyle w:val="PwCNormal"/>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566D61">
              <w:rPr>
                <w:rFonts w:asciiTheme="minorHAnsi" w:hAnsiTheme="minorHAnsi" w:cstheme="minorHAnsi"/>
                <w:sz w:val="16"/>
                <w:szCs w:val="16"/>
              </w:rPr>
              <w:t>1,500</w:t>
            </w:r>
          </w:p>
        </w:tc>
      </w:tr>
      <w:tr w:rsidR="000223BE" w:rsidRPr="006A0A4A" w:rsidTr="00F56BBC">
        <w:tc>
          <w:tcPr>
            <w:cnfStyle w:val="001000000000" w:firstRow="0" w:lastRow="0" w:firstColumn="1" w:lastColumn="0" w:oddVBand="0" w:evenVBand="0" w:oddHBand="0" w:evenHBand="0" w:firstRowFirstColumn="0" w:firstRowLastColumn="0" w:lastRowFirstColumn="0" w:lastRowLastColumn="0"/>
            <w:tcW w:w="2876" w:type="pct"/>
          </w:tcPr>
          <w:p w:rsidR="000223BE" w:rsidRPr="000223BE" w:rsidRDefault="000223BE" w:rsidP="000223BE">
            <w:pPr>
              <w:pStyle w:val="PwCNormal"/>
              <w:numPr>
                <w:ilvl w:val="0"/>
                <w:numId w:val="0"/>
              </w:numPr>
              <w:rPr>
                <w:rFonts w:asciiTheme="minorHAnsi" w:hAnsiTheme="minorHAnsi" w:cstheme="minorHAnsi"/>
                <w:b w:val="0"/>
                <w:sz w:val="16"/>
                <w:szCs w:val="16"/>
              </w:rPr>
            </w:pPr>
            <w:r w:rsidRPr="000223BE">
              <w:rPr>
                <w:rFonts w:asciiTheme="minorHAnsi" w:hAnsiTheme="minorHAnsi" w:cstheme="minorHAnsi"/>
                <w:b w:val="0"/>
                <w:sz w:val="16"/>
                <w:szCs w:val="16"/>
              </w:rPr>
              <w:t>Spinal injury proportion</w:t>
            </w:r>
          </w:p>
        </w:tc>
        <w:tc>
          <w:tcPr>
            <w:tcW w:w="1062" w:type="pct"/>
            <w:vAlign w:val="center"/>
          </w:tcPr>
          <w:p w:rsidR="000223BE" w:rsidRPr="00566D61" w:rsidRDefault="000223BE" w:rsidP="00F56BBC">
            <w:pPr>
              <w:pStyle w:val="PwCNormal"/>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66D61">
              <w:rPr>
                <w:rFonts w:asciiTheme="minorHAnsi" w:hAnsiTheme="minorHAnsi" w:cstheme="minorHAnsi"/>
                <w:sz w:val="16"/>
                <w:szCs w:val="16"/>
              </w:rPr>
              <w:t>43%</w:t>
            </w:r>
          </w:p>
        </w:tc>
        <w:tc>
          <w:tcPr>
            <w:tcW w:w="1062" w:type="pct"/>
            <w:vAlign w:val="center"/>
          </w:tcPr>
          <w:p w:rsidR="000223BE" w:rsidRPr="00566D61" w:rsidRDefault="000223BE" w:rsidP="00F56BBC">
            <w:pPr>
              <w:pStyle w:val="PwCNormal"/>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66D61">
              <w:rPr>
                <w:rFonts w:asciiTheme="minorHAnsi" w:hAnsiTheme="minorHAnsi" w:cstheme="minorHAnsi"/>
                <w:sz w:val="16"/>
                <w:szCs w:val="16"/>
              </w:rPr>
              <w:t>645</w:t>
            </w:r>
          </w:p>
        </w:tc>
      </w:tr>
      <w:tr w:rsidR="000223BE" w:rsidRPr="006A0A4A" w:rsidTr="00F56B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6" w:type="pct"/>
          </w:tcPr>
          <w:p w:rsidR="000223BE" w:rsidRPr="000223BE" w:rsidRDefault="000223BE" w:rsidP="000223BE">
            <w:pPr>
              <w:pStyle w:val="PwCNormal"/>
              <w:numPr>
                <w:ilvl w:val="0"/>
                <w:numId w:val="0"/>
              </w:numPr>
              <w:rPr>
                <w:rFonts w:asciiTheme="minorHAnsi" w:hAnsiTheme="minorHAnsi" w:cstheme="minorHAnsi"/>
                <w:b w:val="0"/>
                <w:sz w:val="16"/>
                <w:szCs w:val="16"/>
              </w:rPr>
            </w:pPr>
            <w:r w:rsidRPr="000223BE">
              <w:rPr>
                <w:rFonts w:asciiTheme="minorHAnsi" w:hAnsiTheme="minorHAnsi" w:cstheme="minorHAnsi"/>
                <w:b w:val="0"/>
                <w:sz w:val="16"/>
                <w:szCs w:val="16"/>
              </w:rPr>
              <w:t>DRE 2 or 3 proportion of spinal injuries</w:t>
            </w:r>
          </w:p>
        </w:tc>
        <w:tc>
          <w:tcPr>
            <w:tcW w:w="1062" w:type="pct"/>
            <w:vAlign w:val="center"/>
          </w:tcPr>
          <w:p w:rsidR="000223BE" w:rsidRPr="00566D61" w:rsidRDefault="000223BE" w:rsidP="00F56BBC">
            <w:pPr>
              <w:pStyle w:val="PwCNormal"/>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566D61">
              <w:rPr>
                <w:rFonts w:asciiTheme="minorHAnsi" w:hAnsiTheme="minorHAnsi" w:cstheme="minorHAnsi"/>
                <w:sz w:val="16"/>
                <w:szCs w:val="16"/>
              </w:rPr>
              <w:t>90%</w:t>
            </w:r>
          </w:p>
        </w:tc>
        <w:tc>
          <w:tcPr>
            <w:tcW w:w="1062" w:type="pct"/>
            <w:vAlign w:val="center"/>
          </w:tcPr>
          <w:p w:rsidR="000223BE" w:rsidRPr="00566D61" w:rsidRDefault="000223BE" w:rsidP="00F56BBC">
            <w:pPr>
              <w:pStyle w:val="PwCNormal"/>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566D61">
              <w:rPr>
                <w:rFonts w:asciiTheme="minorHAnsi" w:hAnsiTheme="minorHAnsi" w:cstheme="minorHAnsi"/>
                <w:sz w:val="16"/>
                <w:szCs w:val="16"/>
              </w:rPr>
              <w:t>581</w:t>
            </w:r>
          </w:p>
        </w:tc>
      </w:tr>
      <w:tr w:rsidR="000223BE" w:rsidRPr="006A0A4A" w:rsidTr="00F56BBC">
        <w:tc>
          <w:tcPr>
            <w:cnfStyle w:val="001000000000" w:firstRow="0" w:lastRow="0" w:firstColumn="1" w:lastColumn="0" w:oddVBand="0" w:evenVBand="0" w:oddHBand="0" w:evenHBand="0" w:firstRowFirstColumn="0" w:firstRowLastColumn="0" w:lastRowFirstColumn="0" w:lastRowLastColumn="0"/>
            <w:tcW w:w="2876" w:type="pct"/>
          </w:tcPr>
          <w:p w:rsidR="000223BE" w:rsidRPr="000223BE" w:rsidRDefault="000223BE" w:rsidP="009E2B2E">
            <w:pPr>
              <w:pStyle w:val="PwCNormal"/>
              <w:numPr>
                <w:ilvl w:val="0"/>
                <w:numId w:val="0"/>
              </w:numPr>
              <w:rPr>
                <w:rFonts w:asciiTheme="minorHAnsi" w:hAnsiTheme="minorHAnsi" w:cstheme="minorHAnsi"/>
                <w:sz w:val="16"/>
                <w:szCs w:val="16"/>
              </w:rPr>
            </w:pPr>
            <w:r w:rsidRPr="000223BE">
              <w:rPr>
                <w:rFonts w:asciiTheme="minorHAnsi" w:hAnsiTheme="minorHAnsi" w:cstheme="minorHAnsi"/>
                <w:sz w:val="16"/>
                <w:szCs w:val="16"/>
              </w:rPr>
              <w:t xml:space="preserve">Proportion </w:t>
            </w:r>
            <w:r w:rsidR="009E2B2E">
              <w:rPr>
                <w:rFonts w:asciiTheme="minorHAnsi" w:hAnsiTheme="minorHAnsi" w:cstheme="minorHAnsi"/>
                <w:sz w:val="16"/>
                <w:szCs w:val="16"/>
              </w:rPr>
              <w:t>affected following Serwylo (likely to increase to DRE IV)</w:t>
            </w:r>
            <w:r w:rsidRPr="000223BE">
              <w:rPr>
                <w:rFonts w:asciiTheme="minorHAnsi" w:hAnsiTheme="minorHAnsi" w:cstheme="minorHAnsi"/>
                <w:sz w:val="16"/>
                <w:szCs w:val="16"/>
              </w:rPr>
              <w:t xml:space="preserve"> </w:t>
            </w:r>
          </w:p>
        </w:tc>
        <w:tc>
          <w:tcPr>
            <w:tcW w:w="1062" w:type="pct"/>
            <w:vAlign w:val="center"/>
          </w:tcPr>
          <w:p w:rsidR="000223BE" w:rsidRPr="001E49D4" w:rsidRDefault="000223BE" w:rsidP="00F56BBC">
            <w:pPr>
              <w:pStyle w:val="PwCNormal"/>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E49D4">
              <w:rPr>
                <w:rFonts w:asciiTheme="minorHAnsi" w:hAnsiTheme="minorHAnsi" w:cstheme="minorHAnsi"/>
                <w:sz w:val="16"/>
                <w:szCs w:val="16"/>
              </w:rPr>
              <w:t>27%</w:t>
            </w:r>
            <w:r w:rsidR="00364A6B">
              <w:rPr>
                <w:rFonts w:asciiTheme="minorHAnsi" w:hAnsiTheme="minorHAnsi" w:cstheme="minorHAnsi"/>
                <w:sz w:val="16"/>
                <w:szCs w:val="16"/>
              </w:rPr>
              <w:t xml:space="preserve"> (11% of total)</w:t>
            </w:r>
          </w:p>
        </w:tc>
        <w:tc>
          <w:tcPr>
            <w:tcW w:w="1062" w:type="pct"/>
            <w:vAlign w:val="center"/>
          </w:tcPr>
          <w:p w:rsidR="000223BE" w:rsidRPr="000223BE" w:rsidRDefault="000223BE" w:rsidP="00F56BBC">
            <w:pPr>
              <w:pStyle w:val="PwCNormal"/>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0223BE">
              <w:rPr>
                <w:rFonts w:asciiTheme="minorHAnsi" w:hAnsiTheme="minorHAnsi" w:cstheme="minorHAnsi"/>
                <w:b/>
                <w:sz w:val="16"/>
                <w:szCs w:val="16"/>
              </w:rPr>
              <w:t>159</w:t>
            </w:r>
          </w:p>
        </w:tc>
      </w:tr>
    </w:tbl>
    <w:p w:rsidR="000114D7" w:rsidRDefault="000114D7" w:rsidP="00857AE8">
      <w:pPr>
        <w:pStyle w:val="Sources"/>
      </w:pPr>
      <w:r>
        <w:t>Source: PwC analysis of TAC data.</w:t>
      </w:r>
    </w:p>
    <w:p w:rsidR="0098018E" w:rsidRDefault="006F46E1" w:rsidP="00857AE8">
      <w:pPr>
        <w:pStyle w:val="PwCNormal"/>
      </w:pPr>
      <w:r>
        <w:t xml:space="preserve">Following </w:t>
      </w:r>
      <w:r w:rsidR="0098018E">
        <w:t>Serwylo</w:t>
      </w:r>
      <w:r>
        <w:t>, three compensation types were affected:</w:t>
      </w:r>
    </w:p>
    <w:p w:rsidR="0098018E" w:rsidRDefault="0098018E" w:rsidP="0098018E">
      <w:pPr>
        <w:pStyle w:val="PwCNormal"/>
        <w:numPr>
          <w:ilvl w:val="0"/>
          <w:numId w:val="33"/>
        </w:numPr>
      </w:pPr>
      <w:r>
        <w:t>Impairment lump sum benefits</w:t>
      </w:r>
      <w:r w:rsidR="006A0A4A">
        <w:t>.</w:t>
      </w:r>
    </w:p>
    <w:p w:rsidR="0098018E" w:rsidRDefault="0098018E" w:rsidP="0098018E">
      <w:pPr>
        <w:pStyle w:val="PwCNormal"/>
        <w:numPr>
          <w:ilvl w:val="0"/>
          <w:numId w:val="33"/>
        </w:numPr>
      </w:pPr>
      <w:r>
        <w:t xml:space="preserve">Common law </w:t>
      </w:r>
      <w:r w:rsidR="00F132BF">
        <w:t>damages</w:t>
      </w:r>
      <w:r w:rsidR="006A0A4A">
        <w:t>.</w:t>
      </w:r>
    </w:p>
    <w:p w:rsidR="0098018E" w:rsidRPr="00BD0352" w:rsidRDefault="0098018E" w:rsidP="0098018E">
      <w:pPr>
        <w:pStyle w:val="PwCNormal"/>
        <w:numPr>
          <w:ilvl w:val="0"/>
          <w:numId w:val="33"/>
        </w:numPr>
      </w:pPr>
      <w:r>
        <w:t>Additional LOEC benefits</w:t>
      </w:r>
      <w:r w:rsidR="006A0A4A">
        <w:t>.</w:t>
      </w:r>
    </w:p>
    <w:p w:rsidR="0098018E" w:rsidRDefault="0098018E" w:rsidP="0098018E">
      <w:pPr>
        <w:pStyle w:val="PwCNormal"/>
        <w:numPr>
          <w:ilvl w:val="0"/>
          <w:numId w:val="0"/>
        </w:numPr>
      </w:pPr>
      <w:r>
        <w:lastRenderedPageBreak/>
        <w:t>In each case, we have worked out a cost per new accident year, which is broadly the number of claims affected multiplied by the average increase</w:t>
      </w:r>
      <w:r w:rsidR="008E0906">
        <w:t xml:space="preserve"> per claim</w:t>
      </w:r>
      <w:r>
        <w:t xml:space="preserve">. In addition, we have defined the increase in current liability to </w:t>
      </w:r>
      <w:r w:rsidR="000604C5">
        <w:t xml:space="preserve">the </w:t>
      </w:r>
      <w:r>
        <w:t>TAC.</w:t>
      </w:r>
    </w:p>
    <w:p w:rsidR="0098018E" w:rsidRDefault="0098018E" w:rsidP="0098018E">
      <w:pPr>
        <w:pStyle w:val="PwCNormal"/>
        <w:numPr>
          <w:ilvl w:val="0"/>
          <w:numId w:val="0"/>
        </w:numPr>
      </w:pPr>
      <w:r>
        <w:t xml:space="preserve">The current liability is the amount of funds owing to claimants still in the system. This is comprised of the total cost of accidents in each </w:t>
      </w:r>
      <w:r w:rsidR="004F4B69">
        <w:t xml:space="preserve">past </w:t>
      </w:r>
      <w:r>
        <w:t>year</w:t>
      </w:r>
      <w:r w:rsidR="004F4B69">
        <w:t xml:space="preserve">, less the amount not yet paid out in respect of those accidents. </w:t>
      </w:r>
      <w:r w:rsidR="009E2B2E">
        <w:t xml:space="preserve">TAC data has shown that the number of accidents and the average cost of accidents </w:t>
      </w:r>
      <w:r w:rsidR="008811B0">
        <w:t>have</w:t>
      </w:r>
      <w:r w:rsidR="009E2B2E">
        <w:t xml:space="preserve"> remained relatively constant over the recent past. Therefore, it is appropriate to use an estimation of the current year cost to calculate a retrospective liability measure.</w:t>
      </w:r>
    </w:p>
    <w:p w:rsidR="00D4045A" w:rsidRDefault="004F1D57" w:rsidP="00683682">
      <w:pPr>
        <w:pStyle w:val="PwCNormal"/>
        <w:numPr>
          <w:ilvl w:val="0"/>
          <w:numId w:val="0"/>
        </w:numPr>
      </w:pPr>
      <w:r>
        <w:fldChar w:fldCharType="begin"/>
      </w:r>
      <w:r>
        <w:instrText xml:space="preserve"> REF _Ref386547157 \h </w:instrText>
      </w:r>
      <w:r>
        <w:fldChar w:fldCharType="separate"/>
      </w:r>
      <w:r w:rsidR="00542564">
        <w:t xml:space="preserve">Figure </w:t>
      </w:r>
      <w:r w:rsidR="00542564">
        <w:rPr>
          <w:noProof/>
        </w:rPr>
        <w:t>3</w:t>
      </w:r>
      <w:r>
        <w:fldChar w:fldCharType="end"/>
      </w:r>
      <w:r w:rsidR="0098018E">
        <w:t xml:space="preserve"> below outlines an example of the total liability for 2014. The orange square represents the total cost of impairment claims to</w:t>
      </w:r>
      <w:r w:rsidR="000604C5">
        <w:t xml:space="preserve"> the</w:t>
      </w:r>
      <w:r w:rsidR="0098018E">
        <w:t xml:space="preserve"> TAC in the most recent year, which we assume to be relatively consistent</w:t>
      </w:r>
      <w:r w:rsidR="00364A6B">
        <w:t>.</w:t>
      </w:r>
      <w:r w:rsidR="00684B40">
        <w:rPr>
          <w:rStyle w:val="FootnoteReference"/>
        </w:rPr>
        <w:footnoteReference w:id="73"/>
      </w:r>
      <w:r w:rsidR="0098018E">
        <w:t xml:space="preserve"> The liability is then the sum of this cost over past years </w:t>
      </w:r>
      <w:r w:rsidR="00C574C4">
        <w:t>less the compensation entitlements</w:t>
      </w:r>
      <w:r w:rsidR="0098018E">
        <w:t xml:space="preserve"> already paid out. The liability is represented by the blue triangle in the diagram below. </w:t>
      </w:r>
      <w:r w:rsidR="002B1F77">
        <w:t xml:space="preserve">Everything outside the blue triangle is assumed to have been paid. </w:t>
      </w:r>
      <w:r w:rsidR="0098018E">
        <w:t xml:space="preserve">Mathematically, we can apply a liability multiplier to the cost per new accident year for each </w:t>
      </w:r>
      <w:r w:rsidR="00C574C4">
        <w:t xml:space="preserve">compensation </w:t>
      </w:r>
      <w:r w:rsidR="0098018E">
        <w:t>type based on</w:t>
      </w:r>
      <w:r w:rsidR="000604C5">
        <w:t xml:space="preserve"> </w:t>
      </w:r>
      <w:r w:rsidR="00FB1DC6">
        <w:t>TAC data surrounding</w:t>
      </w:r>
      <w:r w:rsidR="0098018E">
        <w:t xml:space="preserve"> the average time taken for </w:t>
      </w:r>
      <w:r w:rsidR="00F50D00">
        <w:t>compensation</w:t>
      </w:r>
      <w:r w:rsidR="0098018E">
        <w:t xml:space="preserve"> to be paid out.</w:t>
      </w:r>
      <w:r w:rsidR="00461560">
        <w:rPr>
          <w:rStyle w:val="FootnoteReference"/>
        </w:rPr>
        <w:footnoteReference w:id="74"/>
      </w:r>
      <w:r w:rsidR="00D4045A">
        <w:t xml:space="preserve"> </w:t>
      </w:r>
      <w:r w:rsidR="00451E40">
        <w:t xml:space="preserve">Conceptually, the liability multiplier reflects the average number of years between accident date and final payment date. </w:t>
      </w:r>
      <w:r w:rsidR="00D4045A">
        <w:t xml:space="preserve">In terms of the three compensation types dealt with in this analysis, </w:t>
      </w:r>
      <w:r w:rsidR="00FA06E1">
        <w:t>impairment benefits are traditionally paid out the soonest, and therefore have</w:t>
      </w:r>
      <w:r w:rsidR="00D4045A">
        <w:t xml:space="preserve"> the lowest liability multiplier. Common law payments, which have to go through the court system traditionally take longer, while additional LOEC compensation </w:t>
      </w:r>
      <w:r w:rsidR="002E67D1">
        <w:t>is a</w:t>
      </w:r>
      <w:r w:rsidR="008E0906">
        <w:t xml:space="preserve"> recurring amount that can be paid until the claimant reaches retirement age.</w:t>
      </w:r>
      <w:r w:rsidR="00D4045A">
        <w:t xml:space="preserve"> In essence, a longer lag between accident and average payment date equals a higher liability multiplier.</w:t>
      </w:r>
    </w:p>
    <w:p w:rsidR="0090188B" w:rsidRDefault="0090188B" w:rsidP="001E49D4">
      <w:pPr>
        <w:pStyle w:val="Caption"/>
        <w:keepNext w:val="0"/>
        <w:keepLines w:val="0"/>
      </w:pPr>
      <w:bookmarkStart w:id="123" w:name="_Ref386547157"/>
      <w:r>
        <w:t xml:space="preserve">Figure </w:t>
      </w:r>
      <w:fldSimple w:instr=" SEQ Figure \* ARABIC ">
        <w:r w:rsidR="00542564">
          <w:rPr>
            <w:noProof/>
          </w:rPr>
          <w:t>3</w:t>
        </w:r>
      </w:fldSimple>
      <w:bookmarkEnd w:id="123"/>
      <w:r>
        <w:t xml:space="preserve">: </w:t>
      </w:r>
      <w:r w:rsidRPr="009D1265">
        <w:t xml:space="preserve">Liability </w:t>
      </w:r>
      <w:r>
        <w:t>m</w:t>
      </w:r>
      <w:r w:rsidRPr="009D1265">
        <w:t xml:space="preserve">ultiplier </w:t>
      </w:r>
      <w:r>
        <w:t>e</w:t>
      </w:r>
      <w:r w:rsidRPr="009D1265">
        <w:t>xample</w:t>
      </w:r>
    </w:p>
    <w:tbl>
      <w:tblPr>
        <w:tblStyle w:val="Tables-APBase2"/>
        <w:tblW w:w="0" w:type="auto"/>
        <w:tblLayout w:type="fixed"/>
        <w:tblLook w:val="04A0" w:firstRow="1" w:lastRow="0" w:firstColumn="1" w:lastColumn="0" w:noHBand="0" w:noVBand="1"/>
      </w:tblPr>
      <w:tblGrid>
        <w:gridCol w:w="1242"/>
        <w:gridCol w:w="851"/>
        <w:gridCol w:w="749"/>
        <w:gridCol w:w="814"/>
        <w:gridCol w:w="814"/>
        <w:gridCol w:w="814"/>
        <w:gridCol w:w="815"/>
        <w:gridCol w:w="815"/>
      </w:tblGrid>
      <w:tr w:rsidR="0098018E" w:rsidTr="0098018E">
        <w:trPr>
          <w:cnfStyle w:val="100000000000" w:firstRow="1" w:lastRow="0" w:firstColumn="0" w:lastColumn="0" w:oddVBand="0" w:evenVBand="0" w:oddHBand="0" w:evenHBand="0" w:firstRowFirstColumn="0" w:firstRowLastColumn="0" w:lastRowFirstColumn="0" w:lastRowLastColumn="0"/>
          <w:trHeight w:val="247"/>
        </w:trPr>
        <w:tc>
          <w:tcPr>
            <w:cnfStyle w:val="001000000100" w:firstRow="0" w:lastRow="0" w:firstColumn="1" w:lastColumn="0" w:oddVBand="0" w:evenVBand="0" w:oddHBand="0" w:evenHBand="0" w:firstRowFirstColumn="1" w:firstRowLastColumn="0" w:lastRowFirstColumn="0" w:lastRowLastColumn="0"/>
            <w:tcW w:w="2093" w:type="dxa"/>
            <w:gridSpan w:val="2"/>
            <w:vMerge w:val="restart"/>
          </w:tcPr>
          <w:p w:rsidR="0098018E" w:rsidRDefault="0098018E" w:rsidP="001E49D4">
            <w:pPr>
              <w:rPr>
                <w:rFonts w:ascii="Georgia" w:hAnsi="Georgia"/>
                <w:b w:val="0"/>
                <w:snapToGrid/>
                <w:color w:val="auto"/>
              </w:rPr>
            </w:pPr>
            <w:r>
              <w:rPr>
                <w:noProof/>
                <w:snapToGrid/>
                <w:lang w:eastAsia="en-AU"/>
              </w:rPr>
              <mc:AlternateContent>
                <mc:Choice Requires="wps">
                  <w:drawing>
                    <wp:anchor distT="0" distB="0" distL="114300" distR="114300" simplePos="0" relativeHeight="251696128" behindDoc="0" locked="0" layoutInCell="1" allowOverlap="1" wp14:anchorId="5AB2D59F" wp14:editId="19BA230F">
                      <wp:simplePos x="0" y="0"/>
                      <wp:positionH relativeFrom="column">
                        <wp:posOffset>1106805</wp:posOffset>
                      </wp:positionH>
                      <wp:positionV relativeFrom="paragraph">
                        <wp:posOffset>244475</wp:posOffset>
                      </wp:positionV>
                      <wp:extent cx="3171825" cy="1038225"/>
                      <wp:effectExtent l="19050" t="19050" r="28575" b="28575"/>
                      <wp:wrapNone/>
                      <wp:docPr id="124" name="Right Triangle 124"/>
                      <wp:cNvGraphicFramePr/>
                      <a:graphic xmlns:a="http://schemas.openxmlformats.org/drawingml/2006/main">
                        <a:graphicData uri="http://schemas.microsoft.com/office/word/2010/wordprocessingShape">
                          <wps:wsp>
                            <wps:cNvSpPr/>
                            <wps:spPr bwMode="ltGray">
                              <a:xfrm flipH="1">
                                <a:off x="0" y="0"/>
                                <a:ext cx="3171825" cy="1038225"/>
                              </a:xfrm>
                              <a:prstGeom prst="rtTriangle">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124" o:spid="_x0000_s1026" type="#_x0000_t6" style="position:absolute;margin-left:87.15pt;margin-top:19.25pt;width:249.75pt;height:81.7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" filled="f" strokecolor="#0070c0" strokeweight="2.25pt"/>
                  </w:pict>
                </mc:Fallback>
              </mc:AlternateContent>
            </w:r>
          </w:p>
        </w:tc>
        <w:tc>
          <w:tcPr>
            <w:tcW w:w="4821" w:type="dxa"/>
            <w:gridSpan w:val="6"/>
            <w:shd w:val="clear" w:color="auto" w:fill="A72316" w:themeFill="accent2" w:themeFillShade="BF"/>
          </w:tcPr>
          <w:p w:rsidR="0098018E" w:rsidRPr="00CE4B4A" w:rsidRDefault="0098018E" w:rsidP="001E49D4">
            <w:pPr>
              <w:cnfStyle w:val="100000000000" w:firstRow="1" w:lastRow="0" w:firstColumn="0" w:lastColumn="0" w:oddVBand="0" w:evenVBand="0" w:oddHBand="0" w:evenHBand="0" w:firstRowFirstColumn="0" w:firstRowLastColumn="0" w:lastRowFirstColumn="0" w:lastRowLastColumn="0"/>
              <w:rPr>
                <w:rFonts w:cstheme="minorHAnsi"/>
                <w:b w:val="0"/>
                <w:color w:val="auto"/>
              </w:rPr>
            </w:pPr>
            <w:r w:rsidRPr="00CE4B4A">
              <w:rPr>
                <w:rFonts w:cstheme="minorHAnsi"/>
              </w:rPr>
              <w:t>Payment Year</w:t>
            </w:r>
          </w:p>
        </w:tc>
      </w:tr>
      <w:tr w:rsidR="0098018E" w:rsidTr="0098018E">
        <w:trPr>
          <w:trHeight w:val="158"/>
        </w:trPr>
        <w:tc>
          <w:tcPr>
            <w:cnfStyle w:val="001000000000" w:firstRow="0" w:lastRow="0" w:firstColumn="1" w:lastColumn="0" w:oddVBand="0" w:evenVBand="0" w:oddHBand="0" w:evenHBand="0" w:firstRowFirstColumn="0" w:firstRowLastColumn="0" w:lastRowFirstColumn="0" w:lastRowLastColumn="0"/>
            <w:tcW w:w="2093" w:type="dxa"/>
            <w:gridSpan w:val="2"/>
            <w:vMerge/>
          </w:tcPr>
          <w:p w:rsidR="0098018E" w:rsidRPr="00975389" w:rsidRDefault="0098018E" w:rsidP="001E49D4">
            <w:pPr>
              <w:rPr>
                <w:b/>
              </w:rPr>
            </w:pPr>
          </w:p>
        </w:tc>
        <w:tc>
          <w:tcPr>
            <w:tcW w:w="749" w:type="dxa"/>
          </w:tcPr>
          <w:p w:rsidR="0098018E" w:rsidRPr="00975389" w:rsidRDefault="0098018E" w:rsidP="001E49D4">
            <w:pPr>
              <w:cnfStyle w:val="000000000000" w:firstRow="0" w:lastRow="0" w:firstColumn="0" w:lastColumn="0" w:oddVBand="0" w:evenVBand="0" w:oddHBand="0" w:evenHBand="0" w:firstRowFirstColumn="0" w:firstRowLastColumn="0" w:lastRowFirstColumn="0" w:lastRowLastColumn="0"/>
              <w:rPr>
                <w:rFonts w:ascii="Arial" w:hAnsi="Arial"/>
                <w:b/>
                <w:snapToGrid/>
                <w:sz w:val="16"/>
                <w:szCs w:val="18"/>
              </w:rPr>
            </w:pPr>
            <w:r w:rsidRPr="00975389">
              <w:rPr>
                <w:b/>
              </w:rPr>
              <w:t>Yr0</w:t>
            </w:r>
          </w:p>
        </w:tc>
        <w:tc>
          <w:tcPr>
            <w:tcW w:w="814" w:type="dxa"/>
          </w:tcPr>
          <w:p w:rsidR="0098018E" w:rsidRPr="00975389" w:rsidRDefault="0098018E" w:rsidP="001E49D4">
            <w:pPr>
              <w:cnfStyle w:val="000000000000" w:firstRow="0" w:lastRow="0" w:firstColumn="0" w:lastColumn="0" w:oddVBand="0" w:evenVBand="0" w:oddHBand="0" w:evenHBand="0" w:firstRowFirstColumn="0" w:firstRowLastColumn="0" w:lastRowFirstColumn="0" w:lastRowLastColumn="0"/>
              <w:rPr>
                <w:rFonts w:ascii="Arial" w:hAnsi="Arial"/>
                <w:b/>
                <w:snapToGrid/>
                <w:sz w:val="16"/>
                <w:szCs w:val="18"/>
              </w:rPr>
            </w:pPr>
            <w:r w:rsidRPr="00975389">
              <w:rPr>
                <w:b/>
              </w:rPr>
              <w:t>Yr1</w:t>
            </w:r>
          </w:p>
        </w:tc>
        <w:tc>
          <w:tcPr>
            <w:tcW w:w="814" w:type="dxa"/>
          </w:tcPr>
          <w:p w:rsidR="0098018E" w:rsidRPr="00975389" w:rsidRDefault="0098018E" w:rsidP="001E49D4">
            <w:pPr>
              <w:cnfStyle w:val="000000000000" w:firstRow="0" w:lastRow="0" w:firstColumn="0" w:lastColumn="0" w:oddVBand="0" w:evenVBand="0" w:oddHBand="0" w:evenHBand="0" w:firstRowFirstColumn="0" w:firstRowLastColumn="0" w:lastRowFirstColumn="0" w:lastRowLastColumn="0"/>
              <w:rPr>
                <w:b/>
              </w:rPr>
            </w:pPr>
            <w:r w:rsidRPr="00975389">
              <w:rPr>
                <w:b/>
              </w:rPr>
              <w:t>Yr2</w:t>
            </w:r>
          </w:p>
        </w:tc>
        <w:tc>
          <w:tcPr>
            <w:tcW w:w="814" w:type="dxa"/>
          </w:tcPr>
          <w:p w:rsidR="0098018E" w:rsidRPr="00975389" w:rsidRDefault="0098018E" w:rsidP="001E49D4">
            <w:pPr>
              <w:cnfStyle w:val="000000000000" w:firstRow="0" w:lastRow="0" w:firstColumn="0" w:lastColumn="0" w:oddVBand="0" w:evenVBand="0" w:oddHBand="0" w:evenHBand="0" w:firstRowFirstColumn="0" w:firstRowLastColumn="0" w:lastRowFirstColumn="0" w:lastRowLastColumn="0"/>
              <w:rPr>
                <w:b/>
              </w:rPr>
            </w:pPr>
            <w:r w:rsidRPr="00975389">
              <w:rPr>
                <w:b/>
              </w:rPr>
              <w:t>Yr3</w:t>
            </w:r>
          </w:p>
        </w:tc>
        <w:tc>
          <w:tcPr>
            <w:tcW w:w="815" w:type="dxa"/>
          </w:tcPr>
          <w:p w:rsidR="0098018E" w:rsidRPr="00975389" w:rsidRDefault="0098018E" w:rsidP="001E49D4">
            <w:pPr>
              <w:cnfStyle w:val="000000000000" w:firstRow="0" w:lastRow="0" w:firstColumn="0" w:lastColumn="0" w:oddVBand="0" w:evenVBand="0" w:oddHBand="0" w:evenHBand="0" w:firstRowFirstColumn="0" w:firstRowLastColumn="0" w:lastRowFirstColumn="0" w:lastRowLastColumn="0"/>
              <w:rPr>
                <w:b/>
              </w:rPr>
            </w:pPr>
            <w:r w:rsidRPr="00975389">
              <w:rPr>
                <w:b/>
              </w:rPr>
              <w:t>Yr4</w:t>
            </w:r>
          </w:p>
        </w:tc>
        <w:tc>
          <w:tcPr>
            <w:tcW w:w="815" w:type="dxa"/>
          </w:tcPr>
          <w:p w:rsidR="0098018E" w:rsidRPr="00975389" w:rsidRDefault="0098018E" w:rsidP="001E49D4">
            <w:pPr>
              <w:cnfStyle w:val="000000000000" w:firstRow="0" w:lastRow="0" w:firstColumn="0" w:lastColumn="0" w:oddVBand="0" w:evenVBand="0" w:oddHBand="0" w:evenHBand="0" w:firstRowFirstColumn="0" w:firstRowLastColumn="0" w:lastRowFirstColumn="0" w:lastRowLastColumn="0"/>
              <w:rPr>
                <w:b/>
              </w:rPr>
            </w:pPr>
            <w:r w:rsidRPr="00975389">
              <w:rPr>
                <w:b/>
              </w:rPr>
              <w:t>Yr5</w:t>
            </w:r>
          </w:p>
        </w:tc>
      </w:tr>
      <w:tr w:rsidR="0098018E" w:rsidTr="0098018E">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242" w:type="dxa"/>
            <w:vMerge w:val="restart"/>
            <w:shd w:val="clear" w:color="auto" w:fill="A72316" w:themeFill="accent2" w:themeFillShade="BF"/>
            <w:vAlign w:val="center"/>
          </w:tcPr>
          <w:p w:rsidR="0098018E" w:rsidRPr="00785051" w:rsidRDefault="0098018E" w:rsidP="001E49D4">
            <w:pPr>
              <w:jc w:val="center"/>
              <w:rPr>
                <w:rFonts w:asciiTheme="minorHAnsi" w:hAnsiTheme="minorHAnsi" w:cstheme="minorHAnsi"/>
              </w:rPr>
            </w:pPr>
            <w:r w:rsidRPr="00785051">
              <w:rPr>
                <w:rFonts w:asciiTheme="minorHAnsi" w:hAnsiTheme="minorHAnsi" w:cstheme="minorHAnsi"/>
                <w:b/>
                <w:color w:val="FFFFFF" w:themeColor="background2"/>
              </w:rPr>
              <w:t>Accident Year</w:t>
            </w:r>
          </w:p>
        </w:tc>
        <w:tc>
          <w:tcPr>
            <w:tcW w:w="851" w:type="dxa"/>
          </w:tcPr>
          <w:p w:rsidR="0098018E" w:rsidRPr="00975389" w:rsidRDefault="0098018E" w:rsidP="001E49D4">
            <w:pPr>
              <w:cnfStyle w:val="000000010000" w:firstRow="0" w:lastRow="0" w:firstColumn="0" w:lastColumn="0" w:oddVBand="0" w:evenVBand="0" w:oddHBand="0" w:evenHBand="1" w:firstRowFirstColumn="0" w:firstRowLastColumn="0" w:lastRowFirstColumn="0" w:lastRowLastColumn="0"/>
              <w:rPr>
                <w:rFonts w:ascii="Arial" w:hAnsi="Arial"/>
                <w:snapToGrid/>
                <w:sz w:val="16"/>
                <w:szCs w:val="18"/>
              </w:rPr>
            </w:pPr>
            <w:r w:rsidRPr="00975389">
              <w:t>2009</w:t>
            </w:r>
          </w:p>
        </w:tc>
        <w:tc>
          <w:tcPr>
            <w:tcW w:w="749" w:type="dxa"/>
          </w:tcPr>
          <w:p w:rsidR="0098018E" w:rsidRDefault="0098018E" w:rsidP="001E49D4">
            <w:pPr>
              <w:jc w:val="center"/>
              <w:cnfStyle w:val="000000010000" w:firstRow="0" w:lastRow="0" w:firstColumn="0" w:lastColumn="0" w:oddVBand="0" w:evenVBand="0" w:oddHBand="0" w:evenHBand="1" w:firstRowFirstColumn="0" w:firstRowLastColumn="0" w:lastRowFirstColumn="0" w:lastRowLastColumn="0"/>
            </w:pPr>
          </w:p>
        </w:tc>
        <w:tc>
          <w:tcPr>
            <w:tcW w:w="814" w:type="dxa"/>
          </w:tcPr>
          <w:p w:rsidR="0098018E" w:rsidRDefault="0098018E" w:rsidP="001E49D4">
            <w:pPr>
              <w:jc w:val="center"/>
              <w:cnfStyle w:val="000000010000" w:firstRow="0" w:lastRow="0" w:firstColumn="0" w:lastColumn="0" w:oddVBand="0" w:evenVBand="0" w:oddHBand="0" w:evenHBand="1" w:firstRowFirstColumn="0" w:firstRowLastColumn="0" w:lastRowFirstColumn="0" w:lastRowLastColumn="0"/>
            </w:pPr>
          </w:p>
        </w:tc>
        <w:tc>
          <w:tcPr>
            <w:tcW w:w="814" w:type="dxa"/>
          </w:tcPr>
          <w:p w:rsidR="0098018E" w:rsidRDefault="0098018E" w:rsidP="001E49D4">
            <w:pPr>
              <w:jc w:val="center"/>
              <w:cnfStyle w:val="000000010000" w:firstRow="0" w:lastRow="0" w:firstColumn="0" w:lastColumn="0" w:oddVBand="0" w:evenVBand="0" w:oddHBand="0" w:evenHBand="1" w:firstRowFirstColumn="0" w:firstRowLastColumn="0" w:lastRowFirstColumn="0" w:lastRowLastColumn="0"/>
            </w:pPr>
          </w:p>
        </w:tc>
        <w:tc>
          <w:tcPr>
            <w:tcW w:w="814" w:type="dxa"/>
          </w:tcPr>
          <w:p w:rsidR="0098018E" w:rsidRDefault="0098018E" w:rsidP="001E49D4">
            <w:pPr>
              <w:jc w:val="center"/>
              <w:cnfStyle w:val="000000010000" w:firstRow="0" w:lastRow="0" w:firstColumn="0" w:lastColumn="0" w:oddVBand="0" w:evenVBand="0" w:oddHBand="0" w:evenHBand="1" w:firstRowFirstColumn="0" w:firstRowLastColumn="0" w:lastRowFirstColumn="0" w:lastRowLastColumn="0"/>
            </w:pPr>
          </w:p>
        </w:tc>
        <w:tc>
          <w:tcPr>
            <w:tcW w:w="815" w:type="dxa"/>
          </w:tcPr>
          <w:p w:rsidR="0098018E" w:rsidRDefault="0098018E" w:rsidP="001E49D4">
            <w:pPr>
              <w:jc w:val="center"/>
              <w:cnfStyle w:val="000000010000" w:firstRow="0" w:lastRow="0" w:firstColumn="0" w:lastColumn="0" w:oddVBand="0" w:evenVBand="0" w:oddHBand="0" w:evenHBand="1" w:firstRowFirstColumn="0" w:firstRowLastColumn="0" w:lastRowFirstColumn="0" w:lastRowLastColumn="0"/>
            </w:pPr>
          </w:p>
        </w:tc>
        <w:tc>
          <w:tcPr>
            <w:tcW w:w="815" w:type="dxa"/>
          </w:tcPr>
          <w:p w:rsidR="0098018E" w:rsidRDefault="0098018E" w:rsidP="001E49D4">
            <w:pPr>
              <w:jc w:val="center"/>
              <w:cnfStyle w:val="000000010000" w:firstRow="0" w:lastRow="0" w:firstColumn="0" w:lastColumn="0" w:oddVBand="0" w:evenVBand="0" w:oddHBand="0" w:evenHBand="1" w:firstRowFirstColumn="0" w:firstRowLastColumn="0" w:lastRowFirstColumn="0" w:lastRowLastColumn="0"/>
              <w:rPr>
                <w:rFonts w:ascii="Arial" w:hAnsi="Arial"/>
                <w:snapToGrid/>
                <w:sz w:val="16"/>
                <w:szCs w:val="18"/>
              </w:rPr>
            </w:pPr>
            <w:r>
              <w:t>X</w:t>
            </w:r>
          </w:p>
        </w:tc>
      </w:tr>
      <w:tr w:rsidR="0098018E" w:rsidTr="0098018E">
        <w:trPr>
          <w:trHeight w:val="158"/>
        </w:trPr>
        <w:tc>
          <w:tcPr>
            <w:cnfStyle w:val="001000000000" w:firstRow="0" w:lastRow="0" w:firstColumn="1" w:lastColumn="0" w:oddVBand="0" w:evenVBand="0" w:oddHBand="0" w:evenHBand="0" w:firstRowFirstColumn="0" w:firstRowLastColumn="0" w:lastRowFirstColumn="0" w:lastRowLastColumn="0"/>
            <w:tcW w:w="1242" w:type="dxa"/>
            <w:vMerge/>
            <w:shd w:val="clear" w:color="auto" w:fill="A72316" w:themeFill="accent2" w:themeFillShade="BF"/>
          </w:tcPr>
          <w:p w:rsidR="0098018E" w:rsidRDefault="0098018E" w:rsidP="001E49D4"/>
        </w:tc>
        <w:tc>
          <w:tcPr>
            <w:tcW w:w="851" w:type="dxa"/>
          </w:tcPr>
          <w:p w:rsidR="0098018E" w:rsidRPr="00975389" w:rsidRDefault="0098018E" w:rsidP="001E49D4">
            <w:pPr>
              <w:cnfStyle w:val="000000000000" w:firstRow="0" w:lastRow="0" w:firstColumn="0" w:lastColumn="0" w:oddVBand="0" w:evenVBand="0" w:oddHBand="0" w:evenHBand="0" w:firstRowFirstColumn="0" w:firstRowLastColumn="0" w:lastRowFirstColumn="0" w:lastRowLastColumn="0"/>
              <w:rPr>
                <w:rFonts w:ascii="Arial" w:hAnsi="Arial"/>
                <w:snapToGrid/>
                <w:sz w:val="16"/>
                <w:szCs w:val="18"/>
              </w:rPr>
            </w:pPr>
            <w:r w:rsidRPr="00975389">
              <w:t>2010</w:t>
            </w:r>
          </w:p>
        </w:tc>
        <w:tc>
          <w:tcPr>
            <w:tcW w:w="749" w:type="dxa"/>
          </w:tcPr>
          <w:p w:rsidR="0098018E" w:rsidRDefault="0098018E" w:rsidP="001E49D4">
            <w:pPr>
              <w:jc w:val="center"/>
              <w:cnfStyle w:val="000000000000" w:firstRow="0" w:lastRow="0" w:firstColumn="0" w:lastColumn="0" w:oddVBand="0" w:evenVBand="0" w:oddHBand="0" w:evenHBand="0" w:firstRowFirstColumn="0" w:firstRowLastColumn="0" w:lastRowFirstColumn="0" w:lastRowLastColumn="0"/>
            </w:pPr>
          </w:p>
        </w:tc>
        <w:tc>
          <w:tcPr>
            <w:tcW w:w="814" w:type="dxa"/>
          </w:tcPr>
          <w:p w:rsidR="0098018E" w:rsidRDefault="0098018E" w:rsidP="001E49D4">
            <w:pPr>
              <w:jc w:val="center"/>
              <w:cnfStyle w:val="000000000000" w:firstRow="0" w:lastRow="0" w:firstColumn="0" w:lastColumn="0" w:oddVBand="0" w:evenVBand="0" w:oddHBand="0" w:evenHBand="0" w:firstRowFirstColumn="0" w:firstRowLastColumn="0" w:lastRowFirstColumn="0" w:lastRowLastColumn="0"/>
            </w:pPr>
          </w:p>
        </w:tc>
        <w:tc>
          <w:tcPr>
            <w:tcW w:w="814" w:type="dxa"/>
          </w:tcPr>
          <w:p w:rsidR="0098018E" w:rsidRDefault="0098018E" w:rsidP="001E49D4">
            <w:pPr>
              <w:jc w:val="center"/>
              <w:cnfStyle w:val="000000000000" w:firstRow="0" w:lastRow="0" w:firstColumn="0" w:lastColumn="0" w:oddVBand="0" w:evenVBand="0" w:oddHBand="0" w:evenHBand="0" w:firstRowFirstColumn="0" w:firstRowLastColumn="0" w:lastRowFirstColumn="0" w:lastRowLastColumn="0"/>
            </w:pPr>
          </w:p>
        </w:tc>
        <w:tc>
          <w:tcPr>
            <w:tcW w:w="814" w:type="dxa"/>
          </w:tcPr>
          <w:p w:rsidR="0098018E" w:rsidRDefault="0098018E" w:rsidP="001E49D4">
            <w:pPr>
              <w:jc w:val="center"/>
              <w:cnfStyle w:val="000000000000" w:firstRow="0" w:lastRow="0" w:firstColumn="0" w:lastColumn="0" w:oddVBand="0" w:evenVBand="0" w:oddHBand="0" w:evenHBand="0" w:firstRowFirstColumn="0" w:firstRowLastColumn="0" w:lastRowFirstColumn="0" w:lastRowLastColumn="0"/>
            </w:pPr>
          </w:p>
        </w:tc>
        <w:tc>
          <w:tcPr>
            <w:tcW w:w="815" w:type="dxa"/>
          </w:tcPr>
          <w:p w:rsidR="0098018E" w:rsidRDefault="0098018E" w:rsidP="001E49D4">
            <w:pPr>
              <w:jc w:val="center"/>
              <w:cnfStyle w:val="000000000000" w:firstRow="0" w:lastRow="0" w:firstColumn="0" w:lastColumn="0" w:oddVBand="0" w:evenVBand="0" w:oddHBand="0" w:evenHBand="0" w:firstRowFirstColumn="0" w:firstRowLastColumn="0" w:lastRowFirstColumn="0" w:lastRowLastColumn="0"/>
              <w:rPr>
                <w:rFonts w:ascii="Arial" w:hAnsi="Arial"/>
                <w:snapToGrid/>
                <w:sz w:val="16"/>
                <w:szCs w:val="18"/>
              </w:rPr>
            </w:pPr>
            <w:r>
              <w:t>X</w:t>
            </w:r>
          </w:p>
        </w:tc>
        <w:tc>
          <w:tcPr>
            <w:tcW w:w="815" w:type="dxa"/>
          </w:tcPr>
          <w:p w:rsidR="0098018E" w:rsidRDefault="0098018E" w:rsidP="001E49D4">
            <w:pPr>
              <w:jc w:val="center"/>
              <w:cnfStyle w:val="000000000000" w:firstRow="0" w:lastRow="0" w:firstColumn="0" w:lastColumn="0" w:oddVBand="0" w:evenVBand="0" w:oddHBand="0" w:evenHBand="0" w:firstRowFirstColumn="0" w:firstRowLastColumn="0" w:lastRowFirstColumn="0" w:lastRowLastColumn="0"/>
              <w:rPr>
                <w:rFonts w:ascii="Arial" w:hAnsi="Arial"/>
                <w:snapToGrid/>
                <w:sz w:val="16"/>
                <w:szCs w:val="18"/>
              </w:rPr>
            </w:pPr>
            <w:r>
              <w:t>X</w:t>
            </w:r>
          </w:p>
        </w:tc>
      </w:tr>
      <w:tr w:rsidR="0098018E" w:rsidTr="0098018E">
        <w:trPr>
          <w:cnfStyle w:val="000000010000" w:firstRow="0" w:lastRow="0" w:firstColumn="0" w:lastColumn="0" w:oddVBand="0" w:evenVBand="0" w:oddHBand="0" w:evenHBand="1"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242" w:type="dxa"/>
            <w:vMerge/>
            <w:shd w:val="clear" w:color="auto" w:fill="A72316" w:themeFill="accent2" w:themeFillShade="BF"/>
          </w:tcPr>
          <w:p w:rsidR="0098018E" w:rsidRDefault="0098018E" w:rsidP="001E49D4"/>
        </w:tc>
        <w:tc>
          <w:tcPr>
            <w:tcW w:w="851" w:type="dxa"/>
          </w:tcPr>
          <w:p w:rsidR="0098018E" w:rsidRPr="00975389" w:rsidRDefault="0098018E" w:rsidP="001E49D4">
            <w:pPr>
              <w:cnfStyle w:val="000000010000" w:firstRow="0" w:lastRow="0" w:firstColumn="0" w:lastColumn="0" w:oddVBand="0" w:evenVBand="0" w:oddHBand="0" w:evenHBand="1" w:firstRowFirstColumn="0" w:firstRowLastColumn="0" w:lastRowFirstColumn="0" w:lastRowLastColumn="0"/>
              <w:rPr>
                <w:rFonts w:ascii="Arial" w:hAnsi="Arial"/>
                <w:snapToGrid/>
                <w:sz w:val="16"/>
                <w:szCs w:val="18"/>
              </w:rPr>
            </w:pPr>
            <w:r w:rsidRPr="00975389">
              <w:t>2011</w:t>
            </w:r>
          </w:p>
        </w:tc>
        <w:tc>
          <w:tcPr>
            <w:tcW w:w="749" w:type="dxa"/>
          </w:tcPr>
          <w:p w:rsidR="0098018E" w:rsidRDefault="0098018E" w:rsidP="001E49D4">
            <w:pPr>
              <w:jc w:val="center"/>
              <w:cnfStyle w:val="000000010000" w:firstRow="0" w:lastRow="0" w:firstColumn="0" w:lastColumn="0" w:oddVBand="0" w:evenVBand="0" w:oddHBand="0" w:evenHBand="1" w:firstRowFirstColumn="0" w:firstRowLastColumn="0" w:lastRowFirstColumn="0" w:lastRowLastColumn="0"/>
            </w:pPr>
          </w:p>
        </w:tc>
        <w:tc>
          <w:tcPr>
            <w:tcW w:w="814" w:type="dxa"/>
          </w:tcPr>
          <w:p w:rsidR="0098018E" w:rsidRDefault="0098018E" w:rsidP="001E49D4">
            <w:pPr>
              <w:jc w:val="center"/>
              <w:cnfStyle w:val="000000010000" w:firstRow="0" w:lastRow="0" w:firstColumn="0" w:lastColumn="0" w:oddVBand="0" w:evenVBand="0" w:oddHBand="0" w:evenHBand="1" w:firstRowFirstColumn="0" w:firstRowLastColumn="0" w:lastRowFirstColumn="0" w:lastRowLastColumn="0"/>
            </w:pPr>
          </w:p>
        </w:tc>
        <w:tc>
          <w:tcPr>
            <w:tcW w:w="814" w:type="dxa"/>
          </w:tcPr>
          <w:p w:rsidR="0098018E" w:rsidRDefault="0098018E" w:rsidP="001E49D4">
            <w:pPr>
              <w:jc w:val="center"/>
              <w:cnfStyle w:val="000000010000" w:firstRow="0" w:lastRow="0" w:firstColumn="0" w:lastColumn="0" w:oddVBand="0" w:evenVBand="0" w:oddHBand="0" w:evenHBand="1" w:firstRowFirstColumn="0" w:firstRowLastColumn="0" w:lastRowFirstColumn="0" w:lastRowLastColumn="0"/>
            </w:pPr>
          </w:p>
        </w:tc>
        <w:tc>
          <w:tcPr>
            <w:tcW w:w="814" w:type="dxa"/>
          </w:tcPr>
          <w:p w:rsidR="0098018E" w:rsidRDefault="0098018E" w:rsidP="001E49D4">
            <w:pPr>
              <w:jc w:val="center"/>
              <w:cnfStyle w:val="000000010000" w:firstRow="0" w:lastRow="0" w:firstColumn="0" w:lastColumn="0" w:oddVBand="0" w:evenVBand="0" w:oddHBand="0" w:evenHBand="1" w:firstRowFirstColumn="0" w:firstRowLastColumn="0" w:lastRowFirstColumn="0" w:lastRowLastColumn="0"/>
              <w:rPr>
                <w:rFonts w:ascii="Arial" w:hAnsi="Arial"/>
                <w:snapToGrid/>
                <w:sz w:val="16"/>
                <w:szCs w:val="18"/>
              </w:rPr>
            </w:pPr>
            <w:r>
              <w:t>X</w:t>
            </w:r>
          </w:p>
        </w:tc>
        <w:tc>
          <w:tcPr>
            <w:tcW w:w="815" w:type="dxa"/>
          </w:tcPr>
          <w:p w:rsidR="0098018E" w:rsidRDefault="0098018E" w:rsidP="001E49D4">
            <w:pPr>
              <w:jc w:val="center"/>
              <w:cnfStyle w:val="000000010000" w:firstRow="0" w:lastRow="0" w:firstColumn="0" w:lastColumn="0" w:oddVBand="0" w:evenVBand="0" w:oddHBand="0" w:evenHBand="1" w:firstRowFirstColumn="0" w:firstRowLastColumn="0" w:lastRowFirstColumn="0" w:lastRowLastColumn="0"/>
              <w:rPr>
                <w:rFonts w:ascii="Arial" w:hAnsi="Arial"/>
                <w:snapToGrid/>
                <w:sz w:val="16"/>
                <w:szCs w:val="18"/>
              </w:rPr>
            </w:pPr>
            <w:r>
              <w:t>X</w:t>
            </w:r>
          </w:p>
        </w:tc>
        <w:tc>
          <w:tcPr>
            <w:tcW w:w="815" w:type="dxa"/>
          </w:tcPr>
          <w:p w:rsidR="0098018E" w:rsidRDefault="0098018E" w:rsidP="001E49D4">
            <w:pPr>
              <w:jc w:val="center"/>
              <w:cnfStyle w:val="000000010000" w:firstRow="0" w:lastRow="0" w:firstColumn="0" w:lastColumn="0" w:oddVBand="0" w:evenVBand="0" w:oddHBand="0" w:evenHBand="1" w:firstRowFirstColumn="0" w:firstRowLastColumn="0" w:lastRowFirstColumn="0" w:lastRowLastColumn="0"/>
              <w:rPr>
                <w:rFonts w:ascii="Arial" w:hAnsi="Arial"/>
                <w:snapToGrid/>
                <w:sz w:val="16"/>
                <w:szCs w:val="18"/>
              </w:rPr>
            </w:pPr>
            <w:r>
              <w:t>X</w:t>
            </w:r>
          </w:p>
        </w:tc>
      </w:tr>
      <w:tr w:rsidR="0098018E" w:rsidTr="0098018E">
        <w:trPr>
          <w:trHeight w:val="158"/>
        </w:trPr>
        <w:tc>
          <w:tcPr>
            <w:cnfStyle w:val="001000000000" w:firstRow="0" w:lastRow="0" w:firstColumn="1" w:lastColumn="0" w:oddVBand="0" w:evenVBand="0" w:oddHBand="0" w:evenHBand="0" w:firstRowFirstColumn="0" w:firstRowLastColumn="0" w:lastRowFirstColumn="0" w:lastRowLastColumn="0"/>
            <w:tcW w:w="1242" w:type="dxa"/>
            <w:vMerge/>
            <w:shd w:val="clear" w:color="auto" w:fill="A72316" w:themeFill="accent2" w:themeFillShade="BF"/>
          </w:tcPr>
          <w:p w:rsidR="0098018E" w:rsidRDefault="0098018E" w:rsidP="001E49D4"/>
        </w:tc>
        <w:tc>
          <w:tcPr>
            <w:tcW w:w="851" w:type="dxa"/>
          </w:tcPr>
          <w:p w:rsidR="0098018E" w:rsidRPr="00975389" w:rsidRDefault="0098018E" w:rsidP="001E49D4">
            <w:pPr>
              <w:cnfStyle w:val="000000000000" w:firstRow="0" w:lastRow="0" w:firstColumn="0" w:lastColumn="0" w:oddVBand="0" w:evenVBand="0" w:oddHBand="0" w:evenHBand="0" w:firstRowFirstColumn="0" w:firstRowLastColumn="0" w:lastRowFirstColumn="0" w:lastRowLastColumn="0"/>
              <w:rPr>
                <w:rFonts w:ascii="Arial" w:hAnsi="Arial"/>
                <w:snapToGrid/>
                <w:sz w:val="16"/>
                <w:szCs w:val="18"/>
              </w:rPr>
            </w:pPr>
            <w:r w:rsidRPr="00975389">
              <w:t>2012</w:t>
            </w:r>
          </w:p>
        </w:tc>
        <w:tc>
          <w:tcPr>
            <w:tcW w:w="749" w:type="dxa"/>
          </w:tcPr>
          <w:p w:rsidR="0098018E" w:rsidRDefault="0098018E" w:rsidP="001E49D4">
            <w:pPr>
              <w:jc w:val="center"/>
              <w:cnfStyle w:val="000000000000" w:firstRow="0" w:lastRow="0" w:firstColumn="0" w:lastColumn="0" w:oddVBand="0" w:evenVBand="0" w:oddHBand="0" w:evenHBand="0" w:firstRowFirstColumn="0" w:firstRowLastColumn="0" w:lastRowFirstColumn="0" w:lastRowLastColumn="0"/>
            </w:pPr>
          </w:p>
        </w:tc>
        <w:tc>
          <w:tcPr>
            <w:tcW w:w="814" w:type="dxa"/>
          </w:tcPr>
          <w:p w:rsidR="0098018E" w:rsidRDefault="0098018E" w:rsidP="001E49D4">
            <w:pPr>
              <w:jc w:val="center"/>
              <w:cnfStyle w:val="000000000000" w:firstRow="0" w:lastRow="0" w:firstColumn="0" w:lastColumn="0" w:oddVBand="0" w:evenVBand="0" w:oddHBand="0" w:evenHBand="0" w:firstRowFirstColumn="0" w:firstRowLastColumn="0" w:lastRowFirstColumn="0" w:lastRowLastColumn="0"/>
            </w:pPr>
          </w:p>
        </w:tc>
        <w:tc>
          <w:tcPr>
            <w:tcW w:w="814" w:type="dxa"/>
          </w:tcPr>
          <w:p w:rsidR="0098018E" w:rsidRDefault="0098018E" w:rsidP="001E49D4">
            <w:pPr>
              <w:jc w:val="center"/>
              <w:cnfStyle w:val="000000000000" w:firstRow="0" w:lastRow="0" w:firstColumn="0" w:lastColumn="0" w:oddVBand="0" w:evenVBand="0" w:oddHBand="0" w:evenHBand="0" w:firstRowFirstColumn="0" w:firstRowLastColumn="0" w:lastRowFirstColumn="0" w:lastRowLastColumn="0"/>
              <w:rPr>
                <w:rFonts w:ascii="Arial" w:hAnsi="Arial"/>
                <w:snapToGrid/>
                <w:sz w:val="16"/>
                <w:szCs w:val="18"/>
              </w:rPr>
            </w:pPr>
            <w:r>
              <w:t>X</w:t>
            </w:r>
          </w:p>
        </w:tc>
        <w:tc>
          <w:tcPr>
            <w:tcW w:w="814" w:type="dxa"/>
          </w:tcPr>
          <w:p w:rsidR="0098018E" w:rsidRDefault="0098018E" w:rsidP="001E49D4">
            <w:pPr>
              <w:jc w:val="center"/>
              <w:cnfStyle w:val="000000000000" w:firstRow="0" w:lastRow="0" w:firstColumn="0" w:lastColumn="0" w:oddVBand="0" w:evenVBand="0" w:oddHBand="0" w:evenHBand="0" w:firstRowFirstColumn="0" w:firstRowLastColumn="0" w:lastRowFirstColumn="0" w:lastRowLastColumn="0"/>
              <w:rPr>
                <w:rFonts w:ascii="Arial" w:hAnsi="Arial"/>
                <w:snapToGrid/>
                <w:sz w:val="16"/>
                <w:szCs w:val="18"/>
              </w:rPr>
            </w:pPr>
            <w:r>
              <w:t>X</w:t>
            </w:r>
          </w:p>
        </w:tc>
        <w:tc>
          <w:tcPr>
            <w:tcW w:w="815" w:type="dxa"/>
          </w:tcPr>
          <w:p w:rsidR="0098018E" w:rsidRDefault="0098018E" w:rsidP="001E49D4">
            <w:pPr>
              <w:jc w:val="center"/>
              <w:cnfStyle w:val="000000000000" w:firstRow="0" w:lastRow="0" w:firstColumn="0" w:lastColumn="0" w:oddVBand="0" w:evenVBand="0" w:oddHBand="0" w:evenHBand="0" w:firstRowFirstColumn="0" w:firstRowLastColumn="0" w:lastRowFirstColumn="0" w:lastRowLastColumn="0"/>
              <w:rPr>
                <w:rFonts w:ascii="Arial" w:hAnsi="Arial"/>
                <w:snapToGrid/>
                <w:sz w:val="16"/>
                <w:szCs w:val="18"/>
              </w:rPr>
            </w:pPr>
            <w:r>
              <w:t>X</w:t>
            </w:r>
          </w:p>
        </w:tc>
        <w:tc>
          <w:tcPr>
            <w:tcW w:w="815" w:type="dxa"/>
          </w:tcPr>
          <w:p w:rsidR="0098018E" w:rsidRDefault="0098018E" w:rsidP="001E49D4">
            <w:pPr>
              <w:jc w:val="center"/>
              <w:cnfStyle w:val="000000000000" w:firstRow="0" w:lastRow="0" w:firstColumn="0" w:lastColumn="0" w:oddVBand="0" w:evenVBand="0" w:oddHBand="0" w:evenHBand="0" w:firstRowFirstColumn="0" w:firstRowLastColumn="0" w:lastRowFirstColumn="0" w:lastRowLastColumn="0"/>
              <w:rPr>
                <w:rFonts w:ascii="Arial" w:hAnsi="Arial"/>
                <w:snapToGrid/>
                <w:sz w:val="16"/>
                <w:szCs w:val="18"/>
              </w:rPr>
            </w:pPr>
            <w:r>
              <w:t>X</w:t>
            </w:r>
          </w:p>
        </w:tc>
      </w:tr>
      <w:tr w:rsidR="0098018E" w:rsidTr="0098018E">
        <w:trPr>
          <w:cnfStyle w:val="000000010000" w:firstRow="0" w:lastRow="0" w:firstColumn="0" w:lastColumn="0" w:oddVBand="0" w:evenVBand="0" w:oddHBand="0" w:evenHBand="1"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242" w:type="dxa"/>
            <w:vMerge/>
            <w:shd w:val="clear" w:color="auto" w:fill="A72316" w:themeFill="accent2" w:themeFillShade="BF"/>
          </w:tcPr>
          <w:p w:rsidR="0098018E" w:rsidRDefault="0098018E" w:rsidP="001E49D4"/>
        </w:tc>
        <w:tc>
          <w:tcPr>
            <w:tcW w:w="851" w:type="dxa"/>
          </w:tcPr>
          <w:p w:rsidR="0098018E" w:rsidRPr="00975389" w:rsidRDefault="0098018E" w:rsidP="001E49D4">
            <w:pPr>
              <w:cnfStyle w:val="000000010000" w:firstRow="0" w:lastRow="0" w:firstColumn="0" w:lastColumn="0" w:oddVBand="0" w:evenVBand="0" w:oddHBand="0" w:evenHBand="1" w:firstRowFirstColumn="0" w:firstRowLastColumn="0" w:lastRowFirstColumn="0" w:lastRowLastColumn="0"/>
              <w:rPr>
                <w:rFonts w:ascii="Arial" w:hAnsi="Arial"/>
                <w:snapToGrid/>
                <w:sz w:val="16"/>
                <w:szCs w:val="18"/>
              </w:rPr>
            </w:pPr>
            <w:r w:rsidRPr="00975389">
              <w:t>2013</w:t>
            </w:r>
          </w:p>
        </w:tc>
        <w:tc>
          <w:tcPr>
            <w:tcW w:w="749" w:type="dxa"/>
          </w:tcPr>
          <w:p w:rsidR="0098018E" w:rsidRDefault="0098018E" w:rsidP="001E49D4">
            <w:pPr>
              <w:jc w:val="center"/>
              <w:cnfStyle w:val="000000010000" w:firstRow="0" w:lastRow="0" w:firstColumn="0" w:lastColumn="0" w:oddVBand="0" w:evenVBand="0" w:oddHBand="0" w:evenHBand="1" w:firstRowFirstColumn="0" w:firstRowLastColumn="0" w:lastRowFirstColumn="0" w:lastRowLastColumn="0"/>
            </w:pPr>
          </w:p>
        </w:tc>
        <w:tc>
          <w:tcPr>
            <w:tcW w:w="814" w:type="dxa"/>
          </w:tcPr>
          <w:p w:rsidR="0098018E" w:rsidRDefault="0098018E" w:rsidP="001E49D4">
            <w:pPr>
              <w:jc w:val="center"/>
              <w:cnfStyle w:val="000000010000" w:firstRow="0" w:lastRow="0" w:firstColumn="0" w:lastColumn="0" w:oddVBand="0" w:evenVBand="0" w:oddHBand="0" w:evenHBand="1" w:firstRowFirstColumn="0" w:firstRowLastColumn="0" w:lastRowFirstColumn="0" w:lastRowLastColumn="0"/>
              <w:rPr>
                <w:rFonts w:ascii="Arial" w:hAnsi="Arial"/>
                <w:snapToGrid/>
                <w:sz w:val="16"/>
                <w:szCs w:val="18"/>
              </w:rPr>
            </w:pPr>
            <w:r>
              <w:t>X</w:t>
            </w:r>
          </w:p>
        </w:tc>
        <w:tc>
          <w:tcPr>
            <w:tcW w:w="814" w:type="dxa"/>
          </w:tcPr>
          <w:p w:rsidR="0098018E" w:rsidRDefault="0098018E" w:rsidP="001E49D4">
            <w:pPr>
              <w:jc w:val="center"/>
              <w:cnfStyle w:val="000000010000" w:firstRow="0" w:lastRow="0" w:firstColumn="0" w:lastColumn="0" w:oddVBand="0" w:evenVBand="0" w:oddHBand="0" w:evenHBand="1" w:firstRowFirstColumn="0" w:firstRowLastColumn="0" w:lastRowFirstColumn="0" w:lastRowLastColumn="0"/>
              <w:rPr>
                <w:rFonts w:ascii="Arial" w:hAnsi="Arial"/>
                <w:snapToGrid/>
                <w:sz w:val="16"/>
                <w:szCs w:val="18"/>
              </w:rPr>
            </w:pPr>
            <w:r>
              <w:t>X</w:t>
            </w:r>
          </w:p>
        </w:tc>
        <w:tc>
          <w:tcPr>
            <w:tcW w:w="814" w:type="dxa"/>
          </w:tcPr>
          <w:p w:rsidR="0098018E" w:rsidRDefault="0098018E" w:rsidP="001E49D4">
            <w:pPr>
              <w:jc w:val="center"/>
              <w:cnfStyle w:val="000000010000" w:firstRow="0" w:lastRow="0" w:firstColumn="0" w:lastColumn="0" w:oddVBand="0" w:evenVBand="0" w:oddHBand="0" w:evenHBand="1" w:firstRowFirstColumn="0" w:firstRowLastColumn="0" w:lastRowFirstColumn="0" w:lastRowLastColumn="0"/>
              <w:rPr>
                <w:rFonts w:ascii="Arial" w:hAnsi="Arial"/>
                <w:snapToGrid/>
                <w:sz w:val="16"/>
                <w:szCs w:val="18"/>
              </w:rPr>
            </w:pPr>
            <w:r>
              <w:t>X</w:t>
            </w:r>
          </w:p>
        </w:tc>
        <w:tc>
          <w:tcPr>
            <w:tcW w:w="815" w:type="dxa"/>
          </w:tcPr>
          <w:p w:rsidR="0098018E" w:rsidRDefault="0098018E" w:rsidP="001E49D4">
            <w:pPr>
              <w:jc w:val="center"/>
              <w:cnfStyle w:val="000000010000" w:firstRow="0" w:lastRow="0" w:firstColumn="0" w:lastColumn="0" w:oddVBand="0" w:evenVBand="0" w:oddHBand="0" w:evenHBand="1" w:firstRowFirstColumn="0" w:firstRowLastColumn="0" w:lastRowFirstColumn="0" w:lastRowLastColumn="0"/>
              <w:rPr>
                <w:rFonts w:ascii="Arial" w:hAnsi="Arial"/>
                <w:snapToGrid/>
                <w:sz w:val="16"/>
                <w:szCs w:val="18"/>
              </w:rPr>
            </w:pPr>
            <w:r>
              <w:t>X</w:t>
            </w:r>
          </w:p>
        </w:tc>
        <w:tc>
          <w:tcPr>
            <w:tcW w:w="815" w:type="dxa"/>
          </w:tcPr>
          <w:p w:rsidR="0098018E" w:rsidRDefault="0098018E" w:rsidP="001E49D4">
            <w:pPr>
              <w:jc w:val="center"/>
              <w:cnfStyle w:val="000000010000" w:firstRow="0" w:lastRow="0" w:firstColumn="0" w:lastColumn="0" w:oddVBand="0" w:evenVBand="0" w:oddHBand="0" w:evenHBand="1" w:firstRowFirstColumn="0" w:firstRowLastColumn="0" w:lastRowFirstColumn="0" w:lastRowLastColumn="0"/>
              <w:rPr>
                <w:rFonts w:ascii="Arial" w:hAnsi="Arial"/>
                <w:snapToGrid/>
                <w:sz w:val="16"/>
                <w:szCs w:val="18"/>
              </w:rPr>
            </w:pPr>
            <w:r>
              <w:t>X</w:t>
            </w:r>
          </w:p>
        </w:tc>
      </w:tr>
      <w:tr w:rsidR="0098018E" w:rsidTr="0098018E">
        <w:trPr>
          <w:trHeight w:val="158"/>
        </w:trPr>
        <w:tc>
          <w:tcPr>
            <w:cnfStyle w:val="001000000000" w:firstRow="0" w:lastRow="0" w:firstColumn="1" w:lastColumn="0" w:oddVBand="0" w:evenVBand="0" w:oddHBand="0" w:evenHBand="0" w:firstRowFirstColumn="0" w:firstRowLastColumn="0" w:lastRowFirstColumn="0" w:lastRowLastColumn="0"/>
            <w:tcW w:w="1242" w:type="dxa"/>
            <w:vMerge/>
            <w:shd w:val="clear" w:color="auto" w:fill="A72316" w:themeFill="accent2" w:themeFillShade="BF"/>
          </w:tcPr>
          <w:p w:rsidR="0098018E" w:rsidRDefault="0098018E" w:rsidP="001E49D4"/>
        </w:tc>
        <w:tc>
          <w:tcPr>
            <w:tcW w:w="851" w:type="dxa"/>
          </w:tcPr>
          <w:p w:rsidR="0098018E" w:rsidRPr="00975389" w:rsidRDefault="0098018E" w:rsidP="001E49D4">
            <w:pPr>
              <w:cnfStyle w:val="000000000000" w:firstRow="0" w:lastRow="0" w:firstColumn="0" w:lastColumn="0" w:oddVBand="0" w:evenVBand="0" w:oddHBand="0" w:evenHBand="0" w:firstRowFirstColumn="0" w:firstRowLastColumn="0" w:lastRowFirstColumn="0" w:lastRowLastColumn="0"/>
              <w:rPr>
                <w:rFonts w:ascii="Arial" w:hAnsi="Arial"/>
                <w:b/>
                <w:snapToGrid/>
                <w:sz w:val="16"/>
                <w:szCs w:val="18"/>
              </w:rPr>
            </w:pPr>
            <w:r w:rsidRPr="00975389">
              <w:rPr>
                <w:b/>
              </w:rPr>
              <w:t>2014</w:t>
            </w:r>
          </w:p>
        </w:tc>
        <w:tc>
          <w:tcPr>
            <w:tcW w:w="749" w:type="dxa"/>
          </w:tcPr>
          <w:p w:rsidR="0098018E" w:rsidRPr="00975389" w:rsidRDefault="0098018E" w:rsidP="001E49D4">
            <w:pPr>
              <w:jc w:val="center"/>
              <w:cnfStyle w:val="000000000000" w:firstRow="0" w:lastRow="0" w:firstColumn="0" w:lastColumn="0" w:oddVBand="0" w:evenVBand="0" w:oddHBand="0" w:evenHBand="0" w:firstRowFirstColumn="0" w:firstRowLastColumn="0" w:lastRowFirstColumn="0" w:lastRowLastColumn="0"/>
              <w:rPr>
                <w:rFonts w:ascii="Arial" w:hAnsi="Arial"/>
                <w:b/>
                <w:snapToGrid/>
                <w:sz w:val="16"/>
                <w:szCs w:val="18"/>
              </w:rPr>
            </w:pPr>
            <w:r>
              <w:rPr>
                <w:noProof/>
                <w:snapToGrid/>
                <w:lang w:eastAsia="en-AU"/>
              </w:rPr>
              <mc:AlternateContent>
                <mc:Choice Requires="wps">
                  <w:drawing>
                    <wp:anchor distT="0" distB="0" distL="114300" distR="114300" simplePos="0" relativeHeight="251695104" behindDoc="0" locked="0" layoutInCell="1" allowOverlap="1" wp14:anchorId="14DFB850" wp14:editId="65AEA1F0">
                      <wp:simplePos x="0" y="0"/>
                      <wp:positionH relativeFrom="column">
                        <wp:posOffset>-22860</wp:posOffset>
                      </wp:positionH>
                      <wp:positionV relativeFrom="paragraph">
                        <wp:posOffset>-17145</wp:posOffset>
                      </wp:positionV>
                      <wp:extent cx="2981325" cy="200025"/>
                      <wp:effectExtent l="19050" t="19050" r="28575" b="28575"/>
                      <wp:wrapNone/>
                      <wp:docPr id="120" name="Rounded Rectangle 120"/>
                      <wp:cNvGraphicFramePr/>
                      <a:graphic xmlns:a="http://schemas.openxmlformats.org/drawingml/2006/main">
                        <a:graphicData uri="http://schemas.microsoft.com/office/word/2010/wordprocessingShape">
                          <wps:wsp>
                            <wps:cNvSpPr/>
                            <wps:spPr bwMode="ltGray">
                              <a:xfrm>
                                <a:off x="0" y="0"/>
                                <a:ext cx="2981325" cy="200025"/>
                              </a:xfrm>
                              <a:prstGeom prst="roundRect">
                                <a:avLst/>
                              </a:prstGeom>
                              <a:no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120" o:spid="_x0000_s1026" style="position:absolute;margin-left:-1.8pt;margin-top:-1.35pt;width:234.75pt;height:15.7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" filled="f" strokecolor="#ffa351 [1944]" strokeweight="3pt"/>
                  </w:pict>
                </mc:Fallback>
              </mc:AlternateContent>
            </w:r>
            <w:r w:rsidRPr="00975389">
              <w:rPr>
                <w:b/>
              </w:rPr>
              <w:t>X</w:t>
            </w:r>
          </w:p>
        </w:tc>
        <w:tc>
          <w:tcPr>
            <w:tcW w:w="814" w:type="dxa"/>
          </w:tcPr>
          <w:p w:rsidR="0098018E" w:rsidRPr="00975389" w:rsidRDefault="0098018E" w:rsidP="001E49D4">
            <w:pPr>
              <w:jc w:val="center"/>
              <w:cnfStyle w:val="000000000000" w:firstRow="0" w:lastRow="0" w:firstColumn="0" w:lastColumn="0" w:oddVBand="0" w:evenVBand="0" w:oddHBand="0" w:evenHBand="0" w:firstRowFirstColumn="0" w:firstRowLastColumn="0" w:lastRowFirstColumn="0" w:lastRowLastColumn="0"/>
              <w:rPr>
                <w:rFonts w:ascii="Arial" w:hAnsi="Arial"/>
                <w:b/>
                <w:snapToGrid/>
                <w:sz w:val="16"/>
                <w:szCs w:val="18"/>
              </w:rPr>
            </w:pPr>
            <w:r w:rsidRPr="00975389">
              <w:rPr>
                <w:b/>
              </w:rPr>
              <w:t>X</w:t>
            </w:r>
          </w:p>
        </w:tc>
        <w:tc>
          <w:tcPr>
            <w:tcW w:w="814" w:type="dxa"/>
          </w:tcPr>
          <w:p w:rsidR="0098018E" w:rsidRPr="00975389" w:rsidRDefault="0098018E" w:rsidP="001E49D4">
            <w:pPr>
              <w:jc w:val="center"/>
              <w:cnfStyle w:val="000000000000" w:firstRow="0" w:lastRow="0" w:firstColumn="0" w:lastColumn="0" w:oddVBand="0" w:evenVBand="0" w:oddHBand="0" w:evenHBand="0" w:firstRowFirstColumn="0" w:firstRowLastColumn="0" w:lastRowFirstColumn="0" w:lastRowLastColumn="0"/>
              <w:rPr>
                <w:rFonts w:ascii="Arial" w:hAnsi="Arial"/>
                <w:b/>
                <w:snapToGrid/>
                <w:sz w:val="16"/>
                <w:szCs w:val="18"/>
              </w:rPr>
            </w:pPr>
            <w:r w:rsidRPr="00975389">
              <w:rPr>
                <w:b/>
              </w:rPr>
              <w:t>X</w:t>
            </w:r>
          </w:p>
        </w:tc>
        <w:tc>
          <w:tcPr>
            <w:tcW w:w="814" w:type="dxa"/>
          </w:tcPr>
          <w:p w:rsidR="0098018E" w:rsidRPr="00975389" w:rsidRDefault="0098018E" w:rsidP="001E49D4">
            <w:pPr>
              <w:jc w:val="center"/>
              <w:cnfStyle w:val="000000000000" w:firstRow="0" w:lastRow="0" w:firstColumn="0" w:lastColumn="0" w:oddVBand="0" w:evenVBand="0" w:oddHBand="0" w:evenHBand="0" w:firstRowFirstColumn="0" w:firstRowLastColumn="0" w:lastRowFirstColumn="0" w:lastRowLastColumn="0"/>
              <w:rPr>
                <w:rFonts w:ascii="Arial" w:hAnsi="Arial"/>
                <w:b/>
                <w:snapToGrid/>
                <w:sz w:val="16"/>
                <w:szCs w:val="18"/>
              </w:rPr>
            </w:pPr>
            <w:r w:rsidRPr="00975389">
              <w:rPr>
                <w:b/>
              </w:rPr>
              <w:t>X</w:t>
            </w:r>
          </w:p>
        </w:tc>
        <w:tc>
          <w:tcPr>
            <w:tcW w:w="815" w:type="dxa"/>
          </w:tcPr>
          <w:p w:rsidR="0098018E" w:rsidRPr="00975389" w:rsidRDefault="0098018E" w:rsidP="001E49D4">
            <w:pPr>
              <w:jc w:val="center"/>
              <w:cnfStyle w:val="000000000000" w:firstRow="0" w:lastRow="0" w:firstColumn="0" w:lastColumn="0" w:oddVBand="0" w:evenVBand="0" w:oddHBand="0" w:evenHBand="0" w:firstRowFirstColumn="0" w:firstRowLastColumn="0" w:lastRowFirstColumn="0" w:lastRowLastColumn="0"/>
              <w:rPr>
                <w:rFonts w:ascii="Arial" w:hAnsi="Arial"/>
                <w:b/>
                <w:snapToGrid/>
                <w:sz w:val="16"/>
                <w:szCs w:val="18"/>
              </w:rPr>
            </w:pPr>
            <w:r w:rsidRPr="00975389">
              <w:rPr>
                <w:b/>
              </w:rPr>
              <w:t>X</w:t>
            </w:r>
          </w:p>
        </w:tc>
        <w:tc>
          <w:tcPr>
            <w:tcW w:w="815" w:type="dxa"/>
          </w:tcPr>
          <w:p w:rsidR="0098018E" w:rsidRPr="00975389" w:rsidRDefault="0098018E" w:rsidP="001E49D4">
            <w:pPr>
              <w:jc w:val="center"/>
              <w:cnfStyle w:val="000000000000" w:firstRow="0" w:lastRow="0" w:firstColumn="0" w:lastColumn="0" w:oddVBand="0" w:evenVBand="0" w:oddHBand="0" w:evenHBand="0" w:firstRowFirstColumn="0" w:firstRowLastColumn="0" w:lastRowFirstColumn="0" w:lastRowLastColumn="0"/>
              <w:rPr>
                <w:rFonts w:ascii="Arial" w:hAnsi="Arial"/>
                <w:b/>
                <w:snapToGrid/>
                <w:sz w:val="16"/>
                <w:szCs w:val="18"/>
              </w:rPr>
            </w:pPr>
            <w:r w:rsidRPr="00975389">
              <w:rPr>
                <w:b/>
              </w:rPr>
              <w:t>X</w:t>
            </w:r>
          </w:p>
        </w:tc>
      </w:tr>
    </w:tbl>
    <w:p w:rsidR="0098018E" w:rsidRDefault="0098018E" w:rsidP="001E49D4"/>
    <w:p w:rsidR="0098018E" w:rsidRPr="001F33DD" w:rsidRDefault="0098018E" w:rsidP="001E49D4">
      <w:pPr>
        <w:pStyle w:val="PwCNormal"/>
        <w:numPr>
          <w:ilvl w:val="0"/>
          <w:numId w:val="34"/>
        </w:numPr>
        <w:ind w:left="426" w:hanging="426"/>
        <w:rPr>
          <w:rFonts w:asciiTheme="majorHAnsi" w:hAnsiTheme="majorHAnsi"/>
          <w:b/>
          <w:bCs/>
          <w:color w:val="A32020" w:themeColor="text2"/>
          <w:szCs w:val="18"/>
        </w:rPr>
      </w:pPr>
      <w:r>
        <w:rPr>
          <w:rFonts w:asciiTheme="majorHAnsi" w:hAnsiTheme="majorHAnsi"/>
          <w:b/>
          <w:bCs/>
          <w:color w:val="A32020" w:themeColor="text2"/>
          <w:szCs w:val="18"/>
        </w:rPr>
        <w:t>Impairment b</w:t>
      </w:r>
      <w:r w:rsidRPr="001F33DD">
        <w:rPr>
          <w:rFonts w:asciiTheme="majorHAnsi" w:hAnsiTheme="majorHAnsi"/>
          <w:b/>
          <w:bCs/>
          <w:color w:val="A32020" w:themeColor="text2"/>
          <w:szCs w:val="18"/>
        </w:rPr>
        <w:t>enefits</w:t>
      </w:r>
    </w:p>
    <w:p w:rsidR="0098018E" w:rsidRDefault="0098018E" w:rsidP="001E49D4">
      <w:pPr>
        <w:pStyle w:val="PwCNormal"/>
        <w:numPr>
          <w:ilvl w:val="0"/>
          <w:numId w:val="0"/>
        </w:numPr>
      </w:pPr>
      <w:r>
        <w:t xml:space="preserve">The data provided by </w:t>
      </w:r>
      <w:r w:rsidR="000604C5">
        <w:t xml:space="preserve">the </w:t>
      </w:r>
      <w:r>
        <w:t>TAC showed that the average increase in impairment</w:t>
      </w:r>
      <w:r w:rsidR="00D4045A">
        <w:t xml:space="preserve"> benefits</w:t>
      </w:r>
      <w:r>
        <w:t xml:space="preserve"> per claim amounted to $27</w:t>
      </w:r>
      <w:r w:rsidR="00364A6B">
        <w:t>,000</w:t>
      </w:r>
      <w:r>
        <w:t>, equating to a total increase of $4.3</w:t>
      </w:r>
      <w:r w:rsidR="00364A6B">
        <w:t xml:space="preserve"> </w:t>
      </w:r>
      <w:r>
        <w:t>m</w:t>
      </w:r>
      <w:r w:rsidR="00364A6B">
        <w:t>illion</w:t>
      </w:r>
      <w:r>
        <w:t xml:space="preserve"> per new accident year</w:t>
      </w:r>
      <w:r w:rsidR="003D6F33">
        <w:t xml:space="preserve"> and a </w:t>
      </w:r>
      <w:r w:rsidRPr="003D6F33">
        <w:t>liability impact on impairment</w:t>
      </w:r>
      <w:r>
        <w:t xml:space="preserve"> benefits </w:t>
      </w:r>
      <w:r w:rsidR="003D6F33">
        <w:t xml:space="preserve">of </w:t>
      </w:r>
      <w:r>
        <w:t>$15.5</w:t>
      </w:r>
      <w:r w:rsidR="00364A6B">
        <w:t xml:space="preserve"> </w:t>
      </w:r>
      <w:r>
        <w:t>m</w:t>
      </w:r>
      <w:r w:rsidR="00364A6B">
        <w:t>illion</w:t>
      </w:r>
      <w:r w:rsidR="00995101">
        <w:t xml:space="preserve"> (refer to </w:t>
      </w:r>
      <w:r w:rsidR="00995101">
        <w:fldChar w:fldCharType="begin"/>
      </w:r>
      <w:r w:rsidR="00995101">
        <w:instrText xml:space="preserve"> REF _Ref388003521 \h </w:instrText>
      </w:r>
      <w:r w:rsidR="00995101">
        <w:fldChar w:fldCharType="separate"/>
      </w:r>
      <w:r w:rsidR="00542564">
        <w:t xml:space="preserve">Table </w:t>
      </w:r>
      <w:r w:rsidR="00542564">
        <w:rPr>
          <w:noProof/>
        </w:rPr>
        <w:t>14</w:t>
      </w:r>
      <w:r w:rsidR="00995101">
        <w:fldChar w:fldCharType="end"/>
      </w:r>
      <w:r w:rsidR="00995101">
        <w:t>)</w:t>
      </w:r>
      <w:r>
        <w:t>.</w:t>
      </w:r>
    </w:p>
    <w:p w:rsidR="008F5F1C" w:rsidRDefault="008F5F1C" w:rsidP="00683682">
      <w:pPr>
        <w:pStyle w:val="Caption"/>
      </w:pPr>
      <w:bookmarkStart w:id="124" w:name="_Ref388003521"/>
      <w:r>
        <w:lastRenderedPageBreak/>
        <w:t xml:space="preserve">Table </w:t>
      </w:r>
      <w:fldSimple w:instr=" SEQ Table \* ARABIC ">
        <w:r w:rsidR="00542564">
          <w:rPr>
            <w:noProof/>
          </w:rPr>
          <w:t>14</w:t>
        </w:r>
      </w:fldSimple>
      <w:bookmarkEnd w:id="124"/>
      <w:r>
        <w:t xml:space="preserve">: </w:t>
      </w:r>
      <w:r w:rsidRPr="009D1265">
        <w:t xml:space="preserve">Cost </w:t>
      </w:r>
      <w:r w:rsidR="0056414E">
        <w:t xml:space="preserve">relating to </w:t>
      </w:r>
      <w:r w:rsidRPr="009D1265">
        <w:t>Serwylo</w:t>
      </w:r>
      <w:r w:rsidR="009769E1">
        <w:t xml:space="preserve"> </w:t>
      </w:r>
      <w:r w:rsidRPr="009D1265">
        <w:t>on impairment benefits</w:t>
      </w:r>
    </w:p>
    <w:tbl>
      <w:tblPr>
        <w:tblStyle w:val="LightList-Accent1"/>
        <w:tblW w:w="5000" w:type="pct"/>
        <w:tblLook w:val="04A0" w:firstRow="1" w:lastRow="0" w:firstColumn="1" w:lastColumn="0" w:noHBand="0" w:noVBand="1"/>
      </w:tblPr>
      <w:tblGrid>
        <w:gridCol w:w="6161"/>
        <w:gridCol w:w="2276"/>
      </w:tblGrid>
      <w:tr w:rsidR="008F5F1C" w:rsidRPr="006A0A4A" w:rsidTr="000223BE">
        <w:trPr>
          <w:cnfStyle w:val="100000000000" w:firstRow="1" w:lastRow="0" w:firstColumn="0" w:lastColumn="0" w:oddVBand="0" w:evenVBand="0" w:oddHBand="0"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3651" w:type="pct"/>
            <w:vAlign w:val="center"/>
          </w:tcPr>
          <w:p w:rsidR="008F5F1C" w:rsidRPr="00566D61" w:rsidRDefault="008F5F1C" w:rsidP="001E49D4">
            <w:pPr>
              <w:pStyle w:val="PwCNormal"/>
              <w:keepNext/>
              <w:keepLines/>
              <w:numPr>
                <w:ilvl w:val="0"/>
                <w:numId w:val="0"/>
              </w:numPr>
              <w:spacing w:before="60" w:after="60"/>
              <w:rPr>
                <w:rFonts w:asciiTheme="minorHAnsi" w:hAnsiTheme="minorHAnsi" w:cstheme="minorHAnsi"/>
                <w:sz w:val="16"/>
                <w:szCs w:val="16"/>
              </w:rPr>
            </w:pPr>
            <w:r w:rsidRPr="00566D61">
              <w:rPr>
                <w:rFonts w:asciiTheme="minorHAnsi" w:hAnsiTheme="minorHAnsi" w:cstheme="minorHAnsi"/>
                <w:sz w:val="16"/>
                <w:szCs w:val="16"/>
              </w:rPr>
              <w:t>Change in impairment cost and liability</w:t>
            </w:r>
          </w:p>
        </w:tc>
        <w:tc>
          <w:tcPr>
            <w:tcW w:w="1349" w:type="pct"/>
            <w:vAlign w:val="center"/>
          </w:tcPr>
          <w:p w:rsidR="008F5F1C" w:rsidRPr="00566D61" w:rsidRDefault="008F5F1C" w:rsidP="001E49D4">
            <w:pPr>
              <w:pStyle w:val="PwCNormal"/>
              <w:keepNext/>
              <w:keepLines/>
              <w:numPr>
                <w:ilvl w:val="0"/>
                <w:numId w:val="0"/>
              </w:num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66D61">
              <w:rPr>
                <w:rFonts w:asciiTheme="minorHAnsi" w:hAnsiTheme="minorHAnsi" w:cstheme="minorHAnsi"/>
                <w:sz w:val="16"/>
                <w:szCs w:val="16"/>
              </w:rPr>
              <w:t>Value</w:t>
            </w:r>
          </w:p>
        </w:tc>
      </w:tr>
      <w:tr w:rsidR="008F5F1C" w:rsidRPr="006A0A4A" w:rsidTr="000223BE">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3651" w:type="pct"/>
            <w:vAlign w:val="center"/>
          </w:tcPr>
          <w:p w:rsidR="008F5F1C" w:rsidRPr="00F56BBC" w:rsidRDefault="008F5F1C" w:rsidP="001E49D4">
            <w:pPr>
              <w:pStyle w:val="PwCNormal"/>
              <w:keepNext/>
              <w:keepLines/>
              <w:numPr>
                <w:ilvl w:val="0"/>
                <w:numId w:val="0"/>
              </w:numPr>
              <w:spacing w:before="60" w:after="60"/>
              <w:rPr>
                <w:rFonts w:asciiTheme="minorHAnsi" w:hAnsiTheme="minorHAnsi" w:cstheme="minorHAnsi"/>
                <w:b w:val="0"/>
                <w:sz w:val="16"/>
                <w:szCs w:val="16"/>
              </w:rPr>
            </w:pPr>
            <w:r w:rsidRPr="00F56BBC">
              <w:rPr>
                <w:rFonts w:asciiTheme="minorHAnsi" w:hAnsiTheme="minorHAnsi" w:cstheme="minorHAnsi"/>
                <w:b w:val="0"/>
                <w:sz w:val="16"/>
                <w:szCs w:val="16"/>
              </w:rPr>
              <w:t>Number of claims with change in WPI</w:t>
            </w:r>
          </w:p>
        </w:tc>
        <w:tc>
          <w:tcPr>
            <w:tcW w:w="1349" w:type="pct"/>
            <w:vAlign w:val="center"/>
          </w:tcPr>
          <w:p w:rsidR="008F5F1C" w:rsidRPr="00566D61" w:rsidRDefault="008F5F1C" w:rsidP="001E49D4">
            <w:pPr>
              <w:pStyle w:val="PwCNormal"/>
              <w:keepNext/>
              <w:keepLines/>
              <w:numPr>
                <w:ilvl w:val="0"/>
                <w:numId w:val="0"/>
              </w:num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566D61">
              <w:rPr>
                <w:rFonts w:asciiTheme="minorHAnsi" w:hAnsiTheme="minorHAnsi" w:cstheme="minorHAnsi"/>
                <w:sz w:val="16"/>
                <w:szCs w:val="16"/>
              </w:rPr>
              <w:t>159</w:t>
            </w:r>
          </w:p>
        </w:tc>
      </w:tr>
      <w:tr w:rsidR="008F5F1C" w:rsidRPr="006A0A4A" w:rsidTr="000223BE">
        <w:trPr>
          <w:trHeight w:val="493"/>
        </w:trPr>
        <w:tc>
          <w:tcPr>
            <w:cnfStyle w:val="001000000000" w:firstRow="0" w:lastRow="0" w:firstColumn="1" w:lastColumn="0" w:oddVBand="0" w:evenVBand="0" w:oddHBand="0" w:evenHBand="0" w:firstRowFirstColumn="0" w:firstRowLastColumn="0" w:lastRowFirstColumn="0" w:lastRowLastColumn="0"/>
            <w:tcW w:w="3651" w:type="pct"/>
            <w:vAlign w:val="center"/>
          </w:tcPr>
          <w:p w:rsidR="008F5F1C" w:rsidRPr="00F56BBC" w:rsidRDefault="008F5F1C" w:rsidP="001E49D4">
            <w:pPr>
              <w:pStyle w:val="PwCNormal"/>
              <w:keepNext/>
              <w:keepLines/>
              <w:numPr>
                <w:ilvl w:val="0"/>
                <w:numId w:val="0"/>
              </w:numPr>
              <w:spacing w:before="60" w:after="60"/>
              <w:rPr>
                <w:rFonts w:asciiTheme="minorHAnsi" w:hAnsiTheme="minorHAnsi" w:cstheme="minorHAnsi"/>
                <w:b w:val="0"/>
                <w:sz w:val="16"/>
                <w:szCs w:val="16"/>
              </w:rPr>
            </w:pPr>
            <w:r w:rsidRPr="00F56BBC">
              <w:rPr>
                <w:rFonts w:asciiTheme="minorHAnsi" w:hAnsiTheme="minorHAnsi" w:cstheme="minorHAnsi"/>
                <w:b w:val="0"/>
                <w:sz w:val="16"/>
                <w:szCs w:val="16"/>
              </w:rPr>
              <w:t xml:space="preserve">Average increase in </w:t>
            </w:r>
            <w:r w:rsidR="006C58B1" w:rsidRPr="00F56BBC">
              <w:rPr>
                <w:rFonts w:asciiTheme="minorHAnsi" w:hAnsiTheme="minorHAnsi" w:cstheme="minorHAnsi"/>
                <w:b w:val="0"/>
                <w:sz w:val="16"/>
                <w:szCs w:val="16"/>
              </w:rPr>
              <w:t>i</w:t>
            </w:r>
            <w:r w:rsidRPr="00F56BBC">
              <w:rPr>
                <w:rFonts w:asciiTheme="minorHAnsi" w:hAnsiTheme="minorHAnsi" w:cstheme="minorHAnsi"/>
                <w:b w:val="0"/>
                <w:sz w:val="16"/>
                <w:szCs w:val="16"/>
              </w:rPr>
              <w:t>mpairment</w:t>
            </w:r>
            <w:r w:rsidR="00BA17C5" w:rsidRPr="00F56BBC">
              <w:rPr>
                <w:rFonts w:asciiTheme="minorHAnsi" w:hAnsiTheme="minorHAnsi" w:cstheme="minorHAnsi"/>
                <w:b w:val="0"/>
                <w:sz w:val="16"/>
                <w:szCs w:val="16"/>
              </w:rPr>
              <w:t xml:space="preserve"> benefit</w:t>
            </w:r>
          </w:p>
        </w:tc>
        <w:tc>
          <w:tcPr>
            <w:tcW w:w="1349" w:type="pct"/>
            <w:vAlign w:val="center"/>
          </w:tcPr>
          <w:p w:rsidR="008F5F1C" w:rsidRPr="00566D61" w:rsidRDefault="008F5F1C" w:rsidP="001E49D4">
            <w:pPr>
              <w:pStyle w:val="PwCNormal"/>
              <w:keepNext/>
              <w:keepLines/>
              <w:numPr>
                <w:ilvl w:val="0"/>
                <w:numId w:val="0"/>
              </w:num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66D61">
              <w:rPr>
                <w:rFonts w:asciiTheme="minorHAnsi" w:hAnsiTheme="minorHAnsi" w:cstheme="minorHAnsi"/>
                <w:sz w:val="16"/>
                <w:szCs w:val="16"/>
              </w:rPr>
              <w:t>$27</w:t>
            </w:r>
            <w:r w:rsidR="00364A6B">
              <w:rPr>
                <w:rFonts w:asciiTheme="minorHAnsi" w:hAnsiTheme="minorHAnsi" w:cstheme="minorHAnsi"/>
                <w:sz w:val="16"/>
                <w:szCs w:val="16"/>
              </w:rPr>
              <w:t>k</w:t>
            </w:r>
          </w:p>
        </w:tc>
      </w:tr>
      <w:tr w:rsidR="008F5F1C" w:rsidRPr="006A0A4A" w:rsidTr="000223BE">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3651" w:type="pct"/>
            <w:vAlign w:val="center"/>
          </w:tcPr>
          <w:p w:rsidR="008F5F1C" w:rsidRPr="00566D61" w:rsidRDefault="008F5F1C" w:rsidP="001E49D4">
            <w:pPr>
              <w:pStyle w:val="PwCNormal"/>
              <w:keepNext/>
              <w:keepLines/>
              <w:numPr>
                <w:ilvl w:val="0"/>
                <w:numId w:val="0"/>
              </w:numPr>
              <w:spacing w:before="60" w:after="60"/>
              <w:rPr>
                <w:rFonts w:asciiTheme="minorHAnsi" w:hAnsiTheme="minorHAnsi" w:cstheme="minorHAnsi"/>
                <w:sz w:val="16"/>
                <w:szCs w:val="16"/>
              </w:rPr>
            </w:pPr>
            <w:r w:rsidRPr="00566D61">
              <w:rPr>
                <w:rFonts w:asciiTheme="minorHAnsi" w:hAnsiTheme="minorHAnsi" w:cstheme="minorHAnsi"/>
                <w:sz w:val="16"/>
                <w:szCs w:val="16"/>
              </w:rPr>
              <w:t>Cost per new accident year</w:t>
            </w:r>
          </w:p>
        </w:tc>
        <w:tc>
          <w:tcPr>
            <w:tcW w:w="1349" w:type="pct"/>
            <w:vAlign w:val="center"/>
          </w:tcPr>
          <w:p w:rsidR="008F5F1C" w:rsidRPr="00566D61" w:rsidRDefault="008F5F1C" w:rsidP="001E49D4">
            <w:pPr>
              <w:pStyle w:val="PwCNormal"/>
              <w:keepNext/>
              <w:keepLines/>
              <w:numPr>
                <w:ilvl w:val="0"/>
                <w:numId w:val="0"/>
              </w:num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r w:rsidRPr="00566D61">
              <w:rPr>
                <w:rFonts w:asciiTheme="minorHAnsi" w:hAnsiTheme="minorHAnsi" w:cstheme="minorHAnsi"/>
                <w:b/>
                <w:sz w:val="16"/>
                <w:szCs w:val="16"/>
              </w:rPr>
              <w:t>$4.3m</w:t>
            </w:r>
          </w:p>
        </w:tc>
      </w:tr>
      <w:tr w:rsidR="008F5F1C" w:rsidRPr="006A0A4A" w:rsidTr="000223BE">
        <w:trPr>
          <w:trHeight w:val="493"/>
        </w:trPr>
        <w:tc>
          <w:tcPr>
            <w:cnfStyle w:val="001000000000" w:firstRow="0" w:lastRow="0" w:firstColumn="1" w:lastColumn="0" w:oddVBand="0" w:evenVBand="0" w:oddHBand="0" w:evenHBand="0" w:firstRowFirstColumn="0" w:firstRowLastColumn="0" w:lastRowFirstColumn="0" w:lastRowLastColumn="0"/>
            <w:tcW w:w="3651" w:type="pct"/>
            <w:vAlign w:val="center"/>
          </w:tcPr>
          <w:p w:rsidR="008F5F1C" w:rsidRPr="00F56BBC" w:rsidRDefault="008F5F1C" w:rsidP="001E49D4">
            <w:pPr>
              <w:pStyle w:val="PwCNormal"/>
              <w:keepNext/>
              <w:keepLines/>
              <w:numPr>
                <w:ilvl w:val="0"/>
                <w:numId w:val="0"/>
              </w:numPr>
              <w:spacing w:before="60" w:after="60"/>
              <w:rPr>
                <w:rFonts w:asciiTheme="minorHAnsi" w:hAnsiTheme="minorHAnsi" w:cstheme="minorHAnsi"/>
                <w:b w:val="0"/>
                <w:sz w:val="16"/>
                <w:szCs w:val="16"/>
              </w:rPr>
            </w:pPr>
            <w:r w:rsidRPr="00F56BBC">
              <w:rPr>
                <w:rFonts w:asciiTheme="minorHAnsi" w:hAnsiTheme="minorHAnsi" w:cstheme="minorHAnsi"/>
                <w:b w:val="0"/>
                <w:sz w:val="16"/>
                <w:szCs w:val="16"/>
              </w:rPr>
              <w:t>Liability multiplier</w:t>
            </w:r>
          </w:p>
        </w:tc>
        <w:tc>
          <w:tcPr>
            <w:tcW w:w="1349" w:type="pct"/>
            <w:vAlign w:val="center"/>
          </w:tcPr>
          <w:p w:rsidR="008F5F1C" w:rsidRPr="00566D61" w:rsidRDefault="008F5F1C" w:rsidP="001E49D4">
            <w:pPr>
              <w:pStyle w:val="PwCNormal"/>
              <w:keepNext/>
              <w:keepLines/>
              <w:numPr>
                <w:ilvl w:val="0"/>
                <w:numId w:val="0"/>
              </w:num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66D61">
              <w:rPr>
                <w:rFonts w:asciiTheme="minorHAnsi" w:hAnsiTheme="minorHAnsi" w:cstheme="minorHAnsi"/>
                <w:sz w:val="16"/>
                <w:szCs w:val="16"/>
              </w:rPr>
              <w:t>3.6</w:t>
            </w:r>
          </w:p>
        </w:tc>
      </w:tr>
      <w:tr w:rsidR="008F5F1C" w:rsidRPr="006A0A4A" w:rsidTr="000223BE">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3651" w:type="pct"/>
            <w:vAlign w:val="center"/>
          </w:tcPr>
          <w:p w:rsidR="008F5F1C" w:rsidRPr="00566D61" w:rsidRDefault="008F5F1C" w:rsidP="001E49D4">
            <w:pPr>
              <w:pStyle w:val="PwCNormal"/>
              <w:keepNext/>
              <w:keepLines/>
              <w:numPr>
                <w:ilvl w:val="0"/>
                <w:numId w:val="0"/>
              </w:numPr>
              <w:spacing w:before="60" w:after="60"/>
              <w:rPr>
                <w:rFonts w:asciiTheme="minorHAnsi" w:hAnsiTheme="minorHAnsi" w:cstheme="minorHAnsi"/>
                <w:sz w:val="16"/>
                <w:szCs w:val="16"/>
              </w:rPr>
            </w:pPr>
            <w:r w:rsidRPr="00566D61">
              <w:rPr>
                <w:rFonts w:asciiTheme="minorHAnsi" w:hAnsiTheme="minorHAnsi" w:cstheme="minorHAnsi"/>
                <w:sz w:val="16"/>
                <w:szCs w:val="16"/>
              </w:rPr>
              <w:t>Change in liability</w:t>
            </w:r>
          </w:p>
        </w:tc>
        <w:tc>
          <w:tcPr>
            <w:tcW w:w="1349" w:type="pct"/>
            <w:vAlign w:val="center"/>
          </w:tcPr>
          <w:p w:rsidR="008F5F1C" w:rsidRPr="00566D61" w:rsidRDefault="008F5F1C" w:rsidP="001E49D4">
            <w:pPr>
              <w:pStyle w:val="PwCNormal"/>
              <w:keepNext/>
              <w:keepLines/>
              <w:numPr>
                <w:ilvl w:val="0"/>
                <w:numId w:val="0"/>
              </w:num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r w:rsidRPr="00566D61">
              <w:rPr>
                <w:rFonts w:asciiTheme="minorHAnsi" w:hAnsiTheme="minorHAnsi" w:cstheme="minorHAnsi"/>
                <w:b/>
                <w:sz w:val="16"/>
                <w:szCs w:val="16"/>
              </w:rPr>
              <w:t>$15.5m</w:t>
            </w:r>
          </w:p>
        </w:tc>
      </w:tr>
    </w:tbl>
    <w:p w:rsidR="008F5F1C" w:rsidRDefault="008F5F1C" w:rsidP="001E49D4">
      <w:pPr>
        <w:pStyle w:val="Sources"/>
        <w:keepNext/>
        <w:keepLines/>
      </w:pPr>
      <w:r>
        <w:t>Source: PwC analysis</w:t>
      </w:r>
      <w:r w:rsidR="003D6F33">
        <w:t xml:space="preserve"> of </w:t>
      </w:r>
      <w:r w:rsidR="001E0921">
        <w:t xml:space="preserve">detailed </w:t>
      </w:r>
      <w:r w:rsidR="003D6F33">
        <w:t>TAC data</w:t>
      </w:r>
      <w:r>
        <w:t>.</w:t>
      </w:r>
    </w:p>
    <w:p w:rsidR="0098018E" w:rsidRPr="001F33DD" w:rsidRDefault="0098018E" w:rsidP="00704E51">
      <w:pPr>
        <w:pStyle w:val="PwCNormal"/>
        <w:keepNext/>
        <w:keepLines/>
        <w:numPr>
          <w:ilvl w:val="0"/>
          <w:numId w:val="34"/>
        </w:numPr>
        <w:ind w:left="426" w:hanging="426"/>
        <w:rPr>
          <w:rFonts w:asciiTheme="majorHAnsi" w:hAnsiTheme="majorHAnsi"/>
          <w:b/>
          <w:bCs/>
          <w:color w:val="A32020" w:themeColor="text2"/>
          <w:szCs w:val="18"/>
        </w:rPr>
      </w:pPr>
      <w:r w:rsidRPr="001F33DD">
        <w:rPr>
          <w:rFonts w:asciiTheme="majorHAnsi" w:hAnsiTheme="majorHAnsi"/>
          <w:b/>
          <w:bCs/>
          <w:color w:val="A32020" w:themeColor="text2"/>
          <w:szCs w:val="18"/>
        </w:rPr>
        <w:t xml:space="preserve">Common law </w:t>
      </w:r>
      <w:r w:rsidR="000E75BB">
        <w:rPr>
          <w:rFonts w:asciiTheme="majorHAnsi" w:hAnsiTheme="majorHAnsi"/>
          <w:b/>
          <w:bCs/>
          <w:color w:val="A32020" w:themeColor="text2"/>
          <w:szCs w:val="18"/>
        </w:rPr>
        <w:t>damages</w:t>
      </w:r>
    </w:p>
    <w:p w:rsidR="0098018E" w:rsidRDefault="0098018E" w:rsidP="00704E51">
      <w:pPr>
        <w:pStyle w:val="PwCNormal"/>
        <w:keepNext/>
        <w:keepLines/>
        <w:numPr>
          <w:ilvl w:val="0"/>
          <w:numId w:val="0"/>
        </w:numPr>
      </w:pPr>
      <w:r>
        <w:t>Due to the uncertain nature of common law payments, there are a number of factors to consider.</w:t>
      </w:r>
    </w:p>
    <w:p w:rsidR="0098018E" w:rsidRDefault="0098018E" w:rsidP="00704E51">
      <w:pPr>
        <w:pStyle w:val="PwCNormal"/>
        <w:keepNext/>
        <w:keepLines/>
        <w:numPr>
          <w:ilvl w:val="0"/>
          <w:numId w:val="0"/>
        </w:numPr>
      </w:pPr>
      <w:r>
        <w:t xml:space="preserve">Taking into account the number of </w:t>
      </w:r>
      <w:r w:rsidR="006F46E1">
        <w:t xml:space="preserve">claimants affected by </w:t>
      </w:r>
      <w:r w:rsidR="005C746C">
        <w:t xml:space="preserve">the consequences arising from </w:t>
      </w:r>
      <w:r w:rsidR="006F46E1">
        <w:t xml:space="preserve">Serwylo </w:t>
      </w:r>
      <w:r>
        <w:t>that are already receiving common law</w:t>
      </w:r>
      <w:r w:rsidR="006C58B1">
        <w:t xml:space="preserve"> payments</w:t>
      </w:r>
      <w:r>
        <w:t>, the change in serious injury as a result of the new WPI assessment and the requirement that the client was not at fault, we have estimated the number of additional claims to be 2</w:t>
      </w:r>
      <w:r w:rsidR="00364A6B">
        <w:t>0.6</w:t>
      </w:r>
      <w:r>
        <w:t xml:space="preserve"> (refer </w:t>
      </w:r>
      <w:r w:rsidR="009726CA">
        <w:fldChar w:fldCharType="begin"/>
      </w:r>
      <w:r w:rsidR="009726CA">
        <w:instrText xml:space="preserve"> REF _Ref386546308 \h </w:instrText>
      </w:r>
      <w:r w:rsidR="009726CA">
        <w:fldChar w:fldCharType="separate"/>
      </w:r>
      <w:r w:rsidR="00542564">
        <w:t xml:space="preserve">Table </w:t>
      </w:r>
      <w:r w:rsidR="00542564">
        <w:rPr>
          <w:noProof/>
        </w:rPr>
        <w:t>15</w:t>
      </w:r>
      <w:r w:rsidR="009726CA">
        <w:fldChar w:fldCharType="end"/>
      </w:r>
      <w:r w:rsidR="009726CA">
        <w:t xml:space="preserve"> </w:t>
      </w:r>
      <w:r>
        <w:t>below). At an average cost of $270</w:t>
      </w:r>
      <w:r w:rsidR="00364A6B">
        <w:t>,000</w:t>
      </w:r>
      <w:r>
        <w:t xml:space="preserve"> per claim, this equates to a total cost for new claims of $5.</w:t>
      </w:r>
      <w:r w:rsidR="00364A6B">
        <w:t xml:space="preserve">5 </w:t>
      </w:r>
      <w:r>
        <w:t>m</w:t>
      </w:r>
      <w:r w:rsidR="00364A6B">
        <w:t>illion</w:t>
      </w:r>
      <w:r>
        <w:t>.</w:t>
      </w:r>
      <w:r w:rsidR="00364A6B">
        <w:rPr>
          <w:rStyle w:val="FootnoteReference"/>
        </w:rPr>
        <w:footnoteReference w:id="75"/>
      </w:r>
    </w:p>
    <w:p w:rsidR="0098018E" w:rsidRDefault="0098018E" w:rsidP="0098018E">
      <w:pPr>
        <w:pStyle w:val="PwCNormal"/>
        <w:numPr>
          <w:ilvl w:val="0"/>
          <w:numId w:val="0"/>
        </w:numPr>
      </w:pPr>
      <w:r>
        <w:t xml:space="preserve">Our analysis also considered existing common law </w:t>
      </w:r>
      <w:r w:rsidR="008811B0">
        <w:t>claims that</w:t>
      </w:r>
      <w:r>
        <w:t xml:space="preserve"> </w:t>
      </w:r>
      <w:r w:rsidR="005E7D37">
        <w:t>will be</w:t>
      </w:r>
      <w:r>
        <w:t xml:space="preserve"> settled prior to the </w:t>
      </w:r>
      <w:r w:rsidR="006C58B1">
        <w:t>i</w:t>
      </w:r>
      <w:r>
        <w:t>mpairment benefit.</w:t>
      </w:r>
      <w:r w:rsidR="009E2B2E" w:rsidRPr="009E2B2E">
        <w:rPr>
          <w:rStyle w:val="FootnoteReference"/>
        </w:rPr>
        <w:t xml:space="preserve"> </w:t>
      </w:r>
      <w:r w:rsidR="009E2B2E">
        <w:rPr>
          <w:rStyle w:val="FootnoteReference"/>
        </w:rPr>
        <w:footnoteReference w:id="76"/>
      </w:r>
      <w:r w:rsidR="009E2B2E">
        <w:t xml:space="preserve"> </w:t>
      </w:r>
      <w:r>
        <w:t xml:space="preserve">In these cases, new common law claims </w:t>
      </w:r>
      <w:r w:rsidR="006C58B1">
        <w:t xml:space="preserve">will not </w:t>
      </w:r>
      <w:r>
        <w:t>be generated</w:t>
      </w:r>
      <w:r w:rsidR="006C58B1">
        <w:t>.</w:t>
      </w:r>
      <w:r>
        <w:t xml:space="preserve"> </w:t>
      </w:r>
      <w:r w:rsidR="006C58B1">
        <w:t>H</w:t>
      </w:r>
      <w:r>
        <w:t>owever</w:t>
      </w:r>
      <w:r w:rsidR="000D4955">
        <w:t>, we have assumed that the damages amount for these claimants is likely to increase in practice as a higher impairment score may factor in to the settlement process.</w:t>
      </w:r>
      <w:r>
        <w:t xml:space="preserve"> </w:t>
      </w:r>
      <w:r w:rsidR="005E7D37">
        <w:t xml:space="preserve">It is important to note that common law damages are based on the level of pain and suffering, loss of future earnings and contributory negligence. Therefore, WPI is only one input into the calculation of </w:t>
      </w:r>
      <w:r w:rsidR="00364A6B">
        <w:t xml:space="preserve">the </w:t>
      </w:r>
      <w:r w:rsidR="005E7D37">
        <w:t xml:space="preserve">settlement amount. </w:t>
      </w:r>
      <w:r w:rsidR="00451E40">
        <w:t xml:space="preserve">Given this, we have assumed that common law damages are half as sensitive to changes in WPI as impairment benefits are (impairment benefits are almost exclusively determined by WPI). </w:t>
      </w:r>
      <w:r w:rsidR="005E7D37">
        <w:t>Our estimate of the increase per claim is therefore half of the per claim impairment increase of $27</w:t>
      </w:r>
      <w:r w:rsidR="00364A6B">
        <w:t>,000</w:t>
      </w:r>
      <w:r w:rsidR="005E7D37">
        <w:t xml:space="preserve"> ($14</w:t>
      </w:r>
      <w:r w:rsidR="00364A6B">
        <w:t>,000</w:t>
      </w:r>
      <w:r w:rsidR="005E7D37">
        <w:t>).</w:t>
      </w:r>
      <w:r>
        <w:t xml:space="preserve"> The data showed that there will be on average 34 of these cases per year, producing a total cost of $0.5</w:t>
      </w:r>
      <w:r w:rsidR="009E2B2E">
        <w:t xml:space="preserve"> </w:t>
      </w:r>
      <w:r>
        <w:t>m</w:t>
      </w:r>
      <w:r w:rsidR="009E2B2E">
        <w:t>illion</w:t>
      </w:r>
      <w:r>
        <w:t>. Added to the $5.</w:t>
      </w:r>
      <w:r w:rsidR="00364A6B">
        <w:t>5</w:t>
      </w:r>
      <w:r w:rsidR="009E2B2E">
        <w:t xml:space="preserve"> </w:t>
      </w:r>
      <w:r>
        <w:t>m</w:t>
      </w:r>
      <w:r w:rsidR="009E2B2E">
        <w:t>illion</w:t>
      </w:r>
      <w:r>
        <w:t xml:space="preserve"> ab</w:t>
      </w:r>
      <w:r w:rsidR="006C04CD">
        <w:t>ove, the total cost is $6.</w:t>
      </w:r>
      <w:r w:rsidR="00364A6B">
        <w:t>0</w:t>
      </w:r>
      <w:r w:rsidR="009E2B2E">
        <w:t xml:space="preserve"> </w:t>
      </w:r>
      <w:r w:rsidR="006C04CD">
        <w:t>m</w:t>
      </w:r>
      <w:r w:rsidR="009E2B2E">
        <w:t>illion</w:t>
      </w:r>
      <w:r w:rsidR="006C04CD">
        <w:t>.</w:t>
      </w:r>
    </w:p>
    <w:p w:rsidR="0098018E" w:rsidRDefault="006B7E2C" w:rsidP="0098018E">
      <w:pPr>
        <w:pStyle w:val="PwCNormal"/>
        <w:numPr>
          <w:ilvl w:val="0"/>
          <w:numId w:val="0"/>
        </w:numPr>
      </w:pPr>
      <w:r>
        <w:t xml:space="preserve">Lastly, from data provided by the TAC we can estimate that approximately half of claimants receiving impairment benefits will be eligible for common law payments (that is, qualify as ‘seriously injured’ and not be the at fault party). Claimants receiving both impairment benefits and common law settlement will have the latter payment offset against the former (regardless of which is paid out first). </w:t>
      </w:r>
      <w:r w:rsidR="00684B40">
        <w:t xml:space="preserve">As outlined in </w:t>
      </w:r>
      <w:r w:rsidR="00684B40">
        <w:fldChar w:fldCharType="begin"/>
      </w:r>
      <w:r w:rsidR="00684B40">
        <w:instrText xml:space="preserve"> REF _Ref388003521 \h </w:instrText>
      </w:r>
      <w:r w:rsidR="00684B40">
        <w:fldChar w:fldCharType="separate"/>
      </w:r>
      <w:r w:rsidR="00542564">
        <w:t xml:space="preserve">Table </w:t>
      </w:r>
      <w:r w:rsidR="00542564">
        <w:rPr>
          <w:noProof/>
        </w:rPr>
        <w:t>14</w:t>
      </w:r>
      <w:r w:rsidR="00684B40">
        <w:fldChar w:fldCharType="end"/>
      </w:r>
      <w:r w:rsidR="00684B40">
        <w:t>, the increase in impairment per new accident year is $4.3</w:t>
      </w:r>
      <w:r w:rsidR="009E2B2E">
        <w:t xml:space="preserve"> </w:t>
      </w:r>
      <w:r w:rsidR="00684B40">
        <w:t>m</w:t>
      </w:r>
      <w:r w:rsidR="009E2B2E">
        <w:t>illion</w:t>
      </w:r>
      <w:r w:rsidR="00684B40">
        <w:t>. Therefore, approximately half of this increase ($2.1</w:t>
      </w:r>
      <w:r w:rsidR="009E2B2E">
        <w:t xml:space="preserve"> </w:t>
      </w:r>
      <w:r w:rsidR="00684B40">
        <w:t>m</w:t>
      </w:r>
      <w:r w:rsidR="009E2B2E">
        <w:t>illion</w:t>
      </w:r>
      <w:r w:rsidR="00684B40">
        <w:t xml:space="preserve">) will be offset against the increase in common law settlement. This takes </w:t>
      </w:r>
      <w:r w:rsidR="0098018E">
        <w:t xml:space="preserve">the total net increase for common law </w:t>
      </w:r>
      <w:r w:rsidR="000E75BB">
        <w:t xml:space="preserve">damages </w:t>
      </w:r>
      <w:r w:rsidR="0098018E">
        <w:t>to $3.9</w:t>
      </w:r>
      <w:r w:rsidR="009E2B2E">
        <w:t xml:space="preserve"> </w:t>
      </w:r>
      <w:r w:rsidR="0098018E">
        <w:t>m</w:t>
      </w:r>
      <w:r w:rsidR="009E2B2E">
        <w:t>illion</w:t>
      </w:r>
      <w:r w:rsidR="0098018E">
        <w:t xml:space="preserve">. Refer to </w:t>
      </w:r>
      <w:r w:rsidR="004F1D57">
        <w:fldChar w:fldCharType="begin"/>
      </w:r>
      <w:r w:rsidR="004F1D57">
        <w:instrText xml:space="preserve"> REF _Ref386546308 \h </w:instrText>
      </w:r>
      <w:r w:rsidR="004F1D57">
        <w:fldChar w:fldCharType="separate"/>
      </w:r>
      <w:r w:rsidR="00542564">
        <w:t xml:space="preserve">Table </w:t>
      </w:r>
      <w:r w:rsidR="00542564">
        <w:rPr>
          <w:noProof/>
        </w:rPr>
        <w:t>15</w:t>
      </w:r>
      <w:r w:rsidR="004F1D57">
        <w:fldChar w:fldCharType="end"/>
      </w:r>
      <w:r w:rsidR="004F1D57">
        <w:t xml:space="preserve"> </w:t>
      </w:r>
      <w:r w:rsidR="0098018E">
        <w:t>for a summary of the calculation.</w:t>
      </w:r>
    </w:p>
    <w:p w:rsidR="0090188B" w:rsidRDefault="0090188B" w:rsidP="000223BE">
      <w:pPr>
        <w:pStyle w:val="Caption"/>
      </w:pPr>
      <w:bookmarkStart w:id="125" w:name="_Ref386546308"/>
      <w:r>
        <w:lastRenderedPageBreak/>
        <w:t xml:space="preserve">Table </w:t>
      </w:r>
      <w:fldSimple w:instr=" SEQ Table \* ARABIC ">
        <w:r w:rsidR="00542564">
          <w:rPr>
            <w:noProof/>
          </w:rPr>
          <w:t>15</w:t>
        </w:r>
      </w:fldSimple>
      <w:bookmarkEnd w:id="125"/>
      <w:r>
        <w:t xml:space="preserve">: </w:t>
      </w:r>
      <w:r w:rsidRPr="0090188B">
        <w:t xml:space="preserve">Cost </w:t>
      </w:r>
      <w:r w:rsidR="0056414E">
        <w:t>relating to</w:t>
      </w:r>
      <w:r w:rsidRPr="0090188B">
        <w:t xml:space="preserve"> Serwylo</w:t>
      </w:r>
      <w:r w:rsidR="0056414E">
        <w:t xml:space="preserve"> </w:t>
      </w:r>
      <w:r w:rsidRPr="0090188B">
        <w:t xml:space="preserve">on common law </w:t>
      </w:r>
      <w:r w:rsidR="000E75BB">
        <w:t>damages</w:t>
      </w:r>
    </w:p>
    <w:tbl>
      <w:tblPr>
        <w:tblStyle w:val="LightList-Accent1"/>
        <w:tblW w:w="5000" w:type="pct"/>
        <w:tblLook w:val="04A0" w:firstRow="1" w:lastRow="0" w:firstColumn="1" w:lastColumn="0" w:noHBand="0" w:noVBand="1"/>
      </w:tblPr>
      <w:tblGrid>
        <w:gridCol w:w="6161"/>
        <w:gridCol w:w="2276"/>
      </w:tblGrid>
      <w:tr w:rsidR="0098018E" w:rsidRPr="006A0A4A" w:rsidTr="000223BE">
        <w:trPr>
          <w:cnfStyle w:val="100000000000" w:firstRow="1" w:lastRow="0" w:firstColumn="0" w:lastColumn="0" w:oddVBand="0" w:evenVBand="0" w:oddHBand="0"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3651" w:type="pct"/>
            <w:tcBorders>
              <w:bottom w:val="single" w:sz="8" w:space="0" w:color="A32020" w:themeColor="accent1"/>
            </w:tcBorders>
            <w:vAlign w:val="center"/>
          </w:tcPr>
          <w:p w:rsidR="0098018E" w:rsidRPr="00566D61" w:rsidRDefault="0098018E" w:rsidP="000223BE">
            <w:pPr>
              <w:pStyle w:val="PwCNormal"/>
              <w:keepNext/>
              <w:keepLines/>
              <w:numPr>
                <w:ilvl w:val="0"/>
                <w:numId w:val="0"/>
              </w:numPr>
              <w:spacing w:before="60" w:after="60"/>
              <w:rPr>
                <w:rFonts w:asciiTheme="minorHAnsi" w:hAnsiTheme="minorHAnsi" w:cstheme="minorHAnsi"/>
                <w:sz w:val="16"/>
                <w:szCs w:val="16"/>
              </w:rPr>
            </w:pPr>
            <w:r w:rsidRPr="00566D61">
              <w:rPr>
                <w:rFonts w:asciiTheme="minorHAnsi" w:hAnsiTheme="minorHAnsi" w:cstheme="minorHAnsi"/>
                <w:sz w:val="16"/>
                <w:szCs w:val="16"/>
              </w:rPr>
              <w:t>Change in common law cost</w:t>
            </w:r>
          </w:p>
        </w:tc>
        <w:tc>
          <w:tcPr>
            <w:tcW w:w="1349" w:type="pct"/>
            <w:tcBorders>
              <w:bottom w:val="single" w:sz="8" w:space="0" w:color="A32020" w:themeColor="accent1"/>
            </w:tcBorders>
            <w:vAlign w:val="center"/>
          </w:tcPr>
          <w:p w:rsidR="0098018E" w:rsidRPr="00566D61" w:rsidRDefault="006A0A4A" w:rsidP="000223BE">
            <w:pPr>
              <w:pStyle w:val="PwCNormal"/>
              <w:keepNext/>
              <w:keepLines/>
              <w:numPr>
                <w:ilvl w:val="0"/>
                <w:numId w:val="0"/>
              </w:num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66D61">
              <w:rPr>
                <w:rFonts w:asciiTheme="minorHAnsi" w:hAnsiTheme="minorHAnsi" w:cstheme="minorHAnsi"/>
                <w:sz w:val="16"/>
                <w:szCs w:val="16"/>
              </w:rPr>
              <w:t>Value</w:t>
            </w:r>
          </w:p>
        </w:tc>
      </w:tr>
      <w:tr w:rsidR="0098018E" w:rsidRPr="006A0A4A" w:rsidTr="000223BE">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3651" w:type="pct"/>
            <w:tcBorders>
              <w:bottom w:val="nil"/>
            </w:tcBorders>
            <w:vAlign w:val="center"/>
          </w:tcPr>
          <w:p w:rsidR="0098018E" w:rsidRPr="00F56BBC" w:rsidRDefault="0098018E" w:rsidP="000223BE">
            <w:pPr>
              <w:pStyle w:val="PwCNormal"/>
              <w:keepNext/>
              <w:keepLines/>
              <w:numPr>
                <w:ilvl w:val="0"/>
                <w:numId w:val="0"/>
              </w:numPr>
              <w:spacing w:before="60" w:after="60"/>
              <w:rPr>
                <w:rFonts w:asciiTheme="minorHAnsi" w:hAnsiTheme="minorHAnsi" w:cstheme="minorHAnsi"/>
                <w:b w:val="0"/>
                <w:sz w:val="16"/>
                <w:szCs w:val="16"/>
              </w:rPr>
            </w:pPr>
            <w:r w:rsidRPr="00F56BBC">
              <w:rPr>
                <w:rFonts w:asciiTheme="minorHAnsi" w:hAnsiTheme="minorHAnsi" w:cstheme="minorHAnsi"/>
                <w:b w:val="0"/>
                <w:sz w:val="16"/>
                <w:szCs w:val="16"/>
              </w:rPr>
              <w:t>Number of claims with change in WPI</w:t>
            </w:r>
          </w:p>
        </w:tc>
        <w:tc>
          <w:tcPr>
            <w:tcW w:w="1349" w:type="pct"/>
            <w:tcBorders>
              <w:bottom w:val="nil"/>
            </w:tcBorders>
            <w:vAlign w:val="center"/>
          </w:tcPr>
          <w:p w:rsidR="0098018E" w:rsidRPr="00566D61" w:rsidRDefault="0098018E" w:rsidP="000223BE">
            <w:pPr>
              <w:pStyle w:val="PwCNormal"/>
              <w:keepNext/>
              <w:keepLines/>
              <w:numPr>
                <w:ilvl w:val="0"/>
                <w:numId w:val="0"/>
              </w:num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566D61">
              <w:rPr>
                <w:rFonts w:asciiTheme="minorHAnsi" w:hAnsiTheme="minorHAnsi" w:cstheme="minorHAnsi"/>
                <w:sz w:val="16"/>
                <w:szCs w:val="16"/>
              </w:rPr>
              <w:t>159</w:t>
            </w:r>
          </w:p>
        </w:tc>
      </w:tr>
      <w:tr w:rsidR="0098018E" w:rsidRPr="006A0A4A" w:rsidTr="000223BE">
        <w:trPr>
          <w:trHeight w:val="493"/>
        </w:trPr>
        <w:tc>
          <w:tcPr>
            <w:cnfStyle w:val="001000000000" w:firstRow="0" w:lastRow="0" w:firstColumn="1" w:lastColumn="0" w:oddVBand="0" w:evenVBand="0" w:oddHBand="0" w:evenHBand="0" w:firstRowFirstColumn="0" w:firstRowLastColumn="0" w:lastRowFirstColumn="0" w:lastRowLastColumn="0"/>
            <w:tcW w:w="3651" w:type="pct"/>
            <w:tcBorders>
              <w:top w:val="nil"/>
              <w:bottom w:val="single" w:sz="8" w:space="0" w:color="A32020" w:themeColor="accent1"/>
            </w:tcBorders>
            <w:vAlign w:val="center"/>
          </w:tcPr>
          <w:p w:rsidR="0098018E" w:rsidRPr="00F56BBC" w:rsidRDefault="0098018E" w:rsidP="000223BE">
            <w:pPr>
              <w:pStyle w:val="PwCNormal"/>
              <w:keepNext/>
              <w:keepLines/>
              <w:numPr>
                <w:ilvl w:val="0"/>
                <w:numId w:val="0"/>
              </w:numPr>
              <w:spacing w:before="60" w:after="60"/>
              <w:rPr>
                <w:rFonts w:asciiTheme="minorHAnsi" w:hAnsiTheme="minorHAnsi" w:cstheme="minorHAnsi"/>
                <w:b w:val="0"/>
                <w:sz w:val="16"/>
                <w:szCs w:val="16"/>
              </w:rPr>
            </w:pPr>
            <w:r w:rsidRPr="00F56BBC">
              <w:rPr>
                <w:rFonts w:asciiTheme="minorHAnsi" w:hAnsiTheme="minorHAnsi" w:cstheme="minorHAnsi"/>
                <w:b w:val="0"/>
                <w:sz w:val="16"/>
                <w:szCs w:val="16"/>
              </w:rPr>
              <w:t>Already receiving common law</w:t>
            </w:r>
          </w:p>
        </w:tc>
        <w:tc>
          <w:tcPr>
            <w:tcW w:w="1349" w:type="pct"/>
            <w:tcBorders>
              <w:top w:val="nil"/>
              <w:bottom w:val="single" w:sz="8" w:space="0" w:color="A32020" w:themeColor="accent1"/>
            </w:tcBorders>
            <w:vAlign w:val="center"/>
          </w:tcPr>
          <w:p w:rsidR="0098018E" w:rsidRPr="00566D61" w:rsidRDefault="0098018E" w:rsidP="000223BE">
            <w:pPr>
              <w:pStyle w:val="PwCNormal"/>
              <w:keepNext/>
              <w:keepLines/>
              <w:numPr>
                <w:ilvl w:val="0"/>
                <w:numId w:val="0"/>
              </w:num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66D61">
              <w:rPr>
                <w:rFonts w:asciiTheme="minorHAnsi" w:hAnsiTheme="minorHAnsi" w:cstheme="minorHAnsi"/>
                <w:sz w:val="16"/>
                <w:szCs w:val="16"/>
              </w:rPr>
              <w:t>80</w:t>
            </w:r>
          </w:p>
        </w:tc>
      </w:tr>
      <w:tr w:rsidR="0098018E" w:rsidRPr="006A0A4A" w:rsidTr="000223BE">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3651" w:type="pct"/>
            <w:tcBorders>
              <w:bottom w:val="nil"/>
            </w:tcBorders>
            <w:vAlign w:val="center"/>
          </w:tcPr>
          <w:p w:rsidR="0098018E" w:rsidRPr="002A3CD0" w:rsidRDefault="0098018E" w:rsidP="000223BE">
            <w:pPr>
              <w:pStyle w:val="PwCNormal"/>
              <w:keepNext/>
              <w:keepLines/>
              <w:numPr>
                <w:ilvl w:val="0"/>
                <w:numId w:val="0"/>
              </w:numPr>
              <w:spacing w:before="60" w:after="60"/>
              <w:rPr>
                <w:rFonts w:asciiTheme="minorHAnsi" w:hAnsiTheme="minorHAnsi" w:cstheme="minorHAnsi"/>
                <w:b w:val="0"/>
                <w:sz w:val="16"/>
                <w:szCs w:val="16"/>
              </w:rPr>
            </w:pPr>
            <w:r w:rsidRPr="002A3CD0">
              <w:rPr>
                <w:rFonts w:asciiTheme="minorHAnsi" w:hAnsiTheme="minorHAnsi" w:cstheme="minorHAnsi"/>
                <w:b w:val="0"/>
                <w:sz w:val="16"/>
                <w:szCs w:val="16"/>
              </w:rPr>
              <w:t>Potential additional common law claims</w:t>
            </w:r>
          </w:p>
        </w:tc>
        <w:tc>
          <w:tcPr>
            <w:tcW w:w="1349" w:type="pct"/>
            <w:tcBorders>
              <w:bottom w:val="nil"/>
            </w:tcBorders>
            <w:vAlign w:val="center"/>
          </w:tcPr>
          <w:p w:rsidR="0098018E" w:rsidRPr="002A3CD0" w:rsidRDefault="0098018E" w:rsidP="000223BE">
            <w:pPr>
              <w:pStyle w:val="PwCNormal"/>
              <w:keepNext/>
              <w:keepLines/>
              <w:numPr>
                <w:ilvl w:val="0"/>
                <w:numId w:val="0"/>
              </w:num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16"/>
                <w:szCs w:val="16"/>
              </w:rPr>
            </w:pPr>
            <w:r w:rsidRPr="002A3CD0">
              <w:rPr>
                <w:rFonts w:asciiTheme="minorHAnsi" w:hAnsiTheme="minorHAnsi" w:cstheme="minorHAnsi"/>
                <w:i/>
                <w:sz w:val="16"/>
                <w:szCs w:val="16"/>
              </w:rPr>
              <w:t>79</w:t>
            </w:r>
          </w:p>
        </w:tc>
      </w:tr>
      <w:tr w:rsidR="0098018E" w:rsidRPr="006A0A4A" w:rsidTr="000223BE">
        <w:trPr>
          <w:trHeight w:val="493"/>
        </w:trPr>
        <w:tc>
          <w:tcPr>
            <w:cnfStyle w:val="001000000000" w:firstRow="0" w:lastRow="0" w:firstColumn="1" w:lastColumn="0" w:oddVBand="0" w:evenVBand="0" w:oddHBand="0" w:evenHBand="0" w:firstRowFirstColumn="0" w:firstRowLastColumn="0" w:lastRowFirstColumn="0" w:lastRowLastColumn="0"/>
            <w:tcW w:w="3651" w:type="pct"/>
            <w:tcBorders>
              <w:top w:val="nil"/>
              <w:bottom w:val="nil"/>
            </w:tcBorders>
            <w:vAlign w:val="center"/>
          </w:tcPr>
          <w:p w:rsidR="0098018E" w:rsidRPr="00F56BBC" w:rsidRDefault="0098018E" w:rsidP="000223BE">
            <w:pPr>
              <w:pStyle w:val="PwCNormal"/>
              <w:keepNext/>
              <w:keepLines/>
              <w:numPr>
                <w:ilvl w:val="0"/>
                <w:numId w:val="0"/>
              </w:numPr>
              <w:spacing w:before="60" w:after="60"/>
              <w:rPr>
                <w:rFonts w:asciiTheme="minorHAnsi" w:hAnsiTheme="minorHAnsi" w:cstheme="minorHAnsi"/>
                <w:b w:val="0"/>
                <w:sz w:val="16"/>
                <w:szCs w:val="16"/>
              </w:rPr>
            </w:pPr>
            <w:r w:rsidRPr="00F56BBC">
              <w:rPr>
                <w:rFonts w:asciiTheme="minorHAnsi" w:hAnsiTheme="minorHAnsi" w:cstheme="minorHAnsi"/>
                <w:b w:val="0"/>
                <w:sz w:val="16"/>
                <w:szCs w:val="16"/>
              </w:rPr>
              <w:t xml:space="preserve">Proportion of claims </w:t>
            </w:r>
            <w:r w:rsidR="00D23FF1">
              <w:rPr>
                <w:rFonts w:asciiTheme="minorHAnsi" w:hAnsiTheme="minorHAnsi" w:cstheme="minorHAnsi"/>
                <w:b w:val="0"/>
                <w:sz w:val="16"/>
                <w:szCs w:val="16"/>
              </w:rPr>
              <w:t xml:space="preserve">where claimant </w:t>
            </w:r>
            <w:r w:rsidRPr="00F56BBC">
              <w:rPr>
                <w:rFonts w:asciiTheme="minorHAnsi" w:hAnsiTheme="minorHAnsi" w:cstheme="minorHAnsi"/>
                <w:b w:val="0"/>
                <w:sz w:val="16"/>
                <w:szCs w:val="16"/>
              </w:rPr>
              <w:t>not at fault</w:t>
            </w:r>
          </w:p>
        </w:tc>
        <w:tc>
          <w:tcPr>
            <w:tcW w:w="1349" w:type="pct"/>
            <w:tcBorders>
              <w:top w:val="nil"/>
              <w:bottom w:val="nil"/>
            </w:tcBorders>
            <w:vAlign w:val="center"/>
          </w:tcPr>
          <w:p w:rsidR="0098018E" w:rsidRPr="00566D61" w:rsidRDefault="0098018E" w:rsidP="000223BE">
            <w:pPr>
              <w:pStyle w:val="PwCNormal"/>
              <w:keepNext/>
              <w:keepLines/>
              <w:numPr>
                <w:ilvl w:val="0"/>
                <w:numId w:val="0"/>
              </w:num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66D61">
              <w:rPr>
                <w:rFonts w:asciiTheme="minorHAnsi" w:hAnsiTheme="minorHAnsi" w:cstheme="minorHAnsi"/>
                <w:sz w:val="16"/>
                <w:szCs w:val="16"/>
              </w:rPr>
              <w:t>40%</w:t>
            </w:r>
          </w:p>
        </w:tc>
      </w:tr>
      <w:tr w:rsidR="0098018E" w:rsidRPr="006A0A4A" w:rsidTr="000223BE">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3651" w:type="pct"/>
            <w:tcBorders>
              <w:top w:val="nil"/>
            </w:tcBorders>
            <w:vAlign w:val="center"/>
          </w:tcPr>
          <w:p w:rsidR="0098018E" w:rsidRPr="00F56BBC" w:rsidRDefault="0098018E" w:rsidP="000223BE">
            <w:pPr>
              <w:pStyle w:val="PwCNormal"/>
              <w:keepNext/>
              <w:keepLines/>
              <w:numPr>
                <w:ilvl w:val="0"/>
                <w:numId w:val="0"/>
              </w:numPr>
              <w:spacing w:before="60" w:after="60"/>
              <w:rPr>
                <w:rFonts w:asciiTheme="minorHAnsi" w:hAnsiTheme="minorHAnsi" w:cstheme="minorHAnsi"/>
                <w:b w:val="0"/>
                <w:sz w:val="16"/>
                <w:szCs w:val="16"/>
              </w:rPr>
            </w:pPr>
            <w:r w:rsidRPr="00F56BBC">
              <w:rPr>
                <w:rFonts w:asciiTheme="minorHAnsi" w:hAnsiTheme="minorHAnsi" w:cstheme="minorHAnsi"/>
                <w:b w:val="0"/>
                <w:sz w:val="16"/>
                <w:szCs w:val="16"/>
              </w:rPr>
              <w:t>Proportion that will now reach SI threshold</w:t>
            </w:r>
          </w:p>
        </w:tc>
        <w:tc>
          <w:tcPr>
            <w:tcW w:w="1349" w:type="pct"/>
            <w:tcBorders>
              <w:top w:val="nil"/>
            </w:tcBorders>
            <w:vAlign w:val="center"/>
          </w:tcPr>
          <w:p w:rsidR="0098018E" w:rsidRPr="00566D61" w:rsidRDefault="0098018E" w:rsidP="000223BE">
            <w:pPr>
              <w:pStyle w:val="PwCNormal"/>
              <w:keepNext/>
              <w:keepLines/>
              <w:numPr>
                <w:ilvl w:val="0"/>
                <w:numId w:val="0"/>
              </w:num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566D61">
              <w:rPr>
                <w:rFonts w:asciiTheme="minorHAnsi" w:hAnsiTheme="minorHAnsi" w:cstheme="minorHAnsi"/>
                <w:sz w:val="16"/>
                <w:szCs w:val="16"/>
              </w:rPr>
              <w:t>65%</w:t>
            </w:r>
          </w:p>
        </w:tc>
      </w:tr>
      <w:tr w:rsidR="0098018E" w:rsidRPr="006A0A4A" w:rsidTr="000223BE">
        <w:trPr>
          <w:trHeight w:val="493"/>
        </w:trPr>
        <w:tc>
          <w:tcPr>
            <w:cnfStyle w:val="001000000000" w:firstRow="0" w:lastRow="0" w:firstColumn="1" w:lastColumn="0" w:oddVBand="0" w:evenVBand="0" w:oddHBand="0" w:evenHBand="0" w:firstRowFirstColumn="0" w:firstRowLastColumn="0" w:lastRowFirstColumn="0" w:lastRowLastColumn="0"/>
            <w:tcW w:w="3651" w:type="pct"/>
            <w:tcBorders>
              <w:top w:val="single" w:sz="8" w:space="0" w:color="A32020" w:themeColor="accent1"/>
              <w:bottom w:val="nil"/>
            </w:tcBorders>
            <w:vAlign w:val="center"/>
          </w:tcPr>
          <w:p w:rsidR="0098018E" w:rsidRPr="002A3CD0" w:rsidRDefault="0098018E" w:rsidP="000223BE">
            <w:pPr>
              <w:pStyle w:val="PwCNormal"/>
              <w:keepNext/>
              <w:keepLines/>
              <w:numPr>
                <w:ilvl w:val="0"/>
                <w:numId w:val="0"/>
              </w:numPr>
              <w:spacing w:before="60" w:after="60"/>
              <w:rPr>
                <w:rFonts w:asciiTheme="minorHAnsi" w:hAnsiTheme="minorHAnsi" w:cstheme="minorHAnsi"/>
                <w:b w:val="0"/>
                <w:sz w:val="16"/>
                <w:szCs w:val="16"/>
              </w:rPr>
            </w:pPr>
            <w:r w:rsidRPr="002A3CD0">
              <w:rPr>
                <w:rFonts w:asciiTheme="minorHAnsi" w:hAnsiTheme="minorHAnsi" w:cstheme="minorHAnsi"/>
                <w:b w:val="0"/>
                <w:sz w:val="16"/>
                <w:szCs w:val="16"/>
              </w:rPr>
              <w:t>Additional claims- Impairment received</w:t>
            </w:r>
          </w:p>
        </w:tc>
        <w:tc>
          <w:tcPr>
            <w:tcW w:w="1349" w:type="pct"/>
            <w:tcBorders>
              <w:top w:val="single" w:sz="8" w:space="0" w:color="A32020" w:themeColor="accent1"/>
              <w:bottom w:val="nil"/>
            </w:tcBorders>
            <w:vAlign w:val="center"/>
          </w:tcPr>
          <w:p w:rsidR="0098018E" w:rsidRPr="001E49D4" w:rsidRDefault="0098018E" w:rsidP="000223BE">
            <w:pPr>
              <w:pStyle w:val="PwCNormal"/>
              <w:keepNext/>
              <w:keepLines/>
              <w:numPr>
                <w:ilvl w:val="0"/>
                <w:numId w:val="0"/>
              </w:num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16"/>
                <w:szCs w:val="16"/>
              </w:rPr>
            </w:pPr>
            <w:r w:rsidRPr="001E49D4">
              <w:rPr>
                <w:rFonts w:asciiTheme="minorHAnsi" w:hAnsiTheme="minorHAnsi" w:cstheme="minorHAnsi"/>
                <w:i/>
                <w:sz w:val="16"/>
                <w:szCs w:val="16"/>
              </w:rPr>
              <w:t>2</w:t>
            </w:r>
            <w:r w:rsidR="00364A6B" w:rsidRPr="001E49D4">
              <w:rPr>
                <w:rFonts w:asciiTheme="minorHAnsi" w:hAnsiTheme="minorHAnsi" w:cstheme="minorHAnsi"/>
                <w:i/>
                <w:sz w:val="16"/>
                <w:szCs w:val="16"/>
              </w:rPr>
              <w:t>0.6</w:t>
            </w:r>
          </w:p>
        </w:tc>
      </w:tr>
      <w:tr w:rsidR="0098018E" w:rsidRPr="006A0A4A" w:rsidTr="000223BE">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3651" w:type="pct"/>
            <w:tcBorders>
              <w:top w:val="nil"/>
            </w:tcBorders>
            <w:vAlign w:val="center"/>
          </w:tcPr>
          <w:p w:rsidR="0098018E" w:rsidRPr="00F56BBC" w:rsidRDefault="0098018E" w:rsidP="000223BE">
            <w:pPr>
              <w:pStyle w:val="PwCNormal"/>
              <w:keepNext/>
              <w:keepLines/>
              <w:numPr>
                <w:ilvl w:val="0"/>
                <w:numId w:val="0"/>
              </w:numPr>
              <w:spacing w:before="60" w:after="60"/>
              <w:rPr>
                <w:rFonts w:asciiTheme="minorHAnsi" w:hAnsiTheme="minorHAnsi" w:cstheme="minorHAnsi"/>
                <w:b w:val="0"/>
                <w:sz w:val="16"/>
                <w:szCs w:val="16"/>
              </w:rPr>
            </w:pPr>
            <w:r w:rsidRPr="00F56BBC">
              <w:rPr>
                <w:rFonts w:asciiTheme="minorHAnsi" w:hAnsiTheme="minorHAnsi" w:cstheme="minorHAnsi"/>
                <w:b w:val="0"/>
                <w:sz w:val="16"/>
                <w:szCs w:val="16"/>
              </w:rPr>
              <w:t>Average cost per claim</w:t>
            </w:r>
          </w:p>
        </w:tc>
        <w:tc>
          <w:tcPr>
            <w:tcW w:w="1349" w:type="pct"/>
            <w:tcBorders>
              <w:top w:val="nil"/>
            </w:tcBorders>
            <w:vAlign w:val="center"/>
          </w:tcPr>
          <w:p w:rsidR="0098018E" w:rsidRPr="00566D61" w:rsidRDefault="0098018E" w:rsidP="000223BE">
            <w:pPr>
              <w:pStyle w:val="PwCNormal"/>
              <w:keepNext/>
              <w:keepLines/>
              <w:numPr>
                <w:ilvl w:val="0"/>
                <w:numId w:val="0"/>
              </w:num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566D61">
              <w:rPr>
                <w:rFonts w:asciiTheme="minorHAnsi" w:hAnsiTheme="minorHAnsi" w:cstheme="minorHAnsi"/>
                <w:sz w:val="16"/>
                <w:szCs w:val="16"/>
              </w:rPr>
              <w:t>$270</w:t>
            </w:r>
            <w:r w:rsidR="002A3CD0">
              <w:rPr>
                <w:rFonts w:asciiTheme="minorHAnsi" w:hAnsiTheme="minorHAnsi" w:cstheme="minorHAnsi"/>
                <w:sz w:val="16"/>
                <w:szCs w:val="16"/>
              </w:rPr>
              <w:t>k</w:t>
            </w:r>
          </w:p>
        </w:tc>
      </w:tr>
      <w:tr w:rsidR="0098018E" w:rsidRPr="006A0A4A" w:rsidTr="000223BE">
        <w:trPr>
          <w:trHeight w:val="493"/>
        </w:trPr>
        <w:tc>
          <w:tcPr>
            <w:cnfStyle w:val="001000000000" w:firstRow="0" w:lastRow="0" w:firstColumn="1" w:lastColumn="0" w:oddVBand="0" w:evenVBand="0" w:oddHBand="0" w:evenHBand="0" w:firstRowFirstColumn="0" w:firstRowLastColumn="0" w:lastRowFirstColumn="0" w:lastRowLastColumn="0"/>
            <w:tcW w:w="3651" w:type="pct"/>
            <w:tcBorders>
              <w:top w:val="single" w:sz="8" w:space="0" w:color="A32020" w:themeColor="accent1"/>
              <w:bottom w:val="nil"/>
            </w:tcBorders>
            <w:vAlign w:val="center"/>
          </w:tcPr>
          <w:p w:rsidR="0098018E" w:rsidRPr="00F56BBC" w:rsidRDefault="0098018E" w:rsidP="000223BE">
            <w:pPr>
              <w:pStyle w:val="PwCNormal"/>
              <w:keepNext/>
              <w:keepLines/>
              <w:numPr>
                <w:ilvl w:val="0"/>
                <w:numId w:val="0"/>
              </w:numPr>
              <w:spacing w:before="60" w:after="60"/>
              <w:rPr>
                <w:rFonts w:asciiTheme="minorHAnsi" w:hAnsiTheme="minorHAnsi" w:cstheme="minorHAnsi"/>
                <w:sz w:val="16"/>
                <w:szCs w:val="16"/>
              </w:rPr>
            </w:pPr>
            <w:r w:rsidRPr="00F56BBC">
              <w:rPr>
                <w:rFonts w:asciiTheme="minorHAnsi" w:hAnsiTheme="minorHAnsi" w:cstheme="minorHAnsi"/>
                <w:sz w:val="16"/>
                <w:szCs w:val="16"/>
              </w:rPr>
              <w:t>Cost for new claims</w:t>
            </w:r>
          </w:p>
        </w:tc>
        <w:tc>
          <w:tcPr>
            <w:tcW w:w="1349" w:type="pct"/>
            <w:tcBorders>
              <w:top w:val="single" w:sz="8" w:space="0" w:color="A32020" w:themeColor="accent1"/>
              <w:bottom w:val="nil"/>
            </w:tcBorders>
            <w:vAlign w:val="center"/>
          </w:tcPr>
          <w:p w:rsidR="0098018E" w:rsidRPr="00566D61" w:rsidRDefault="0098018E" w:rsidP="000223BE">
            <w:pPr>
              <w:pStyle w:val="PwCNormal"/>
              <w:keepNext/>
              <w:keepLines/>
              <w:numPr>
                <w:ilvl w:val="0"/>
                <w:numId w:val="0"/>
              </w:num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566D61">
              <w:rPr>
                <w:rFonts w:asciiTheme="minorHAnsi" w:hAnsiTheme="minorHAnsi" w:cstheme="minorHAnsi"/>
                <w:b/>
                <w:sz w:val="16"/>
                <w:szCs w:val="16"/>
              </w:rPr>
              <w:t>$5.5m</w:t>
            </w:r>
          </w:p>
        </w:tc>
      </w:tr>
      <w:tr w:rsidR="0098018E" w:rsidRPr="006A0A4A" w:rsidTr="000223BE">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3651" w:type="pct"/>
            <w:tcBorders>
              <w:top w:val="nil"/>
              <w:bottom w:val="nil"/>
            </w:tcBorders>
            <w:vAlign w:val="center"/>
          </w:tcPr>
          <w:p w:rsidR="0098018E" w:rsidRPr="00F56BBC" w:rsidRDefault="0098018E" w:rsidP="000223BE">
            <w:pPr>
              <w:pStyle w:val="PwCNormal"/>
              <w:keepNext/>
              <w:keepLines/>
              <w:numPr>
                <w:ilvl w:val="0"/>
                <w:numId w:val="0"/>
              </w:numPr>
              <w:spacing w:before="60" w:after="60"/>
              <w:rPr>
                <w:rFonts w:asciiTheme="minorHAnsi" w:hAnsiTheme="minorHAnsi" w:cstheme="minorHAnsi"/>
                <w:b w:val="0"/>
                <w:sz w:val="16"/>
                <w:szCs w:val="16"/>
              </w:rPr>
            </w:pPr>
            <w:r w:rsidRPr="00F56BBC">
              <w:rPr>
                <w:rFonts w:asciiTheme="minorHAnsi" w:hAnsiTheme="minorHAnsi" w:cstheme="minorHAnsi"/>
                <w:b w:val="0"/>
                <w:sz w:val="16"/>
                <w:szCs w:val="16"/>
              </w:rPr>
              <w:t>Claims that have not yet received impairment</w:t>
            </w:r>
          </w:p>
        </w:tc>
        <w:tc>
          <w:tcPr>
            <w:tcW w:w="1349" w:type="pct"/>
            <w:tcBorders>
              <w:top w:val="nil"/>
              <w:bottom w:val="nil"/>
            </w:tcBorders>
            <w:vAlign w:val="center"/>
          </w:tcPr>
          <w:p w:rsidR="0098018E" w:rsidRPr="00566D61" w:rsidRDefault="0098018E" w:rsidP="000223BE">
            <w:pPr>
              <w:pStyle w:val="PwCNormal"/>
              <w:keepNext/>
              <w:keepLines/>
              <w:numPr>
                <w:ilvl w:val="0"/>
                <w:numId w:val="0"/>
              </w:num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566D61">
              <w:rPr>
                <w:rFonts w:asciiTheme="minorHAnsi" w:hAnsiTheme="minorHAnsi" w:cstheme="minorHAnsi"/>
                <w:sz w:val="16"/>
                <w:szCs w:val="16"/>
              </w:rPr>
              <w:t>34</w:t>
            </w:r>
          </w:p>
        </w:tc>
      </w:tr>
      <w:tr w:rsidR="0098018E" w:rsidRPr="006A0A4A" w:rsidTr="000223BE">
        <w:trPr>
          <w:trHeight w:val="493"/>
        </w:trPr>
        <w:tc>
          <w:tcPr>
            <w:cnfStyle w:val="001000000000" w:firstRow="0" w:lastRow="0" w:firstColumn="1" w:lastColumn="0" w:oddVBand="0" w:evenVBand="0" w:oddHBand="0" w:evenHBand="0" w:firstRowFirstColumn="0" w:firstRowLastColumn="0" w:lastRowFirstColumn="0" w:lastRowLastColumn="0"/>
            <w:tcW w:w="3651" w:type="pct"/>
            <w:tcBorders>
              <w:top w:val="nil"/>
            </w:tcBorders>
            <w:vAlign w:val="center"/>
          </w:tcPr>
          <w:p w:rsidR="0098018E" w:rsidRPr="00F56BBC" w:rsidRDefault="0098018E" w:rsidP="000223BE">
            <w:pPr>
              <w:pStyle w:val="PwCNormal"/>
              <w:keepNext/>
              <w:keepLines/>
              <w:numPr>
                <w:ilvl w:val="0"/>
                <w:numId w:val="0"/>
              </w:numPr>
              <w:spacing w:before="60" w:after="60"/>
              <w:rPr>
                <w:rFonts w:asciiTheme="minorHAnsi" w:hAnsiTheme="minorHAnsi" w:cstheme="minorHAnsi"/>
                <w:b w:val="0"/>
                <w:sz w:val="16"/>
                <w:szCs w:val="16"/>
              </w:rPr>
            </w:pPr>
            <w:r w:rsidRPr="00F56BBC">
              <w:rPr>
                <w:rFonts w:asciiTheme="minorHAnsi" w:hAnsiTheme="minorHAnsi" w:cstheme="minorHAnsi"/>
                <w:b w:val="0"/>
                <w:sz w:val="16"/>
                <w:szCs w:val="16"/>
              </w:rPr>
              <w:t>Increase in settlement size</w:t>
            </w:r>
          </w:p>
        </w:tc>
        <w:tc>
          <w:tcPr>
            <w:tcW w:w="1349" w:type="pct"/>
            <w:tcBorders>
              <w:top w:val="nil"/>
            </w:tcBorders>
            <w:vAlign w:val="center"/>
          </w:tcPr>
          <w:p w:rsidR="0098018E" w:rsidRPr="00566D61" w:rsidRDefault="0098018E" w:rsidP="000223BE">
            <w:pPr>
              <w:pStyle w:val="PwCNormal"/>
              <w:keepNext/>
              <w:keepLines/>
              <w:numPr>
                <w:ilvl w:val="0"/>
                <w:numId w:val="0"/>
              </w:num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66D61">
              <w:rPr>
                <w:rFonts w:asciiTheme="minorHAnsi" w:hAnsiTheme="minorHAnsi" w:cstheme="minorHAnsi"/>
                <w:sz w:val="16"/>
                <w:szCs w:val="16"/>
              </w:rPr>
              <w:t>$14</w:t>
            </w:r>
            <w:r w:rsidR="002A3CD0">
              <w:rPr>
                <w:rFonts w:asciiTheme="minorHAnsi" w:hAnsiTheme="minorHAnsi" w:cstheme="minorHAnsi"/>
                <w:sz w:val="16"/>
                <w:szCs w:val="16"/>
              </w:rPr>
              <w:t>k</w:t>
            </w:r>
          </w:p>
        </w:tc>
      </w:tr>
      <w:tr w:rsidR="0098018E" w:rsidRPr="006A0A4A" w:rsidTr="000223BE">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3651" w:type="pct"/>
            <w:tcBorders>
              <w:bottom w:val="single" w:sz="4" w:space="0" w:color="A32020" w:themeColor="accent1"/>
              <w:right w:val="nil"/>
            </w:tcBorders>
            <w:vAlign w:val="center"/>
          </w:tcPr>
          <w:p w:rsidR="0098018E" w:rsidRPr="00566D61" w:rsidRDefault="0098018E" w:rsidP="000223BE">
            <w:pPr>
              <w:pStyle w:val="PwCNormal"/>
              <w:keepNext/>
              <w:keepLines/>
              <w:numPr>
                <w:ilvl w:val="0"/>
                <w:numId w:val="0"/>
              </w:numPr>
              <w:spacing w:before="60" w:after="60"/>
              <w:rPr>
                <w:rFonts w:asciiTheme="minorHAnsi" w:hAnsiTheme="minorHAnsi" w:cstheme="minorHAnsi"/>
                <w:sz w:val="16"/>
                <w:szCs w:val="16"/>
              </w:rPr>
            </w:pPr>
            <w:r w:rsidRPr="00566D61">
              <w:rPr>
                <w:rFonts w:asciiTheme="minorHAnsi" w:hAnsiTheme="minorHAnsi" w:cstheme="minorHAnsi"/>
                <w:sz w:val="16"/>
                <w:szCs w:val="16"/>
              </w:rPr>
              <w:t>Cost for existing claims</w:t>
            </w:r>
          </w:p>
        </w:tc>
        <w:tc>
          <w:tcPr>
            <w:tcW w:w="1349" w:type="pct"/>
            <w:tcBorders>
              <w:left w:val="nil"/>
              <w:bottom w:val="single" w:sz="4" w:space="0" w:color="A32020" w:themeColor="accent1"/>
            </w:tcBorders>
            <w:vAlign w:val="center"/>
          </w:tcPr>
          <w:p w:rsidR="0098018E" w:rsidRPr="00566D61" w:rsidRDefault="0098018E" w:rsidP="000223BE">
            <w:pPr>
              <w:pStyle w:val="PwCNormal"/>
              <w:keepNext/>
              <w:keepLines/>
              <w:numPr>
                <w:ilvl w:val="0"/>
                <w:numId w:val="0"/>
              </w:num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r w:rsidRPr="00566D61">
              <w:rPr>
                <w:rFonts w:asciiTheme="minorHAnsi" w:hAnsiTheme="minorHAnsi" w:cstheme="minorHAnsi"/>
                <w:b/>
                <w:sz w:val="16"/>
                <w:szCs w:val="16"/>
              </w:rPr>
              <w:t>$0.5m</w:t>
            </w:r>
          </w:p>
        </w:tc>
      </w:tr>
      <w:tr w:rsidR="0098018E" w:rsidRPr="006A0A4A" w:rsidTr="000223BE">
        <w:trPr>
          <w:trHeight w:val="493"/>
        </w:trPr>
        <w:tc>
          <w:tcPr>
            <w:cnfStyle w:val="001000000000" w:firstRow="0" w:lastRow="0" w:firstColumn="1" w:lastColumn="0" w:oddVBand="0" w:evenVBand="0" w:oddHBand="0" w:evenHBand="0" w:firstRowFirstColumn="0" w:firstRowLastColumn="0" w:lastRowFirstColumn="0" w:lastRowLastColumn="0"/>
            <w:tcW w:w="3651" w:type="pct"/>
            <w:tcBorders>
              <w:top w:val="single" w:sz="4" w:space="0" w:color="A32020" w:themeColor="accent1"/>
              <w:bottom w:val="nil"/>
              <w:right w:val="nil"/>
            </w:tcBorders>
            <w:vAlign w:val="center"/>
          </w:tcPr>
          <w:p w:rsidR="0098018E" w:rsidRPr="00F56BBC" w:rsidRDefault="0098018E" w:rsidP="000223BE">
            <w:pPr>
              <w:pStyle w:val="PwCNormal"/>
              <w:keepNext/>
              <w:keepLines/>
              <w:numPr>
                <w:ilvl w:val="0"/>
                <w:numId w:val="0"/>
              </w:numPr>
              <w:spacing w:before="60" w:after="60"/>
              <w:rPr>
                <w:rFonts w:asciiTheme="minorHAnsi" w:hAnsiTheme="minorHAnsi" w:cstheme="minorHAnsi"/>
                <w:b w:val="0"/>
                <w:sz w:val="16"/>
                <w:szCs w:val="16"/>
              </w:rPr>
            </w:pPr>
            <w:r w:rsidRPr="00F56BBC">
              <w:rPr>
                <w:rFonts w:asciiTheme="minorHAnsi" w:hAnsiTheme="minorHAnsi" w:cstheme="minorHAnsi"/>
                <w:b w:val="0"/>
                <w:sz w:val="16"/>
                <w:szCs w:val="16"/>
              </w:rPr>
              <w:t>Cost per new accident year</w:t>
            </w:r>
          </w:p>
        </w:tc>
        <w:tc>
          <w:tcPr>
            <w:tcW w:w="1349" w:type="pct"/>
            <w:tcBorders>
              <w:top w:val="single" w:sz="4" w:space="0" w:color="A32020" w:themeColor="accent1"/>
              <w:left w:val="nil"/>
              <w:bottom w:val="nil"/>
            </w:tcBorders>
            <w:vAlign w:val="center"/>
          </w:tcPr>
          <w:p w:rsidR="0098018E" w:rsidRPr="00566D61" w:rsidRDefault="0098018E" w:rsidP="000223BE">
            <w:pPr>
              <w:pStyle w:val="PwCNormal"/>
              <w:keepNext/>
              <w:keepLines/>
              <w:numPr>
                <w:ilvl w:val="0"/>
                <w:numId w:val="0"/>
              </w:num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566D61">
              <w:rPr>
                <w:rFonts w:asciiTheme="minorHAnsi" w:hAnsiTheme="minorHAnsi" w:cstheme="minorHAnsi"/>
                <w:b/>
                <w:sz w:val="16"/>
                <w:szCs w:val="16"/>
              </w:rPr>
              <w:t>$6.0m</w:t>
            </w:r>
          </w:p>
        </w:tc>
      </w:tr>
      <w:tr w:rsidR="0098018E" w:rsidRPr="006A0A4A" w:rsidTr="000223BE">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3651" w:type="pct"/>
            <w:tcBorders>
              <w:top w:val="nil"/>
              <w:bottom w:val="nil"/>
              <w:right w:val="nil"/>
            </w:tcBorders>
            <w:vAlign w:val="center"/>
          </w:tcPr>
          <w:p w:rsidR="0098018E" w:rsidRPr="00F56BBC" w:rsidRDefault="0098018E" w:rsidP="000223BE">
            <w:pPr>
              <w:pStyle w:val="PwCNormal"/>
              <w:keepNext/>
              <w:keepLines/>
              <w:numPr>
                <w:ilvl w:val="0"/>
                <w:numId w:val="0"/>
              </w:numPr>
              <w:spacing w:before="60" w:after="60"/>
              <w:rPr>
                <w:rFonts w:asciiTheme="minorHAnsi" w:hAnsiTheme="minorHAnsi" w:cstheme="minorHAnsi"/>
                <w:b w:val="0"/>
                <w:sz w:val="16"/>
                <w:szCs w:val="16"/>
              </w:rPr>
            </w:pPr>
            <w:r w:rsidRPr="00F56BBC">
              <w:rPr>
                <w:rFonts w:asciiTheme="minorHAnsi" w:hAnsiTheme="minorHAnsi" w:cstheme="minorHAnsi"/>
                <w:b w:val="0"/>
                <w:sz w:val="16"/>
                <w:szCs w:val="16"/>
              </w:rPr>
              <w:t>Offset from impairment benefits</w:t>
            </w:r>
          </w:p>
        </w:tc>
        <w:tc>
          <w:tcPr>
            <w:tcW w:w="1349" w:type="pct"/>
            <w:tcBorders>
              <w:top w:val="nil"/>
              <w:left w:val="nil"/>
              <w:bottom w:val="nil"/>
            </w:tcBorders>
            <w:vAlign w:val="center"/>
          </w:tcPr>
          <w:p w:rsidR="0098018E" w:rsidRPr="00566D61" w:rsidRDefault="0098018E" w:rsidP="000223BE">
            <w:pPr>
              <w:pStyle w:val="PwCNormal"/>
              <w:keepNext/>
              <w:keepLines/>
              <w:numPr>
                <w:ilvl w:val="0"/>
                <w:numId w:val="0"/>
              </w:num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566D61">
              <w:rPr>
                <w:rFonts w:asciiTheme="minorHAnsi" w:hAnsiTheme="minorHAnsi" w:cstheme="minorHAnsi"/>
                <w:sz w:val="16"/>
                <w:szCs w:val="16"/>
              </w:rPr>
              <w:t>-$2.1m</w:t>
            </w:r>
          </w:p>
        </w:tc>
      </w:tr>
      <w:tr w:rsidR="0098018E" w:rsidRPr="006A0A4A" w:rsidTr="000223BE">
        <w:trPr>
          <w:trHeight w:val="493"/>
        </w:trPr>
        <w:tc>
          <w:tcPr>
            <w:cnfStyle w:val="001000000000" w:firstRow="0" w:lastRow="0" w:firstColumn="1" w:lastColumn="0" w:oddVBand="0" w:evenVBand="0" w:oddHBand="0" w:evenHBand="0" w:firstRowFirstColumn="0" w:firstRowLastColumn="0" w:lastRowFirstColumn="0" w:lastRowLastColumn="0"/>
            <w:tcW w:w="3651" w:type="pct"/>
            <w:tcBorders>
              <w:right w:val="nil"/>
            </w:tcBorders>
            <w:vAlign w:val="center"/>
          </w:tcPr>
          <w:p w:rsidR="0098018E" w:rsidRPr="00566D61" w:rsidRDefault="0098018E" w:rsidP="000223BE">
            <w:pPr>
              <w:pStyle w:val="PwCNormal"/>
              <w:keepNext/>
              <w:keepLines/>
              <w:numPr>
                <w:ilvl w:val="0"/>
                <w:numId w:val="0"/>
              </w:numPr>
              <w:spacing w:before="60" w:after="60"/>
              <w:rPr>
                <w:rFonts w:asciiTheme="minorHAnsi" w:hAnsiTheme="minorHAnsi" w:cstheme="minorHAnsi"/>
                <w:sz w:val="16"/>
                <w:szCs w:val="16"/>
              </w:rPr>
            </w:pPr>
            <w:r w:rsidRPr="00566D61">
              <w:rPr>
                <w:rFonts w:asciiTheme="minorHAnsi" w:hAnsiTheme="minorHAnsi" w:cstheme="minorHAnsi"/>
                <w:sz w:val="16"/>
                <w:szCs w:val="16"/>
              </w:rPr>
              <w:t>Net cost per new accident year</w:t>
            </w:r>
          </w:p>
        </w:tc>
        <w:tc>
          <w:tcPr>
            <w:tcW w:w="1349" w:type="pct"/>
            <w:tcBorders>
              <w:left w:val="nil"/>
            </w:tcBorders>
            <w:vAlign w:val="center"/>
          </w:tcPr>
          <w:p w:rsidR="0098018E" w:rsidRPr="00566D61" w:rsidRDefault="0098018E" w:rsidP="000223BE">
            <w:pPr>
              <w:pStyle w:val="PwCNormal"/>
              <w:keepNext/>
              <w:keepLines/>
              <w:numPr>
                <w:ilvl w:val="0"/>
                <w:numId w:val="0"/>
              </w:num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566D61">
              <w:rPr>
                <w:rFonts w:asciiTheme="minorHAnsi" w:hAnsiTheme="minorHAnsi" w:cstheme="minorHAnsi"/>
                <w:b/>
                <w:sz w:val="16"/>
                <w:szCs w:val="16"/>
              </w:rPr>
              <w:t>$3.9m</w:t>
            </w:r>
          </w:p>
        </w:tc>
      </w:tr>
    </w:tbl>
    <w:p w:rsidR="001E0921" w:rsidRDefault="001E0921" w:rsidP="000223BE">
      <w:pPr>
        <w:pStyle w:val="Sources"/>
        <w:keepNext/>
        <w:keepLines/>
      </w:pPr>
      <w:r>
        <w:t>Source: PwC analysis of detailed TAC data.</w:t>
      </w:r>
    </w:p>
    <w:p w:rsidR="0098018E" w:rsidRDefault="0098018E" w:rsidP="0098018E">
      <w:pPr>
        <w:pStyle w:val="PwCNormal"/>
        <w:numPr>
          <w:ilvl w:val="0"/>
          <w:numId w:val="0"/>
        </w:numPr>
      </w:pPr>
      <w:r>
        <w:t xml:space="preserve">The liability increase </w:t>
      </w:r>
      <w:r w:rsidR="00835EA4">
        <w:t>post-</w:t>
      </w:r>
      <w:r>
        <w:t>Serwylo is estimated as $20.7m</w:t>
      </w:r>
      <w:r w:rsidR="00995101">
        <w:t xml:space="preserve"> (refer to </w:t>
      </w:r>
      <w:r w:rsidR="00995101">
        <w:fldChar w:fldCharType="begin"/>
      </w:r>
      <w:r w:rsidR="00995101">
        <w:instrText xml:space="preserve"> REF _Ref388003546 \h </w:instrText>
      </w:r>
      <w:r w:rsidR="00995101">
        <w:fldChar w:fldCharType="separate"/>
      </w:r>
      <w:r w:rsidR="00542564">
        <w:t xml:space="preserve">Table </w:t>
      </w:r>
      <w:r w:rsidR="00542564">
        <w:rPr>
          <w:noProof/>
        </w:rPr>
        <w:t>16</w:t>
      </w:r>
      <w:r w:rsidR="00995101">
        <w:fldChar w:fldCharType="end"/>
      </w:r>
      <w:r w:rsidR="00995101">
        <w:t>)</w:t>
      </w:r>
      <w:r w:rsidR="003D6F33">
        <w:t>.</w:t>
      </w:r>
      <w:r w:rsidR="006B7E2C">
        <w:t xml:space="preserve"> The offset from impairment figure is calculated by multiplying the $2</w:t>
      </w:r>
      <w:r w:rsidR="00D23FF1">
        <w:t>.1</w:t>
      </w:r>
      <w:r w:rsidR="006B7E2C">
        <w:t xml:space="preserve">m offset in </w:t>
      </w:r>
      <w:r w:rsidR="006B7E2C">
        <w:fldChar w:fldCharType="begin"/>
      </w:r>
      <w:r w:rsidR="006B7E2C">
        <w:instrText xml:space="preserve"> REF _Ref386546308 \h </w:instrText>
      </w:r>
      <w:r w:rsidR="006B7E2C">
        <w:fldChar w:fldCharType="separate"/>
      </w:r>
      <w:r w:rsidR="00542564">
        <w:t xml:space="preserve">Table </w:t>
      </w:r>
      <w:r w:rsidR="00542564">
        <w:rPr>
          <w:noProof/>
        </w:rPr>
        <w:t>15</w:t>
      </w:r>
      <w:r w:rsidR="006B7E2C">
        <w:fldChar w:fldCharType="end"/>
      </w:r>
      <w:r w:rsidR="006B7E2C">
        <w:t xml:space="preserve"> by the </w:t>
      </w:r>
      <w:r w:rsidR="005E7D37">
        <w:t>impairment benefit liability multiplier</w:t>
      </w:r>
      <w:r w:rsidR="006B7E2C">
        <w:t xml:space="preserve"> of </w:t>
      </w:r>
      <w:r w:rsidR="005E7D37">
        <w:t>3.6</w:t>
      </w:r>
      <w:r w:rsidR="006B7E2C">
        <w:t>.</w:t>
      </w:r>
    </w:p>
    <w:p w:rsidR="008F5F1C" w:rsidRDefault="008F5F1C" w:rsidP="008F5F1C">
      <w:pPr>
        <w:pStyle w:val="Caption"/>
      </w:pPr>
      <w:bookmarkStart w:id="126" w:name="_Ref388003546"/>
      <w:r>
        <w:t xml:space="preserve">Table </w:t>
      </w:r>
      <w:fldSimple w:instr=" SEQ Table \* ARABIC ">
        <w:r w:rsidR="00542564">
          <w:rPr>
            <w:noProof/>
          </w:rPr>
          <w:t>16</w:t>
        </w:r>
      </w:fldSimple>
      <w:bookmarkEnd w:id="126"/>
      <w:r>
        <w:t xml:space="preserve">: Common law </w:t>
      </w:r>
      <w:r w:rsidR="000E75BB">
        <w:t>damages</w:t>
      </w:r>
      <w:r>
        <w:t xml:space="preserve"> liability change from Serwylo</w:t>
      </w:r>
      <w:r w:rsidR="0056414E">
        <w:t xml:space="preserve"> </w:t>
      </w:r>
    </w:p>
    <w:tbl>
      <w:tblPr>
        <w:tblStyle w:val="LightList-Accent1"/>
        <w:tblW w:w="5000" w:type="pct"/>
        <w:tblLook w:val="04A0" w:firstRow="1" w:lastRow="0" w:firstColumn="1" w:lastColumn="0" w:noHBand="0" w:noVBand="1"/>
      </w:tblPr>
      <w:tblGrid>
        <w:gridCol w:w="6161"/>
        <w:gridCol w:w="2276"/>
      </w:tblGrid>
      <w:tr w:rsidR="008F5F1C" w:rsidRPr="006A0A4A" w:rsidTr="000223BE">
        <w:trPr>
          <w:cnfStyle w:val="100000000000" w:firstRow="1" w:lastRow="0" w:firstColumn="0" w:lastColumn="0" w:oddVBand="0" w:evenVBand="0" w:oddHBand="0"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3651" w:type="pct"/>
            <w:tcBorders>
              <w:bottom w:val="single" w:sz="8" w:space="0" w:color="A32020" w:themeColor="accent1"/>
            </w:tcBorders>
            <w:vAlign w:val="center"/>
          </w:tcPr>
          <w:p w:rsidR="008F5F1C" w:rsidRPr="00566D61" w:rsidRDefault="008F5F1C" w:rsidP="000223BE">
            <w:pPr>
              <w:pStyle w:val="PwCNormal"/>
              <w:numPr>
                <w:ilvl w:val="0"/>
                <w:numId w:val="0"/>
              </w:numPr>
              <w:spacing w:before="60" w:after="60"/>
              <w:rPr>
                <w:rFonts w:asciiTheme="minorHAnsi" w:hAnsiTheme="minorHAnsi" w:cstheme="minorHAnsi"/>
                <w:sz w:val="16"/>
                <w:szCs w:val="16"/>
              </w:rPr>
            </w:pPr>
            <w:r w:rsidRPr="00566D61">
              <w:rPr>
                <w:rFonts w:asciiTheme="minorHAnsi" w:hAnsiTheme="minorHAnsi" w:cstheme="minorHAnsi"/>
                <w:sz w:val="16"/>
                <w:szCs w:val="16"/>
              </w:rPr>
              <w:t>Change in common law liability</w:t>
            </w:r>
          </w:p>
        </w:tc>
        <w:tc>
          <w:tcPr>
            <w:tcW w:w="1349" w:type="pct"/>
            <w:tcBorders>
              <w:bottom w:val="single" w:sz="8" w:space="0" w:color="A32020" w:themeColor="accent1"/>
            </w:tcBorders>
            <w:vAlign w:val="center"/>
          </w:tcPr>
          <w:p w:rsidR="008F5F1C" w:rsidRPr="00566D61" w:rsidRDefault="008F5F1C" w:rsidP="000223BE">
            <w:pPr>
              <w:pStyle w:val="PwCNormal"/>
              <w:numPr>
                <w:ilvl w:val="0"/>
                <w:numId w:val="0"/>
              </w:num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66D61">
              <w:rPr>
                <w:rFonts w:asciiTheme="minorHAnsi" w:hAnsiTheme="minorHAnsi" w:cstheme="minorHAnsi"/>
                <w:sz w:val="16"/>
                <w:szCs w:val="16"/>
              </w:rPr>
              <w:t>Value</w:t>
            </w:r>
          </w:p>
        </w:tc>
      </w:tr>
      <w:tr w:rsidR="008F5F1C" w:rsidRPr="006A0A4A" w:rsidTr="000223BE">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3651" w:type="pct"/>
            <w:tcBorders>
              <w:bottom w:val="nil"/>
            </w:tcBorders>
            <w:vAlign w:val="center"/>
          </w:tcPr>
          <w:p w:rsidR="008F5F1C" w:rsidRPr="00F56BBC" w:rsidRDefault="008F5F1C" w:rsidP="000223BE">
            <w:pPr>
              <w:pStyle w:val="PwCNormal"/>
              <w:numPr>
                <w:ilvl w:val="0"/>
                <w:numId w:val="0"/>
              </w:numPr>
              <w:spacing w:before="60" w:after="60"/>
              <w:rPr>
                <w:rFonts w:asciiTheme="minorHAnsi" w:hAnsiTheme="minorHAnsi" w:cstheme="minorHAnsi"/>
                <w:b w:val="0"/>
                <w:sz w:val="16"/>
                <w:szCs w:val="16"/>
              </w:rPr>
            </w:pPr>
            <w:r w:rsidRPr="00F56BBC">
              <w:rPr>
                <w:rFonts w:asciiTheme="minorHAnsi" w:hAnsiTheme="minorHAnsi" w:cstheme="minorHAnsi"/>
                <w:b w:val="0"/>
                <w:sz w:val="16"/>
                <w:szCs w:val="16"/>
              </w:rPr>
              <w:t xml:space="preserve">Cost per new accident year </w:t>
            </w:r>
          </w:p>
        </w:tc>
        <w:tc>
          <w:tcPr>
            <w:tcW w:w="1349" w:type="pct"/>
            <w:tcBorders>
              <w:bottom w:val="nil"/>
            </w:tcBorders>
            <w:vAlign w:val="center"/>
          </w:tcPr>
          <w:p w:rsidR="008F5F1C" w:rsidRPr="00566D61" w:rsidRDefault="008F5F1C" w:rsidP="000223BE">
            <w:pPr>
              <w:pStyle w:val="PwCNormal"/>
              <w:numPr>
                <w:ilvl w:val="0"/>
                <w:numId w:val="0"/>
              </w:num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566D61">
              <w:rPr>
                <w:rFonts w:asciiTheme="minorHAnsi" w:hAnsiTheme="minorHAnsi" w:cstheme="minorHAnsi"/>
                <w:sz w:val="16"/>
                <w:szCs w:val="16"/>
              </w:rPr>
              <w:t>$6.0m</w:t>
            </w:r>
          </w:p>
        </w:tc>
      </w:tr>
      <w:tr w:rsidR="008F5F1C" w:rsidRPr="006A0A4A" w:rsidTr="000223BE">
        <w:trPr>
          <w:trHeight w:val="493"/>
        </w:trPr>
        <w:tc>
          <w:tcPr>
            <w:cnfStyle w:val="001000000000" w:firstRow="0" w:lastRow="0" w:firstColumn="1" w:lastColumn="0" w:oddVBand="0" w:evenVBand="0" w:oddHBand="0" w:evenHBand="0" w:firstRowFirstColumn="0" w:firstRowLastColumn="0" w:lastRowFirstColumn="0" w:lastRowLastColumn="0"/>
            <w:tcW w:w="3651" w:type="pct"/>
            <w:tcBorders>
              <w:top w:val="nil"/>
              <w:bottom w:val="single" w:sz="8" w:space="0" w:color="A32020" w:themeColor="accent1"/>
            </w:tcBorders>
            <w:vAlign w:val="center"/>
          </w:tcPr>
          <w:p w:rsidR="008F5F1C" w:rsidRPr="00F56BBC" w:rsidRDefault="008F5F1C" w:rsidP="000223BE">
            <w:pPr>
              <w:pStyle w:val="PwCNormal"/>
              <w:numPr>
                <w:ilvl w:val="0"/>
                <w:numId w:val="0"/>
              </w:numPr>
              <w:spacing w:before="60" w:after="60"/>
              <w:rPr>
                <w:rFonts w:asciiTheme="minorHAnsi" w:hAnsiTheme="minorHAnsi" w:cstheme="minorHAnsi"/>
                <w:b w:val="0"/>
                <w:sz w:val="16"/>
                <w:szCs w:val="16"/>
              </w:rPr>
            </w:pPr>
            <w:r w:rsidRPr="00F56BBC">
              <w:rPr>
                <w:rFonts w:asciiTheme="minorHAnsi" w:hAnsiTheme="minorHAnsi" w:cstheme="minorHAnsi"/>
                <w:b w:val="0"/>
                <w:sz w:val="16"/>
                <w:szCs w:val="16"/>
              </w:rPr>
              <w:t>Liability multiplier</w:t>
            </w:r>
          </w:p>
        </w:tc>
        <w:tc>
          <w:tcPr>
            <w:tcW w:w="1349" w:type="pct"/>
            <w:tcBorders>
              <w:top w:val="nil"/>
              <w:bottom w:val="single" w:sz="8" w:space="0" w:color="A32020" w:themeColor="accent1"/>
            </w:tcBorders>
            <w:vAlign w:val="center"/>
          </w:tcPr>
          <w:p w:rsidR="008F5F1C" w:rsidRPr="00566D61" w:rsidRDefault="008F5F1C" w:rsidP="000223BE">
            <w:pPr>
              <w:pStyle w:val="PwCNormal"/>
              <w:numPr>
                <w:ilvl w:val="0"/>
                <w:numId w:val="0"/>
              </w:num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66D61">
              <w:rPr>
                <w:rFonts w:asciiTheme="minorHAnsi" w:hAnsiTheme="minorHAnsi" w:cstheme="minorHAnsi"/>
                <w:sz w:val="16"/>
                <w:szCs w:val="16"/>
              </w:rPr>
              <w:t>4.7</w:t>
            </w:r>
          </w:p>
        </w:tc>
      </w:tr>
      <w:tr w:rsidR="008F5F1C" w:rsidRPr="006A0A4A" w:rsidTr="000223BE">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3651" w:type="pct"/>
            <w:tcBorders>
              <w:bottom w:val="nil"/>
            </w:tcBorders>
            <w:vAlign w:val="center"/>
          </w:tcPr>
          <w:p w:rsidR="008F5F1C" w:rsidRPr="00566D61" w:rsidRDefault="002A3CD0" w:rsidP="000223BE">
            <w:pPr>
              <w:pStyle w:val="PwCNormal"/>
              <w:numPr>
                <w:ilvl w:val="0"/>
                <w:numId w:val="0"/>
              </w:numPr>
              <w:spacing w:before="60" w:after="60"/>
              <w:rPr>
                <w:rFonts w:asciiTheme="minorHAnsi" w:hAnsiTheme="minorHAnsi" w:cstheme="minorHAnsi"/>
                <w:sz w:val="16"/>
                <w:szCs w:val="16"/>
              </w:rPr>
            </w:pPr>
            <w:r>
              <w:rPr>
                <w:rFonts w:asciiTheme="minorHAnsi" w:hAnsiTheme="minorHAnsi" w:cstheme="minorHAnsi"/>
                <w:sz w:val="16"/>
                <w:szCs w:val="16"/>
              </w:rPr>
              <w:t>Change in liability (prior to overlap adjustment)</w:t>
            </w:r>
          </w:p>
        </w:tc>
        <w:tc>
          <w:tcPr>
            <w:tcW w:w="1349" w:type="pct"/>
            <w:tcBorders>
              <w:bottom w:val="nil"/>
            </w:tcBorders>
            <w:vAlign w:val="center"/>
          </w:tcPr>
          <w:p w:rsidR="008F5F1C" w:rsidRPr="00566D61" w:rsidRDefault="008F5F1C" w:rsidP="000223BE">
            <w:pPr>
              <w:pStyle w:val="PwCNormal"/>
              <w:numPr>
                <w:ilvl w:val="0"/>
                <w:numId w:val="0"/>
              </w:num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r w:rsidRPr="00566D61">
              <w:rPr>
                <w:rFonts w:asciiTheme="minorHAnsi" w:hAnsiTheme="minorHAnsi" w:cstheme="minorHAnsi"/>
                <w:b/>
                <w:sz w:val="16"/>
                <w:szCs w:val="16"/>
              </w:rPr>
              <w:t>$28.4m</w:t>
            </w:r>
          </w:p>
        </w:tc>
      </w:tr>
      <w:tr w:rsidR="008F5F1C" w:rsidRPr="006A0A4A" w:rsidTr="000223BE">
        <w:trPr>
          <w:trHeight w:val="493"/>
        </w:trPr>
        <w:tc>
          <w:tcPr>
            <w:cnfStyle w:val="001000000000" w:firstRow="0" w:lastRow="0" w:firstColumn="1" w:lastColumn="0" w:oddVBand="0" w:evenVBand="0" w:oddHBand="0" w:evenHBand="0" w:firstRowFirstColumn="0" w:firstRowLastColumn="0" w:lastRowFirstColumn="0" w:lastRowLastColumn="0"/>
            <w:tcW w:w="3651" w:type="pct"/>
            <w:tcBorders>
              <w:top w:val="nil"/>
              <w:bottom w:val="single" w:sz="8" w:space="0" w:color="A32020" w:themeColor="accent1"/>
            </w:tcBorders>
            <w:vAlign w:val="center"/>
          </w:tcPr>
          <w:p w:rsidR="008F5F1C" w:rsidRPr="00F56BBC" w:rsidRDefault="008F5F1C" w:rsidP="000223BE">
            <w:pPr>
              <w:pStyle w:val="PwCNormal"/>
              <w:numPr>
                <w:ilvl w:val="0"/>
                <w:numId w:val="0"/>
              </w:numPr>
              <w:spacing w:before="60" w:after="60"/>
              <w:rPr>
                <w:rFonts w:asciiTheme="minorHAnsi" w:hAnsiTheme="minorHAnsi" w:cstheme="minorHAnsi"/>
                <w:b w:val="0"/>
                <w:sz w:val="16"/>
                <w:szCs w:val="16"/>
              </w:rPr>
            </w:pPr>
            <w:r w:rsidRPr="00F56BBC">
              <w:rPr>
                <w:rFonts w:asciiTheme="minorHAnsi" w:hAnsiTheme="minorHAnsi" w:cstheme="minorHAnsi"/>
                <w:b w:val="0"/>
                <w:sz w:val="16"/>
                <w:szCs w:val="16"/>
              </w:rPr>
              <w:t>Offset from impairment</w:t>
            </w:r>
          </w:p>
        </w:tc>
        <w:tc>
          <w:tcPr>
            <w:tcW w:w="1349" w:type="pct"/>
            <w:tcBorders>
              <w:top w:val="nil"/>
              <w:bottom w:val="single" w:sz="8" w:space="0" w:color="A32020" w:themeColor="accent1"/>
            </w:tcBorders>
            <w:vAlign w:val="center"/>
          </w:tcPr>
          <w:p w:rsidR="008F5F1C" w:rsidRPr="00566D61" w:rsidRDefault="008F5F1C" w:rsidP="000223BE">
            <w:pPr>
              <w:pStyle w:val="PwCNormal"/>
              <w:numPr>
                <w:ilvl w:val="0"/>
                <w:numId w:val="0"/>
              </w:num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66D61">
              <w:rPr>
                <w:rFonts w:asciiTheme="minorHAnsi" w:hAnsiTheme="minorHAnsi" w:cstheme="minorHAnsi"/>
                <w:sz w:val="16"/>
                <w:szCs w:val="16"/>
              </w:rPr>
              <w:t>-$7.7m</w:t>
            </w:r>
          </w:p>
        </w:tc>
      </w:tr>
      <w:tr w:rsidR="008F5F1C" w:rsidRPr="006A0A4A" w:rsidTr="000223BE">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3651" w:type="pct"/>
            <w:vAlign w:val="center"/>
          </w:tcPr>
          <w:p w:rsidR="008F5F1C" w:rsidRPr="00566D61" w:rsidRDefault="008F5F1C" w:rsidP="000223BE">
            <w:pPr>
              <w:pStyle w:val="PwCNormal"/>
              <w:numPr>
                <w:ilvl w:val="0"/>
                <w:numId w:val="0"/>
              </w:numPr>
              <w:spacing w:before="60" w:after="60"/>
              <w:rPr>
                <w:rFonts w:asciiTheme="minorHAnsi" w:hAnsiTheme="minorHAnsi" w:cstheme="minorHAnsi"/>
                <w:sz w:val="16"/>
                <w:szCs w:val="16"/>
              </w:rPr>
            </w:pPr>
            <w:r w:rsidRPr="00566D61">
              <w:rPr>
                <w:rFonts w:asciiTheme="minorHAnsi" w:hAnsiTheme="minorHAnsi" w:cstheme="minorHAnsi"/>
                <w:sz w:val="16"/>
                <w:szCs w:val="16"/>
              </w:rPr>
              <w:t>Change in liability</w:t>
            </w:r>
          </w:p>
        </w:tc>
        <w:tc>
          <w:tcPr>
            <w:tcW w:w="1349" w:type="pct"/>
            <w:vAlign w:val="center"/>
          </w:tcPr>
          <w:p w:rsidR="008F5F1C" w:rsidRPr="00566D61" w:rsidRDefault="008F5F1C" w:rsidP="000223BE">
            <w:pPr>
              <w:pStyle w:val="PwCNormal"/>
              <w:numPr>
                <w:ilvl w:val="0"/>
                <w:numId w:val="0"/>
              </w:num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r w:rsidRPr="00566D61">
              <w:rPr>
                <w:rFonts w:asciiTheme="minorHAnsi" w:hAnsiTheme="minorHAnsi" w:cstheme="minorHAnsi"/>
                <w:b/>
                <w:sz w:val="16"/>
                <w:szCs w:val="16"/>
              </w:rPr>
              <w:t>$20.7m</w:t>
            </w:r>
          </w:p>
        </w:tc>
      </w:tr>
    </w:tbl>
    <w:p w:rsidR="002A3CD0" w:rsidRDefault="002A3CD0" w:rsidP="002A3CD0">
      <w:pPr>
        <w:pStyle w:val="Sources"/>
        <w:keepNext/>
        <w:keepLines/>
      </w:pPr>
      <w:r w:rsidRPr="008A2FF0">
        <w:rPr>
          <w:color w:val="auto"/>
        </w:rPr>
        <w:t>Note: Figures may not sum exactly due to rounding</w:t>
      </w:r>
    </w:p>
    <w:p w:rsidR="001E0921" w:rsidRDefault="001E0921" w:rsidP="001E0921">
      <w:pPr>
        <w:pStyle w:val="Sources"/>
      </w:pPr>
      <w:r>
        <w:t>Source: PwC analysis of detailed TAC data.</w:t>
      </w:r>
    </w:p>
    <w:p w:rsidR="0098018E" w:rsidRDefault="0098018E" w:rsidP="00704E51">
      <w:pPr>
        <w:pStyle w:val="PwCNormal"/>
        <w:keepNext/>
        <w:keepLines/>
        <w:numPr>
          <w:ilvl w:val="0"/>
          <w:numId w:val="34"/>
        </w:numPr>
        <w:ind w:left="426" w:hanging="426"/>
        <w:rPr>
          <w:rFonts w:asciiTheme="majorHAnsi" w:hAnsiTheme="majorHAnsi"/>
          <w:b/>
          <w:bCs/>
          <w:color w:val="A32020" w:themeColor="text2"/>
          <w:szCs w:val="18"/>
        </w:rPr>
      </w:pPr>
      <w:r>
        <w:rPr>
          <w:rFonts w:asciiTheme="majorHAnsi" w:hAnsiTheme="majorHAnsi"/>
          <w:b/>
          <w:bCs/>
          <w:color w:val="A32020" w:themeColor="text2"/>
          <w:szCs w:val="18"/>
        </w:rPr>
        <w:lastRenderedPageBreak/>
        <w:t>Additional LOEC benefits</w:t>
      </w:r>
    </w:p>
    <w:p w:rsidR="0098018E" w:rsidRDefault="0098018E" w:rsidP="00704E51">
      <w:pPr>
        <w:pStyle w:val="PwCNormal"/>
        <w:keepNext/>
        <w:keepLines/>
        <w:numPr>
          <w:ilvl w:val="0"/>
          <w:numId w:val="0"/>
        </w:numPr>
      </w:pPr>
      <w:r>
        <w:t>The key additional assumptions relating to the effect o</w:t>
      </w:r>
      <w:r w:rsidR="006F46E1">
        <w:t xml:space="preserve">n </w:t>
      </w:r>
      <w:r>
        <w:t xml:space="preserve">LOEC </w:t>
      </w:r>
      <w:r w:rsidR="006F46E1">
        <w:t xml:space="preserve">following Serwylo </w:t>
      </w:r>
      <w:r>
        <w:t>are:</w:t>
      </w:r>
    </w:p>
    <w:p w:rsidR="0098018E" w:rsidRDefault="0098018E" w:rsidP="00704E51">
      <w:pPr>
        <w:pStyle w:val="PwCNormal"/>
        <w:keepNext/>
        <w:keepLines/>
        <w:numPr>
          <w:ilvl w:val="0"/>
          <w:numId w:val="35"/>
        </w:numPr>
      </w:pPr>
      <w:r>
        <w:t>the proportion of claims expected to now exceed WPI of 50</w:t>
      </w:r>
      <w:r w:rsidR="006A0A4A">
        <w:t xml:space="preserve"> per cent</w:t>
      </w:r>
    </w:p>
    <w:p w:rsidR="0098018E" w:rsidRDefault="0098018E" w:rsidP="00704E51">
      <w:pPr>
        <w:pStyle w:val="PwCNormal"/>
        <w:keepNext/>
        <w:keepLines/>
        <w:numPr>
          <w:ilvl w:val="0"/>
          <w:numId w:val="35"/>
        </w:numPr>
      </w:pPr>
      <w:r>
        <w:t>the average cost of these claims</w:t>
      </w:r>
      <w:r w:rsidR="006A0A4A">
        <w:t>.</w:t>
      </w:r>
    </w:p>
    <w:p w:rsidR="0098018E" w:rsidRDefault="0098018E" w:rsidP="00704E51">
      <w:pPr>
        <w:pStyle w:val="PwCNormal"/>
        <w:keepNext/>
        <w:keepLines/>
        <w:numPr>
          <w:ilvl w:val="0"/>
          <w:numId w:val="0"/>
        </w:numPr>
      </w:pPr>
      <w:r>
        <w:t>We have estimated that 8 per cent of claimants will experience an increase above the 50</w:t>
      </w:r>
      <w:r w:rsidR="006A0A4A">
        <w:t> </w:t>
      </w:r>
      <w:r>
        <w:t>per</w:t>
      </w:r>
      <w:r w:rsidR="006A0A4A">
        <w:t> </w:t>
      </w:r>
      <w:r>
        <w:t>cent WPI threshold and the average benefit per claimant will be approximately $500</w:t>
      </w:r>
      <w:r w:rsidR="002A3CD0">
        <w:t>,000</w:t>
      </w:r>
      <w:r>
        <w:t xml:space="preserve">. In addition, we have taken into account that as per above, approximately 50 per cent of claimants are receiving common law </w:t>
      </w:r>
      <w:r w:rsidR="000E75BB">
        <w:t xml:space="preserve">damages </w:t>
      </w:r>
      <w:r>
        <w:t>and will therefore experience a reduced LOEC benefit.</w:t>
      </w:r>
      <w:r w:rsidR="00FD3875">
        <w:rPr>
          <w:rStyle w:val="FootnoteReference"/>
        </w:rPr>
        <w:footnoteReference w:id="77"/>
      </w:r>
      <w:r>
        <w:t xml:space="preserve"> The </w:t>
      </w:r>
      <w:r w:rsidR="009E2B2E">
        <w:t xml:space="preserve">number of </w:t>
      </w:r>
      <w:r>
        <w:t xml:space="preserve">additional income claims </w:t>
      </w:r>
      <w:r w:rsidR="00835EA4">
        <w:t>post-</w:t>
      </w:r>
      <w:r>
        <w:t>Serwylo is estimated to be 6.4, equating to a cost of $3.2</w:t>
      </w:r>
      <w:r w:rsidR="002A3CD0">
        <w:t xml:space="preserve"> </w:t>
      </w:r>
      <w:r>
        <w:t>m</w:t>
      </w:r>
      <w:r w:rsidR="002A3CD0">
        <w:t>illion</w:t>
      </w:r>
      <w:r>
        <w:t xml:space="preserve"> per new accident year</w:t>
      </w:r>
      <w:r w:rsidR="0012715F">
        <w:t xml:space="preserve">, as shown in </w:t>
      </w:r>
      <w:r w:rsidR="003D6F33">
        <w:fldChar w:fldCharType="begin"/>
      </w:r>
      <w:r w:rsidR="003D6F33">
        <w:instrText xml:space="preserve"> REF _Ref386493747 \h </w:instrText>
      </w:r>
      <w:r w:rsidR="003D6F33">
        <w:fldChar w:fldCharType="separate"/>
      </w:r>
      <w:r w:rsidR="00542564">
        <w:t xml:space="preserve">Table </w:t>
      </w:r>
      <w:r w:rsidR="00542564">
        <w:rPr>
          <w:noProof/>
        </w:rPr>
        <w:t>17</w:t>
      </w:r>
      <w:r w:rsidR="003D6F33">
        <w:fldChar w:fldCharType="end"/>
      </w:r>
      <w:r>
        <w:t>.</w:t>
      </w:r>
    </w:p>
    <w:p w:rsidR="0090188B" w:rsidRDefault="0090188B" w:rsidP="003D38B0">
      <w:pPr>
        <w:pStyle w:val="Caption"/>
      </w:pPr>
      <w:bookmarkStart w:id="127" w:name="_Ref386493747"/>
      <w:r>
        <w:t xml:space="preserve">Table </w:t>
      </w:r>
      <w:fldSimple w:instr=" SEQ Table \* ARABIC ">
        <w:r w:rsidR="00542564">
          <w:rPr>
            <w:noProof/>
          </w:rPr>
          <w:t>17</w:t>
        </w:r>
      </w:fldSimple>
      <w:bookmarkEnd w:id="127"/>
      <w:r>
        <w:t xml:space="preserve">: Cost </w:t>
      </w:r>
      <w:r w:rsidR="004E10D8">
        <w:t>relating to</w:t>
      </w:r>
      <w:r>
        <w:t xml:space="preserve"> Serwylo on additional LOEC benefits</w:t>
      </w:r>
    </w:p>
    <w:tbl>
      <w:tblPr>
        <w:tblStyle w:val="LightList-Accent1"/>
        <w:tblW w:w="5000" w:type="pct"/>
        <w:tblLook w:val="04A0" w:firstRow="1" w:lastRow="0" w:firstColumn="1" w:lastColumn="0" w:noHBand="0" w:noVBand="1"/>
      </w:tblPr>
      <w:tblGrid>
        <w:gridCol w:w="6161"/>
        <w:gridCol w:w="2276"/>
      </w:tblGrid>
      <w:tr w:rsidR="0098018E" w:rsidRPr="006A0A4A" w:rsidTr="000223BE">
        <w:trPr>
          <w:cnfStyle w:val="100000000000" w:firstRow="1" w:lastRow="0" w:firstColumn="0" w:lastColumn="0" w:oddVBand="0" w:evenVBand="0" w:oddHBand="0"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3651" w:type="pct"/>
            <w:tcBorders>
              <w:bottom w:val="single" w:sz="8" w:space="0" w:color="A32020" w:themeColor="accent1"/>
            </w:tcBorders>
            <w:vAlign w:val="center"/>
          </w:tcPr>
          <w:p w:rsidR="0098018E" w:rsidRPr="00566D61" w:rsidRDefault="0098018E" w:rsidP="000223BE">
            <w:pPr>
              <w:pStyle w:val="PwCNormal"/>
              <w:keepNext/>
              <w:keepLines/>
              <w:numPr>
                <w:ilvl w:val="0"/>
                <w:numId w:val="0"/>
              </w:numPr>
              <w:spacing w:before="60" w:after="60"/>
              <w:rPr>
                <w:rFonts w:asciiTheme="minorHAnsi" w:hAnsiTheme="minorHAnsi" w:cstheme="minorHAnsi"/>
                <w:sz w:val="16"/>
                <w:szCs w:val="16"/>
              </w:rPr>
            </w:pPr>
            <w:bookmarkStart w:id="128" w:name="_Toc383412084"/>
            <w:bookmarkStart w:id="129" w:name="_Toc383412102"/>
            <w:bookmarkStart w:id="130" w:name="_Toc383412085"/>
            <w:bookmarkStart w:id="131" w:name="_Toc383412103"/>
            <w:bookmarkEnd w:id="128"/>
            <w:bookmarkEnd w:id="129"/>
            <w:bookmarkEnd w:id="130"/>
            <w:bookmarkEnd w:id="131"/>
            <w:r w:rsidRPr="00566D61">
              <w:rPr>
                <w:rFonts w:asciiTheme="minorHAnsi" w:hAnsiTheme="minorHAnsi" w:cstheme="minorHAnsi"/>
                <w:sz w:val="16"/>
                <w:szCs w:val="16"/>
              </w:rPr>
              <w:t>Change in LOEC cost</w:t>
            </w:r>
          </w:p>
        </w:tc>
        <w:tc>
          <w:tcPr>
            <w:tcW w:w="1349" w:type="pct"/>
            <w:tcBorders>
              <w:bottom w:val="single" w:sz="8" w:space="0" w:color="A32020" w:themeColor="accent1"/>
            </w:tcBorders>
            <w:vAlign w:val="center"/>
          </w:tcPr>
          <w:p w:rsidR="0098018E" w:rsidRPr="00566D61" w:rsidRDefault="006A0A4A" w:rsidP="000223BE">
            <w:pPr>
              <w:pStyle w:val="PwCNormal"/>
              <w:keepNext/>
              <w:keepLines/>
              <w:numPr>
                <w:ilvl w:val="0"/>
                <w:numId w:val="0"/>
              </w:num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66D61">
              <w:rPr>
                <w:rFonts w:asciiTheme="minorHAnsi" w:hAnsiTheme="minorHAnsi" w:cstheme="minorHAnsi"/>
                <w:sz w:val="16"/>
                <w:szCs w:val="16"/>
              </w:rPr>
              <w:t>Value</w:t>
            </w:r>
          </w:p>
        </w:tc>
      </w:tr>
      <w:tr w:rsidR="0098018E" w:rsidRPr="006A0A4A" w:rsidTr="000223BE">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3651" w:type="pct"/>
            <w:tcBorders>
              <w:bottom w:val="nil"/>
            </w:tcBorders>
            <w:vAlign w:val="center"/>
          </w:tcPr>
          <w:p w:rsidR="0098018E" w:rsidRPr="00F56BBC" w:rsidRDefault="0098018E" w:rsidP="000223BE">
            <w:pPr>
              <w:pStyle w:val="PwCNormal"/>
              <w:keepNext/>
              <w:keepLines/>
              <w:numPr>
                <w:ilvl w:val="0"/>
                <w:numId w:val="0"/>
              </w:numPr>
              <w:spacing w:before="60" w:after="60"/>
              <w:rPr>
                <w:rFonts w:asciiTheme="minorHAnsi" w:hAnsiTheme="minorHAnsi" w:cstheme="minorHAnsi"/>
                <w:b w:val="0"/>
                <w:sz w:val="16"/>
                <w:szCs w:val="16"/>
              </w:rPr>
            </w:pPr>
            <w:r w:rsidRPr="00F56BBC">
              <w:rPr>
                <w:rFonts w:asciiTheme="minorHAnsi" w:hAnsiTheme="minorHAnsi" w:cstheme="minorHAnsi"/>
                <w:b w:val="0"/>
                <w:sz w:val="16"/>
                <w:szCs w:val="16"/>
              </w:rPr>
              <w:t>Number of claims with change in WPI</w:t>
            </w:r>
          </w:p>
        </w:tc>
        <w:tc>
          <w:tcPr>
            <w:tcW w:w="1349" w:type="pct"/>
            <w:tcBorders>
              <w:bottom w:val="nil"/>
            </w:tcBorders>
            <w:vAlign w:val="center"/>
          </w:tcPr>
          <w:p w:rsidR="0098018E" w:rsidRPr="00566D61" w:rsidRDefault="0098018E" w:rsidP="000223BE">
            <w:pPr>
              <w:pStyle w:val="PwCNormal"/>
              <w:keepNext/>
              <w:keepLines/>
              <w:numPr>
                <w:ilvl w:val="0"/>
                <w:numId w:val="0"/>
              </w:num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566D61">
              <w:rPr>
                <w:rFonts w:asciiTheme="minorHAnsi" w:hAnsiTheme="minorHAnsi" w:cstheme="minorHAnsi"/>
                <w:sz w:val="16"/>
                <w:szCs w:val="16"/>
              </w:rPr>
              <w:t>159</w:t>
            </w:r>
          </w:p>
        </w:tc>
      </w:tr>
      <w:tr w:rsidR="0098018E" w:rsidRPr="006A0A4A" w:rsidTr="000223BE">
        <w:trPr>
          <w:trHeight w:val="493"/>
        </w:trPr>
        <w:tc>
          <w:tcPr>
            <w:cnfStyle w:val="001000000000" w:firstRow="0" w:lastRow="0" w:firstColumn="1" w:lastColumn="0" w:oddVBand="0" w:evenVBand="0" w:oddHBand="0" w:evenHBand="0" w:firstRowFirstColumn="0" w:firstRowLastColumn="0" w:lastRowFirstColumn="0" w:lastRowLastColumn="0"/>
            <w:tcW w:w="3651" w:type="pct"/>
            <w:tcBorders>
              <w:top w:val="nil"/>
              <w:bottom w:val="nil"/>
            </w:tcBorders>
            <w:vAlign w:val="center"/>
          </w:tcPr>
          <w:p w:rsidR="0098018E" w:rsidRPr="00F56BBC" w:rsidRDefault="0098018E" w:rsidP="000223BE">
            <w:pPr>
              <w:pStyle w:val="PwCNormal"/>
              <w:keepNext/>
              <w:keepLines/>
              <w:numPr>
                <w:ilvl w:val="0"/>
                <w:numId w:val="0"/>
              </w:numPr>
              <w:spacing w:before="60" w:after="60"/>
              <w:rPr>
                <w:rFonts w:asciiTheme="minorHAnsi" w:hAnsiTheme="minorHAnsi" w:cstheme="minorHAnsi"/>
                <w:b w:val="0"/>
                <w:sz w:val="16"/>
                <w:szCs w:val="16"/>
              </w:rPr>
            </w:pPr>
            <w:r w:rsidRPr="00F56BBC">
              <w:rPr>
                <w:rFonts w:asciiTheme="minorHAnsi" w:hAnsiTheme="minorHAnsi" w:cstheme="minorHAnsi"/>
                <w:b w:val="0"/>
                <w:sz w:val="16"/>
                <w:szCs w:val="16"/>
              </w:rPr>
              <w:t>Proportion not receiving common law</w:t>
            </w:r>
          </w:p>
        </w:tc>
        <w:tc>
          <w:tcPr>
            <w:tcW w:w="1349" w:type="pct"/>
            <w:tcBorders>
              <w:top w:val="nil"/>
              <w:bottom w:val="nil"/>
            </w:tcBorders>
            <w:vAlign w:val="center"/>
          </w:tcPr>
          <w:p w:rsidR="0098018E" w:rsidRPr="00566D61" w:rsidRDefault="0098018E" w:rsidP="000223BE">
            <w:pPr>
              <w:pStyle w:val="PwCNormal"/>
              <w:keepNext/>
              <w:keepLines/>
              <w:numPr>
                <w:ilvl w:val="0"/>
                <w:numId w:val="0"/>
              </w:num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66D61">
              <w:rPr>
                <w:rFonts w:asciiTheme="minorHAnsi" w:hAnsiTheme="minorHAnsi" w:cstheme="minorHAnsi"/>
                <w:sz w:val="16"/>
                <w:szCs w:val="16"/>
              </w:rPr>
              <w:t>50%</w:t>
            </w:r>
          </w:p>
        </w:tc>
      </w:tr>
      <w:tr w:rsidR="0098018E" w:rsidRPr="006A0A4A" w:rsidTr="000223BE">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3651" w:type="pct"/>
            <w:tcBorders>
              <w:top w:val="nil"/>
            </w:tcBorders>
            <w:vAlign w:val="center"/>
          </w:tcPr>
          <w:p w:rsidR="0098018E" w:rsidRPr="00F56BBC" w:rsidRDefault="0098018E" w:rsidP="000223BE">
            <w:pPr>
              <w:pStyle w:val="PwCNormal"/>
              <w:keepNext/>
              <w:keepLines/>
              <w:numPr>
                <w:ilvl w:val="0"/>
                <w:numId w:val="0"/>
              </w:numPr>
              <w:spacing w:before="60" w:after="60"/>
              <w:rPr>
                <w:rFonts w:asciiTheme="minorHAnsi" w:hAnsiTheme="minorHAnsi" w:cstheme="minorHAnsi"/>
                <w:b w:val="0"/>
                <w:sz w:val="16"/>
                <w:szCs w:val="16"/>
              </w:rPr>
            </w:pPr>
            <w:r w:rsidRPr="00F56BBC">
              <w:rPr>
                <w:rFonts w:asciiTheme="minorHAnsi" w:hAnsiTheme="minorHAnsi" w:cstheme="minorHAnsi"/>
                <w:b w:val="0"/>
                <w:sz w:val="16"/>
                <w:szCs w:val="16"/>
              </w:rPr>
              <w:t>Proportion exceeding 50% post-Serwylo</w:t>
            </w:r>
          </w:p>
        </w:tc>
        <w:tc>
          <w:tcPr>
            <w:tcW w:w="1349" w:type="pct"/>
            <w:tcBorders>
              <w:top w:val="nil"/>
            </w:tcBorders>
            <w:vAlign w:val="center"/>
          </w:tcPr>
          <w:p w:rsidR="0098018E" w:rsidRPr="00566D61" w:rsidRDefault="0098018E" w:rsidP="000223BE">
            <w:pPr>
              <w:pStyle w:val="PwCNormal"/>
              <w:keepNext/>
              <w:keepLines/>
              <w:numPr>
                <w:ilvl w:val="0"/>
                <w:numId w:val="0"/>
              </w:num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566D61">
              <w:rPr>
                <w:rFonts w:asciiTheme="minorHAnsi" w:hAnsiTheme="minorHAnsi" w:cstheme="minorHAnsi"/>
                <w:sz w:val="16"/>
                <w:szCs w:val="16"/>
              </w:rPr>
              <w:t>8%</w:t>
            </w:r>
          </w:p>
        </w:tc>
      </w:tr>
      <w:tr w:rsidR="0098018E" w:rsidRPr="006A0A4A" w:rsidTr="000223BE">
        <w:trPr>
          <w:trHeight w:val="493"/>
        </w:trPr>
        <w:tc>
          <w:tcPr>
            <w:cnfStyle w:val="001000000000" w:firstRow="0" w:lastRow="0" w:firstColumn="1" w:lastColumn="0" w:oddVBand="0" w:evenVBand="0" w:oddHBand="0" w:evenHBand="0" w:firstRowFirstColumn="0" w:firstRowLastColumn="0" w:lastRowFirstColumn="0" w:lastRowLastColumn="0"/>
            <w:tcW w:w="3651" w:type="pct"/>
            <w:tcBorders>
              <w:top w:val="single" w:sz="8" w:space="0" w:color="A32020" w:themeColor="accent1"/>
              <w:bottom w:val="nil"/>
            </w:tcBorders>
            <w:vAlign w:val="center"/>
          </w:tcPr>
          <w:p w:rsidR="0098018E" w:rsidRPr="00F56BBC" w:rsidRDefault="0098018E" w:rsidP="000223BE">
            <w:pPr>
              <w:pStyle w:val="PwCNormal"/>
              <w:keepNext/>
              <w:keepLines/>
              <w:numPr>
                <w:ilvl w:val="0"/>
                <w:numId w:val="0"/>
              </w:numPr>
              <w:spacing w:before="60" w:after="60"/>
              <w:rPr>
                <w:rFonts w:asciiTheme="minorHAnsi" w:hAnsiTheme="minorHAnsi" w:cstheme="minorHAnsi"/>
                <w:b w:val="0"/>
                <w:sz w:val="16"/>
                <w:szCs w:val="16"/>
              </w:rPr>
            </w:pPr>
            <w:r w:rsidRPr="00F56BBC">
              <w:rPr>
                <w:rFonts w:asciiTheme="minorHAnsi" w:hAnsiTheme="minorHAnsi" w:cstheme="minorHAnsi"/>
                <w:b w:val="0"/>
                <w:sz w:val="16"/>
                <w:szCs w:val="16"/>
              </w:rPr>
              <w:t>Additional LOEC claims beyond 3 years</w:t>
            </w:r>
          </w:p>
        </w:tc>
        <w:tc>
          <w:tcPr>
            <w:tcW w:w="1349" w:type="pct"/>
            <w:tcBorders>
              <w:top w:val="single" w:sz="8" w:space="0" w:color="A32020" w:themeColor="accent1"/>
              <w:bottom w:val="nil"/>
            </w:tcBorders>
            <w:vAlign w:val="center"/>
          </w:tcPr>
          <w:p w:rsidR="0098018E" w:rsidRPr="00566D61" w:rsidRDefault="0098018E" w:rsidP="000223BE">
            <w:pPr>
              <w:pStyle w:val="PwCNormal"/>
              <w:keepNext/>
              <w:keepLines/>
              <w:numPr>
                <w:ilvl w:val="0"/>
                <w:numId w:val="0"/>
              </w:num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66D61">
              <w:rPr>
                <w:rFonts w:asciiTheme="minorHAnsi" w:hAnsiTheme="minorHAnsi" w:cstheme="minorHAnsi"/>
                <w:sz w:val="16"/>
                <w:szCs w:val="16"/>
              </w:rPr>
              <w:t>6.4</w:t>
            </w:r>
          </w:p>
        </w:tc>
      </w:tr>
      <w:tr w:rsidR="0098018E" w:rsidRPr="006A0A4A" w:rsidTr="000223BE">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3651" w:type="pct"/>
            <w:tcBorders>
              <w:top w:val="nil"/>
            </w:tcBorders>
            <w:vAlign w:val="center"/>
          </w:tcPr>
          <w:p w:rsidR="0098018E" w:rsidRPr="00F56BBC" w:rsidRDefault="0098018E" w:rsidP="000223BE">
            <w:pPr>
              <w:pStyle w:val="PwCNormal"/>
              <w:keepNext/>
              <w:keepLines/>
              <w:numPr>
                <w:ilvl w:val="0"/>
                <w:numId w:val="0"/>
              </w:numPr>
              <w:spacing w:before="60" w:after="60"/>
              <w:rPr>
                <w:rFonts w:asciiTheme="minorHAnsi" w:hAnsiTheme="minorHAnsi" w:cstheme="minorHAnsi"/>
                <w:b w:val="0"/>
                <w:sz w:val="16"/>
                <w:szCs w:val="16"/>
              </w:rPr>
            </w:pPr>
            <w:r w:rsidRPr="00F56BBC">
              <w:rPr>
                <w:rFonts w:asciiTheme="minorHAnsi" w:hAnsiTheme="minorHAnsi" w:cstheme="minorHAnsi"/>
                <w:b w:val="0"/>
                <w:sz w:val="16"/>
                <w:szCs w:val="16"/>
              </w:rPr>
              <w:t>Average cost</w:t>
            </w:r>
          </w:p>
        </w:tc>
        <w:tc>
          <w:tcPr>
            <w:tcW w:w="1349" w:type="pct"/>
            <w:tcBorders>
              <w:top w:val="nil"/>
            </w:tcBorders>
            <w:vAlign w:val="center"/>
          </w:tcPr>
          <w:p w:rsidR="0098018E" w:rsidRPr="00566D61" w:rsidRDefault="0098018E" w:rsidP="000223BE">
            <w:pPr>
              <w:pStyle w:val="PwCNormal"/>
              <w:keepNext/>
              <w:keepLines/>
              <w:numPr>
                <w:ilvl w:val="0"/>
                <w:numId w:val="0"/>
              </w:num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566D61">
              <w:rPr>
                <w:rFonts w:asciiTheme="minorHAnsi" w:hAnsiTheme="minorHAnsi" w:cstheme="minorHAnsi"/>
                <w:sz w:val="16"/>
                <w:szCs w:val="16"/>
              </w:rPr>
              <w:t>$500</w:t>
            </w:r>
            <w:r w:rsidR="002A3CD0">
              <w:rPr>
                <w:rFonts w:asciiTheme="minorHAnsi" w:hAnsiTheme="minorHAnsi" w:cstheme="minorHAnsi"/>
                <w:sz w:val="16"/>
                <w:szCs w:val="16"/>
              </w:rPr>
              <w:t>k</w:t>
            </w:r>
          </w:p>
        </w:tc>
      </w:tr>
      <w:tr w:rsidR="0098018E" w:rsidRPr="006A0A4A" w:rsidTr="000223BE">
        <w:trPr>
          <w:trHeight w:val="493"/>
        </w:trPr>
        <w:tc>
          <w:tcPr>
            <w:cnfStyle w:val="001000000000" w:firstRow="0" w:lastRow="0" w:firstColumn="1" w:lastColumn="0" w:oddVBand="0" w:evenVBand="0" w:oddHBand="0" w:evenHBand="0" w:firstRowFirstColumn="0" w:firstRowLastColumn="0" w:lastRowFirstColumn="0" w:lastRowLastColumn="0"/>
            <w:tcW w:w="3651" w:type="pct"/>
            <w:tcBorders>
              <w:top w:val="single" w:sz="8" w:space="0" w:color="A32020" w:themeColor="accent1"/>
              <w:bottom w:val="single" w:sz="8" w:space="0" w:color="A32020" w:themeColor="accent1"/>
            </w:tcBorders>
            <w:vAlign w:val="center"/>
          </w:tcPr>
          <w:p w:rsidR="0098018E" w:rsidRPr="00566D61" w:rsidRDefault="0098018E" w:rsidP="000223BE">
            <w:pPr>
              <w:pStyle w:val="PwCNormal"/>
              <w:keepNext/>
              <w:keepLines/>
              <w:numPr>
                <w:ilvl w:val="0"/>
                <w:numId w:val="0"/>
              </w:numPr>
              <w:spacing w:before="60" w:after="60"/>
              <w:rPr>
                <w:rFonts w:asciiTheme="minorHAnsi" w:hAnsiTheme="minorHAnsi" w:cstheme="minorHAnsi"/>
                <w:sz w:val="16"/>
                <w:szCs w:val="16"/>
              </w:rPr>
            </w:pPr>
            <w:r w:rsidRPr="00566D61">
              <w:rPr>
                <w:rFonts w:asciiTheme="minorHAnsi" w:hAnsiTheme="minorHAnsi" w:cstheme="minorHAnsi"/>
                <w:sz w:val="16"/>
                <w:szCs w:val="16"/>
              </w:rPr>
              <w:t>Cost per new accident year</w:t>
            </w:r>
          </w:p>
        </w:tc>
        <w:tc>
          <w:tcPr>
            <w:tcW w:w="1349" w:type="pct"/>
            <w:tcBorders>
              <w:top w:val="single" w:sz="8" w:space="0" w:color="A32020" w:themeColor="accent1"/>
              <w:bottom w:val="single" w:sz="8" w:space="0" w:color="A32020" w:themeColor="accent1"/>
            </w:tcBorders>
            <w:vAlign w:val="center"/>
          </w:tcPr>
          <w:p w:rsidR="0098018E" w:rsidRPr="00566D61" w:rsidRDefault="0098018E" w:rsidP="000223BE">
            <w:pPr>
              <w:pStyle w:val="PwCNormal"/>
              <w:keepNext/>
              <w:keepLines/>
              <w:numPr>
                <w:ilvl w:val="0"/>
                <w:numId w:val="0"/>
              </w:num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566D61">
              <w:rPr>
                <w:rFonts w:asciiTheme="minorHAnsi" w:hAnsiTheme="minorHAnsi" w:cstheme="minorHAnsi"/>
                <w:b/>
                <w:sz w:val="16"/>
                <w:szCs w:val="16"/>
              </w:rPr>
              <w:t>$3.2m</w:t>
            </w:r>
          </w:p>
        </w:tc>
      </w:tr>
    </w:tbl>
    <w:p w:rsidR="001E0921" w:rsidRDefault="001E0921" w:rsidP="00566D61">
      <w:pPr>
        <w:pStyle w:val="Sources"/>
        <w:keepNext/>
        <w:keepLines/>
      </w:pPr>
      <w:r>
        <w:t>Source: PwC analysis of detailed TAC data.</w:t>
      </w:r>
    </w:p>
    <w:p w:rsidR="0098018E" w:rsidRDefault="00D23FF1" w:rsidP="0098018E">
      <w:pPr>
        <w:pStyle w:val="PwCNormal"/>
        <w:numPr>
          <w:ilvl w:val="0"/>
          <w:numId w:val="0"/>
        </w:numPr>
      </w:pPr>
      <w:r>
        <w:t xml:space="preserve">The liability impact must take into account that the LOEC benefits are paid out on an ongoing basis into the future. Therefore, the discount rate used is </w:t>
      </w:r>
      <w:r w:rsidR="005E7D37">
        <w:t>lower</w:t>
      </w:r>
      <w:r>
        <w:t xml:space="preserve"> when calculating liability </w:t>
      </w:r>
      <w:r w:rsidR="00284B01">
        <w:t xml:space="preserve">estimates </w:t>
      </w:r>
      <w:r>
        <w:t xml:space="preserve">than cost </w:t>
      </w:r>
      <w:r w:rsidR="00284B01">
        <w:t>estimates</w:t>
      </w:r>
      <w:r>
        <w:t>.</w:t>
      </w:r>
      <w:bookmarkStart w:id="132" w:name="_Ref391323711"/>
      <w:r w:rsidR="005E7D37">
        <w:rPr>
          <w:rStyle w:val="FootnoteReference"/>
        </w:rPr>
        <w:footnoteReference w:id="78"/>
      </w:r>
      <w:bookmarkEnd w:id="132"/>
      <w:r>
        <w:t xml:space="preserve"> This increases the average cost per claim to $700</w:t>
      </w:r>
      <w:r w:rsidR="002A3CD0">
        <w:t>,000</w:t>
      </w:r>
      <w:r>
        <w:t xml:space="preserve">. This means that for liability purposes the </w:t>
      </w:r>
      <w:r w:rsidR="008E0906">
        <w:t>total</w:t>
      </w:r>
      <w:r>
        <w:t xml:space="preserve"> cost per </w:t>
      </w:r>
      <w:r w:rsidR="008E0906">
        <w:t xml:space="preserve">year </w:t>
      </w:r>
      <w:r>
        <w:t>is $4.5</w:t>
      </w:r>
      <w:r w:rsidR="002A3CD0">
        <w:t xml:space="preserve"> </w:t>
      </w:r>
      <w:r>
        <w:t>m</w:t>
      </w:r>
      <w:r w:rsidR="002A3CD0">
        <w:t>illion</w:t>
      </w:r>
      <w:r>
        <w:t>, as opposed to the $3.2</w:t>
      </w:r>
      <w:r w:rsidR="002A3CD0">
        <w:t xml:space="preserve"> </w:t>
      </w:r>
      <w:r>
        <w:t>m</w:t>
      </w:r>
      <w:r w:rsidR="002A3CD0">
        <w:t>illion</w:t>
      </w:r>
      <w:r>
        <w:t xml:space="preserve"> calculated above. T</w:t>
      </w:r>
      <w:r w:rsidR="0098018E">
        <w:t>he total liability impact is $31.</w:t>
      </w:r>
      <w:r w:rsidR="00E87F97">
        <w:t>3</w:t>
      </w:r>
      <w:r w:rsidR="002A3CD0">
        <w:t xml:space="preserve"> </w:t>
      </w:r>
      <w:r w:rsidR="0098018E">
        <w:t>m</w:t>
      </w:r>
      <w:r w:rsidR="002A3CD0">
        <w:t>illion</w:t>
      </w:r>
      <w:r w:rsidR="0012715F">
        <w:t>, as shown in</w:t>
      </w:r>
      <w:r w:rsidR="00A704F7">
        <w:t xml:space="preserve"> </w:t>
      </w:r>
      <w:r w:rsidR="00A704F7">
        <w:fldChar w:fldCharType="begin"/>
      </w:r>
      <w:r w:rsidR="00A704F7">
        <w:instrText xml:space="preserve"> REF _Ref386493755 \h </w:instrText>
      </w:r>
      <w:r w:rsidR="00A704F7">
        <w:fldChar w:fldCharType="separate"/>
      </w:r>
      <w:r w:rsidR="00542564">
        <w:t xml:space="preserve">Table </w:t>
      </w:r>
      <w:r w:rsidR="00542564">
        <w:rPr>
          <w:noProof/>
        </w:rPr>
        <w:t>18</w:t>
      </w:r>
      <w:r w:rsidR="00A704F7">
        <w:fldChar w:fldCharType="end"/>
      </w:r>
      <w:r w:rsidR="0012715F">
        <w:t xml:space="preserve"> </w:t>
      </w:r>
    </w:p>
    <w:p w:rsidR="0090188B" w:rsidRDefault="0090188B" w:rsidP="0090188B">
      <w:pPr>
        <w:pStyle w:val="Caption"/>
      </w:pPr>
      <w:bookmarkStart w:id="133" w:name="_Ref386493755"/>
      <w:r>
        <w:lastRenderedPageBreak/>
        <w:t xml:space="preserve">Table </w:t>
      </w:r>
      <w:fldSimple w:instr=" SEQ Table \* ARABIC ">
        <w:r w:rsidR="00542564">
          <w:rPr>
            <w:noProof/>
          </w:rPr>
          <w:t>18</w:t>
        </w:r>
      </w:fldSimple>
      <w:bookmarkEnd w:id="133"/>
      <w:r>
        <w:t>: Additional LOEC benefits liability change from Serwylo</w:t>
      </w:r>
    </w:p>
    <w:tbl>
      <w:tblPr>
        <w:tblStyle w:val="LightList-Accent1"/>
        <w:tblW w:w="5000" w:type="pct"/>
        <w:tblLook w:val="04A0" w:firstRow="1" w:lastRow="0" w:firstColumn="1" w:lastColumn="0" w:noHBand="0" w:noVBand="1"/>
      </w:tblPr>
      <w:tblGrid>
        <w:gridCol w:w="6161"/>
        <w:gridCol w:w="2276"/>
      </w:tblGrid>
      <w:tr w:rsidR="0098018E" w:rsidRPr="006A0A4A" w:rsidTr="000223BE">
        <w:trPr>
          <w:cnfStyle w:val="100000000000" w:firstRow="1" w:lastRow="0" w:firstColumn="0" w:lastColumn="0" w:oddVBand="0" w:evenVBand="0" w:oddHBand="0"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3651" w:type="pct"/>
            <w:tcBorders>
              <w:bottom w:val="single" w:sz="8" w:space="0" w:color="A32020" w:themeColor="accent1"/>
            </w:tcBorders>
            <w:vAlign w:val="center"/>
          </w:tcPr>
          <w:p w:rsidR="0098018E" w:rsidRPr="00566D61" w:rsidRDefault="0098018E" w:rsidP="000223BE">
            <w:pPr>
              <w:pStyle w:val="PwCNormal"/>
              <w:keepNext/>
              <w:keepLines/>
              <w:numPr>
                <w:ilvl w:val="0"/>
                <w:numId w:val="0"/>
              </w:numPr>
              <w:spacing w:before="60" w:after="60"/>
              <w:rPr>
                <w:rFonts w:asciiTheme="minorHAnsi" w:hAnsiTheme="minorHAnsi" w:cstheme="minorHAnsi"/>
                <w:sz w:val="16"/>
                <w:szCs w:val="16"/>
              </w:rPr>
            </w:pPr>
            <w:r w:rsidRPr="00566D61">
              <w:rPr>
                <w:rFonts w:asciiTheme="minorHAnsi" w:hAnsiTheme="minorHAnsi" w:cstheme="minorHAnsi"/>
                <w:sz w:val="16"/>
                <w:szCs w:val="16"/>
              </w:rPr>
              <w:t>Change in LOEC liability</w:t>
            </w:r>
          </w:p>
        </w:tc>
        <w:tc>
          <w:tcPr>
            <w:tcW w:w="1349" w:type="pct"/>
            <w:tcBorders>
              <w:bottom w:val="single" w:sz="8" w:space="0" w:color="A32020" w:themeColor="accent1"/>
            </w:tcBorders>
            <w:vAlign w:val="center"/>
          </w:tcPr>
          <w:p w:rsidR="0098018E" w:rsidRPr="00566D61" w:rsidRDefault="006A0A4A" w:rsidP="000223BE">
            <w:pPr>
              <w:pStyle w:val="PwCNormal"/>
              <w:keepNext/>
              <w:keepLines/>
              <w:numPr>
                <w:ilvl w:val="0"/>
                <w:numId w:val="0"/>
              </w:num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66D61">
              <w:rPr>
                <w:rFonts w:asciiTheme="minorHAnsi" w:hAnsiTheme="minorHAnsi" w:cstheme="minorHAnsi"/>
                <w:sz w:val="16"/>
                <w:szCs w:val="16"/>
              </w:rPr>
              <w:t>Value</w:t>
            </w:r>
          </w:p>
        </w:tc>
      </w:tr>
      <w:tr w:rsidR="0098018E" w:rsidRPr="006A0A4A" w:rsidTr="000223BE">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3651" w:type="pct"/>
            <w:tcBorders>
              <w:bottom w:val="nil"/>
            </w:tcBorders>
            <w:vAlign w:val="center"/>
          </w:tcPr>
          <w:p w:rsidR="0098018E" w:rsidRPr="00F56BBC" w:rsidRDefault="0098018E" w:rsidP="000223BE">
            <w:pPr>
              <w:pStyle w:val="PwCNormal"/>
              <w:keepNext/>
              <w:keepLines/>
              <w:numPr>
                <w:ilvl w:val="0"/>
                <w:numId w:val="0"/>
              </w:numPr>
              <w:spacing w:before="60" w:after="60"/>
              <w:rPr>
                <w:rFonts w:asciiTheme="minorHAnsi" w:hAnsiTheme="minorHAnsi" w:cstheme="minorHAnsi"/>
                <w:b w:val="0"/>
                <w:sz w:val="16"/>
                <w:szCs w:val="16"/>
              </w:rPr>
            </w:pPr>
            <w:r w:rsidRPr="00F56BBC">
              <w:rPr>
                <w:rFonts w:asciiTheme="minorHAnsi" w:hAnsiTheme="minorHAnsi" w:cstheme="minorHAnsi"/>
                <w:b w:val="0"/>
                <w:sz w:val="16"/>
                <w:szCs w:val="16"/>
              </w:rPr>
              <w:t>Additional LOEC claim beyond 3 years</w:t>
            </w:r>
          </w:p>
        </w:tc>
        <w:tc>
          <w:tcPr>
            <w:tcW w:w="1349" w:type="pct"/>
            <w:tcBorders>
              <w:bottom w:val="nil"/>
            </w:tcBorders>
            <w:vAlign w:val="center"/>
          </w:tcPr>
          <w:p w:rsidR="0098018E" w:rsidRPr="00566D61" w:rsidRDefault="0098018E" w:rsidP="000223BE">
            <w:pPr>
              <w:pStyle w:val="PwCNormal"/>
              <w:keepNext/>
              <w:keepLines/>
              <w:numPr>
                <w:ilvl w:val="0"/>
                <w:numId w:val="0"/>
              </w:num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566D61">
              <w:rPr>
                <w:rFonts w:asciiTheme="minorHAnsi" w:hAnsiTheme="minorHAnsi" w:cstheme="minorHAnsi"/>
                <w:sz w:val="16"/>
                <w:szCs w:val="16"/>
              </w:rPr>
              <w:t>6.4</w:t>
            </w:r>
          </w:p>
        </w:tc>
      </w:tr>
      <w:tr w:rsidR="0098018E" w:rsidRPr="006A0A4A" w:rsidTr="000223BE">
        <w:trPr>
          <w:trHeight w:val="493"/>
        </w:trPr>
        <w:tc>
          <w:tcPr>
            <w:cnfStyle w:val="001000000000" w:firstRow="0" w:lastRow="0" w:firstColumn="1" w:lastColumn="0" w:oddVBand="0" w:evenVBand="0" w:oddHBand="0" w:evenHBand="0" w:firstRowFirstColumn="0" w:firstRowLastColumn="0" w:lastRowFirstColumn="0" w:lastRowLastColumn="0"/>
            <w:tcW w:w="3651" w:type="pct"/>
            <w:tcBorders>
              <w:top w:val="nil"/>
              <w:bottom w:val="single" w:sz="8" w:space="0" w:color="A32020" w:themeColor="accent1"/>
            </w:tcBorders>
            <w:vAlign w:val="center"/>
          </w:tcPr>
          <w:p w:rsidR="0098018E" w:rsidRPr="00F56BBC" w:rsidRDefault="0098018E" w:rsidP="000223BE">
            <w:pPr>
              <w:pStyle w:val="PwCNormal"/>
              <w:keepNext/>
              <w:keepLines/>
              <w:numPr>
                <w:ilvl w:val="0"/>
                <w:numId w:val="0"/>
              </w:numPr>
              <w:spacing w:before="60" w:after="60"/>
              <w:rPr>
                <w:rFonts w:asciiTheme="minorHAnsi" w:hAnsiTheme="minorHAnsi" w:cstheme="minorHAnsi"/>
                <w:b w:val="0"/>
                <w:sz w:val="16"/>
                <w:szCs w:val="16"/>
              </w:rPr>
            </w:pPr>
            <w:r w:rsidRPr="00F56BBC">
              <w:rPr>
                <w:rFonts w:asciiTheme="minorHAnsi" w:hAnsiTheme="minorHAnsi" w:cstheme="minorHAnsi"/>
                <w:b w:val="0"/>
                <w:sz w:val="16"/>
                <w:szCs w:val="16"/>
              </w:rPr>
              <w:t>Average cost</w:t>
            </w:r>
          </w:p>
        </w:tc>
        <w:tc>
          <w:tcPr>
            <w:tcW w:w="1349" w:type="pct"/>
            <w:tcBorders>
              <w:top w:val="nil"/>
              <w:bottom w:val="single" w:sz="8" w:space="0" w:color="A32020" w:themeColor="accent1"/>
            </w:tcBorders>
            <w:vAlign w:val="center"/>
          </w:tcPr>
          <w:p w:rsidR="0098018E" w:rsidRPr="00566D61" w:rsidRDefault="0098018E" w:rsidP="000223BE">
            <w:pPr>
              <w:pStyle w:val="PwCNormal"/>
              <w:keepNext/>
              <w:keepLines/>
              <w:numPr>
                <w:ilvl w:val="0"/>
                <w:numId w:val="0"/>
              </w:num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66D61">
              <w:rPr>
                <w:rFonts w:asciiTheme="minorHAnsi" w:hAnsiTheme="minorHAnsi" w:cstheme="minorHAnsi"/>
                <w:sz w:val="16"/>
                <w:szCs w:val="16"/>
              </w:rPr>
              <w:t>$700</w:t>
            </w:r>
            <w:r w:rsidR="002A3CD0">
              <w:rPr>
                <w:rFonts w:asciiTheme="minorHAnsi" w:hAnsiTheme="minorHAnsi" w:cstheme="minorHAnsi"/>
                <w:sz w:val="16"/>
                <w:szCs w:val="16"/>
              </w:rPr>
              <w:t>k</w:t>
            </w:r>
          </w:p>
        </w:tc>
      </w:tr>
      <w:tr w:rsidR="0098018E" w:rsidRPr="006A0A4A" w:rsidTr="000223BE">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3651" w:type="pct"/>
            <w:tcBorders>
              <w:bottom w:val="nil"/>
            </w:tcBorders>
            <w:vAlign w:val="center"/>
          </w:tcPr>
          <w:p w:rsidR="0098018E" w:rsidRPr="00566D61" w:rsidRDefault="0098018E" w:rsidP="000223BE">
            <w:pPr>
              <w:pStyle w:val="PwCNormal"/>
              <w:keepNext/>
              <w:keepLines/>
              <w:numPr>
                <w:ilvl w:val="0"/>
                <w:numId w:val="0"/>
              </w:numPr>
              <w:spacing w:before="60" w:after="60"/>
              <w:rPr>
                <w:rFonts w:asciiTheme="minorHAnsi" w:hAnsiTheme="minorHAnsi" w:cstheme="minorHAnsi"/>
                <w:b w:val="0"/>
                <w:sz w:val="16"/>
                <w:szCs w:val="16"/>
              </w:rPr>
            </w:pPr>
            <w:r w:rsidRPr="00566D61">
              <w:rPr>
                <w:rFonts w:asciiTheme="minorHAnsi" w:hAnsiTheme="minorHAnsi" w:cstheme="minorHAnsi"/>
                <w:sz w:val="16"/>
                <w:szCs w:val="16"/>
              </w:rPr>
              <w:t>Cost per year</w:t>
            </w:r>
          </w:p>
        </w:tc>
        <w:tc>
          <w:tcPr>
            <w:tcW w:w="1349" w:type="pct"/>
            <w:tcBorders>
              <w:bottom w:val="nil"/>
            </w:tcBorders>
            <w:vAlign w:val="center"/>
          </w:tcPr>
          <w:p w:rsidR="0098018E" w:rsidRPr="000223BE" w:rsidRDefault="0098018E" w:rsidP="000223BE">
            <w:pPr>
              <w:pStyle w:val="PwCNormal"/>
              <w:keepNext/>
              <w:keepLines/>
              <w:numPr>
                <w:ilvl w:val="0"/>
                <w:numId w:val="0"/>
              </w:num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r w:rsidRPr="000223BE">
              <w:rPr>
                <w:rFonts w:asciiTheme="minorHAnsi" w:hAnsiTheme="minorHAnsi" w:cstheme="minorHAnsi"/>
                <w:b/>
                <w:sz w:val="16"/>
                <w:szCs w:val="16"/>
              </w:rPr>
              <w:t>$4.5m</w:t>
            </w:r>
          </w:p>
        </w:tc>
      </w:tr>
      <w:tr w:rsidR="0098018E" w:rsidRPr="006A0A4A" w:rsidTr="000223BE">
        <w:trPr>
          <w:trHeight w:val="493"/>
        </w:trPr>
        <w:tc>
          <w:tcPr>
            <w:cnfStyle w:val="001000000000" w:firstRow="0" w:lastRow="0" w:firstColumn="1" w:lastColumn="0" w:oddVBand="0" w:evenVBand="0" w:oddHBand="0" w:evenHBand="0" w:firstRowFirstColumn="0" w:firstRowLastColumn="0" w:lastRowFirstColumn="0" w:lastRowLastColumn="0"/>
            <w:tcW w:w="3651" w:type="pct"/>
            <w:tcBorders>
              <w:top w:val="nil"/>
              <w:bottom w:val="single" w:sz="8" w:space="0" w:color="A32020" w:themeColor="accent1"/>
            </w:tcBorders>
            <w:vAlign w:val="center"/>
          </w:tcPr>
          <w:p w:rsidR="0098018E" w:rsidRPr="00F56BBC" w:rsidRDefault="0098018E" w:rsidP="000223BE">
            <w:pPr>
              <w:pStyle w:val="PwCNormal"/>
              <w:keepNext/>
              <w:keepLines/>
              <w:numPr>
                <w:ilvl w:val="0"/>
                <w:numId w:val="0"/>
              </w:numPr>
              <w:spacing w:before="60" w:after="60"/>
              <w:rPr>
                <w:rFonts w:asciiTheme="minorHAnsi" w:hAnsiTheme="minorHAnsi" w:cstheme="minorHAnsi"/>
                <w:b w:val="0"/>
                <w:sz w:val="16"/>
                <w:szCs w:val="16"/>
              </w:rPr>
            </w:pPr>
            <w:r w:rsidRPr="00F56BBC">
              <w:rPr>
                <w:rFonts w:asciiTheme="minorHAnsi" w:hAnsiTheme="minorHAnsi" w:cstheme="minorHAnsi"/>
                <w:b w:val="0"/>
                <w:sz w:val="16"/>
                <w:szCs w:val="16"/>
              </w:rPr>
              <w:t>Liability multiplier</w:t>
            </w:r>
          </w:p>
        </w:tc>
        <w:tc>
          <w:tcPr>
            <w:tcW w:w="1349" w:type="pct"/>
            <w:tcBorders>
              <w:top w:val="nil"/>
              <w:bottom w:val="single" w:sz="8" w:space="0" w:color="A32020" w:themeColor="accent1"/>
            </w:tcBorders>
            <w:vAlign w:val="center"/>
          </w:tcPr>
          <w:p w:rsidR="0098018E" w:rsidRPr="00566D61" w:rsidRDefault="0098018E" w:rsidP="000223BE">
            <w:pPr>
              <w:pStyle w:val="PwCNormal"/>
              <w:keepNext/>
              <w:keepLines/>
              <w:numPr>
                <w:ilvl w:val="0"/>
                <w:numId w:val="0"/>
              </w:num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66D61">
              <w:rPr>
                <w:rFonts w:asciiTheme="minorHAnsi" w:hAnsiTheme="minorHAnsi" w:cstheme="minorHAnsi"/>
                <w:sz w:val="16"/>
                <w:szCs w:val="16"/>
              </w:rPr>
              <w:t>7</w:t>
            </w:r>
          </w:p>
        </w:tc>
      </w:tr>
      <w:tr w:rsidR="0098018E" w:rsidRPr="006A0A4A" w:rsidTr="000223BE">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3651" w:type="pct"/>
            <w:vAlign w:val="center"/>
          </w:tcPr>
          <w:p w:rsidR="0098018E" w:rsidRPr="00566D61" w:rsidRDefault="0098018E" w:rsidP="000223BE">
            <w:pPr>
              <w:pStyle w:val="PwCNormal"/>
              <w:keepNext/>
              <w:keepLines/>
              <w:numPr>
                <w:ilvl w:val="0"/>
                <w:numId w:val="0"/>
              </w:numPr>
              <w:spacing w:before="60" w:after="60"/>
              <w:rPr>
                <w:rFonts w:asciiTheme="minorHAnsi" w:hAnsiTheme="minorHAnsi" w:cstheme="minorHAnsi"/>
                <w:sz w:val="16"/>
                <w:szCs w:val="16"/>
              </w:rPr>
            </w:pPr>
            <w:r w:rsidRPr="00566D61">
              <w:rPr>
                <w:rFonts w:asciiTheme="minorHAnsi" w:hAnsiTheme="minorHAnsi" w:cstheme="minorHAnsi"/>
                <w:sz w:val="16"/>
                <w:szCs w:val="16"/>
              </w:rPr>
              <w:t xml:space="preserve">Total liability increase </w:t>
            </w:r>
          </w:p>
        </w:tc>
        <w:tc>
          <w:tcPr>
            <w:tcW w:w="1349" w:type="pct"/>
            <w:vAlign w:val="center"/>
          </w:tcPr>
          <w:p w:rsidR="0098018E" w:rsidRPr="00566D61" w:rsidRDefault="0098018E" w:rsidP="000223BE">
            <w:pPr>
              <w:pStyle w:val="PwCNormal"/>
              <w:keepNext/>
              <w:keepLines/>
              <w:numPr>
                <w:ilvl w:val="0"/>
                <w:numId w:val="0"/>
              </w:num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r w:rsidRPr="00566D61">
              <w:rPr>
                <w:rFonts w:asciiTheme="minorHAnsi" w:hAnsiTheme="minorHAnsi" w:cstheme="minorHAnsi"/>
                <w:b/>
                <w:sz w:val="16"/>
                <w:szCs w:val="16"/>
              </w:rPr>
              <w:t>$31.</w:t>
            </w:r>
            <w:r w:rsidR="00152868">
              <w:rPr>
                <w:rFonts w:asciiTheme="minorHAnsi" w:hAnsiTheme="minorHAnsi" w:cstheme="minorHAnsi"/>
                <w:b/>
                <w:sz w:val="16"/>
                <w:szCs w:val="16"/>
              </w:rPr>
              <w:t>3</w:t>
            </w:r>
            <w:r w:rsidRPr="00566D61">
              <w:rPr>
                <w:rFonts w:asciiTheme="minorHAnsi" w:hAnsiTheme="minorHAnsi" w:cstheme="minorHAnsi"/>
                <w:b/>
                <w:sz w:val="16"/>
                <w:szCs w:val="16"/>
              </w:rPr>
              <w:t>m</w:t>
            </w:r>
          </w:p>
        </w:tc>
      </w:tr>
    </w:tbl>
    <w:p w:rsidR="002A3CD0" w:rsidRDefault="002A3CD0" w:rsidP="002A3CD0">
      <w:pPr>
        <w:pStyle w:val="Sources"/>
        <w:keepNext/>
        <w:keepLines/>
      </w:pPr>
      <w:r w:rsidRPr="008A2FF0">
        <w:rPr>
          <w:color w:val="auto"/>
        </w:rPr>
        <w:t>Note: Figures may not sum exactly due to rounding</w:t>
      </w:r>
    </w:p>
    <w:p w:rsidR="001E0921" w:rsidRDefault="001E0921" w:rsidP="001E0921">
      <w:pPr>
        <w:pStyle w:val="Sources"/>
      </w:pPr>
      <w:r>
        <w:t>Source: PwC analysis of detailed TAC data.</w:t>
      </w:r>
    </w:p>
    <w:p w:rsidR="00A03909" w:rsidRDefault="00DC4F48" w:rsidP="00DC4F48">
      <w:pPr>
        <w:pStyle w:val="PwCNormal"/>
        <w:numPr>
          <w:ilvl w:val="0"/>
          <w:numId w:val="0"/>
        </w:numPr>
      </w:pPr>
      <w:r>
        <w:t>The total costs and liability impact resulting from the consequences of Serwylo are summarised in</w:t>
      </w:r>
      <w:r w:rsidR="00A03909">
        <w:t xml:space="preserve"> </w:t>
      </w:r>
      <w:r w:rsidR="00A704F7">
        <w:fldChar w:fldCharType="begin"/>
      </w:r>
      <w:r w:rsidR="00A704F7">
        <w:instrText xml:space="preserve"> REF _Ref387421595 \h </w:instrText>
      </w:r>
      <w:r w:rsidR="00A704F7">
        <w:fldChar w:fldCharType="separate"/>
      </w:r>
      <w:r w:rsidR="00542564">
        <w:t xml:space="preserve">Table </w:t>
      </w:r>
      <w:r w:rsidR="00542564">
        <w:rPr>
          <w:noProof/>
        </w:rPr>
        <w:t>19</w:t>
      </w:r>
      <w:r w:rsidR="00A704F7">
        <w:fldChar w:fldCharType="end"/>
      </w:r>
      <w:r w:rsidR="00A03909">
        <w:t>.</w:t>
      </w:r>
    </w:p>
    <w:p w:rsidR="00A03909" w:rsidRDefault="00A03909" w:rsidP="00566D61">
      <w:pPr>
        <w:pStyle w:val="Caption"/>
      </w:pPr>
      <w:bookmarkStart w:id="134" w:name="_Ref387421595"/>
      <w:r>
        <w:t xml:space="preserve">Table </w:t>
      </w:r>
      <w:fldSimple w:instr=" SEQ Table \* ARABIC ">
        <w:r w:rsidR="00542564">
          <w:rPr>
            <w:noProof/>
          </w:rPr>
          <w:t>19</w:t>
        </w:r>
      </w:fldSimple>
      <w:bookmarkEnd w:id="134"/>
      <w:r>
        <w:t>:</w:t>
      </w:r>
      <w:r w:rsidR="008D6739" w:rsidRPr="008D6739">
        <w:t xml:space="preserve"> </w:t>
      </w:r>
      <w:r w:rsidR="008D6739" w:rsidRPr="000E6431">
        <w:t xml:space="preserve">Estimated change in costs and liability impact following Serwylo </w:t>
      </w:r>
    </w:p>
    <w:tbl>
      <w:tblPr>
        <w:tblStyle w:val="LightList-Accent1"/>
        <w:tblW w:w="5000" w:type="pct"/>
        <w:tblLook w:val="04A0" w:firstRow="1" w:lastRow="0" w:firstColumn="1" w:lastColumn="0" w:noHBand="0" w:noVBand="1"/>
      </w:tblPr>
      <w:tblGrid>
        <w:gridCol w:w="4853"/>
        <w:gridCol w:w="1792"/>
        <w:gridCol w:w="1792"/>
      </w:tblGrid>
      <w:tr w:rsidR="00785051" w:rsidRPr="006A0A4A" w:rsidTr="000223BE">
        <w:trPr>
          <w:cnfStyle w:val="100000000000" w:firstRow="1" w:lastRow="0" w:firstColumn="0" w:lastColumn="0" w:oddVBand="0" w:evenVBand="0" w:oddHBand="0"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876" w:type="pct"/>
            <w:tcBorders>
              <w:bottom w:val="single" w:sz="8" w:space="0" w:color="A32020" w:themeColor="accent1"/>
            </w:tcBorders>
            <w:vAlign w:val="center"/>
          </w:tcPr>
          <w:p w:rsidR="00785051" w:rsidRPr="00566D61" w:rsidRDefault="00785051" w:rsidP="000223BE">
            <w:pPr>
              <w:pStyle w:val="PwCNormal"/>
              <w:keepNext/>
              <w:keepLines/>
              <w:numPr>
                <w:ilvl w:val="0"/>
                <w:numId w:val="0"/>
              </w:numPr>
              <w:spacing w:before="60" w:after="60"/>
              <w:rPr>
                <w:rFonts w:asciiTheme="minorHAnsi" w:hAnsiTheme="minorHAnsi" w:cstheme="minorHAnsi"/>
                <w:sz w:val="16"/>
                <w:szCs w:val="16"/>
              </w:rPr>
            </w:pPr>
            <w:r w:rsidRPr="00566D61">
              <w:rPr>
                <w:rFonts w:asciiTheme="minorHAnsi" w:hAnsiTheme="minorHAnsi" w:cstheme="minorHAnsi"/>
                <w:sz w:val="16"/>
                <w:szCs w:val="16"/>
              </w:rPr>
              <w:t>Change in LOEC liability</w:t>
            </w:r>
          </w:p>
        </w:tc>
        <w:tc>
          <w:tcPr>
            <w:tcW w:w="1062" w:type="pct"/>
            <w:tcBorders>
              <w:bottom w:val="single" w:sz="8" w:space="0" w:color="A32020" w:themeColor="accent1"/>
            </w:tcBorders>
            <w:vAlign w:val="center"/>
          </w:tcPr>
          <w:p w:rsidR="00785051" w:rsidRPr="00566D61" w:rsidRDefault="00785051" w:rsidP="000223BE">
            <w:pPr>
              <w:pStyle w:val="PwCNormal"/>
              <w:keepNext/>
              <w:keepLines/>
              <w:numPr>
                <w:ilvl w:val="0"/>
                <w:numId w:val="0"/>
              </w:num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85051">
              <w:rPr>
                <w:rFonts w:asciiTheme="minorHAnsi" w:hAnsiTheme="minorHAnsi" w:cstheme="minorHAnsi"/>
                <w:sz w:val="16"/>
                <w:szCs w:val="16"/>
              </w:rPr>
              <w:t>Estimated cost per new accident year</w:t>
            </w:r>
          </w:p>
        </w:tc>
        <w:tc>
          <w:tcPr>
            <w:tcW w:w="1062" w:type="pct"/>
            <w:tcBorders>
              <w:bottom w:val="single" w:sz="8" w:space="0" w:color="A32020" w:themeColor="accent1"/>
            </w:tcBorders>
            <w:vAlign w:val="center"/>
          </w:tcPr>
          <w:p w:rsidR="00785051" w:rsidRPr="00566D61" w:rsidRDefault="00785051" w:rsidP="000223BE">
            <w:pPr>
              <w:pStyle w:val="PwCNormal"/>
              <w:keepNext/>
              <w:keepLines/>
              <w:numPr>
                <w:ilvl w:val="0"/>
                <w:numId w:val="0"/>
              </w:num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85051">
              <w:rPr>
                <w:rFonts w:asciiTheme="minorHAnsi" w:hAnsiTheme="minorHAnsi" w:cstheme="minorHAnsi"/>
                <w:sz w:val="16"/>
                <w:szCs w:val="16"/>
              </w:rPr>
              <w:t>Estimated change to liability</w:t>
            </w:r>
          </w:p>
        </w:tc>
      </w:tr>
      <w:tr w:rsidR="00785051" w:rsidRPr="006A0A4A" w:rsidTr="000223BE">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876" w:type="pct"/>
            <w:tcBorders>
              <w:bottom w:val="nil"/>
            </w:tcBorders>
            <w:vAlign w:val="center"/>
          </w:tcPr>
          <w:p w:rsidR="00785051" w:rsidRPr="00785051" w:rsidRDefault="00785051" w:rsidP="000223BE">
            <w:pPr>
              <w:pStyle w:val="PwCNormal"/>
              <w:keepNext/>
              <w:keepLines/>
              <w:numPr>
                <w:ilvl w:val="0"/>
                <w:numId w:val="0"/>
              </w:numPr>
              <w:spacing w:before="0" w:after="0"/>
              <w:rPr>
                <w:rFonts w:asciiTheme="minorHAnsi" w:hAnsiTheme="minorHAnsi" w:cstheme="minorHAnsi"/>
                <w:b w:val="0"/>
                <w:sz w:val="16"/>
                <w:szCs w:val="16"/>
              </w:rPr>
            </w:pPr>
            <w:r w:rsidRPr="00785051">
              <w:rPr>
                <w:rFonts w:asciiTheme="minorHAnsi" w:hAnsiTheme="minorHAnsi" w:cstheme="minorHAnsi"/>
                <w:b w:val="0"/>
                <w:sz w:val="16"/>
                <w:szCs w:val="16"/>
              </w:rPr>
              <w:t>Impairment Lump Sum Benefits</w:t>
            </w:r>
          </w:p>
        </w:tc>
        <w:tc>
          <w:tcPr>
            <w:tcW w:w="1062" w:type="pct"/>
            <w:tcBorders>
              <w:bottom w:val="nil"/>
            </w:tcBorders>
            <w:vAlign w:val="center"/>
          </w:tcPr>
          <w:p w:rsidR="00785051" w:rsidRPr="004570CF" w:rsidRDefault="00785051" w:rsidP="000223BE">
            <w:pPr>
              <w:pStyle w:val="PwCNormal"/>
              <w:keepNext/>
              <w:keepLines/>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16"/>
                <w:szCs w:val="16"/>
              </w:rPr>
            </w:pPr>
            <w:r w:rsidRPr="004570CF">
              <w:rPr>
                <w:rFonts w:asciiTheme="minorHAnsi" w:hAnsiTheme="minorHAnsi" w:cstheme="minorHAnsi"/>
                <w:bCs/>
                <w:sz w:val="16"/>
                <w:szCs w:val="16"/>
              </w:rPr>
              <w:t>$4.3m</w:t>
            </w:r>
          </w:p>
        </w:tc>
        <w:tc>
          <w:tcPr>
            <w:tcW w:w="1062" w:type="pct"/>
            <w:tcBorders>
              <w:bottom w:val="nil"/>
            </w:tcBorders>
            <w:vAlign w:val="center"/>
          </w:tcPr>
          <w:p w:rsidR="00785051" w:rsidRPr="004570CF" w:rsidRDefault="00785051" w:rsidP="000223BE">
            <w:pPr>
              <w:pStyle w:val="PwCNormal"/>
              <w:keepNext/>
              <w:keepLines/>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16"/>
                <w:szCs w:val="16"/>
              </w:rPr>
            </w:pPr>
            <w:r w:rsidRPr="004570CF">
              <w:rPr>
                <w:rFonts w:asciiTheme="minorHAnsi" w:hAnsiTheme="minorHAnsi" w:cstheme="minorHAnsi"/>
                <w:bCs/>
                <w:sz w:val="16"/>
                <w:szCs w:val="16"/>
              </w:rPr>
              <w:t>$15.5m</w:t>
            </w:r>
          </w:p>
        </w:tc>
      </w:tr>
      <w:tr w:rsidR="00785051" w:rsidRPr="006A0A4A" w:rsidTr="000223BE">
        <w:trPr>
          <w:trHeight w:val="493"/>
        </w:trPr>
        <w:tc>
          <w:tcPr>
            <w:cnfStyle w:val="001000000000" w:firstRow="0" w:lastRow="0" w:firstColumn="1" w:lastColumn="0" w:oddVBand="0" w:evenVBand="0" w:oddHBand="0" w:evenHBand="0" w:firstRowFirstColumn="0" w:firstRowLastColumn="0" w:lastRowFirstColumn="0" w:lastRowLastColumn="0"/>
            <w:tcW w:w="2876" w:type="pct"/>
            <w:tcBorders>
              <w:top w:val="nil"/>
              <w:bottom w:val="nil"/>
            </w:tcBorders>
            <w:vAlign w:val="center"/>
          </w:tcPr>
          <w:p w:rsidR="00785051" w:rsidRPr="00785051" w:rsidRDefault="00785051" w:rsidP="000223BE">
            <w:pPr>
              <w:pStyle w:val="PwCNormal"/>
              <w:keepNext/>
              <w:keepLines/>
              <w:numPr>
                <w:ilvl w:val="0"/>
                <w:numId w:val="0"/>
              </w:numPr>
              <w:spacing w:before="0" w:after="0"/>
              <w:rPr>
                <w:rFonts w:asciiTheme="minorHAnsi" w:hAnsiTheme="minorHAnsi" w:cstheme="minorHAnsi"/>
                <w:b w:val="0"/>
                <w:sz w:val="16"/>
                <w:szCs w:val="16"/>
              </w:rPr>
            </w:pPr>
            <w:r w:rsidRPr="00785051">
              <w:rPr>
                <w:rFonts w:asciiTheme="minorHAnsi" w:hAnsiTheme="minorHAnsi" w:cstheme="minorHAnsi"/>
                <w:b w:val="0"/>
                <w:sz w:val="16"/>
                <w:szCs w:val="16"/>
              </w:rPr>
              <w:t>Loss of Earnings Capacity Benefits</w:t>
            </w:r>
          </w:p>
        </w:tc>
        <w:tc>
          <w:tcPr>
            <w:tcW w:w="1062" w:type="pct"/>
            <w:tcBorders>
              <w:top w:val="nil"/>
              <w:bottom w:val="nil"/>
            </w:tcBorders>
            <w:vAlign w:val="center"/>
          </w:tcPr>
          <w:p w:rsidR="00785051" w:rsidRPr="004570CF" w:rsidRDefault="00785051" w:rsidP="000223BE">
            <w:pPr>
              <w:pStyle w:val="PwCNormal"/>
              <w:keepNext/>
              <w:keepLines/>
              <w:numPr>
                <w:ilvl w:val="0"/>
                <w:numId w:val="0"/>
              </w:num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4570CF">
              <w:rPr>
                <w:rFonts w:asciiTheme="minorHAnsi" w:hAnsiTheme="minorHAnsi" w:cstheme="minorHAnsi"/>
                <w:sz w:val="16"/>
                <w:szCs w:val="16"/>
              </w:rPr>
              <w:t>$3.2m</w:t>
            </w:r>
          </w:p>
        </w:tc>
        <w:tc>
          <w:tcPr>
            <w:tcW w:w="1062" w:type="pct"/>
            <w:tcBorders>
              <w:top w:val="nil"/>
              <w:bottom w:val="nil"/>
            </w:tcBorders>
            <w:vAlign w:val="center"/>
          </w:tcPr>
          <w:p w:rsidR="00785051" w:rsidRPr="004570CF" w:rsidRDefault="00785051" w:rsidP="000223BE">
            <w:pPr>
              <w:pStyle w:val="PwCNormal"/>
              <w:keepNext/>
              <w:keepLines/>
              <w:numPr>
                <w:ilvl w:val="0"/>
                <w:numId w:val="0"/>
              </w:num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4570CF">
              <w:rPr>
                <w:rFonts w:asciiTheme="minorHAnsi" w:hAnsiTheme="minorHAnsi" w:cstheme="minorHAnsi"/>
                <w:sz w:val="16"/>
                <w:szCs w:val="16"/>
              </w:rPr>
              <w:t>$31.3m</w:t>
            </w:r>
          </w:p>
        </w:tc>
      </w:tr>
      <w:tr w:rsidR="00785051" w:rsidRPr="006A0A4A" w:rsidTr="000223BE">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876" w:type="pct"/>
            <w:tcBorders>
              <w:top w:val="nil"/>
            </w:tcBorders>
            <w:vAlign w:val="center"/>
          </w:tcPr>
          <w:p w:rsidR="00785051" w:rsidRPr="00785051" w:rsidRDefault="00785051" w:rsidP="000223BE">
            <w:pPr>
              <w:pStyle w:val="PwCNormal"/>
              <w:keepNext/>
              <w:keepLines/>
              <w:numPr>
                <w:ilvl w:val="0"/>
                <w:numId w:val="0"/>
              </w:numPr>
              <w:spacing w:before="0" w:after="0"/>
              <w:rPr>
                <w:rFonts w:asciiTheme="minorHAnsi" w:hAnsiTheme="minorHAnsi" w:cstheme="minorHAnsi"/>
                <w:b w:val="0"/>
                <w:sz w:val="16"/>
                <w:szCs w:val="16"/>
              </w:rPr>
            </w:pPr>
            <w:r w:rsidRPr="00785051">
              <w:rPr>
                <w:rFonts w:asciiTheme="minorHAnsi" w:hAnsiTheme="minorHAnsi" w:cstheme="minorHAnsi"/>
                <w:b w:val="0"/>
                <w:sz w:val="16"/>
                <w:szCs w:val="16"/>
              </w:rPr>
              <w:t>Common Law Damages</w:t>
            </w:r>
          </w:p>
        </w:tc>
        <w:tc>
          <w:tcPr>
            <w:tcW w:w="1062" w:type="pct"/>
            <w:tcBorders>
              <w:top w:val="nil"/>
            </w:tcBorders>
            <w:vAlign w:val="center"/>
          </w:tcPr>
          <w:p w:rsidR="00785051" w:rsidRPr="004570CF" w:rsidRDefault="00785051" w:rsidP="000223BE">
            <w:pPr>
              <w:pStyle w:val="PwCNormal"/>
              <w:keepNext/>
              <w:keepLines/>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16"/>
                <w:szCs w:val="16"/>
              </w:rPr>
            </w:pPr>
            <w:r w:rsidRPr="004570CF">
              <w:rPr>
                <w:rFonts w:asciiTheme="minorHAnsi" w:hAnsiTheme="minorHAnsi" w:cstheme="minorHAnsi"/>
                <w:bCs/>
                <w:sz w:val="16"/>
                <w:szCs w:val="16"/>
              </w:rPr>
              <w:t>$3.9m</w:t>
            </w:r>
          </w:p>
        </w:tc>
        <w:tc>
          <w:tcPr>
            <w:tcW w:w="1062" w:type="pct"/>
            <w:tcBorders>
              <w:top w:val="nil"/>
            </w:tcBorders>
            <w:vAlign w:val="center"/>
          </w:tcPr>
          <w:p w:rsidR="00785051" w:rsidRPr="004570CF" w:rsidRDefault="00785051" w:rsidP="000223BE">
            <w:pPr>
              <w:pStyle w:val="PwCNormal"/>
              <w:keepNext/>
              <w:keepLines/>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16"/>
                <w:szCs w:val="16"/>
              </w:rPr>
            </w:pPr>
            <w:r w:rsidRPr="004570CF">
              <w:rPr>
                <w:rFonts w:asciiTheme="minorHAnsi" w:hAnsiTheme="minorHAnsi" w:cstheme="minorHAnsi"/>
                <w:bCs/>
                <w:sz w:val="16"/>
                <w:szCs w:val="16"/>
              </w:rPr>
              <w:t>$20.7m</w:t>
            </w:r>
          </w:p>
        </w:tc>
      </w:tr>
      <w:tr w:rsidR="00785051" w:rsidRPr="006A0A4A" w:rsidTr="000223BE">
        <w:trPr>
          <w:trHeight w:val="493"/>
        </w:trPr>
        <w:tc>
          <w:tcPr>
            <w:cnfStyle w:val="001000000000" w:firstRow="0" w:lastRow="0" w:firstColumn="1" w:lastColumn="0" w:oddVBand="0" w:evenVBand="0" w:oddHBand="0" w:evenHBand="0" w:firstRowFirstColumn="0" w:firstRowLastColumn="0" w:lastRowFirstColumn="0" w:lastRowLastColumn="0"/>
            <w:tcW w:w="2876" w:type="pct"/>
            <w:tcBorders>
              <w:top w:val="single" w:sz="8" w:space="0" w:color="A32020" w:themeColor="accent1"/>
              <w:bottom w:val="single" w:sz="8" w:space="0" w:color="A32020" w:themeColor="accent1"/>
            </w:tcBorders>
            <w:vAlign w:val="center"/>
          </w:tcPr>
          <w:p w:rsidR="00785051" w:rsidRPr="004570CF" w:rsidRDefault="00785051" w:rsidP="000223BE">
            <w:pPr>
              <w:pStyle w:val="PwCNormal"/>
              <w:keepNext/>
              <w:keepLines/>
              <w:numPr>
                <w:ilvl w:val="0"/>
                <w:numId w:val="0"/>
              </w:numPr>
              <w:spacing w:before="0" w:after="0"/>
              <w:rPr>
                <w:rFonts w:asciiTheme="minorHAnsi" w:hAnsiTheme="minorHAnsi" w:cstheme="minorHAnsi"/>
                <w:sz w:val="16"/>
                <w:szCs w:val="16"/>
              </w:rPr>
            </w:pPr>
            <w:r w:rsidRPr="004570CF">
              <w:rPr>
                <w:rFonts w:asciiTheme="minorHAnsi" w:hAnsiTheme="minorHAnsi" w:cstheme="minorHAnsi"/>
                <w:sz w:val="16"/>
                <w:szCs w:val="16"/>
              </w:rPr>
              <w:t>TOTAL</w:t>
            </w:r>
          </w:p>
        </w:tc>
        <w:tc>
          <w:tcPr>
            <w:tcW w:w="1062" w:type="pct"/>
            <w:tcBorders>
              <w:top w:val="single" w:sz="8" w:space="0" w:color="A32020" w:themeColor="accent1"/>
              <w:bottom w:val="single" w:sz="8" w:space="0" w:color="A32020" w:themeColor="accent1"/>
            </w:tcBorders>
            <w:vAlign w:val="center"/>
          </w:tcPr>
          <w:p w:rsidR="00785051" w:rsidRPr="00566D61" w:rsidRDefault="00785051" w:rsidP="000223BE">
            <w:pPr>
              <w:pStyle w:val="PwCNormal"/>
              <w:keepNext/>
              <w:keepLines/>
              <w:numPr>
                <w:ilvl w:val="0"/>
                <w:numId w:val="0"/>
              </w:num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566D61">
              <w:rPr>
                <w:rFonts w:asciiTheme="minorHAnsi" w:hAnsiTheme="minorHAnsi" w:cstheme="minorHAnsi"/>
                <w:b/>
                <w:sz w:val="16"/>
                <w:szCs w:val="16"/>
              </w:rPr>
              <w:t>$11.4m</w:t>
            </w:r>
          </w:p>
        </w:tc>
        <w:tc>
          <w:tcPr>
            <w:tcW w:w="1062" w:type="pct"/>
            <w:tcBorders>
              <w:top w:val="single" w:sz="8" w:space="0" w:color="A32020" w:themeColor="accent1"/>
              <w:bottom w:val="single" w:sz="8" w:space="0" w:color="A32020" w:themeColor="accent1"/>
            </w:tcBorders>
            <w:vAlign w:val="center"/>
          </w:tcPr>
          <w:p w:rsidR="00785051" w:rsidRPr="00566D61" w:rsidRDefault="00785051" w:rsidP="000223BE">
            <w:pPr>
              <w:pStyle w:val="PwCNormal"/>
              <w:keepNext/>
              <w:keepLines/>
              <w:numPr>
                <w:ilvl w:val="0"/>
                <w:numId w:val="0"/>
              </w:num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566D61">
              <w:rPr>
                <w:rFonts w:asciiTheme="minorHAnsi" w:hAnsiTheme="minorHAnsi" w:cstheme="minorHAnsi"/>
                <w:b/>
                <w:sz w:val="16"/>
                <w:szCs w:val="16"/>
              </w:rPr>
              <w:t>$67.</w:t>
            </w:r>
            <w:r>
              <w:rPr>
                <w:rFonts w:asciiTheme="minorHAnsi" w:hAnsiTheme="minorHAnsi" w:cstheme="minorHAnsi"/>
                <w:b/>
                <w:sz w:val="16"/>
                <w:szCs w:val="16"/>
              </w:rPr>
              <w:t>5</w:t>
            </w:r>
            <w:r w:rsidRPr="00566D61">
              <w:rPr>
                <w:rFonts w:asciiTheme="minorHAnsi" w:hAnsiTheme="minorHAnsi" w:cstheme="minorHAnsi"/>
                <w:b/>
                <w:sz w:val="16"/>
                <w:szCs w:val="16"/>
              </w:rPr>
              <w:t>m</w:t>
            </w:r>
          </w:p>
        </w:tc>
      </w:tr>
    </w:tbl>
    <w:p w:rsidR="00A03909" w:rsidRDefault="00A03909" w:rsidP="0098018E">
      <w:pPr>
        <w:pStyle w:val="PwCNormal"/>
        <w:numPr>
          <w:ilvl w:val="0"/>
          <w:numId w:val="0"/>
        </w:numPr>
      </w:pPr>
      <w:r w:rsidRPr="00566D61">
        <w:rPr>
          <w:color w:val="A32020" w:themeColor="text2"/>
          <w:sz w:val="16"/>
        </w:rPr>
        <w:t>Source: PwC analysis of detailed TAC data</w:t>
      </w:r>
    </w:p>
    <w:p w:rsidR="008124F7" w:rsidRDefault="008124F7" w:rsidP="008124F7">
      <w:pPr>
        <w:pStyle w:val="Minorheading"/>
      </w:pPr>
      <w:r>
        <w:t>Post-GMD cost and liability calculations</w:t>
      </w:r>
    </w:p>
    <w:p w:rsidR="0056414E" w:rsidRDefault="00457C8A" w:rsidP="00DC4F48">
      <w:pPr>
        <w:pStyle w:val="PwCNormal"/>
        <w:numPr>
          <w:ilvl w:val="0"/>
          <w:numId w:val="0"/>
        </w:numPr>
      </w:pPr>
      <w:r>
        <w:t xml:space="preserve">The </w:t>
      </w:r>
      <w:r w:rsidR="008124F7">
        <w:t xml:space="preserve">TAC estimates that the GMD is likely to restore 80 per cent of the number of claimants with multiple spinal fractures to the pre-Serwylo state. To estimate the </w:t>
      </w:r>
      <w:r w:rsidR="008C767F">
        <w:t xml:space="preserve">cost and liability </w:t>
      </w:r>
      <w:r>
        <w:t>saving to the scheme</w:t>
      </w:r>
      <w:r w:rsidR="008124F7">
        <w:t xml:space="preserve">, it is necessary to use a weighted average of the percentage of claimants affected for each type of additional compensation entitlement. </w:t>
      </w:r>
      <w:r w:rsidR="006D1AC9">
        <w:t xml:space="preserve">As shown in </w:t>
      </w:r>
      <w:r w:rsidR="008124F7">
        <w:fldChar w:fldCharType="begin"/>
      </w:r>
      <w:r w:rsidR="008124F7">
        <w:instrText xml:space="preserve"> REF _Ref388535037 \h </w:instrText>
      </w:r>
      <w:r w:rsidR="008124F7">
        <w:fldChar w:fldCharType="separate"/>
      </w:r>
      <w:r w:rsidR="00542564">
        <w:t xml:space="preserve">Table </w:t>
      </w:r>
      <w:r w:rsidR="00542564">
        <w:rPr>
          <w:noProof/>
        </w:rPr>
        <w:t>20</w:t>
      </w:r>
      <w:r w:rsidR="008124F7">
        <w:fldChar w:fldCharType="end"/>
      </w:r>
      <w:r w:rsidR="008C767F">
        <w:t xml:space="preserve"> and</w:t>
      </w:r>
      <w:r w:rsidR="00F56BBC">
        <w:t xml:space="preserve"> </w:t>
      </w:r>
      <w:r w:rsidR="00F56BBC">
        <w:fldChar w:fldCharType="begin"/>
      </w:r>
      <w:r w:rsidR="00F56BBC">
        <w:instrText xml:space="preserve"> REF _Ref389226842 \h </w:instrText>
      </w:r>
      <w:r w:rsidR="00F56BBC">
        <w:fldChar w:fldCharType="separate"/>
      </w:r>
      <w:r w:rsidR="00542564">
        <w:t xml:space="preserve">Table </w:t>
      </w:r>
      <w:r w:rsidR="00542564">
        <w:rPr>
          <w:noProof/>
        </w:rPr>
        <w:t>21</w:t>
      </w:r>
      <w:r w:rsidR="00F56BBC">
        <w:fldChar w:fldCharType="end"/>
      </w:r>
      <w:r w:rsidR="006D1AC9">
        <w:t xml:space="preserve">, the actual cost saving of the GMD as a proportion of the post-Serwylo impact is 74.5 per cent. This is lower than the 80 per cent of claimants affected as it takes into account changes in </w:t>
      </w:r>
      <w:r w:rsidR="007531EF">
        <w:t xml:space="preserve">common law </w:t>
      </w:r>
      <w:r w:rsidR="006D1AC9">
        <w:t>and LOEC</w:t>
      </w:r>
      <w:r w:rsidR="007531EF">
        <w:t xml:space="preserve"> payments</w:t>
      </w:r>
      <w:r w:rsidR="006D1AC9">
        <w:t xml:space="preserve">, which </w:t>
      </w:r>
      <w:r w:rsidR="007531EF">
        <w:t>are a subset of impairment claims and expected to be less sensitive to the GMD changes.</w:t>
      </w:r>
      <w:r w:rsidR="006D1AC9">
        <w:t xml:space="preserve"> </w:t>
      </w:r>
    </w:p>
    <w:p w:rsidR="008124F7" w:rsidRDefault="008124F7" w:rsidP="0007678D">
      <w:pPr>
        <w:pStyle w:val="Caption"/>
      </w:pPr>
      <w:bookmarkStart w:id="135" w:name="_Ref388535037"/>
      <w:bookmarkStart w:id="136" w:name="_Ref391319849"/>
      <w:r>
        <w:lastRenderedPageBreak/>
        <w:t xml:space="preserve">Table </w:t>
      </w:r>
      <w:fldSimple w:instr=" SEQ Table \* ARABIC ">
        <w:r w:rsidR="00542564">
          <w:rPr>
            <w:noProof/>
          </w:rPr>
          <w:t>20</w:t>
        </w:r>
      </w:fldSimple>
      <w:bookmarkEnd w:id="135"/>
      <w:r w:rsidR="008C767F">
        <w:t>: Scheme cost impact following GMD implementation</w:t>
      </w:r>
      <w:bookmarkEnd w:id="136"/>
    </w:p>
    <w:tbl>
      <w:tblPr>
        <w:tblStyle w:val="LightList-Accent1"/>
        <w:tblW w:w="5000" w:type="pct"/>
        <w:tblLook w:val="04A0" w:firstRow="1" w:lastRow="0" w:firstColumn="1" w:lastColumn="0" w:noHBand="0" w:noVBand="1"/>
      </w:tblPr>
      <w:tblGrid>
        <w:gridCol w:w="3409"/>
        <w:gridCol w:w="1259"/>
        <w:gridCol w:w="1257"/>
        <w:gridCol w:w="1257"/>
        <w:gridCol w:w="1255"/>
      </w:tblGrid>
      <w:tr w:rsidR="00F56BBC" w:rsidRPr="006A0A4A" w:rsidTr="000223BE">
        <w:trPr>
          <w:cnfStyle w:val="100000000000" w:firstRow="1" w:lastRow="0" w:firstColumn="0" w:lastColumn="0" w:oddVBand="0" w:evenVBand="0" w:oddHBand="0"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020" w:type="pct"/>
            <w:tcBorders>
              <w:bottom w:val="single" w:sz="8" w:space="0" w:color="A32020" w:themeColor="accent1"/>
            </w:tcBorders>
            <w:vAlign w:val="center"/>
          </w:tcPr>
          <w:p w:rsidR="00F56BBC" w:rsidRPr="00566D61" w:rsidRDefault="00F56BBC" w:rsidP="000223BE">
            <w:pPr>
              <w:pStyle w:val="PwCNormal"/>
              <w:keepNext/>
              <w:keepLines/>
              <w:numPr>
                <w:ilvl w:val="0"/>
                <w:numId w:val="0"/>
              </w:numPr>
              <w:spacing w:before="60" w:after="60"/>
              <w:rPr>
                <w:rFonts w:asciiTheme="minorHAnsi" w:hAnsiTheme="minorHAnsi" w:cstheme="minorHAnsi"/>
                <w:sz w:val="16"/>
                <w:szCs w:val="16"/>
              </w:rPr>
            </w:pPr>
            <w:r>
              <w:rPr>
                <w:rFonts w:asciiTheme="minorHAnsi" w:hAnsiTheme="minorHAnsi" w:cstheme="minorHAnsi"/>
                <w:sz w:val="16"/>
                <w:szCs w:val="16"/>
              </w:rPr>
              <w:t>Type of compensation</w:t>
            </w:r>
          </w:p>
        </w:tc>
        <w:tc>
          <w:tcPr>
            <w:tcW w:w="746" w:type="pct"/>
            <w:tcBorders>
              <w:bottom w:val="single" w:sz="8" w:space="0" w:color="A32020" w:themeColor="accent1"/>
            </w:tcBorders>
            <w:vAlign w:val="center"/>
          </w:tcPr>
          <w:p w:rsidR="00F56BBC" w:rsidRPr="00F56BBC" w:rsidRDefault="00F56BBC" w:rsidP="000223BE">
            <w:pPr>
              <w:pStyle w:val="PwCNormal"/>
              <w:keepNext/>
              <w:keepLines/>
              <w:numPr>
                <w:ilvl w:val="0"/>
                <w:numId w:val="0"/>
              </w:num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56BBC">
              <w:rPr>
                <w:rFonts w:asciiTheme="minorHAnsi" w:hAnsiTheme="minorHAnsi" w:cstheme="minorHAnsi"/>
                <w:sz w:val="16"/>
                <w:szCs w:val="16"/>
              </w:rPr>
              <w:t>Post-Serwylo impact per new accident year</w:t>
            </w:r>
          </w:p>
        </w:tc>
        <w:tc>
          <w:tcPr>
            <w:tcW w:w="745" w:type="pct"/>
            <w:tcBorders>
              <w:bottom w:val="single" w:sz="8" w:space="0" w:color="A32020" w:themeColor="accent1"/>
            </w:tcBorders>
            <w:vAlign w:val="center"/>
          </w:tcPr>
          <w:p w:rsidR="00F56BBC" w:rsidRPr="00F56BBC" w:rsidRDefault="00F56BBC" w:rsidP="000223BE">
            <w:pPr>
              <w:pStyle w:val="PwCNormal"/>
              <w:keepNext/>
              <w:keepLines/>
              <w:numPr>
                <w:ilvl w:val="0"/>
                <w:numId w:val="0"/>
              </w:num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56BBC">
              <w:rPr>
                <w:rFonts w:asciiTheme="minorHAnsi" w:hAnsiTheme="minorHAnsi" w:cstheme="minorHAnsi"/>
                <w:sz w:val="16"/>
                <w:szCs w:val="16"/>
              </w:rPr>
              <w:t>Estimated impact of GMD (%)</w:t>
            </w:r>
          </w:p>
        </w:tc>
        <w:tc>
          <w:tcPr>
            <w:tcW w:w="745" w:type="pct"/>
            <w:tcBorders>
              <w:bottom w:val="single" w:sz="8" w:space="0" w:color="A32020" w:themeColor="accent1"/>
            </w:tcBorders>
            <w:vAlign w:val="center"/>
          </w:tcPr>
          <w:p w:rsidR="00F56BBC" w:rsidRPr="00F56BBC" w:rsidRDefault="00F56BBC" w:rsidP="000223BE">
            <w:pPr>
              <w:pStyle w:val="PwCNormal"/>
              <w:keepNext/>
              <w:keepLines/>
              <w:numPr>
                <w:ilvl w:val="0"/>
                <w:numId w:val="0"/>
              </w:num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56BBC">
              <w:rPr>
                <w:rFonts w:asciiTheme="minorHAnsi" w:hAnsiTheme="minorHAnsi" w:cstheme="minorHAnsi"/>
                <w:sz w:val="16"/>
                <w:szCs w:val="16"/>
              </w:rPr>
              <w:t>Estimated impact of GMD ($)</w:t>
            </w:r>
          </w:p>
        </w:tc>
        <w:tc>
          <w:tcPr>
            <w:tcW w:w="744" w:type="pct"/>
            <w:tcBorders>
              <w:bottom w:val="single" w:sz="8" w:space="0" w:color="A32020" w:themeColor="accent1"/>
            </w:tcBorders>
            <w:vAlign w:val="center"/>
          </w:tcPr>
          <w:p w:rsidR="00F56BBC" w:rsidRPr="00F56BBC" w:rsidRDefault="00F56BBC" w:rsidP="000223BE">
            <w:pPr>
              <w:pStyle w:val="PwCNormal"/>
              <w:keepNext/>
              <w:keepLines/>
              <w:numPr>
                <w:ilvl w:val="0"/>
                <w:numId w:val="0"/>
              </w:num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56BBC">
              <w:rPr>
                <w:rFonts w:asciiTheme="minorHAnsi" w:hAnsiTheme="minorHAnsi" w:cstheme="minorHAnsi"/>
                <w:sz w:val="16"/>
                <w:szCs w:val="16"/>
              </w:rPr>
              <w:t>Residual post-Serwylo impact</w:t>
            </w:r>
          </w:p>
        </w:tc>
      </w:tr>
      <w:tr w:rsidR="00F56BBC" w:rsidRPr="006A0A4A" w:rsidTr="000223BE">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020" w:type="pct"/>
            <w:tcBorders>
              <w:bottom w:val="nil"/>
            </w:tcBorders>
            <w:vAlign w:val="center"/>
          </w:tcPr>
          <w:p w:rsidR="00F56BBC" w:rsidRPr="00785051" w:rsidRDefault="00F56BBC" w:rsidP="000223BE">
            <w:pPr>
              <w:pStyle w:val="PwCNormal"/>
              <w:keepNext/>
              <w:keepLines/>
              <w:numPr>
                <w:ilvl w:val="0"/>
                <w:numId w:val="0"/>
              </w:numPr>
              <w:spacing w:before="0" w:after="0"/>
              <w:rPr>
                <w:rFonts w:asciiTheme="minorHAnsi" w:hAnsiTheme="minorHAnsi" w:cstheme="minorHAnsi"/>
                <w:b w:val="0"/>
                <w:sz w:val="16"/>
                <w:szCs w:val="16"/>
              </w:rPr>
            </w:pPr>
            <w:r w:rsidRPr="00785051">
              <w:rPr>
                <w:rFonts w:asciiTheme="minorHAnsi" w:hAnsiTheme="minorHAnsi" w:cstheme="minorHAnsi"/>
                <w:b w:val="0"/>
                <w:sz w:val="16"/>
                <w:szCs w:val="16"/>
              </w:rPr>
              <w:t>Impairment Lump Sum Benefits</w:t>
            </w:r>
          </w:p>
        </w:tc>
        <w:tc>
          <w:tcPr>
            <w:tcW w:w="746" w:type="pct"/>
            <w:tcBorders>
              <w:bottom w:val="nil"/>
            </w:tcBorders>
            <w:vAlign w:val="center"/>
          </w:tcPr>
          <w:p w:rsidR="00F56BBC" w:rsidRPr="00566D61" w:rsidRDefault="00F56BBC" w:rsidP="000223BE">
            <w:pPr>
              <w:pStyle w:val="PwCNormal"/>
              <w:keepNext/>
              <w:keepLines/>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566D61">
              <w:rPr>
                <w:rFonts w:asciiTheme="minorHAnsi" w:hAnsiTheme="minorHAnsi" w:cstheme="minorHAnsi"/>
                <w:sz w:val="16"/>
                <w:szCs w:val="16"/>
              </w:rPr>
              <w:t>$4.3m</w:t>
            </w:r>
          </w:p>
        </w:tc>
        <w:tc>
          <w:tcPr>
            <w:tcW w:w="745" w:type="pct"/>
            <w:tcBorders>
              <w:bottom w:val="nil"/>
            </w:tcBorders>
            <w:vAlign w:val="center"/>
          </w:tcPr>
          <w:p w:rsidR="00F56BBC" w:rsidRPr="00566D61" w:rsidRDefault="00F56BBC" w:rsidP="000223BE">
            <w:pPr>
              <w:pStyle w:val="PwCNormal"/>
              <w:keepNext/>
              <w:keepLines/>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Pr>
                <w:rFonts w:asciiTheme="minorHAnsi" w:hAnsiTheme="minorHAnsi" w:cstheme="minorHAnsi"/>
                <w:sz w:val="16"/>
                <w:szCs w:val="16"/>
              </w:rPr>
              <w:t>-80%</w:t>
            </w:r>
          </w:p>
        </w:tc>
        <w:tc>
          <w:tcPr>
            <w:tcW w:w="745" w:type="pct"/>
            <w:tcBorders>
              <w:bottom w:val="nil"/>
            </w:tcBorders>
            <w:vAlign w:val="center"/>
          </w:tcPr>
          <w:p w:rsidR="00F56BBC" w:rsidRPr="00566D61" w:rsidRDefault="00F56BBC" w:rsidP="000223BE">
            <w:pPr>
              <w:pStyle w:val="PwCNormal"/>
              <w:keepNext/>
              <w:keepLines/>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Pr>
                <w:rFonts w:asciiTheme="minorHAnsi" w:hAnsiTheme="minorHAnsi" w:cstheme="minorHAnsi"/>
                <w:sz w:val="16"/>
                <w:szCs w:val="16"/>
              </w:rPr>
              <w:t>-$3.4m</w:t>
            </w:r>
          </w:p>
        </w:tc>
        <w:tc>
          <w:tcPr>
            <w:tcW w:w="744" w:type="pct"/>
            <w:tcBorders>
              <w:bottom w:val="nil"/>
            </w:tcBorders>
            <w:vAlign w:val="center"/>
          </w:tcPr>
          <w:p w:rsidR="00F56BBC" w:rsidRDefault="00F56BBC" w:rsidP="000223BE">
            <w:pPr>
              <w:pStyle w:val="PwCNormal"/>
              <w:keepNext/>
              <w:keepLines/>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Pr>
                <w:rFonts w:asciiTheme="minorHAnsi" w:hAnsiTheme="minorHAnsi" w:cstheme="minorHAnsi"/>
                <w:sz w:val="16"/>
                <w:szCs w:val="16"/>
              </w:rPr>
              <w:t>$0.9m</w:t>
            </w:r>
          </w:p>
        </w:tc>
      </w:tr>
      <w:tr w:rsidR="00F56BBC" w:rsidRPr="006A0A4A" w:rsidTr="000223BE">
        <w:trPr>
          <w:trHeight w:val="493"/>
        </w:trPr>
        <w:tc>
          <w:tcPr>
            <w:cnfStyle w:val="001000000000" w:firstRow="0" w:lastRow="0" w:firstColumn="1" w:lastColumn="0" w:oddVBand="0" w:evenVBand="0" w:oddHBand="0" w:evenHBand="0" w:firstRowFirstColumn="0" w:firstRowLastColumn="0" w:lastRowFirstColumn="0" w:lastRowLastColumn="0"/>
            <w:tcW w:w="2020" w:type="pct"/>
            <w:tcBorders>
              <w:top w:val="nil"/>
              <w:bottom w:val="nil"/>
            </w:tcBorders>
            <w:vAlign w:val="center"/>
          </w:tcPr>
          <w:p w:rsidR="00F56BBC" w:rsidRPr="00785051" w:rsidRDefault="00F56BBC" w:rsidP="000223BE">
            <w:pPr>
              <w:pStyle w:val="PwCNormal"/>
              <w:keepNext/>
              <w:keepLines/>
              <w:numPr>
                <w:ilvl w:val="0"/>
                <w:numId w:val="0"/>
              </w:numPr>
              <w:spacing w:before="0" w:after="0"/>
              <w:rPr>
                <w:rFonts w:asciiTheme="minorHAnsi" w:hAnsiTheme="minorHAnsi" w:cstheme="minorHAnsi"/>
                <w:b w:val="0"/>
                <w:sz w:val="16"/>
                <w:szCs w:val="16"/>
              </w:rPr>
            </w:pPr>
            <w:r w:rsidRPr="00785051">
              <w:rPr>
                <w:rFonts w:asciiTheme="minorHAnsi" w:hAnsiTheme="minorHAnsi" w:cstheme="minorHAnsi"/>
                <w:b w:val="0"/>
                <w:sz w:val="16"/>
                <w:szCs w:val="16"/>
              </w:rPr>
              <w:t>Loss of Earnings Capacity Benefits</w:t>
            </w:r>
          </w:p>
        </w:tc>
        <w:tc>
          <w:tcPr>
            <w:tcW w:w="746" w:type="pct"/>
            <w:tcBorders>
              <w:top w:val="nil"/>
              <w:bottom w:val="nil"/>
            </w:tcBorders>
            <w:vAlign w:val="center"/>
          </w:tcPr>
          <w:p w:rsidR="00F56BBC" w:rsidRPr="00566D61" w:rsidRDefault="00F56BBC" w:rsidP="000223BE">
            <w:pPr>
              <w:pStyle w:val="PwCNormal"/>
              <w:keepNext/>
              <w:keepLines/>
              <w:numPr>
                <w:ilvl w:val="0"/>
                <w:numId w:val="0"/>
              </w:num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66D61">
              <w:rPr>
                <w:rFonts w:asciiTheme="minorHAnsi" w:hAnsiTheme="minorHAnsi" w:cstheme="minorHAnsi"/>
                <w:sz w:val="16"/>
                <w:szCs w:val="16"/>
              </w:rPr>
              <w:t>$3.2m</w:t>
            </w:r>
          </w:p>
        </w:tc>
        <w:tc>
          <w:tcPr>
            <w:tcW w:w="745" w:type="pct"/>
            <w:tcBorders>
              <w:top w:val="nil"/>
              <w:bottom w:val="nil"/>
            </w:tcBorders>
            <w:vAlign w:val="center"/>
          </w:tcPr>
          <w:p w:rsidR="00F56BBC" w:rsidRPr="00566D61" w:rsidRDefault="00F56BBC" w:rsidP="000223BE">
            <w:pPr>
              <w:pStyle w:val="PwCNormal"/>
              <w:keepNext/>
              <w:keepLines/>
              <w:numPr>
                <w:ilvl w:val="0"/>
                <w:numId w:val="0"/>
              </w:num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Pr>
                <w:rFonts w:asciiTheme="minorHAnsi" w:hAnsiTheme="minorHAnsi" w:cstheme="minorHAnsi"/>
                <w:sz w:val="16"/>
                <w:szCs w:val="16"/>
              </w:rPr>
              <w:t>-78%</w:t>
            </w:r>
          </w:p>
        </w:tc>
        <w:tc>
          <w:tcPr>
            <w:tcW w:w="745" w:type="pct"/>
            <w:tcBorders>
              <w:top w:val="nil"/>
              <w:bottom w:val="nil"/>
            </w:tcBorders>
            <w:vAlign w:val="center"/>
          </w:tcPr>
          <w:p w:rsidR="00F56BBC" w:rsidRPr="00566D61" w:rsidRDefault="00F56BBC" w:rsidP="000223BE">
            <w:pPr>
              <w:pStyle w:val="PwCNormal"/>
              <w:keepNext/>
              <w:keepLines/>
              <w:numPr>
                <w:ilvl w:val="0"/>
                <w:numId w:val="0"/>
              </w:num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Pr>
                <w:rFonts w:asciiTheme="minorHAnsi" w:hAnsiTheme="minorHAnsi" w:cstheme="minorHAnsi"/>
                <w:sz w:val="16"/>
                <w:szCs w:val="16"/>
              </w:rPr>
              <w:t>-$2.5m</w:t>
            </w:r>
          </w:p>
        </w:tc>
        <w:tc>
          <w:tcPr>
            <w:tcW w:w="744" w:type="pct"/>
            <w:tcBorders>
              <w:top w:val="nil"/>
              <w:bottom w:val="nil"/>
            </w:tcBorders>
            <w:vAlign w:val="center"/>
          </w:tcPr>
          <w:p w:rsidR="00F56BBC" w:rsidRDefault="00F56BBC" w:rsidP="000223BE">
            <w:pPr>
              <w:pStyle w:val="PwCNormal"/>
              <w:keepNext/>
              <w:keepLines/>
              <w:numPr>
                <w:ilvl w:val="0"/>
                <w:numId w:val="0"/>
              </w:num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Pr>
                <w:rFonts w:asciiTheme="minorHAnsi" w:hAnsiTheme="minorHAnsi" w:cstheme="minorHAnsi"/>
                <w:sz w:val="16"/>
                <w:szCs w:val="16"/>
              </w:rPr>
              <w:t>$0.7m</w:t>
            </w:r>
          </w:p>
        </w:tc>
      </w:tr>
      <w:tr w:rsidR="00F56BBC" w:rsidRPr="006A0A4A" w:rsidTr="000223BE">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020" w:type="pct"/>
            <w:tcBorders>
              <w:top w:val="nil"/>
            </w:tcBorders>
            <w:vAlign w:val="center"/>
          </w:tcPr>
          <w:p w:rsidR="00F56BBC" w:rsidRPr="00785051" w:rsidRDefault="00F56BBC" w:rsidP="000223BE">
            <w:pPr>
              <w:pStyle w:val="PwCNormal"/>
              <w:keepNext/>
              <w:keepLines/>
              <w:numPr>
                <w:ilvl w:val="0"/>
                <w:numId w:val="0"/>
              </w:numPr>
              <w:spacing w:before="0" w:after="0"/>
              <w:rPr>
                <w:rFonts w:asciiTheme="minorHAnsi" w:hAnsiTheme="minorHAnsi" w:cstheme="minorHAnsi"/>
                <w:b w:val="0"/>
                <w:sz w:val="16"/>
                <w:szCs w:val="16"/>
              </w:rPr>
            </w:pPr>
            <w:r w:rsidRPr="00785051">
              <w:rPr>
                <w:rFonts w:asciiTheme="minorHAnsi" w:hAnsiTheme="minorHAnsi" w:cstheme="minorHAnsi"/>
                <w:b w:val="0"/>
                <w:sz w:val="16"/>
                <w:szCs w:val="16"/>
              </w:rPr>
              <w:t>Common Law Damages</w:t>
            </w:r>
          </w:p>
        </w:tc>
        <w:tc>
          <w:tcPr>
            <w:tcW w:w="746" w:type="pct"/>
            <w:tcBorders>
              <w:top w:val="nil"/>
            </w:tcBorders>
            <w:vAlign w:val="center"/>
          </w:tcPr>
          <w:p w:rsidR="00F56BBC" w:rsidRPr="00566D61" w:rsidRDefault="00F56BBC" w:rsidP="000223BE">
            <w:pPr>
              <w:pStyle w:val="PwCNormal"/>
              <w:keepNext/>
              <w:keepLines/>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566D61">
              <w:rPr>
                <w:rFonts w:asciiTheme="minorHAnsi" w:hAnsiTheme="minorHAnsi" w:cstheme="minorHAnsi"/>
                <w:sz w:val="16"/>
                <w:szCs w:val="16"/>
              </w:rPr>
              <w:t>$3.9m</w:t>
            </w:r>
          </w:p>
        </w:tc>
        <w:tc>
          <w:tcPr>
            <w:tcW w:w="745" w:type="pct"/>
            <w:tcBorders>
              <w:top w:val="nil"/>
            </w:tcBorders>
            <w:vAlign w:val="center"/>
          </w:tcPr>
          <w:p w:rsidR="00F56BBC" w:rsidRPr="00566D61" w:rsidRDefault="00F56BBC" w:rsidP="000223BE">
            <w:pPr>
              <w:pStyle w:val="PwCNormal"/>
              <w:keepNext/>
              <w:keepLines/>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Pr>
                <w:rFonts w:asciiTheme="minorHAnsi" w:hAnsiTheme="minorHAnsi" w:cstheme="minorHAnsi"/>
                <w:sz w:val="16"/>
                <w:szCs w:val="16"/>
              </w:rPr>
              <w:t>-65%</w:t>
            </w:r>
          </w:p>
        </w:tc>
        <w:tc>
          <w:tcPr>
            <w:tcW w:w="745" w:type="pct"/>
            <w:tcBorders>
              <w:top w:val="nil"/>
            </w:tcBorders>
            <w:vAlign w:val="center"/>
          </w:tcPr>
          <w:p w:rsidR="00F56BBC" w:rsidRPr="00566D61" w:rsidRDefault="00F56BBC" w:rsidP="000223BE">
            <w:pPr>
              <w:pStyle w:val="PwCNormal"/>
              <w:keepNext/>
              <w:keepLines/>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Pr>
                <w:rFonts w:asciiTheme="minorHAnsi" w:hAnsiTheme="minorHAnsi" w:cstheme="minorHAnsi"/>
                <w:sz w:val="16"/>
                <w:szCs w:val="16"/>
              </w:rPr>
              <w:t>-$2.</w:t>
            </w:r>
            <w:r w:rsidR="00364A6B">
              <w:rPr>
                <w:rFonts w:asciiTheme="minorHAnsi" w:hAnsiTheme="minorHAnsi" w:cstheme="minorHAnsi"/>
                <w:sz w:val="16"/>
                <w:szCs w:val="16"/>
              </w:rPr>
              <w:t>6</w:t>
            </w:r>
            <w:r>
              <w:rPr>
                <w:rFonts w:asciiTheme="minorHAnsi" w:hAnsiTheme="minorHAnsi" w:cstheme="minorHAnsi"/>
                <w:sz w:val="16"/>
                <w:szCs w:val="16"/>
              </w:rPr>
              <w:t>m</w:t>
            </w:r>
          </w:p>
        </w:tc>
        <w:tc>
          <w:tcPr>
            <w:tcW w:w="744" w:type="pct"/>
            <w:tcBorders>
              <w:top w:val="nil"/>
            </w:tcBorders>
            <w:vAlign w:val="center"/>
          </w:tcPr>
          <w:p w:rsidR="00F56BBC" w:rsidRDefault="00F56BBC" w:rsidP="000223BE">
            <w:pPr>
              <w:pStyle w:val="PwCNormal"/>
              <w:keepNext/>
              <w:keepLines/>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Pr>
                <w:rFonts w:asciiTheme="minorHAnsi" w:hAnsiTheme="minorHAnsi" w:cstheme="minorHAnsi"/>
                <w:sz w:val="16"/>
                <w:szCs w:val="16"/>
              </w:rPr>
              <w:t>$1.3m</w:t>
            </w:r>
          </w:p>
        </w:tc>
      </w:tr>
      <w:tr w:rsidR="00F56BBC" w:rsidRPr="006A0A4A" w:rsidTr="000223BE">
        <w:trPr>
          <w:trHeight w:val="493"/>
        </w:trPr>
        <w:tc>
          <w:tcPr>
            <w:cnfStyle w:val="001000000000" w:firstRow="0" w:lastRow="0" w:firstColumn="1" w:lastColumn="0" w:oddVBand="0" w:evenVBand="0" w:oddHBand="0" w:evenHBand="0" w:firstRowFirstColumn="0" w:firstRowLastColumn="0" w:lastRowFirstColumn="0" w:lastRowLastColumn="0"/>
            <w:tcW w:w="2020" w:type="pct"/>
            <w:tcBorders>
              <w:top w:val="single" w:sz="8" w:space="0" w:color="A32020" w:themeColor="accent1"/>
              <w:bottom w:val="single" w:sz="8" w:space="0" w:color="A32020" w:themeColor="accent1"/>
            </w:tcBorders>
            <w:vAlign w:val="center"/>
          </w:tcPr>
          <w:p w:rsidR="00F56BBC" w:rsidRPr="00566D61" w:rsidRDefault="00F56BBC" w:rsidP="000223BE">
            <w:pPr>
              <w:pStyle w:val="PwCNormal"/>
              <w:keepNext/>
              <w:keepLines/>
              <w:numPr>
                <w:ilvl w:val="0"/>
                <w:numId w:val="0"/>
              </w:numPr>
              <w:spacing w:before="0" w:after="0"/>
              <w:rPr>
                <w:rFonts w:asciiTheme="minorHAnsi" w:hAnsiTheme="minorHAnsi" w:cstheme="minorHAnsi"/>
                <w:b w:val="0"/>
                <w:sz w:val="16"/>
                <w:szCs w:val="16"/>
              </w:rPr>
            </w:pPr>
            <w:r>
              <w:rPr>
                <w:rFonts w:asciiTheme="minorHAnsi" w:hAnsiTheme="minorHAnsi" w:cstheme="minorHAnsi"/>
                <w:sz w:val="16"/>
                <w:szCs w:val="16"/>
              </w:rPr>
              <w:t>TOTAL</w:t>
            </w:r>
          </w:p>
        </w:tc>
        <w:tc>
          <w:tcPr>
            <w:tcW w:w="746" w:type="pct"/>
            <w:tcBorders>
              <w:top w:val="single" w:sz="8" w:space="0" w:color="A32020" w:themeColor="accent1"/>
              <w:bottom w:val="single" w:sz="8" w:space="0" w:color="A32020" w:themeColor="accent1"/>
            </w:tcBorders>
            <w:vAlign w:val="center"/>
          </w:tcPr>
          <w:p w:rsidR="00F56BBC" w:rsidRPr="00566D61" w:rsidRDefault="00F56BBC" w:rsidP="000223BE">
            <w:pPr>
              <w:pStyle w:val="PwCNormal"/>
              <w:keepNext/>
              <w:keepLines/>
              <w:numPr>
                <w:ilvl w:val="0"/>
                <w:numId w:val="0"/>
              </w:num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566D61">
              <w:rPr>
                <w:rFonts w:asciiTheme="minorHAnsi" w:hAnsiTheme="minorHAnsi" w:cstheme="minorHAnsi"/>
                <w:b/>
                <w:sz w:val="16"/>
                <w:szCs w:val="16"/>
              </w:rPr>
              <w:t>$11.4m</w:t>
            </w:r>
          </w:p>
        </w:tc>
        <w:tc>
          <w:tcPr>
            <w:tcW w:w="745" w:type="pct"/>
            <w:tcBorders>
              <w:top w:val="single" w:sz="8" w:space="0" w:color="A32020" w:themeColor="accent1"/>
              <w:bottom w:val="single" w:sz="8" w:space="0" w:color="A32020" w:themeColor="accent1"/>
            </w:tcBorders>
            <w:vAlign w:val="center"/>
          </w:tcPr>
          <w:p w:rsidR="00F56BBC" w:rsidRPr="008C767F" w:rsidRDefault="00F56BBC" w:rsidP="00E87F97">
            <w:pPr>
              <w:pStyle w:val="PwCNormal"/>
              <w:keepNext/>
              <w:keepLines/>
              <w:numPr>
                <w:ilvl w:val="0"/>
                <w:numId w:val="0"/>
              </w:num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8C767F">
              <w:rPr>
                <w:rFonts w:asciiTheme="minorHAnsi" w:hAnsiTheme="minorHAnsi" w:cstheme="minorHAnsi"/>
                <w:b/>
                <w:sz w:val="16"/>
                <w:szCs w:val="16"/>
              </w:rPr>
              <w:t>-7</w:t>
            </w:r>
            <w:r w:rsidR="00E87F97">
              <w:rPr>
                <w:rFonts w:asciiTheme="minorHAnsi" w:hAnsiTheme="minorHAnsi" w:cstheme="minorHAnsi"/>
                <w:b/>
                <w:sz w:val="16"/>
                <w:szCs w:val="16"/>
              </w:rPr>
              <w:t>4.5</w:t>
            </w:r>
            <w:r w:rsidRPr="008C767F">
              <w:rPr>
                <w:rFonts w:asciiTheme="minorHAnsi" w:hAnsiTheme="minorHAnsi" w:cstheme="minorHAnsi"/>
                <w:b/>
                <w:sz w:val="16"/>
                <w:szCs w:val="16"/>
              </w:rPr>
              <w:t>%</w:t>
            </w:r>
          </w:p>
        </w:tc>
        <w:tc>
          <w:tcPr>
            <w:tcW w:w="745" w:type="pct"/>
            <w:tcBorders>
              <w:top w:val="single" w:sz="8" w:space="0" w:color="A32020" w:themeColor="accent1"/>
              <w:bottom w:val="single" w:sz="8" w:space="0" w:color="A32020" w:themeColor="accent1"/>
            </w:tcBorders>
            <w:vAlign w:val="center"/>
          </w:tcPr>
          <w:p w:rsidR="00F56BBC" w:rsidRPr="00566D61" w:rsidRDefault="00F56BBC" w:rsidP="000223BE">
            <w:pPr>
              <w:pStyle w:val="PwCNormal"/>
              <w:keepNext/>
              <w:keepLines/>
              <w:numPr>
                <w:ilvl w:val="0"/>
                <w:numId w:val="0"/>
              </w:num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Pr>
                <w:rFonts w:asciiTheme="minorHAnsi" w:hAnsiTheme="minorHAnsi" w:cstheme="minorHAnsi"/>
                <w:b/>
                <w:sz w:val="16"/>
                <w:szCs w:val="16"/>
              </w:rPr>
              <w:t>-$8.5m</w:t>
            </w:r>
          </w:p>
        </w:tc>
        <w:tc>
          <w:tcPr>
            <w:tcW w:w="744" w:type="pct"/>
            <w:tcBorders>
              <w:top w:val="single" w:sz="8" w:space="0" w:color="A32020" w:themeColor="accent1"/>
              <w:bottom w:val="single" w:sz="8" w:space="0" w:color="A32020" w:themeColor="accent1"/>
            </w:tcBorders>
            <w:vAlign w:val="center"/>
          </w:tcPr>
          <w:p w:rsidR="00F56BBC" w:rsidRDefault="00F56BBC" w:rsidP="000223BE">
            <w:pPr>
              <w:pStyle w:val="PwCNormal"/>
              <w:keepNext/>
              <w:keepLines/>
              <w:numPr>
                <w:ilvl w:val="0"/>
                <w:numId w:val="0"/>
              </w:num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Pr>
                <w:rFonts w:asciiTheme="minorHAnsi" w:hAnsiTheme="minorHAnsi" w:cstheme="minorHAnsi"/>
                <w:b/>
                <w:sz w:val="16"/>
                <w:szCs w:val="16"/>
              </w:rPr>
              <w:t>$2.9m</w:t>
            </w:r>
          </w:p>
        </w:tc>
      </w:tr>
    </w:tbl>
    <w:p w:rsidR="002A3CD0" w:rsidRDefault="002A3CD0" w:rsidP="002A3CD0">
      <w:pPr>
        <w:pStyle w:val="Sources"/>
        <w:keepNext/>
        <w:keepLines/>
      </w:pPr>
      <w:r w:rsidRPr="008A2FF0">
        <w:rPr>
          <w:color w:val="auto"/>
        </w:rPr>
        <w:t>Note: Figures may not sum exactly due to rounding</w:t>
      </w:r>
    </w:p>
    <w:p w:rsidR="00381E9E" w:rsidRDefault="00381E9E" w:rsidP="00DC4F48">
      <w:pPr>
        <w:pStyle w:val="PwCNormal"/>
        <w:numPr>
          <w:ilvl w:val="0"/>
          <w:numId w:val="0"/>
        </w:numPr>
      </w:pPr>
      <w:r w:rsidRPr="00566D61">
        <w:rPr>
          <w:color w:val="A32020" w:themeColor="text2"/>
          <w:sz w:val="16"/>
        </w:rPr>
        <w:t>Source: PwC analysis of detailed TAC data</w:t>
      </w:r>
      <w:r w:rsidR="00E05ED9">
        <w:rPr>
          <w:color w:val="A32020" w:themeColor="text2"/>
          <w:sz w:val="16"/>
        </w:rPr>
        <w:t>.</w:t>
      </w:r>
    </w:p>
    <w:p w:rsidR="006A7BA1" w:rsidRDefault="008C767F" w:rsidP="00DC4F48">
      <w:pPr>
        <w:pStyle w:val="PwCNormal"/>
        <w:numPr>
          <w:ilvl w:val="0"/>
          <w:numId w:val="0"/>
        </w:numPr>
      </w:pPr>
      <w:r>
        <w:t>The estimated saving to the scheme per new accident year once the GMD is implemented is therefore $8.5 million.</w:t>
      </w:r>
    </w:p>
    <w:p w:rsidR="00F56BBC" w:rsidRDefault="00F56BBC" w:rsidP="00F56BBC">
      <w:pPr>
        <w:pStyle w:val="Caption"/>
      </w:pPr>
      <w:bookmarkStart w:id="137" w:name="_Ref389226842"/>
      <w:r>
        <w:t xml:space="preserve">Table </w:t>
      </w:r>
      <w:fldSimple w:instr=" SEQ Table \* ARABIC ">
        <w:r w:rsidR="00542564">
          <w:rPr>
            <w:noProof/>
          </w:rPr>
          <w:t>21</w:t>
        </w:r>
      </w:fldSimple>
      <w:bookmarkEnd w:id="137"/>
      <w:r>
        <w:t>: Liability impact following GMD implementation</w:t>
      </w:r>
    </w:p>
    <w:tbl>
      <w:tblPr>
        <w:tblStyle w:val="LightList-Accent1"/>
        <w:tblW w:w="5000" w:type="pct"/>
        <w:tblLook w:val="04A0" w:firstRow="1" w:lastRow="0" w:firstColumn="1" w:lastColumn="0" w:noHBand="0" w:noVBand="1"/>
      </w:tblPr>
      <w:tblGrid>
        <w:gridCol w:w="3406"/>
        <w:gridCol w:w="1255"/>
        <w:gridCol w:w="1262"/>
        <w:gridCol w:w="1262"/>
        <w:gridCol w:w="1252"/>
      </w:tblGrid>
      <w:tr w:rsidR="00F56BBC" w:rsidRPr="00F56BBC" w:rsidTr="000223BE">
        <w:trPr>
          <w:cnfStyle w:val="100000000000" w:firstRow="1" w:lastRow="0" w:firstColumn="0" w:lastColumn="0" w:oddVBand="0" w:evenVBand="0" w:oddHBand="0"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018" w:type="pct"/>
            <w:tcBorders>
              <w:bottom w:val="single" w:sz="8" w:space="0" w:color="A32020" w:themeColor="accent1"/>
            </w:tcBorders>
            <w:vAlign w:val="center"/>
          </w:tcPr>
          <w:p w:rsidR="00F56BBC" w:rsidRPr="00F56BBC" w:rsidRDefault="00F56BBC" w:rsidP="000223BE">
            <w:pPr>
              <w:pStyle w:val="PwCNormal"/>
              <w:keepNext/>
              <w:keepLines/>
              <w:numPr>
                <w:ilvl w:val="0"/>
                <w:numId w:val="0"/>
              </w:numPr>
              <w:spacing w:before="60" w:after="60"/>
              <w:rPr>
                <w:rFonts w:asciiTheme="minorHAnsi" w:hAnsiTheme="minorHAnsi" w:cstheme="minorHAnsi"/>
                <w:sz w:val="16"/>
                <w:szCs w:val="16"/>
              </w:rPr>
            </w:pPr>
            <w:r w:rsidRPr="00F56BBC">
              <w:rPr>
                <w:rFonts w:asciiTheme="minorHAnsi" w:hAnsiTheme="minorHAnsi" w:cstheme="minorHAnsi"/>
                <w:sz w:val="16"/>
                <w:szCs w:val="16"/>
              </w:rPr>
              <w:t>Type of compensation</w:t>
            </w:r>
          </w:p>
        </w:tc>
        <w:tc>
          <w:tcPr>
            <w:tcW w:w="744" w:type="pct"/>
            <w:tcBorders>
              <w:bottom w:val="single" w:sz="8" w:space="0" w:color="A32020" w:themeColor="accent1"/>
            </w:tcBorders>
            <w:vAlign w:val="center"/>
          </w:tcPr>
          <w:p w:rsidR="00F56BBC" w:rsidRPr="00F56BBC" w:rsidRDefault="00F56BBC" w:rsidP="000223BE">
            <w:pPr>
              <w:pStyle w:val="PwCNormal"/>
              <w:keepNext/>
              <w:keepLines/>
              <w:numPr>
                <w:ilvl w:val="0"/>
                <w:numId w:val="0"/>
              </w:num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56BBC">
              <w:rPr>
                <w:rFonts w:asciiTheme="minorHAnsi" w:hAnsiTheme="minorHAnsi" w:cstheme="minorHAnsi"/>
                <w:sz w:val="16"/>
                <w:szCs w:val="16"/>
              </w:rPr>
              <w:t>Post-Serwylo impact per new accident year</w:t>
            </w:r>
          </w:p>
        </w:tc>
        <w:tc>
          <w:tcPr>
            <w:tcW w:w="748" w:type="pct"/>
            <w:tcBorders>
              <w:bottom w:val="single" w:sz="8" w:space="0" w:color="A32020" w:themeColor="accent1"/>
            </w:tcBorders>
            <w:vAlign w:val="center"/>
          </w:tcPr>
          <w:p w:rsidR="00F56BBC" w:rsidRPr="00F56BBC" w:rsidRDefault="00F56BBC" w:rsidP="000223BE">
            <w:pPr>
              <w:pStyle w:val="PwCNormal"/>
              <w:keepNext/>
              <w:keepLines/>
              <w:numPr>
                <w:ilvl w:val="0"/>
                <w:numId w:val="0"/>
              </w:num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56BBC">
              <w:rPr>
                <w:rFonts w:asciiTheme="minorHAnsi" w:hAnsiTheme="minorHAnsi" w:cstheme="minorHAnsi"/>
                <w:sz w:val="16"/>
                <w:szCs w:val="16"/>
              </w:rPr>
              <w:t>Estimated impact of GMD (%)</w:t>
            </w:r>
          </w:p>
        </w:tc>
        <w:tc>
          <w:tcPr>
            <w:tcW w:w="748" w:type="pct"/>
            <w:tcBorders>
              <w:bottom w:val="single" w:sz="8" w:space="0" w:color="A32020" w:themeColor="accent1"/>
            </w:tcBorders>
            <w:vAlign w:val="center"/>
          </w:tcPr>
          <w:p w:rsidR="00F56BBC" w:rsidRPr="00F56BBC" w:rsidRDefault="00F56BBC" w:rsidP="000223BE">
            <w:pPr>
              <w:pStyle w:val="PwCNormal"/>
              <w:keepNext/>
              <w:keepLines/>
              <w:numPr>
                <w:ilvl w:val="0"/>
                <w:numId w:val="0"/>
              </w:num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56BBC">
              <w:rPr>
                <w:rFonts w:asciiTheme="minorHAnsi" w:hAnsiTheme="minorHAnsi" w:cstheme="minorHAnsi"/>
                <w:sz w:val="16"/>
                <w:szCs w:val="16"/>
              </w:rPr>
              <w:t>Estimated impact of GMD ($)</w:t>
            </w:r>
          </w:p>
        </w:tc>
        <w:tc>
          <w:tcPr>
            <w:tcW w:w="742" w:type="pct"/>
            <w:tcBorders>
              <w:bottom w:val="single" w:sz="8" w:space="0" w:color="A32020" w:themeColor="accent1"/>
            </w:tcBorders>
            <w:vAlign w:val="center"/>
          </w:tcPr>
          <w:p w:rsidR="00F56BBC" w:rsidRPr="00F56BBC" w:rsidRDefault="00F56BBC" w:rsidP="000223BE">
            <w:pPr>
              <w:pStyle w:val="PwCNormal"/>
              <w:keepNext/>
              <w:keepLines/>
              <w:numPr>
                <w:ilvl w:val="0"/>
                <w:numId w:val="0"/>
              </w:num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56BBC">
              <w:rPr>
                <w:rFonts w:asciiTheme="minorHAnsi" w:hAnsiTheme="minorHAnsi" w:cstheme="minorHAnsi"/>
                <w:sz w:val="16"/>
                <w:szCs w:val="16"/>
              </w:rPr>
              <w:t>Residual post-Serwylo impact</w:t>
            </w:r>
          </w:p>
        </w:tc>
      </w:tr>
      <w:tr w:rsidR="00F56BBC" w:rsidRPr="00F56BBC" w:rsidTr="000223BE">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018" w:type="pct"/>
            <w:tcBorders>
              <w:bottom w:val="nil"/>
            </w:tcBorders>
            <w:vAlign w:val="center"/>
          </w:tcPr>
          <w:p w:rsidR="00F56BBC" w:rsidRPr="00F56BBC" w:rsidRDefault="00F56BBC" w:rsidP="000223BE">
            <w:pPr>
              <w:pStyle w:val="PwCNormal"/>
              <w:keepNext/>
              <w:keepLines/>
              <w:numPr>
                <w:ilvl w:val="0"/>
                <w:numId w:val="0"/>
              </w:numPr>
              <w:spacing w:before="60" w:after="60"/>
              <w:rPr>
                <w:rFonts w:asciiTheme="minorHAnsi" w:hAnsiTheme="minorHAnsi" w:cstheme="minorHAnsi"/>
                <w:b w:val="0"/>
                <w:sz w:val="16"/>
                <w:szCs w:val="16"/>
              </w:rPr>
            </w:pPr>
            <w:r w:rsidRPr="00F56BBC">
              <w:rPr>
                <w:rFonts w:asciiTheme="minorHAnsi" w:hAnsiTheme="minorHAnsi" w:cstheme="minorHAnsi"/>
                <w:b w:val="0"/>
                <w:sz w:val="16"/>
                <w:szCs w:val="16"/>
              </w:rPr>
              <w:t>Impairment Lump Sum Benefits</w:t>
            </w:r>
          </w:p>
        </w:tc>
        <w:tc>
          <w:tcPr>
            <w:tcW w:w="744" w:type="pct"/>
            <w:tcBorders>
              <w:bottom w:val="nil"/>
            </w:tcBorders>
            <w:vAlign w:val="center"/>
          </w:tcPr>
          <w:p w:rsidR="00F56BBC" w:rsidRPr="00F56BBC" w:rsidRDefault="00F56BBC" w:rsidP="000223BE">
            <w:pPr>
              <w:pStyle w:val="PwCNormal"/>
              <w:keepNext/>
              <w:keepLines/>
              <w:numPr>
                <w:ilvl w:val="0"/>
                <w:numId w:val="0"/>
              </w:num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16"/>
                <w:szCs w:val="16"/>
              </w:rPr>
            </w:pPr>
            <w:r w:rsidRPr="00F56BBC">
              <w:rPr>
                <w:rFonts w:asciiTheme="minorHAnsi" w:hAnsiTheme="minorHAnsi" w:cstheme="minorHAnsi"/>
                <w:bCs/>
                <w:sz w:val="16"/>
                <w:szCs w:val="16"/>
              </w:rPr>
              <w:t>$15.5m</w:t>
            </w:r>
          </w:p>
        </w:tc>
        <w:tc>
          <w:tcPr>
            <w:tcW w:w="748" w:type="pct"/>
            <w:tcBorders>
              <w:bottom w:val="nil"/>
            </w:tcBorders>
            <w:vAlign w:val="center"/>
          </w:tcPr>
          <w:p w:rsidR="00F56BBC" w:rsidRPr="00F56BBC" w:rsidRDefault="00F56BBC" w:rsidP="000223BE">
            <w:pPr>
              <w:pStyle w:val="PwCNormal"/>
              <w:keepNext/>
              <w:keepLines/>
              <w:numPr>
                <w:ilvl w:val="0"/>
                <w:numId w:val="0"/>
              </w:num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16"/>
                <w:szCs w:val="16"/>
              </w:rPr>
            </w:pPr>
            <w:r w:rsidRPr="00F56BBC">
              <w:rPr>
                <w:rFonts w:asciiTheme="minorHAnsi" w:hAnsiTheme="minorHAnsi" w:cstheme="minorHAnsi"/>
                <w:bCs/>
                <w:sz w:val="16"/>
                <w:szCs w:val="16"/>
              </w:rPr>
              <w:t>-80%</w:t>
            </w:r>
          </w:p>
        </w:tc>
        <w:tc>
          <w:tcPr>
            <w:tcW w:w="748" w:type="pct"/>
            <w:tcBorders>
              <w:bottom w:val="nil"/>
            </w:tcBorders>
            <w:vAlign w:val="center"/>
          </w:tcPr>
          <w:p w:rsidR="00F56BBC" w:rsidRPr="00F56BBC" w:rsidRDefault="00F56BBC" w:rsidP="000223BE">
            <w:pPr>
              <w:pStyle w:val="PwCNormal"/>
              <w:keepNext/>
              <w:keepLines/>
              <w:numPr>
                <w:ilvl w:val="0"/>
                <w:numId w:val="0"/>
              </w:num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16"/>
                <w:szCs w:val="16"/>
              </w:rPr>
            </w:pPr>
            <w:r w:rsidRPr="00F56BBC">
              <w:rPr>
                <w:rFonts w:asciiTheme="minorHAnsi" w:hAnsiTheme="minorHAnsi" w:cstheme="minorHAnsi"/>
                <w:bCs/>
                <w:sz w:val="16"/>
                <w:szCs w:val="16"/>
              </w:rPr>
              <w:t>-$12.4m</w:t>
            </w:r>
          </w:p>
        </w:tc>
        <w:tc>
          <w:tcPr>
            <w:tcW w:w="742" w:type="pct"/>
            <w:tcBorders>
              <w:bottom w:val="nil"/>
            </w:tcBorders>
            <w:vAlign w:val="center"/>
          </w:tcPr>
          <w:p w:rsidR="00F56BBC" w:rsidRPr="00F56BBC" w:rsidRDefault="00F56BBC" w:rsidP="000223BE">
            <w:pPr>
              <w:pStyle w:val="PwCNormal"/>
              <w:keepNext/>
              <w:keepLines/>
              <w:numPr>
                <w:ilvl w:val="0"/>
                <w:numId w:val="0"/>
              </w:num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16"/>
                <w:szCs w:val="16"/>
              </w:rPr>
            </w:pPr>
            <w:r w:rsidRPr="00F56BBC">
              <w:rPr>
                <w:rFonts w:asciiTheme="minorHAnsi" w:hAnsiTheme="minorHAnsi" w:cstheme="minorHAnsi"/>
                <w:bCs/>
                <w:sz w:val="16"/>
                <w:szCs w:val="16"/>
              </w:rPr>
              <w:t>$3.1m</w:t>
            </w:r>
          </w:p>
        </w:tc>
      </w:tr>
      <w:tr w:rsidR="00F56BBC" w:rsidRPr="00F56BBC" w:rsidTr="000223BE">
        <w:trPr>
          <w:trHeight w:val="493"/>
        </w:trPr>
        <w:tc>
          <w:tcPr>
            <w:cnfStyle w:val="001000000000" w:firstRow="0" w:lastRow="0" w:firstColumn="1" w:lastColumn="0" w:oddVBand="0" w:evenVBand="0" w:oddHBand="0" w:evenHBand="0" w:firstRowFirstColumn="0" w:firstRowLastColumn="0" w:lastRowFirstColumn="0" w:lastRowLastColumn="0"/>
            <w:tcW w:w="2018" w:type="pct"/>
            <w:tcBorders>
              <w:top w:val="nil"/>
              <w:bottom w:val="nil"/>
            </w:tcBorders>
            <w:vAlign w:val="center"/>
          </w:tcPr>
          <w:p w:rsidR="00F56BBC" w:rsidRPr="00F56BBC" w:rsidRDefault="00F56BBC" w:rsidP="000223BE">
            <w:pPr>
              <w:pStyle w:val="PwCNormal"/>
              <w:keepNext/>
              <w:keepLines/>
              <w:numPr>
                <w:ilvl w:val="0"/>
                <w:numId w:val="0"/>
              </w:numPr>
              <w:spacing w:before="60" w:after="60"/>
              <w:rPr>
                <w:rFonts w:asciiTheme="minorHAnsi" w:hAnsiTheme="minorHAnsi" w:cstheme="minorHAnsi"/>
                <w:b w:val="0"/>
                <w:sz w:val="16"/>
                <w:szCs w:val="16"/>
              </w:rPr>
            </w:pPr>
            <w:r w:rsidRPr="00F56BBC">
              <w:rPr>
                <w:rFonts w:asciiTheme="minorHAnsi" w:hAnsiTheme="minorHAnsi" w:cstheme="minorHAnsi"/>
                <w:b w:val="0"/>
                <w:sz w:val="16"/>
                <w:szCs w:val="16"/>
              </w:rPr>
              <w:t>Loss of Earnings Capacity Benefits</w:t>
            </w:r>
          </w:p>
        </w:tc>
        <w:tc>
          <w:tcPr>
            <w:tcW w:w="744" w:type="pct"/>
            <w:tcBorders>
              <w:top w:val="nil"/>
              <w:bottom w:val="nil"/>
            </w:tcBorders>
            <w:vAlign w:val="center"/>
          </w:tcPr>
          <w:p w:rsidR="00F56BBC" w:rsidRPr="00F56BBC" w:rsidRDefault="00F56BBC" w:rsidP="000223BE">
            <w:pPr>
              <w:pStyle w:val="PwCNormal"/>
              <w:keepNext/>
              <w:keepLines/>
              <w:numPr>
                <w:ilvl w:val="0"/>
                <w:numId w:val="0"/>
              </w:num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56BBC">
              <w:rPr>
                <w:rFonts w:asciiTheme="minorHAnsi" w:hAnsiTheme="minorHAnsi" w:cstheme="minorHAnsi"/>
                <w:sz w:val="16"/>
                <w:szCs w:val="16"/>
              </w:rPr>
              <w:t>$31.3m</w:t>
            </w:r>
          </w:p>
        </w:tc>
        <w:tc>
          <w:tcPr>
            <w:tcW w:w="748" w:type="pct"/>
            <w:tcBorders>
              <w:top w:val="nil"/>
              <w:bottom w:val="nil"/>
            </w:tcBorders>
            <w:vAlign w:val="center"/>
          </w:tcPr>
          <w:p w:rsidR="00F56BBC" w:rsidRPr="00F56BBC" w:rsidRDefault="00F56BBC" w:rsidP="000223BE">
            <w:pPr>
              <w:pStyle w:val="PwCNormal"/>
              <w:keepNext/>
              <w:keepLines/>
              <w:numPr>
                <w:ilvl w:val="0"/>
                <w:numId w:val="0"/>
              </w:num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56BBC">
              <w:rPr>
                <w:rFonts w:asciiTheme="minorHAnsi" w:hAnsiTheme="minorHAnsi" w:cstheme="minorHAnsi"/>
                <w:sz w:val="16"/>
                <w:szCs w:val="16"/>
              </w:rPr>
              <w:t>-78%</w:t>
            </w:r>
          </w:p>
        </w:tc>
        <w:tc>
          <w:tcPr>
            <w:tcW w:w="748" w:type="pct"/>
            <w:tcBorders>
              <w:top w:val="nil"/>
              <w:bottom w:val="nil"/>
            </w:tcBorders>
            <w:vAlign w:val="center"/>
          </w:tcPr>
          <w:p w:rsidR="00F56BBC" w:rsidRPr="00F56BBC" w:rsidRDefault="00F56BBC" w:rsidP="000223BE">
            <w:pPr>
              <w:pStyle w:val="PwCNormal"/>
              <w:keepNext/>
              <w:keepLines/>
              <w:numPr>
                <w:ilvl w:val="0"/>
                <w:numId w:val="0"/>
              </w:num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56BBC">
              <w:rPr>
                <w:rFonts w:asciiTheme="minorHAnsi" w:hAnsiTheme="minorHAnsi" w:cstheme="minorHAnsi"/>
                <w:sz w:val="16"/>
                <w:szCs w:val="16"/>
              </w:rPr>
              <w:t>-$24.4m</w:t>
            </w:r>
          </w:p>
        </w:tc>
        <w:tc>
          <w:tcPr>
            <w:tcW w:w="742" w:type="pct"/>
            <w:tcBorders>
              <w:top w:val="nil"/>
              <w:bottom w:val="nil"/>
            </w:tcBorders>
            <w:vAlign w:val="center"/>
          </w:tcPr>
          <w:p w:rsidR="00F56BBC" w:rsidRPr="00F56BBC" w:rsidRDefault="00F56BBC" w:rsidP="000223BE">
            <w:pPr>
              <w:pStyle w:val="PwCNormal"/>
              <w:keepNext/>
              <w:keepLines/>
              <w:numPr>
                <w:ilvl w:val="0"/>
                <w:numId w:val="0"/>
              </w:num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56BBC">
              <w:rPr>
                <w:rFonts w:asciiTheme="minorHAnsi" w:hAnsiTheme="minorHAnsi" w:cstheme="minorHAnsi"/>
                <w:sz w:val="16"/>
                <w:szCs w:val="16"/>
              </w:rPr>
              <w:t>$6.9m</w:t>
            </w:r>
          </w:p>
        </w:tc>
      </w:tr>
      <w:tr w:rsidR="00F56BBC" w:rsidRPr="00F56BBC" w:rsidTr="000223BE">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018" w:type="pct"/>
            <w:tcBorders>
              <w:top w:val="nil"/>
            </w:tcBorders>
            <w:vAlign w:val="center"/>
          </w:tcPr>
          <w:p w:rsidR="00F56BBC" w:rsidRPr="00F56BBC" w:rsidRDefault="00F56BBC" w:rsidP="000223BE">
            <w:pPr>
              <w:pStyle w:val="PwCNormal"/>
              <w:keepNext/>
              <w:keepLines/>
              <w:numPr>
                <w:ilvl w:val="0"/>
                <w:numId w:val="0"/>
              </w:numPr>
              <w:spacing w:before="60" w:after="60"/>
              <w:rPr>
                <w:rFonts w:asciiTheme="minorHAnsi" w:hAnsiTheme="minorHAnsi" w:cstheme="minorHAnsi"/>
                <w:b w:val="0"/>
                <w:sz w:val="16"/>
                <w:szCs w:val="16"/>
              </w:rPr>
            </w:pPr>
            <w:r w:rsidRPr="00F56BBC">
              <w:rPr>
                <w:rFonts w:asciiTheme="minorHAnsi" w:hAnsiTheme="minorHAnsi" w:cstheme="minorHAnsi"/>
                <w:b w:val="0"/>
                <w:sz w:val="16"/>
                <w:szCs w:val="16"/>
              </w:rPr>
              <w:t>Common Law Damages</w:t>
            </w:r>
          </w:p>
        </w:tc>
        <w:tc>
          <w:tcPr>
            <w:tcW w:w="744" w:type="pct"/>
            <w:tcBorders>
              <w:top w:val="nil"/>
            </w:tcBorders>
            <w:vAlign w:val="center"/>
          </w:tcPr>
          <w:p w:rsidR="00F56BBC" w:rsidRPr="00F56BBC" w:rsidRDefault="00F56BBC" w:rsidP="000223BE">
            <w:pPr>
              <w:pStyle w:val="PwCNormal"/>
              <w:keepNext/>
              <w:keepLines/>
              <w:numPr>
                <w:ilvl w:val="0"/>
                <w:numId w:val="0"/>
              </w:num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16"/>
                <w:szCs w:val="16"/>
              </w:rPr>
            </w:pPr>
            <w:r w:rsidRPr="00F56BBC">
              <w:rPr>
                <w:rFonts w:asciiTheme="minorHAnsi" w:hAnsiTheme="minorHAnsi" w:cstheme="minorHAnsi"/>
                <w:bCs/>
                <w:sz w:val="16"/>
                <w:szCs w:val="16"/>
              </w:rPr>
              <w:t>$20.7m</w:t>
            </w:r>
          </w:p>
        </w:tc>
        <w:tc>
          <w:tcPr>
            <w:tcW w:w="748" w:type="pct"/>
            <w:tcBorders>
              <w:top w:val="nil"/>
            </w:tcBorders>
            <w:vAlign w:val="center"/>
          </w:tcPr>
          <w:p w:rsidR="00F56BBC" w:rsidRPr="00F56BBC" w:rsidRDefault="00F56BBC" w:rsidP="000223BE">
            <w:pPr>
              <w:pStyle w:val="PwCNormal"/>
              <w:keepNext/>
              <w:keepLines/>
              <w:numPr>
                <w:ilvl w:val="0"/>
                <w:numId w:val="0"/>
              </w:num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16"/>
                <w:szCs w:val="16"/>
              </w:rPr>
            </w:pPr>
            <w:r w:rsidRPr="00F56BBC">
              <w:rPr>
                <w:rFonts w:asciiTheme="minorHAnsi" w:hAnsiTheme="minorHAnsi" w:cstheme="minorHAnsi"/>
                <w:bCs/>
                <w:sz w:val="16"/>
                <w:szCs w:val="16"/>
              </w:rPr>
              <w:t>-65%</w:t>
            </w:r>
          </w:p>
        </w:tc>
        <w:tc>
          <w:tcPr>
            <w:tcW w:w="748" w:type="pct"/>
            <w:tcBorders>
              <w:top w:val="nil"/>
            </w:tcBorders>
            <w:vAlign w:val="center"/>
          </w:tcPr>
          <w:p w:rsidR="00F56BBC" w:rsidRPr="00F56BBC" w:rsidRDefault="00F56BBC" w:rsidP="000223BE">
            <w:pPr>
              <w:pStyle w:val="PwCNormal"/>
              <w:keepNext/>
              <w:keepLines/>
              <w:numPr>
                <w:ilvl w:val="0"/>
                <w:numId w:val="0"/>
              </w:num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16"/>
                <w:szCs w:val="16"/>
              </w:rPr>
            </w:pPr>
            <w:r w:rsidRPr="00F56BBC">
              <w:rPr>
                <w:rFonts w:asciiTheme="minorHAnsi" w:hAnsiTheme="minorHAnsi" w:cstheme="minorHAnsi"/>
                <w:bCs/>
                <w:sz w:val="16"/>
                <w:szCs w:val="16"/>
              </w:rPr>
              <w:t>-$13.5m</w:t>
            </w:r>
          </w:p>
        </w:tc>
        <w:tc>
          <w:tcPr>
            <w:tcW w:w="742" w:type="pct"/>
            <w:tcBorders>
              <w:top w:val="nil"/>
            </w:tcBorders>
            <w:vAlign w:val="center"/>
          </w:tcPr>
          <w:p w:rsidR="00F56BBC" w:rsidRPr="00F56BBC" w:rsidRDefault="00F56BBC" w:rsidP="000223BE">
            <w:pPr>
              <w:pStyle w:val="PwCNormal"/>
              <w:keepNext/>
              <w:keepLines/>
              <w:numPr>
                <w:ilvl w:val="0"/>
                <w:numId w:val="0"/>
              </w:num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16"/>
                <w:szCs w:val="16"/>
              </w:rPr>
            </w:pPr>
            <w:r w:rsidRPr="00F56BBC">
              <w:rPr>
                <w:rFonts w:asciiTheme="minorHAnsi" w:hAnsiTheme="minorHAnsi" w:cstheme="minorHAnsi"/>
                <w:bCs/>
                <w:sz w:val="16"/>
                <w:szCs w:val="16"/>
              </w:rPr>
              <w:t>$7.2m</w:t>
            </w:r>
          </w:p>
        </w:tc>
      </w:tr>
      <w:tr w:rsidR="00F56BBC" w:rsidRPr="00F56BBC" w:rsidTr="000223BE">
        <w:trPr>
          <w:trHeight w:val="493"/>
        </w:trPr>
        <w:tc>
          <w:tcPr>
            <w:cnfStyle w:val="001000000000" w:firstRow="0" w:lastRow="0" w:firstColumn="1" w:lastColumn="0" w:oddVBand="0" w:evenVBand="0" w:oddHBand="0" w:evenHBand="0" w:firstRowFirstColumn="0" w:firstRowLastColumn="0" w:lastRowFirstColumn="0" w:lastRowLastColumn="0"/>
            <w:tcW w:w="2018" w:type="pct"/>
            <w:tcBorders>
              <w:top w:val="single" w:sz="8" w:space="0" w:color="A32020" w:themeColor="accent1"/>
              <w:bottom w:val="single" w:sz="8" w:space="0" w:color="A32020" w:themeColor="accent1"/>
            </w:tcBorders>
            <w:vAlign w:val="center"/>
          </w:tcPr>
          <w:p w:rsidR="00F56BBC" w:rsidRPr="00F56BBC" w:rsidRDefault="00F56BBC" w:rsidP="000223BE">
            <w:pPr>
              <w:pStyle w:val="PwCNormal"/>
              <w:keepNext/>
              <w:keepLines/>
              <w:numPr>
                <w:ilvl w:val="0"/>
                <w:numId w:val="0"/>
              </w:numPr>
              <w:spacing w:before="60" w:after="60"/>
              <w:rPr>
                <w:rFonts w:asciiTheme="minorHAnsi" w:hAnsiTheme="minorHAnsi" w:cstheme="minorHAnsi"/>
                <w:sz w:val="16"/>
                <w:szCs w:val="16"/>
              </w:rPr>
            </w:pPr>
            <w:r w:rsidRPr="00F56BBC">
              <w:rPr>
                <w:rFonts w:asciiTheme="minorHAnsi" w:hAnsiTheme="minorHAnsi" w:cstheme="minorHAnsi"/>
                <w:sz w:val="16"/>
                <w:szCs w:val="16"/>
              </w:rPr>
              <w:t>TOTAL</w:t>
            </w:r>
          </w:p>
        </w:tc>
        <w:tc>
          <w:tcPr>
            <w:tcW w:w="744" w:type="pct"/>
            <w:tcBorders>
              <w:top w:val="single" w:sz="8" w:space="0" w:color="A32020" w:themeColor="accent1"/>
              <w:bottom w:val="single" w:sz="8" w:space="0" w:color="A32020" w:themeColor="accent1"/>
            </w:tcBorders>
            <w:vAlign w:val="center"/>
          </w:tcPr>
          <w:p w:rsidR="00F56BBC" w:rsidRPr="00566D61" w:rsidRDefault="00F56BBC" w:rsidP="000223BE">
            <w:pPr>
              <w:pStyle w:val="PwCNormal"/>
              <w:keepNext/>
              <w:keepLines/>
              <w:numPr>
                <w:ilvl w:val="0"/>
                <w:numId w:val="0"/>
              </w:num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Pr>
                <w:rFonts w:asciiTheme="minorHAnsi" w:hAnsiTheme="minorHAnsi" w:cstheme="minorHAnsi"/>
                <w:b/>
                <w:sz w:val="16"/>
                <w:szCs w:val="16"/>
              </w:rPr>
              <w:t>$67.5m</w:t>
            </w:r>
          </w:p>
        </w:tc>
        <w:tc>
          <w:tcPr>
            <w:tcW w:w="748" w:type="pct"/>
            <w:tcBorders>
              <w:top w:val="single" w:sz="8" w:space="0" w:color="A32020" w:themeColor="accent1"/>
              <w:bottom w:val="single" w:sz="8" w:space="0" w:color="A32020" w:themeColor="accent1"/>
            </w:tcBorders>
            <w:vAlign w:val="center"/>
          </w:tcPr>
          <w:p w:rsidR="00F56BBC" w:rsidRPr="008C767F" w:rsidRDefault="00F56BBC" w:rsidP="000223BE">
            <w:pPr>
              <w:pStyle w:val="PwCNormal"/>
              <w:keepNext/>
              <w:keepLines/>
              <w:numPr>
                <w:ilvl w:val="0"/>
                <w:numId w:val="0"/>
              </w:num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8C767F">
              <w:rPr>
                <w:rFonts w:asciiTheme="minorHAnsi" w:hAnsiTheme="minorHAnsi" w:cstheme="minorHAnsi"/>
                <w:b/>
                <w:sz w:val="16"/>
                <w:szCs w:val="16"/>
              </w:rPr>
              <w:t>-7</w:t>
            </w:r>
            <w:r w:rsidR="00E87F97">
              <w:rPr>
                <w:rFonts w:asciiTheme="minorHAnsi" w:hAnsiTheme="minorHAnsi" w:cstheme="minorHAnsi"/>
                <w:b/>
                <w:sz w:val="16"/>
                <w:szCs w:val="16"/>
              </w:rPr>
              <w:t>4.5</w:t>
            </w:r>
            <w:r w:rsidRPr="008C767F">
              <w:rPr>
                <w:rFonts w:asciiTheme="minorHAnsi" w:hAnsiTheme="minorHAnsi" w:cstheme="minorHAnsi"/>
                <w:b/>
                <w:sz w:val="16"/>
                <w:szCs w:val="16"/>
              </w:rPr>
              <w:t>%</w:t>
            </w:r>
            <w:r w:rsidRPr="0007678D">
              <w:rPr>
                <w:rFonts w:asciiTheme="minorHAnsi" w:hAnsiTheme="minorHAnsi" w:cstheme="minorHAnsi"/>
                <w:b/>
                <w:sz w:val="16"/>
                <w:szCs w:val="16"/>
              </w:rPr>
              <w:t>*</w:t>
            </w:r>
          </w:p>
        </w:tc>
        <w:tc>
          <w:tcPr>
            <w:tcW w:w="748" w:type="pct"/>
            <w:tcBorders>
              <w:top w:val="single" w:sz="8" w:space="0" w:color="A32020" w:themeColor="accent1"/>
              <w:bottom w:val="single" w:sz="8" w:space="0" w:color="A32020" w:themeColor="accent1"/>
            </w:tcBorders>
            <w:vAlign w:val="center"/>
          </w:tcPr>
          <w:p w:rsidR="00F56BBC" w:rsidRPr="00566D61" w:rsidRDefault="00F56BBC" w:rsidP="000223BE">
            <w:pPr>
              <w:pStyle w:val="PwCNormal"/>
              <w:keepNext/>
              <w:keepLines/>
              <w:numPr>
                <w:ilvl w:val="0"/>
                <w:numId w:val="0"/>
              </w:num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Pr>
                <w:rFonts w:asciiTheme="minorHAnsi" w:hAnsiTheme="minorHAnsi" w:cstheme="minorHAnsi"/>
                <w:b/>
                <w:sz w:val="16"/>
                <w:szCs w:val="16"/>
              </w:rPr>
              <w:t>-$50.3m</w:t>
            </w:r>
          </w:p>
        </w:tc>
        <w:tc>
          <w:tcPr>
            <w:tcW w:w="742" w:type="pct"/>
            <w:tcBorders>
              <w:top w:val="single" w:sz="8" w:space="0" w:color="A32020" w:themeColor="accent1"/>
              <w:bottom w:val="single" w:sz="8" w:space="0" w:color="A32020" w:themeColor="accent1"/>
            </w:tcBorders>
            <w:vAlign w:val="center"/>
          </w:tcPr>
          <w:p w:rsidR="00F56BBC" w:rsidRDefault="00F56BBC" w:rsidP="000223BE">
            <w:pPr>
              <w:pStyle w:val="PwCNormal"/>
              <w:keepNext/>
              <w:keepLines/>
              <w:numPr>
                <w:ilvl w:val="0"/>
                <w:numId w:val="0"/>
              </w:num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Pr>
                <w:rFonts w:asciiTheme="minorHAnsi" w:hAnsiTheme="minorHAnsi" w:cstheme="minorHAnsi"/>
                <w:b/>
                <w:sz w:val="16"/>
                <w:szCs w:val="16"/>
              </w:rPr>
              <w:t>$17.2m</w:t>
            </w:r>
          </w:p>
        </w:tc>
      </w:tr>
    </w:tbl>
    <w:p w:rsidR="002A3CD0" w:rsidRDefault="002A3CD0" w:rsidP="002A3CD0">
      <w:pPr>
        <w:pStyle w:val="Sources"/>
        <w:keepNext/>
        <w:keepLines/>
      </w:pPr>
      <w:r w:rsidRPr="008A2FF0">
        <w:rPr>
          <w:color w:val="auto"/>
        </w:rPr>
        <w:t>Note: Figures may not sum exactly due to rounding</w:t>
      </w:r>
    </w:p>
    <w:p w:rsidR="00381E9E" w:rsidRDefault="00381E9E" w:rsidP="00DC4F48">
      <w:pPr>
        <w:pStyle w:val="PwCNormal"/>
        <w:numPr>
          <w:ilvl w:val="0"/>
          <w:numId w:val="0"/>
        </w:numPr>
      </w:pPr>
      <w:r w:rsidRPr="00566D61">
        <w:rPr>
          <w:color w:val="A32020" w:themeColor="text2"/>
          <w:sz w:val="16"/>
        </w:rPr>
        <w:t>Source: PwC analysis of detailed TAC data</w:t>
      </w:r>
      <w:r w:rsidR="00E05ED9">
        <w:rPr>
          <w:color w:val="A32020" w:themeColor="text2"/>
          <w:sz w:val="16"/>
        </w:rPr>
        <w:t>.</w:t>
      </w:r>
    </w:p>
    <w:p w:rsidR="00601913" w:rsidRDefault="008C767F" w:rsidP="00DC4F48">
      <w:pPr>
        <w:pStyle w:val="PwCNormal"/>
        <w:numPr>
          <w:ilvl w:val="0"/>
          <w:numId w:val="0"/>
        </w:numPr>
      </w:pPr>
      <w:r>
        <w:t>The GMD is estimated to reverse 74.5</w:t>
      </w:r>
      <w:r w:rsidR="00E05ED9">
        <w:t xml:space="preserve"> per cent</w:t>
      </w:r>
      <w:r>
        <w:t xml:space="preserve"> of </w:t>
      </w:r>
      <w:r w:rsidR="00906812">
        <w:t xml:space="preserve">the </w:t>
      </w:r>
      <w:r>
        <w:t>TAC’s current liability if applied to all claimants in the scheme. This translates to a liability saving of $50.3 million, leaving a residual liability of $17.2 million.</w:t>
      </w:r>
    </w:p>
    <w:p w:rsidR="00152868" w:rsidRDefault="00381E9E" w:rsidP="00DC4F48">
      <w:pPr>
        <w:pStyle w:val="PwCNormal"/>
        <w:numPr>
          <w:ilvl w:val="0"/>
          <w:numId w:val="0"/>
        </w:numPr>
      </w:pPr>
      <w:r>
        <w:fldChar w:fldCharType="begin"/>
      </w:r>
      <w:r>
        <w:instrText xml:space="preserve"> REF _Ref388535796 \h </w:instrText>
      </w:r>
      <w:r>
        <w:fldChar w:fldCharType="separate"/>
      </w:r>
      <w:r w:rsidR="00542564">
        <w:t xml:space="preserve">Table </w:t>
      </w:r>
      <w:r w:rsidR="00542564">
        <w:rPr>
          <w:noProof/>
        </w:rPr>
        <w:t>22</w:t>
      </w:r>
      <w:r>
        <w:fldChar w:fldCharType="end"/>
      </w:r>
      <w:r>
        <w:t xml:space="preserve"> outlines how much of this potential liability saving is actually realised under the proposed </w:t>
      </w:r>
      <w:r w:rsidR="0064275C">
        <w:t>implementation</w:t>
      </w:r>
      <w:r w:rsidR="007D3D31">
        <w:t xml:space="preserve"> </w:t>
      </w:r>
      <w:r>
        <w:t>options.</w:t>
      </w:r>
      <w:r w:rsidR="006D1AC9">
        <w:t xml:space="preserve"> Under </w:t>
      </w:r>
      <w:r w:rsidR="0064275C">
        <w:t xml:space="preserve">Implementation </w:t>
      </w:r>
      <w:r w:rsidR="006D1AC9">
        <w:t>Option 1, the liability saving is zero as only future claimants are affected</w:t>
      </w:r>
      <w:r w:rsidR="007D3D31">
        <w:t>, and therefore the full post-Serwylo liability to existing claimants will remain</w:t>
      </w:r>
      <w:r w:rsidR="006D1AC9">
        <w:t xml:space="preserve">. However, in </w:t>
      </w:r>
      <w:r w:rsidR="0064275C">
        <w:t xml:space="preserve">Implementation </w:t>
      </w:r>
      <w:r w:rsidR="006D1AC9">
        <w:t xml:space="preserve">Option 2, </w:t>
      </w:r>
      <w:r w:rsidR="007D3D31">
        <w:t>all existing claimants will be subject to the new GMD, except those who undergo their impairment assessments between 1 July 2014 and 31 December 2014.Therefore, the post-Serwylo liability to all existing claimants except those who are assessed within this timeframe will be cleared. The liability saving is estimated to be</w:t>
      </w:r>
      <w:r w:rsidR="006D1AC9">
        <w:t xml:space="preserve"> </w:t>
      </w:r>
      <w:r w:rsidR="00457C8A">
        <w:t>$46 million</w:t>
      </w:r>
      <w:r w:rsidR="00ED06C6">
        <w:t xml:space="preserve">, </w:t>
      </w:r>
      <w:r w:rsidR="00457C8A">
        <w:t xml:space="preserve">which is </w:t>
      </w:r>
      <w:r w:rsidR="007D3D31">
        <w:t xml:space="preserve">the full </w:t>
      </w:r>
      <w:r w:rsidR="00457C8A">
        <w:t>$50.3 million</w:t>
      </w:r>
      <w:r w:rsidR="007D3D31">
        <w:t xml:space="preserve"> worth of existing claimant liability</w:t>
      </w:r>
      <w:r w:rsidR="006D1AC9">
        <w:t xml:space="preserve"> minus the cost of the six months’ worth of claimants that the GMD will not apply to</w:t>
      </w:r>
      <w:r w:rsidR="007D3D31">
        <w:t xml:space="preserve"> under </w:t>
      </w:r>
      <w:r w:rsidR="0064275C">
        <w:t xml:space="preserve">Implementation </w:t>
      </w:r>
      <w:r w:rsidR="007D3D31">
        <w:t>Option 2</w:t>
      </w:r>
      <w:r w:rsidR="006D1AC9">
        <w:t xml:space="preserve"> ($8.5</w:t>
      </w:r>
      <w:r w:rsidR="000C40D6">
        <w:t xml:space="preserve"> </w:t>
      </w:r>
      <w:r w:rsidR="006D1AC9">
        <w:t>m</w:t>
      </w:r>
      <w:r w:rsidR="000C40D6">
        <w:t>illion</w:t>
      </w:r>
      <w:r w:rsidR="006D1AC9">
        <w:t>/2 = $4.3 million).</w:t>
      </w:r>
    </w:p>
    <w:p w:rsidR="00CA1B80" w:rsidRDefault="00CA1B80" w:rsidP="0007678D">
      <w:pPr>
        <w:pStyle w:val="Caption"/>
      </w:pPr>
      <w:bookmarkStart w:id="138" w:name="_Ref388535796"/>
      <w:r>
        <w:lastRenderedPageBreak/>
        <w:t xml:space="preserve">Table </w:t>
      </w:r>
      <w:fldSimple w:instr=" SEQ Table \* ARABIC ">
        <w:r w:rsidR="00542564">
          <w:rPr>
            <w:noProof/>
          </w:rPr>
          <w:t>22</w:t>
        </w:r>
      </w:fldSimple>
      <w:bookmarkEnd w:id="138"/>
      <w:r>
        <w:t xml:space="preserve">: Liability saving captured under each </w:t>
      </w:r>
      <w:r w:rsidR="0064275C">
        <w:t>implementation</w:t>
      </w:r>
      <w:r w:rsidR="007D3D31">
        <w:t xml:space="preserve"> </w:t>
      </w:r>
      <w:r>
        <w:t>option</w:t>
      </w:r>
    </w:p>
    <w:tbl>
      <w:tblPr>
        <w:tblStyle w:val="LightList-Accent1"/>
        <w:tblW w:w="5000" w:type="pct"/>
        <w:tblLook w:val="04A0" w:firstRow="1" w:lastRow="0" w:firstColumn="1" w:lastColumn="0" w:noHBand="0" w:noVBand="1"/>
      </w:tblPr>
      <w:tblGrid>
        <w:gridCol w:w="5330"/>
        <w:gridCol w:w="3107"/>
      </w:tblGrid>
      <w:tr w:rsidR="00F56BBC" w:rsidRPr="00F56BBC" w:rsidTr="000223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9" w:type="pct"/>
            <w:tcBorders>
              <w:bottom w:val="single" w:sz="8" w:space="0" w:color="A32020" w:themeColor="accent1"/>
            </w:tcBorders>
            <w:vAlign w:val="center"/>
          </w:tcPr>
          <w:p w:rsidR="00F56BBC" w:rsidRPr="00F56BBC" w:rsidRDefault="00F56BBC" w:rsidP="000223BE">
            <w:pPr>
              <w:pStyle w:val="PwCNormal"/>
              <w:keepNext/>
              <w:keepLines/>
              <w:numPr>
                <w:ilvl w:val="0"/>
                <w:numId w:val="0"/>
              </w:numPr>
              <w:spacing w:before="60" w:after="60"/>
              <w:rPr>
                <w:rFonts w:asciiTheme="minorHAnsi" w:hAnsiTheme="minorHAnsi" w:cstheme="minorHAnsi"/>
                <w:sz w:val="16"/>
                <w:szCs w:val="16"/>
              </w:rPr>
            </w:pPr>
            <w:r w:rsidRPr="00F56BBC">
              <w:rPr>
                <w:rFonts w:asciiTheme="minorHAnsi" w:hAnsiTheme="minorHAnsi" w:cstheme="minorHAnsi"/>
                <w:sz w:val="16"/>
                <w:szCs w:val="16"/>
              </w:rPr>
              <w:t>Type of compensation</w:t>
            </w:r>
          </w:p>
        </w:tc>
        <w:tc>
          <w:tcPr>
            <w:tcW w:w="1841" w:type="pct"/>
            <w:tcBorders>
              <w:bottom w:val="single" w:sz="8" w:space="0" w:color="A32020" w:themeColor="accent1"/>
            </w:tcBorders>
            <w:vAlign w:val="center"/>
          </w:tcPr>
          <w:p w:rsidR="00F56BBC" w:rsidRPr="00F56BBC" w:rsidRDefault="00F56BBC" w:rsidP="000223BE">
            <w:pPr>
              <w:pStyle w:val="PwCNormal"/>
              <w:keepNext/>
              <w:keepLines/>
              <w:numPr>
                <w:ilvl w:val="0"/>
                <w:numId w:val="0"/>
              </w:num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56BBC">
              <w:rPr>
                <w:rFonts w:asciiTheme="minorHAnsi" w:hAnsiTheme="minorHAnsi" w:cstheme="minorHAnsi"/>
                <w:sz w:val="16"/>
                <w:szCs w:val="16"/>
              </w:rPr>
              <w:t>Post-Serwylo impact per new accident year</w:t>
            </w:r>
          </w:p>
        </w:tc>
      </w:tr>
      <w:tr w:rsidR="00F56BBC" w:rsidRPr="00F56BBC" w:rsidTr="00022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9" w:type="pct"/>
            <w:tcBorders>
              <w:bottom w:val="nil"/>
            </w:tcBorders>
            <w:vAlign w:val="center"/>
          </w:tcPr>
          <w:p w:rsidR="00F56BBC" w:rsidRPr="00F56BBC" w:rsidRDefault="00F56BBC" w:rsidP="000223BE">
            <w:pPr>
              <w:pStyle w:val="PwCNormal"/>
              <w:keepNext/>
              <w:keepLines/>
              <w:numPr>
                <w:ilvl w:val="0"/>
                <w:numId w:val="0"/>
              </w:numPr>
              <w:rPr>
                <w:rFonts w:asciiTheme="minorHAnsi" w:hAnsiTheme="minorHAnsi" w:cstheme="minorHAnsi"/>
                <w:b w:val="0"/>
                <w:sz w:val="16"/>
                <w:szCs w:val="16"/>
              </w:rPr>
            </w:pPr>
            <w:r w:rsidRPr="00F56BBC">
              <w:rPr>
                <w:rFonts w:asciiTheme="minorHAnsi" w:hAnsiTheme="minorHAnsi" w:cstheme="minorHAnsi"/>
                <w:b w:val="0"/>
                <w:sz w:val="16"/>
                <w:szCs w:val="16"/>
              </w:rPr>
              <w:t xml:space="preserve">Additional liability incurred post-Serwylo </w:t>
            </w:r>
          </w:p>
        </w:tc>
        <w:tc>
          <w:tcPr>
            <w:tcW w:w="1841" w:type="pct"/>
            <w:tcBorders>
              <w:bottom w:val="nil"/>
            </w:tcBorders>
            <w:vAlign w:val="center"/>
          </w:tcPr>
          <w:p w:rsidR="00F56BBC" w:rsidRPr="00566D61" w:rsidRDefault="00F56BBC" w:rsidP="000223BE">
            <w:pPr>
              <w:pStyle w:val="PwCNormal"/>
              <w:keepNext/>
              <w:keepLines/>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Pr>
                <w:rFonts w:asciiTheme="minorHAnsi" w:hAnsiTheme="minorHAnsi" w:cstheme="minorHAnsi"/>
                <w:sz w:val="16"/>
                <w:szCs w:val="16"/>
              </w:rPr>
              <w:t>$67.5m</w:t>
            </w:r>
          </w:p>
        </w:tc>
      </w:tr>
      <w:tr w:rsidR="00F56BBC" w:rsidRPr="00F56BBC" w:rsidTr="000223BE">
        <w:tc>
          <w:tcPr>
            <w:cnfStyle w:val="001000000000" w:firstRow="0" w:lastRow="0" w:firstColumn="1" w:lastColumn="0" w:oddVBand="0" w:evenVBand="0" w:oddHBand="0" w:evenHBand="0" w:firstRowFirstColumn="0" w:firstRowLastColumn="0" w:lastRowFirstColumn="0" w:lastRowLastColumn="0"/>
            <w:tcW w:w="3159" w:type="pct"/>
            <w:tcBorders>
              <w:top w:val="nil"/>
              <w:bottom w:val="nil"/>
            </w:tcBorders>
            <w:vAlign w:val="center"/>
          </w:tcPr>
          <w:p w:rsidR="00F56BBC" w:rsidRPr="00F56BBC" w:rsidRDefault="00F56BBC" w:rsidP="000223BE">
            <w:pPr>
              <w:pStyle w:val="PwCNormal"/>
              <w:keepNext/>
              <w:keepLines/>
              <w:numPr>
                <w:ilvl w:val="0"/>
                <w:numId w:val="0"/>
              </w:numPr>
              <w:rPr>
                <w:rFonts w:asciiTheme="minorHAnsi" w:hAnsiTheme="minorHAnsi" w:cstheme="minorHAnsi"/>
                <w:b w:val="0"/>
                <w:sz w:val="16"/>
                <w:szCs w:val="16"/>
              </w:rPr>
            </w:pPr>
            <w:r w:rsidRPr="00F56BBC">
              <w:rPr>
                <w:rFonts w:asciiTheme="minorHAnsi" w:hAnsiTheme="minorHAnsi" w:cstheme="minorHAnsi"/>
                <w:b w:val="0"/>
                <w:sz w:val="16"/>
                <w:szCs w:val="16"/>
              </w:rPr>
              <w:t>Potential liability reversed by GMD</w:t>
            </w:r>
          </w:p>
        </w:tc>
        <w:tc>
          <w:tcPr>
            <w:tcW w:w="1841" w:type="pct"/>
            <w:tcBorders>
              <w:top w:val="nil"/>
              <w:bottom w:val="nil"/>
            </w:tcBorders>
            <w:vAlign w:val="center"/>
          </w:tcPr>
          <w:p w:rsidR="00F56BBC" w:rsidRPr="00566D61" w:rsidRDefault="00F56BBC" w:rsidP="000223BE">
            <w:pPr>
              <w:pStyle w:val="PwCNormal"/>
              <w:keepNext/>
              <w:keepLines/>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Pr>
                <w:rFonts w:asciiTheme="minorHAnsi" w:hAnsiTheme="minorHAnsi" w:cstheme="minorHAnsi"/>
                <w:sz w:val="16"/>
                <w:szCs w:val="16"/>
              </w:rPr>
              <w:t>$50.3m</w:t>
            </w:r>
          </w:p>
        </w:tc>
      </w:tr>
      <w:tr w:rsidR="00F56BBC" w:rsidRPr="00F56BBC" w:rsidTr="00022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9" w:type="pct"/>
            <w:tcBorders>
              <w:top w:val="nil"/>
              <w:bottom w:val="nil"/>
            </w:tcBorders>
            <w:vAlign w:val="center"/>
          </w:tcPr>
          <w:p w:rsidR="00F56BBC" w:rsidRPr="003C217B" w:rsidRDefault="00F56BBC" w:rsidP="000223BE">
            <w:pPr>
              <w:pStyle w:val="PwCNormal"/>
              <w:keepNext/>
              <w:keepLines/>
              <w:numPr>
                <w:ilvl w:val="0"/>
                <w:numId w:val="0"/>
              </w:numPr>
              <w:rPr>
                <w:rFonts w:asciiTheme="minorHAnsi" w:hAnsiTheme="minorHAnsi" w:cstheme="minorHAnsi"/>
                <w:b w:val="0"/>
                <w:sz w:val="16"/>
                <w:szCs w:val="16"/>
              </w:rPr>
            </w:pPr>
            <w:r w:rsidRPr="0070528C">
              <w:rPr>
                <w:rFonts w:asciiTheme="minorHAnsi" w:hAnsiTheme="minorHAnsi" w:cstheme="minorHAnsi"/>
                <w:b w:val="0"/>
                <w:sz w:val="16"/>
                <w:szCs w:val="16"/>
              </w:rPr>
              <w:t xml:space="preserve">Liability reversed under </w:t>
            </w:r>
            <w:r w:rsidR="0064275C" w:rsidRPr="00E268B1">
              <w:rPr>
                <w:rFonts w:asciiTheme="minorHAnsi" w:hAnsiTheme="minorHAnsi" w:cstheme="minorHAnsi"/>
                <w:sz w:val="16"/>
                <w:szCs w:val="16"/>
              </w:rPr>
              <w:t>Implementation</w:t>
            </w:r>
            <w:r w:rsidR="0064275C" w:rsidRPr="00DA2AF8">
              <w:rPr>
                <w:rFonts w:asciiTheme="minorHAnsi" w:hAnsiTheme="minorHAnsi" w:cstheme="minorHAnsi"/>
                <w:b w:val="0"/>
                <w:sz w:val="16"/>
                <w:szCs w:val="16"/>
              </w:rPr>
              <w:t xml:space="preserve"> </w:t>
            </w:r>
            <w:r w:rsidRPr="003C217B">
              <w:rPr>
                <w:rFonts w:asciiTheme="minorHAnsi" w:hAnsiTheme="minorHAnsi" w:cstheme="minorHAnsi"/>
                <w:b w:val="0"/>
                <w:sz w:val="16"/>
                <w:szCs w:val="16"/>
              </w:rPr>
              <w:t>Option1</w:t>
            </w:r>
          </w:p>
        </w:tc>
        <w:tc>
          <w:tcPr>
            <w:tcW w:w="1841" w:type="pct"/>
            <w:tcBorders>
              <w:top w:val="nil"/>
              <w:bottom w:val="nil"/>
            </w:tcBorders>
            <w:vAlign w:val="center"/>
          </w:tcPr>
          <w:p w:rsidR="00F56BBC" w:rsidRDefault="00F56BBC" w:rsidP="000223BE">
            <w:pPr>
              <w:pStyle w:val="PwCNormal"/>
              <w:keepNext/>
              <w:keepLines/>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Pr>
                <w:rFonts w:asciiTheme="minorHAnsi" w:hAnsiTheme="minorHAnsi" w:cstheme="minorHAnsi"/>
                <w:sz w:val="16"/>
                <w:szCs w:val="16"/>
              </w:rPr>
              <w:t>$0m</w:t>
            </w:r>
          </w:p>
        </w:tc>
      </w:tr>
      <w:tr w:rsidR="00F56BBC" w:rsidRPr="00F56BBC" w:rsidTr="000223BE">
        <w:tc>
          <w:tcPr>
            <w:cnfStyle w:val="001000000000" w:firstRow="0" w:lastRow="0" w:firstColumn="1" w:lastColumn="0" w:oddVBand="0" w:evenVBand="0" w:oddHBand="0" w:evenHBand="0" w:firstRowFirstColumn="0" w:firstRowLastColumn="0" w:lastRowFirstColumn="0" w:lastRowLastColumn="0"/>
            <w:tcW w:w="3159" w:type="pct"/>
            <w:tcBorders>
              <w:top w:val="nil"/>
              <w:bottom w:val="single" w:sz="8" w:space="0" w:color="A32020" w:themeColor="accent1"/>
            </w:tcBorders>
            <w:vAlign w:val="center"/>
          </w:tcPr>
          <w:p w:rsidR="00F56BBC" w:rsidRPr="003C217B" w:rsidRDefault="00F56BBC" w:rsidP="000223BE">
            <w:pPr>
              <w:pStyle w:val="PwCNormal"/>
              <w:keepNext/>
              <w:keepLines/>
              <w:numPr>
                <w:ilvl w:val="0"/>
                <w:numId w:val="0"/>
              </w:numPr>
              <w:rPr>
                <w:rFonts w:asciiTheme="minorHAnsi" w:hAnsiTheme="minorHAnsi" w:cstheme="minorHAnsi"/>
                <w:b w:val="0"/>
                <w:sz w:val="16"/>
                <w:szCs w:val="16"/>
              </w:rPr>
            </w:pPr>
            <w:r w:rsidRPr="00DA2AF8">
              <w:rPr>
                <w:rFonts w:asciiTheme="minorHAnsi" w:hAnsiTheme="minorHAnsi" w:cstheme="minorHAnsi"/>
                <w:b w:val="0"/>
                <w:sz w:val="16"/>
                <w:szCs w:val="16"/>
              </w:rPr>
              <w:t xml:space="preserve">Liability reversed under </w:t>
            </w:r>
            <w:r w:rsidR="0064275C" w:rsidRPr="00E268B1">
              <w:rPr>
                <w:rFonts w:asciiTheme="minorHAnsi" w:hAnsiTheme="minorHAnsi" w:cstheme="minorHAnsi"/>
                <w:sz w:val="16"/>
                <w:szCs w:val="16"/>
              </w:rPr>
              <w:t>Implementation</w:t>
            </w:r>
            <w:r w:rsidR="0064275C" w:rsidRPr="00DA2AF8">
              <w:rPr>
                <w:rFonts w:asciiTheme="minorHAnsi" w:hAnsiTheme="minorHAnsi" w:cstheme="minorHAnsi"/>
                <w:b w:val="0"/>
                <w:sz w:val="16"/>
                <w:szCs w:val="16"/>
              </w:rPr>
              <w:t xml:space="preserve"> </w:t>
            </w:r>
            <w:r w:rsidRPr="003C217B">
              <w:rPr>
                <w:rFonts w:asciiTheme="minorHAnsi" w:hAnsiTheme="minorHAnsi" w:cstheme="minorHAnsi"/>
                <w:b w:val="0"/>
                <w:sz w:val="16"/>
                <w:szCs w:val="16"/>
              </w:rPr>
              <w:t>Option 2</w:t>
            </w:r>
          </w:p>
        </w:tc>
        <w:tc>
          <w:tcPr>
            <w:tcW w:w="1841" w:type="pct"/>
            <w:tcBorders>
              <w:top w:val="nil"/>
              <w:bottom w:val="single" w:sz="8" w:space="0" w:color="A32020" w:themeColor="accent1"/>
            </w:tcBorders>
            <w:vAlign w:val="center"/>
          </w:tcPr>
          <w:p w:rsidR="00F56BBC" w:rsidRDefault="00F56BBC" w:rsidP="000223BE">
            <w:pPr>
              <w:pStyle w:val="PwCNormal"/>
              <w:keepNext/>
              <w:keepLines/>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Pr>
                <w:rFonts w:asciiTheme="minorHAnsi" w:hAnsiTheme="minorHAnsi" w:cstheme="minorHAnsi"/>
                <w:sz w:val="16"/>
                <w:szCs w:val="16"/>
              </w:rPr>
              <w:t>$46m</w:t>
            </w:r>
          </w:p>
        </w:tc>
      </w:tr>
    </w:tbl>
    <w:p w:rsidR="00152868" w:rsidRDefault="00381E9E" w:rsidP="00DC4F48">
      <w:pPr>
        <w:pStyle w:val="PwCNormal"/>
        <w:numPr>
          <w:ilvl w:val="0"/>
          <w:numId w:val="0"/>
        </w:numPr>
      </w:pPr>
      <w:r w:rsidRPr="00566D61">
        <w:rPr>
          <w:color w:val="A32020" w:themeColor="text2"/>
          <w:sz w:val="16"/>
        </w:rPr>
        <w:t>Source: PwC analysis of detailed TAC data</w:t>
      </w:r>
    </w:p>
    <w:p w:rsidR="00B470D8" w:rsidRDefault="00B36AFD" w:rsidP="00B470D8">
      <w:pPr>
        <w:pStyle w:val="Minorheading"/>
      </w:pPr>
      <w:r>
        <w:t>Number of claims affected vs value of transfer</w:t>
      </w:r>
      <w:r w:rsidR="00AE6298">
        <w:t xml:space="preserve"> under each implementation option</w:t>
      </w:r>
    </w:p>
    <w:p w:rsidR="00E268B1" w:rsidRDefault="00E268B1" w:rsidP="001E49D4">
      <w:pPr>
        <w:pStyle w:val="Caption"/>
      </w:pPr>
      <w:bookmarkStart w:id="139" w:name="_Ref391323452"/>
      <w:r>
        <w:t xml:space="preserve">Table </w:t>
      </w:r>
      <w:fldSimple w:instr=" SEQ Table \* ARABIC ">
        <w:r w:rsidR="00542564">
          <w:rPr>
            <w:noProof/>
          </w:rPr>
          <w:t>23</w:t>
        </w:r>
      </w:fldSimple>
      <w:bookmarkEnd w:id="139"/>
      <w:r w:rsidR="00AE6298">
        <w:t>: Extract of equity impact and transfer under each implementation option</w:t>
      </w:r>
    </w:p>
    <w:tbl>
      <w:tblPr>
        <w:tblStyle w:val="LightList-Accent1"/>
        <w:tblW w:w="5000" w:type="pct"/>
        <w:tblLook w:val="04A0" w:firstRow="1" w:lastRow="0" w:firstColumn="1" w:lastColumn="0" w:noHBand="0" w:noVBand="1"/>
      </w:tblPr>
      <w:tblGrid>
        <w:gridCol w:w="2535"/>
        <w:gridCol w:w="1477"/>
        <w:gridCol w:w="1476"/>
        <w:gridCol w:w="1476"/>
        <w:gridCol w:w="1473"/>
      </w:tblGrid>
      <w:tr w:rsidR="00EE6E4F" w:rsidRPr="00F56BBC" w:rsidTr="001E49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pct"/>
            <w:tcBorders>
              <w:bottom w:val="single" w:sz="8" w:space="0" w:color="A32020" w:themeColor="accent1"/>
            </w:tcBorders>
            <w:vAlign w:val="center"/>
          </w:tcPr>
          <w:p w:rsidR="00EE6E4F" w:rsidRPr="001E49D4" w:rsidRDefault="00EE6E4F" w:rsidP="00035B7B">
            <w:pPr>
              <w:pStyle w:val="PwCNormal"/>
              <w:keepNext/>
              <w:keepLines/>
              <w:numPr>
                <w:ilvl w:val="0"/>
                <w:numId w:val="0"/>
              </w:numPr>
              <w:spacing w:before="60" w:after="60"/>
              <w:rPr>
                <w:rFonts w:asciiTheme="minorHAnsi" w:hAnsiTheme="minorHAnsi" w:cstheme="minorHAnsi"/>
                <w:color w:val="FFFFFF" w:themeColor="background2"/>
                <w:sz w:val="16"/>
                <w:szCs w:val="16"/>
              </w:rPr>
            </w:pPr>
            <w:r w:rsidRPr="001E49D4">
              <w:rPr>
                <w:rFonts w:asciiTheme="minorHAnsi" w:hAnsiTheme="minorHAnsi" w:cstheme="minorHAnsi"/>
                <w:color w:val="FFFFFF" w:themeColor="background2"/>
                <w:sz w:val="16"/>
                <w:szCs w:val="16"/>
              </w:rPr>
              <w:t>Type of compensation</w:t>
            </w:r>
          </w:p>
        </w:tc>
        <w:tc>
          <w:tcPr>
            <w:tcW w:w="875" w:type="pct"/>
            <w:tcBorders>
              <w:bottom w:val="single" w:sz="8" w:space="0" w:color="A32020" w:themeColor="accent1"/>
            </w:tcBorders>
            <w:vAlign w:val="center"/>
          </w:tcPr>
          <w:p w:rsidR="00EE6E4F" w:rsidRPr="001E49D4" w:rsidRDefault="00EE6E4F" w:rsidP="00035B7B">
            <w:pPr>
              <w:pStyle w:val="PwCNormal"/>
              <w:keepNext/>
              <w:keepLines/>
              <w:numPr>
                <w:ilvl w:val="0"/>
                <w:numId w:val="0"/>
              </w:num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2"/>
                <w:sz w:val="16"/>
                <w:szCs w:val="16"/>
              </w:rPr>
            </w:pPr>
            <w:r w:rsidRPr="001E49D4">
              <w:rPr>
                <w:rFonts w:asciiTheme="minorHAnsi" w:hAnsiTheme="minorHAnsi" w:cstheme="minorHAnsi"/>
                <w:color w:val="FFFFFF" w:themeColor="background2"/>
                <w:sz w:val="16"/>
                <w:szCs w:val="16"/>
              </w:rPr>
              <w:t>Implementation Option 1</w:t>
            </w:r>
          </w:p>
        </w:tc>
        <w:tc>
          <w:tcPr>
            <w:tcW w:w="875" w:type="pct"/>
            <w:tcBorders>
              <w:bottom w:val="single" w:sz="8" w:space="0" w:color="A32020" w:themeColor="accent1"/>
            </w:tcBorders>
          </w:tcPr>
          <w:p w:rsidR="00EE6E4F" w:rsidRPr="001E49D4" w:rsidRDefault="00EE6E4F" w:rsidP="00035B7B">
            <w:pPr>
              <w:pStyle w:val="PwCNormal"/>
              <w:keepNext/>
              <w:keepLines/>
              <w:numPr>
                <w:ilvl w:val="0"/>
                <w:numId w:val="0"/>
              </w:num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2"/>
                <w:sz w:val="16"/>
                <w:szCs w:val="16"/>
              </w:rPr>
            </w:pPr>
            <w:r w:rsidRPr="001E49D4">
              <w:rPr>
                <w:rFonts w:asciiTheme="minorHAnsi" w:hAnsiTheme="minorHAnsi" w:cstheme="minorHAnsi"/>
                <w:color w:val="FFFFFF" w:themeColor="background2"/>
                <w:sz w:val="16"/>
                <w:szCs w:val="16"/>
              </w:rPr>
              <w:t>Implementation Option 2</w:t>
            </w:r>
          </w:p>
        </w:tc>
        <w:tc>
          <w:tcPr>
            <w:tcW w:w="875" w:type="pct"/>
            <w:tcBorders>
              <w:bottom w:val="single" w:sz="8" w:space="0" w:color="A32020" w:themeColor="accent1"/>
            </w:tcBorders>
          </w:tcPr>
          <w:p w:rsidR="00EE6E4F" w:rsidRPr="001E49D4" w:rsidRDefault="00EE6E4F" w:rsidP="00035B7B">
            <w:pPr>
              <w:pStyle w:val="PwCNormal"/>
              <w:keepNext/>
              <w:keepLines/>
              <w:numPr>
                <w:ilvl w:val="0"/>
                <w:numId w:val="0"/>
              </w:num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2"/>
                <w:sz w:val="16"/>
                <w:szCs w:val="16"/>
              </w:rPr>
            </w:pPr>
            <w:r w:rsidRPr="001E49D4">
              <w:rPr>
                <w:rFonts w:asciiTheme="minorHAnsi" w:hAnsiTheme="minorHAnsi" w:cstheme="minorHAnsi"/>
                <w:color w:val="FFFFFF" w:themeColor="background2"/>
                <w:sz w:val="16"/>
                <w:szCs w:val="16"/>
              </w:rPr>
              <w:t>Difference</w:t>
            </w:r>
          </w:p>
        </w:tc>
        <w:tc>
          <w:tcPr>
            <w:tcW w:w="873" w:type="pct"/>
            <w:tcBorders>
              <w:bottom w:val="single" w:sz="8" w:space="0" w:color="A32020" w:themeColor="accent1"/>
            </w:tcBorders>
          </w:tcPr>
          <w:p w:rsidR="00EE6E4F" w:rsidRPr="001E49D4" w:rsidRDefault="00EE6E4F" w:rsidP="00035B7B">
            <w:pPr>
              <w:pStyle w:val="PwCNormal"/>
              <w:keepNext/>
              <w:keepLines/>
              <w:numPr>
                <w:ilvl w:val="0"/>
                <w:numId w:val="0"/>
              </w:num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2"/>
                <w:sz w:val="16"/>
                <w:szCs w:val="16"/>
              </w:rPr>
            </w:pPr>
            <w:r w:rsidRPr="001E49D4">
              <w:rPr>
                <w:rFonts w:asciiTheme="minorHAnsi" w:hAnsiTheme="minorHAnsi" w:cstheme="minorHAnsi"/>
                <w:color w:val="FFFFFF" w:themeColor="background2"/>
                <w:sz w:val="16"/>
                <w:szCs w:val="16"/>
              </w:rPr>
              <w:t>Percentage difference</w:t>
            </w:r>
          </w:p>
        </w:tc>
      </w:tr>
      <w:tr w:rsidR="00EE6E4F" w:rsidRPr="00F56BBC" w:rsidTr="001E49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pct"/>
            <w:tcBorders>
              <w:bottom w:val="nil"/>
            </w:tcBorders>
            <w:vAlign w:val="center"/>
          </w:tcPr>
          <w:p w:rsidR="00EE6E4F" w:rsidRPr="00F56BBC" w:rsidRDefault="00EE6E4F" w:rsidP="00035B7B">
            <w:pPr>
              <w:pStyle w:val="PwCNormal"/>
              <w:keepNext/>
              <w:keepLines/>
              <w:numPr>
                <w:ilvl w:val="0"/>
                <w:numId w:val="0"/>
              </w:numPr>
              <w:rPr>
                <w:rFonts w:asciiTheme="minorHAnsi" w:hAnsiTheme="minorHAnsi" w:cstheme="minorHAnsi"/>
                <w:b w:val="0"/>
                <w:sz w:val="16"/>
                <w:szCs w:val="16"/>
              </w:rPr>
            </w:pPr>
            <w:r>
              <w:rPr>
                <w:rFonts w:asciiTheme="minorHAnsi" w:hAnsiTheme="minorHAnsi" w:cstheme="minorHAnsi"/>
                <w:b w:val="0"/>
                <w:sz w:val="16"/>
                <w:szCs w:val="16"/>
              </w:rPr>
              <w:t>Number of claimants affected</w:t>
            </w:r>
          </w:p>
        </w:tc>
        <w:tc>
          <w:tcPr>
            <w:tcW w:w="875" w:type="pct"/>
            <w:tcBorders>
              <w:bottom w:val="nil"/>
            </w:tcBorders>
            <w:vAlign w:val="center"/>
          </w:tcPr>
          <w:p w:rsidR="00EE6E4F" w:rsidRPr="00566D61" w:rsidRDefault="00EE6E4F" w:rsidP="00035B7B">
            <w:pPr>
              <w:pStyle w:val="PwCNormal"/>
              <w:keepNext/>
              <w:keepLines/>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Pr>
                <w:rFonts w:asciiTheme="minorHAnsi" w:hAnsiTheme="minorHAnsi" w:cstheme="minorHAnsi"/>
                <w:sz w:val="16"/>
                <w:szCs w:val="16"/>
              </w:rPr>
              <w:t>1251</w:t>
            </w:r>
          </w:p>
        </w:tc>
        <w:tc>
          <w:tcPr>
            <w:tcW w:w="875" w:type="pct"/>
            <w:tcBorders>
              <w:bottom w:val="nil"/>
            </w:tcBorders>
          </w:tcPr>
          <w:p w:rsidR="00EE6E4F" w:rsidRDefault="00EE6E4F" w:rsidP="00035B7B">
            <w:pPr>
              <w:pStyle w:val="PwCNormal"/>
              <w:keepNext/>
              <w:keepLines/>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Pr>
                <w:rFonts w:asciiTheme="minorHAnsi" w:hAnsiTheme="minorHAnsi" w:cstheme="minorHAnsi"/>
                <w:sz w:val="16"/>
                <w:szCs w:val="16"/>
              </w:rPr>
              <w:t>1788</w:t>
            </w:r>
          </w:p>
        </w:tc>
        <w:tc>
          <w:tcPr>
            <w:tcW w:w="875" w:type="pct"/>
            <w:tcBorders>
              <w:bottom w:val="nil"/>
            </w:tcBorders>
          </w:tcPr>
          <w:p w:rsidR="00EE6E4F" w:rsidRDefault="00EE6E4F" w:rsidP="00EE6E4F">
            <w:pPr>
              <w:pStyle w:val="PwCNormal"/>
              <w:keepNext/>
              <w:keepLines/>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Pr>
                <w:rFonts w:asciiTheme="minorHAnsi" w:hAnsiTheme="minorHAnsi" w:cstheme="minorHAnsi"/>
                <w:sz w:val="16"/>
                <w:szCs w:val="16"/>
              </w:rPr>
              <w:t>537</w:t>
            </w:r>
          </w:p>
        </w:tc>
        <w:tc>
          <w:tcPr>
            <w:tcW w:w="873" w:type="pct"/>
            <w:tcBorders>
              <w:bottom w:val="nil"/>
            </w:tcBorders>
          </w:tcPr>
          <w:p w:rsidR="00EE6E4F" w:rsidRPr="001E49D4" w:rsidRDefault="00EE6E4F" w:rsidP="00035B7B">
            <w:pPr>
              <w:pStyle w:val="PwCNormal"/>
              <w:keepNext/>
              <w:keepLines/>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r w:rsidRPr="001E49D4">
              <w:rPr>
                <w:rFonts w:asciiTheme="minorHAnsi" w:hAnsiTheme="minorHAnsi" w:cstheme="minorHAnsi"/>
                <w:b/>
                <w:sz w:val="16"/>
                <w:szCs w:val="16"/>
              </w:rPr>
              <w:t>43%</w:t>
            </w:r>
          </w:p>
        </w:tc>
      </w:tr>
      <w:tr w:rsidR="00EE6E4F" w:rsidRPr="00F56BBC" w:rsidTr="001E49D4">
        <w:tc>
          <w:tcPr>
            <w:cnfStyle w:val="001000000000" w:firstRow="0" w:lastRow="0" w:firstColumn="1" w:lastColumn="0" w:oddVBand="0" w:evenVBand="0" w:oddHBand="0" w:evenHBand="0" w:firstRowFirstColumn="0" w:firstRowLastColumn="0" w:lastRowFirstColumn="0" w:lastRowLastColumn="0"/>
            <w:tcW w:w="1502" w:type="pct"/>
            <w:tcBorders>
              <w:top w:val="nil"/>
              <w:bottom w:val="single" w:sz="8" w:space="0" w:color="A32020" w:themeColor="accent1"/>
            </w:tcBorders>
            <w:vAlign w:val="center"/>
          </w:tcPr>
          <w:p w:rsidR="00EE6E4F" w:rsidRPr="00F56BBC" w:rsidRDefault="00EE6E4F" w:rsidP="00035B7B">
            <w:pPr>
              <w:pStyle w:val="PwCNormal"/>
              <w:keepNext/>
              <w:keepLines/>
              <w:numPr>
                <w:ilvl w:val="0"/>
                <w:numId w:val="0"/>
              </w:numPr>
              <w:rPr>
                <w:rFonts w:asciiTheme="minorHAnsi" w:hAnsiTheme="minorHAnsi" w:cstheme="minorHAnsi"/>
                <w:b w:val="0"/>
                <w:sz w:val="16"/>
                <w:szCs w:val="16"/>
              </w:rPr>
            </w:pPr>
            <w:r>
              <w:rPr>
                <w:rFonts w:asciiTheme="minorHAnsi" w:hAnsiTheme="minorHAnsi" w:cstheme="minorHAnsi"/>
                <w:b w:val="0"/>
                <w:sz w:val="16"/>
                <w:szCs w:val="16"/>
              </w:rPr>
              <w:t>Value of transfer</w:t>
            </w:r>
          </w:p>
        </w:tc>
        <w:tc>
          <w:tcPr>
            <w:tcW w:w="875" w:type="pct"/>
            <w:tcBorders>
              <w:top w:val="nil"/>
              <w:bottom w:val="single" w:sz="8" w:space="0" w:color="A32020" w:themeColor="accent1"/>
            </w:tcBorders>
            <w:vAlign w:val="center"/>
          </w:tcPr>
          <w:p w:rsidR="00EE6E4F" w:rsidRPr="00566D61" w:rsidRDefault="00EE6E4F" w:rsidP="00035B7B">
            <w:pPr>
              <w:pStyle w:val="PwCNormal"/>
              <w:keepNext/>
              <w:keepLines/>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Pr>
                <w:rFonts w:asciiTheme="minorHAnsi" w:hAnsiTheme="minorHAnsi" w:cstheme="minorHAnsi"/>
                <w:sz w:val="16"/>
                <w:szCs w:val="16"/>
              </w:rPr>
              <w:t>$68.4m</w:t>
            </w:r>
          </w:p>
        </w:tc>
        <w:tc>
          <w:tcPr>
            <w:tcW w:w="875" w:type="pct"/>
            <w:tcBorders>
              <w:top w:val="nil"/>
              <w:bottom w:val="single" w:sz="8" w:space="0" w:color="A32020" w:themeColor="accent1"/>
            </w:tcBorders>
          </w:tcPr>
          <w:p w:rsidR="00EE6E4F" w:rsidRDefault="00EE6E4F" w:rsidP="00035B7B">
            <w:pPr>
              <w:pStyle w:val="PwCNormal"/>
              <w:keepNext/>
              <w:keepLines/>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Pr>
                <w:rFonts w:asciiTheme="minorHAnsi" w:hAnsiTheme="minorHAnsi" w:cstheme="minorHAnsi"/>
                <w:sz w:val="16"/>
                <w:szCs w:val="16"/>
              </w:rPr>
              <w:t>$114.4m</w:t>
            </w:r>
          </w:p>
        </w:tc>
        <w:tc>
          <w:tcPr>
            <w:tcW w:w="875" w:type="pct"/>
            <w:tcBorders>
              <w:top w:val="nil"/>
              <w:bottom w:val="single" w:sz="8" w:space="0" w:color="A32020" w:themeColor="accent1"/>
            </w:tcBorders>
          </w:tcPr>
          <w:p w:rsidR="00EE6E4F" w:rsidRDefault="00EE6E4F" w:rsidP="00035B7B">
            <w:pPr>
              <w:pStyle w:val="PwCNormal"/>
              <w:keepNext/>
              <w:keepLines/>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Pr>
                <w:rFonts w:asciiTheme="minorHAnsi" w:hAnsiTheme="minorHAnsi" w:cstheme="minorHAnsi"/>
                <w:sz w:val="16"/>
                <w:szCs w:val="16"/>
              </w:rPr>
              <w:t>$46m</w:t>
            </w:r>
          </w:p>
        </w:tc>
        <w:tc>
          <w:tcPr>
            <w:tcW w:w="873" w:type="pct"/>
            <w:tcBorders>
              <w:top w:val="nil"/>
              <w:bottom w:val="single" w:sz="8" w:space="0" w:color="A32020" w:themeColor="accent1"/>
            </w:tcBorders>
          </w:tcPr>
          <w:p w:rsidR="00EE6E4F" w:rsidRPr="001E49D4" w:rsidRDefault="00EE6E4F" w:rsidP="00035B7B">
            <w:pPr>
              <w:pStyle w:val="PwCNormal"/>
              <w:keepNext/>
              <w:keepLines/>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1E49D4">
              <w:rPr>
                <w:rFonts w:asciiTheme="minorHAnsi" w:hAnsiTheme="minorHAnsi" w:cstheme="minorHAnsi"/>
                <w:b/>
                <w:sz w:val="16"/>
                <w:szCs w:val="16"/>
              </w:rPr>
              <w:t>67%</w:t>
            </w:r>
          </w:p>
        </w:tc>
      </w:tr>
    </w:tbl>
    <w:p w:rsidR="00B470D8" w:rsidRDefault="00EE6E4F" w:rsidP="001E49D4">
      <w:pPr>
        <w:pStyle w:val="Sources"/>
      </w:pPr>
      <w:r w:rsidRPr="00566D61">
        <w:t>Source: PwC analysis of detailed TAC data</w:t>
      </w:r>
    </w:p>
    <w:p w:rsidR="00B13DFD" w:rsidRDefault="00E268B1" w:rsidP="0070528C">
      <w:pPr>
        <w:pStyle w:val="PwCNormal"/>
        <w:numPr>
          <w:ilvl w:val="0"/>
          <w:numId w:val="0"/>
        </w:numPr>
      </w:pPr>
      <w:r>
        <w:t xml:space="preserve">As shown in </w:t>
      </w:r>
      <w:r>
        <w:fldChar w:fldCharType="begin"/>
      </w:r>
      <w:r>
        <w:instrText xml:space="preserve"> REF _Ref391323452 \h </w:instrText>
      </w:r>
      <w:r>
        <w:fldChar w:fldCharType="separate"/>
      </w:r>
      <w:r w:rsidR="00542564">
        <w:t xml:space="preserve">Table </w:t>
      </w:r>
      <w:r w:rsidR="00542564">
        <w:rPr>
          <w:noProof/>
        </w:rPr>
        <w:t>23</w:t>
      </w:r>
      <w:r>
        <w:fldChar w:fldCharType="end"/>
      </w:r>
      <w:r w:rsidR="00EE6E4F">
        <w:t>, Implementation Option 2 affects 43 per cent more claimants</w:t>
      </w:r>
      <w:r w:rsidR="00447FF7">
        <w:t xml:space="preserve"> but represents an additional transfer of 67 per cent. This nonlinearity is based on differences in average cost between existing and future claimants. The transfer value in Implementation Option 1 is based on future claimants only, and is therefore a function of the cost per new accident year of $8.5 million, outlined in </w:t>
      </w:r>
      <w:r w:rsidR="00447FF7">
        <w:fldChar w:fldCharType="begin"/>
      </w:r>
      <w:r w:rsidR="00447FF7">
        <w:instrText xml:space="preserve"> REF _Ref388535037 \h </w:instrText>
      </w:r>
      <w:r w:rsidR="00447FF7">
        <w:fldChar w:fldCharType="separate"/>
      </w:r>
      <w:r w:rsidR="00542564">
        <w:t xml:space="preserve">Table </w:t>
      </w:r>
      <w:r w:rsidR="00542564">
        <w:rPr>
          <w:noProof/>
        </w:rPr>
        <w:t>20</w:t>
      </w:r>
      <w:r w:rsidR="00447FF7">
        <w:fldChar w:fldCharType="end"/>
      </w:r>
      <w:r w:rsidR="00447FF7">
        <w:t xml:space="preserve">. </w:t>
      </w:r>
      <w:r w:rsidR="00B13DFD">
        <w:t>The largest component of this cost relates to impairment benefits, which account for approximately 40 per cent ($3.4</w:t>
      </w:r>
      <w:r w:rsidR="000C40D6">
        <w:t xml:space="preserve"> </w:t>
      </w:r>
      <w:r w:rsidR="00B13DFD">
        <w:t>m</w:t>
      </w:r>
      <w:r w:rsidR="000C40D6">
        <w:t>illion</w:t>
      </w:r>
      <w:r w:rsidR="00B13DFD">
        <w:t>/</w:t>
      </w:r>
      <w:r w:rsidR="000C40D6">
        <w:t>$</w:t>
      </w:r>
      <w:r w:rsidR="00B13DFD">
        <w:t>8.5</w:t>
      </w:r>
      <w:r w:rsidR="000C40D6">
        <w:t xml:space="preserve"> </w:t>
      </w:r>
      <w:r w:rsidR="00B13DFD">
        <w:t>m</w:t>
      </w:r>
      <w:r w:rsidR="000C40D6">
        <w:t>illion</w:t>
      </w:r>
      <w:r w:rsidR="00B13DFD">
        <w:t xml:space="preserve">). </w:t>
      </w:r>
    </w:p>
    <w:p w:rsidR="00EB7D72" w:rsidRDefault="00B13DFD" w:rsidP="0070528C">
      <w:pPr>
        <w:pStyle w:val="PwCNormal"/>
        <w:numPr>
          <w:ilvl w:val="0"/>
          <w:numId w:val="0"/>
        </w:numPr>
      </w:pPr>
      <w:r>
        <w:t xml:space="preserve">On the other hand, the transfer value of Implementation Option 2 is based partially on the payments owing to existing claimants, which is represented by the liability calculations outlined in </w:t>
      </w:r>
      <w:r>
        <w:fldChar w:fldCharType="begin"/>
      </w:r>
      <w:r>
        <w:instrText xml:space="preserve"> REF _Ref389226842 \h </w:instrText>
      </w:r>
      <w:r>
        <w:fldChar w:fldCharType="separate"/>
      </w:r>
      <w:r w:rsidR="00542564">
        <w:t xml:space="preserve">Table </w:t>
      </w:r>
      <w:r w:rsidR="00542564">
        <w:rPr>
          <w:noProof/>
        </w:rPr>
        <w:t>21</w:t>
      </w:r>
      <w:r>
        <w:fldChar w:fldCharType="end"/>
      </w:r>
      <w:r>
        <w:t xml:space="preserve">. The liability </w:t>
      </w:r>
      <w:r w:rsidR="00EB7D72">
        <w:t>figure of $50.3m is</w:t>
      </w:r>
      <w:r>
        <w:t xml:space="preserve"> heavily dominated by the LOEC benefits ($24.4</w:t>
      </w:r>
      <w:r w:rsidR="000C40D6">
        <w:t xml:space="preserve"> </w:t>
      </w:r>
      <w:r>
        <w:t>m</w:t>
      </w:r>
      <w:r w:rsidR="000C40D6">
        <w:t>illion</w:t>
      </w:r>
      <w:r>
        <w:t>/$50.3</w:t>
      </w:r>
      <w:r w:rsidR="000C40D6">
        <w:t xml:space="preserve"> </w:t>
      </w:r>
      <w:r>
        <w:t>m</w:t>
      </w:r>
      <w:r w:rsidR="000C40D6">
        <w:t>illion</w:t>
      </w:r>
      <w:r>
        <w:t xml:space="preserve"> = 49 per cent)</w:t>
      </w:r>
      <w:r w:rsidR="00EB7D72">
        <w:t>. This is due to LOEC benefits traditionally taking much longer to pay out than the other two compensation types, which are lump sum in nature.</w:t>
      </w:r>
    </w:p>
    <w:p w:rsidR="006916CB" w:rsidRDefault="00EB7D72" w:rsidP="0070528C">
      <w:pPr>
        <w:pStyle w:val="PwCNormal"/>
        <w:numPr>
          <w:ilvl w:val="0"/>
          <w:numId w:val="0"/>
        </w:numPr>
      </w:pPr>
      <w:r>
        <w:t xml:space="preserve">Therefore, the weighting between the three compensation types for future and existing claimants differs. This has important implications on the transfer values as LOEC benefits have a </w:t>
      </w:r>
      <w:r w:rsidR="006916CB">
        <w:t xml:space="preserve">much </w:t>
      </w:r>
      <w:r>
        <w:t xml:space="preserve">higher average cost per claimant associated with them than </w:t>
      </w:r>
      <w:r w:rsidR="006916CB">
        <w:t xml:space="preserve">impairment benefits </w:t>
      </w:r>
      <w:r w:rsidR="00167953">
        <w:t xml:space="preserve">due to their ongoing nature </w:t>
      </w:r>
      <w:r w:rsidR="006916CB">
        <w:t xml:space="preserve">(Refer </w:t>
      </w:r>
      <w:r>
        <w:fldChar w:fldCharType="begin"/>
      </w:r>
      <w:r>
        <w:instrText xml:space="preserve"> REF _Ref388003521 \h </w:instrText>
      </w:r>
      <w:r>
        <w:fldChar w:fldCharType="separate"/>
      </w:r>
      <w:r w:rsidR="00542564">
        <w:t xml:space="preserve">Table </w:t>
      </w:r>
      <w:r w:rsidR="00542564">
        <w:rPr>
          <w:noProof/>
        </w:rPr>
        <w:t>14</w:t>
      </w:r>
      <w:r>
        <w:fldChar w:fldCharType="end"/>
      </w:r>
      <w:r w:rsidR="00D20617">
        <w:t xml:space="preserve">, </w:t>
      </w:r>
      <w:r>
        <w:fldChar w:fldCharType="begin"/>
      </w:r>
      <w:r>
        <w:instrText xml:space="preserve"> REF _Ref386546308 \h </w:instrText>
      </w:r>
      <w:r>
        <w:fldChar w:fldCharType="separate"/>
      </w:r>
      <w:r w:rsidR="00542564">
        <w:t xml:space="preserve">Table </w:t>
      </w:r>
      <w:r w:rsidR="00542564">
        <w:rPr>
          <w:noProof/>
        </w:rPr>
        <w:t>15</w:t>
      </w:r>
      <w:r>
        <w:fldChar w:fldCharType="end"/>
      </w:r>
      <w:r w:rsidR="006916CB">
        <w:t xml:space="preserve"> and </w:t>
      </w:r>
      <w:r>
        <w:fldChar w:fldCharType="begin"/>
      </w:r>
      <w:r>
        <w:instrText xml:space="preserve"> REF _Ref386493747 \h </w:instrText>
      </w:r>
      <w:r>
        <w:fldChar w:fldCharType="separate"/>
      </w:r>
      <w:r w:rsidR="00542564">
        <w:t xml:space="preserve">Table </w:t>
      </w:r>
      <w:r w:rsidR="00542564">
        <w:rPr>
          <w:noProof/>
        </w:rPr>
        <w:t>17</w:t>
      </w:r>
      <w:r>
        <w:fldChar w:fldCharType="end"/>
      </w:r>
      <w:r w:rsidR="006916CB">
        <w:t>)</w:t>
      </w:r>
      <w:r w:rsidR="00167953">
        <w:t>.</w:t>
      </w:r>
    </w:p>
    <w:p w:rsidR="00B470D8" w:rsidRDefault="009E2B2E" w:rsidP="0070528C">
      <w:pPr>
        <w:pStyle w:val="PwCNormal"/>
        <w:numPr>
          <w:ilvl w:val="0"/>
          <w:numId w:val="0"/>
        </w:numPr>
      </w:pPr>
      <w:r>
        <w:t>Hence, the 516</w:t>
      </w:r>
      <w:r w:rsidR="006916CB">
        <w:t xml:space="preserve"> existing claimants</w:t>
      </w:r>
      <w:r>
        <w:rPr>
          <w:rStyle w:val="FootnoteReference"/>
        </w:rPr>
        <w:footnoteReference w:id="79"/>
      </w:r>
      <w:r w:rsidR="006916CB">
        <w:t xml:space="preserve"> affected under Implementation Option 2 have compensation entitlements that are skewed towards LOEC benefits, and therefore have a higher average cost associated with them. </w:t>
      </w:r>
    </w:p>
    <w:p w:rsidR="006916CB" w:rsidRDefault="006916CB" w:rsidP="0070528C">
      <w:pPr>
        <w:pStyle w:val="PwCNormal"/>
        <w:numPr>
          <w:ilvl w:val="0"/>
          <w:numId w:val="0"/>
        </w:numPr>
      </w:pPr>
      <w:r>
        <w:t>Further</w:t>
      </w:r>
      <w:r w:rsidR="00E268B1">
        <w:t>more, the liability calculation that is</w:t>
      </w:r>
      <w:r>
        <w:t xml:space="preserve"> the basis of the difference between the transfer amounts for </w:t>
      </w:r>
      <w:r w:rsidR="00E268B1">
        <w:t>the two options ($46</w:t>
      </w:r>
      <w:r w:rsidR="000C40D6">
        <w:t xml:space="preserve"> </w:t>
      </w:r>
      <w:r w:rsidR="00E268B1">
        <w:t>m</w:t>
      </w:r>
      <w:r w:rsidR="000C40D6">
        <w:t>illion</w:t>
      </w:r>
      <w:r w:rsidR="00E268B1">
        <w:t>)</w:t>
      </w:r>
      <w:r>
        <w:t xml:space="preserve"> also use</w:t>
      </w:r>
      <w:r w:rsidR="00E268B1">
        <w:t>s</w:t>
      </w:r>
      <w:r>
        <w:t xml:space="preserve"> a discount rate that is lower than the discount rate associated </w:t>
      </w:r>
      <w:r w:rsidR="00E268B1">
        <w:t xml:space="preserve">with the future claimant cost calculation (refer to footnote </w:t>
      </w:r>
      <w:r w:rsidR="00E268B1">
        <w:fldChar w:fldCharType="begin"/>
      </w:r>
      <w:r w:rsidR="00E268B1">
        <w:instrText xml:space="preserve"> NOTEREF _Ref391323711 \h </w:instrText>
      </w:r>
      <w:r w:rsidR="00E268B1">
        <w:fldChar w:fldCharType="separate"/>
      </w:r>
      <w:r w:rsidR="00542564">
        <w:t>77</w:t>
      </w:r>
      <w:r w:rsidR="00E268B1">
        <w:fldChar w:fldCharType="end"/>
      </w:r>
      <w:r w:rsidR="00D20617">
        <w:t xml:space="preserve"> for </w:t>
      </w:r>
      <w:r w:rsidR="00D20617">
        <w:lastRenderedPageBreak/>
        <w:t>explanation</w:t>
      </w:r>
      <w:r w:rsidR="00E268B1">
        <w:t xml:space="preserve">). This has the effect of </w:t>
      </w:r>
      <w:r w:rsidR="00D20617">
        <w:t xml:space="preserve">inflating the transfer of Implementation Option 2 and is therefore also partially responsible for the </w:t>
      </w:r>
      <w:r w:rsidR="001E1970">
        <w:t>non-linear relationship</w:t>
      </w:r>
      <w:r w:rsidR="00D20617">
        <w:t xml:space="preserve"> between the number of claims and the difference in the value of the transfer.</w:t>
      </w:r>
    </w:p>
    <w:p w:rsidR="00B470D8" w:rsidRDefault="00B470D8" w:rsidP="00DC4F48">
      <w:pPr>
        <w:pStyle w:val="PwCNormal"/>
        <w:numPr>
          <w:ilvl w:val="0"/>
          <w:numId w:val="0"/>
        </w:numPr>
        <w:sectPr w:rsidR="00B470D8" w:rsidSect="006B008A">
          <w:pgSz w:w="11907" w:h="16840" w:code="9"/>
          <w:pgMar w:top="1588" w:right="1843" w:bottom="1418" w:left="1843" w:header="567" w:footer="567" w:gutter="0"/>
          <w:cols w:space="227"/>
          <w:titlePg/>
          <w:docGrid w:linePitch="360"/>
        </w:sectPr>
      </w:pPr>
    </w:p>
    <w:p w:rsidR="00C507AA" w:rsidRDefault="00221B20" w:rsidP="00C507AA">
      <w:pPr>
        <w:pStyle w:val="Heading4"/>
      </w:pPr>
      <w:bookmarkStart w:id="140" w:name="_Toc386548901"/>
      <w:bookmarkStart w:id="141" w:name="_Toc386548931"/>
      <w:bookmarkStart w:id="142" w:name="_Toc386548902"/>
      <w:bookmarkStart w:id="143" w:name="_Toc386548932"/>
      <w:bookmarkStart w:id="144" w:name="_Toc386548903"/>
      <w:bookmarkStart w:id="145" w:name="_Toc386548933"/>
      <w:bookmarkStart w:id="146" w:name="_Toc386548904"/>
      <w:bookmarkStart w:id="147" w:name="_Toc386548934"/>
      <w:bookmarkStart w:id="148" w:name="_Toc386548905"/>
      <w:bookmarkStart w:id="149" w:name="_Toc386548935"/>
      <w:bookmarkStart w:id="150" w:name="_Toc386548906"/>
      <w:bookmarkStart w:id="151" w:name="_Toc386548936"/>
      <w:bookmarkStart w:id="152" w:name="_Toc386548907"/>
      <w:bookmarkStart w:id="153" w:name="_Toc386548937"/>
      <w:bookmarkStart w:id="154" w:name="_Toc386548908"/>
      <w:bookmarkStart w:id="155" w:name="_Toc386548938"/>
      <w:bookmarkStart w:id="156" w:name="_Toc386548909"/>
      <w:bookmarkStart w:id="157" w:name="_Toc386548939"/>
      <w:bookmarkStart w:id="158" w:name="_Toc386548910"/>
      <w:bookmarkStart w:id="159" w:name="_Toc386548940"/>
      <w:bookmarkStart w:id="160" w:name="_Toc386548911"/>
      <w:bookmarkStart w:id="161" w:name="_Toc386548941"/>
      <w:bookmarkStart w:id="162" w:name="_Toc386548912"/>
      <w:bookmarkStart w:id="163" w:name="_Toc386548942"/>
      <w:bookmarkStart w:id="164" w:name="_Toc386548913"/>
      <w:bookmarkStart w:id="165" w:name="_Toc386548943"/>
      <w:bookmarkStart w:id="166" w:name="_Toc386548914"/>
      <w:bookmarkStart w:id="167" w:name="_Toc386548944"/>
      <w:bookmarkStart w:id="168" w:name="_Toc386548915"/>
      <w:bookmarkStart w:id="169" w:name="_Toc386548945"/>
      <w:bookmarkStart w:id="170" w:name="_Toc386548916"/>
      <w:bookmarkStart w:id="171" w:name="_Toc386548946"/>
      <w:bookmarkStart w:id="172" w:name="_Toc386548917"/>
      <w:bookmarkStart w:id="173" w:name="_Toc386548947"/>
      <w:bookmarkStart w:id="174" w:name="_Toc386548918"/>
      <w:bookmarkStart w:id="175" w:name="_Toc386548948"/>
      <w:bookmarkStart w:id="176" w:name="_Toc386548919"/>
      <w:bookmarkStart w:id="177" w:name="_Toc386548949"/>
      <w:bookmarkStart w:id="178" w:name="_Toc386548920"/>
      <w:bookmarkStart w:id="179" w:name="_Toc386548950"/>
      <w:bookmarkStart w:id="180" w:name="_Toc386548921"/>
      <w:bookmarkStart w:id="181" w:name="_Toc386548951"/>
      <w:bookmarkStart w:id="182" w:name="_Toc386548922"/>
      <w:bookmarkStart w:id="183" w:name="_Toc386548952"/>
      <w:bookmarkStart w:id="184" w:name="_Toc386548923"/>
      <w:bookmarkStart w:id="185" w:name="_Toc386548953"/>
      <w:bookmarkStart w:id="186" w:name="_Toc386548924"/>
      <w:bookmarkStart w:id="187" w:name="_Toc386548954"/>
      <w:bookmarkStart w:id="188" w:name="_Toc386548925"/>
      <w:bookmarkStart w:id="189" w:name="_Toc386548955"/>
      <w:bookmarkStart w:id="190" w:name="_Toc386548926"/>
      <w:bookmarkStart w:id="191" w:name="_Toc386548956"/>
      <w:bookmarkStart w:id="192" w:name="_Toc386548927"/>
      <w:bookmarkStart w:id="193" w:name="_Toc386548957"/>
      <w:bookmarkStart w:id="194" w:name="_Toc387383705"/>
      <w:bookmarkStart w:id="195" w:name="_Ref388529673"/>
      <w:bookmarkStart w:id="196" w:name="_Toc391459536"/>
      <w:bookmarkStart w:id="197" w:name="_Toc391459540"/>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lastRenderedPageBreak/>
        <w:t xml:space="preserve">Letter outlining </w:t>
      </w:r>
      <w:r w:rsidR="00F36922">
        <w:t>Expert Panel</w:t>
      </w:r>
      <w:r>
        <w:t xml:space="preserve"> considerations for GMD</w:t>
      </w:r>
      <w:bookmarkEnd w:id="195"/>
      <w:bookmarkEnd w:id="196"/>
      <w:bookmarkEnd w:id="197"/>
    </w:p>
    <w:p w:rsidR="00221B20" w:rsidRDefault="00221B20">
      <w:pPr>
        <w:kinsoku/>
        <w:overflowPunct/>
        <w:autoSpaceDE/>
        <w:autoSpaceDN/>
        <w:adjustRightInd/>
        <w:snapToGrid/>
      </w:pPr>
      <w:r>
        <w:br w:type="page"/>
      </w:r>
    </w:p>
    <w:p w:rsidR="00221B20" w:rsidRDefault="00221B20" w:rsidP="0098018E">
      <w:pPr>
        <w:pStyle w:val="PwCNormal"/>
        <w:numPr>
          <w:ilvl w:val="0"/>
          <w:numId w:val="0"/>
        </w:numPr>
      </w:pPr>
      <w:r w:rsidRPr="00437534">
        <w:rPr>
          <w:noProof/>
          <w:snapToGrid/>
          <w:lang w:eastAsia="en-AU"/>
        </w:rPr>
        <w:lastRenderedPageBreak/>
        <w:drawing>
          <wp:inline distT="0" distB="0" distL="0" distR="0" wp14:anchorId="29148076" wp14:editId="1290E724">
            <wp:extent cx="5220335" cy="73401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220335" cy="7340115"/>
                    </a:xfrm>
                    <a:prstGeom prst="rect">
                      <a:avLst/>
                    </a:prstGeom>
                    <a:noFill/>
                    <a:ln>
                      <a:noFill/>
                    </a:ln>
                  </pic:spPr>
                </pic:pic>
              </a:graphicData>
            </a:graphic>
          </wp:inline>
        </w:drawing>
      </w:r>
    </w:p>
    <w:p w:rsidR="00221B20" w:rsidRDefault="00221B20">
      <w:pPr>
        <w:kinsoku/>
        <w:overflowPunct/>
        <w:autoSpaceDE/>
        <w:autoSpaceDN/>
        <w:adjustRightInd/>
        <w:snapToGrid/>
      </w:pPr>
      <w:r>
        <w:br w:type="page"/>
      </w:r>
    </w:p>
    <w:p w:rsidR="0033304D" w:rsidRDefault="00221B20" w:rsidP="0098018E">
      <w:pPr>
        <w:pStyle w:val="PwCNormal"/>
        <w:numPr>
          <w:ilvl w:val="0"/>
          <w:numId w:val="0"/>
        </w:numPr>
      </w:pPr>
      <w:r w:rsidRPr="00437534">
        <w:rPr>
          <w:noProof/>
          <w:snapToGrid/>
          <w:lang w:eastAsia="en-AU"/>
        </w:rPr>
        <w:lastRenderedPageBreak/>
        <w:drawing>
          <wp:inline distT="0" distB="0" distL="0" distR="0" wp14:anchorId="5C00135D" wp14:editId="09F3B4F9">
            <wp:extent cx="5220335" cy="73401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20335" cy="7340115"/>
                    </a:xfrm>
                    <a:prstGeom prst="rect">
                      <a:avLst/>
                    </a:prstGeom>
                    <a:noFill/>
                    <a:ln>
                      <a:noFill/>
                    </a:ln>
                  </pic:spPr>
                </pic:pic>
              </a:graphicData>
            </a:graphic>
          </wp:inline>
        </w:drawing>
      </w:r>
    </w:p>
    <w:p w:rsidR="00221B20" w:rsidRDefault="00221B20">
      <w:pPr>
        <w:kinsoku/>
        <w:overflowPunct/>
        <w:autoSpaceDE/>
        <w:autoSpaceDN/>
        <w:adjustRightInd/>
        <w:snapToGrid/>
      </w:pPr>
    </w:p>
    <w:p w:rsidR="00221B20" w:rsidRDefault="00221B20">
      <w:pPr>
        <w:kinsoku/>
        <w:overflowPunct/>
        <w:autoSpaceDE/>
        <w:autoSpaceDN/>
        <w:adjustRightInd/>
        <w:snapToGrid/>
      </w:pPr>
      <w:r>
        <w:br w:type="page"/>
      </w:r>
    </w:p>
    <w:p w:rsidR="00221B20" w:rsidRDefault="00221B20" w:rsidP="00437534">
      <w:pPr>
        <w:pStyle w:val="PwCNormal"/>
      </w:pPr>
      <w:r w:rsidRPr="00437534">
        <w:rPr>
          <w:noProof/>
          <w:snapToGrid/>
          <w:lang w:eastAsia="en-AU"/>
        </w:rPr>
        <w:lastRenderedPageBreak/>
        <w:drawing>
          <wp:inline distT="0" distB="0" distL="0" distR="0" wp14:anchorId="6572744B" wp14:editId="72E45828">
            <wp:extent cx="5220335" cy="73401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220335" cy="7340115"/>
                    </a:xfrm>
                    <a:prstGeom prst="rect">
                      <a:avLst/>
                    </a:prstGeom>
                    <a:noFill/>
                    <a:ln>
                      <a:noFill/>
                    </a:ln>
                  </pic:spPr>
                </pic:pic>
              </a:graphicData>
            </a:graphic>
          </wp:inline>
        </w:drawing>
      </w:r>
    </w:p>
    <w:p w:rsidR="00221B20" w:rsidRDefault="00221B20">
      <w:pPr>
        <w:kinsoku/>
        <w:overflowPunct/>
        <w:autoSpaceDE/>
        <w:autoSpaceDN/>
        <w:adjustRightInd/>
        <w:snapToGrid/>
      </w:pPr>
      <w:r>
        <w:br w:type="page"/>
      </w:r>
    </w:p>
    <w:p w:rsidR="00221B20" w:rsidRPr="00221B20" w:rsidRDefault="00221B20" w:rsidP="00437534">
      <w:pPr>
        <w:pStyle w:val="PwCNormal"/>
      </w:pPr>
      <w:r w:rsidRPr="00437534">
        <w:rPr>
          <w:noProof/>
          <w:snapToGrid/>
          <w:lang w:eastAsia="en-AU"/>
        </w:rPr>
        <w:lastRenderedPageBreak/>
        <w:drawing>
          <wp:inline distT="0" distB="0" distL="0" distR="0" wp14:anchorId="3D16DA7C" wp14:editId="30C8ACBA">
            <wp:extent cx="5220335" cy="73401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20335" cy="7340115"/>
                    </a:xfrm>
                    <a:prstGeom prst="rect">
                      <a:avLst/>
                    </a:prstGeom>
                    <a:noFill/>
                    <a:ln>
                      <a:noFill/>
                    </a:ln>
                  </pic:spPr>
                </pic:pic>
              </a:graphicData>
            </a:graphic>
          </wp:inline>
        </w:drawing>
      </w:r>
    </w:p>
    <w:p w:rsidR="00221B20" w:rsidRPr="00D70677" w:rsidRDefault="00221B20" w:rsidP="0098018E">
      <w:pPr>
        <w:pStyle w:val="PwCNormal"/>
        <w:numPr>
          <w:ilvl w:val="0"/>
          <w:numId w:val="0"/>
        </w:numPr>
        <w:sectPr w:rsidR="00221B20" w:rsidRPr="00D70677" w:rsidSect="006B008A">
          <w:pgSz w:w="11907" w:h="16840" w:code="9"/>
          <w:pgMar w:top="1588" w:right="1843" w:bottom="1418" w:left="1843" w:header="567" w:footer="567" w:gutter="0"/>
          <w:cols w:space="227"/>
          <w:titlePg/>
          <w:docGrid w:linePitch="360"/>
        </w:sectPr>
      </w:pPr>
    </w:p>
    <w:p w:rsidR="0098018E" w:rsidRDefault="0098018E" w:rsidP="0098018E">
      <w:pPr>
        <w:kinsoku/>
        <w:overflowPunct/>
        <w:autoSpaceDE/>
        <w:autoSpaceDN/>
        <w:adjustRightInd/>
        <w:snapToGrid/>
      </w:pPr>
    </w:p>
    <w:p w:rsidR="005236F7" w:rsidRDefault="005236F7">
      <w:pPr>
        <w:kinsoku/>
        <w:overflowPunct/>
        <w:autoSpaceDE/>
        <w:autoSpaceDN/>
        <w:adjustRightInd/>
        <w:snapToGrid/>
      </w:pPr>
    </w:p>
    <w:p w:rsidR="00F56BBC" w:rsidRDefault="00F56BBC">
      <w:pPr>
        <w:kinsoku/>
        <w:overflowPunct/>
        <w:autoSpaceDE/>
        <w:autoSpaceDN/>
        <w:adjustRightInd/>
        <w:snapToGrid/>
      </w:pPr>
    </w:p>
    <w:sectPr w:rsidR="00F56BBC" w:rsidSect="006B008A">
      <w:headerReference w:type="even" r:id="rId85"/>
      <w:headerReference w:type="default" r:id="rId86"/>
      <w:footerReference w:type="even" r:id="rId87"/>
      <w:footerReference w:type="default" r:id="rId88"/>
      <w:headerReference w:type="first" r:id="rId89"/>
      <w:footerReference w:type="first" r:id="rId90"/>
      <w:type w:val="evenPage"/>
      <w:pgSz w:w="11907" w:h="16840" w:code="9"/>
      <w:pgMar w:top="1701" w:right="1021" w:bottom="1418" w:left="102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0AC7" w:rsidRDefault="00990AC7" w:rsidP="004343B3">
      <w:pPr>
        <w:pStyle w:val="Separator"/>
      </w:pPr>
      <w:r>
        <w:separator/>
      </w:r>
    </w:p>
    <w:p w:rsidR="00990AC7" w:rsidRDefault="00990AC7"/>
  </w:endnote>
  <w:endnote w:type="continuationSeparator" w:id="0">
    <w:p w:rsidR="00990AC7" w:rsidRDefault="00990AC7" w:rsidP="004343B3">
      <w:pPr>
        <w:pStyle w:val="Separator"/>
      </w:pPr>
      <w:r>
        <w:continuationSeparator/>
      </w:r>
    </w:p>
    <w:p w:rsidR="00990AC7" w:rsidRDefault="00990AC7"/>
  </w:endnote>
  <w:endnote w:type="continuationNotice" w:id="1">
    <w:p w:rsidR="00990AC7" w:rsidRDefault="00990AC7" w:rsidP="004343B3">
      <w:pPr>
        <w:pStyle w:val="Separator"/>
      </w:pPr>
    </w:p>
    <w:p w:rsidR="00990AC7" w:rsidRDefault="00990A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mn-ea">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Marlett">
    <w:panose1 w:val="00000000000000000000"/>
    <w:charset w:val="02"/>
    <w:family w:val="auto"/>
    <w:pitch w:val="variable"/>
    <w:sig w:usb0="00000000" w:usb1="10000000" w:usb2="00000000" w:usb3="00000000" w:csb0="80000000" w:csb1="00000000"/>
  </w:font>
  <w:font w:name="ArialUnicodeMS">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AC7" w:rsidRDefault="00420464" w:rsidP="00C151DD">
    <w:pPr>
      <w:pStyle w:val="Footer-Even"/>
    </w:pPr>
    <w:fldSimple w:instr=" STYLEREF &quot;Cover Title&quot; ">
      <w:r w:rsidR="00542564">
        <w:rPr>
          <w:noProof/>
        </w:rPr>
        <w:t>Transport Accident Commission</w:t>
      </w:r>
    </w:fldSimple>
  </w:p>
  <w:p w:rsidR="00990AC7" w:rsidRPr="006650EF" w:rsidRDefault="00990AC7" w:rsidP="00C151DD">
    <w:pPr>
      <w:pStyle w:val="Footer-Even"/>
    </w:pPr>
    <w:r>
      <w:t>PwC</w:t>
    </w:r>
    <w:r>
      <w:tab/>
    </w:r>
    <w:r>
      <w:fldChar w:fldCharType="begin"/>
    </w:r>
    <w:r>
      <w:instrText xml:space="preserve"> PAGE  \* MERGEFORMAT </w:instrText>
    </w:r>
    <w:r>
      <w:fldChar w:fldCharType="separate"/>
    </w:r>
    <w:r>
      <w:rPr>
        <w:noProof/>
      </w:rPr>
      <w:t>i</w:t>
    </w:r>
    <w:r>
      <w:rPr>
        <w:noProof/>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AC7" w:rsidRDefault="00420464" w:rsidP="00C151DD">
    <w:pPr>
      <w:pStyle w:val="Footer-Even"/>
    </w:pPr>
    <w:fldSimple w:instr=" STYLEREF &quot;Cover Title&quot; ">
      <w:r w:rsidR="00542564">
        <w:rPr>
          <w:noProof/>
        </w:rPr>
        <w:t>Transport Accident Commission</w:t>
      </w:r>
    </w:fldSimple>
  </w:p>
  <w:p w:rsidR="00990AC7" w:rsidRPr="006650EF" w:rsidRDefault="00990AC7" w:rsidP="00C151DD">
    <w:pPr>
      <w:pStyle w:val="Footer-Even"/>
    </w:pPr>
    <w:r>
      <w:t>PwC</w:t>
    </w:r>
    <w:r>
      <w:ptab w:relativeTo="margin" w:alignment="right" w:leader="none"/>
    </w:r>
    <w:r>
      <w:fldChar w:fldCharType="begin"/>
    </w:r>
    <w:r>
      <w:instrText xml:space="preserve"> PAGE  \* MERGEFORMAT </w:instrText>
    </w:r>
    <w:r>
      <w:fldChar w:fldCharType="separate"/>
    </w:r>
    <w:r>
      <w:rPr>
        <w:noProof/>
      </w:rPr>
      <w:t>5</w:t>
    </w:r>
    <w:r>
      <w:rPr>
        <w:noProof/>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AC7" w:rsidRPr="008C6722" w:rsidRDefault="00420464" w:rsidP="00C151DD">
    <w:pPr>
      <w:pStyle w:val="Footer"/>
    </w:pPr>
    <w:fldSimple w:instr=" STYLEREF &quot;Cover Title&quot; ">
      <w:r w:rsidR="00F10EB0">
        <w:rPr>
          <w:noProof/>
        </w:rPr>
        <w:t>Transport Accident Commission</w:t>
      </w:r>
    </w:fldSimple>
  </w:p>
  <w:p w:rsidR="00990AC7" w:rsidRPr="008C6722" w:rsidRDefault="00990AC7" w:rsidP="00C151DD">
    <w:pPr>
      <w:pStyle w:val="Footer"/>
    </w:pPr>
    <w:r w:rsidRPr="008C6722">
      <w:t>PwC</w:t>
    </w:r>
    <w:r>
      <w:ptab w:relativeTo="margin" w:alignment="right" w:leader="none"/>
    </w:r>
    <w:r>
      <w:fldChar w:fldCharType="begin"/>
    </w:r>
    <w:r>
      <w:instrText xml:space="preserve"> PAGE  \* MERGEFORMAT </w:instrText>
    </w:r>
    <w:r>
      <w:fldChar w:fldCharType="separate"/>
    </w:r>
    <w:r w:rsidR="00F10EB0">
      <w:rPr>
        <w:noProof/>
      </w:rPr>
      <w:t>3</w:t>
    </w:r>
    <w:r>
      <w:rPr>
        <w:noProof/>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AC7" w:rsidRPr="008C6722" w:rsidRDefault="00420464" w:rsidP="00300996">
    <w:pPr>
      <w:pStyle w:val="Footer"/>
    </w:pPr>
    <w:fldSimple w:instr=" STYLEREF &quot;Cover Title&quot; ">
      <w:r w:rsidR="00F10EB0">
        <w:rPr>
          <w:noProof/>
        </w:rPr>
        <w:t>Transport Accident Commission</w:t>
      </w:r>
    </w:fldSimple>
  </w:p>
  <w:p w:rsidR="00990AC7" w:rsidRPr="008C6722" w:rsidRDefault="00990AC7" w:rsidP="00300996">
    <w:pPr>
      <w:pStyle w:val="Footer"/>
    </w:pPr>
    <w:r w:rsidRPr="008C6722">
      <w:t>PwC</w:t>
    </w:r>
    <w:r>
      <w:ptab w:relativeTo="margin" w:alignment="right" w:leader="none"/>
    </w:r>
    <w:r>
      <w:fldChar w:fldCharType="begin"/>
    </w:r>
    <w:r>
      <w:instrText xml:space="preserve"> PAGE  \* MERGEFORMAT </w:instrText>
    </w:r>
    <w:r>
      <w:fldChar w:fldCharType="separate"/>
    </w:r>
    <w:r w:rsidR="00F10EB0">
      <w:rPr>
        <w:noProof/>
      </w:rPr>
      <w:t>2</w:t>
    </w:r>
    <w:r>
      <w:rPr>
        <w:noProof/>
      </w:rPr>
      <w:fldChar w:fldCharType="end"/>
    </w:r>
  </w:p>
  <w:p w:rsidR="00990AC7" w:rsidRPr="006650EF" w:rsidRDefault="00990AC7" w:rsidP="006650EF">
    <w:pPr>
      <w:pStyle w:val="Footer"/>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AC7" w:rsidRDefault="00420464" w:rsidP="00C151DD">
    <w:pPr>
      <w:pStyle w:val="Footer-Even"/>
    </w:pPr>
    <w:fldSimple w:instr=" STYLEREF &quot;Cover Title&quot; ">
      <w:r w:rsidR="00542564">
        <w:rPr>
          <w:noProof/>
        </w:rPr>
        <w:t>Transport Accident Commission</w:t>
      </w:r>
    </w:fldSimple>
  </w:p>
  <w:p w:rsidR="00990AC7" w:rsidRPr="006650EF" w:rsidRDefault="00990AC7" w:rsidP="00C151DD">
    <w:pPr>
      <w:pStyle w:val="Footer-Even"/>
    </w:pPr>
    <w:r>
      <w:t>PwC</w:t>
    </w:r>
    <w:r>
      <w:ptab w:relativeTo="margin" w:alignment="right" w:leader="none"/>
    </w:r>
    <w:r>
      <w:fldChar w:fldCharType="begin"/>
    </w:r>
    <w:r>
      <w:instrText xml:space="preserve"> PAGE  \* MERGEFORMAT </w:instrText>
    </w:r>
    <w:r>
      <w:fldChar w:fldCharType="separate"/>
    </w:r>
    <w:r>
      <w:rPr>
        <w:noProof/>
      </w:rPr>
      <w:t>5</w:t>
    </w:r>
    <w:r>
      <w:rPr>
        <w:noProof/>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AC7" w:rsidRPr="008C6722" w:rsidRDefault="00420464" w:rsidP="00C151DD">
    <w:pPr>
      <w:pStyle w:val="Footer"/>
    </w:pPr>
    <w:fldSimple w:instr=" STYLEREF &quot;Cover Title&quot; ">
      <w:r w:rsidR="00F10EB0">
        <w:rPr>
          <w:noProof/>
        </w:rPr>
        <w:t>Transport Accident Commission</w:t>
      </w:r>
    </w:fldSimple>
  </w:p>
  <w:p w:rsidR="00990AC7" w:rsidRPr="008C6722" w:rsidRDefault="00990AC7" w:rsidP="00C151DD">
    <w:pPr>
      <w:pStyle w:val="Footer"/>
    </w:pPr>
    <w:r w:rsidRPr="008C6722">
      <w:t>PwC</w:t>
    </w:r>
    <w:r>
      <w:ptab w:relativeTo="margin" w:alignment="right" w:leader="none"/>
    </w:r>
    <w:r>
      <w:fldChar w:fldCharType="begin"/>
    </w:r>
    <w:r>
      <w:instrText xml:space="preserve"> PAGE  \* MERGEFORMAT </w:instrText>
    </w:r>
    <w:r>
      <w:fldChar w:fldCharType="separate"/>
    </w:r>
    <w:r w:rsidR="00F10EB0">
      <w:rPr>
        <w:noProof/>
      </w:rPr>
      <w:t>12</w:t>
    </w:r>
    <w:r>
      <w:rPr>
        <w:noProof/>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AC7" w:rsidRPr="008C6722" w:rsidRDefault="00420464" w:rsidP="00300996">
    <w:pPr>
      <w:pStyle w:val="Footer"/>
    </w:pPr>
    <w:fldSimple w:instr=" STYLEREF &quot;Cover Title&quot; ">
      <w:r w:rsidR="00F10EB0">
        <w:rPr>
          <w:noProof/>
        </w:rPr>
        <w:t>Transport Accident Commission</w:t>
      </w:r>
    </w:fldSimple>
  </w:p>
  <w:p w:rsidR="00990AC7" w:rsidRPr="008C6722" w:rsidRDefault="00990AC7" w:rsidP="00300996">
    <w:pPr>
      <w:pStyle w:val="Footer"/>
    </w:pPr>
    <w:r w:rsidRPr="008C6722">
      <w:t>PwC</w:t>
    </w:r>
    <w:r>
      <w:ptab w:relativeTo="margin" w:alignment="right" w:leader="none"/>
    </w:r>
    <w:r>
      <w:fldChar w:fldCharType="begin"/>
    </w:r>
    <w:r>
      <w:instrText xml:space="preserve"> PAGE  \* MERGEFORMAT </w:instrText>
    </w:r>
    <w:r>
      <w:fldChar w:fldCharType="separate"/>
    </w:r>
    <w:r w:rsidR="00F10EB0">
      <w:rPr>
        <w:noProof/>
      </w:rPr>
      <w:t>11</w:t>
    </w:r>
    <w:r>
      <w:rPr>
        <w:noProof/>
      </w:rPr>
      <w:fldChar w:fldCharType="end"/>
    </w:r>
  </w:p>
  <w:p w:rsidR="00990AC7" w:rsidRPr="006650EF" w:rsidRDefault="00990AC7" w:rsidP="006650EF">
    <w:pPr>
      <w:pStyle w:val="Footer"/>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AC7" w:rsidRDefault="00420464" w:rsidP="00C151DD">
    <w:pPr>
      <w:pStyle w:val="Footer-ToCEven"/>
    </w:pPr>
    <w:fldSimple w:instr=" STYLEREF &quot;Cover Title&quot; ">
      <w:r w:rsidR="00542564">
        <w:rPr>
          <w:noProof/>
        </w:rPr>
        <w:t>Transport Accident Commission</w:t>
      </w:r>
    </w:fldSimple>
  </w:p>
  <w:p w:rsidR="00990AC7" w:rsidRPr="002628D1" w:rsidRDefault="00990AC7" w:rsidP="00C151DD">
    <w:pPr>
      <w:pStyle w:val="Footer-ToCEven"/>
    </w:pPr>
    <w:r>
      <w:t>PwC</w:t>
    </w:r>
    <w:r>
      <w:tab/>
    </w:r>
    <w:r>
      <w:fldChar w:fldCharType="begin"/>
    </w:r>
    <w:r>
      <w:instrText xml:space="preserve"> PAGE  \* MERGEFORMAT </w:instrText>
    </w:r>
    <w:r>
      <w:fldChar w:fldCharType="separate"/>
    </w:r>
    <w:r>
      <w:rPr>
        <w:noProof/>
      </w:rPr>
      <w:t>6</w:t>
    </w:r>
    <w:r>
      <w:rPr>
        <w:noProof/>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AC7" w:rsidRPr="008C6722" w:rsidRDefault="00420464" w:rsidP="00C151DD">
    <w:pPr>
      <w:pStyle w:val="Footer-ToC"/>
    </w:pPr>
    <w:fldSimple w:instr=" STYLEREF &quot;Cover Title&quot; ">
      <w:r w:rsidR="00542564">
        <w:rPr>
          <w:noProof/>
        </w:rPr>
        <w:t>Transport Accident Commission</w:t>
      </w:r>
    </w:fldSimple>
  </w:p>
  <w:p w:rsidR="00990AC7" w:rsidRPr="008C6722" w:rsidRDefault="00990AC7" w:rsidP="00C151DD">
    <w:pPr>
      <w:pStyle w:val="Footer-ToC"/>
    </w:pPr>
    <w:r w:rsidRPr="008C6722">
      <w:t>PwC</w:t>
    </w:r>
    <w:r w:rsidRPr="008C6722">
      <w:tab/>
    </w:r>
    <w:r>
      <w:fldChar w:fldCharType="begin"/>
    </w:r>
    <w:r>
      <w:instrText xml:space="preserve"> PAGE  \* MERGEFORMAT </w:instrText>
    </w:r>
    <w:r>
      <w:fldChar w:fldCharType="separate"/>
    </w:r>
    <w:r>
      <w:rPr>
        <w:noProof/>
      </w:rPr>
      <w:t>27</w:t>
    </w:r>
    <w:r>
      <w:rPr>
        <w:noProof/>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AC7" w:rsidRDefault="00990AC7" w:rsidP="00C151DD">
    <w:pPr>
      <w:pStyle w:val="Footer-ToC"/>
    </w:pPr>
    <w:r w:rsidRPr="00C151DD">
      <w:rPr>
        <w:sz w:val="18"/>
      </w:rPr>
      <w:fldChar w:fldCharType="begin"/>
    </w:r>
    <w:r>
      <w:instrText xml:space="preserve"> IF </w:instrText>
    </w:r>
    <w:fldSimple w:instr=" DOCPROPERTY &quot;Mirror Margins&quot; ">
      <w:r w:rsidR="00542564">
        <w:instrText>N</w:instrText>
      </w:r>
    </w:fldSimple>
    <w:r>
      <w:instrText xml:space="preserve"> = "N" "</w:instrText>
    </w:r>
    <w:fldSimple w:instr=" STYLEREF &quot;Cover title&quot; ">
      <w:r w:rsidR="00F10EB0">
        <w:rPr>
          <w:noProof/>
        </w:rPr>
        <w:instrText>Transport Accident Commission</w:instrText>
      </w:r>
    </w:fldSimple>
  </w:p>
  <w:p w:rsidR="00990AC7" w:rsidRDefault="00990AC7" w:rsidP="00C151DD">
    <w:pPr>
      <w:pStyle w:val="Footer-ToC"/>
    </w:pPr>
    <w:r>
      <w:instrText>PwC</w:instrText>
    </w:r>
    <w:r>
      <w:ptab w:relativeTo="margin" w:alignment="right" w:leader="none"/>
    </w:r>
    <w:r>
      <w:fldChar w:fldCharType="begin"/>
    </w:r>
    <w:r>
      <w:instrText xml:space="preserve"> PAGE </w:instrText>
    </w:r>
    <w:r>
      <w:fldChar w:fldCharType="separate"/>
    </w:r>
    <w:r w:rsidR="00F10EB0">
      <w:rPr>
        <w:noProof/>
      </w:rPr>
      <w:instrText>28</w:instrText>
    </w:r>
    <w:r>
      <w:rPr>
        <w:noProof/>
      </w:rPr>
      <w:fldChar w:fldCharType="end"/>
    </w:r>
    <w:r>
      <w:instrText xml:space="preserve">" </w:instrText>
    </w:r>
    <w:r w:rsidRPr="00C151DD">
      <w:rPr>
        <w:sz w:val="18"/>
      </w:rPr>
      <w:fldChar w:fldCharType="begin"/>
    </w:r>
    <w:r>
      <w:instrText xml:space="preserve"> IF </w:instrText>
    </w:r>
    <w:r>
      <w:fldChar w:fldCharType="begin"/>
    </w:r>
    <w:r>
      <w:instrText xml:space="preserve"> =mod( </w:instrText>
    </w:r>
    <w:r>
      <w:fldChar w:fldCharType="begin"/>
    </w:r>
    <w:r>
      <w:instrText xml:space="preserve"> PAGE \* Arabic </w:instrText>
    </w:r>
    <w:r>
      <w:fldChar w:fldCharType="separate"/>
    </w:r>
    <w:r>
      <w:rPr>
        <w:noProof/>
      </w:rPr>
      <w:instrText>5</w:instrText>
    </w:r>
    <w:r>
      <w:rPr>
        <w:noProof/>
      </w:rPr>
      <w:fldChar w:fldCharType="end"/>
    </w:r>
    <w:r>
      <w:instrText xml:space="preserve"> ,2) </w:instrText>
    </w:r>
    <w:r>
      <w:fldChar w:fldCharType="separate"/>
    </w:r>
    <w:r>
      <w:rPr>
        <w:noProof/>
      </w:rPr>
      <w:instrText>1</w:instrText>
    </w:r>
    <w:r>
      <w:fldChar w:fldCharType="end"/>
    </w:r>
    <w:r>
      <w:instrText xml:space="preserve"> = "1" "</w:instrText>
    </w:r>
    <w:fldSimple w:instr=" STYLEREF &quot;Cover title&quot; ">
      <w:r>
        <w:rPr>
          <w:noProof/>
        </w:rPr>
        <w:instrText>Prospect name</w:instrText>
      </w:r>
    </w:fldSimple>
  </w:p>
  <w:p w:rsidR="00990AC7" w:rsidRDefault="00990AC7" w:rsidP="00C151DD">
    <w:pPr>
      <w:pStyle w:val="Footer-ToC"/>
    </w:pPr>
    <w:r>
      <w:instrText>PwC</w:instrText>
    </w:r>
    <w:r>
      <w:ptab w:relativeTo="margin" w:alignment="right" w:leader="none"/>
    </w:r>
    <w:r>
      <w:fldChar w:fldCharType="begin"/>
    </w:r>
    <w:r>
      <w:instrText xml:space="preserve"> PAGE </w:instrText>
    </w:r>
    <w:r>
      <w:fldChar w:fldCharType="separate"/>
    </w:r>
    <w:r>
      <w:rPr>
        <w:noProof/>
      </w:rPr>
      <w:instrText>5</w:instrText>
    </w:r>
    <w:r>
      <w:rPr>
        <w:noProof/>
      </w:rPr>
      <w:fldChar w:fldCharType="end"/>
    </w:r>
  </w:p>
  <w:p w:rsidR="00990AC7" w:rsidRDefault="00990AC7" w:rsidP="00C151DD">
    <w:pPr>
      <w:pStyle w:val="Footer-ToC"/>
    </w:pPr>
    <w:r>
      <w:instrText>" "</w:instrText>
    </w:r>
    <w:r>
      <w:ptab w:relativeTo="margin" w:alignment="right" w:leader="none"/>
    </w:r>
    <w:fldSimple w:instr=" STYLEREF &quot;Cover title&quot; ">
      <w:r>
        <w:rPr>
          <w:noProof/>
        </w:rPr>
        <w:instrText>Prospect name</w:instrText>
      </w:r>
    </w:fldSimple>
  </w:p>
  <w:p w:rsidR="00990AC7" w:rsidRDefault="00990AC7" w:rsidP="00C151DD">
    <w:pPr>
      <w:pStyle w:val="Footer-ToC"/>
    </w:pPr>
    <w:r>
      <w:fldChar w:fldCharType="begin"/>
    </w:r>
    <w:r>
      <w:instrText xml:space="preserve"> PAGE </w:instrText>
    </w:r>
    <w:r>
      <w:fldChar w:fldCharType="separate"/>
    </w:r>
    <w:r>
      <w:rPr>
        <w:noProof/>
      </w:rPr>
      <w:instrText>4</w:instrText>
    </w:r>
    <w:r>
      <w:rPr>
        <w:noProof/>
      </w:rPr>
      <w:fldChar w:fldCharType="end"/>
    </w:r>
    <w:r>
      <w:ptab w:relativeTo="margin" w:alignment="right" w:leader="none"/>
    </w:r>
    <w:r>
      <w:instrText>PwC</w:instrText>
    </w:r>
  </w:p>
  <w:p w:rsidR="00990AC7" w:rsidRPr="00C151DD" w:rsidRDefault="00990AC7" w:rsidP="00C151DD">
    <w:pPr>
      <w:pStyle w:val="Footer-ToC"/>
      <w:rPr>
        <w:noProof/>
        <w:sz w:val="2"/>
      </w:rPr>
    </w:pPr>
    <w:r w:rsidRPr="00C151DD">
      <w:rPr>
        <w:sz w:val="2"/>
      </w:rPr>
      <w:instrText xml:space="preserve">" </w:instrText>
    </w:r>
    <w:r w:rsidRPr="00C151DD">
      <w:rPr>
        <w:sz w:val="2"/>
      </w:rPr>
      <w:fldChar w:fldCharType="separate"/>
    </w:r>
    <w:r w:rsidRPr="00C151DD">
      <w:rPr>
        <w:noProof/>
        <w:sz w:val="2"/>
      </w:rPr>
      <w:instrText>Prospect name</w:instrText>
    </w:r>
  </w:p>
  <w:p w:rsidR="00990AC7" w:rsidRPr="00C151DD" w:rsidRDefault="00990AC7" w:rsidP="00C151DD">
    <w:pPr>
      <w:pStyle w:val="Footer-ToC"/>
      <w:rPr>
        <w:noProof/>
        <w:sz w:val="2"/>
      </w:rPr>
    </w:pPr>
    <w:r w:rsidRPr="00C151DD">
      <w:rPr>
        <w:noProof/>
        <w:sz w:val="2"/>
      </w:rPr>
      <w:instrText>PwC</w:instrText>
    </w:r>
    <w:r w:rsidRPr="00C151DD">
      <w:rPr>
        <w:noProof/>
        <w:sz w:val="2"/>
      </w:rPr>
      <w:tab/>
      <w:instrText>5</w:instrText>
    </w:r>
    <w:r w:rsidRPr="00C151DD">
      <w:rPr>
        <w:noProof/>
        <w:sz w:val="2"/>
      </w:rPr>
      <w:tab/>
      <w:instrText>WWYLTG?</w:instrText>
    </w:r>
  </w:p>
  <w:p w:rsidR="00F10EB0" w:rsidRDefault="00990AC7" w:rsidP="00C151DD">
    <w:pPr>
      <w:pStyle w:val="Footer-ToC"/>
      <w:rPr>
        <w:noProof/>
      </w:rPr>
    </w:pPr>
    <w:r w:rsidRPr="00C151DD">
      <w:rPr>
        <w:sz w:val="2"/>
      </w:rPr>
      <w:fldChar w:fldCharType="end"/>
    </w:r>
    <w:r w:rsidRPr="00C151DD">
      <w:rPr>
        <w:sz w:val="2"/>
      </w:rPr>
      <w:instrText xml:space="preserve"> </w:instrText>
    </w:r>
    <w:r w:rsidRPr="00C151DD">
      <w:rPr>
        <w:sz w:val="2"/>
      </w:rPr>
      <w:fldChar w:fldCharType="separate"/>
    </w:r>
    <w:r w:rsidR="00F10EB0">
      <w:rPr>
        <w:noProof/>
      </w:rPr>
      <w:t>Transport Accident Commission</w:t>
    </w:r>
  </w:p>
  <w:p w:rsidR="00990AC7" w:rsidRPr="00C151DD" w:rsidRDefault="00F10EB0" w:rsidP="00C151DD">
    <w:pPr>
      <w:pStyle w:val="Footer-ToC"/>
      <w:rPr>
        <w:sz w:val="2"/>
      </w:rPr>
    </w:pPr>
    <w:r>
      <w:rPr>
        <w:noProof/>
      </w:rPr>
      <w:t>PwC</w:t>
    </w:r>
    <w:r>
      <w:rPr>
        <w:noProof/>
      </w:rPr>
      <w:ptab w:relativeTo="margin" w:alignment="right" w:leader="none"/>
    </w:r>
    <w:r>
      <w:rPr>
        <w:noProof/>
      </w:rPr>
      <w:t>28</w:t>
    </w:r>
    <w:r w:rsidR="00990AC7" w:rsidRPr="00C151DD">
      <w:rPr>
        <w:sz w:val="2"/>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AC7" w:rsidRDefault="00420464" w:rsidP="00C151DD">
    <w:pPr>
      <w:pStyle w:val="Footer-Even"/>
    </w:pPr>
    <w:fldSimple w:instr=" STYLEREF &quot;Cover Title&quot; ">
      <w:r w:rsidR="00542564">
        <w:rPr>
          <w:noProof/>
        </w:rPr>
        <w:t>Transport Accident Commission</w:t>
      </w:r>
    </w:fldSimple>
  </w:p>
  <w:p w:rsidR="00990AC7" w:rsidRPr="002628D1" w:rsidRDefault="00990AC7" w:rsidP="00C151DD">
    <w:pPr>
      <w:pStyle w:val="Footer-Even"/>
    </w:pPr>
    <w:r>
      <w:t>PwC</w:t>
    </w:r>
    <w:r>
      <w:ptab w:relativeTo="margin" w:alignment="right" w:leader="none"/>
    </w:r>
    <w:r>
      <w:fldChar w:fldCharType="begin"/>
    </w:r>
    <w:r>
      <w:instrText xml:space="preserve"> PAGE  \* MERGEFORMAT </w:instrText>
    </w:r>
    <w:r>
      <w:fldChar w:fldCharType="separate"/>
    </w:r>
    <w:r>
      <w:rPr>
        <w:noProof/>
      </w:rPr>
      <w:t>10</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AC7" w:rsidRDefault="00420464" w:rsidP="00C151DD">
    <w:pPr>
      <w:pStyle w:val="Footer"/>
    </w:pPr>
    <w:fldSimple w:instr=" STYLEREF &quot;Cover Title&quot; ">
      <w:r w:rsidR="00542564">
        <w:rPr>
          <w:noProof/>
        </w:rPr>
        <w:t>Transport Accident Commission</w:t>
      </w:r>
    </w:fldSimple>
  </w:p>
  <w:p w:rsidR="00990AC7" w:rsidRPr="00A84ADF" w:rsidRDefault="00990AC7" w:rsidP="00C151DD">
    <w:pPr>
      <w:pStyle w:val="Footer"/>
    </w:pPr>
    <w:r>
      <w:t>PwC</w:t>
    </w:r>
    <w:r>
      <w:tab/>
    </w:r>
    <w:r>
      <w:fldChar w:fldCharType="begin"/>
    </w:r>
    <w:r>
      <w:instrText xml:space="preserve"> PAGE  \* MERGEFORMAT </w:instrText>
    </w:r>
    <w:r>
      <w:fldChar w:fldCharType="separate"/>
    </w:r>
    <w:r>
      <w:rPr>
        <w:noProof/>
      </w:rPr>
      <w:t>i</w:t>
    </w:r>
    <w:r>
      <w:rPr>
        <w:noProof/>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AC7" w:rsidRPr="008C6722" w:rsidRDefault="00420464" w:rsidP="00C151DD">
    <w:pPr>
      <w:pStyle w:val="Footer"/>
    </w:pPr>
    <w:fldSimple w:instr=" STYLEREF &quot;Cover Title&quot; ">
      <w:r w:rsidR="00F10EB0">
        <w:rPr>
          <w:noProof/>
        </w:rPr>
        <w:t>Transport Accident Commission</w:t>
      </w:r>
    </w:fldSimple>
  </w:p>
  <w:p w:rsidR="00990AC7" w:rsidRPr="008C6722" w:rsidRDefault="00990AC7" w:rsidP="00C151DD">
    <w:pPr>
      <w:pStyle w:val="Footer"/>
    </w:pPr>
    <w:r w:rsidRPr="008C6722">
      <w:t>PwC</w:t>
    </w:r>
    <w:r>
      <w:ptab w:relativeTo="margin" w:alignment="right" w:leader="none"/>
    </w:r>
    <w:r>
      <w:fldChar w:fldCharType="begin"/>
    </w:r>
    <w:r>
      <w:instrText xml:space="preserve"> PAGE  \* MERGEFORMAT </w:instrText>
    </w:r>
    <w:r>
      <w:fldChar w:fldCharType="separate"/>
    </w:r>
    <w:r w:rsidR="00F10EB0">
      <w:rPr>
        <w:noProof/>
      </w:rPr>
      <w:t>30</w:t>
    </w:r>
    <w:r>
      <w:rPr>
        <w:noProof/>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AC7" w:rsidRDefault="00990AC7" w:rsidP="005B4BF3">
    <w:pPr>
      <w:pStyle w:val="URL"/>
      <w:framePr w:wrap="around"/>
    </w:pPr>
    <w:r>
      <w:t>www.pwc.com.au</w:t>
    </w:r>
  </w:p>
  <w:p w:rsidR="00990AC7" w:rsidRPr="00A84ADF" w:rsidRDefault="00990AC7" w:rsidP="00483E95">
    <w:pPr>
      <w:pStyle w:val="Copyright"/>
      <w:framePr w:wrap="around"/>
    </w:pPr>
    <w:r>
      <w:t>© 2013 PricewaterhouseCoopers. All rights reserved.</w:t>
    </w:r>
    <w:r>
      <w:br/>
      <w:t>PwC refers to the Australian member firm, and may sometimes refer to the PwC network.</w:t>
    </w:r>
    <w:r>
      <w:br/>
      <w:t xml:space="preserve">Each member firm is a separate legal entity. Please see </w:t>
    </w:r>
    <w:r w:rsidRPr="00B95011">
      <w:t>www.pwc.com/structure</w:t>
    </w:r>
    <w:r>
      <w:t xml:space="preserve"> for further details.</w:t>
    </w:r>
    <w:r>
      <w:br/>
    </w:r>
    <w:r>
      <w:br/>
    </w:r>
    <w:r w:rsidRPr="00A75868">
      <w:t>Liability limited by a scheme approved under Professional Standards Legislation</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AC7" w:rsidRDefault="00990AC7" w:rsidP="005B4BF3">
    <w:pPr>
      <w:pStyle w:val="URL"/>
      <w:framePr w:wrap="around"/>
    </w:pPr>
    <w:r>
      <w:t>www.pwc.com.au</w:t>
    </w:r>
  </w:p>
  <w:p w:rsidR="00990AC7" w:rsidRPr="00A84ADF" w:rsidRDefault="00990AC7" w:rsidP="003333C5">
    <w:pPr>
      <w:pStyle w:val="Copyright"/>
      <w:framePr w:w="0" w:wrap="auto" w:vAnchor="margin" w:hAnchor="text" w:xAlign="left" w:yAlign="inline"/>
    </w:pPr>
    <w:r>
      <w:t>© 2014 PricewaterhouseCoopers. All rights reserved.</w:t>
    </w:r>
    <w:r>
      <w:br/>
      <w:t>PwC refers to the Australian member firm, and may sometimes refer to the PwC network.</w:t>
    </w:r>
    <w:r>
      <w:br/>
      <w:t xml:space="preserve">Each member firm is a separate legal entity. Please see </w:t>
    </w:r>
    <w:r w:rsidRPr="00B95011">
      <w:t>www.pwc.com/structure</w:t>
    </w:r>
    <w:r>
      <w:t xml:space="preserve"> for further details.</w:t>
    </w:r>
    <w:r>
      <w:br/>
    </w:r>
    <w:r>
      <w:br/>
    </w:r>
    <w:r w:rsidRPr="00A75868">
      <w:t>Liability limited by a scheme approved under Professional Standards Legislation</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AC7" w:rsidRDefault="00990AC7" w:rsidP="006650EF">
    <w:pPr>
      <w:pStyle w:val="Footer"/>
    </w:pPr>
    <w:r w:rsidRPr="006650EF">
      <w:rPr>
        <w:sz w:val="18"/>
      </w:rPr>
      <w:fldChar w:fldCharType="begin"/>
    </w:r>
    <w:r>
      <w:instrText xml:space="preserve"> IF </w:instrText>
    </w:r>
    <w:fldSimple w:instr=" DOCPROPERTY &quot;Mirror Margins&quot; ">
      <w:r w:rsidR="00542564">
        <w:instrText>N</w:instrText>
      </w:r>
    </w:fldSimple>
    <w:r>
      <w:instrText xml:space="preserve"> = "N" "</w:instrText>
    </w:r>
    <w:fldSimple w:instr=" STYLEREF &quot;Cover title&quot; ">
      <w:r w:rsidR="00542564">
        <w:rPr>
          <w:noProof/>
        </w:rPr>
        <w:instrText>Transport Accident Commission</w:instrText>
      </w:r>
    </w:fldSimple>
  </w:p>
  <w:p w:rsidR="00990AC7" w:rsidRDefault="00990AC7" w:rsidP="006650EF">
    <w:pPr>
      <w:pStyle w:val="Footer"/>
    </w:pPr>
    <w:r>
      <w:instrText>PwC</w:instrText>
    </w:r>
    <w:r>
      <w:ptab w:relativeTo="margin" w:alignment="right" w:leader="none"/>
    </w:r>
    <w:r>
      <w:fldChar w:fldCharType="begin"/>
    </w:r>
    <w:r>
      <w:instrText xml:space="preserve"> PAGE </w:instrText>
    </w:r>
    <w:r>
      <w:fldChar w:fldCharType="separate"/>
    </w:r>
    <w:r>
      <w:rPr>
        <w:noProof/>
      </w:rPr>
      <w:instrText>11</w:instrText>
    </w:r>
    <w:r>
      <w:rPr>
        <w:noProof/>
      </w:rPr>
      <w:fldChar w:fldCharType="end"/>
    </w:r>
    <w:r>
      <w:instrText xml:space="preserve">" </w:instrText>
    </w:r>
    <w:r w:rsidRPr="006650EF">
      <w:rPr>
        <w:sz w:val="18"/>
      </w:rPr>
      <w:fldChar w:fldCharType="begin"/>
    </w:r>
    <w:r>
      <w:instrText xml:space="preserve"> IF </w:instrText>
    </w:r>
    <w:r>
      <w:fldChar w:fldCharType="begin"/>
    </w:r>
    <w:r>
      <w:instrText xml:space="preserve"> =mod( </w:instrText>
    </w:r>
    <w:r>
      <w:fldChar w:fldCharType="begin"/>
    </w:r>
    <w:r>
      <w:instrText xml:space="preserve"> PAGE \* Arabic </w:instrText>
    </w:r>
    <w:r>
      <w:fldChar w:fldCharType="separate"/>
    </w:r>
    <w:r>
      <w:rPr>
        <w:noProof/>
      </w:rPr>
      <w:instrText>5</w:instrText>
    </w:r>
    <w:r>
      <w:rPr>
        <w:noProof/>
      </w:rPr>
      <w:fldChar w:fldCharType="end"/>
    </w:r>
    <w:r>
      <w:instrText xml:space="preserve"> ,2) </w:instrText>
    </w:r>
    <w:r>
      <w:fldChar w:fldCharType="separate"/>
    </w:r>
    <w:r>
      <w:rPr>
        <w:noProof/>
      </w:rPr>
      <w:instrText>1</w:instrText>
    </w:r>
    <w:r>
      <w:fldChar w:fldCharType="end"/>
    </w:r>
    <w:r>
      <w:instrText xml:space="preserve"> = "1" "</w:instrText>
    </w:r>
    <w:fldSimple w:instr=" STYLEREF &quot;Cover title&quot; ">
      <w:r>
        <w:rPr>
          <w:noProof/>
        </w:rPr>
        <w:instrText>Prospect name</w:instrText>
      </w:r>
    </w:fldSimple>
  </w:p>
  <w:p w:rsidR="00990AC7" w:rsidRDefault="00990AC7" w:rsidP="006650EF">
    <w:pPr>
      <w:pStyle w:val="Footer"/>
    </w:pPr>
    <w:r>
      <w:instrText>PwC</w:instrText>
    </w:r>
    <w:r>
      <w:ptab w:relativeTo="margin" w:alignment="right" w:leader="none"/>
    </w:r>
    <w:r>
      <w:fldChar w:fldCharType="begin"/>
    </w:r>
    <w:r>
      <w:instrText xml:space="preserve"> PAGE </w:instrText>
    </w:r>
    <w:r>
      <w:fldChar w:fldCharType="separate"/>
    </w:r>
    <w:r>
      <w:rPr>
        <w:noProof/>
      </w:rPr>
      <w:instrText>5</w:instrText>
    </w:r>
    <w:r>
      <w:rPr>
        <w:noProof/>
      </w:rPr>
      <w:fldChar w:fldCharType="end"/>
    </w:r>
  </w:p>
  <w:p w:rsidR="00990AC7" w:rsidRDefault="00990AC7" w:rsidP="006650EF">
    <w:pPr>
      <w:pStyle w:val="Footer-Even"/>
    </w:pPr>
    <w:r>
      <w:instrText>" "</w:instrText>
    </w:r>
    <w:r>
      <w:ptab w:relativeTo="margin" w:alignment="right" w:leader="none"/>
    </w:r>
    <w:fldSimple w:instr=" STYLEREF &quot;Cover title&quot; ">
      <w:r>
        <w:rPr>
          <w:noProof/>
        </w:rPr>
        <w:instrText>Prospect name</w:instrText>
      </w:r>
    </w:fldSimple>
  </w:p>
  <w:p w:rsidR="00990AC7" w:rsidRDefault="00990AC7" w:rsidP="006650EF">
    <w:pPr>
      <w:pStyle w:val="Footer-Even"/>
    </w:pPr>
    <w:r>
      <w:fldChar w:fldCharType="begin"/>
    </w:r>
    <w:r>
      <w:instrText xml:space="preserve"> PAGE </w:instrText>
    </w:r>
    <w:r>
      <w:fldChar w:fldCharType="separate"/>
    </w:r>
    <w:r>
      <w:rPr>
        <w:noProof/>
      </w:rPr>
      <w:instrText>4</w:instrText>
    </w:r>
    <w:r>
      <w:rPr>
        <w:noProof/>
      </w:rPr>
      <w:fldChar w:fldCharType="end"/>
    </w:r>
    <w:r>
      <w:ptab w:relativeTo="margin" w:alignment="right" w:leader="none"/>
    </w:r>
    <w:r>
      <w:instrText>PwC</w:instrText>
    </w:r>
  </w:p>
  <w:p w:rsidR="00990AC7" w:rsidRPr="006650EF" w:rsidRDefault="00990AC7" w:rsidP="006650EF">
    <w:pPr>
      <w:pStyle w:val="Footer"/>
      <w:rPr>
        <w:noProof/>
        <w:sz w:val="2"/>
      </w:rPr>
    </w:pPr>
    <w:r w:rsidRPr="006650EF">
      <w:rPr>
        <w:sz w:val="2"/>
      </w:rPr>
      <w:instrText xml:space="preserve">" </w:instrText>
    </w:r>
    <w:r w:rsidRPr="006650EF">
      <w:rPr>
        <w:sz w:val="2"/>
      </w:rPr>
      <w:fldChar w:fldCharType="separate"/>
    </w:r>
    <w:r w:rsidRPr="006650EF">
      <w:rPr>
        <w:noProof/>
        <w:sz w:val="2"/>
      </w:rPr>
      <w:instrText>Prospect name</w:instrText>
    </w:r>
  </w:p>
  <w:p w:rsidR="00990AC7" w:rsidRPr="006650EF" w:rsidRDefault="00990AC7" w:rsidP="006650EF">
    <w:pPr>
      <w:pStyle w:val="Footer"/>
      <w:rPr>
        <w:noProof/>
        <w:sz w:val="2"/>
      </w:rPr>
    </w:pPr>
    <w:r w:rsidRPr="006650EF">
      <w:rPr>
        <w:noProof/>
        <w:sz w:val="2"/>
      </w:rPr>
      <w:instrText>PwC</w:instrText>
    </w:r>
    <w:r w:rsidRPr="006650EF">
      <w:rPr>
        <w:noProof/>
        <w:sz w:val="2"/>
      </w:rPr>
      <w:tab/>
      <w:instrText>5</w:instrText>
    </w:r>
    <w:r w:rsidRPr="006650EF">
      <w:rPr>
        <w:noProof/>
        <w:sz w:val="2"/>
      </w:rPr>
      <w:tab/>
      <w:instrText>WWYLTG?</w:instrText>
    </w:r>
  </w:p>
  <w:p w:rsidR="00542564" w:rsidRDefault="00990AC7" w:rsidP="006650EF">
    <w:pPr>
      <w:pStyle w:val="Footer"/>
      <w:rPr>
        <w:noProof/>
      </w:rPr>
    </w:pPr>
    <w:r w:rsidRPr="006650EF">
      <w:rPr>
        <w:sz w:val="2"/>
      </w:rPr>
      <w:fldChar w:fldCharType="end"/>
    </w:r>
    <w:r w:rsidRPr="006650EF">
      <w:rPr>
        <w:sz w:val="2"/>
      </w:rPr>
      <w:instrText xml:space="preserve"> </w:instrText>
    </w:r>
    <w:r w:rsidRPr="006650EF">
      <w:rPr>
        <w:sz w:val="2"/>
      </w:rPr>
      <w:fldChar w:fldCharType="separate"/>
    </w:r>
    <w:r w:rsidR="00542564">
      <w:rPr>
        <w:noProof/>
      </w:rPr>
      <w:t>Transport Accident Commission</w:t>
    </w:r>
  </w:p>
  <w:p w:rsidR="00990AC7" w:rsidRPr="006650EF" w:rsidRDefault="00542564" w:rsidP="006650EF">
    <w:pPr>
      <w:pStyle w:val="Footer"/>
      <w:rPr>
        <w:sz w:val="2"/>
      </w:rPr>
    </w:pPr>
    <w:r>
      <w:rPr>
        <w:noProof/>
      </w:rPr>
      <w:t>PwC</w:t>
    </w:r>
    <w:r>
      <w:rPr>
        <w:noProof/>
      </w:rPr>
      <w:ptab w:relativeTo="margin" w:alignment="right" w:leader="none"/>
    </w:r>
    <w:r>
      <w:rPr>
        <w:noProof/>
      </w:rPr>
      <w:t>11</w:t>
    </w:r>
    <w:r w:rsidR="00990AC7" w:rsidRPr="006650EF">
      <w:rPr>
        <w:sz w:val="2"/>
      </w:rPr>
      <w:fldChar w:fldCharType="end"/>
    </w:r>
    <w:bookmarkStart w:id="198" w:name="_Toc384050402"/>
    <w:bookmarkStart w:id="199" w:name="_Toc384123855"/>
    <w:bookmarkEnd w:id="198"/>
    <w:bookmarkEnd w:id="199"/>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AC7" w:rsidRDefault="00990AC7" w:rsidP="005A3BCC">
    <w:pPr>
      <w:pStyle w:val="Footer"/>
    </w:pPr>
    <w:r w:rsidRPr="006650EF">
      <w:rPr>
        <w:sz w:val="18"/>
      </w:rPr>
      <w:fldChar w:fldCharType="begin"/>
    </w:r>
    <w:r>
      <w:instrText xml:space="preserve"> IF </w:instrText>
    </w:r>
    <w:fldSimple w:instr=" DOCPROPERTY &quot;Mirror Margins&quot; ">
      <w:r w:rsidR="00542564">
        <w:instrText>N</w:instrText>
      </w:r>
    </w:fldSimple>
    <w:r>
      <w:instrText xml:space="preserve"> = "N" "</w:instrText>
    </w:r>
    <w:fldSimple w:instr=" STYLEREF &quot;Cover title&quot; ">
      <w:r w:rsidR="00F10EB0">
        <w:rPr>
          <w:noProof/>
        </w:rPr>
        <w:instrText>Transport Accident Commission</w:instrText>
      </w:r>
    </w:fldSimple>
  </w:p>
  <w:p w:rsidR="00990AC7" w:rsidRDefault="00990AC7" w:rsidP="005A3BCC">
    <w:pPr>
      <w:pStyle w:val="Footer"/>
    </w:pPr>
    <w:r>
      <w:instrText>PwC</w:instrText>
    </w:r>
    <w:r>
      <w:ptab w:relativeTo="margin" w:alignment="right" w:leader="none"/>
    </w:r>
    <w:r>
      <w:fldChar w:fldCharType="begin"/>
    </w:r>
    <w:r>
      <w:instrText xml:space="preserve"> PAGE </w:instrText>
    </w:r>
    <w:r>
      <w:fldChar w:fldCharType="separate"/>
    </w:r>
    <w:r w:rsidR="00F10EB0">
      <w:rPr>
        <w:noProof/>
      </w:rPr>
      <w:instrText>i</w:instrText>
    </w:r>
    <w:r>
      <w:rPr>
        <w:noProof/>
      </w:rPr>
      <w:fldChar w:fldCharType="end"/>
    </w:r>
    <w:r>
      <w:instrText xml:space="preserve">" </w:instrText>
    </w:r>
    <w:r w:rsidRPr="006650EF">
      <w:rPr>
        <w:sz w:val="18"/>
      </w:rPr>
      <w:fldChar w:fldCharType="begin"/>
    </w:r>
    <w:r>
      <w:instrText xml:space="preserve"> IF </w:instrText>
    </w:r>
    <w:r>
      <w:fldChar w:fldCharType="begin"/>
    </w:r>
    <w:r>
      <w:instrText xml:space="preserve"> =mod( </w:instrText>
    </w:r>
    <w:r>
      <w:fldChar w:fldCharType="begin"/>
    </w:r>
    <w:r>
      <w:instrText xml:space="preserve"> PAGE \* Arabic </w:instrText>
    </w:r>
    <w:r>
      <w:fldChar w:fldCharType="separate"/>
    </w:r>
    <w:r>
      <w:rPr>
        <w:noProof/>
      </w:rPr>
      <w:instrText>5</w:instrText>
    </w:r>
    <w:r>
      <w:rPr>
        <w:noProof/>
      </w:rPr>
      <w:fldChar w:fldCharType="end"/>
    </w:r>
    <w:r>
      <w:instrText xml:space="preserve"> ,2) </w:instrText>
    </w:r>
    <w:r>
      <w:fldChar w:fldCharType="separate"/>
    </w:r>
    <w:r>
      <w:rPr>
        <w:noProof/>
      </w:rPr>
      <w:instrText>1</w:instrText>
    </w:r>
    <w:r>
      <w:fldChar w:fldCharType="end"/>
    </w:r>
    <w:r>
      <w:instrText xml:space="preserve"> = "1" "</w:instrText>
    </w:r>
    <w:fldSimple w:instr=" STYLEREF &quot;Cover title&quot; ">
      <w:r>
        <w:rPr>
          <w:noProof/>
        </w:rPr>
        <w:instrText>Prospect name</w:instrText>
      </w:r>
    </w:fldSimple>
  </w:p>
  <w:p w:rsidR="00990AC7" w:rsidRDefault="00990AC7" w:rsidP="005A3BCC">
    <w:pPr>
      <w:pStyle w:val="Footer"/>
    </w:pPr>
    <w:r>
      <w:instrText>PwC</w:instrText>
    </w:r>
    <w:r>
      <w:ptab w:relativeTo="margin" w:alignment="right" w:leader="none"/>
    </w:r>
    <w:r>
      <w:fldChar w:fldCharType="begin"/>
    </w:r>
    <w:r>
      <w:instrText xml:space="preserve"> PAGE </w:instrText>
    </w:r>
    <w:r>
      <w:fldChar w:fldCharType="separate"/>
    </w:r>
    <w:r>
      <w:rPr>
        <w:noProof/>
      </w:rPr>
      <w:instrText>5</w:instrText>
    </w:r>
    <w:r>
      <w:rPr>
        <w:noProof/>
      </w:rPr>
      <w:fldChar w:fldCharType="end"/>
    </w:r>
  </w:p>
  <w:p w:rsidR="00990AC7" w:rsidRDefault="00990AC7" w:rsidP="005A3BCC">
    <w:pPr>
      <w:pStyle w:val="Footer-Even"/>
    </w:pPr>
    <w:r>
      <w:instrText>" "</w:instrText>
    </w:r>
    <w:r>
      <w:ptab w:relativeTo="margin" w:alignment="right" w:leader="none"/>
    </w:r>
    <w:fldSimple w:instr=" STYLEREF &quot;Cover title&quot; ">
      <w:r>
        <w:rPr>
          <w:noProof/>
        </w:rPr>
        <w:instrText>Prospect name</w:instrText>
      </w:r>
    </w:fldSimple>
  </w:p>
  <w:p w:rsidR="00990AC7" w:rsidRDefault="00990AC7" w:rsidP="005A3BCC">
    <w:pPr>
      <w:pStyle w:val="Footer-Even"/>
    </w:pPr>
    <w:r>
      <w:fldChar w:fldCharType="begin"/>
    </w:r>
    <w:r>
      <w:instrText xml:space="preserve"> PAGE </w:instrText>
    </w:r>
    <w:r>
      <w:fldChar w:fldCharType="separate"/>
    </w:r>
    <w:r>
      <w:rPr>
        <w:noProof/>
      </w:rPr>
      <w:instrText>4</w:instrText>
    </w:r>
    <w:r>
      <w:rPr>
        <w:noProof/>
      </w:rPr>
      <w:fldChar w:fldCharType="end"/>
    </w:r>
    <w:r>
      <w:ptab w:relativeTo="margin" w:alignment="right" w:leader="none"/>
    </w:r>
    <w:r>
      <w:instrText>PwC</w:instrText>
    </w:r>
  </w:p>
  <w:p w:rsidR="00990AC7" w:rsidRPr="006650EF" w:rsidRDefault="00990AC7" w:rsidP="005A3BCC">
    <w:pPr>
      <w:pStyle w:val="Footer"/>
      <w:rPr>
        <w:noProof/>
        <w:sz w:val="2"/>
      </w:rPr>
    </w:pPr>
    <w:r w:rsidRPr="006650EF">
      <w:rPr>
        <w:sz w:val="2"/>
      </w:rPr>
      <w:instrText xml:space="preserve">" </w:instrText>
    </w:r>
    <w:r w:rsidRPr="006650EF">
      <w:rPr>
        <w:sz w:val="2"/>
      </w:rPr>
      <w:fldChar w:fldCharType="separate"/>
    </w:r>
    <w:r w:rsidRPr="006650EF">
      <w:rPr>
        <w:noProof/>
        <w:sz w:val="2"/>
      </w:rPr>
      <w:instrText>Prospect name</w:instrText>
    </w:r>
  </w:p>
  <w:p w:rsidR="00990AC7" w:rsidRPr="006650EF" w:rsidRDefault="00990AC7" w:rsidP="005A3BCC">
    <w:pPr>
      <w:pStyle w:val="Footer"/>
      <w:rPr>
        <w:noProof/>
        <w:sz w:val="2"/>
      </w:rPr>
    </w:pPr>
    <w:r w:rsidRPr="006650EF">
      <w:rPr>
        <w:noProof/>
        <w:sz w:val="2"/>
      </w:rPr>
      <w:instrText>PwC</w:instrText>
    </w:r>
    <w:r w:rsidRPr="006650EF">
      <w:rPr>
        <w:noProof/>
        <w:sz w:val="2"/>
      </w:rPr>
      <w:tab/>
      <w:instrText>5</w:instrText>
    </w:r>
    <w:r w:rsidRPr="006650EF">
      <w:rPr>
        <w:noProof/>
        <w:sz w:val="2"/>
      </w:rPr>
      <w:tab/>
      <w:instrText>WWYLTG?</w:instrText>
    </w:r>
  </w:p>
  <w:p w:rsidR="00F10EB0" w:rsidRDefault="00990AC7" w:rsidP="005A3BCC">
    <w:pPr>
      <w:pStyle w:val="Footer"/>
      <w:rPr>
        <w:noProof/>
      </w:rPr>
    </w:pPr>
    <w:r w:rsidRPr="006650EF">
      <w:rPr>
        <w:sz w:val="2"/>
      </w:rPr>
      <w:fldChar w:fldCharType="end"/>
    </w:r>
    <w:r w:rsidRPr="006650EF">
      <w:rPr>
        <w:sz w:val="2"/>
      </w:rPr>
      <w:instrText xml:space="preserve"> </w:instrText>
    </w:r>
    <w:r w:rsidRPr="006650EF">
      <w:rPr>
        <w:sz w:val="2"/>
      </w:rPr>
      <w:fldChar w:fldCharType="separate"/>
    </w:r>
    <w:r w:rsidR="00F10EB0">
      <w:rPr>
        <w:noProof/>
      </w:rPr>
      <w:t>Transport Accident Commission</w:t>
    </w:r>
  </w:p>
  <w:p w:rsidR="00990AC7" w:rsidRPr="006650EF" w:rsidRDefault="00F10EB0" w:rsidP="005A3BCC">
    <w:pPr>
      <w:pStyle w:val="Footer"/>
      <w:rPr>
        <w:sz w:val="2"/>
      </w:rPr>
    </w:pPr>
    <w:r>
      <w:rPr>
        <w:noProof/>
      </w:rPr>
      <w:t>PwC</w:t>
    </w:r>
    <w:r>
      <w:rPr>
        <w:noProof/>
      </w:rPr>
      <w:ptab w:relativeTo="margin" w:alignment="right" w:leader="none"/>
    </w:r>
    <w:r>
      <w:rPr>
        <w:noProof/>
      </w:rPr>
      <w:t>i</w:t>
    </w:r>
    <w:r w:rsidR="00990AC7" w:rsidRPr="006650EF">
      <w:rPr>
        <w:sz w:val="2"/>
      </w:rPr>
      <w:fldChar w:fldCharType="end"/>
    </w:r>
  </w:p>
  <w:p w:rsidR="00990AC7" w:rsidRPr="006650EF" w:rsidRDefault="00990AC7" w:rsidP="006650EF">
    <w:pPr>
      <w:pStyle w:val="Footer"/>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AC7" w:rsidRDefault="00420464" w:rsidP="00C151DD">
    <w:pPr>
      <w:pStyle w:val="Footer-Even"/>
    </w:pPr>
    <w:fldSimple w:instr=" STYLEREF &quot;Cover Title&quot; ">
      <w:r w:rsidR="00542564">
        <w:rPr>
          <w:noProof/>
        </w:rPr>
        <w:t>Transport Accident Commission</w:t>
      </w:r>
    </w:fldSimple>
  </w:p>
  <w:p w:rsidR="00990AC7" w:rsidRPr="006650EF" w:rsidRDefault="00990AC7" w:rsidP="00C151DD">
    <w:pPr>
      <w:pStyle w:val="Footer-Even"/>
    </w:pPr>
    <w:r>
      <w:t>PwC</w:t>
    </w:r>
    <w:r>
      <w:tab/>
    </w:r>
    <w:r>
      <w:fldChar w:fldCharType="begin"/>
    </w:r>
    <w:r>
      <w:instrText xml:space="preserve"> PAGE  \* MERGEFORMAT </w:instrText>
    </w:r>
    <w:r>
      <w:fldChar w:fldCharType="separate"/>
    </w:r>
    <w:r>
      <w:rPr>
        <w:noProof/>
      </w:rPr>
      <w:t>i</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AC7" w:rsidRDefault="00420464" w:rsidP="00C151DD">
    <w:pPr>
      <w:pStyle w:val="Footer"/>
    </w:pPr>
    <w:fldSimple w:instr=" STYLEREF &quot;Cover Title&quot; ">
      <w:r w:rsidR="00F10EB0">
        <w:rPr>
          <w:noProof/>
        </w:rPr>
        <w:t>Transport Accident Commission</w:t>
      </w:r>
    </w:fldSimple>
  </w:p>
  <w:p w:rsidR="00990AC7" w:rsidRPr="00A84ADF" w:rsidRDefault="00990AC7" w:rsidP="00C151DD">
    <w:pPr>
      <w:pStyle w:val="Footer"/>
    </w:pPr>
    <w:r>
      <w:t>PwC</w:t>
    </w:r>
    <w:r>
      <w:tab/>
    </w:r>
    <w:r>
      <w:fldChar w:fldCharType="begin"/>
    </w:r>
    <w:r>
      <w:instrText xml:space="preserve"> PAGE  \* MERGEFORMAT </w:instrText>
    </w:r>
    <w:r>
      <w:fldChar w:fldCharType="separate"/>
    </w:r>
    <w:r w:rsidR="00F10EB0">
      <w:rPr>
        <w:noProof/>
      </w:rPr>
      <w:t>ii</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AC7" w:rsidRDefault="00420464" w:rsidP="005A3BCC">
    <w:pPr>
      <w:pStyle w:val="Footer"/>
    </w:pPr>
    <w:fldSimple w:instr=" STYLEREF &quot;Cover Title&quot; ">
      <w:r w:rsidR="00F10EB0">
        <w:rPr>
          <w:noProof/>
        </w:rPr>
        <w:t>Transport Accident Commission</w:t>
      </w:r>
    </w:fldSimple>
  </w:p>
  <w:p w:rsidR="00990AC7" w:rsidRPr="00A84ADF" w:rsidRDefault="00990AC7" w:rsidP="005A3BCC">
    <w:pPr>
      <w:pStyle w:val="Footer"/>
    </w:pPr>
    <w:r>
      <w:t>PwC</w:t>
    </w:r>
    <w:r>
      <w:tab/>
    </w:r>
    <w:r>
      <w:fldChar w:fldCharType="begin"/>
    </w:r>
    <w:r>
      <w:instrText xml:space="preserve"> PAGE  \* MERGEFORMAT </w:instrText>
    </w:r>
    <w:r>
      <w:fldChar w:fldCharType="separate"/>
    </w:r>
    <w:r w:rsidR="00F10EB0">
      <w:rPr>
        <w:noProof/>
      </w:rPr>
      <w:t>i</w:t>
    </w:r>
    <w:r>
      <w:rPr>
        <w:noProof/>
      </w:rPr>
      <w:fldChar w:fldCharType="end"/>
    </w:r>
  </w:p>
  <w:p w:rsidR="00990AC7" w:rsidRPr="006650EF" w:rsidRDefault="00990AC7" w:rsidP="006650EF">
    <w:pPr>
      <w:pStyle w:val="Footer"/>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AC7" w:rsidRDefault="00420464" w:rsidP="00C151DD">
    <w:pPr>
      <w:pStyle w:val="Footer-ToCEven"/>
    </w:pPr>
    <w:fldSimple w:instr=" STYLEREF &quot;Cover Title&quot; ">
      <w:r w:rsidR="00542564">
        <w:rPr>
          <w:noProof/>
        </w:rPr>
        <w:t>Transport Accident Commission</w:t>
      </w:r>
    </w:fldSimple>
  </w:p>
  <w:p w:rsidR="00990AC7" w:rsidRPr="006650EF" w:rsidRDefault="00990AC7" w:rsidP="00C151DD">
    <w:pPr>
      <w:pStyle w:val="Footer-ToCEven"/>
    </w:pPr>
    <w:r>
      <w:t>PwC</w:t>
    </w:r>
    <w:r>
      <w:tab/>
    </w:r>
    <w:r>
      <w:fldChar w:fldCharType="begin"/>
    </w:r>
    <w:r>
      <w:instrText xml:space="preserve"> PAGE  \* MERGEFORMAT </w:instrText>
    </w:r>
    <w:r>
      <w:fldChar w:fldCharType="separate"/>
    </w:r>
    <w:r>
      <w:rPr>
        <w:noProof/>
      </w:rPr>
      <w:t>i</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AC7" w:rsidRDefault="00420464" w:rsidP="00C151DD">
    <w:pPr>
      <w:pStyle w:val="Footer-ToC"/>
    </w:pPr>
    <w:fldSimple w:instr=" STYLEREF &quot;Cover Title&quot; ">
      <w:r w:rsidR="00542564">
        <w:rPr>
          <w:noProof/>
        </w:rPr>
        <w:t>Transport Accident Commission</w:t>
      </w:r>
    </w:fldSimple>
  </w:p>
  <w:p w:rsidR="00990AC7" w:rsidRPr="00A84ADF" w:rsidRDefault="00990AC7" w:rsidP="00C151DD">
    <w:pPr>
      <w:pStyle w:val="Footer-ToC"/>
    </w:pPr>
    <w:r>
      <w:t>PwC</w:t>
    </w:r>
    <w:r>
      <w:tab/>
    </w:r>
    <w:r>
      <w:fldChar w:fldCharType="begin"/>
    </w:r>
    <w:r>
      <w:instrText xml:space="preserve"> PAGE  \* MERGEFORMAT </w:instrText>
    </w:r>
    <w:r>
      <w:fldChar w:fldCharType="separate"/>
    </w:r>
    <w:r>
      <w:rPr>
        <w:noProof/>
      </w:rPr>
      <w:t>ii</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AC7" w:rsidRDefault="00990AC7" w:rsidP="00C151DD">
    <w:pPr>
      <w:pStyle w:val="Footer-ToC"/>
    </w:pPr>
    <w:r w:rsidRPr="006650EF">
      <w:rPr>
        <w:sz w:val="18"/>
      </w:rPr>
      <w:fldChar w:fldCharType="begin"/>
    </w:r>
    <w:r>
      <w:instrText xml:space="preserve"> IF </w:instrText>
    </w:r>
    <w:fldSimple w:instr=" DOCPROPERTY &quot;Mirror Margins&quot; ">
      <w:r w:rsidR="00542564">
        <w:instrText>N</w:instrText>
      </w:r>
    </w:fldSimple>
    <w:r>
      <w:instrText xml:space="preserve"> = "N" "</w:instrText>
    </w:r>
    <w:fldSimple w:instr=" STYLEREF &quot;Cover title&quot; ">
      <w:r w:rsidR="00F10EB0">
        <w:rPr>
          <w:noProof/>
        </w:rPr>
        <w:instrText>Transport Accident Commission</w:instrText>
      </w:r>
    </w:fldSimple>
  </w:p>
  <w:p w:rsidR="00990AC7" w:rsidRDefault="00990AC7" w:rsidP="00C151DD">
    <w:pPr>
      <w:pStyle w:val="Footer-ToC"/>
    </w:pPr>
    <w:r>
      <w:instrText>PwC</w:instrText>
    </w:r>
    <w:r>
      <w:ptab w:relativeTo="margin" w:alignment="right" w:leader="none"/>
    </w:r>
    <w:r>
      <w:fldChar w:fldCharType="begin"/>
    </w:r>
    <w:r>
      <w:instrText xml:space="preserve"> PAGE </w:instrText>
    </w:r>
    <w:r>
      <w:fldChar w:fldCharType="separate"/>
    </w:r>
    <w:r w:rsidR="00F10EB0">
      <w:rPr>
        <w:noProof/>
      </w:rPr>
      <w:instrText>i</w:instrText>
    </w:r>
    <w:r>
      <w:rPr>
        <w:noProof/>
      </w:rPr>
      <w:fldChar w:fldCharType="end"/>
    </w:r>
    <w:r>
      <w:instrText xml:space="preserve">" </w:instrText>
    </w:r>
    <w:r w:rsidRPr="006650EF">
      <w:rPr>
        <w:sz w:val="18"/>
      </w:rPr>
      <w:fldChar w:fldCharType="begin"/>
    </w:r>
    <w:r>
      <w:instrText xml:space="preserve"> IF </w:instrText>
    </w:r>
    <w:r>
      <w:fldChar w:fldCharType="begin"/>
    </w:r>
    <w:r>
      <w:instrText xml:space="preserve"> =mod( </w:instrText>
    </w:r>
    <w:r>
      <w:fldChar w:fldCharType="begin"/>
    </w:r>
    <w:r>
      <w:instrText xml:space="preserve"> PAGE \* Arabic </w:instrText>
    </w:r>
    <w:r>
      <w:fldChar w:fldCharType="separate"/>
    </w:r>
    <w:r>
      <w:rPr>
        <w:noProof/>
      </w:rPr>
      <w:instrText>5</w:instrText>
    </w:r>
    <w:r>
      <w:rPr>
        <w:noProof/>
      </w:rPr>
      <w:fldChar w:fldCharType="end"/>
    </w:r>
    <w:r>
      <w:instrText xml:space="preserve"> ,2) </w:instrText>
    </w:r>
    <w:r>
      <w:fldChar w:fldCharType="separate"/>
    </w:r>
    <w:r>
      <w:rPr>
        <w:noProof/>
      </w:rPr>
      <w:instrText>1</w:instrText>
    </w:r>
    <w:r>
      <w:fldChar w:fldCharType="end"/>
    </w:r>
    <w:r>
      <w:instrText xml:space="preserve"> = "1" "</w:instrText>
    </w:r>
    <w:fldSimple w:instr=" STYLEREF &quot;Cover title&quot; ">
      <w:r>
        <w:rPr>
          <w:noProof/>
        </w:rPr>
        <w:instrText>Prospect name</w:instrText>
      </w:r>
    </w:fldSimple>
  </w:p>
  <w:p w:rsidR="00990AC7" w:rsidRDefault="00990AC7" w:rsidP="00C151DD">
    <w:pPr>
      <w:pStyle w:val="Footer-ToC"/>
    </w:pPr>
    <w:r>
      <w:instrText>PwC</w:instrText>
    </w:r>
    <w:r>
      <w:ptab w:relativeTo="margin" w:alignment="right" w:leader="none"/>
    </w:r>
    <w:r>
      <w:fldChar w:fldCharType="begin"/>
    </w:r>
    <w:r>
      <w:instrText xml:space="preserve"> PAGE </w:instrText>
    </w:r>
    <w:r>
      <w:fldChar w:fldCharType="separate"/>
    </w:r>
    <w:r>
      <w:rPr>
        <w:noProof/>
      </w:rPr>
      <w:instrText>5</w:instrText>
    </w:r>
    <w:r>
      <w:rPr>
        <w:noProof/>
      </w:rPr>
      <w:fldChar w:fldCharType="end"/>
    </w:r>
  </w:p>
  <w:p w:rsidR="00990AC7" w:rsidRDefault="00990AC7" w:rsidP="00C151DD">
    <w:pPr>
      <w:pStyle w:val="Footer-ToC"/>
    </w:pPr>
    <w:r>
      <w:instrText>" "</w:instrText>
    </w:r>
    <w:r>
      <w:ptab w:relativeTo="margin" w:alignment="right" w:leader="none"/>
    </w:r>
    <w:fldSimple w:instr=" STYLEREF &quot;Cover title&quot; ">
      <w:r>
        <w:rPr>
          <w:noProof/>
        </w:rPr>
        <w:instrText>Prospect name</w:instrText>
      </w:r>
    </w:fldSimple>
  </w:p>
  <w:p w:rsidR="00990AC7" w:rsidRDefault="00990AC7" w:rsidP="00C151DD">
    <w:pPr>
      <w:pStyle w:val="Footer-ToC"/>
    </w:pPr>
    <w:r>
      <w:fldChar w:fldCharType="begin"/>
    </w:r>
    <w:r>
      <w:instrText xml:space="preserve"> PAGE </w:instrText>
    </w:r>
    <w:r>
      <w:fldChar w:fldCharType="separate"/>
    </w:r>
    <w:r>
      <w:rPr>
        <w:noProof/>
      </w:rPr>
      <w:instrText>4</w:instrText>
    </w:r>
    <w:r>
      <w:rPr>
        <w:noProof/>
      </w:rPr>
      <w:fldChar w:fldCharType="end"/>
    </w:r>
    <w:r>
      <w:ptab w:relativeTo="margin" w:alignment="right" w:leader="none"/>
    </w:r>
    <w:r>
      <w:instrText>PwC</w:instrText>
    </w:r>
  </w:p>
  <w:p w:rsidR="00990AC7" w:rsidRPr="006650EF" w:rsidRDefault="00990AC7" w:rsidP="00C151DD">
    <w:pPr>
      <w:pStyle w:val="Footer-ToC"/>
      <w:rPr>
        <w:noProof/>
        <w:sz w:val="2"/>
      </w:rPr>
    </w:pPr>
    <w:r w:rsidRPr="006650EF">
      <w:rPr>
        <w:sz w:val="2"/>
      </w:rPr>
      <w:instrText xml:space="preserve">" </w:instrText>
    </w:r>
    <w:r w:rsidRPr="006650EF">
      <w:rPr>
        <w:sz w:val="2"/>
      </w:rPr>
      <w:fldChar w:fldCharType="separate"/>
    </w:r>
    <w:r w:rsidRPr="006650EF">
      <w:rPr>
        <w:noProof/>
        <w:sz w:val="2"/>
      </w:rPr>
      <w:instrText>Prospect name</w:instrText>
    </w:r>
  </w:p>
  <w:p w:rsidR="00990AC7" w:rsidRPr="006650EF" w:rsidRDefault="00990AC7" w:rsidP="00C151DD">
    <w:pPr>
      <w:pStyle w:val="Footer-ToC"/>
      <w:rPr>
        <w:noProof/>
        <w:sz w:val="2"/>
      </w:rPr>
    </w:pPr>
    <w:r w:rsidRPr="006650EF">
      <w:rPr>
        <w:noProof/>
        <w:sz w:val="2"/>
      </w:rPr>
      <w:instrText>PwC</w:instrText>
    </w:r>
    <w:r w:rsidRPr="006650EF">
      <w:rPr>
        <w:noProof/>
        <w:sz w:val="2"/>
      </w:rPr>
      <w:tab/>
      <w:instrText>5</w:instrText>
    </w:r>
    <w:r w:rsidRPr="006650EF">
      <w:rPr>
        <w:noProof/>
        <w:sz w:val="2"/>
      </w:rPr>
      <w:tab/>
      <w:instrText>WWYLTG?</w:instrText>
    </w:r>
  </w:p>
  <w:p w:rsidR="00F10EB0" w:rsidRDefault="00990AC7" w:rsidP="00C151DD">
    <w:pPr>
      <w:pStyle w:val="Footer-ToC"/>
      <w:rPr>
        <w:noProof/>
      </w:rPr>
    </w:pPr>
    <w:r w:rsidRPr="006650EF">
      <w:rPr>
        <w:sz w:val="2"/>
      </w:rPr>
      <w:fldChar w:fldCharType="end"/>
    </w:r>
    <w:r w:rsidRPr="006650EF">
      <w:rPr>
        <w:sz w:val="2"/>
      </w:rPr>
      <w:instrText xml:space="preserve"> </w:instrText>
    </w:r>
    <w:r w:rsidRPr="006650EF">
      <w:rPr>
        <w:sz w:val="2"/>
      </w:rPr>
      <w:fldChar w:fldCharType="separate"/>
    </w:r>
    <w:r w:rsidR="00F10EB0">
      <w:rPr>
        <w:noProof/>
      </w:rPr>
      <w:t>Transport Accident Commission</w:t>
    </w:r>
  </w:p>
  <w:p w:rsidR="00990AC7" w:rsidRPr="006650EF" w:rsidRDefault="00F10EB0" w:rsidP="00C151DD">
    <w:pPr>
      <w:pStyle w:val="Footer-ToC"/>
      <w:rPr>
        <w:sz w:val="2"/>
      </w:rPr>
    </w:pPr>
    <w:r>
      <w:rPr>
        <w:noProof/>
      </w:rPr>
      <w:t>PwC</w:t>
    </w:r>
    <w:r>
      <w:rPr>
        <w:noProof/>
      </w:rPr>
      <w:ptab w:relativeTo="margin" w:alignment="right" w:leader="none"/>
    </w:r>
    <w:r>
      <w:rPr>
        <w:noProof/>
      </w:rPr>
      <w:t>i</w:t>
    </w:r>
    <w:r w:rsidR="00990AC7" w:rsidRPr="006650EF">
      <w:rPr>
        <w:sz w:val="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0AC7" w:rsidRDefault="00990AC7" w:rsidP="004343B3">
      <w:pPr>
        <w:pStyle w:val="Separator"/>
      </w:pPr>
      <w:r>
        <w:separator/>
      </w:r>
    </w:p>
    <w:p w:rsidR="00990AC7" w:rsidRDefault="00990AC7"/>
  </w:footnote>
  <w:footnote w:type="continuationSeparator" w:id="0">
    <w:p w:rsidR="00990AC7" w:rsidRDefault="00990AC7" w:rsidP="004343B3">
      <w:pPr>
        <w:pStyle w:val="Separator"/>
      </w:pPr>
      <w:r>
        <w:continuationSeparator/>
      </w:r>
    </w:p>
    <w:p w:rsidR="00990AC7" w:rsidRDefault="00990AC7"/>
  </w:footnote>
  <w:footnote w:type="continuationNotice" w:id="1">
    <w:p w:rsidR="00990AC7" w:rsidRPr="00F20B7D" w:rsidRDefault="00990AC7" w:rsidP="00F20B7D">
      <w:pPr>
        <w:pStyle w:val="Footer"/>
        <w:rPr>
          <w:sz w:val="2"/>
          <w:szCs w:val="2"/>
        </w:rPr>
      </w:pPr>
    </w:p>
    <w:p w:rsidR="00990AC7" w:rsidRDefault="00990AC7"/>
  </w:footnote>
  <w:footnote w:id="2">
    <w:p w:rsidR="00990AC7" w:rsidRPr="00D9523A" w:rsidRDefault="00990AC7" w:rsidP="00275394">
      <w:pPr>
        <w:pStyle w:val="FootnoteText"/>
      </w:pPr>
      <w:r>
        <w:rPr>
          <w:rStyle w:val="FootnoteReference"/>
        </w:rPr>
        <w:footnoteRef/>
      </w:r>
      <w:r>
        <w:t xml:space="preserve"> </w:t>
      </w:r>
      <w:r>
        <w:tab/>
      </w:r>
      <w:r w:rsidRPr="001A75C2">
        <w:rPr>
          <w:i/>
        </w:rPr>
        <w:t>Transport Accident Act 1986</w:t>
      </w:r>
      <w:r>
        <w:rPr>
          <w:i/>
        </w:rPr>
        <w:t xml:space="preserve"> (Vic)</w:t>
      </w:r>
    </w:p>
  </w:footnote>
  <w:footnote w:id="3">
    <w:p w:rsidR="00990AC7" w:rsidRPr="00D9523A" w:rsidRDefault="00990AC7" w:rsidP="00275394">
      <w:pPr>
        <w:pStyle w:val="FootnoteText"/>
      </w:pPr>
      <w:r>
        <w:rPr>
          <w:rStyle w:val="FootnoteReference"/>
        </w:rPr>
        <w:footnoteRef/>
      </w:r>
      <w:r>
        <w:t xml:space="preserve"> </w:t>
      </w:r>
      <w:r>
        <w:tab/>
      </w:r>
      <w:proofErr w:type="gramStart"/>
      <w:r>
        <w:t>Or 25 per cent for assessment of the cervical spine.</w:t>
      </w:r>
      <w:proofErr w:type="gramEnd"/>
    </w:p>
  </w:footnote>
  <w:footnote w:id="4">
    <w:p w:rsidR="00990AC7" w:rsidRDefault="00990AC7" w:rsidP="00765D8B">
      <w:pPr>
        <w:pStyle w:val="FootnoteText"/>
      </w:pPr>
      <w:r>
        <w:rPr>
          <w:rStyle w:val="FootnoteReference"/>
        </w:rPr>
        <w:footnoteRef/>
      </w:r>
      <w:r>
        <w:t xml:space="preserve"> </w:t>
      </w:r>
      <w:r>
        <w:tab/>
      </w:r>
      <w:r>
        <w:rPr>
          <w:rFonts w:eastAsia="Arial Unicode MS" w:hAnsi="Arial Unicode MS" w:cs="Arial Unicode MS"/>
        </w:rPr>
        <w:t>This percentage is based on PwC</w:t>
      </w:r>
      <w:r>
        <w:rPr>
          <w:rFonts w:eastAsia="Arial Unicode MS" w:hAnsi="Arial Unicode MS" w:cs="Arial Unicode MS"/>
        </w:rPr>
        <w:t>’</w:t>
      </w:r>
      <w:r>
        <w:rPr>
          <w:rFonts w:eastAsia="Arial Unicode MS" w:hAnsi="Arial Unicode MS" w:cs="Arial Unicode MS"/>
        </w:rPr>
        <w:t>s detailed analysis of TAC data and the TAC</w:t>
      </w:r>
      <w:r>
        <w:rPr>
          <w:rFonts w:ascii="Arial Unicode MS" w:eastAsia="Arial Unicode MS" w:hAnsi="Arial Unicode MS" w:cs="Arial Unicode MS"/>
        </w:rPr>
        <w:t>’</w:t>
      </w:r>
      <w:r>
        <w:rPr>
          <w:rFonts w:eastAsia="Arial Unicode MS" w:hAnsi="Arial Unicode MS" w:cs="Arial Unicode MS"/>
        </w:rPr>
        <w:t xml:space="preserve">s assessment of a significant number of individual cases. </w:t>
      </w:r>
    </w:p>
  </w:footnote>
  <w:footnote w:id="5">
    <w:p w:rsidR="00990AC7" w:rsidRDefault="00990AC7">
      <w:pPr>
        <w:pStyle w:val="FootnoteText"/>
      </w:pPr>
      <w:r>
        <w:rPr>
          <w:rStyle w:val="FootnoteReference"/>
        </w:rPr>
        <w:footnoteRef/>
      </w:r>
      <w:r>
        <w:t xml:space="preserve"> </w:t>
      </w:r>
      <w:r>
        <w:tab/>
        <w:t>All analysis in this RIS is based on the expected release date of the GMD, 1 July 2014.</w:t>
      </w:r>
    </w:p>
  </w:footnote>
  <w:footnote w:id="6">
    <w:p w:rsidR="00990AC7" w:rsidRDefault="00990AC7" w:rsidP="00370F3E">
      <w:pPr>
        <w:pStyle w:val="FootnoteText"/>
      </w:pPr>
      <w:r>
        <w:rPr>
          <w:rStyle w:val="FootnoteReference"/>
        </w:rPr>
        <w:footnoteRef/>
      </w:r>
      <w:r>
        <w:t xml:space="preserve"> </w:t>
      </w:r>
      <w:r>
        <w:tab/>
        <w:t xml:space="preserve">Victorian Competition and Efficiency Commission, </w:t>
      </w:r>
      <w:r w:rsidRPr="0005334C">
        <w:rPr>
          <w:i/>
        </w:rPr>
        <w:t>Adjusting the Balance: Inquiry into Aspects of the Wrongs Act 1958</w:t>
      </w:r>
      <w:r>
        <w:t>, draft report, Victoria, November 2013, p6.</w:t>
      </w:r>
    </w:p>
  </w:footnote>
  <w:footnote w:id="7">
    <w:p w:rsidR="00990AC7" w:rsidRDefault="00990AC7" w:rsidP="00370F3E">
      <w:pPr>
        <w:pStyle w:val="FootnoteText"/>
      </w:pPr>
      <w:r>
        <w:rPr>
          <w:rStyle w:val="FootnoteReference"/>
        </w:rPr>
        <w:footnoteRef/>
      </w:r>
      <w:r>
        <w:t xml:space="preserve"> </w:t>
      </w:r>
      <w:r>
        <w:tab/>
        <w:t>Ibid</w:t>
      </w:r>
    </w:p>
  </w:footnote>
  <w:footnote w:id="8">
    <w:p w:rsidR="00990AC7" w:rsidRDefault="00990AC7" w:rsidP="00370F3E">
      <w:pPr>
        <w:pStyle w:val="FootnoteText"/>
      </w:pPr>
      <w:r>
        <w:rPr>
          <w:rStyle w:val="FootnoteReference"/>
        </w:rPr>
        <w:footnoteRef/>
      </w:r>
      <w:r>
        <w:t xml:space="preserve"> </w:t>
      </w:r>
      <w:r>
        <w:tab/>
        <w:t>Based on figures outlined at the beginning of Chapter 5</w:t>
      </w:r>
    </w:p>
  </w:footnote>
  <w:footnote w:id="9">
    <w:p w:rsidR="00990AC7" w:rsidRDefault="00990AC7" w:rsidP="00370F3E">
      <w:pPr>
        <w:pStyle w:val="FootnoteText"/>
      </w:pPr>
      <w:r>
        <w:rPr>
          <w:rStyle w:val="FootnoteReference"/>
        </w:rPr>
        <w:footnoteRef/>
      </w:r>
      <w:r>
        <w:t xml:space="preserve"> </w:t>
      </w:r>
      <w:r>
        <w:tab/>
        <w:t>As the calculations in this RIS are as at the expected release date of 1 July 2014, the number of claimants affected is equal to ten years minus two months (1 July 2014 to 31 August 2014) of future claimants. This is calculated by: (1,590 - (159*2/12)) * 80% = 1,251</w:t>
      </w:r>
    </w:p>
  </w:footnote>
  <w:footnote w:id="10">
    <w:p w:rsidR="00990AC7" w:rsidRDefault="00990AC7" w:rsidP="00370F3E">
      <w:pPr>
        <w:pStyle w:val="FootnoteText"/>
      </w:pPr>
      <w:r>
        <w:rPr>
          <w:rStyle w:val="FootnoteReference"/>
        </w:rPr>
        <w:footnoteRef/>
      </w:r>
      <w:r>
        <w:t xml:space="preserve"> </w:t>
      </w:r>
      <w:r>
        <w:tab/>
        <w:t>1,251/2,315=54%</w:t>
      </w:r>
    </w:p>
  </w:footnote>
  <w:footnote w:id="11">
    <w:p w:rsidR="00990AC7" w:rsidRDefault="00990AC7" w:rsidP="00370F3E">
      <w:pPr>
        <w:pStyle w:val="FootnoteText"/>
      </w:pPr>
      <w:r>
        <w:rPr>
          <w:rStyle w:val="FootnoteReference"/>
        </w:rPr>
        <w:footnoteRef/>
      </w:r>
      <w:r>
        <w:t xml:space="preserve"> </w:t>
      </w:r>
      <w:r>
        <w:tab/>
      </w:r>
      <w:proofErr w:type="gramStart"/>
      <w:r>
        <w:t xml:space="preserve">Calculated as the number of future claimants for all other injuries (excluding multiple spinal fractures) from </w:t>
      </w:r>
      <w:r>
        <w:fldChar w:fldCharType="begin"/>
      </w:r>
      <w:r>
        <w:instrText xml:space="preserve"> REF _Ref387937640 \h </w:instrText>
      </w:r>
      <w:r>
        <w:fldChar w:fldCharType="separate"/>
      </w:r>
      <w:r w:rsidR="00542564">
        <w:t xml:space="preserve">Table </w:t>
      </w:r>
      <w:r w:rsidR="00542564">
        <w:rPr>
          <w:noProof/>
        </w:rPr>
        <w:t>8</w:t>
      </w:r>
      <w:r>
        <w:fldChar w:fldCharType="end"/>
      </w:r>
      <w:r>
        <w:t>, less two months of claimants between 1 July 2014 and 31 August 2014.</w:t>
      </w:r>
      <w:proofErr w:type="gramEnd"/>
      <w:r>
        <w:t xml:space="preserve"> Calculated as: 13,410 – (1,341*(2/12)) = 13,187.</w:t>
      </w:r>
    </w:p>
  </w:footnote>
  <w:footnote w:id="12">
    <w:p w:rsidR="00990AC7" w:rsidRDefault="00990AC7">
      <w:pPr>
        <w:pStyle w:val="FootnoteText"/>
      </w:pPr>
      <w:r>
        <w:rPr>
          <w:rStyle w:val="FootnoteReference"/>
        </w:rPr>
        <w:footnoteRef/>
      </w:r>
      <w:r>
        <w:t xml:space="preserve"> </w:t>
      </w:r>
      <w:r>
        <w:tab/>
        <w:t>A claimant is assumed to enter the scheme on their accident date and exit the scheme on the date of receiving their final compensation payment (this may be impairment, LOEC or common law settlement). The number of ‘existing claimants’ therefore refers to all claimants that are within this bracket.</w:t>
      </w:r>
    </w:p>
  </w:footnote>
  <w:footnote w:id="13">
    <w:p w:rsidR="00990AC7" w:rsidRDefault="00990AC7" w:rsidP="00370F3E">
      <w:pPr>
        <w:pStyle w:val="FootnoteText"/>
      </w:pPr>
      <w:r>
        <w:rPr>
          <w:rStyle w:val="FootnoteReference"/>
        </w:rPr>
        <w:footnoteRef/>
      </w:r>
      <w:r>
        <w:t xml:space="preserve"> </w:t>
      </w:r>
      <w:r>
        <w:tab/>
        <w:t>Calculated as 80 per cent of the claimants in the scheme as at 1 July 2014 less the six months of claimants who will be assessed between 1 July 2014 and 31 December 2014, equal to (725 – 159/2)*80% = 516</w:t>
      </w:r>
    </w:p>
  </w:footnote>
  <w:footnote w:id="14">
    <w:p w:rsidR="00990AC7" w:rsidRDefault="00990AC7" w:rsidP="00370F3E">
      <w:pPr>
        <w:pStyle w:val="FootnoteText"/>
      </w:pPr>
      <w:r>
        <w:rPr>
          <w:rStyle w:val="FootnoteReference"/>
        </w:rPr>
        <w:footnoteRef/>
      </w:r>
      <w:r>
        <w:t xml:space="preserve"> </w:t>
      </w:r>
      <w:r>
        <w:tab/>
        <w:t>1,590 * 80% + 516 = 1,788</w:t>
      </w:r>
    </w:p>
  </w:footnote>
  <w:footnote w:id="15">
    <w:p w:rsidR="00990AC7" w:rsidRDefault="00990AC7" w:rsidP="00370F3E">
      <w:pPr>
        <w:pStyle w:val="FootnoteText"/>
      </w:pPr>
      <w:r>
        <w:rPr>
          <w:rStyle w:val="FootnoteReference"/>
        </w:rPr>
        <w:footnoteRef/>
      </w:r>
      <w:r>
        <w:t xml:space="preserve"> </w:t>
      </w:r>
      <w:r>
        <w:tab/>
        <w:t>1,788/2,315 = 77%</w:t>
      </w:r>
    </w:p>
  </w:footnote>
  <w:footnote w:id="16">
    <w:p w:rsidR="00990AC7" w:rsidRDefault="00990AC7" w:rsidP="002D3FFF">
      <w:pPr>
        <w:pStyle w:val="FootnoteText"/>
      </w:pPr>
      <w:r>
        <w:rPr>
          <w:rStyle w:val="FootnoteReference"/>
        </w:rPr>
        <w:footnoteRef/>
      </w:r>
      <w:r>
        <w:t xml:space="preserve"> </w:t>
      </w:r>
      <w:r>
        <w:tab/>
        <w:t>19,525 – 1,341 (one year’s worth of non-spinal related accidents) = 18,184</w:t>
      </w:r>
    </w:p>
  </w:footnote>
  <w:footnote w:id="17">
    <w:p w:rsidR="00990AC7" w:rsidRDefault="00990AC7" w:rsidP="001E49D4">
      <w:pPr>
        <w:pStyle w:val="FootnoteText"/>
        <w:keepLines/>
      </w:pPr>
      <w:r>
        <w:rPr>
          <w:rStyle w:val="FootnoteReference"/>
        </w:rPr>
        <w:footnoteRef/>
      </w:r>
      <w:r>
        <w:t xml:space="preserve"> </w:t>
      </w:r>
      <w:r>
        <w:tab/>
      </w:r>
      <w:r>
        <w:rPr>
          <w:rFonts w:asciiTheme="majorHAnsi" w:hAnsiTheme="majorHAnsi"/>
        </w:rPr>
        <w:t xml:space="preserve">Annual incremental transfer due to the GMD (refer </w:t>
      </w:r>
      <w:r>
        <w:rPr>
          <w:rFonts w:asciiTheme="majorHAnsi" w:hAnsiTheme="majorHAnsi"/>
        </w:rPr>
        <w:fldChar w:fldCharType="begin"/>
      </w:r>
      <w:r>
        <w:rPr>
          <w:rFonts w:asciiTheme="majorHAnsi" w:hAnsiTheme="majorHAnsi"/>
        </w:rPr>
        <w:instrText xml:space="preserve"> REF _Ref387412397 \n \h </w:instrText>
      </w:r>
      <w:r>
        <w:rPr>
          <w:rFonts w:asciiTheme="majorHAnsi" w:hAnsiTheme="majorHAnsi"/>
        </w:rPr>
      </w:r>
      <w:r>
        <w:rPr>
          <w:rFonts w:asciiTheme="majorHAnsi" w:hAnsiTheme="majorHAnsi"/>
        </w:rPr>
        <w:fldChar w:fldCharType="separate"/>
      </w:r>
      <w:r w:rsidR="00542564">
        <w:rPr>
          <w:rFonts w:asciiTheme="majorHAnsi" w:hAnsiTheme="majorHAnsi"/>
        </w:rPr>
        <w:t>Appendix C</w:t>
      </w:r>
      <w:r>
        <w:rPr>
          <w:rFonts w:asciiTheme="majorHAnsi" w:hAnsiTheme="majorHAnsi"/>
        </w:rPr>
        <w:fldChar w:fldCharType="end"/>
      </w:r>
      <w:r>
        <w:rPr>
          <w:rFonts w:asciiTheme="majorHAnsi" w:hAnsiTheme="majorHAnsi"/>
        </w:rPr>
        <w:t>) = $11.4 million * 74.5% = 8.5 million</w:t>
      </w:r>
      <w:r>
        <w:rPr>
          <w:rFonts w:asciiTheme="majorHAnsi" w:hAnsiTheme="majorHAnsi"/>
        </w:rPr>
        <w:br/>
        <w:t>Using a nominal discount rate of 7.5% and an inflation rate of 3.75% (equalling to a real discount rate of 3.75% used in NPV calculations) NPV for Implementation Option 1 (10 years) – $8.5m*10/12 (to exclude first two months) = $68.4.million.</w:t>
      </w:r>
      <w:r>
        <w:rPr>
          <w:rFonts w:asciiTheme="majorHAnsi" w:hAnsiTheme="majorHAnsi"/>
        </w:rPr>
        <w:br/>
      </w:r>
      <w:r>
        <w:br/>
        <w:t xml:space="preserve">Implementation Option 2 figure is calculated using the NPV figure calculated in Implementation Option 1 of $68.4 million (transfer away from future claimants) plus the calculated transfer from existing claimants (equal to the liability saving) of $46 million (refer footnote </w:t>
      </w:r>
      <w:r>
        <w:fldChar w:fldCharType="begin"/>
      </w:r>
      <w:r>
        <w:instrText xml:space="preserve"> NOTEREF _Ref390785536 \h </w:instrText>
      </w:r>
      <w:r>
        <w:fldChar w:fldCharType="separate"/>
      </w:r>
      <w:r w:rsidR="00542564">
        <w:t>17</w:t>
      </w:r>
      <w:r>
        <w:fldChar w:fldCharType="end"/>
      </w:r>
      <w:r>
        <w:t>)</w:t>
      </w:r>
      <w:r>
        <w:br/>
        <w:t>Total = $68.4m + $46m = $114.4m.</w:t>
      </w:r>
      <w:r>
        <w:br/>
      </w:r>
      <w:r>
        <w:br/>
      </w:r>
      <w:r>
        <w:rPr>
          <w:rFonts w:asciiTheme="majorHAnsi" w:hAnsiTheme="majorHAnsi"/>
        </w:rPr>
        <w:t>Discount rates: The nominal discount rate used in NPV calculations is derived from the TAC’s long term forecasted investment return: This discount rate was applied for consistency with that used in the calculation of the cost per new accident year figure ($11.4 million), which was used as an input.</w:t>
      </w:r>
      <w:r>
        <w:rPr>
          <w:rFonts w:asciiTheme="majorHAnsi" w:hAnsiTheme="majorHAnsi"/>
        </w:rPr>
        <w:br/>
      </w:r>
      <w:r>
        <w:t>The inflation rate used in the NPV calculations is a forecasted average weekly earnings growth figure based on historical data. This was considered a more appropriate measure than CPI as compensation based on loss of earnings is indexed with average weekly earnings.</w:t>
      </w:r>
    </w:p>
  </w:footnote>
  <w:footnote w:id="18">
    <w:p w:rsidR="00990AC7" w:rsidRDefault="00990AC7" w:rsidP="00F36922">
      <w:pPr>
        <w:pStyle w:val="FootnoteText"/>
      </w:pPr>
      <w:r>
        <w:rPr>
          <w:rStyle w:val="FootnoteReference"/>
        </w:rPr>
        <w:footnoteRef/>
      </w:r>
      <w:r>
        <w:t xml:space="preserve"> </w:t>
      </w:r>
      <w:r>
        <w:tab/>
        <w:t xml:space="preserve">The TAC’s current liability to existing claimants has been estimated to be $67.5m. In addition, the GMD is estimated to reduce the additional compensation to claimants resulting from the consequences of </w:t>
      </w:r>
      <w:proofErr w:type="spellStart"/>
      <w:r>
        <w:t>Serwylo</w:t>
      </w:r>
      <w:proofErr w:type="spellEnd"/>
      <w:r>
        <w:t xml:space="preserve"> by 74.5 per cent. Therefore, the maximum liability saving from an option that is implemented immediately is $67.5m * 74.5% = $50.3m.</w:t>
      </w:r>
      <w:r>
        <w:br/>
        <w:t>However, Implementation Option 2 does not affect six months’ worth of claimants who will still be compensated under the post-</w:t>
      </w:r>
      <w:proofErr w:type="spellStart"/>
      <w:r>
        <w:t>Serwylo</w:t>
      </w:r>
      <w:proofErr w:type="spellEnd"/>
      <w:r>
        <w:t xml:space="preserve"> state, therefore their liability saving will not be recognised. As </w:t>
      </w:r>
      <w:proofErr w:type="gramStart"/>
      <w:r>
        <w:t>the per</w:t>
      </w:r>
      <w:proofErr w:type="gramEnd"/>
      <w:r>
        <w:t xml:space="preserve"> year cost from the consequences of </w:t>
      </w:r>
      <w:proofErr w:type="spellStart"/>
      <w:r>
        <w:t>Serwylo</w:t>
      </w:r>
      <w:proofErr w:type="spellEnd"/>
      <w:r>
        <w:t xml:space="preserve"> is estimated to be $11.4m, the liability figure is $50.3m – 0.5(11.4m * 74.5%) = $46 million.</w:t>
      </w:r>
    </w:p>
  </w:footnote>
  <w:footnote w:id="19">
    <w:p w:rsidR="00990AC7" w:rsidRDefault="00990AC7" w:rsidP="00C413FD">
      <w:pPr>
        <w:pStyle w:val="FootnoteText"/>
      </w:pPr>
      <w:r>
        <w:rPr>
          <w:rStyle w:val="FootnoteReference"/>
        </w:rPr>
        <w:footnoteRef/>
      </w:r>
      <w:r>
        <w:t xml:space="preserve"> </w:t>
      </w:r>
      <w:r>
        <w:tab/>
        <w:t xml:space="preserve">C R </w:t>
      </w:r>
      <w:proofErr w:type="spellStart"/>
      <w:r>
        <w:t>Sunstein</w:t>
      </w:r>
      <w:proofErr w:type="spellEnd"/>
      <w:r>
        <w:t>, ‘</w:t>
      </w:r>
      <w:proofErr w:type="gramStart"/>
      <w:r>
        <w:t>The</w:t>
      </w:r>
      <w:proofErr w:type="gramEnd"/>
      <w:r>
        <w:t xml:space="preserve"> Cost-Benefit State: The Future of Regulatory Protection’, </w:t>
      </w:r>
      <w:r w:rsidRPr="00BF31B3">
        <w:rPr>
          <w:i/>
        </w:rPr>
        <w:t>Section of Administrative Law and Regulatory Practice</w:t>
      </w:r>
      <w:r>
        <w:rPr>
          <w:i/>
        </w:rPr>
        <w:t xml:space="preserve">, </w:t>
      </w:r>
      <w:r w:rsidRPr="00BF31B3">
        <w:t>American Bar Association</w:t>
      </w:r>
      <w:r>
        <w:t>, USA, 2002, 190.</w:t>
      </w:r>
    </w:p>
  </w:footnote>
  <w:footnote w:id="20">
    <w:p w:rsidR="00990AC7" w:rsidRDefault="00990AC7" w:rsidP="00C413FD">
      <w:pPr>
        <w:pStyle w:val="FootnoteText"/>
      </w:pPr>
      <w:r>
        <w:rPr>
          <w:rStyle w:val="FootnoteReference"/>
        </w:rPr>
        <w:footnoteRef/>
      </w:r>
      <w:r>
        <w:t xml:space="preserve"> </w:t>
      </w:r>
      <w:r>
        <w:tab/>
        <w:t xml:space="preserve">Victorian Competition and Efficiency Commission, </w:t>
      </w:r>
      <w:r w:rsidRPr="00AF58B8">
        <w:rPr>
          <w:i/>
        </w:rPr>
        <w:t>Adjusting the Balance: Inquiry into Aspects of the Wrongs Act 1958</w:t>
      </w:r>
      <w:r>
        <w:t>, draft report, Victoria, November 2013, 5.</w:t>
      </w:r>
    </w:p>
  </w:footnote>
  <w:footnote w:id="21">
    <w:p w:rsidR="00990AC7" w:rsidRDefault="00990AC7">
      <w:pPr>
        <w:pStyle w:val="FootnoteText"/>
      </w:pPr>
      <w:r>
        <w:rPr>
          <w:rStyle w:val="FootnoteReference"/>
        </w:rPr>
        <w:footnoteRef/>
      </w:r>
      <w:r>
        <w:t xml:space="preserve"> </w:t>
      </w:r>
      <w:r>
        <w:tab/>
        <w:t>CTP stands for ‘Compulsory Third Party’ levy, which refers to the TAC charge that all motor vehicle owners pay for transport accident insurance as part of their annual registration.</w:t>
      </w:r>
    </w:p>
  </w:footnote>
  <w:footnote w:id="22">
    <w:p w:rsidR="00990AC7" w:rsidRDefault="00990AC7" w:rsidP="009933F0">
      <w:pPr>
        <w:pStyle w:val="FootnoteText"/>
      </w:pPr>
      <w:r>
        <w:rPr>
          <w:rStyle w:val="FootnoteReference"/>
        </w:rPr>
        <w:footnoteRef/>
      </w:r>
      <w:r>
        <w:t xml:space="preserve"> </w:t>
      </w:r>
      <w:r>
        <w:tab/>
      </w:r>
      <w:r w:rsidRPr="008D737D">
        <w:t xml:space="preserve">It should be noted that all figures outlined in this section (and in the remainder of the RIS) are estimates only, and are based on assumptions that are uncertain. The underlying data was provided by either the TAC itself or various other sources as indicated in the text. Estimates relating to cost and liability have been </w:t>
      </w:r>
      <w:r>
        <w:t>produced</w:t>
      </w:r>
      <w:r w:rsidRPr="008D737D">
        <w:t xml:space="preserve"> in consultation with PwC Actuarial, which is </w:t>
      </w:r>
      <w:r>
        <w:t xml:space="preserve">the </w:t>
      </w:r>
      <w:r w:rsidRPr="008D737D">
        <w:t>TAC</w:t>
      </w:r>
      <w:r>
        <w:t xml:space="preserve">’s </w:t>
      </w:r>
      <w:r w:rsidRPr="008D737D">
        <w:t>actuary.</w:t>
      </w:r>
    </w:p>
  </w:footnote>
  <w:footnote w:id="23">
    <w:p w:rsidR="00990AC7" w:rsidRDefault="00990AC7">
      <w:pPr>
        <w:pStyle w:val="FootnoteText"/>
      </w:pPr>
      <w:r>
        <w:rPr>
          <w:rStyle w:val="FootnoteReference"/>
        </w:rPr>
        <w:footnoteRef/>
      </w:r>
      <w:r>
        <w:t xml:space="preserve"> </w:t>
      </w:r>
      <w:r>
        <w:tab/>
      </w:r>
      <w:r w:rsidRPr="00035B7B">
        <w:t xml:space="preserve">. </w:t>
      </w:r>
      <w:r>
        <w:t xml:space="preserve">Implementation Option 2 involves 43% more claims than Implementation Option 1, however the associated cost is 67% higher, mainly reflecting the fact that – unlike Implementation Option 1 – Implementation Option 2 affects existing claimants as well as new accidents and there is </w:t>
      </w:r>
      <w:r w:rsidRPr="00F9403B">
        <w:t>a different benefit mix</w:t>
      </w:r>
      <w:r>
        <w:t xml:space="preserve"> (and therefore cost)</w:t>
      </w:r>
      <w:r w:rsidRPr="00F9403B">
        <w:t xml:space="preserve"> </w:t>
      </w:r>
      <w:r>
        <w:t xml:space="preserve">outstanding </w:t>
      </w:r>
      <w:r w:rsidRPr="00F9403B">
        <w:t xml:space="preserve">between </w:t>
      </w:r>
      <w:r>
        <w:t>existing claimants</w:t>
      </w:r>
      <w:r w:rsidRPr="00F9403B">
        <w:t xml:space="preserve"> and new accidents</w:t>
      </w:r>
      <w:r>
        <w:t>. For example, LOEC benefits, which involve a higher average cost, figure more prominently for existing claimants.</w:t>
      </w:r>
    </w:p>
  </w:footnote>
  <w:footnote w:id="24">
    <w:p w:rsidR="00990AC7" w:rsidRDefault="00990AC7" w:rsidP="004D348F">
      <w:pPr>
        <w:pStyle w:val="FootnoteText"/>
      </w:pPr>
      <w:r>
        <w:rPr>
          <w:rStyle w:val="FootnoteReference"/>
        </w:rPr>
        <w:footnoteRef/>
      </w:r>
      <w:r>
        <w:t xml:space="preserve"> </w:t>
      </w:r>
      <w:r>
        <w:tab/>
        <w:t>Department of Treasury and Finance Victoria, </w:t>
      </w:r>
      <w:r w:rsidRPr="008E37E5">
        <w:rPr>
          <w:i/>
        </w:rPr>
        <w:t>Victorian Guide to Regulation</w:t>
      </w:r>
      <w:r>
        <w:rPr>
          <w:i/>
        </w:rPr>
        <w:t xml:space="preserve"> (Edition 2.1)</w:t>
      </w:r>
      <w:r>
        <w:t>, Department of Treasury and Finance, Melbourne, August 2011.</w:t>
      </w:r>
    </w:p>
  </w:footnote>
  <w:footnote w:id="25">
    <w:p w:rsidR="00990AC7" w:rsidRPr="00D9523A" w:rsidRDefault="00990AC7" w:rsidP="00305677">
      <w:pPr>
        <w:pStyle w:val="FootnoteText"/>
      </w:pPr>
      <w:r>
        <w:rPr>
          <w:rStyle w:val="FootnoteReference"/>
        </w:rPr>
        <w:footnoteRef/>
      </w:r>
      <w:r>
        <w:t xml:space="preserve"> </w:t>
      </w:r>
      <w:r>
        <w:tab/>
      </w:r>
      <w:proofErr w:type="gramStart"/>
      <w:r>
        <w:t>Section 8 of the Act.</w:t>
      </w:r>
      <w:proofErr w:type="gramEnd"/>
      <w:r>
        <w:t xml:space="preserve"> </w:t>
      </w:r>
    </w:p>
  </w:footnote>
  <w:footnote w:id="26">
    <w:p w:rsidR="00990AC7" w:rsidRDefault="00990AC7" w:rsidP="00492AB7">
      <w:pPr>
        <w:pStyle w:val="FootnoteText"/>
      </w:pPr>
      <w:r>
        <w:rPr>
          <w:sz w:val="21"/>
          <w:szCs w:val="21"/>
          <w:vertAlign w:val="superscript"/>
        </w:rPr>
        <w:footnoteRef/>
      </w:r>
      <w:r>
        <w:rPr>
          <w:rFonts w:eastAsia="Arial Unicode MS" w:hAnsi="Arial Unicode MS" w:cs="Arial Unicode MS"/>
        </w:rPr>
        <w:t xml:space="preserve"> </w:t>
      </w:r>
      <w:r>
        <w:rPr>
          <w:rFonts w:eastAsia="Arial Unicode MS" w:hAnsi="Arial Unicode MS" w:cs="Arial Unicode MS"/>
        </w:rPr>
        <w:tab/>
      </w:r>
      <w:proofErr w:type="gramStart"/>
      <w:r>
        <w:rPr>
          <w:rFonts w:eastAsia="Arial Unicode MS" w:hAnsi="Arial Unicode MS" w:cs="Arial Unicode MS"/>
        </w:rPr>
        <w:t xml:space="preserve">National Institute of Health, </w:t>
      </w:r>
      <w:proofErr w:type="spellStart"/>
      <w:r>
        <w:rPr>
          <w:rFonts w:eastAsia="Arial Unicode MS" w:hAnsi="Arial Unicode MS" w:cs="Arial Unicode MS"/>
        </w:rPr>
        <w:t>MedilinePlus</w:t>
      </w:r>
      <w:proofErr w:type="spellEnd"/>
      <w:r>
        <w:rPr>
          <w:rFonts w:eastAsia="Arial Unicode MS" w:hAnsi="Arial Unicode MS" w:cs="Arial Unicode MS"/>
        </w:rPr>
        <w:t xml:space="preserve">, </w:t>
      </w:r>
      <w:r w:rsidRPr="00C91816">
        <w:rPr>
          <w:rFonts w:ascii="Arial Unicode MS" w:eastAsia="Arial Unicode MS" w:hAnsi="Arial Unicode MS" w:cs="Arial Unicode MS"/>
        </w:rPr>
        <w:t>‘</w:t>
      </w:r>
      <w:r w:rsidRPr="00C91816">
        <w:rPr>
          <w:rFonts w:eastAsia="Arial Unicode MS" w:hAnsi="Arial Unicode MS" w:cs="Arial Unicode MS"/>
        </w:rPr>
        <w:t>Spinal Fusions</w:t>
      </w:r>
      <w:r>
        <w:rPr>
          <w:rFonts w:ascii="Arial Unicode MS" w:eastAsia="Arial Unicode MS" w:hAnsi="Arial Unicode MS" w:cs="Arial Unicode MS"/>
        </w:rPr>
        <w:t>’</w:t>
      </w:r>
      <w:r>
        <w:rPr>
          <w:rFonts w:eastAsia="Arial Unicode MS" w:hAnsi="Arial Unicode MS" w:cs="Arial Unicode MS"/>
        </w:rPr>
        <w:t xml:space="preserve">, </w:t>
      </w:r>
      <w:hyperlink r:id="rId1" w:history="1">
        <w:r w:rsidRPr="002D42BB">
          <w:rPr>
            <w:rStyle w:val="Hyperlink"/>
            <w:rFonts w:eastAsia="Arial Unicode MS" w:hAnsi="Arial Unicode MS" w:cs="Arial Unicode MS"/>
          </w:rPr>
          <w:t>http://www.nlm.nih.gov/medlineplus/ency/article/002968.htm</w:t>
        </w:r>
      </w:hyperlink>
      <w:r>
        <w:rPr>
          <w:rFonts w:eastAsia="Arial Unicode MS" w:hAnsi="Arial Unicode MS" w:cs="Arial Unicode MS"/>
        </w:rPr>
        <w:t>, accessed April 2014.</w:t>
      </w:r>
      <w:proofErr w:type="gramEnd"/>
    </w:p>
  </w:footnote>
  <w:footnote w:id="27">
    <w:p w:rsidR="00990AC7" w:rsidRPr="00D9523A" w:rsidRDefault="00990AC7" w:rsidP="000C3AC5">
      <w:pPr>
        <w:pStyle w:val="FootnoteText"/>
      </w:pPr>
      <w:r>
        <w:rPr>
          <w:rStyle w:val="FootnoteReference"/>
        </w:rPr>
        <w:footnoteRef/>
      </w:r>
      <w:r>
        <w:t xml:space="preserve"> </w:t>
      </w:r>
      <w:r>
        <w:tab/>
        <w:t>Section 93(4</w:t>
      </w:r>
      <w:proofErr w:type="gramStart"/>
      <w:r>
        <w:t>)(</w:t>
      </w:r>
      <w:proofErr w:type="gramEnd"/>
      <w:r>
        <w:t>c) of the Act.</w:t>
      </w:r>
    </w:p>
  </w:footnote>
  <w:footnote w:id="28">
    <w:p w:rsidR="00990AC7" w:rsidRDefault="00990AC7">
      <w:pPr>
        <w:pStyle w:val="FootnoteText"/>
      </w:pPr>
      <w:r>
        <w:rPr>
          <w:rStyle w:val="FootnoteReference"/>
        </w:rPr>
        <w:footnoteRef/>
      </w:r>
      <w:r>
        <w:t xml:space="preserve"> </w:t>
      </w:r>
      <w:r>
        <w:tab/>
      </w:r>
      <w:r w:rsidRPr="005E3B6F">
        <w:t>It should also be noted that DRE Category IV is the only descriptor in the Guides that actually mentions multiple fractures. There are no other clearly written descriptors that provide alternative assessment categories for multiple fractures of varying severity.</w:t>
      </w:r>
    </w:p>
  </w:footnote>
  <w:footnote w:id="29">
    <w:p w:rsidR="00990AC7" w:rsidRDefault="00990AC7" w:rsidP="004D348F">
      <w:pPr>
        <w:pStyle w:val="FootnoteText"/>
      </w:pPr>
      <w:r>
        <w:rPr>
          <w:rStyle w:val="FootnoteReference"/>
        </w:rPr>
        <w:footnoteRef/>
      </w:r>
      <w:r>
        <w:t xml:space="preserve"> </w:t>
      </w:r>
      <w:r>
        <w:tab/>
      </w:r>
      <w:proofErr w:type="gramStart"/>
      <w:r>
        <w:t>‘Actual level of impairment’ as determined by medical practitioners based exclusively on structural compromise (the pre-</w:t>
      </w:r>
      <w:proofErr w:type="spellStart"/>
      <w:r>
        <w:t>Serwylo</w:t>
      </w:r>
      <w:proofErr w:type="spellEnd"/>
      <w:r>
        <w:t xml:space="preserve"> case).</w:t>
      </w:r>
      <w:proofErr w:type="gramEnd"/>
    </w:p>
  </w:footnote>
  <w:footnote w:id="30">
    <w:p w:rsidR="00990AC7" w:rsidRDefault="00990AC7" w:rsidP="00305677">
      <w:pPr>
        <w:pStyle w:val="FootnoteText"/>
      </w:pPr>
      <w:r>
        <w:rPr>
          <w:rStyle w:val="FootnoteReference"/>
        </w:rPr>
        <w:footnoteRef/>
      </w:r>
      <w:r>
        <w:t xml:space="preserve"> </w:t>
      </w:r>
      <w:r>
        <w:tab/>
      </w:r>
      <w:r w:rsidRPr="00E94EF0">
        <w:t>In particular, sections 10(1</w:t>
      </w:r>
      <w:proofErr w:type="gramStart"/>
      <w:r w:rsidRPr="00E94EF0">
        <w:t>)a</w:t>
      </w:r>
      <w:proofErr w:type="gramEnd"/>
      <w:r w:rsidRPr="00E94EF0">
        <w:t xml:space="preserve"> and 12H(1)a of the </w:t>
      </w:r>
      <w:r w:rsidRPr="001E49D4">
        <w:rPr>
          <w:i/>
        </w:rPr>
        <w:t>Subordinate Legislation Act 1994</w:t>
      </w:r>
      <w:r w:rsidRPr="00E94EF0">
        <w:t>.</w:t>
      </w:r>
    </w:p>
  </w:footnote>
  <w:footnote w:id="31">
    <w:p w:rsidR="00990AC7" w:rsidRDefault="00990AC7" w:rsidP="00305677">
      <w:pPr>
        <w:pStyle w:val="FootnoteText"/>
      </w:pPr>
      <w:r>
        <w:rPr>
          <w:rStyle w:val="FootnoteReference"/>
        </w:rPr>
        <w:footnoteRef/>
      </w:r>
      <w:r>
        <w:t xml:space="preserve"> </w:t>
      </w:r>
      <w:r>
        <w:tab/>
        <w:t>Department of Treasury and Finance Victoria, </w:t>
      </w:r>
      <w:r w:rsidRPr="00B43EA3">
        <w:rPr>
          <w:i/>
        </w:rPr>
        <w:t>Victorian Guide to Regulation</w:t>
      </w:r>
      <w:r>
        <w:rPr>
          <w:i/>
        </w:rPr>
        <w:t xml:space="preserve"> (Edition 2.1)</w:t>
      </w:r>
      <w:r>
        <w:t>, Department of Treasury and Finance, Melbourne, August 2011.</w:t>
      </w:r>
    </w:p>
  </w:footnote>
  <w:footnote w:id="32">
    <w:p w:rsidR="00990AC7" w:rsidRDefault="00990AC7" w:rsidP="004D348F">
      <w:pPr>
        <w:pStyle w:val="FootnoteText"/>
      </w:pPr>
      <w:r>
        <w:rPr>
          <w:rStyle w:val="FootnoteReference"/>
        </w:rPr>
        <w:footnoteRef/>
      </w:r>
      <w:r>
        <w:t xml:space="preserve"> </w:t>
      </w:r>
      <w:r>
        <w:tab/>
        <w:t>Department of Treasury and Finance Victoria, </w:t>
      </w:r>
      <w:r w:rsidRPr="00B43EA3">
        <w:rPr>
          <w:i/>
        </w:rPr>
        <w:t>Victorian Guide to Regulation</w:t>
      </w:r>
      <w:r>
        <w:rPr>
          <w:i/>
        </w:rPr>
        <w:t xml:space="preserve"> (Edition 2.1)</w:t>
      </w:r>
      <w:r>
        <w:t>, Department of Treasury and Finance, Melbourne, August 2011, 72</w:t>
      </w:r>
    </w:p>
  </w:footnote>
  <w:footnote w:id="33">
    <w:p w:rsidR="00990AC7" w:rsidRDefault="00990AC7" w:rsidP="004D348F">
      <w:pPr>
        <w:pStyle w:val="FootnoteText"/>
      </w:pPr>
      <w:r>
        <w:rPr>
          <w:rStyle w:val="FootnoteReference"/>
        </w:rPr>
        <w:footnoteRef/>
      </w:r>
      <w:r>
        <w:t xml:space="preserve"> </w:t>
      </w:r>
      <w:r>
        <w:tab/>
      </w:r>
      <w:proofErr w:type="gramStart"/>
      <w:r w:rsidRPr="001F3E67">
        <w:rPr>
          <w:i/>
        </w:rPr>
        <w:t>Transport Accident Act 1986</w:t>
      </w:r>
      <w:r>
        <w:rPr>
          <w:i/>
        </w:rPr>
        <w:t xml:space="preserve"> (Vic)</w:t>
      </w:r>
      <w:r>
        <w:t>, section 11.</w:t>
      </w:r>
      <w:proofErr w:type="gramEnd"/>
    </w:p>
  </w:footnote>
  <w:footnote w:id="34">
    <w:p w:rsidR="00990AC7" w:rsidRDefault="00990AC7">
      <w:pPr>
        <w:pStyle w:val="FootnoteText"/>
      </w:pPr>
      <w:r>
        <w:rPr>
          <w:rStyle w:val="FootnoteReference"/>
        </w:rPr>
        <w:footnoteRef/>
      </w:r>
      <w:r>
        <w:t xml:space="preserve"> </w:t>
      </w:r>
      <w:r>
        <w:tab/>
      </w:r>
      <w:r>
        <w:rPr>
          <w:rFonts w:eastAsia="Arial Unicode MS" w:hAnsi="Arial Unicode MS" w:cs="Arial Unicode MS"/>
        </w:rPr>
        <w:t xml:space="preserve">This percentage is based on PwC </w:t>
      </w:r>
      <w:proofErr w:type="spellStart"/>
      <w:r>
        <w:rPr>
          <w:rFonts w:eastAsia="Arial Unicode MS" w:hAnsi="Arial Unicode MS" w:cs="Arial Unicode MS"/>
        </w:rPr>
        <w:t>Actuarial</w:t>
      </w:r>
      <w:r>
        <w:rPr>
          <w:rFonts w:eastAsia="Arial Unicode MS" w:hAnsi="Arial Unicode MS" w:cs="Arial Unicode MS"/>
        </w:rPr>
        <w:t>’</w:t>
      </w:r>
      <w:r>
        <w:rPr>
          <w:rFonts w:eastAsia="Arial Unicode MS" w:hAnsi="Arial Unicode MS" w:cs="Arial Unicode MS"/>
        </w:rPr>
        <w:t>s</w:t>
      </w:r>
      <w:proofErr w:type="spellEnd"/>
      <w:r>
        <w:rPr>
          <w:rFonts w:eastAsia="Arial Unicode MS" w:hAnsi="Arial Unicode MS" w:cs="Arial Unicode MS"/>
        </w:rPr>
        <w:t xml:space="preserve"> detailed analysis of TAC data and the TAC</w:t>
      </w:r>
      <w:r>
        <w:rPr>
          <w:rFonts w:ascii="Arial Unicode MS" w:eastAsia="Arial Unicode MS" w:hAnsi="Arial Unicode MS" w:cs="Arial Unicode MS"/>
        </w:rPr>
        <w:t>’</w:t>
      </w:r>
      <w:r>
        <w:rPr>
          <w:rFonts w:eastAsia="Arial Unicode MS" w:hAnsi="Arial Unicode MS" w:cs="Arial Unicode MS"/>
        </w:rPr>
        <w:t>s assessment of a significant number of individual cases. Further detail is provided in Chapter 5.</w:t>
      </w:r>
    </w:p>
  </w:footnote>
  <w:footnote w:id="35">
    <w:p w:rsidR="00990AC7" w:rsidRDefault="00990AC7">
      <w:pPr>
        <w:pStyle w:val="FootnoteText"/>
      </w:pPr>
      <w:r>
        <w:rPr>
          <w:rStyle w:val="FootnoteReference"/>
        </w:rPr>
        <w:footnoteRef/>
      </w:r>
      <w:r>
        <w:t xml:space="preserve"> </w:t>
      </w:r>
      <w:r>
        <w:tab/>
        <w:t>Claimants may still be entitled to recover common law damages if their injury was a ‘serious injury’ pursuant to section 93 of the Act.</w:t>
      </w:r>
    </w:p>
  </w:footnote>
  <w:footnote w:id="36">
    <w:p w:rsidR="00990AC7" w:rsidRPr="00667D10" w:rsidRDefault="00990AC7" w:rsidP="000807AC">
      <w:pPr>
        <w:pStyle w:val="FootnoteText"/>
      </w:pPr>
      <w:r>
        <w:rPr>
          <w:rStyle w:val="FootnoteReference"/>
        </w:rPr>
        <w:footnoteRef/>
      </w:r>
      <w:r>
        <w:t xml:space="preserve"> </w:t>
      </w:r>
      <w:r>
        <w:tab/>
        <w:t>See Appendix B.</w:t>
      </w:r>
    </w:p>
  </w:footnote>
  <w:footnote w:id="37">
    <w:p w:rsidR="00990AC7" w:rsidRDefault="00990AC7">
      <w:pPr>
        <w:pStyle w:val="FootnoteText"/>
      </w:pPr>
      <w:r>
        <w:rPr>
          <w:rStyle w:val="FootnoteReference"/>
        </w:rPr>
        <w:footnoteRef/>
      </w:r>
      <w:r>
        <w:t xml:space="preserve"> </w:t>
      </w:r>
      <w:r>
        <w:tab/>
        <w:t xml:space="preserve">A claimant is assumed to enter the scheme on their accident date and exit the scheme on the date of receiving their final compensation payment (this may be impairment, LOEC or common law settlement). </w:t>
      </w:r>
      <w:proofErr w:type="gramStart"/>
      <w:r>
        <w:t>The term ‘existing claimants’ refers to all claimants that are within this bracket.</w:t>
      </w:r>
      <w:proofErr w:type="gramEnd"/>
      <w:r>
        <w:t xml:space="preserve"> </w:t>
      </w:r>
    </w:p>
  </w:footnote>
  <w:footnote w:id="38">
    <w:p w:rsidR="00990AC7" w:rsidRDefault="00990AC7" w:rsidP="00330DE0">
      <w:pPr>
        <w:pStyle w:val="FootnoteText"/>
      </w:pPr>
      <w:r>
        <w:rPr>
          <w:rStyle w:val="FootnoteReference"/>
        </w:rPr>
        <w:footnoteRef/>
      </w:r>
      <w:r>
        <w:t xml:space="preserve"> </w:t>
      </w:r>
      <w:r>
        <w:tab/>
        <w:t>Information provided by the TAC.</w:t>
      </w:r>
    </w:p>
  </w:footnote>
  <w:footnote w:id="39">
    <w:p w:rsidR="00990AC7" w:rsidRDefault="00990AC7" w:rsidP="00330DE0">
      <w:pPr>
        <w:pStyle w:val="FootnoteText"/>
      </w:pPr>
      <w:r>
        <w:rPr>
          <w:rStyle w:val="FootnoteReference"/>
        </w:rPr>
        <w:footnoteRef/>
      </w:r>
      <w:r>
        <w:t xml:space="preserve"> </w:t>
      </w:r>
      <w:r>
        <w:tab/>
      </w:r>
      <w:proofErr w:type="gramStart"/>
      <w:r>
        <w:t>Informed by the TAC.</w:t>
      </w:r>
      <w:proofErr w:type="gramEnd"/>
    </w:p>
  </w:footnote>
  <w:footnote w:id="40">
    <w:p w:rsidR="00990AC7" w:rsidRDefault="00990AC7" w:rsidP="00E75DD7">
      <w:pPr>
        <w:pStyle w:val="FootnoteText"/>
      </w:pPr>
      <w:r>
        <w:rPr>
          <w:sz w:val="21"/>
          <w:szCs w:val="21"/>
          <w:vertAlign w:val="superscript"/>
        </w:rPr>
        <w:footnoteRef/>
      </w:r>
      <w:r>
        <w:rPr>
          <w:rFonts w:eastAsia="Arial Unicode MS" w:hAnsi="Arial Unicode MS" w:cs="Arial Unicode MS"/>
        </w:rPr>
        <w:t xml:space="preserve"> </w:t>
      </w:r>
      <w:r>
        <w:rPr>
          <w:rFonts w:eastAsia="Arial Unicode MS" w:hAnsi="Arial Unicode MS" w:cs="Arial Unicode MS"/>
        </w:rPr>
        <w:tab/>
        <w:t>This percentage is based on PwC</w:t>
      </w:r>
      <w:r>
        <w:rPr>
          <w:rFonts w:eastAsia="Arial Unicode MS" w:hAnsi="Arial Unicode MS" w:cs="Arial Unicode MS"/>
        </w:rPr>
        <w:t>’</w:t>
      </w:r>
      <w:r>
        <w:rPr>
          <w:rFonts w:eastAsia="Arial Unicode MS" w:hAnsi="Arial Unicode MS" w:cs="Arial Unicode MS"/>
        </w:rPr>
        <w:t>s detailed analysis of TAC data and the TAC</w:t>
      </w:r>
      <w:r>
        <w:rPr>
          <w:rFonts w:ascii="Arial Unicode MS" w:eastAsia="Arial Unicode MS" w:hAnsi="Arial Unicode MS" w:cs="Arial Unicode MS"/>
        </w:rPr>
        <w:t>’</w:t>
      </w:r>
      <w:r>
        <w:rPr>
          <w:rFonts w:eastAsia="Arial Unicode MS" w:hAnsi="Arial Unicode MS" w:cs="Arial Unicode MS"/>
        </w:rPr>
        <w:t>s assessment of a significant number of individual cases.</w:t>
      </w:r>
    </w:p>
  </w:footnote>
  <w:footnote w:id="41">
    <w:p w:rsidR="00990AC7" w:rsidRDefault="00990AC7" w:rsidP="00A573A0">
      <w:pPr>
        <w:pStyle w:val="FootnoteText"/>
      </w:pPr>
      <w:r>
        <w:rPr>
          <w:rStyle w:val="FootnoteReference"/>
        </w:rPr>
        <w:footnoteRef/>
      </w:r>
      <w:r>
        <w:t xml:space="preserve"> </w:t>
      </w:r>
      <w:r>
        <w:tab/>
        <w:t>A claimant is assumed to enter the scheme on their accident date and exit the scheme on the date of receiving their final compensation payment (this may be impairment, LOEC or common law settlement). The number of ‘existing claimants’ therefore refers to all claimants that are within this bracket.</w:t>
      </w:r>
      <w:r>
        <w:br/>
        <w:t xml:space="preserve">Data provided by TAC has shown that there is an estimated 6,840 existing claimants in the scheme as at 1 July 2014. </w:t>
      </w:r>
    </w:p>
  </w:footnote>
  <w:footnote w:id="42">
    <w:p w:rsidR="00990AC7" w:rsidRDefault="00990AC7" w:rsidP="00E00D3A">
      <w:pPr>
        <w:pStyle w:val="FootnoteText"/>
      </w:pPr>
      <w:r>
        <w:rPr>
          <w:rStyle w:val="FootnoteReference"/>
        </w:rPr>
        <w:footnoteRef/>
      </w:r>
      <w:r>
        <w:t xml:space="preserve"> </w:t>
      </w:r>
      <w:r>
        <w:tab/>
        <w:t xml:space="preserve">Source: TAC. </w:t>
      </w:r>
      <w:r w:rsidRPr="00437790">
        <w:t>Additionally, the average time taken for a claimant to pass through the scheme has also remained relatively stable over time. Therefore, we can assume that the number of people within the scheme at any given time is approximately 6,840.</w:t>
      </w:r>
    </w:p>
  </w:footnote>
  <w:footnote w:id="43">
    <w:p w:rsidR="00990AC7" w:rsidRDefault="00990AC7">
      <w:pPr>
        <w:pStyle w:val="FootnoteText"/>
      </w:pPr>
      <w:r>
        <w:rPr>
          <w:rStyle w:val="FootnoteReference"/>
        </w:rPr>
        <w:footnoteRef/>
      </w:r>
      <w:r>
        <w:t xml:space="preserve"> </w:t>
      </w:r>
      <w:r>
        <w:tab/>
        <w:t>It should be noted that this figure represents the maximum number of claimants that can be affected by the GMD. The figure may be lower as the number of existing claimants may include a small number that have already conducted their impairment assessment and are only waiting for their payment. As the time between impairment assessment and payment is generally quite low, we assume that the number of claimants in this category is minimal.</w:t>
      </w:r>
    </w:p>
  </w:footnote>
  <w:footnote w:id="44">
    <w:p w:rsidR="00990AC7" w:rsidRDefault="00990AC7" w:rsidP="00E00D3A">
      <w:pPr>
        <w:pStyle w:val="FootnoteText"/>
      </w:pPr>
      <w:r>
        <w:rPr>
          <w:rStyle w:val="FootnoteReference"/>
        </w:rPr>
        <w:footnoteRef/>
      </w:r>
      <w:r>
        <w:t xml:space="preserve"> </w:t>
      </w:r>
      <w:r>
        <w:tab/>
      </w:r>
      <w:proofErr w:type="gramStart"/>
      <w:r>
        <w:t>PwC analysis of TAC data over time.</w:t>
      </w:r>
      <w:proofErr w:type="gramEnd"/>
      <w:r>
        <w:t xml:space="preserve"> </w:t>
      </w:r>
    </w:p>
  </w:footnote>
  <w:footnote w:id="45">
    <w:p w:rsidR="00990AC7" w:rsidRDefault="00990AC7">
      <w:pPr>
        <w:pStyle w:val="FootnoteText"/>
      </w:pPr>
      <w:r>
        <w:rPr>
          <w:rStyle w:val="FootnoteReference"/>
        </w:rPr>
        <w:footnoteRef/>
      </w:r>
      <w:r>
        <w:t xml:space="preserve"> </w:t>
      </w:r>
      <w:r>
        <w:tab/>
        <w:t>We assume that this figure will continue to remain static for the duration of the calculation period of ten years.</w:t>
      </w:r>
    </w:p>
  </w:footnote>
  <w:footnote w:id="46">
    <w:p w:rsidR="00990AC7" w:rsidRDefault="00990AC7">
      <w:pPr>
        <w:pStyle w:val="FootnoteText"/>
      </w:pPr>
      <w:r>
        <w:rPr>
          <w:rStyle w:val="FootnoteReference"/>
        </w:rPr>
        <w:footnoteRef/>
      </w:r>
      <w:r>
        <w:t xml:space="preserve"> </w:t>
      </w:r>
      <w:r>
        <w:tab/>
        <w:t xml:space="preserve">Victorian Competition and Efficiency Commission, </w:t>
      </w:r>
      <w:r w:rsidRPr="0005334C">
        <w:rPr>
          <w:i/>
        </w:rPr>
        <w:t>Adjusting the Balance: Inquiry into Aspects of the Wrongs Act 1958</w:t>
      </w:r>
      <w:r>
        <w:t>, draft report, Victoria, November 2013, p6.</w:t>
      </w:r>
    </w:p>
  </w:footnote>
  <w:footnote w:id="47">
    <w:p w:rsidR="00990AC7" w:rsidRDefault="00990AC7">
      <w:pPr>
        <w:pStyle w:val="FootnoteText"/>
      </w:pPr>
      <w:r>
        <w:rPr>
          <w:rStyle w:val="FootnoteReference"/>
        </w:rPr>
        <w:footnoteRef/>
      </w:r>
      <w:r>
        <w:t xml:space="preserve"> </w:t>
      </w:r>
      <w:r>
        <w:tab/>
        <w:t>Ibid</w:t>
      </w:r>
    </w:p>
  </w:footnote>
  <w:footnote w:id="48">
    <w:p w:rsidR="00990AC7" w:rsidRDefault="00990AC7">
      <w:pPr>
        <w:pStyle w:val="FootnoteText"/>
      </w:pPr>
      <w:r>
        <w:rPr>
          <w:rStyle w:val="FootnoteReference"/>
        </w:rPr>
        <w:footnoteRef/>
      </w:r>
      <w:r>
        <w:t xml:space="preserve"> </w:t>
      </w:r>
      <w:r>
        <w:tab/>
        <w:t>Based on figures outlined at the beginning of Chapter 5</w:t>
      </w:r>
    </w:p>
  </w:footnote>
  <w:footnote w:id="49">
    <w:p w:rsidR="00990AC7" w:rsidRDefault="00990AC7" w:rsidP="0075622F">
      <w:pPr>
        <w:pStyle w:val="FootnoteText"/>
      </w:pPr>
      <w:r>
        <w:rPr>
          <w:rStyle w:val="FootnoteReference"/>
        </w:rPr>
        <w:footnoteRef/>
      </w:r>
      <w:r>
        <w:t xml:space="preserve"> </w:t>
      </w:r>
      <w:r>
        <w:tab/>
        <w:t>As the calculations in this RIS are as at the expected release date of 1 July 2014, the number of claimants affected is equal to ten years’ minus two months’ (1 July 2014 to 31 August 2014) worth of future claimants. This is calculated by: (1,590 - (159*2/12)) * 80% = 1,251</w:t>
      </w:r>
    </w:p>
  </w:footnote>
  <w:footnote w:id="50">
    <w:p w:rsidR="00990AC7" w:rsidRDefault="00990AC7" w:rsidP="0075622F">
      <w:pPr>
        <w:pStyle w:val="FootnoteText"/>
      </w:pPr>
      <w:r>
        <w:rPr>
          <w:rStyle w:val="FootnoteReference"/>
        </w:rPr>
        <w:footnoteRef/>
      </w:r>
      <w:r>
        <w:t xml:space="preserve"> </w:t>
      </w:r>
      <w:r>
        <w:tab/>
        <w:t>1,251/2,315=54%</w:t>
      </w:r>
    </w:p>
  </w:footnote>
  <w:footnote w:id="51">
    <w:p w:rsidR="00990AC7" w:rsidRDefault="00990AC7">
      <w:pPr>
        <w:pStyle w:val="FootnoteText"/>
      </w:pPr>
      <w:r>
        <w:rPr>
          <w:rStyle w:val="FootnoteReference"/>
        </w:rPr>
        <w:footnoteRef/>
      </w:r>
      <w:r>
        <w:t xml:space="preserve"> </w:t>
      </w:r>
      <w:r>
        <w:tab/>
        <w:t xml:space="preserve">Calculated as the number of future claimants for all other injuries (excluding multiple spinal fractures) from </w:t>
      </w:r>
      <w:r>
        <w:fldChar w:fldCharType="begin"/>
      </w:r>
      <w:r>
        <w:instrText xml:space="preserve"> REF _Ref387937640 \h </w:instrText>
      </w:r>
      <w:r>
        <w:fldChar w:fldCharType="separate"/>
      </w:r>
      <w:r w:rsidR="00542564">
        <w:t xml:space="preserve">Table </w:t>
      </w:r>
      <w:r w:rsidR="00542564">
        <w:rPr>
          <w:noProof/>
        </w:rPr>
        <w:t>8</w:t>
      </w:r>
      <w:r>
        <w:fldChar w:fldCharType="end"/>
      </w:r>
      <w:r>
        <w:t>, less two months of claimants between 1 July 2014 and 31 August 2014Calculated as: 13,410 – (1,341*(2/12)) = 13,187.</w:t>
      </w:r>
    </w:p>
  </w:footnote>
  <w:footnote w:id="52">
    <w:p w:rsidR="00990AC7" w:rsidRDefault="00990AC7">
      <w:pPr>
        <w:pStyle w:val="FootnoteText"/>
      </w:pPr>
      <w:r>
        <w:rPr>
          <w:rStyle w:val="FootnoteReference"/>
        </w:rPr>
        <w:footnoteRef/>
      </w:r>
      <w:r>
        <w:t xml:space="preserve"> </w:t>
      </w:r>
      <w:r>
        <w:tab/>
        <w:t xml:space="preserve">The cost represents the value of the time of medical practitioners who are undertaking the training, Estimated on the basis of up to 132 hours at $350 p/hour plus GST in professional fees that may be required to be paid for development and facilitation of up to six training sessions for doctors who wish to be trained in the use of the GMD. </w:t>
      </w:r>
      <w:r>
        <w:br/>
        <w:t>132 hours @ $350 p/hour plus 10% GST =$50,820</w:t>
      </w:r>
    </w:p>
  </w:footnote>
  <w:footnote w:id="53">
    <w:p w:rsidR="00990AC7" w:rsidRDefault="00990AC7" w:rsidP="00303BE3">
      <w:pPr>
        <w:pStyle w:val="FootnoteText"/>
      </w:pPr>
      <w:r>
        <w:rPr>
          <w:rStyle w:val="FootnoteReference"/>
        </w:rPr>
        <w:footnoteRef/>
      </w:r>
      <w:r>
        <w:t xml:space="preserve"> </w:t>
      </w:r>
      <w:r>
        <w:tab/>
        <w:t xml:space="preserve">C R </w:t>
      </w:r>
      <w:proofErr w:type="spellStart"/>
      <w:r>
        <w:t>Sunstein</w:t>
      </w:r>
      <w:proofErr w:type="spellEnd"/>
      <w:r>
        <w:t xml:space="preserve">, ‘The Cost-Benefit State: The Future of Regulatory Protection’, </w:t>
      </w:r>
      <w:r w:rsidRPr="00BF31B3">
        <w:rPr>
          <w:i/>
        </w:rPr>
        <w:t>Section of Administrative Law and Regulatory Practice</w:t>
      </w:r>
      <w:r>
        <w:rPr>
          <w:i/>
        </w:rPr>
        <w:t xml:space="preserve">, </w:t>
      </w:r>
      <w:r w:rsidRPr="00BF31B3">
        <w:t>American Bar Association</w:t>
      </w:r>
      <w:r>
        <w:t>, USA, 2002, p190.</w:t>
      </w:r>
    </w:p>
  </w:footnote>
  <w:footnote w:id="54">
    <w:p w:rsidR="00990AC7" w:rsidRDefault="00990AC7" w:rsidP="00303BE3">
      <w:pPr>
        <w:pStyle w:val="FootnoteText"/>
      </w:pPr>
      <w:r>
        <w:rPr>
          <w:rStyle w:val="FootnoteReference"/>
        </w:rPr>
        <w:footnoteRef/>
      </w:r>
      <w:r>
        <w:t xml:space="preserve"> </w:t>
      </w:r>
      <w:r>
        <w:tab/>
        <w:t xml:space="preserve">Victorian Competition and Efficiency Commission, </w:t>
      </w:r>
      <w:r w:rsidRPr="0005334C">
        <w:rPr>
          <w:i/>
        </w:rPr>
        <w:t>Adjusting the Balance: Inquiry into Aspects of the Wrongs Act 1958</w:t>
      </w:r>
      <w:r>
        <w:t>, draft report, Victoria, November 2013, p5.</w:t>
      </w:r>
    </w:p>
  </w:footnote>
  <w:footnote w:id="55">
    <w:p w:rsidR="00990AC7" w:rsidRDefault="00990AC7">
      <w:pPr>
        <w:pStyle w:val="FootnoteText"/>
      </w:pPr>
      <w:r>
        <w:rPr>
          <w:rStyle w:val="FootnoteReference"/>
        </w:rPr>
        <w:footnoteRef/>
      </w:r>
      <w:r>
        <w:t xml:space="preserve"> </w:t>
      </w:r>
      <w:r>
        <w:tab/>
        <w:t>CTP stands for ‘Compulsory Third Party’ levy, which refers to the TAC charge that all motor vehicle owners pay for transport accident insurance as part of their annual registration.</w:t>
      </w:r>
    </w:p>
  </w:footnote>
  <w:footnote w:id="56">
    <w:p w:rsidR="00990AC7" w:rsidRDefault="00990AC7">
      <w:pPr>
        <w:pStyle w:val="FootnoteText"/>
      </w:pPr>
      <w:r>
        <w:rPr>
          <w:rStyle w:val="FootnoteReference"/>
        </w:rPr>
        <w:footnoteRef/>
      </w:r>
      <w:r>
        <w:t xml:space="preserve"> </w:t>
      </w:r>
      <w:r>
        <w:tab/>
        <w:t>A</w:t>
      </w:r>
      <w:r w:rsidRPr="001624FC">
        <w:t xml:space="preserve">nnual incremental transfer due to the GMD (refer </w:t>
      </w:r>
      <w:r w:rsidRPr="001624FC">
        <w:fldChar w:fldCharType="begin"/>
      </w:r>
      <w:r w:rsidRPr="001624FC">
        <w:instrText xml:space="preserve"> REF _Ref387412397 \n \h </w:instrText>
      </w:r>
      <w:r>
        <w:instrText xml:space="preserve"> \* MERGEFORMAT </w:instrText>
      </w:r>
      <w:r w:rsidRPr="001624FC">
        <w:fldChar w:fldCharType="separate"/>
      </w:r>
      <w:r w:rsidR="00542564">
        <w:t>Appendix C</w:t>
      </w:r>
      <w:r w:rsidRPr="001624FC">
        <w:fldChar w:fldCharType="end"/>
      </w:r>
      <w:r w:rsidRPr="001624FC">
        <w:t>) = $11.4 million * 74.5% = 8.5 million</w:t>
      </w:r>
      <w:r w:rsidRPr="001624FC">
        <w:br/>
        <w:t>Using a nominal discount rate of 7.5% and an inflation rate of 3.75% (equalling to a real discount rate of 3.75% used in NPV calculations) NPV (10 years) – $8.5m*10/12 (to exclude first two months) = $68.4.million.</w:t>
      </w:r>
      <w:r w:rsidRPr="001624FC">
        <w:br/>
      </w:r>
      <w:r>
        <w:rPr>
          <w:rFonts w:asciiTheme="majorHAnsi" w:hAnsiTheme="majorHAnsi"/>
        </w:rPr>
        <w:br/>
        <w:t>Nominal discount rate is derived from the TAC’s long term forecasted investment return: This discount rate was applied for consistency with the calculation of the cost per new accident year figure ($11.4 million) that was used as an input.</w:t>
      </w:r>
      <w:r>
        <w:rPr>
          <w:rFonts w:asciiTheme="majorHAnsi" w:hAnsiTheme="majorHAnsi"/>
        </w:rPr>
        <w:br/>
      </w:r>
      <w:r>
        <w:t>The inflation rate is a forecasted average weekly earnings growth figure based on historical data. This was considered a more appropriate measure than CPI as compensation based on loss of earnings is indexed with average weekly earnings.</w:t>
      </w:r>
    </w:p>
  </w:footnote>
  <w:footnote w:id="57">
    <w:p w:rsidR="00990AC7" w:rsidRDefault="00990AC7" w:rsidP="003D7F56">
      <w:pPr>
        <w:pStyle w:val="FootnoteText"/>
      </w:pPr>
      <w:r>
        <w:rPr>
          <w:rStyle w:val="FootnoteReference"/>
        </w:rPr>
        <w:footnoteRef/>
      </w:r>
      <w:r>
        <w:t xml:space="preserve"> </w:t>
      </w:r>
      <w:r>
        <w:tab/>
        <w:t>Based on figures outlined at the beginning of Chapter 5</w:t>
      </w:r>
    </w:p>
  </w:footnote>
  <w:footnote w:id="58">
    <w:p w:rsidR="00990AC7" w:rsidRDefault="00990AC7">
      <w:pPr>
        <w:pStyle w:val="FootnoteText"/>
      </w:pPr>
      <w:r>
        <w:rPr>
          <w:rStyle w:val="FootnoteReference"/>
        </w:rPr>
        <w:footnoteRef/>
      </w:r>
      <w:r>
        <w:t xml:space="preserve"> </w:t>
      </w:r>
      <w:r>
        <w:tab/>
        <w:t>(725 – 159/2)*80% = 516</w:t>
      </w:r>
    </w:p>
  </w:footnote>
  <w:footnote w:id="59">
    <w:p w:rsidR="00990AC7" w:rsidRDefault="00990AC7" w:rsidP="00B76AC8">
      <w:pPr>
        <w:pStyle w:val="FootnoteText"/>
      </w:pPr>
      <w:r>
        <w:rPr>
          <w:rStyle w:val="FootnoteReference"/>
        </w:rPr>
        <w:footnoteRef/>
      </w:r>
      <w:r>
        <w:t xml:space="preserve"> </w:t>
      </w:r>
      <w:r>
        <w:tab/>
        <w:t>1,590 * 80% + 516 = 1,788</w:t>
      </w:r>
    </w:p>
  </w:footnote>
  <w:footnote w:id="60">
    <w:p w:rsidR="00990AC7" w:rsidRDefault="00990AC7" w:rsidP="009D04F0">
      <w:pPr>
        <w:pStyle w:val="FootnoteText"/>
      </w:pPr>
      <w:r>
        <w:rPr>
          <w:rStyle w:val="FootnoteReference"/>
        </w:rPr>
        <w:footnoteRef/>
      </w:r>
      <w:r>
        <w:t xml:space="preserve"> </w:t>
      </w:r>
      <w:r>
        <w:tab/>
        <w:t>1,788/2,315 = 77%</w:t>
      </w:r>
    </w:p>
  </w:footnote>
  <w:footnote w:id="61">
    <w:p w:rsidR="00990AC7" w:rsidRDefault="00990AC7">
      <w:pPr>
        <w:pStyle w:val="FootnoteText"/>
      </w:pPr>
      <w:r>
        <w:rPr>
          <w:rStyle w:val="FootnoteReference"/>
        </w:rPr>
        <w:footnoteRef/>
      </w:r>
      <w:r>
        <w:t xml:space="preserve"> </w:t>
      </w:r>
      <w:r>
        <w:tab/>
        <w:t>19,525 – 1,341 (one year’s worth of non-spinal related accidents) = 18,184</w:t>
      </w:r>
    </w:p>
  </w:footnote>
  <w:footnote w:id="62">
    <w:p w:rsidR="00990AC7" w:rsidRDefault="00990AC7">
      <w:pPr>
        <w:pStyle w:val="FootnoteText"/>
      </w:pPr>
      <w:r>
        <w:rPr>
          <w:rStyle w:val="FootnoteReference"/>
        </w:rPr>
        <w:footnoteRef/>
      </w:r>
      <w:r>
        <w:t xml:space="preserve"> </w:t>
      </w:r>
      <w:r>
        <w:tab/>
        <w:t>Strictly speaking, existing claimants do not have an entitlement or right to receive a certain level of compensation prior to their assessment, however grievances may stem from the reduction in the potential level of compensation that a claimant can receive given a set of injury characteristics.</w:t>
      </w:r>
    </w:p>
  </w:footnote>
  <w:footnote w:id="63">
    <w:p w:rsidR="00990AC7" w:rsidRDefault="00990AC7" w:rsidP="00466338">
      <w:pPr>
        <w:pStyle w:val="FootnoteText"/>
      </w:pPr>
      <w:r>
        <w:rPr>
          <w:rStyle w:val="FootnoteReference"/>
        </w:rPr>
        <w:footnoteRef/>
      </w:r>
      <w:r>
        <w:t xml:space="preserve"> </w:t>
      </w:r>
      <w:r>
        <w:tab/>
        <w:t>If the assessment date specified was 1 July 2014, 580 (725*80%) claimants would have their rights and entitlements altered. However, as the assessment date is 1 January 2015, we effectively remove six months’ worth of multiple spinal fracture claimants who will still be assessed under the post-</w:t>
      </w:r>
      <w:proofErr w:type="spellStart"/>
      <w:r>
        <w:t>Serwylo</w:t>
      </w:r>
      <w:proofErr w:type="spellEnd"/>
      <w:r>
        <w:t xml:space="preserve"> case and therefore not have their rights and entitlements altered. As the annual number of multiple spinal fracture assessments impacted by the GMD is assumed to be 127 (159*80%), we estimate the number of related assessments in six months to be approximately 64. Therefore, the number of persons whose entitlements change under Implementation Option 2 is 516 (580 – 64 = 516)</w:t>
      </w:r>
    </w:p>
  </w:footnote>
  <w:footnote w:id="64">
    <w:p w:rsidR="00990AC7" w:rsidRDefault="00990AC7">
      <w:pPr>
        <w:pStyle w:val="FootnoteText"/>
      </w:pPr>
      <w:r>
        <w:rPr>
          <w:rStyle w:val="FootnoteReference"/>
        </w:rPr>
        <w:footnoteRef/>
      </w:r>
      <w:r>
        <w:t xml:space="preserve"> </w:t>
      </w:r>
      <w:r>
        <w:tab/>
        <w:t>127*(3/12) = 32</w:t>
      </w:r>
    </w:p>
  </w:footnote>
  <w:footnote w:id="65">
    <w:p w:rsidR="00990AC7" w:rsidRDefault="00990AC7">
      <w:pPr>
        <w:pStyle w:val="FootnoteText"/>
      </w:pPr>
      <w:r>
        <w:rPr>
          <w:rStyle w:val="FootnoteReference"/>
        </w:rPr>
        <w:footnoteRef/>
      </w:r>
      <w:r>
        <w:t xml:space="preserve"> </w:t>
      </w:r>
      <w:r>
        <w:tab/>
        <w:t>$67.5m* 74.5% - 0.5(11.4m* 74.5%) = $46m. This represents the 74.5% of the existing liability (as at 1 July 2014) that is reversed by the GMD, less the six months’ worth of payments (for the claimants who undergo assessments between 1 July 2014 and 31 December 2014) from the liability that will be paid on the post-</w:t>
      </w:r>
      <w:proofErr w:type="spellStart"/>
      <w:r>
        <w:t>Serwylo</w:t>
      </w:r>
      <w:proofErr w:type="spellEnd"/>
      <w:r>
        <w:t xml:space="preserve"> basis. </w:t>
      </w:r>
      <w:r>
        <w:br/>
        <w:t xml:space="preserve">Refer to </w:t>
      </w:r>
      <w:r>
        <w:fldChar w:fldCharType="begin"/>
      </w:r>
      <w:r>
        <w:instrText xml:space="preserve"> REF _Ref387412397 \n \h </w:instrText>
      </w:r>
      <w:r>
        <w:fldChar w:fldCharType="separate"/>
      </w:r>
      <w:r w:rsidR="00542564">
        <w:t>Appendix C</w:t>
      </w:r>
      <w:r>
        <w:fldChar w:fldCharType="end"/>
      </w:r>
      <w:r>
        <w:t xml:space="preserve"> for further detail.</w:t>
      </w:r>
    </w:p>
  </w:footnote>
  <w:footnote w:id="66">
    <w:p w:rsidR="00990AC7" w:rsidRDefault="00990AC7">
      <w:pPr>
        <w:pStyle w:val="FootnoteText"/>
      </w:pPr>
      <w:r>
        <w:rPr>
          <w:rStyle w:val="FootnoteReference"/>
        </w:rPr>
        <w:footnoteRef/>
      </w:r>
      <w:r>
        <w:t xml:space="preserve"> </w:t>
      </w:r>
      <w:r>
        <w:tab/>
      </w:r>
      <w:proofErr w:type="gramStart"/>
      <w:r>
        <w:t xml:space="preserve">67.5m (Total liability denoted in </w:t>
      </w:r>
      <w:r>
        <w:fldChar w:fldCharType="begin"/>
      </w:r>
      <w:r>
        <w:instrText xml:space="preserve"> REF _Ref387412397 \n \h </w:instrText>
      </w:r>
      <w:r>
        <w:fldChar w:fldCharType="separate"/>
      </w:r>
      <w:r w:rsidR="00542564">
        <w:t>Appendix C</w:t>
      </w:r>
      <w:r>
        <w:fldChar w:fldCharType="end"/>
      </w:r>
      <w:r>
        <w:t>) – 46m = $21.5m.</w:t>
      </w:r>
      <w:proofErr w:type="gramEnd"/>
    </w:p>
  </w:footnote>
  <w:footnote w:id="67">
    <w:p w:rsidR="00990AC7" w:rsidRDefault="00990AC7">
      <w:pPr>
        <w:pStyle w:val="FootnoteText"/>
      </w:pPr>
      <w:r>
        <w:rPr>
          <w:rStyle w:val="FootnoteReference"/>
        </w:rPr>
        <w:footnoteRef/>
      </w:r>
      <w:r>
        <w:t xml:space="preserve"> </w:t>
      </w:r>
      <w:r>
        <w:tab/>
        <w:t>Figure is calculated using an NPV figure calculated in Implementation Option 1 of $68.4 million (transfer away from future claimants) plus the calculated transfer from existing claimants (equal to the liability saving) of $46 million.</w:t>
      </w:r>
      <w:r>
        <w:br/>
        <w:t>Total = $68.4m + $46m = $114.4m.</w:t>
      </w:r>
    </w:p>
  </w:footnote>
  <w:footnote w:id="68">
    <w:p w:rsidR="00990AC7" w:rsidRDefault="00990AC7">
      <w:pPr>
        <w:pStyle w:val="FootnoteText"/>
      </w:pPr>
      <w:r>
        <w:rPr>
          <w:rStyle w:val="FootnoteReference"/>
        </w:rPr>
        <w:footnoteRef/>
      </w:r>
      <w:r>
        <w:t xml:space="preserve"> </w:t>
      </w:r>
      <w:r>
        <w:tab/>
        <w:t>Refer to Appendix C for an explanation of the relationship between number of claimants affected and the value of the transfer under both implementation options.</w:t>
      </w:r>
    </w:p>
  </w:footnote>
  <w:footnote w:id="69">
    <w:p w:rsidR="00990AC7" w:rsidRDefault="00990AC7" w:rsidP="0005334C">
      <w:pPr>
        <w:pStyle w:val="FootnoteText"/>
      </w:pPr>
      <w:r>
        <w:rPr>
          <w:rStyle w:val="FootnoteReference"/>
        </w:rPr>
        <w:footnoteRef/>
      </w:r>
      <w:r>
        <w:t xml:space="preserve"> </w:t>
      </w:r>
      <w:r>
        <w:tab/>
        <w:t xml:space="preserve">C R </w:t>
      </w:r>
      <w:proofErr w:type="spellStart"/>
      <w:r>
        <w:t>Sunstein</w:t>
      </w:r>
      <w:proofErr w:type="spellEnd"/>
      <w:r>
        <w:t xml:space="preserve">, ‘The Cost-Benefit State: The Future of Regulatory Protection’, </w:t>
      </w:r>
      <w:r w:rsidRPr="00BF31B3">
        <w:rPr>
          <w:i/>
        </w:rPr>
        <w:t>Section of Administrative Law and Regulatory Practice</w:t>
      </w:r>
      <w:r>
        <w:rPr>
          <w:i/>
        </w:rPr>
        <w:t xml:space="preserve">, </w:t>
      </w:r>
      <w:r w:rsidRPr="00BF31B3">
        <w:t>American Bar Association</w:t>
      </w:r>
      <w:r>
        <w:t>, USA, 2002, p190.</w:t>
      </w:r>
    </w:p>
  </w:footnote>
  <w:footnote w:id="70">
    <w:p w:rsidR="00990AC7" w:rsidRDefault="00990AC7" w:rsidP="0005334C">
      <w:pPr>
        <w:pStyle w:val="FootnoteText"/>
      </w:pPr>
      <w:r>
        <w:rPr>
          <w:rStyle w:val="FootnoteReference"/>
        </w:rPr>
        <w:footnoteRef/>
      </w:r>
      <w:r>
        <w:t xml:space="preserve"> </w:t>
      </w:r>
      <w:r>
        <w:tab/>
        <w:t xml:space="preserve">Victorian Competition and Efficiency Commission, </w:t>
      </w:r>
      <w:r w:rsidRPr="00AF58B8">
        <w:rPr>
          <w:i/>
        </w:rPr>
        <w:t>Adjusting the Balance: Inquiry into Aspects of the Wrongs Act 1958</w:t>
      </w:r>
      <w:r>
        <w:t>, draft report, Victoria, November 2013, p5.</w:t>
      </w:r>
    </w:p>
  </w:footnote>
  <w:footnote w:id="71">
    <w:p w:rsidR="00990AC7" w:rsidRDefault="00990AC7" w:rsidP="0098018E">
      <w:pPr>
        <w:pStyle w:val="FootnoteText"/>
      </w:pPr>
      <w:r>
        <w:rPr>
          <w:rStyle w:val="FootnoteReference"/>
        </w:rPr>
        <w:footnoteRef/>
      </w:r>
      <w:r>
        <w:t xml:space="preserve"> </w:t>
      </w:r>
      <w:r>
        <w:tab/>
        <w:t>Department of Treasury and Finance Victoria, </w:t>
      </w:r>
      <w:r w:rsidRPr="00B43EA3">
        <w:rPr>
          <w:i/>
        </w:rPr>
        <w:t>Victorian Guide to Regulation</w:t>
      </w:r>
      <w:r>
        <w:rPr>
          <w:i/>
        </w:rPr>
        <w:t xml:space="preserve"> (Edition 2.1)</w:t>
      </w:r>
      <w:r>
        <w:t>, Department of Treasury and Finance, Melbourne, August 2011, p93</w:t>
      </w:r>
    </w:p>
  </w:footnote>
  <w:footnote w:id="72">
    <w:p w:rsidR="00990AC7" w:rsidRDefault="00990AC7" w:rsidP="00BA250C">
      <w:pPr>
        <w:pStyle w:val="FootnoteText"/>
      </w:pPr>
      <w:r>
        <w:rPr>
          <w:rStyle w:val="FootnoteReference"/>
        </w:rPr>
        <w:footnoteRef/>
      </w:r>
      <w:r>
        <w:t xml:space="preserve"> </w:t>
      </w:r>
      <w:r>
        <w:tab/>
        <w:t>Department of Treasury and Finance Victoria, </w:t>
      </w:r>
      <w:r w:rsidRPr="00B43EA3">
        <w:rPr>
          <w:i/>
        </w:rPr>
        <w:t>Victorian Guide to Regulation</w:t>
      </w:r>
      <w:r>
        <w:rPr>
          <w:i/>
        </w:rPr>
        <w:t xml:space="preserve"> (Edition 2.1)</w:t>
      </w:r>
      <w:r>
        <w:t>, Department of Treasury and Finance, Melbourne, August 2011, p</w:t>
      </w:r>
      <w:r w:rsidRPr="00E94EF0">
        <w:t>94.</w:t>
      </w:r>
    </w:p>
  </w:footnote>
  <w:footnote w:id="73">
    <w:p w:rsidR="00990AC7" w:rsidRDefault="00990AC7" w:rsidP="00D23FF1">
      <w:pPr>
        <w:pStyle w:val="FootnoteText"/>
      </w:pPr>
      <w:r>
        <w:rPr>
          <w:rStyle w:val="FootnoteReference"/>
        </w:rPr>
        <w:footnoteRef/>
      </w:r>
      <w:r>
        <w:t xml:space="preserve"> </w:t>
      </w:r>
      <w:r>
        <w:tab/>
        <w:t>This assumption is based on TAC time series data that shows that the number of claims has remained approximately constant over the past decade or so. The assumption is also consistent with that used in our cost-benefit analysis. Data has also suggested that the cost per claim has not differed materially year on year, due to the stable mix of injuries. There is no reason to suggest that there will be any significant change to these trends in the foreseeable future.</w:t>
      </w:r>
    </w:p>
  </w:footnote>
  <w:footnote w:id="74">
    <w:p w:rsidR="00990AC7" w:rsidRDefault="00990AC7">
      <w:pPr>
        <w:pStyle w:val="FootnoteText"/>
      </w:pPr>
      <w:r>
        <w:rPr>
          <w:rStyle w:val="FootnoteReference"/>
        </w:rPr>
        <w:footnoteRef/>
      </w:r>
      <w:r>
        <w:t xml:space="preserve"> </w:t>
      </w:r>
      <w:r>
        <w:tab/>
        <w:t>Note that all liability figures in this analysis have been calculated using discount rates implied by the 31 December 2012 government bond yields. Refer to: F2 Capital Market Yields- Government Bonds</w:t>
      </w:r>
      <w:r>
        <w:br/>
        <w:t>&lt;</w:t>
      </w:r>
      <w:r w:rsidRPr="00CE3D29">
        <w:t xml:space="preserve"> http://www.rba.gov.au/statistics/tables/</w:t>
      </w:r>
      <w:r>
        <w:t>&gt;.</w:t>
      </w:r>
    </w:p>
  </w:footnote>
  <w:footnote w:id="75">
    <w:p w:rsidR="00990AC7" w:rsidRDefault="00990AC7">
      <w:pPr>
        <w:pStyle w:val="FootnoteText"/>
      </w:pPr>
      <w:r>
        <w:rPr>
          <w:rStyle w:val="FootnoteReference"/>
        </w:rPr>
        <w:footnoteRef/>
      </w:r>
      <w:r>
        <w:t xml:space="preserve"> </w:t>
      </w:r>
      <w:r>
        <w:tab/>
        <w:t>Figures may not sum exactly due to rounding</w:t>
      </w:r>
    </w:p>
  </w:footnote>
  <w:footnote w:id="76">
    <w:p w:rsidR="00990AC7" w:rsidRDefault="00990AC7" w:rsidP="009E2B2E">
      <w:pPr>
        <w:pStyle w:val="FootnoteText"/>
      </w:pPr>
      <w:r>
        <w:rPr>
          <w:rStyle w:val="FootnoteReference"/>
        </w:rPr>
        <w:footnoteRef/>
      </w:r>
      <w:r>
        <w:t xml:space="preserve"> </w:t>
      </w:r>
      <w:r>
        <w:tab/>
        <w:t xml:space="preserve">This refers to claims that are still eligible for common law prior or subsequent to </w:t>
      </w:r>
      <w:proofErr w:type="spellStart"/>
      <w:r>
        <w:t>Serwylo</w:t>
      </w:r>
      <w:proofErr w:type="spellEnd"/>
      <w:r>
        <w:t>, however may have their settlement amount affected.</w:t>
      </w:r>
    </w:p>
  </w:footnote>
  <w:footnote w:id="77">
    <w:p w:rsidR="00990AC7" w:rsidRDefault="00990AC7">
      <w:pPr>
        <w:pStyle w:val="FootnoteText"/>
      </w:pPr>
      <w:r>
        <w:rPr>
          <w:rStyle w:val="FootnoteReference"/>
        </w:rPr>
        <w:footnoteRef/>
      </w:r>
      <w:r>
        <w:t xml:space="preserve"> </w:t>
      </w:r>
      <w:r>
        <w:tab/>
        <w:t xml:space="preserve">Note that we have subtracted the claimants receiving common law prior to </w:t>
      </w:r>
      <w:proofErr w:type="spellStart"/>
      <w:r>
        <w:t>Serwylo</w:t>
      </w:r>
      <w:proofErr w:type="spellEnd"/>
      <w:r>
        <w:t xml:space="preserve"> rather than subsequent to it. This proportion assumes that the additional claimants receiving LOEC benefits and that receiving common law damages following </w:t>
      </w:r>
      <w:proofErr w:type="spellStart"/>
      <w:r>
        <w:t>Serwylo</w:t>
      </w:r>
      <w:proofErr w:type="spellEnd"/>
      <w:r>
        <w:t xml:space="preserve"> are separate populations. The estimate is therefore an upper bound as there could be some overlap between the two, which would reduce the affected population and the total cost. However, as the average costs differ between the two compensation types (LOEC is higher), it is reasonable to assume that claimants who were entitled to common law damages may still continue on LOEC, which would mean minimal overlap. </w:t>
      </w:r>
    </w:p>
  </w:footnote>
  <w:footnote w:id="78">
    <w:p w:rsidR="00990AC7" w:rsidRDefault="00990AC7">
      <w:pPr>
        <w:pStyle w:val="FootnoteText"/>
      </w:pPr>
      <w:r>
        <w:rPr>
          <w:rStyle w:val="FootnoteReference"/>
        </w:rPr>
        <w:footnoteRef/>
      </w:r>
      <w:r>
        <w:t xml:space="preserve"> </w:t>
      </w:r>
      <w:r>
        <w:tab/>
        <w:t xml:space="preserve">Lower discount rates (than those used in the annual cost estimates) have been used for liability calculation here based on the discount rates implied by the 31 December 2012 government bond yields, which are 5.50% in the long run. This is due to the requirements of the accounting standard AASB1023 and the actuarial standard PS300, which stipulates that risk free valuation rates must be used to discount future cash flows. Refer to: F2 Capital Market Yields- Government Bonds at </w:t>
      </w:r>
      <w:r>
        <w:br/>
        <w:t>&lt;</w:t>
      </w:r>
      <w:r w:rsidRPr="00CE3D29">
        <w:t xml:space="preserve"> http://www.rba.gov.au/statistics/tables/</w:t>
      </w:r>
      <w:r>
        <w:t>&gt;.</w:t>
      </w:r>
      <w:r>
        <w:br/>
        <w:t xml:space="preserve">The risk free rates have been implicitly used in the calculation of the liability of the other two compensation types as </w:t>
      </w:r>
      <w:proofErr w:type="gramStart"/>
      <w:r>
        <w:t>well,</w:t>
      </w:r>
      <w:proofErr w:type="gramEnd"/>
      <w:r>
        <w:t xml:space="preserve"> however the difference in the average cost calculation was immaterial due to the shorter duration of the payments. </w:t>
      </w:r>
      <w:r>
        <w:br/>
        <w:t>As there is no standard for annual cost estimates, it was deemed that the TAC long run forecasted investment rate of return of 7.50% was a more appropriate estimate.</w:t>
      </w:r>
    </w:p>
  </w:footnote>
  <w:footnote w:id="79">
    <w:p w:rsidR="00990AC7" w:rsidRDefault="00990AC7">
      <w:pPr>
        <w:pStyle w:val="FootnoteText"/>
      </w:pPr>
      <w:r>
        <w:rPr>
          <w:rStyle w:val="FootnoteReference"/>
        </w:rPr>
        <w:footnoteRef/>
      </w:r>
      <w:r>
        <w:t xml:space="preserve"> </w:t>
      </w:r>
      <w:r>
        <w:tab/>
        <w:t>The remaining 21 of the 537 claimants affected under Implementation Option 2 but not Implementation Option 1 relate to those injured between 1 July 2014 and 31 August 2014, and are therefore still considered as future claimants for the purpose of our analysis.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AC7" w:rsidRPr="008F0566" w:rsidRDefault="00990AC7" w:rsidP="008F0566">
    <w:pPr>
      <w:pStyle w:val="Header"/>
    </w:pPr>
    <w:r>
      <w:rPr>
        <w:noProof/>
        <w:snapToGrid/>
        <w:lang w:eastAsia="en-AU"/>
      </w:rPr>
      <mc:AlternateContent>
        <mc:Choice Requires="wpg">
          <w:drawing>
            <wp:anchor distT="0" distB="0" distL="114300" distR="114300" simplePos="0" relativeHeight="252241920" behindDoc="0" locked="0" layoutInCell="1" allowOverlap="1" wp14:anchorId="5D6497DA" wp14:editId="7722692C">
              <wp:simplePos x="0" y="0"/>
              <wp:positionH relativeFrom="page">
                <wp:posOffset>0</wp:posOffset>
              </wp:positionH>
              <wp:positionV relativeFrom="page">
                <wp:posOffset>0</wp:posOffset>
              </wp:positionV>
              <wp:extent cx="6912610" cy="10692130"/>
              <wp:effectExtent l="9525" t="9525" r="12065" b="13970"/>
              <wp:wrapNone/>
              <wp:docPr id="71" name="EvenGrid" descr="Gri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2610" cy="10692130"/>
                        <a:chOff x="0" y="0"/>
                        <a:chExt cx="10886" cy="16838"/>
                      </a:xfrm>
                    </wpg:grpSpPr>
                    <wpg:grpSp>
                      <wpg:cNvPr id="72" name="Group 2851"/>
                      <wpg:cNvGrpSpPr>
                        <a:grpSpLocks/>
                      </wpg:cNvGrpSpPr>
                      <wpg:grpSpPr bwMode="auto">
                        <a:xfrm>
                          <a:off x="1021" y="567"/>
                          <a:ext cx="9251" cy="15704"/>
                          <a:chOff x="1021" y="567"/>
                          <a:chExt cx="9251" cy="15704"/>
                        </a:xfrm>
                      </wpg:grpSpPr>
                      <wps:wsp>
                        <wps:cNvPr id="73" name="AutoShape 2852"/>
                        <wps:cNvCnPr>
                          <a:cxnSpLocks noChangeShapeType="1"/>
                        </wps:cNvCnPr>
                        <wps:spPr bwMode="auto">
                          <a:xfrm>
                            <a:off x="1021" y="567"/>
                            <a:ext cx="0" cy="15704"/>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74" name="AutoShape 2853"/>
                        <wps:cNvCnPr>
                          <a:cxnSpLocks noChangeShapeType="1"/>
                        </wps:cNvCnPr>
                        <wps:spPr bwMode="auto">
                          <a:xfrm>
                            <a:off x="1862"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75" name="AutoShape 2854"/>
                        <wps:cNvCnPr>
                          <a:cxnSpLocks noChangeShapeType="1"/>
                        </wps:cNvCnPr>
                        <wps:spPr bwMode="auto">
                          <a:xfrm>
                            <a:off x="2703"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76" name="AutoShape 2855"/>
                        <wps:cNvCnPr>
                          <a:cxnSpLocks noChangeShapeType="1"/>
                        </wps:cNvCnPr>
                        <wps:spPr bwMode="auto">
                          <a:xfrm>
                            <a:off x="3544" y="567"/>
                            <a:ext cx="0" cy="15704"/>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77" name="AutoShape 2856"/>
                        <wps:cNvCnPr>
                          <a:cxnSpLocks noChangeShapeType="1"/>
                        </wps:cNvCnPr>
                        <wps:spPr bwMode="auto">
                          <a:xfrm>
                            <a:off x="4385"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78" name="AutoShape 2857"/>
                        <wps:cNvCnPr>
                          <a:cxnSpLocks noChangeShapeType="1"/>
                        </wps:cNvCnPr>
                        <wps:spPr bwMode="auto">
                          <a:xfrm>
                            <a:off x="5226"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79" name="AutoShape 2858"/>
                        <wps:cNvCnPr>
                          <a:cxnSpLocks noChangeShapeType="1"/>
                        </wps:cNvCnPr>
                        <wps:spPr bwMode="auto">
                          <a:xfrm>
                            <a:off x="6067" y="567"/>
                            <a:ext cx="0" cy="15704"/>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80" name="AutoShape 2859"/>
                        <wps:cNvCnPr>
                          <a:cxnSpLocks noChangeShapeType="1"/>
                        </wps:cNvCnPr>
                        <wps:spPr bwMode="auto">
                          <a:xfrm>
                            <a:off x="6908"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81" name="AutoShape 2860"/>
                        <wps:cNvCnPr>
                          <a:cxnSpLocks noChangeShapeType="1"/>
                        </wps:cNvCnPr>
                        <wps:spPr bwMode="auto">
                          <a:xfrm>
                            <a:off x="7749"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82" name="AutoShape 2861"/>
                        <wps:cNvCnPr>
                          <a:cxnSpLocks noChangeShapeType="1"/>
                        </wps:cNvCnPr>
                        <wps:spPr bwMode="auto">
                          <a:xfrm>
                            <a:off x="8590" y="567"/>
                            <a:ext cx="0" cy="15704"/>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83" name="AutoShape 2862"/>
                        <wps:cNvCnPr>
                          <a:cxnSpLocks noChangeShapeType="1"/>
                        </wps:cNvCnPr>
                        <wps:spPr bwMode="auto">
                          <a:xfrm>
                            <a:off x="9431"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84" name="AutoShape 2863"/>
                        <wps:cNvCnPr>
                          <a:cxnSpLocks noChangeShapeType="1"/>
                        </wps:cNvCnPr>
                        <wps:spPr bwMode="auto">
                          <a:xfrm>
                            <a:off x="10272"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g:grpSp>
                    <wps:wsp>
                      <wps:cNvPr id="85" name="AutoShape 2864"/>
                      <wps:cNvCnPr>
                        <a:cxnSpLocks noChangeShapeType="1"/>
                      </wps:cNvCnPr>
                      <wps:spPr bwMode="auto">
                        <a:xfrm>
                          <a:off x="0" y="0"/>
                          <a:ext cx="0" cy="16838"/>
                        </a:xfrm>
                        <a:prstGeom prst="straightConnector1">
                          <a:avLst/>
                        </a:prstGeom>
                        <a:noFill/>
                        <a:ln w="9525">
                          <a:solidFill>
                            <a:srgbClr val="FF66FF"/>
                          </a:solidFill>
                          <a:round/>
                          <a:headEnd/>
                          <a:tailEnd/>
                        </a:ln>
                        <a:extLst>
                          <a:ext uri="{909E8E84-426E-40DD-AFC4-6F175D3DCCD1}">
                            <a14:hiddenFill xmlns:a14="http://schemas.microsoft.com/office/drawing/2010/main">
                              <a:noFill/>
                            </a14:hiddenFill>
                          </a:ext>
                        </a:extLst>
                      </wps:spPr>
                      <wps:bodyPr/>
                    </wps:wsp>
                    <wps:wsp>
                      <wps:cNvPr id="86" name="AutoShape 2865"/>
                      <wps:cNvCnPr>
                        <a:cxnSpLocks noChangeShapeType="1"/>
                      </wps:cNvCnPr>
                      <wps:spPr bwMode="auto">
                        <a:xfrm>
                          <a:off x="794" y="0"/>
                          <a:ext cx="0" cy="16838"/>
                        </a:xfrm>
                        <a:prstGeom prst="straightConnector1">
                          <a:avLst/>
                        </a:prstGeom>
                        <a:noFill/>
                        <a:ln w="9525">
                          <a:solidFill>
                            <a:srgbClr val="FF66FF"/>
                          </a:solidFill>
                          <a:round/>
                          <a:headEnd/>
                          <a:tailEnd/>
                        </a:ln>
                        <a:extLst>
                          <a:ext uri="{909E8E84-426E-40DD-AFC4-6F175D3DCCD1}">
                            <a14:hiddenFill xmlns:a14="http://schemas.microsoft.com/office/drawing/2010/main">
                              <a:noFill/>
                            </a14:hiddenFill>
                          </a:ext>
                        </a:extLst>
                      </wps:spPr>
                      <wps:bodyPr/>
                    </wps:wsp>
                    <wpg:grpSp>
                      <wpg:cNvPr id="87" name="Group 2866"/>
                      <wpg:cNvGrpSpPr>
                        <a:grpSpLocks/>
                      </wpg:cNvGrpSpPr>
                      <wpg:grpSpPr bwMode="auto">
                        <a:xfrm>
                          <a:off x="1021" y="567"/>
                          <a:ext cx="9865" cy="15706"/>
                          <a:chOff x="907" y="567"/>
                          <a:chExt cx="9865" cy="15706"/>
                        </a:xfrm>
                      </wpg:grpSpPr>
                      <wps:wsp>
                        <wps:cNvPr id="88" name="AutoShape 2867"/>
                        <wps:cNvCnPr>
                          <a:cxnSpLocks noChangeShapeType="1"/>
                        </wps:cNvCnPr>
                        <wps:spPr bwMode="auto">
                          <a:xfrm>
                            <a:off x="907" y="16273"/>
                            <a:ext cx="9865" cy="0"/>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89" name="AutoShape 2868"/>
                        <wps:cNvCnPr>
                          <a:cxnSpLocks noChangeShapeType="1"/>
                        </wps:cNvCnPr>
                        <wps:spPr bwMode="auto">
                          <a:xfrm>
                            <a:off x="907" y="14527"/>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90" name="AutoShape 2869"/>
                        <wps:cNvCnPr>
                          <a:cxnSpLocks noChangeShapeType="1"/>
                        </wps:cNvCnPr>
                        <wps:spPr bwMode="auto">
                          <a:xfrm>
                            <a:off x="907" y="567"/>
                            <a:ext cx="9865" cy="0"/>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91" name="AutoShape 2870"/>
                        <wps:cNvCnPr>
                          <a:cxnSpLocks noChangeShapeType="1"/>
                        </wps:cNvCnPr>
                        <wps:spPr bwMode="auto">
                          <a:xfrm>
                            <a:off x="907" y="1439"/>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92" name="AutoShape 2871"/>
                        <wps:cNvCnPr>
                          <a:cxnSpLocks noChangeShapeType="1"/>
                        </wps:cNvCnPr>
                        <wps:spPr bwMode="auto">
                          <a:xfrm>
                            <a:off x="907" y="2312"/>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93" name="AutoShape 2872"/>
                        <wps:cNvCnPr>
                          <a:cxnSpLocks noChangeShapeType="1"/>
                        </wps:cNvCnPr>
                        <wps:spPr bwMode="auto">
                          <a:xfrm>
                            <a:off x="907" y="3184"/>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94" name="AutoShape 2873"/>
                        <wps:cNvCnPr>
                          <a:cxnSpLocks noChangeShapeType="1"/>
                        </wps:cNvCnPr>
                        <wps:spPr bwMode="auto">
                          <a:xfrm>
                            <a:off x="907" y="4057"/>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95" name="AutoShape 2874"/>
                        <wps:cNvCnPr>
                          <a:cxnSpLocks noChangeShapeType="1"/>
                        </wps:cNvCnPr>
                        <wps:spPr bwMode="auto">
                          <a:xfrm>
                            <a:off x="907" y="4929"/>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96" name="AutoShape 2875"/>
                        <wps:cNvCnPr>
                          <a:cxnSpLocks noChangeShapeType="1"/>
                        </wps:cNvCnPr>
                        <wps:spPr bwMode="auto">
                          <a:xfrm>
                            <a:off x="907" y="5802"/>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97" name="AutoShape 2876"/>
                        <wps:cNvCnPr>
                          <a:cxnSpLocks noChangeShapeType="1"/>
                        </wps:cNvCnPr>
                        <wps:spPr bwMode="auto">
                          <a:xfrm>
                            <a:off x="907" y="6674"/>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98" name="AutoShape 2877"/>
                        <wps:cNvCnPr>
                          <a:cxnSpLocks noChangeShapeType="1"/>
                        </wps:cNvCnPr>
                        <wps:spPr bwMode="auto">
                          <a:xfrm>
                            <a:off x="907" y="7547"/>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99" name="AutoShape 2878"/>
                        <wps:cNvCnPr>
                          <a:cxnSpLocks noChangeShapeType="1"/>
                        </wps:cNvCnPr>
                        <wps:spPr bwMode="auto">
                          <a:xfrm>
                            <a:off x="907" y="8420"/>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100" name="AutoShape 2879"/>
                        <wps:cNvCnPr>
                          <a:cxnSpLocks noChangeShapeType="1"/>
                        </wps:cNvCnPr>
                        <wps:spPr bwMode="auto">
                          <a:xfrm>
                            <a:off x="907" y="9292"/>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101" name="AutoShape 2880"/>
                        <wps:cNvCnPr>
                          <a:cxnSpLocks noChangeShapeType="1"/>
                        </wps:cNvCnPr>
                        <wps:spPr bwMode="auto">
                          <a:xfrm>
                            <a:off x="907" y="10165"/>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102" name="AutoShape 2881"/>
                        <wps:cNvCnPr>
                          <a:cxnSpLocks noChangeShapeType="1"/>
                        </wps:cNvCnPr>
                        <wps:spPr bwMode="auto">
                          <a:xfrm>
                            <a:off x="907" y="11037"/>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103" name="AutoShape 2882"/>
                        <wps:cNvCnPr>
                          <a:cxnSpLocks noChangeShapeType="1"/>
                        </wps:cNvCnPr>
                        <wps:spPr bwMode="auto">
                          <a:xfrm>
                            <a:off x="907" y="11910"/>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104" name="AutoShape 2883"/>
                        <wps:cNvCnPr>
                          <a:cxnSpLocks noChangeShapeType="1"/>
                        </wps:cNvCnPr>
                        <wps:spPr bwMode="auto">
                          <a:xfrm>
                            <a:off x="907" y="12782"/>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105" name="AutoShape 2884"/>
                        <wps:cNvCnPr>
                          <a:cxnSpLocks noChangeShapeType="1"/>
                        </wps:cNvCnPr>
                        <wps:spPr bwMode="auto">
                          <a:xfrm>
                            <a:off x="907" y="13655"/>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106" name="AutoShape 2885"/>
                        <wps:cNvCnPr>
                          <a:cxnSpLocks noChangeShapeType="1"/>
                        </wps:cNvCnPr>
                        <wps:spPr bwMode="auto">
                          <a:xfrm>
                            <a:off x="907" y="15400"/>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g:grpSp>
                    <wpg:grpSp>
                      <wpg:cNvPr id="107" name="Group 2886"/>
                      <wpg:cNvGrpSpPr>
                        <a:grpSpLocks/>
                      </wpg:cNvGrpSpPr>
                      <wpg:grpSpPr bwMode="auto">
                        <a:xfrm>
                          <a:off x="1633" y="567"/>
                          <a:ext cx="9251" cy="15704"/>
                          <a:chOff x="1635" y="567"/>
                          <a:chExt cx="9251" cy="15704"/>
                        </a:xfrm>
                      </wpg:grpSpPr>
                      <wps:wsp>
                        <wps:cNvPr id="108" name="AutoShape 2887"/>
                        <wps:cNvCnPr>
                          <a:cxnSpLocks noChangeShapeType="1"/>
                        </wps:cNvCnPr>
                        <wps:spPr bwMode="auto">
                          <a:xfrm>
                            <a:off x="1635"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109" name="AutoShape 2888"/>
                        <wps:cNvCnPr>
                          <a:cxnSpLocks noChangeShapeType="1"/>
                        </wps:cNvCnPr>
                        <wps:spPr bwMode="auto">
                          <a:xfrm>
                            <a:off x="2476"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110" name="AutoShape 2889"/>
                        <wps:cNvCnPr>
                          <a:cxnSpLocks noChangeShapeType="1"/>
                        </wps:cNvCnPr>
                        <wps:spPr bwMode="auto">
                          <a:xfrm>
                            <a:off x="3317" y="567"/>
                            <a:ext cx="0" cy="15704"/>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111" name="AutoShape 2890"/>
                        <wps:cNvCnPr>
                          <a:cxnSpLocks noChangeShapeType="1"/>
                        </wps:cNvCnPr>
                        <wps:spPr bwMode="auto">
                          <a:xfrm>
                            <a:off x="4158"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112" name="AutoShape 2891"/>
                        <wps:cNvCnPr>
                          <a:cxnSpLocks noChangeShapeType="1"/>
                        </wps:cNvCnPr>
                        <wps:spPr bwMode="auto">
                          <a:xfrm>
                            <a:off x="4999"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113" name="AutoShape 2892"/>
                        <wps:cNvCnPr>
                          <a:cxnSpLocks noChangeShapeType="1"/>
                        </wps:cNvCnPr>
                        <wps:spPr bwMode="auto">
                          <a:xfrm>
                            <a:off x="5840" y="567"/>
                            <a:ext cx="0" cy="15704"/>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114" name="AutoShape 2893"/>
                        <wps:cNvCnPr>
                          <a:cxnSpLocks noChangeShapeType="1"/>
                        </wps:cNvCnPr>
                        <wps:spPr bwMode="auto">
                          <a:xfrm>
                            <a:off x="6681"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115" name="AutoShape 2894"/>
                        <wps:cNvCnPr>
                          <a:cxnSpLocks noChangeShapeType="1"/>
                        </wps:cNvCnPr>
                        <wps:spPr bwMode="auto">
                          <a:xfrm>
                            <a:off x="7522"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116" name="AutoShape 2895"/>
                        <wps:cNvCnPr>
                          <a:cxnSpLocks noChangeShapeType="1"/>
                        </wps:cNvCnPr>
                        <wps:spPr bwMode="auto">
                          <a:xfrm>
                            <a:off x="8363" y="567"/>
                            <a:ext cx="0" cy="15704"/>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117" name="AutoShape 2896"/>
                        <wps:cNvCnPr>
                          <a:cxnSpLocks noChangeShapeType="1"/>
                        </wps:cNvCnPr>
                        <wps:spPr bwMode="auto">
                          <a:xfrm>
                            <a:off x="9204"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118" name="AutoShape 2897"/>
                        <wps:cNvCnPr>
                          <a:cxnSpLocks noChangeShapeType="1"/>
                        </wps:cNvCnPr>
                        <wps:spPr bwMode="auto">
                          <a:xfrm>
                            <a:off x="10045"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119" name="AutoShape 2898"/>
                        <wps:cNvCnPr>
                          <a:cxnSpLocks noChangeShapeType="1"/>
                        </wps:cNvCnPr>
                        <wps:spPr bwMode="auto">
                          <a:xfrm>
                            <a:off x="10886" y="567"/>
                            <a:ext cx="0" cy="15704"/>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EvenGrid" o:spid="_x0000_s1026" alt="Grid" style="position:absolute;margin-left:0;margin-top:0;width:544.3pt;height:841.9pt;z-index:252241920;mso-position-horizontal-relative:page;mso-position-vertical-relative:page" coordsize="1088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">
              <v:group id="Group 2851" o:spid="_x0000_s1027" style="position:absolute;left:1021;top:567;width:9251;height:15704" coordorigin="1021,567" coordsize="9251,157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type id="_x0000_t32" coordsize="21600,21600" o:spt="32" o:oned="t" path="m,l21600,21600e" filled="f">
                  <v:path arrowok="t" fillok="f" o:connecttype="none"/>
                  <o:lock v:ext="edit" shapetype="t"/>
                </v:shapetype>
                <v:shape id="AutoShape 2852" o:spid="_x0000_s1028" type="#_x0000_t32" style="position:absolute;left:1021;top:567;width:0;height:157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CW8MAAADbAAAADwAAAGRycy9kb3ducmV2LnhtbESPT2vCQBTE74LfYXkFL1I3KmhJXcW/&#10;4Klq2t4f2Wc2NPs2ZNeYfvtuQfA4zMxvmMWqs5VoqfGlYwXjUQKCOHe65ELB1+fh9Q2ED8gaK8ek&#10;4Jc8rJb93gJT7e58oTYLhYgQ9ikqMCHUqZQ+N2TRj1xNHL2rayyGKJtC6gbvEW4rOUmSmbRYclww&#10;WNPWUP6T3ayCc2vNOXzvb5OP42aY0O40y66tUoOXbv0OIlAXnuFH+6gVzKfw/yX+AL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wlvDAAAA2wAAAA8AAAAAAAAAAAAA&#10;AAAAoQIAAGRycy9kb3ducmV2LnhtbFBLBQYAAAAABAAEAPkAAACRAwAAAAA=&#10;" strokecolor="#002060"/>
                <v:shape id="AutoShape 2853" o:spid="_x0000_s1029" type="#_x0000_t32" style="position:absolute;left:1862;top:567;width:0;height:157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9T98UAAADbAAAADwAAAGRycy9kb3ducmV2LnhtbESPQWvCQBSE74L/YXlCb3UTKa2kriKi&#10;UNpLjZG2t0f2mQSzb8PuVmN/fVcQPA4z8w0zW/SmFSdyvrGsIB0nIIhLqxuuFBS7zeMUhA/IGlvL&#10;pOBCHhbz4WCGmbZn3tIpD5WIEPYZKqhD6DIpfVmTQT+2HXH0DtYZDFG6SmqH5wg3rZwkybM02HBc&#10;qLGjVU3lMf81Cj7ovUgvX3b9893+5Z+H1Qb3LlXqYdQvX0EE6sM9fGu/aQUvT3D9En+An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49T98UAAADbAAAADwAAAAAAAAAA&#10;AAAAAAChAgAAZHJzL2Rvd25yZXYueG1sUEsFBgAAAAAEAAQA+QAAAJMDAAAAAA==&#10;" strokecolor="#00b0f0"/>
                <v:shape id="AutoShape 2854" o:spid="_x0000_s1030" type="#_x0000_t32" style="position:absolute;left:2703;top:567;width:0;height:157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P2bMUAAADbAAAADwAAAGRycy9kb3ducmV2LnhtbESPQWvCQBSE74L/YXlCb3UToa2kriKi&#10;UNpLjZG2t0f2mQSzb8PuVmN/fVcQPA4z8w0zW/SmFSdyvrGsIB0nIIhLqxuuFBS7zeMUhA/IGlvL&#10;pOBCHhbz4WCGmbZn3tIpD5WIEPYZKqhD6DIpfVmTQT+2HXH0DtYZDFG6SmqH5wg3rZwkybM02HBc&#10;qLGjVU3lMf81Cj7ovUgvX3b9893+5Z+H1Qb3LlXqYdQvX0EE6sM9fGu/aQUvT3D9En+An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MP2bMUAAADbAAAADwAAAAAAAAAA&#10;AAAAAAChAgAAZHJzL2Rvd25yZXYueG1sUEsFBgAAAAAEAAQA+QAAAJMDAAAAAA==&#10;" strokecolor="#00b0f0"/>
                <v:shape id="AutoShape 2855" o:spid="_x0000_s1031" type="#_x0000_t32" style="position:absolute;left:3544;top:567;width:0;height:157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hhw8MAAADbAAAADwAAAGRycy9kb3ducmV2LnhtbESPQWvCQBSE70L/w/IKvYhu6iGV6Cpq&#10;K3iyNur9kX1mg9m3IbvG+O/dQqHHYWa+YebL3taio9ZXjhW8jxMQxIXTFZcKTsftaArCB2SNtWNS&#10;8CAPy8XLYI6Zdnf+oS4PpYgQ9hkqMCE0mZS+MGTRj11DHL2Lay2GKNtS6hbvEW5rOUmSVFqsOC4Y&#10;bGhjqLjmN6vg0FlzCOev22S/Ww8T+vxO80un1Ntrv5qBCNSH//Bfe6cVfKTw+yX+ALl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4YcPDAAAA2wAAAA8AAAAAAAAAAAAA&#10;AAAAoQIAAGRycy9kb3ducmV2LnhtbFBLBQYAAAAABAAEAPkAAACRAwAAAAA=&#10;" strokecolor="#002060"/>
                <v:shape id="AutoShape 2856" o:spid="_x0000_s1032" type="#_x0000_t32" style="position:absolute;left:4385;top:567;width:0;height:157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3NgMUAAADbAAAADwAAAGRycy9kb3ducmV2LnhtbESPT2sCMRTE70K/Q3iF3jS7HqpsjUuR&#10;CmIv7Wppe3ts3v6hm5clibr66U1B8DjMzG+YRT6YThzJ+daygnSSgCAurW65VrDfrcdzED4ga+ws&#10;k4IzeciXD6MFZtqe+JOORahFhLDPUEETQp9J6cuGDPqJ7YmjV1lnMETpaqkdniLcdHKaJM/SYMtx&#10;ocGeVg2Vf8XBKHin7T49f9u335/uUnxUqzV+uVSpp8fh9QVEoCHcw7f2RiuYzeD/S/wB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13NgMUAAADbAAAADwAAAAAAAAAA&#10;AAAAAAChAgAAZHJzL2Rvd25yZXYueG1sUEsFBgAAAAAEAAQA+QAAAJMDAAAAAA==&#10;" strokecolor="#00b0f0"/>
                <v:shape id="AutoShape 2857" o:spid="_x0000_s1033" type="#_x0000_t32" style="position:absolute;left:5226;top:567;width:0;height:157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JZ8sEAAADbAAAADwAAAGRycy9kb3ducmV2LnhtbERPz2vCMBS+D/wfwhO8zbQedFSjiCiI&#10;u2ydot4ezbMtNi8liVr965fDYMeP7/ds0ZlG3Mn52rKCdJiAIC6srrlUsP/ZvH+A8AFZY2OZFDzJ&#10;w2Lee5thpu2Dv+meh1LEEPYZKqhCaDMpfVGRQT+0LXHkLtYZDBG6UmqHjxhuGjlKkrE0WHNsqLCl&#10;VUXFNb8ZBZ+026fPo12fT80r/7qsNnhwqVKDfrecggjUhX/xn3urFUzi2Pgl/gA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wlnywQAAANsAAAAPAAAAAAAAAAAAAAAA&#10;AKECAABkcnMvZG93bnJldi54bWxQSwUGAAAAAAQABAD5AAAAjwMAAAAA&#10;" strokecolor="#00b0f0"/>
                <v:shape id="AutoShape 2858" o:spid="_x0000_s1034" type="#_x0000_t32" style="position:absolute;left:6067;top:567;width:0;height:157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f1scQAAADbAAAADwAAAGRycy9kb3ducmV2LnhtbESPS2/CMBCE70j8B2srcUHFKQegKQZR&#10;HhInHml7X8VLHDVeR7EJ4d/XlZA4jmbmG8182dlKtNT40rGCt1ECgjh3uuRCwffX7nUGwgdkjZVj&#10;UnAnD8tFvzfHVLsbn6nNQiEihH2KCkwIdSqlzw1Z9CNXE0fv4hqLIcqmkLrBW4TbSo6TZCItlhwX&#10;DNa0NpT/Zler4NRacwo/2+v4sP8cJrQ5TrJLq9TgpVt9gAjUhWf40d5rBdN3+P8Sf4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J/WxxAAAANsAAAAPAAAAAAAAAAAA&#10;AAAAAKECAABkcnMvZG93bnJldi54bWxQSwUGAAAAAAQABAD5AAAAkgMAAAAA&#10;" strokecolor="#002060"/>
                <v:shape id="AutoShape 2859" o:spid="_x0000_s1035" type="#_x0000_t32" style="position:absolute;left:6908;top:567;width:0;height:157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El08EAAADbAAAADwAAAGRycy9kb3ducmV2LnhtbERPTYvCMBC9C/sfwix407R7WKQaRURh&#10;cS9uVdTb0IxtsZmUJGrdX28OgsfH+57MOtOIGzlfW1aQDhMQxIXVNZcKdtvVYATCB2SNjWVS8CAP&#10;s+lHb4KZtnf+o1seShFD2GeooAqhzaT0RUUG/dC2xJE7W2cwROhKqR3eY7hp5FeSfEuDNceGClta&#10;VFRc8qtR8EvrXfo42OXp2Pznm/NihXuXKtX/7OZjEIG68Ba/3D9awSiuj1/iD5DT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YSXTwQAAANsAAAAPAAAAAAAAAAAAAAAA&#10;AKECAABkcnMvZG93bnJldi54bWxQSwUGAAAAAAQABAD5AAAAjwMAAAAA&#10;" strokecolor="#00b0f0"/>
                <v:shape id="AutoShape 2860" o:spid="_x0000_s1036" type="#_x0000_t32" style="position:absolute;left:7749;top:567;width:0;height:157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2ASMQAAADbAAAADwAAAGRycy9kb3ducmV2LnhtbESPQWvCQBSE74L/YXmCN7NJDyLRVYoo&#10;lHqxqaK9PbLPJJh9G3a3Gvvru4WCx2FmvmEWq9604kbON5YVZEkKgri0uuFKweFzO5mB8AFZY2uZ&#10;FDzIw2o5HCww1/bOH3QrQiUihH2OCuoQulxKX9Zk0Ce2I47exTqDIUpXSe3wHuGmlS9pOpUGG44L&#10;NXa0rqm8Ft9GwY7eD9njZDdf5/an2F/WWzy6TKnxqH+dgwjUh2f4v/2mFcwy+PsSf4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LYBIxAAAANsAAAAPAAAAAAAAAAAA&#10;AAAAAKECAABkcnMvZG93bnJldi54bWxQSwUGAAAAAAQABAD5AAAAkgMAAAAA&#10;" strokecolor="#00b0f0"/>
                <v:shape id="AutoShape 2861" o:spid="_x0000_s1037" type="#_x0000_t32" style="position:absolute;left:8590;top:567;width:0;height:157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YX58MAAADbAAAADwAAAGRycy9kb3ducmV2LnhtbESPQWvCQBSE7wX/w/IEL6VumoNIdBOq&#10;VfDU2tTeH9lnNjT7NmTXGP99tyB4HGbmG2ZdjLYVA/W+cazgdZ6AIK6cbrhWcPrevyxB+ICssXVM&#10;Cm7kocgnT2vMtLvyFw1lqEWEsM9QgQmhy6T0lSGLfu464uidXW8xRNnXUvd4jXDbyjRJFtJiw3HB&#10;YEdbQ9VvebEKjoM1x/Czu6Qfh81zQu+fi/I8KDWbjm8rEIHG8Ajf2wetYJnC/5f4A2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WF+fDAAAA2wAAAA8AAAAAAAAAAAAA&#10;AAAAoQIAAGRycy9kb3ducmV2LnhtbFBLBQYAAAAABAAEAPkAAACRAwAAAAA=&#10;" strokecolor="#002060"/>
                <v:shape id="AutoShape 2862" o:spid="_x0000_s1038" type="#_x0000_t32" style="position:absolute;left:9431;top:567;width:0;height:157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O7pMQAAADbAAAADwAAAGRycy9kb3ducmV2LnhtbESPQWvCQBSE70L/w/IK3nQTBZHUVYpU&#10;EL3YaGl7e2SfSWj2bdhdNfrru4LgcZiZb5jZojONOJPztWUF6TABQVxYXXOp4LBfDaYgfEDW2Fgm&#10;BVfysJi/9GaYaXvhTzrnoRQRwj5DBVUIbSalLyoy6Ie2JY7e0TqDIUpXSu3wEuGmkaMkmUiDNceF&#10;CltaVlT85SejYEubQ3r9th+/P80t3x2XK/xyqVL91+79DUSgLjzDj/ZaK5iO4f4l/gA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s7ukxAAAANsAAAAPAAAAAAAAAAAA&#10;AAAAAKECAABkcnMvZG93bnJldi54bWxQSwUGAAAAAAQABAD5AAAAkgMAAAAA&#10;" strokecolor="#00b0f0"/>
                <v:shape id="AutoShape 2863" o:spid="_x0000_s1039" type="#_x0000_t32" style="position:absolute;left:10272;top:567;width:0;height:157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oj0MQAAADbAAAADwAAAGRycy9kb3ducmV2LnhtbESPQWvCQBSE70L/w/IK3nQTEZHUVYpU&#10;EL3YaGl7e2SfSWj2bdhdNfrru4LgcZiZb5jZojONOJPztWUF6TABQVxYXXOp4LBfDaYgfEDW2Fgm&#10;BVfysJi/9GaYaXvhTzrnoRQRwj5DBVUIbSalLyoy6Ie2JY7e0TqDIUpXSu3wEuGmkaMkmUiDNceF&#10;CltaVlT85SejYEubQ3r9th+/P80t3x2XK/xyqVL91+79DUSgLjzDj/ZaK5iO4f4l/gA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WiPQxAAAANsAAAAPAAAAAAAAAAAA&#10;AAAAAKECAABkcnMvZG93bnJldi54bWxQSwUGAAAAAAQABAD5AAAAkgMAAAAA&#10;" strokecolor="#00b0f0"/>
              </v:group>
              <v:shape id="AutoShape 2864" o:spid="_x0000_s1040" type="#_x0000_t32" style="position:absolute;width:0;height:168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i1SsUAAADbAAAADwAAAGRycy9kb3ducmV2LnhtbESPQWvCQBSE70L/w/IK3nRTQYkxG2kr&#10;RS8VqoJ4e2SfSTD7NmS3Seyv7xaEHoeZ+YZJ14OpRUetqywreJlGIIhzqysuFJyOH5MYhPPIGmvL&#10;pOBODtbZ0yjFRNuev6g7+EIECLsEFZTeN4mULi/JoJvahjh4V9sa9EG2hdQt9gFuajmLooU0WHFY&#10;KLGh95Ly2+HbKJjHn0N//Nks6/Nbt9z7ZqsvW1Zq/Dy8rkB4Gvx/+NHeaQXxHP6+hB8g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i1SsUAAADbAAAADwAAAAAAAAAA&#10;AAAAAAChAgAAZHJzL2Rvd25yZXYueG1sUEsFBgAAAAAEAAQA+QAAAJMDAAAAAA==&#10;" strokecolor="#f6f"/>
              <v:shape id="AutoShape 2865" o:spid="_x0000_s1041" type="#_x0000_t32" style="position:absolute;left:794;width:0;height:168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orPcUAAADbAAAADwAAAGRycy9kb3ducmV2LnhtbESPT2vCQBTE7wW/w/IEb3XTghJjNtI/&#10;FL200CiIt0f2mQSzb0N2m0Q/vVso9DjMzG+YdDOaRvTUudqygqd5BIK4sLrmUsFh//EYg3AeWWNj&#10;mRRcycEmmzykmGg78Df1uS9FgLBLUEHlfZtI6YqKDLq5bYmDd7adQR9kV0rd4RDgppHPUbSUBmsO&#10;CxW29FZRccl/jIJF/DkO+9v7qjm+9qsv3271actKzabjyxqEp9H/h//aO60gXsLvl/ADZH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orPcUAAADbAAAADwAAAAAAAAAA&#10;AAAAAAChAgAAZHJzL2Rvd25yZXYueG1sUEsFBgAAAAAEAAQA+QAAAJMDAAAAAA==&#10;" strokecolor="#f6f"/>
              <v:group id="Group 2866" o:spid="_x0000_s1042" style="position:absolute;left:1021;top:567;width:9865;height:15706" coordorigin="907,567" coordsize="9865,15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AutoShape 2867" o:spid="_x0000_s1043" type="#_x0000_t32" style="position:absolute;left:907;top:16273;width:98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4gDcEAAADbAAAADwAAAGRycy9kb3ducmV2LnhtbERPz2vCMBS+D/Y/hDfwMtZUD0U6o+im&#10;0NOm1d0fzWtT1ryUJtb635vDYMeP7/dqM9lOjDT41rGCeZKCIK6cbrlRcDkf3pYgfEDW2DkmBXfy&#10;sFk/P60w1+7GJxrL0IgYwj5HBSaEPpfSV4Ys+sT1xJGr3WAxRDg0Ug94i+G2k4s0zaTFlmODwZ4+&#10;DFW/5dUqOI7WHMPP/rr4KnavKX1+Z2U9KjV7mbbvIAJN4V/85y60gmUcG7/EHyD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viANwQAAANsAAAAPAAAAAAAAAAAAAAAA&#10;AKECAABkcnMvZG93bnJldi54bWxQSwUGAAAAAAQABAD5AAAAjwMAAAAA&#10;" strokecolor="#002060"/>
                <v:shape id="AutoShape 2868" o:spid="_x0000_s1044" type="#_x0000_t32" style="position:absolute;left:907;top:14527;width:98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uMTsUAAADbAAAADwAAAGRycy9kb3ducmV2LnhtbESPT2sCMRTE70K/Q3iF3jS7HopujUuR&#10;CmIv7Wppe3ts3v6hm5clibr66U1B8DjMzG+YRT6YThzJ+daygnSSgCAurW65VrDfrcczED4ga+ws&#10;k4IzeciXD6MFZtqe+JOORahFhLDPUEETQp9J6cuGDPqJ7YmjV1lnMETpaqkdniLcdHKaJM/SYMtx&#10;ocGeVg2Vf8XBKHin7T49f9u335/uUnxUqzV+uVSpp8fh9QVEoCHcw7f2RiuYzeH/S/wB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uMTsUAAADbAAAADwAAAAAAAAAA&#10;AAAAAAChAgAAZHJzL2Rvd25yZXYueG1sUEsFBgAAAAAEAAQA+QAAAJMDAAAAAA==&#10;" strokecolor="#00b0f0"/>
                <v:shape id="AutoShape 2869" o:spid="_x0000_s1045" type="#_x0000_t32" style="position:absolute;left:907;top:567;width:98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G61sEAAADbAAAADwAAAGRycy9kb3ducmV2LnhtbERPu27CMBTdK/EP1kXqUhWnGVAJGFRo&#10;kTK1EMp+FV/iqPF1FDsP/r4eKnU8Ou/NbrKNGKjztWMFL4sEBHHpdM2Vgu/L8fkVhA/IGhvHpOBO&#10;Hnbb2cMGM+1GPtNQhErEEPYZKjAhtJmUvjRk0S9cSxy5m+sshgi7SuoOxxhuG5kmyVJarDk2GGzp&#10;YKj8KXqr4DRYcwrXjz79zPdPCb1/LYvboNTjfHpbgwg0hX/xnzvXClZxffwSf4D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EbrWwQAAANsAAAAPAAAAAAAAAAAAAAAA&#10;AKECAABkcnMvZG93bnJldi54bWxQSwUGAAAAAAQABAD5AAAAjwMAAAAA&#10;" strokecolor="#002060"/>
                <v:shape id="AutoShape 2870" o:spid="_x0000_s1046" type="#_x0000_t32" style="position:absolute;left:907;top:1439;width:98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WlcUAAADbAAAADwAAAGRycy9kb3ducmV2LnhtbESPT2sCMRTE70K/Q3gFb5rdHopujYtI&#10;hVIvdmup3h6bt39w87Ikqa799E1B8DjMzG+YRT6YTpzJ+daygnSagCAurW65VrD/3ExmIHxA1thZ&#10;JgVX8pAvH0YLzLS98Aedi1CLCGGfoYImhD6T0pcNGfRT2xNHr7LOYIjS1VI7vES46eRTkjxLgy3H&#10;hQZ7WjdUnoofo2BL7/v0+m1fj4fut9hV6w1+uVSp8eOwegERaAj38K39phXMU/j/En+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WlcUAAADbAAAADwAAAAAAAAAA&#10;AAAAAAChAgAAZHJzL2Rvd25yZXYueG1sUEsFBgAAAAAEAAQA+QAAAJMDAAAAAA==&#10;" strokecolor="#00b0f0"/>
                <v:shape id="AutoShape 2871" o:spid="_x0000_s1047" type="#_x0000_t32" style="position:absolute;left:907;top:2312;width:98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aI4sQAAADbAAAADwAAAGRycy9kb3ducmV2LnhtbESPQWvCQBSE74L/YXmCN93Eg2jqKkUU&#10;il5sqtjeHtlnEsy+Dbtbjf313YLQ4zAz3zCLVWcacSPna8sK0nECgriwuuZSwfFjO5qB8AFZY2OZ&#10;FDzIw2rZ7y0w0/bO73TLQykihH2GCqoQ2kxKX1Rk0I9tSxy9i3UGQ5SulNrhPcJNIydJMpUGa44L&#10;Fba0rqi45t9GwZ52x/Rxtpuvz+YnP1zWWzy5VKnhoHt9ARGoC//hZ/tNK5hP4O9L/AF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JojixAAAANsAAAAPAAAAAAAAAAAA&#10;AAAAAKECAABkcnMvZG93bnJldi54bWxQSwUGAAAAAAQABAD5AAAAkgMAAAAA&#10;" strokecolor="#00b0f0"/>
                <v:shape id="AutoShape 2872" o:spid="_x0000_s1048" type="#_x0000_t32" style="position:absolute;left:907;top:3184;width:98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otecUAAADbAAAADwAAAGRycy9kb3ducmV2LnhtbESPQWvCQBSE74L/YXlCb3UTC6WmriKi&#10;UNpLjZG2t0f2mQSzb8PuVmN/fVcQPA4z8w0zW/SmFSdyvrGsIB0nIIhLqxuuFBS7zeMLCB+QNbaW&#10;ScGFPCzmw8EMM23PvKVTHioRIewzVFCH0GVS+rImg35sO+LoHawzGKJ0ldQOzxFuWjlJkmdpsOG4&#10;UGNHq5rKY/5rFHzQe5Fevuz657v9yz8Pqw3uXarUw6hfvoII1Id7+NZ+0wqmT3D9En+An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otecUAAADbAAAADwAAAAAAAAAA&#10;AAAAAAChAgAAZHJzL2Rvd25yZXYueG1sUEsFBgAAAAAEAAQA+QAAAJMDAAAAAA==&#10;" strokecolor="#00b0f0"/>
                <v:shape id="AutoShape 2873" o:spid="_x0000_s1049" type="#_x0000_t32" style="position:absolute;left:907;top:4057;width:98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O1DcUAAADbAAAADwAAAGRycy9kb3ducmV2LnhtbESPQWvCQBSE74L/YXlCb3UTKaWmriKi&#10;UNpLjZG2t0f2mQSzb8PuVmN/fVcQPA4z8w0zW/SmFSdyvrGsIB0nIIhLqxuuFBS7zeMLCB+QNbaW&#10;ScGFPCzmw8EMM23PvKVTHioRIewzVFCH0GVS+rImg35sO+LoHawzGKJ0ldQOzxFuWjlJkmdpsOG4&#10;UGNHq5rKY/5rFHzQe5Fevuz657v9yz8Pqw3uXarUw6hfvoII1Id7+NZ+0wqmT3D9En+An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4O1DcUAAADbAAAADwAAAAAAAAAA&#10;AAAAAAChAgAAZHJzL2Rvd25yZXYueG1sUEsFBgAAAAAEAAQA+QAAAJMDAAAAAA==&#10;" strokecolor="#00b0f0"/>
                <v:shape id="AutoShape 2874" o:spid="_x0000_s1050" type="#_x0000_t32" style="position:absolute;left:907;top:4929;width:98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8QlsUAAADbAAAADwAAAGRycy9kb3ducmV2LnhtbESPQWvCQBSE74L/YXlCb3UToaWmriKi&#10;UNpLjZG2t0f2mQSzb8PuVmN/fVcQPA4z8w0zW/SmFSdyvrGsIB0nIIhLqxuuFBS7zeMLCB+QNbaW&#10;ScGFPCzmw8EMM23PvKVTHioRIewzVFCH0GVS+rImg35sO+LoHawzGKJ0ldQOzxFuWjlJkmdpsOG4&#10;UGNHq5rKY/5rFHzQe5Fevuz657v9yz8Pqw3uXarUw6hfvoII1Id7+NZ+0wqmT3D9En+An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8QlsUAAADbAAAADwAAAAAAAAAA&#10;AAAAAAChAgAAZHJzL2Rvd25yZXYueG1sUEsFBgAAAAAEAAQA+QAAAJMDAAAAAA==&#10;" strokecolor="#00b0f0"/>
                <v:shape id="AutoShape 2875" o:spid="_x0000_s1051" type="#_x0000_t32" style="position:absolute;left:907;top:5802;width:98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2O4cUAAADbAAAADwAAAGRycy9kb3ducmV2LnhtbESPT2sCMRTE7wW/Q3hCbzW7PUi7GhcR&#10;hdJe6lZRb4/N2z+4eVmSVNd++kYo9DjMzG+YeT6YTlzI+daygnSSgCAurW65VrD72jy9gPABWWNn&#10;mRTcyEO+GD3MMdP2ylu6FKEWEcI+QwVNCH0mpS8bMugntieOXmWdwRClq6V2eI1w08nnJJlKgy3H&#10;hQZ7WjVUnotvo+CD3nfp7WDXp2P3U3xWqw3uXarU43hYzkAEGsJ/+K/9phW8TuH+Jf4A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2O4cUAAADbAAAADwAAAAAAAAAA&#10;AAAAAAChAgAAZHJzL2Rvd25yZXYueG1sUEsFBgAAAAAEAAQA+QAAAJMDAAAAAA==&#10;" strokecolor="#00b0f0"/>
                <v:shape id="AutoShape 2876" o:spid="_x0000_s1052" type="#_x0000_t32" style="position:absolute;left:907;top:6674;width:98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EresUAAADbAAAADwAAAGRycy9kb3ducmV2LnhtbESPQWvCQBSE74L/YXlCb3UTD21NXUVE&#10;obSXGiNtb4/sMwlm34bdrcb++q4geBxm5htmtuhNK07kfGNZQTpOQBCXVjdcKSh2m8cXED4ga2wt&#10;k4ILeVjMh4MZZtqeeUunPFQiQthnqKAOocuk9GVNBv3YdsTRO1hnMETpKqkdniPctHKSJE/SYMNx&#10;ocaOVjWVx/zXKPig9yK9fNn1z3f7l38eVhvcu1Sph1G/fAURqA/38K39phVMn+H6Jf4AOf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1EresUAAADbAAAADwAAAAAAAAAA&#10;AAAAAAChAgAAZHJzL2Rvd25yZXYueG1sUEsFBgAAAAAEAAQA+QAAAJMDAAAAAA==&#10;" strokecolor="#00b0f0"/>
                <v:shape id="AutoShape 2877" o:spid="_x0000_s1053" type="#_x0000_t32" style="position:absolute;left:907;top:7547;width:98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6/CMEAAADbAAAADwAAAGRycy9kb3ducmV2LnhtbERPz2vCMBS+D/wfwhO8zbQexFWjiCiI&#10;u2ydot4ezbMtNi8liVr965fDYMeP7/ds0ZlG3Mn52rKCdJiAIC6srrlUsP/ZvE9A+ICssbFMCp7k&#10;YTHvvc0w0/bB33TPQyliCPsMFVQhtJmUvqjIoB/aljhyF+sMhghdKbXDRww3jRwlyVgarDk2VNjS&#10;qqLimt+Mgk/a7dPn0a7Pp+aVf11WGzy4VKlBv1tOQQTqwr/4z73VCj7i2Pgl/gA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zr8IwQAAANsAAAAPAAAAAAAAAAAAAAAA&#10;AKECAABkcnMvZG93bnJldi54bWxQSwUGAAAAAAQABAD5AAAAjwMAAAAA&#10;" strokecolor="#00b0f0"/>
                <v:shape id="AutoShape 2878" o:spid="_x0000_s1054" type="#_x0000_t32" style="position:absolute;left:907;top:8420;width:98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Iak8QAAADbAAAADwAAAGRycy9kb3ducmV2LnhtbESPQWvCQBSE70L/w/IK3nQTD6KpqxSp&#10;IHqx0dL29sg+k9Ds27C7avTXdwXB4zAz3zCzRWcacSbna8sK0mECgriwuuZSwWG/GkxA+ICssbFM&#10;Cq7kYTF/6c0w0/bCn3TOQykihH2GCqoQ2kxKX1Rk0A9tSxy9o3UGQ5SulNrhJcJNI0dJMpYGa44L&#10;Fba0rKj4y09GwZY2h/T6bT9+f5pbvjsuV/jlUqX6r937G4hAXXiGH+21VjCd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ghqTxAAAANsAAAAPAAAAAAAAAAAA&#10;AAAAAKECAABkcnMvZG93bnJldi54bWxQSwUGAAAAAAQABAD5AAAAkgMAAAAA&#10;" strokecolor="#00b0f0"/>
                <v:shape id="AutoShape 2879" o:spid="_x0000_s1055" type="#_x0000_t32" style="position:absolute;left:907;top:9292;width:98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rycYAAADcAAAADwAAAGRycy9kb3ducmV2LnhtbESPQWvCQBCF7wX/wzJCb3WTHkpJXUVE&#10;QerFpkrb25Adk2B2NuyuGv31nUOhtxnem/e+mc4H16kLhdh6NpBPMlDElbct1wb2n+unV1AxIVvs&#10;PJOBG0WYz0YPUyysv/IHXcpUKwnhWKCBJqW+0DpWDTmME98Ti3b0wWGSNdTaBrxKuOv0c5a9aIct&#10;S0ODPS0bqk7l2RnY0vs+v3351c93dy93x+UaDyE35nE8LN5AJRrSv/nvemMFPxN8eUYm0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8a8nGAAAA3AAAAA8AAAAAAAAA&#10;AAAAAAAAoQIAAGRycy9kb3ducmV2LnhtbFBLBQYAAAAABAAEAPkAAACUAwAAAAA=&#10;" strokecolor="#00b0f0"/>
                <v:shape id="AutoShape 2880" o:spid="_x0000_s1056" type="#_x0000_t32" style="position:absolute;left:907;top:10165;width:98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DOUsMAAADcAAAADwAAAGRycy9kb3ducmV2LnhtbERPS2sCMRC+F/wPYQreanZ7kLIaF5EK&#10;0l7s1qLehs3sAzeTJUl19dcbodDbfHzPmeeD6cSZnG8tK0gnCQji0uqWawW77/XLGwgfkDV2lknB&#10;lTzki9HTHDNtL/xF5yLUIoawz1BBE0KfSenLhgz6ie2JI1dZZzBE6GqpHV5iuOnka5JMpcGWY0OD&#10;Pa0aKk/Fr1HwSR+79Lq378dDdyu21WqNPy5Vavw8LGcgAg3hX/zn3ug4P0nh8Uy8QC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wzlLDAAAA3AAAAA8AAAAAAAAAAAAA&#10;AAAAoQIAAGRycy9kb3ducmV2LnhtbFBLBQYAAAAABAAEAPkAAACRAwAAAAA=&#10;" strokecolor="#00b0f0"/>
                <v:shape id="AutoShape 2881" o:spid="_x0000_s1057" type="#_x0000_t32" style="position:absolute;left:907;top:11037;width:98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JQJcMAAADcAAAADwAAAGRycy9kb3ducmV2LnhtbERPS2sCMRC+C/0PYQreNLsepGyNi0iF&#10;0l7salFvw2b2QTeTJUl19dc3BcHbfHzPWeSD6cSZnG8tK0inCQji0uqWawX73WbyAsIHZI2dZVJw&#10;JQ/58mm0wEzbC3/RuQi1iCHsM1TQhNBnUvqyIYN+anviyFXWGQwRulpqh5cYbjo5S5K5NNhybGiw&#10;p3VD5U/xaxR80sc+vR7s2+nY3Ypttd7gt0uVGj8Pq1cQgYbwEN/d7zrOT2bw/0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iUCXDAAAA3AAAAA8AAAAAAAAAAAAA&#10;AAAAoQIAAGRycy9kb3ducmV2LnhtbFBLBQYAAAAABAAEAPkAAACRAwAAAAA=&#10;" strokecolor="#00b0f0"/>
                <v:shape id="AutoShape 2882" o:spid="_x0000_s1058" type="#_x0000_t32" style="position:absolute;left:907;top:11910;width:98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71vsMAAADcAAAADwAAAGRycy9kb3ducmV2LnhtbERPS2sCMRC+C/0PYQreNLstiGyNi0iF&#10;Ui92a6nehs3sAzeTJUl17a9vCoK3+fies8gH04kzOd9aVpBOExDEpdUt1wr2n5vJHIQPyBo7y6Tg&#10;Sh7y5cNogZm2F/6gcxFqEUPYZ6igCaHPpPRlQwb91PbEkausMxgidLXUDi8x3HTyKUlm0mDLsaHB&#10;ntYNlafixyjY0vs+vX7b1+Oh+y121XqDXy5Vavw4rF5ABBrCXXxzv+k4P3mG/2fiB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8u9b7DAAAA3AAAAA8AAAAAAAAAAAAA&#10;AAAAoQIAAGRycy9kb3ducmV2LnhtbFBLBQYAAAAABAAEAPkAAACRAwAAAAA=&#10;" strokecolor="#00b0f0"/>
                <v:shape id="AutoShape 2883" o:spid="_x0000_s1059" type="#_x0000_t32" style="position:absolute;left:907;top:12782;width:98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dtysMAAADcAAAADwAAAGRycy9kb3ducmV2LnhtbERPS2sCMRC+C/0PYQreNLuliGyNi0iF&#10;Ui92a6nehs3sAzeTJUl17a9vCoK3+fies8gH04kzOd9aVpBOExDEpdUt1wr2n5vJHIQPyBo7y6Tg&#10;Sh7y5cNogZm2F/6gcxFqEUPYZ6igCaHPpPRlQwb91PbEkausMxgidLXUDi8x3HTyKUlm0mDLsaHB&#10;ntYNlafixyjY0vs+vX7b1+Oh+y121XqDXy5Vavw4rF5ABBrCXXxzv+k4P3mG/2fiB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HbcrDAAAA3AAAAA8AAAAAAAAAAAAA&#10;AAAAoQIAAGRycy9kb3ducmV2LnhtbFBLBQYAAAAABAAEAPkAAACRAwAAAAA=&#10;" strokecolor="#00b0f0"/>
                <v:shape id="AutoShape 2884" o:spid="_x0000_s1060" type="#_x0000_t32" style="position:absolute;left:907;top:13655;width:98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vIUcMAAADcAAAADwAAAGRycy9kb3ducmV2LnhtbERPS2sCMRC+C/0PYQreNLuFimyNi0iF&#10;Ui92a6nehs3sAzeTJUl17a9vCoK3+fies8gH04kzOd9aVpBOExDEpdUt1wr2n5vJHIQPyBo7y6Tg&#10;Sh7y5cNogZm2F/6gcxFqEUPYZ6igCaHPpPRlQwb91PbEkausMxgidLXUDi8x3HTyKUlm0mDLsaHB&#10;ntYNlafixyjY0vs+vX7b1+Oh+y121XqDXy5Vavw4rF5ABBrCXXxzv+k4P3mG/2fiB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yFHDAAAA3AAAAA8AAAAAAAAAAAAA&#10;AAAAoQIAAGRycy9kb3ducmV2LnhtbFBLBQYAAAAABAAEAPkAAACRAwAAAAA=&#10;" strokecolor="#00b0f0"/>
                <v:shape id="AutoShape 2885" o:spid="_x0000_s1061" type="#_x0000_t32" style="position:absolute;left:907;top:15400;width:98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lWJsIAAADcAAAADwAAAGRycy9kb3ducmV2LnhtbERPTYvCMBC9C/6HMII3TetBlmqURRRk&#10;vbhV2d3b0IxtsZmUJKvVX79ZELzN433OfNmZRlzJ+dqygnScgCAurK65VHA8bEZvIHxA1thYJgV3&#10;8rBc9HtzzLS98Sdd81CKGMI+QwVVCG0mpS8qMujHtiWO3Nk6gyFCV0rt8BbDTSMnSTKVBmuODRW2&#10;tKqouOS/RsGOPo7p/cuuf76bR74/rzZ4cqlSw0H3PgMRqAsv8dO91XF+MoX/Z+IF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1lWJsIAAADcAAAADwAAAAAAAAAAAAAA&#10;AAChAgAAZHJzL2Rvd25yZXYueG1sUEsFBgAAAAAEAAQA+QAAAJADAAAAAA==&#10;" strokecolor="#00b0f0"/>
              </v:group>
              <v:group id="Group 2886" o:spid="_x0000_s1062" style="position:absolute;left:1633;top:567;width:9251;height:15704" coordorigin="1635,567" coordsize="9251,157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AutoShape 2887" o:spid="_x0000_s1063" type="#_x0000_t32" style="position:absolute;left:1635;top:567;width:0;height:157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pnz8YAAADcAAAADwAAAGRycy9kb3ducmV2LnhtbESPQWvCQBCF7wX/wzJCb3WTHkpJXUVE&#10;QerFpkrb25Adk2B2NuyuGv31nUOhtxnem/e+mc4H16kLhdh6NpBPMlDElbct1wb2n+unV1AxIVvs&#10;PJOBG0WYz0YPUyysv/IHXcpUKwnhWKCBJqW+0DpWDTmME98Ti3b0wWGSNdTaBrxKuOv0c5a9aIct&#10;S0ODPS0bqk7l2RnY0vs+v3351c93dy93x+UaDyE35nE8LN5AJRrSv/nvemMFPxNaeUYm0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KZ8/GAAAA3AAAAA8AAAAAAAAA&#10;AAAAAAAAoQIAAGRycy9kb3ducmV2LnhtbFBLBQYAAAAABAAEAPkAAACUAwAAAAA=&#10;" strokecolor="#00b0f0"/>
                <v:shape id="AutoShape 2888" o:spid="_x0000_s1064" type="#_x0000_t32" style="position:absolute;left:2476;top:567;width:0;height:157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bCVMMAAADcAAAADwAAAGRycy9kb3ducmV2LnhtbERPS2sCMRC+C/0PYQreNLs9FN0aF5EK&#10;pV7s1lK9DZvZB24mS5Lq2l/fFARv8/E9Z5EPphNncr61rCCdJiCIS6tbrhXsPzeTGQgfkDV2lknB&#10;lTzky4fRAjNtL/xB5yLUIoawz1BBE0KfSenLhgz6qe2JI1dZZzBE6GqpHV5iuOnkU5I8S4Mtx4YG&#10;e1o3VJ6KH6NgS+/79PptX4+H7rfYVesNfrlUqfHjsHoBEWgId/HN/abj/GQO/8/EC+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7GwlTDAAAA3AAAAA8AAAAAAAAAAAAA&#10;AAAAoQIAAGRycy9kb3ducmV2LnhtbFBLBQYAAAAABAAEAPkAAACRAwAAAAA=&#10;" strokecolor="#00b0f0"/>
                <v:shape id="AutoShape 2889" o:spid="_x0000_s1065" type="#_x0000_t32" style="position:absolute;left:3317;top:567;width:0;height:157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slEcUAAADcAAAADwAAAGRycy9kb3ducmV2LnhtbESPT2/CMAzF75P4DpGRdpkghQOaCgHx&#10;Z5M4bdCNu9WYpqJxqiaU7tvPh0m72XrP7/282gy+UT11sQ5sYDbNQBGXwdZcGfj+ep+8gooJ2WIT&#10;mAz8UITNevS0wtyGB5+pL1KlJIRjjgZcSm2udSwdeYzT0BKLdg2dxyRrV2nb4UPCfaPnWbbQHmuW&#10;Boct7R2Vt+LuDZx6707p8naffxx3LxkdPhfFtTfmeTxsl6ASDenf/Hd9tII/E3x5Rib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slEcUAAADcAAAADwAAAAAAAAAA&#10;AAAAAAChAgAAZHJzL2Rvd25yZXYueG1sUEsFBgAAAAAEAAQA+QAAAJMDAAAAAA==&#10;" strokecolor="#002060"/>
                <v:shape id="AutoShape 2890" o:spid="_x0000_s1066" type="#_x0000_t32" style="position:absolute;left:4158;top:567;width:0;height:157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lYj8MAAADcAAAADwAAAGRycy9kb3ducmV2LnhtbERPTWsCMRC9F/wPYQq9dbPxUGRrFJEK&#10;Yi91tbS9DZtxd3EzWZJU1/56Iwi9zeN9znQ+2E6cyIfWsQaV5SCIK2darjXsd6vnCYgQkQ12jknD&#10;hQLMZ6OHKRbGnXlLpzLWIoVwKFBDE2NfSBmqhiyGzPXEiTs4bzEm6GtpPJ5TuO3kOM9fpMWWU0OD&#10;PS0bqo7lr9XwTpu9uny5t5/v7q/8OCxX+OmV1k+Pw+IVRKQh/ovv7rVJ85WC2zPpAjm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pWI/DAAAA3AAAAA8AAAAAAAAAAAAA&#10;AAAAoQIAAGRycy9kb3ducmV2LnhtbFBLBQYAAAAABAAEAPkAAACRAwAAAAA=&#10;" strokecolor="#00b0f0"/>
                <v:shape id="AutoShape 2891" o:spid="_x0000_s1067" type="#_x0000_t32" style="position:absolute;left:4999;top:567;width:0;height:157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vG+MMAAADcAAAADwAAAGRycy9kb3ducmV2LnhtbERPS2sCMRC+F/ofwhS81ex6kLI1LiIV&#10;Sr3YrUW9DZvZB91MliTq6q83QsHbfHzPmeWD6cSJnG8tK0jHCQji0uqWawXbn9XrGwgfkDV2lknB&#10;hTzk8+enGWbanvmbTkWoRQxhn6GCJoQ+k9KXDRn0Y9sTR66yzmCI0NVSOzzHcNPJSZJMpcGWY0OD&#10;PS0bKv+Ko1Gwpq9tetnZj8O+uxabarnCX5cqNXoZFu8gAg3hIf53f+o4P53A/Zl4gZ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7xvjDAAAA3AAAAA8AAAAAAAAAAAAA&#10;AAAAoQIAAGRycy9kb3ducmV2LnhtbFBLBQYAAAAABAAEAPkAAACRAwAAAAA=&#10;" strokecolor="#00b0f0"/>
                <v:shape id="AutoShape 2892" o:spid="_x0000_s1068" type="#_x0000_t32" style="position:absolute;left:5840;top:567;width:0;height:157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m7ZsIAAADcAAAADwAAAGRycy9kb3ducmV2LnhtbERPS2vCQBC+F/wPywi9FN1oQSRmFe0D&#10;PLUa9T5kJ9lgdjZk15j++26h4G0+vudkm8E2oqfO144VzKYJCOLC6ZorBefT52QJwgdkjY1jUvBD&#10;Hjbr0VOGqXZ3PlKfh0rEEPYpKjAhtKmUvjBk0U9dSxy50nUWQ4RdJXWH9xhuGzlPkoW0WHNsMNjS&#10;m6Himt+sgkNvzSFcPm7zr/3uJaH370Ve9ko9j4ftCkSgITzE/+69jvNnr/D3TLx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Km7ZsIAAADcAAAADwAAAAAAAAAAAAAA&#10;AAChAgAAZHJzL2Rvd25yZXYueG1sUEsFBgAAAAAEAAQA+QAAAJADAAAAAA==&#10;" strokecolor="#002060"/>
                <v:shape id="AutoShape 2893" o:spid="_x0000_s1069" type="#_x0000_t32" style="position:absolute;left:6681;top:567;width:0;height:157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77F8MAAADcAAAADwAAAGRycy9kb3ducmV2LnhtbERPS2sCMRC+C/0PYQreNLuliGyNi0iF&#10;Ui92a6nehs3sAzeTJUl17a9vCoK3+fies8gH04kzOd9aVpBOExDEpdUt1wr2n5vJHIQPyBo7y6Tg&#10;Sh7y5cNogZm2F/6gcxFqEUPYZ6igCaHPpPRlQwb91PbEkausMxgidLXUDi8x3HTyKUlm0mDLsaHB&#10;ntYNlafixyjY0vs+vX7b1+Oh+y121XqDXy5Vavw4rF5ABBrCXXxzv+k4P32G/2fiB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e+xfDAAAA3AAAAA8AAAAAAAAAAAAA&#10;AAAAoQIAAGRycy9kb3ducmV2LnhtbFBLBQYAAAAABAAEAPkAAACRAwAAAAA=&#10;" strokecolor="#00b0f0"/>
                <v:shape id="AutoShape 2894" o:spid="_x0000_s1070" type="#_x0000_t32" style="position:absolute;left:7522;top:567;width:0;height:157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JejMMAAADcAAAADwAAAGRycy9kb3ducmV2LnhtbERPS2sCMRC+C/0PYQreNLuFimyNi0iF&#10;Ui92a6nehs3sAzeTJUl17a9vCoK3+fies8gH04kzOd9aVpBOExDEpdUt1wr2n5vJHIQPyBo7y6Tg&#10;Sh7y5cNogZm2F/6gcxFqEUPYZ6igCaHPpPRlQwb91PbEkausMxgidLXUDi8x3HTyKUlm0mDLsaHB&#10;ntYNlafixyjY0vs+vX7b1+Oh+y121XqDXy5Vavw4rF5ABBrCXXxzv+k4P32G/2fiB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SXozDAAAA3AAAAA8AAAAAAAAAAAAA&#10;AAAAoQIAAGRycy9kb3ducmV2LnhtbFBLBQYAAAAABAAEAPkAAACRAwAAAAA=&#10;" strokecolor="#00b0f0"/>
                <v:shape id="AutoShape 2895" o:spid="_x0000_s1071" type="#_x0000_t32" style="position:absolute;left:8363;top:567;width:0;height:157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4Y/sEAAADcAAAADwAAAGRycy9kb3ducmV2LnhtbERPTYvCMBC9L/gfwgheFk31UJZqFHVX&#10;8LRq1fvQjE2xmZQm1u6/3ywIe5vH+5zFqre16Kj1lWMF00kCgrhwuuJSweW8G3+A8AFZY+2YFPyQ&#10;h9Vy8LbATLsnn6jLQyliCPsMFZgQmkxKXxiy6CeuIY7czbUWQ4RtKXWLzxhuazlLklRarDg2GGxo&#10;a6i45w+r4NhZcwzXr8fse795T+jzkOa3TqnRsF/PQQTqw7/45d7rOH+awt8z8QK5/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3hj+wQAAANwAAAAPAAAAAAAAAAAAAAAA&#10;AKECAABkcnMvZG93bnJldi54bWxQSwUGAAAAAAQABAD5AAAAjwMAAAAA&#10;" strokecolor="#002060"/>
                <v:shape id="AutoShape 2896" o:spid="_x0000_s1072" type="#_x0000_t32" style="position:absolute;left:9204;top:567;width:0;height:157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xlYMMAAADcAAAADwAAAGRycy9kb3ducmV2LnhtbERPS2sCMRC+C/0PYQreNLs9VNkaF5EK&#10;pV7s1lK9DZvZB24mS5Lq2l/fFARv8/E9Z5EPphNncr61rCCdJiCIS6tbrhXsPzeTOQgfkDV2lknB&#10;lTzky4fRAjNtL/xB5yLUIoawz1BBE0KfSenLhgz6qe2JI1dZZzBE6GqpHV5iuOnkU5I8S4Mtx4YG&#10;e1o3VJ6KH6NgS+/79PptX4+H7rfYVesNfrlUqfHjsHoBEWgId/HN/abj/HQG/8/EC+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MZWDDAAAA3AAAAA8AAAAAAAAAAAAA&#10;AAAAoQIAAGRycy9kb3ducmV2LnhtbFBLBQYAAAAABAAEAPkAAACRAwAAAAA=&#10;" strokecolor="#00b0f0"/>
                <v:shape id="AutoShape 2897" o:spid="_x0000_s1073" type="#_x0000_t32" style="position:absolute;left:10045;top:567;width:0;height:157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PxEsYAAADcAAAADwAAAGRycy9kb3ducmV2LnhtbESPQWvCQBCF7wX/wzJCb3WTHkpJXUVE&#10;QerFpkrb25Adk2B2NuyuGv31nUOhtxnem/e+mc4H16kLhdh6NpBPMlDElbct1wb2n+unV1AxIVvs&#10;PJOBG0WYz0YPUyysv/IHXcpUKwnhWKCBJqW+0DpWDTmME98Ti3b0wWGSNdTaBrxKuOv0c5a9aIct&#10;S0ODPS0bqk7l2RnY0vs+v3351c93dy93x+UaDyE35nE8LN5AJRrSv/nvemMFPxdaeUYm0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T8RLGAAAA3AAAAA8AAAAAAAAA&#10;AAAAAAAAoQIAAGRycy9kb3ducmV2LnhtbFBLBQYAAAAABAAEAPkAAACUAwAAAAA=&#10;" strokecolor="#00b0f0"/>
                <v:shape id="AutoShape 2898" o:spid="_x0000_s1074" type="#_x0000_t32" style="position:absolute;left:10886;top:567;width:0;height:157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GMjMIAAADcAAAADwAAAGRycy9kb3ducmV2LnhtbERPS2vCQBC+F/wPyxS8lGajB6mpq9QX&#10;eLKatvchO2ZDs7Mhu8b4711B8DYf33Nmi97WoqPWV44VjJIUBHHhdMWlgt+f7fsHCB+QNdaOScGV&#10;PCzmg5cZZtpd+EhdHkoRQ9hnqMCE0GRS+sKQRZ+4hjhyJ9daDBG2pdQtXmK4reU4TSfSYsWxwWBD&#10;K0PFf362Cg6dNYfwtzmP97vlW0rr70l+6pQavvZfnyAC9eEpfrh3Os4fTeH+TLxAz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UGMjMIAAADcAAAADwAAAAAAAAAAAAAA&#10;AAChAgAAZHJzL2Rvd25yZXYueG1sUEsFBgAAAAAEAAQA+QAAAJADAAAAAA==&#10;" strokecolor="#002060"/>
              </v:group>
              <w10:wrap anchorx="page" anchory="page"/>
            </v:group>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AC7" w:rsidRPr="005D1FC6" w:rsidRDefault="00990AC7" w:rsidP="005D1FC6">
    <w:pPr>
      <w:pStyle w:val="Header"/>
    </w:pPr>
    <w:r>
      <w:fldChar w:fldCharType="begin"/>
    </w:r>
    <w:r>
      <w:instrText xml:space="preserve"> STYLEREF "TOC Title" </w:instrText>
    </w:r>
    <w: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AC7" w:rsidRPr="005D1FC6" w:rsidRDefault="00990AC7" w:rsidP="005D1FC6">
    <w:pPr>
      <w:pStyle w:val="Header"/>
    </w:pPr>
    <w:r>
      <w:fldChar w:fldCharType="begin"/>
    </w:r>
    <w:r>
      <w:instrText>STYLEREF "Heading 2"</w:instrText>
    </w:r>
    <w:r>
      <w:fldChar w:fldCharType="separate"/>
    </w:r>
    <w:r w:rsidR="00542564">
      <w:rPr>
        <w:noProof/>
      </w:rPr>
      <w:t>About this regulatory impact statement</w:t>
    </w:r>
    <w: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AC7" w:rsidRDefault="00990AC7" w:rsidP="004521EC">
    <w:pPr>
      <w:pStyle w:val="Header"/>
    </w:pPr>
  </w:p>
  <w:p w:rsidR="00990AC7" w:rsidRPr="00460052" w:rsidRDefault="00990AC7" w:rsidP="00460052">
    <w:pPr>
      <w:pStyle w:val="FirstPagePanelFrame-Contents"/>
      <w:framePr w:wrap="notBeside"/>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AC7" w:rsidRPr="00C151DD" w:rsidRDefault="00990AC7" w:rsidP="00C151DD">
    <w:pPr>
      <w:pStyle w:val="Header-Even"/>
    </w:pPr>
    <w:r>
      <w:rPr>
        <w:noProof/>
        <w:snapToGrid/>
        <w:lang w:eastAsia="en-AU"/>
      </w:rPr>
      <w:fldChar w:fldCharType="begin"/>
    </w:r>
    <w:r>
      <w:rPr>
        <w:noProof/>
        <w:snapToGrid/>
        <w:lang w:eastAsia="en-AU"/>
      </w:rPr>
      <w:instrText xml:space="preserve"> STYLEREF "Heading 2" </w:instrText>
    </w:r>
    <w:r>
      <w:rPr>
        <w:noProof/>
        <w:snapToGrid/>
        <w:lang w:eastAsia="en-AU"/>
      </w:rPr>
      <w:fldChar w:fldCharType="separate"/>
    </w:r>
    <w:r w:rsidR="00542564">
      <w:rPr>
        <w:noProof/>
        <w:snapToGrid/>
        <w:lang w:eastAsia="en-AU"/>
      </w:rPr>
      <w:t>About this regulatory impact statement</w:t>
    </w:r>
    <w:r>
      <w:rPr>
        <w:noProof/>
        <w:snapToGrid/>
        <w:lang w:eastAsia="en-AU"/>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AC7" w:rsidRPr="0093655A" w:rsidRDefault="00990AC7" w:rsidP="00C151DD">
    <w:pPr>
      <w:pStyle w:val="Header"/>
    </w:pPr>
    <w:r w:rsidRPr="0093655A">
      <w:rPr>
        <w:noProof/>
        <w:snapToGrid/>
        <w:lang w:eastAsia="en-AU"/>
      </w:rPr>
      <w:fldChar w:fldCharType="begin"/>
    </w:r>
    <w:r w:rsidRPr="0093655A">
      <w:rPr>
        <w:noProof/>
        <w:snapToGrid/>
        <w:lang w:eastAsia="en-AU"/>
      </w:rPr>
      <w:instrText xml:space="preserve"> STYLEREF "Heading 2" </w:instrText>
    </w:r>
    <w:r w:rsidRPr="0093655A">
      <w:rPr>
        <w:noProof/>
        <w:snapToGrid/>
        <w:lang w:eastAsia="en-AU"/>
      </w:rPr>
      <w:fldChar w:fldCharType="separate"/>
    </w:r>
    <w:r w:rsidR="00F10EB0">
      <w:rPr>
        <w:noProof/>
        <w:snapToGrid/>
        <w:lang w:eastAsia="en-AU"/>
      </w:rPr>
      <w:t>About this regulatory impact statement</w:t>
    </w:r>
    <w:r w:rsidRPr="0093655A">
      <w:rPr>
        <w:noProof/>
        <w:snapToGrid/>
        <w:lang w:eastAsia="en-AU"/>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AC7" w:rsidRDefault="00990AC7" w:rsidP="0091050E">
    <w:pPr>
      <w:pStyle w:val="Header-FirstPage"/>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AC7" w:rsidRPr="00C151DD" w:rsidRDefault="00990AC7" w:rsidP="00C151DD">
    <w:pPr>
      <w:pStyle w:val="Header-Even"/>
    </w:pPr>
    <w:r>
      <w:rPr>
        <w:noProof/>
        <w:snapToGrid/>
        <w:lang w:eastAsia="en-AU"/>
      </w:rPr>
      <w:fldChar w:fldCharType="begin"/>
    </w:r>
    <w:r>
      <w:rPr>
        <w:noProof/>
        <w:snapToGrid/>
        <w:lang w:eastAsia="en-AU"/>
      </w:rPr>
      <w:instrText xml:space="preserve"> STYLEREF "Heading 2" </w:instrText>
    </w:r>
    <w:r>
      <w:rPr>
        <w:noProof/>
        <w:snapToGrid/>
        <w:lang w:eastAsia="en-AU"/>
      </w:rPr>
      <w:fldChar w:fldCharType="separate"/>
    </w:r>
    <w:r w:rsidR="00542564">
      <w:rPr>
        <w:noProof/>
        <w:snapToGrid/>
        <w:lang w:eastAsia="en-AU"/>
      </w:rPr>
      <w:t>Nature and extent of the problem</w:t>
    </w:r>
    <w:r>
      <w:rPr>
        <w:noProof/>
        <w:snapToGrid/>
        <w:lang w:eastAsia="en-AU"/>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AC7" w:rsidRPr="0093655A" w:rsidRDefault="00990AC7" w:rsidP="00C151DD">
    <w:pPr>
      <w:pStyle w:val="Header"/>
    </w:pPr>
    <w:r w:rsidRPr="0093655A">
      <w:rPr>
        <w:noProof/>
        <w:snapToGrid/>
        <w:lang w:eastAsia="en-AU"/>
      </w:rPr>
      <w:fldChar w:fldCharType="begin"/>
    </w:r>
    <w:r w:rsidRPr="0093655A">
      <w:rPr>
        <w:noProof/>
        <w:snapToGrid/>
        <w:lang w:eastAsia="en-AU"/>
      </w:rPr>
      <w:instrText xml:space="preserve"> STYLEREF "Heading 2" </w:instrText>
    </w:r>
    <w:r w:rsidRPr="0093655A">
      <w:rPr>
        <w:noProof/>
        <w:snapToGrid/>
        <w:lang w:eastAsia="en-AU"/>
      </w:rPr>
      <w:fldChar w:fldCharType="separate"/>
    </w:r>
    <w:r w:rsidR="00F10EB0">
      <w:rPr>
        <w:noProof/>
        <w:snapToGrid/>
        <w:lang w:eastAsia="en-AU"/>
      </w:rPr>
      <w:t>Options</w:t>
    </w:r>
    <w:r w:rsidRPr="0093655A">
      <w:rPr>
        <w:noProof/>
        <w:snapToGrid/>
        <w:lang w:eastAsia="en-AU"/>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AC7" w:rsidRDefault="00990AC7" w:rsidP="0091050E">
    <w:pPr>
      <w:pStyle w:val="Header-FirstPage"/>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AC7" w:rsidRPr="009B05E3" w:rsidRDefault="00420464" w:rsidP="00574287">
    <w:pPr>
      <w:pStyle w:val="Header-Even"/>
    </w:pPr>
    <w:fldSimple w:instr=" STYLEREF &quot;Heading 4&quot; ">
      <w:r w:rsidR="00542564">
        <w:rPr>
          <w:noProof/>
        </w:rPr>
        <w:t>Guides modification document</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AC7" w:rsidRPr="008F0566" w:rsidRDefault="00990AC7" w:rsidP="008F0566">
    <w:pPr>
      <w:pStyle w:val="Header"/>
    </w:pPr>
    <w:r>
      <w:rPr>
        <w:noProof/>
        <w:snapToGrid/>
        <w:lang w:eastAsia="en-AU"/>
      </w:rPr>
      <mc:AlternateContent>
        <mc:Choice Requires="wpg">
          <w:drawing>
            <wp:anchor distT="0" distB="0" distL="114300" distR="114300" simplePos="0" relativeHeight="252240896" behindDoc="0" locked="0" layoutInCell="1" allowOverlap="1" wp14:anchorId="7E29BB29" wp14:editId="21FE0F9A">
              <wp:simplePos x="0" y="0"/>
              <wp:positionH relativeFrom="page">
                <wp:posOffset>0</wp:posOffset>
              </wp:positionH>
              <wp:positionV relativeFrom="page">
                <wp:posOffset>0</wp:posOffset>
              </wp:positionV>
              <wp:extent cx="6912610" cy="10692130"/>
              <wp:effectExtent l="9525" t="9525" r="12065" b="13970"/>
              <wp:wrapNone/>
              <wp:docPr id="17" name="OddGrid" descr="Gri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2610" cy="10692130"/>
                        <a:chOff x="0" y="0"/>
                        <a:chExt cx="10886" cy="16838"/>
                      </a:xfrm>
                    </wpg:grpSpPr>
                    <wpg:grpSp>
                      <wpg:cNvPr id="18" name="Group 2018"/>
                      <wpg:cNvGrpSpPr>
                        <a:grpSpLocks/>
                      </wpg:cNvGrpSpPr>
                      <wpg:grpSpPr bwMode="auto">
                        <a:xfrm>
                          <a:off x="1021" y="567"/>
                          <a:ext cx="9251" cy="15704"/>
                          <a:chOff x="1021" y="567"/>
                          <a:chExt cx="9251" cy="15704"/>
                        </a:xfrm>
                      </wpg:grpSpPr>
                      <wps:wsp>
                        <wps:cNvPr id="21" name="AutoShape 2019"/>
                        <wps:cNvCnPr>
                          <a:cxnSpLocks noChangeShapeType="1"/>
                        </wps:cNvCnPr>
                        <wps:spPr bwMode="auto">
                          <a:xfrm>
                            <a:off x="1021" y="567"/>
                            <a:ext cx="0" cy="15704"/>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22" name="AutoShape 2020"/>
                        <wps:cNvCnPr>
                          <a:cxnSpLocks noChangeShapeType="1"/>
                        </wps:cNvCnPr>
                        <wps:spPr bwMode="auto">
                          <a:xfrm>
                            <a:off x="1862"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23" name="AutoShape 2021"/>
                        <wps:cNvCnPr>
                          <a:cxnSpLocks noChangeShapeType="1"/>
                        </wps:cNvCnPr>
                        <wps:spPr bwMode="auto">
                          <a:xfrm>
                            <a:off x="2703"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24" name="AutoShape 2022"/>
                        <wps:cNvCnPr>
                          <a:cxnSpLocks noChangeShapeType="1"/>
                        </wps:cNvCnPr>
                        <wps:spPr bwMode="auto">
                          <a:xfrm>
                            <a:off x="3544" y="567"/>
                            <a:ext cx="0" cy="15704"/>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25" name="AutoShape 2023"/>
                        <wps:cNvCnPr>
                          <a:cxnSpLocks noChangeShapeType="1"/>
                        </wps:cNvCnPr>
                        <wps:spPr bwMode="auto">
                          <a:xfrm>
                            <a:off x="4385"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26" name="AutoShape 2024"/>
                        <wps:cNvCnPr>
                          <a:cxnSpLocks noChangeShapeType="1"/>
                        </wps:cNvCnPr>
                        <wps:spPr bwMode="auto">
                          <a:xfrm>
                            <a:off x="5226"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27" name="AutoShape 2025"/>
                        <wps:cNvCnPr>
                          <a:cxnSpLocks noChangeShapeType="1"/>
                        </wps:cNvCnPr>
                        <wps:spPr bwMode="auto">
                          <a:xfrm>
                            <a:off x="6067" y="567"/>
                            <a:ext cx="0" cy="15704"/>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28" name="AutoShape 2026"/>
                        <wps:cNvCnPr>
                          <a:cxnSpLocks noChangeShapeType="1"/>
                        </wps:cNvCnPr>
                        <wps:spPr bwMode="auto">
                          <a:xfrm>
                            <a:off x="6908"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29" name="AutoShape 2027"/>
                        <wps:cNvCnPr>
                          <a:cxnSpLocks noChangeShapeType="1"/>
                        </wps:cNvCnPr>
                        <wps:spPr bwMode="auto">
                          <a:xfrm>
                            <a:off x="7749"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30" name="AutoShape 2028"/>
                        <wps:cNvCnPr>
                          <a:cxnSpLocks noChangeShapeType="1"/>
                        </wps:cNvCnPr>
                        <wps:spPr bwMode="auto">
                          <a:xfrm>
                            <a:off x="8590" y="567"/>
                            <a:ext cx="0" cy="15704"/>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31" name="AutoShape 2029"/>
                        <wps:cNvCnPr>
                          <a:cxnSpLocks noChangeShapeType="1"/>
                        </wps:cNvCnPr>
                        <wps:spPr bwMode="auto">
                          <a:xfrm>
                            <a:off x="9431"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32" name="AutoShape 2030"/>
                        <wps:cNvCnPr>
                          <a:cxnSpLocks noChangeShapeType="1"/>
                        </wps:cNvCnPr>
                        <wps:spPr bwMode="auto">
                          <a:xfrm>
                            <a:off x="10272"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g:grpSp>
                    <wps:wsp>
                      <wps:cNvPr id="33" name="AutoShape 2031"/>
                      <wps:cNvCnPr>
                        <a:cxnSpLocks noChangeShapeType="1"/>
                      </wps:cNvCnPr>
                      <wps:spPr bwMode="auto">
                        <a:xfrm>
                          <a:off x="0" y="0"/>
                          <a:ext cx="0" cy="16838"/>
                        </a:xfrm>
                        <a:prstGeom prst="straightConnector1">
                          <a:avLst/>
                        </a:prstGeom>
                        <a:noFill/>
                        <a:ln w="9525">
                          <a:solidFill>
                            <a:srgbClr val="FF66FF"/>
                          </a:solidFill>
                          <a:round/>
                          <a:headEnd/>
                          <a:tailEnd/>
                        </a:ln>
                        <a:extLst>
                          <a:ext uri="{909E8E84-426E-40DD-AFC4-6F175D3DCCD1}">
                            <a14:hiddenFill xmlns:a14="http://schemas.microsoft.com/office/drawing/2010/main">
                              <a:noFill/>
                            </a14:hiddenFill>
                          </a:ext>
                        </a:extLst>
                      </wps:spPr>
                      <wps:bodyPr/>
                    </wps:wsp>
                    <wps:wsp>
                      <wps:cNvPr id="34" name="AutoShape 2032"/>
                      <wps:cNvCnPr>
                        <a:cxnSpLocks noChangeShapeType="1"/>
                      </wps:cNvCnPr>
                      <wps:spPr bwMode="auto">
                        <a:xfrm>
                          <a:off x="794" y="0"/>
                          <a:ext cx="0" cy="16838"/>
                        </a:xfrm>
                        <a:prstGeom prst="straightConnector1">
                          <a:avLst/>
                        </a:prstGeom>
                        <a:noFill/>
                        <a:ln w="9525">
                          <a:solidFill>
                            <a:srgbClr val="FF66FF"/>
                          </a:solidFill>
                          <a:round/>
                          <a:headEnd/>
                          <a:tailEnd/>
                        </a:ln>
                        <a:extLst>
                          <a:ext uri="{909E8E84-426E-40DD-AFC4-6F175D3DCCD1}">
                            <a14:hiddenFill xmlns:a14="http://schemas.microsoft.com/office/drawing/2010/main">
                              <a:noFill/>
                            </a14:hiddenFill>
                          </a:ext>
                        </a:extLst>
                      </wps:spPr>
                      <wps:bodyPr/>
                    </wps:wsp>
                    <wpg:grpSp>
                      <wpg:cNvPr id="35" name="Group 2033"/>
                      <wpg:cNvGrpSpPr>
                        <a:grpSpLocks/>
                      </wpg:cNvGrpSpPr>
                      <wpg:grpSpPr bwMode="auto">
                        <a:xfrm>
                          <a:off x="1021" y="567"/>
                          <a:ext cx="9865" cy="15706"/>
                          <a:chOff x="907" y="567"/>
                          <a:chExt cx="9865" cy="15706"/>
                        </a:xfrm>
                      </wpg:grpSpPr>
                      <wps:wsp>
                        <wps:cNvPr id="36" name="AutoShape 2034"/>
                        <wps:cNvCnPr>
                          <a:cxnSpLocks noChangeShapeType="1"/>
                        </wps:cNvCnPr>
                        <wps:spPr bwMode="auto">
                          <a:xfrm>
                            <a:off x="907" y="16273"/>
                            <a:ext cx="9865" cy="0"/>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37" name="AutoShape 2035"/>
                        <wps:cNvCnPr>
                          <a:cxnSpLocks noChangeShapeType="1"/>
                        </wps:cNvCnPr>
                        <wps:spPr bwMode="auto">
                          <a:xfrm>
                            <a:off x="907" y="14527"/>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38" name="AutoShape 2036"/>
                        <wps:cNvCnPr>
                          <a:cxnSpLocks noChangeShapeType="1"/>
                        </wps:cNvCnPr>
                        <wps:spPr bwMode="auto">
                          <a:xfrm>
                            <a:off x="907" y="567"/>
                            <a:ext cx="9865" cy="0"/>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39" name="AutoShape 2037"/>
                        <wps:cNvCnPr>
                          <a:cxnSpLocks noChangeShapeType="1"/>
                        </wps:cNvCnPr>
                        <wps:spPr bwMode="auto">
                          <a:xfrm>
                            <a:off x="907" y="1439"/>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40" name="AutoShape 2038"/>
                        <wps:cNvCnPr>
                          <a:cxnSpLocks noChangeShapeType="1"/>
                        </wps:cNvCnPr>
                        <wps:spPr bwMode="auto">
                          <a:xfrm>
                            <a:off x="907" y="2312"/>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41" name="AutoShape 2039"/>
                        <wps:cNvCnPr>
                          <a:cxnSpLocks noChangeShapeType="1"/>
                        </wps:cNvCnPr>
                        <wps:spPr bwMode="auto">
                          <a:xfrm>
                            <a:off x="907" y="3184"/>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42" name="AutoShape 2040"/>
                        <wps:cNvCnPr>
                          <a:cxnSpLocks noChangeShapeType="1"/>
                        </wps:cNvCnPr>
                        <wps:spPr bwMode="auto">
                          <a:xfrm>
                            <a:off x="907" y="4057"/>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43" name="AutoShape 2041"/>
                        <wps:cNvCnPr>
                          <a:cxnSpLocks noChangeShapeType="1"/>
                        </wps:cNvCnPr>
                        <wps:spPr bwMode="auto">
                          <a:xfrm>
                            <a:off x="907" y="4929"/>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44" name="AutoShape 2042"/>
                        <wps:cNvCnPr>
                          <a:cxnSpLocks noChangeShapeType="1"/>
                        </wps:cNvCnPr>
                        <wps:spPr bwMode="auto">
                          <a:xfrm>
                            <a:off x="907" y="5802"/>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45" name="AutoShape 2043"/>
                        <wps:cNvCnPr>
                          <a:cxnSpLocks noChangeShapeType="1"/>
                        </wps:cNvCnPr>
                        <wps:spPr bwMode="auto">
                          <a:xfrm>
                            <a:off x="907" y="6674"/>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46" name="AutoShape 2044"/>
                        <wps:cNvCnPr>
                          <a:cxnSpLocks noChangeShapeType="1"/>
                        </wps:cNvCnPr>
                        <wps:spPr bwMode="auto">
                          <a:xfrm>
                            <a:off x="907" y="7547"/>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47" name="AutoShape 2045"/>
                        <wps:cNvCnPr>
                          <a:cxnSpLocks noChangeShapeType="1"/>
                        </wps:cNvCnPr>
                        <wps:spPr bwMode="auto">
                          <a:xfrm>
                            <a:off x="907" y="8420"/>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48" name="AutoShape 2046"/>
                        <wps:cNvCnPr>
                          <a:cxnSpLocks noChangeShapeType="1"/>
                        </wps:cNvCnPr>
                        <wps:spPr bwMode="auto">
                          <a:xfrm>
                            <a:off x="907" y="9292"/>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49" name="AutoShape 2047"/>
                        <wps:cNvCnPr>
                          <a:cxnSpLocks noChangeShapeType="1"/>
                        </wps:cNvCnPr>
                        <wps:spPr bwMode="auto">
                          <a:xfrm>
                            <a:off x="907" y="10165"/>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50" name="AutoShape 2048"/>
                        <wps:cNvCnPr>
                          <a:cxnSpLocks noChangeShapeType="1"/>
                        </wps:cNvCnPr>
                        <wps:spPr bwMode="auto">
                          <a:xfrm>
                            <a:off x="907" y="11037"/>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51" name="AutoShape 2049"/>
                        <wps:cNvCnPr>
                          <a:cxnSpLocks noChangeShapeType="1"/>
                        </wps:cNvCnPr>
                        <wps:spPr bwMode="auto">
                          <a:xfrm>
                            <a:off x="907" y="11910"/>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52" name="AutoShape 2050"/>
                        <wps:cNvCnPr>
                          <a:cxnSpLocks noChangeShapeType="1"/>
                        </wps:cNvCnPr>
                        <wps:spPr bwMode="auto">
                          <a:xfrm>
                            <a:off x="907" y="12782"/>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53" name="AutoShape 2051"/>
                        <wps:cNvCnPr>
                          <a:cxnSpLocks noChangeShapeType="1"/>
                        </wps:cNvCnPr>
                        <wps:spPr bwMode="auto">
                          <a:xfrm>
                            <a:off x="907" y="13655"/>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54" name="AutoShape 2052"/>
                        <wps:cNvCnPr>
                          <a:cxnSpLocks noChangeShapeType="1"/>
                        </wps:cNvCnPr>
                        <wps:spPr bwMode="auto">
                          <a:xfrm>
                            <a:off x="907" y="15400"/>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g:grpSp>
                    <wpg:grpSp>
                      <wpg:cNvPr id="58" name="Group 2053"/>
                      <wpg:cNvGrpSpPr>
                        <a:grpSpLocks/>
                      </wpg:cNvGrpSpPr>
                      <wpg:grpSpPr bwMode="auto">
                        <a:xfrm>
                          <a:off x="1633" y="567"/>
                          <a:ext cx="9251" cy="15704"/>
                          <a:chOff x="1635" y="567"/>
                          <a:chExt cx="9251" cy="15704"/>
                        </a:xfrm>
                      </wpg:grpSpPr>
                      <wps:wsp>
                        <wps:cNvPr id="59" name="AutoShape 2054"/>
                        <wps:cNvCnPr>
                          <a:cxnSpLocks noChangeShapeType="1"/>
                        </wps:cNvCnPr>
                        <wps:spPr bwMode="auto">
                          <a:xfrm>
                            <a:off x="1635"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60" name="AutoShape 2055"/>
                        <wps:cNvCnPr>
                          <a:cxnSpLocks noChangeShapeType="1"/>
                        </wps:cNvCnPr>
                        <wps:spPr bwMode="auto">
                          <a:xfrm>
                            <a:off x="2476"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61" name="AutoShape 2056"/>
                        <wps:cNvCnPr>
                          <a:cxnSpLocks noChangeShapeType="1"/>
                        </wps:cNvCnPr>
                        <wps:spPr bwMode="auto">
                          <a:xfrm>
                            <a:off x="3317" y="567"/>
                            <a:ext cx="0" cy="15704"/>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62" name="AutoShape 2057"/>
                        <wps:cNvCnPr>
                          <a:cxnSpLocks noChangeShapeType="1"/>
                        </wps:cNvCnPr>
                        <wps:spPr bwMode="auto">
                          <a:xfrm>
                            <a:off x="4158"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63" name="AutoShape 2058"/>
                        <wps:cNvCnPr>
                          <a:cxnSpLocks noChangeShapeType="1"/>
                        </wps:cNvCnPr>
                        <wps:spPr bwMode="auto">
                          <a:xfrm>
                            <a:off x="4999"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64" name="AutoShape 2059"/>
                        <wps:cNvCnPr>
                          <a:cxnSpLocks noChangeShapeType="1"/>
                        </wps:cNvCnPr>
                        <wps:spPr bwMode="auto">
                          <a:xfrm>
                            <a:off x="5840" y="567"/>
                            <a:ext cx="0" cy="15704"/>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65" name="AutoShape 2060"/>
                        <wps:cNvCnPr>
                          <a:cxnSpLocks noChangeShapeType="1"/>
                        </wps:cNvCnPr>
                        <wps:spPr bwMode="auto">
                          <a:xfrm>
                            <a:off x="6681"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66" name="AutoShape 2061"/>
                        <wps:cNvCnPr>
                          <a:cxnSpLocks noChangeShapeType="1"/>
                        </wps:cNvCnPr>
                        <wps:spPr bwMode="auto">
                          <a:xfrm>
                            <a:off x="7522"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67" name="AutoShape 2062"/>
                        <wps:cNvCnPr>
                          <a:cxnSpLocks noChangeShapeType="1"/>
                        </wps:cNvCnPr>
                        <wps:spPr bwMode="auto">
                          <a:xfrm>
                            <a:off x="8363" y="567"/>
                            <a:ext cx="0" cy="15704"/>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68" name="AutoShape 2063"/>
                        <wps:cNvCnPr>
                          <a:cxnSpLocks noChangeShapeType="1"/>
                        </wps:cNvCnPr>
                        <wps:spPr bwMode="auto">
                          <a:xfrm>
                            <a:off x="9204"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69" name="AutoShape 2064"/>
                        <wps:cNvCnPr>
                          <a:cxnSpLocks noChangeShapeType="1"/>
                        </wps:cNvCnPr>
                        <wps:spPr bwMode="auto">
                          <a:xfrm>
                            <a:off x="10045"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70" name="AutoShape 2065"/>
                        <wps:cNvCnPr>
                          <a:cxnSpLocks noChangeShapeType="1"/>
                        </wps:cNvCnPr>
                        <wps:spPr bwMode="auto">
                          <a:xfrm>
                            <a:off x="10886" y="567"/>
                            <a:ext cx="0" cy="15704"/>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OddGrid" o:spid="_x0000_s1026" alt="Grid" style="position:absolute;margin-left:0;margin-top:0;width:544.3pt;height:841.9pt;z-index:252240896;mso-position-horizontal-relative:page;mso-position-vertical-relative:page" coordsize="1088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">
              <v:group id="Group 2018" o:spid="_x0000_s1027" style="position:absolute;left:1021;top:567;width:9251;height:15704" coordorigin="1021,567" coordsize="9251,157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type id="_x0000_t32" coordsize="21600,21600" o:spt="32" o:oned="t" path="m,l21600,21600e" filled="f">
                  <v:path arrowok="t" fillok="f" o:connecttype="none"/>
                  <o:lock v:ext="edit" shapetype="t"/>
                </v:shapetype>
                <v:shape id="AutoShape 2019" o:spid="_x0000_s1028" type="#_x0000_t32" style="position:absolute;left:1021;top:567;width:0;height:157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WqsMAAADbAAAADwAAAGRycy9kb3ducmV2LnhtbESPzYvCMBTE7wv7P4S34GXR1B5k6TaK&#10;+yF48qOu90fzbIrNS2lirf+9EYQ9DjPzGyZfDLYRPXW+dqxgOklAEJdO11wp+Dusxh8gfEDW2Dgm&#10;BTfysJi/vuSYaXflPfVFqESEsM9QgQmhzaT0pSGLfuJa4uidXGcxRNlVUnd4jXDbyDRJZtJizXHB&#10;YEvfhspzcbEKdr01u3D8vaSb9dd7Qj/bWXHqlRq9DctPEIGG8B9+ttdaQTqFx5f4A+T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i1qrDAAAA2wAAAA8AAAAAAAAAAAAA&#10;AAAAoQIAAGRycy9kb3ducmV2LnhtbFBLBQYAAAAABAAEAPkAAACRAwAAAAA=&#10;" strokecolor="#002060"/>
                <v:shape id="AutoShape 2020" o:spid="_x0000_s1029" type="#_x0000_t32" style="position:absolute;left:1862;top:567;width:0;height:157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lBBcQAAADbAAAADwAAAGRycy9kb3ducmV2LnhtbESPQWvCQBSE7wX/w/KE3uomOZQSXUVE&#10;QezFpop6e2SfSTD7NuxuNfrru4WCx2FmvmEms9604krON5YVpKMEBHFpdcOVgt336u0DhA/IGlvL&#10;pOBOHmbTwcsEc21v/EXXIlQiQtjnqKAOocul9GVNBv3IdsTRO1tnMETpKqkd3iLctDJLkndpsOG4&#10;UGNHi5rKS/FjFHzSZpfeD3Z5OraPYnterHDvUqVeh/18DCJQH57h//ZaK8gy+PsSf4C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mUEFxAAAANsAAAAPAAAAAAAAAAAA&#10;AAAAAKECAABkcnMvZG93bnJldi54bWxQSwUGAAAAAAQABAD5AAAAkgMAAAAA&#10;" strokecolor="#00b0f0"/>
                <v:shape id="AutoShape 2021" o:spid="_x0000_s1030" type="#_x0000_t32" style="position:absolute;left:2703;top:567;width:0;height:157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XknsQAAADbAAAADwAAAGRycy9kb3ducmV2LnhtbESPQWvCQBSE74L/YXmCN91EQSR1lSIK&#10;RS82VWxvj+wzCWbfht2txv76bkHocZiZb5jFqjONuJHztWUF6TgBQVxYXXOp4PixHc1B+ICssbFM&#10;Ch7kYbXs9xaYaXvnd7rloRQRwj5DBVUIbSalLyoy6Me2JY7exTqDIUpXSu3wHuGmkZMkmUmDNceF&#10;CltaV1Rc82+jYE+7Y/o4283XZ/OTHy7rLZ5cqtRw0L2+gAjUhf/ws/2mFUym8Pcl/g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1eSexAAAANsAAAAPAAAAAAAAAAAA&#10;AAAAAKECAABkcnMvZG93bnJldi54bWxQSwUGAAAAAAQABAD5AAAAkgMAAAAA&#10;" strokecolor="#00b0f0"/>
                <v:shape id="AutoShape 2022" o:spid="_x0000_s1031" type="#_x0000_t32" style="position:absolute;left:3544;top:567;width:0;height:157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V1MsMAAADbAAAADwAAAGRycy9kb3ducmV2LnhtbESPQWvCQBSE74L/YXmCF9FNg0iJrlKt&#10;BU+tpnp/ZJ/Z0OzbkF1j+u/dQsHjMDPfMKtNb2vRUesrxwpeZgkI4sLpiksF5++P6SsIH5A11o5J&#10;wS952KyHgxVm2t35RF0eShEh7DNUYEJoMil9Yciin7mGOHpX11oMUbal1C3eI9zWMk2ShbRYcVww&#10;2NDOUPGT36yCY2fNMVz2t/TzsJ0k9P61yK+dUuNR/7YEEagPz/B/+6AVpHP4+xJ/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VdTLDAAAA2wAAAA8AAAAAAAAAAAAA&#10;AAAAoQIAAGRycy9kb3ducmV2LnhtbFBLBQYAAAAABAAEAPkAAACRAwAAAAA=&#10;" strokecolor="#002060"/>
                <v:shape id="AutoShape 2023" o:spid="_x0000_s1032" type="#_x0000_t32" style="position:absolute;left:4385;top:567;width:0;height:157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ZccQAAADbAAAADwAAAGRycy9kb3ducmV2LnhtbESPQWvCQBSE74L/YXmCN91EUCR1lSIK&#10;RS82VWxvj+wzCWbfht2txv76bkHocZiZb5jFqjONuJHztWUF6TgBQVxYXXOp4PixHc1B+ICssbFM&#10;Ch7kYbXs9xaYaXvnd7rloRQRwj5DBVUIbSalLyoy6Me2JY7exTqDIUpXSu3wHuGmkZMkmUmDNceF&#10;CltaV1Rc82+jYE+7Y/o4283XZ/OTHy7rLZ5cqtRw0L2+gAjUhf/ws/2mFUym8Pcl/g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cNlxxAAAANsAAAAPAAAAAAAAAAAA&#10;AAAAAKECAABkcnMvZG93bnJldi54bWxQSwUGAAAAAAQABAD5AAAAkgMAAAAA&#10;" strokecolor="#00b0f0"/>
                <v:shape id="AutoShape 2024" o:spid="_x0000_s1033" type="#_x0000_t32" style="position:absolute;left:5226;top:567;width:0;height:157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JHBsUAAADbAAAADwAAAGRycy9kb3ducmV2LnhtbESPT2sCMRTE74LfITyhN82uBymrcSmi&#10;IO2l3Sq2t8fm7R+6eVmSVNd+eiMUPA4z8xtmlQ+mE2dyvrWsIJ0lIIhLq1uuFRw+d9NnED4ga+ws&#10;k4IrecjX49EKM20v/EHnItQiQthnqKAJoc+k9GVDBv3M9sTRq6wzGKJ0tdQOLxFuOjlPkoU02HJc&#10;aLCnTUPlT/FrFLzR6yG9nuz2+6v7K96rzQ6PLlXqaTK8LEEEGsIj/N/eawXzBdy/xB8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6JHBsUAAADbAAAADwAAAAAAAAAA&#10;AAAAAAChAgAAZHJzL2Rvd25yZXYueG1sUEsFBgAAAAAEAAQA+QAAAJMDAAAAAA==&#10;" strokecolor="#00b0f0"/>
                <v:shape id="AutoShape 2025" o:spid="_x0000_s1034" type="#_x0000_t32" style="position:absolute;left:6067;top:567;width:0;height:157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frRcQAAADbAAAADwAAAGRycy9kb3ducmV2LnhtbESPQWvCQBSE74L/YXmCF6mb5mBL6kaq&#10;VfBkbdreH9mXbGj2bciuMf57t1DocZiZb5j1ZrStGKj3jWMFj8sEBHHpdMO1gq/Pw8MzCB+QNbaO&#10;ScGNPGzy6WSNmXZX/qChCLWIEPYZKjAhdJmUvjRk0S9dRxy9yvUWQ5R9LXWP1wi3rUyTZCUtNhwX&#10;DHa0M1T+FBer4DxYcw7f+0t6Om4XCb29r4pqUGo+G19fQAQaw3/4r33UCtIn+P0Sf4DM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R+tFxAAAANsAAAAPAAAAAAAAAAAA&#10;AAAAAKECAABkcnMvZG93bnJldi54bWxQSwUGAAAAAAQABAD5AAAAkgMAAAAA&#10;" strokecolor="#002060"/>
                <v:shape id="AutoShape 2026" o:spid="_x0000_s1035" type="#_x0000_t32" style="position:absolute;left:6908;top:567;width:0;height:157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F278IAAADbAAAADwAAAGRycy9kb3ducmV2LnhtbERPz2vCMBS+D/wfwhO8zbQeZHRGkbKC&#10;uIvrHJu3R/Nsy5qXkmS29a9fDoMdP77fm91oOnEj51vLCtJlAoK4srrlWsH5vXh8AuEDssbOMimY&#10;yMNuO3vYYKbtwG90K0MtYgj7DBU0IfSZlL5qyKBf2p44clfrDIYIXS21wyGGm06ukmQtDbYcGxrs&#10;KW+o+i5/jIJXOp7T6dO+XL66e3m65gV+uFSpxXzcP4MINIZ/8Z/7oBWs4tj4Jf4Auf0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XF278IAAADbAAAADwAAAAAAAAAAAAAA&#10;AAChAgAAZHJzL2Rvd25yZXYueG1sUEsFBgAAAAAEAAQA+QAAAJADAAAAAA==&#10;" strokecolor="#00b0f0"/>
                <v:shape id="AutoShape 2027" o:spid="_x0000_s1036" type="#_x0000_t32" style="position:absolute;left:7749;top:567;width:0;height:157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3TdMQAAADbAAAADwAAAGRycy9kb3ducmV2LnhtbESPQWvCQBSE74L/YXmCN93Eg2jqKkUU&#10;il5sqtjeHtlnEsy+Dbtbjf313YLQ4zAz3zCLVWcacSPna8sK0nECgriwuuZSwfFjO5qB8AFZY2OZ&#10;FDzIw2rZ7y0w0/bO73TLQykihH2GCqoQ2kxKX1Rk0I9tSxy9i3UGQ5SulNrhPcJNIydJMpUGa44L&#10;Fba0rqi45t9GwZ52x/Rxtpuvz+YnP1zWWzy5VKnhoHt9ARGoC//hZ/tNK5jM4e9L/AF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PdN0xAAAANsAAAAPAAAAAAAAAAAA&#10;AAAAAKECAABkcnMvZG93bnJldi54bWxQSwUGAAAAAAQABAD5AAAAkgMAAAAA&#10;" strokecolor="#00b0f0"/>
                <v:shape id="AutoShape 2028" o:spid="_x0000_s1037" type="#_x0000_t32" style="position:absolute;left:8590;top:567;width:0;height:157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fl7MAAAADbAAAADwAAAGRycy9kb3ducmV2LnhtbERPy4rCMBTdC/MP4Q64EU1VkKEaxRkd&#10;cOWjo/tLc22KzU1pYu38vVkILg/nvVh1thItNb50rGA8SkAQ506XXCg4//0Ov0D4gKyxckwK/snD&#10;avnRW2Cq3YNP1GahEDGEfYoKTAh1KqXPDVn0I1cTR+7qGoshwqaQusFHDLeVnCTJTFosOTYYrOnH&#10;UH7L7lbBsbXmGC7b+2S/+x4ktDnMsmurVP+zW89BBOrCW/xy77SCaVwfv8QfIJ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l35ezAAAAA2wAAAA8AAAAAAAAAAAAAAAAA&#10;oQIAAGRycy9kb3ducmV2LnhtbFBLBQYAAAAABAAEAPkAAACOAwAAAAA=&#10;" strokecolor="#002060"/>
                <v:shape id="AutoShape 2029" o:spid="_x0000_s1038" type="#_x0000_t32" style="position:absolute;left:9431;top:567;width:0;height:157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JJr8UAAADbAAAADwAAAGRycy9kb3ducmV2LnhtbESPT2sCMRTE70K/Q3gFb5rdFkS2xkWk&#10;QqkXu7VUb4/N2z+4eVmSVNd++qYgeBxm5jfMIh9MJ87kfGtZQTpNQBCXVrdcK9h/biZzED4ga+ws&#10;k4IreciXD6MFZtpe+IPORahFhLDPUEETQp9J6cuGDPqp7YmjV1lnMETpaqkdXiLcdPIpSWbSYMtx&#10;ocGe1g2Vp+LHKNjS+z69ftvX46H7LXbVeoNfLlVq/DisXkAEGsI9fGu/aQXPKfx/iT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JJr8UAAADbAAAADwAAAAAAAAAA&#10;AAAAAAChAgAAZHJzL2Rvd25yZXYueG1sUEsFBgAAAAAEAAQA+QAAAJMDAAAAAA==&#10;" strokecolor="#00b0f0"/>
                <v:shape id="AutoShape 2030" o:spid="_x0000_s1039" type="#_x0000_t32" style="position:absolute;left:10272;top:567;width:0;height:157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DX2MQAAADbAAAADwAAAGRycy9kb3ducmV2LnhtbESPQWvCQBSE74L/YXmCN91EQSR1lSIK&#10;RS82VWxvj+wzCWbfht2txv76bkHocZiZb5jFqjONuJHztWUF6TgBQVxYXXOp4PixHc1B+ICssbFM&#10;Ch7kYbXs9xaYaXvnd7rloRQRwj5DBVUIbSalLyoy6Me2JY7exTqDIUpXSu3wHuGmkZMkmUmDNceF&#10;CltaV1Rc82+jYE+7Y/o4283XZ/OTHy7rLZ5cqtRw0L2+gAjUhf/ws/2mFUwn8Pcl/g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QNfYxAAAANsAAAAPAAAAAAAAAAAA&#10;AAAAAKECAABkcnMvZG93bnJldi54bWxQSwUGAAAAAAQABAD5AAAAkgMAAAAA&#10;" strokecolor="#00b0f0"/>
              </v:group>
              <v:shape id="AutoShape 2031" o:spid="_x0000_s1040" type="#_x0000_t32" style="position:absolute;width:0;height:168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JBQsUAAADbAAAADwAAAGRycy9kb3ducmV2LnhtbESPT2vCQBTE74LfYXmCN7Ox0qLRVaxS&#10;7KWCf0C8PbLPJJh9G7JrkvbTdwsFj8PM/IZZrDpTioZqV1hWMI5iEMSp1QVnCs6nj9EUhPPIGkvL&#10;pOCbHKyW/d4CE21bPlBz9JkIEHYJKsi9rxIpXZqTQRfZijh4N1sb9EHWmdQ1tgFuSvkSx2/SYMFh&#10;IceKNjml9+PDKHidfnXt6Wc7Ky/vzWzvq52+7lip4aBbz0F46vwz/N/+1AomE/j7En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iJBQsUAAADbAAAADwAAAAAAAAAA&#10;AAAAAAChAgAAZHJzL2Rvd25yZXYueG1sUEsFBgAAAAAEAAQA+QAAAJMDAAAAAA==&#10;" strokecolor="#f6f"/>
              <v:shape id="AutoShape 2032" o:spid="_x0000_s1041" type="#_x0000_t32" style="position:absolute;left:794;width:0;height:168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vZNsYAAADbAAAADwAAAGRycy9kb3ducmV2LnhtbESPT2vCQBTE7wW/w/KE3nSj1WLSrGJb&#10;xF4s+AfE2yP7mgSzb0N2m6T99F1B6HGYmd8w6ao3lWipcaVlBZNxBII4s7rkXMHpuBktQDiPrLGy&#10;TAp+yMFqOXhIMdG24z21B5+LAGGXoILC+zqR0mUFGXRjWxMH78s2Bn2QTS51g12Am0pOo+hZGiw5&#10;LBRY01tB2fXwbRTMF7u+O/6+x9X5tY0/fb3Vly0r9Tjs1y8gPPX+P3xvf2gFTzO4fQk/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L2TbGAAAA2wAAAA8AAAAAAAAA&#10;AAAAAAAAoQIAAGRycy9kb3ducmV2LnhtbFBLBQYAAAAABAAEAPkAAACUAwAAAAA=&#10;" strokecolor="#f6f"/>
              <v:group id="Group 2033" o:spid="_x0000_s1042" style="position:absolute;left:1021;top:567;width:9865;height:15706" coordorigin="907,567" coordsize="9865,15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AutoShape 2034" o:spid="_x0000_s1043" type="#_x0000_t32" style="position:absolute;left:907;top:16273;width:98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LYA8QAAADbAAAADwAAAGRycy9kb3ducmV2LnhtbESPQWvCQBSE74L/YXmCF6kbLYSSupG2&#10;WvBkNW3vj+xLNjT7NmTXmP77rlDwOMzMN8xmO9pWDNT7xrGC1TIBQVw63XCt4Ovz/eEJhA/IGlvH&#10;pOCXPGzz6WSDmXZXPtNQhFpECPsMFZgQukxKXxqy6JeuI45e5XqLIcq+lrrHa4TbVq6TJJUWG44L&#10;Bjt6M1T+FBer4DRYcwrf+8v6eHhdJLT7SItqUGo+G1+eQQQawz383z5oBY8p3L7EHy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0tgDxAAAANsAAAAPAAAAAAAAAAAA&#10;AAAAAKECAABkcnMvZG93bnJldi54bWxQSwUGAAAAAAQABAD5AAAAkgMAAAAA&#10;" strokecolor="#002060"/>
                <v:shape id="AutoShape 2035" o:spid="_x0000_s1044" type="#_x0000_t32" style="position:absolute;left:907;top:14527;width:98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d0QMUAAADbAAAADwAAAGRycy9kb3ducmV2LnhtbESPQWvCQBSE74L/YXlCb3UTC62kriKi&#10;UNpLjZG2t0f2mQSzb8PuVmN/fVcQPA4z8w0zW/SmFSdyvrGsIB0nIIhLqxuuFBS7zeMUhA/IGlvL&#10;pOBCHhbz4WCGmbZn3tIpD5WIEPYZKqhD6DIpfVmTQT+2HXH0DtYZDFG6SmqH5wg3rZwkybM02HBc&#10;qLGjVU3lMf81Cj7ovUgvX3b9893+5Z+H1Qb3LlXqYdQvX0EE6sM9fGu/aQVPL3D9En+An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Td0QMUAAADbAAAADwAAAAAAAAAA&#10;AAAAAAChAgAAZHJzL2Rvd25yZXYueG1sUEsFBgAAAAAEAAQA+QAAAJMDAAAAAA==&#10;" strokecolor="#00b0f0"/>
                <v:shape id="AutoShape 2036" o:spid="_x0000_s1045" type="#_x0000_t32" style="position:absolute;left:907;top:567;width:98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Hp6sAAAADbAAAADwAAAGRycy9kb3ducmV2LnhtbERPy4rCMBTdC/MP4Q64EU1VkKEaxRkd&#10;cOWjo/tLc22KzU1pYu38vVkILg/nvVh1thItNb50rGA8SkAQ506XXCg4//0Ov0D4gKyxckwK/snD&#10;avnRW2Cq3YNP1GahEDGEfYoKTAh1KqXPDVn0I1cTR+7qGoshwqaQusFHDLeVnCTJTFosOTYYrOnH&#10;UH7L7lbBsbXmGC7b+2S/+x4ktDnMsmurVP+zW89BBOrCW/xy77SCaRwbv8QfIJ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cB6erAAAAA2wAAAA8AAAAAAAAAAAAAAAAA&#10;oQIAAGRycy9kb3ducmV2LnhtbFBLBQYAAAAABAAEAPkAAACOAwAAAAA=&#10;" strokecolor="#002060"/>
                <v:shape id="AutoShape 2037" o:spid="_x0000_s1046" type="#_x0000_t32" style="position:absolute;left:907;top:1439;width:98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qcUAAADbAAAADwAAAGRycy9kb3ducmV2LnhtbESPQWvCQBSE74L/YXlCb3UTC6WmriKi&#10;UNpLjZG2t0f2mQSzb8PuVmN/fVcQPA4z8w0zW/SmFSdyvrGsIB0nIIhLqxuuFBS7zeMLCB+QNbaW&#10;ScGFPCzmw8EMM23PvKVTHioRIewzVFCH0GVS+rImg35sO+LoHawzGKJ0ldQOzxFuWjlJkmdpsOG4&#10;UGNHq5rKY/5rFHzQe5Fevuz657v9yz8Pqw3uXarUw6hfvoII1Id7+NZ+0wqepnD9En+An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qcUAAADbAAAADwAAAAAAAAAA&#10;AAAAAAChAgAAZHJzL2Rvd25yZXYueG1sUEsFBgAAAAAEAAQA+QAAAJMDAAAAAA==&#10;" strokecolor="#00b0f0"/>
                <v:shape id="AutoShape 2038" o:spid="_x0000_s1047" type="#_x0000_t32" style="position:absolute;left:907;top:2312;width:98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ifScEAAADbAAAADwAAAGRycy9kb3ducmV2LnhtbERPz2vCMBS+D/wfwhO8zbQiMqpRRBTE&#10;XbZOUW+P5tkWm5eSRK3+9cthsOPH93u26Ewj7uR8bVlBOkxAEBdW11wq2P9s3j9A+ICssbFMCp7k&#10;YTHvvc0w0/bB33TPQyliCPsMFVQhtJmUvqjIoB/aljhyF+sMhghdKbXDRww3jRwlyUQarDk2VNjS&#10;qqLimt+Mgk/a7dPn0a7Pp+aVf11WGzy4VKlBv1tOQQTqwr/4z73VCsZxffwSf4C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2J9JwQAAANsAAAAPAAAAAAAAAAAAAAAA&#10;AKECAABkcnMvZG93bnJldi54bWxQSwUGAAAAAAQABAD5AAAAjwMAAAAA&#10;" strokecolor="#00b0f0"/>
                <v:shape id="AutoShape 2039" o:spid="_x0000_s1048" type="#_x0000_t32" style="position:absolute;left:907;top:3184;width:98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Q60sUAAADbAAAADwAAAGRycy9kb3ducmV2LnhtbESPT2sCMRTE70K/Q3gFb5rdUkS2xkWk&#10;QqkXu7VUb4/N2z+4eVmSVNd++qYgeBxm5jfMIh9MJ87kfGtZQTpNQBCXVrdcK9h/biZzED4ga+ws&#10;k4IreciXD6MFZtpe+IPORahFhLDPUEETQp9J6cuGDPqp7YmjV1lnMETpaqkdXiLcdPIpSWbSYMtx&#10;ocGe1g2Vp+LHKNjS+z69ftvX46H7LXbVeoNfLlVq/DisXkAEGsI9fGu/aQXPKfx/iT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Q60sUAAADbAAAADwAAAAAAAAAA&#10;AAAAAAChAgAAZHJzL2Rvd25yZXYueG1sUEsFBgAAAAAEAAQA+QAAAJMDAAAAAA==&#10;" strokecolor="#00b0f0"/>
                <v:shape id="AutoShape 2040" o:spid="_x0000_s1049" type="#_x0000_t32" style="position:absolute;left:907;top:4057;width:98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akpcQAAADbAAAADwAAAGRycy9kb3ducmV2LnhtbESPQWvCQBSE74L/YXmCN91ERCR1lSIK&#10;RS82VWxvj+wzCWbfht2txv76bkHocZiZb5jFqjONuJHztWUF6TgBQVxYXXOp4PixHc1B+ICssbFM&#10;Ch7kYbXs9xaYaXvnd7rloRQRwj5DBVUIbSalLyoy6Me2JY7exTqDIUpXSu3wHuGmkZMkmUmDNceF&#10;CltaV1Rc82+jYE+7Y/o4283XZ/OTHy7rLZ5cqtRw0L2+gAjUhf/ws/2mFUwn8Pcl/g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RqSlxAAAANsAAAAPAAAAAAAAAAAA&#10;AAAAAKECAABkcnMvZG93bnJldi54bWxQSwUGAAAAAAQABAD5AAAAkgMAAAAA&#10;" strokecolor="#00b0f0"/>
                <v:shape id="AutoShape 2041" o:spid="_x0000_s1050" type="#_x0000_t32" style="position:absolute;left:907;top:4929;width:98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oBPsUAAADbAAAADwAAAGRycy9kb3ducmV2LnhtbESPQWvCQBSE74L/YXlCb3UTW4qkriKi&#10;UNpLjZG2t0f2mQSzb8PuVmN/fVcQPA4z8w0zW/SmFSdyvrGsIB0nIIhLqxuuFBS7zeMUhA/IGlvL&#10;pOBCHhbz4WCGmbZn3tIpD5WIEPYZKqhD6DIpfVmTQT+2HXH0DtYZDFG6SmqH5wg3rZwkyYs02HBc&#10;qLGjVU3lMf81Cj7ovUgvX3b9893+5Z+H1Qb3LlXqYdQvX0EE6sM9fGu/aQXPT3D9En+An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oBPsUAAADbAAAADwAAAAAAAAAA&#10;AAAAAAChAgAAZHJzL2Rvd25yZXYueG1sUEsFBgAAAAAEAAQA+QAAAJMDAAAAAA==&#10;" strokecolor="#00b0f0"/>
                <v:shape id="AutoShape 2042" o:spid="_x0000_s1051" type="#_x0000_t32" style="position:absolute;left:907;top:5802;width:98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OZSsUAAADbAAAADwAAAGRycy9kb3ducmV2LnhtbESPT2sCMRTE7wW/Q3hCbzW7RUpZjYuI&#10;Qmkvdauot8fm7R/cvCxJqms/fSMUehxm5jfMPB9MJy7kfGtZQTpJQBCXVrdcK9h9bZ5eQfiArLGz&#10;TApu5CFfjB7mmGl75S1dilCLCGGfoYImhD6T0pcNGfQT2xNHr7LOYIjS1VI7vEa46eRzkrxIgy3H&#10;hQZ7WjVUnotvo+CD3nfp7WDXp2P3U3xWqw3uXarU43hYzkAEGsJ/+K/9phVMp3D/En+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OZSsUAAADbAAAADwAAAAAAAAAA&#10;AAAAAAChAgAAZHJzL2Rvd25yZXYueG1sUEsFBgAAAAAEAAQA+QAAAJMDAAAAAA==&#10;" strokecolor="#00b0f0"/>
                <v:shape id="AutoShape 2043" o:spid="_x0000_s1052" type="#_x0000_t32" style="position:absolute;left:907;top:6674;width:98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880cUAAADbAAAADwAAAGRycy9kb3ducmV2LnhtbESPQWvCQBSE74L/YXlCb3UTaYukriKi&#10;UNpLjZG2t0f2mQSzb8PuVmN/fVcQPA4z8w0zW/SmFSdyvrGsIB0nIIhLqxuuFBS7zeMUhA/IGlvL&#10;pOBCHhbz4WCGmbZn3tIpD5WIEPYZKqhD6DIpfVmTQT+2HXH0DtYZDFG6SmqH5wg3rZwkyYs02HBc&#10;qLGjVU3lMf81Cj7ovUgvX3b9893+5Z+H1Qb3LlXqYdQvX0EE6sM9fGu/aQVPz3D9En+An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880cUAAADbAAAADwAAAAAAAAAA&#10;AAAAAAChAgAAZHJzL2Rvd25yZXYueG1sUEsFBgAAAAAEAAQA+QAAAJMDAAAAAA==&#10;" strokecolor="#00b0f0"/>
                <v:shape id="AutoShape 2044" o:spid="_x0000_s1053" type="#_x0000_t32" style="position:absolute;left:907;top:7547;width:98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2ipsUAAADbAAAADwAAAGRycy9kb3ducmV2LnhtbESPT2sCMRTE70K/Q3iF3jS7UkS2xqVI&#10;BbGXdrW0vT02b//QzcuSRF399KYgeBxm5jfMIh9MJ47kfGtZQTpJQBCXVrdcK9jv1uM5CB+QNXaW&#10;ScGZPOTLh9ECM21P/EnHItQiQthnqKAJoc+k9GVDBv3E9sTRq6wzGKJ0tdQOTxFuOjlNkpk02HJc&#10;aLCnVUPlX3EwCt5pu0/P3/bt96e7FB/Vao1fLlXq6XF4fQERaAj38K290QqeZ/D/Jf4A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n2ipsUAAADbAAAADwAAAAAAAAAA&#10;AAAAAAChAgAAZHJzL2Rvd25yZXYueG1sUEsFBgAAAAAEAAQA+QAAAJMDAAAAAA==&#10;" strokecolor="#00b0f0"/>
                <v:shape id="AutoShape 2045" o:spid="_x0000_s1054" type="#_x0000_t32" style="position:absolute;left:907;top:8420;width:98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EHPcUAAADbAAAADwAAAGRycy9kb3ducmV2LnhtbESPQWvCQBSE74L/YXlCb3UTKa2kriKi&#10;UNpLjZG2t0f2mQSzb8PuVmN/fVcQPA4z8w0zW/SmFSdyvrGsIB0nIIhLqxuuFBS7zeMUhA/IGlvL&#10;pOBCHhbz4WCGmbZn3tIpD5WIEPYZKqhD6DIpfVmTQT+2HXH0DtYZDFG6SmqH5wg3rZwkybM02HBc&#10;qLGjVU3lMf81Cj7ovUgvX3b9893+5Z+H1Qb3LlXqYdQvX0EE6sM9fGu/aQVPL3D9En+An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TEHPcUAAADbAAAADwAAAAAAAAAA&#10;AAAAAAChAgAAZHJzL2Rvd25yZXYueG1sUEsFBgAAAAAEAAQA+QAAAJMDAAAAAA==&#10;" strokecolor="#00b0f0"/>
                <v:shape id="AutoShape 2046" o:spid="_x0000_s1055" type="#_x0000_t32" style="position:absolute;left:907;top:9292;width:98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6TT8EAAADbAAAADwAAAGRycy9kb3ducmV2LnhtbERPz2vCMBS+D/wfwhO8zbQiMqpRRBTE&#10;XbZOUW+P5tkWm5eSRK3+9cthsOPH93u26Ewj7uR8bVlBOkxAEBdW11wq2P9s3j9A+ICssbFMCp7k&#10;YTHvvc0w0/bB33TPQyliCPsMFVQhtJmUvqjIoB/aljhyF+sMhghdKbXDRww3jRwlyUQarDk2VNjS&#10;qqLimt+Mgk/a7dPn0a7Pp+aVf11WGzy4VKlBv1tOQQTqwr/4z73VCsZxbPwSf4C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rpNPwQAAANsAAAAPAAAAAAAAAAAAAAAA&#10;AKECAABkcnMvZG93bnJldi54bWxQSwUGAAAAAAQABAD5AAAAjwMAAAAA&#10;" strokecolor="#00b0f0"/>
                <v:shape id="AutoShape 2047" o:spid="_x0000_s1056" type="#_x0000_t32" style="position:absolute;left:907;top:10165;width:98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21MUAAADbAAAADwAAAGRycy9kb3ducmV2LnhtbESPQWvCQBSE74L/YXlCb3UTKaWmriKi&#10;UNpLjZG2t0f2mQSzb8PuVmN/fVcQPA4z8w0zW/SmFSdyvrGsIB0nIIhLqxuuFBS7zeMLCB+QNbaW&#10;ScGFPCzmw8EMM23PvKVTHioRIewzVFCH0GVS+rImg35sO+LoHawzGKJ0ldQOzxFuWjlJkmdpsOG4&#10;UGNHq5rKY/5rFHzQe5Fevuz657v9yz8Pqw3uXarUw6hfvoII1Id7+NZ+0wqepnD9En+An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21MUAAADbAAAADwAAAAAAAAAA&#10;AAAAAAChAgAAZHJzL2Rvd25yZXYueG1sUEsFBgAAAAAEAAQA+QAAAJMDAAAAAA==&#10;" strokecolor="#00b0f0"/>
                <v:shape id="AutoShape 2048" o:spid="_x0000_s1057" type="#_x0000_t32" style="position:absolute;left:907;top:11037;width:98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EJlMEAAADbAAAADwAAAGRycy9kb3ducmV2LnhtbERPz2vCMBS+D/wfwhO8zbSCMqpRRBTE&#10;XbZOUW+P5tkWm5eSRK3+9cthsOPH93u26Ewj7uR8bVlBOkxAEBdW11wq2P9s3j9A+ICssbFMCp7k&#10;YTHvvc0w0/bB33TPQyliCPsMFVQhtJmUvqjIoB/aljhyF+sMhghdKbXDRww3jRwlyUQarDk2VNjS&#10;qqLimt+Mgk/a7dPn0a7Pp+aVf11WGzy4VKlBv1tOQQTqwr/4z73VCsZxffwSf4C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AQmUwQAAANsAAAAPAAAAAAAAAAAAAAAA&#10;AKECAABkcnMvZG93bnJldi54bWxQSwUGAAAAAAQABAD5AAAAjwMAAAAA&#10;" strokecolor="#00b0f0"/>
                <v:shape id="AutoShape 2049" o:spid="_x0000_s1058" type="#_x0000_t32" style="position:absolute;left:907;top:11910;width:98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2sD8UAAADbAAAADwAAAGRycy9kb3ducmV2LnhtbESPT2sCMRTE70K/Q3gFb5rdQkW2xkWk&#10;QqkXu7VUb4/N2z+4eVmSVNd++qYgeBxm5jfMIh9MJ87kfGtZQTpNQBCXVrdcK9h/biZzED4ga+ws&#10;k4IreciXD6MFZtpe+IPORahFhLDPUEETQp9J6cuGDPqp7YmjV1lnMETpaqkdXiLcdPIpSWbSYMtx&#10;ocGe1g2Vp+LHKNjS+z69ftvX46H7LXbVeoNfLlVq/DisXkAEGsI9fGu/aQXPKfx/iT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E2sD8UAAADbAAAADwAAAAAAAAAA&#10;AAAAAAChAgAAZHJzL2Rvd25yZXYueG1sUEsFBgAAAAAEAAQA+QAAAJMDAAAAAA==&#10;" strokecolor="#00b0f0"/>
                <v:shape id="AutoShape 2050" o:spid="_x0000_s1059" type="#_x0000_t32" style="position:absolute;left:907;top:12782;width:98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8yeMQAAADbAAAADwAAAGRycy9kb3ducmV2LnhtbESPQWvCQBSE74L/YXmCN91EUCR1lSIK&#10;RS82VWxvj+wzCWbfht2txv76bkHocZiZb5jFqjONuJHztWUF6TgBQVxYXXOp4PixHc1B+ICssbFM&#10;Ch7kYbXs9xaYaXvnd7rloRQRwj5DBVUIbSalLyoy6Me2JY7exTqDIUpXSu3wHuGmkZMkmUmDNceF&#10;CltaV1Rc82+jYE+7Y/o4283XZ/OTHy7rLZ5cqtRw0L2+gAjUhf/ws/2mFUwn8Pcl/g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nzJ4xAAAANsAAAAPAAAAAAAAAAAA&#10;AAAAAKECAABkcnMvZG93bnJldi54bWxQSwUGAAAAAAQABAD5AAAAkgMAAAAA&#10;" strokecolor="#00b0f0"/>
                <v:shape id="AutoShape 2051" o:spid="_x0000_s1060" type="#_x0000_t32" style="position:absolute;left:907;top:13655;width:98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OX48UAAADbAAAADwAAAGRycy9kb3ducmV2LnhtbESPQWvCQBSE74L/YXlCb3UTS4ukriKi&#10;UNpLjZG2t0f2mQSzb8PuVmN/fVcQPA4z8w0zW/SmFSdyvrGsIB0nIIhLqxuuFBS7zeMUhA/IGlvL&#10;pOBCHhbz4WCGmbZn3tIpD5WIEPYZKqhD6DIpfVmTQT+2HXH0DtYZDFG6SmqH5wg3rZwkyYs02HBc&#10;qLGjVU3lMf81Cj7ovUgvX3b9893+5Z+H1Qb3LlXqYdQvX0EE6sM9fGu/aQXPT3D9En+An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9OX48UAAADbAAAADwAAAAAAAAAA&#10;AAAAAAChAgAAZHJzL2Rvd25yZXYueG1sUEsFBgAAAAAEAAQA+QAAAJMDAAAAAA==&#10;" strokecolor="#00b0f0"/>
                <v:shape id="AutoShape 2052" o:spid="_x0000_s1061" type="#_x0000_t32" style="position:absolute;left:907;top:15400;width:98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oPl8UAAADbAAAADwAAAGRycy9kb3ducmV2LnhtbESPQWvCQBSE74L/YXlCb3UTaYukriKi&#10;UNpLjZG2t0f2mQSzb8PuVmN/fVcQPA4z8w0zW/SmFSdyvrGsIB0nIIhLqxuuFBS7zeMUhA/IGlvL&#10;pOBCHhbz4WCGmbZn3tIpD5WIEPYZKqhD6DIpfVmTQT+2HXH0DtYZDFG6SmqH5wg3rZwkyYs02HBc&#10;qLGjVU3lMf81Cj7ovUgvX3b9893+5Z+H1Qb3LlXqYdQvX0EE6sM9fGu/aQXPT3D9En+An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oPl8UAAADbAAAADwAAAAAAAAAA&#10;AAAAAAChAgAAZHJzL2Rvd25yZXYueG1sUEsFBgAAAAAEAAQA+QAAAJMDAAAAAA==&#10;" strokecolor="#00b0f0"/>
              </v:group>
              <v:group id="Group 2053" o:spid="_x0000_s1062" style="position:absolute;left:1633;top:567;width:9251;height:15704" coordorigin="1635,567" coordsize="9251,157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AutoShape 2054" o:spid="_x0000_s1063" type="#_x0000_t32" style="position:absolute;left:1635;top:567;width:0;height:157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ugCcUAAADbAAAADwAAAGRycy9kb3ducmV2LnhtbESPQWvCQBSE74L/YXlCb3UToaWmriKi&#10;UNpLjZG2t0f2mQSzb8PuVmN/fVcQPA4z8w0zW/SmFSdyvrGsIB0nIIhLqxuuFBS7zeMLCB+QNbaW&#10;ScGFPCzmw8EMM23PvKVTHioRIewzVFCH0GVS+rImg35sO+LoHawzGKJ0ldQOzxFuWjlJkmdpsOG4&#10;UGNHq5rKY/5rFHzQe5Fevuz657v9yz8Pqw3uXarUw6hfvoII1Id7+NZ+0wqepnD9En+An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jugCcUAAADbAAAADwAAAAAAAAAA&#10;AAAAAAChAgAAZHJzL2Rvd25yZXYueG1sUEsFBgAAAAAEAAQA+QAAAJMDAAAAAA==&#10;" strokecolor="#00b0f0"/>
                <v:shape id="AutoShape 2055" o:spid="_x0000_s1064" type="#_x0000_t32" style="position:absolute;left:2476;top:567;width:0;height:157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3DKcEAAADbAAAADwAAAGRycy9kb3ducmV2LnhtbERPTYvCMBC9L/gfwgje1rQeZOkaRURB&#10;1otbXdTb0IxtsZmUJKvVX28OgsfH+57MOtOIKzlfW1aQDhMQxIXVNZcK9rvV5xcIH5A1NpZJwZ08&#10;zKa9jwlm2t74l655KEUMYZ+hgiqENpPSFxUZ9EPbEkfubJ3BEKErpXZ4i+GmkaMkGUuDNceGClta&#10;VFRc8n+jYEM/+/R+sMvTsXnk2/NihX8uVWrQ7+bfIAJ14S1+uddawTiuj1/iD5DT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bcMpwQAAANsAAAAPAAAAAAAAAAAAAAAA&#10;AKECAABkcnMvZG93bnJldi54bWxQSwUGAAAAAAQABAD5AAAAjwMAAAAA&#10;" strokecolor="#00b0f0"/>
                <v:shape id="AutoShape 2056" o:spid="_x0000_s1065" type="#_x0000_t32" style="position:absolute;left:3317;top:567;width:0;height:157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hvasMAAADbAAAADwAAAGRycy9kb3ducmV2LnhtbESPQWvCQBSE7wX/w/IEL0U3eggluora&#10;Cp6qRr0/ss9sMPs2ZNeY/vtuQehxmJlvmMWqt7XoqPWVYwXTSQKCuHC64lLB5bwbf4DwAVlj7ZgU&#10;/JCH1XLwtsBMuyefqMtDKSKEfYYKTAhNJqUvDFn0E9cQR+/mWoshyraUusVnhNtazpIklRYrjgsG&#10;G9oaKu75wyo4dtYcw/XrMfveb94T+jyk+a1TajTs13MQgfrwH36191pBOoW/L/E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Ib2rDAAAA2wAAAA8AAAAAAAAAAAAA&#10;AAAAoQIAAGRycy9kb3ducmV2LnhtbFBLBQYAAAAABAAEAPkAAACRAwAAAAA=&#10;" strokecolor="#002060"/>
                <v:shape id="AutoShape 2057" o:spid="_x0000_s1066" type="#_x0000_t32" style="position:absolute;left:4158;top:567;width:0;height:157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P4xcUAAADbAAAADwAAAGRycy9kb3ducmV2LnhtbESPT2sCMRTE74LfITyhN82uBymrcSmi&#10;IO2l3Sq2t8fm7R+6eVmSVNd+eiMUPA4z8xtmlQ+mE2dyvrWsIJ0lIIhLq1uuFRw+d9NnED4ga+ws&#10;k4IrecjX49EKM20v/EHnItQiQthnqKAJoc+k9GVDBv3M9sTRq6wzGKJ0tdQOLxFuOjlPkoU02HJc&#10;aLCnTUPlT/FrFLzR6yG9nuz2+6v7K96rzQ6PLlXqaTK8LEEEGsIj/N/eawWLOdy/xB8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vP4xcUAAADbAAAADwAAAAAAAAAA&#10;AAAAAAChAgAAZHJzL2Rvd25yZXYueG1sUEsFBgAAAAAEAAQA+QAAAJMDAAAAAA==&#10;" strokecolor="#00b0f0"/>
                <v:shape id="AutoShape 2058" o:spid="_x0000_s1067" type="#_x0000_t32" style="position:absolute;left:4999;top:567;width:0;height:157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9dXsUAAADbAAAADwAAAGRycy9kb3ducmV2LnhtbESPT2sCMRTE70K/Q3iF3jS7FkS2xqVI&#10;BbGXdrW0vT02b//QzcuSRF399KYgeBxm5jfMIh9MJ47kfGtZQTpJQBCXVrdcK9jv1uM5CB+QNXaW&#10;ScGZPOTLh9ECM21P/EnHItQiQthnqKAJoc+k9GVDBv3E9sTRq6wzGKJ0tdQOTxFuOjlNkpk02HJc&#10;aLCnVUPlX3EwCt5pu0/P3/bt96e7FB/Vao1fLlXq6XF4fQERaAj38K290Qpmz/D/Jf4A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9dXsUAAADbAAAADwAAAAAAAAAA&#10;AAAAAAChAgAAZHJzL2Rvd25yZXYueG1sUEsFBgAAAAAEAAQA+QAAAJMDAAAAAA==&#10;" strokecolor="#00b0f0"/>
                <v:shape id="AutoShape 2059" o:spid="_x0000_s1068" type="#_x0000_t32" style="position:absolute;left:5840;top:567;width:0;height:157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M8sQAAADbAAAADwAAAGRycy9kb3ducmV2LnhtbESPQWvCQBSE74L/YXmCF6kbpYSSupG2&#10;WvBkNW3vj+xLNjT7NmTXmP77rlDwOMzMN8xmO9pWDNT7xrGC1TIBQVw63XCt4Ovz/eEJhA/IGlvH&#10;pOCXPGzz6WSDmXZXPtNQhFpECPsMFZgQukxKXxqy6JeuI45e5XqLIcq+lrrHa4TbVq6TJJUWG44L&#10;Bjt6M1T+FBer4DRYcwrf+8v6eHhdJLT7SItqUGo+G1+eQQQawz383z5oBekj3L7EHy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8zyxAAAANsAAAAPAAAAAAAAAAAA&#10;AAAAAKECAABkcnMvZG93bnJldi54bWxQSwUGAAAAAAQABAD5AAAAkgMAAAAA&#10;" strokecolor="#002060"/>
                <v:shape id="AutoShape 2060" o:spid="_x0000_s1069" type="#_x0000_t32" style="position:absolute;left:6681;top:567;width:0;height:157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pgscUAAADbAAAADwAAAGRycy9kb3ducmV2LnhtbESPT2sCMRTE70K/Q3iF3jS7QkW2xqVI&#10;BbGXdrW0vT02b//QzcuSRF399KYgeBxm5jfMIh9MJ47kfGtZQTpJQBCXVrdcK9jv1uM5CB+QNXaW&#10;ScGZPOTLh9ECM21P/EnHItQiQthnqKAJoc+k9GVDBv3E9sTRq6wzGKJ0tdQOTxFuOjlNkpk02HJc&#10;aLCnVUPlX3EwCt5pu0/P3/bt96e7FB/Vao1fLlXq6XF4fQERaAj38K290Qpmz/D/Jf4A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pgscUAAADbAAAADwAAAAAAAAAA&#10;AAAAAAChAgAAZHJzL2Rvd25yZXYueG1sUEsFBgAAAAAEAAQA+QAAAJMDAAAAAA==&#10;" strokecolor="#00b0f0"/>
                <v:shape id="AutoShape 2061" o:spid="_x0000_s1070" type="#_x0000_t32" style="position:absolute;left:7522;top:567;width:0;height:157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j+xsQAAADbAAAADwAAAGRycy9kb3ducmV2LnhtbESPQWvCQBSE7wX/w/IEb3UTD6FEVxFR&#10;kHppU0W9PbLPJJh9G3a3Gvvru4WCx2FmvmFmi9604kbON5YVpOMEBHFpdcOVgv3X5vUNhA/IGlvL&#10;pOBBHhbzwcsMc23v/Em3IlQiQtjnqKAOocul9GVNBv3YdsTRu1hnMETpKqkd3iPctHKSJJk02HBc&#10;qLGjVU3ltfg2Cnb0vk8fR7s+n9qf4uOy2uDBpUqNhv1yCiJQH57h//ZWK8gy+PsSf4C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yP7GxAAAANsAAAAPAAAAAAAAAAAA&#10;AAAAAKECAABkcnMvZG93bnJldi54bWxQSwUGAAAAAAQABAD5AAAAkgMAAAAA&#10;" strokecolor="#00b0f0"/>
                <v:shape id="AutoShape 2062" o:spid="_x0000_s1071" type="#_x0000_t32" style="position:absolute;left:8363;top:567;width:0;height:157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1ShcMAAADbAAAADwAAAGRycy9kb3ducmV2LnhtbESPQWvCQBSE70L/w/IKvYhu6iGV6Cpq&#10;K3iyNur9kX1mg9m3IbvG+O/dQqHHYWa+YebL3taio9ZXjhW8jxMQxIXTFZcKTsftaArCB2SNtWNS&#10;8CAPy8XLYI6Zdnf+oS4PpYgQ9hkqMCE0mZS+MGTRj11DHL2Lay2GKNtS6hbvEW5rOUmSVFqsOC4Y&#10;bGhjqLjmN6vg0FlzCOev22S/Ww8T+vxO80un1Ntrv5qBCNSH//Bfe6cVpB/w+yX+ALl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tUoXDAAAA2wAAAA8AAAAAAAAAAAAA&#10;AAAAoQIAAGRycy9kb3ducmV2LnhtbFBLBQYAAAAABAAEAPkAAACRAwAAAAA=&#10;" strokecolor="#002060"/>
                <v:shape id="AutoShape 2063" o:spid="_x0000_s1072" type="#_x0000_t32" style="position:absolute;left:9204;top:567;width:0;height:157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vPL8EAAADbAAAADwAAAGRycy9kb3ducmV2LnhtbERPTYvCMBC9L/gfwgje1rQeZOkaRURB&#10;1otbXdTb0IxtsZmUJKvVX28OgsfH+57MOtOIKzlfW1aQDhMQxIXVNZcK9rvV5xcIH5A1NpZJwZ08&#10;zKa9jwlm2t74l655KEUMYZ+hgiqENpPSFxUZ9EPbEkfubJ3BEKErpXZ4i+GmkaMkGUuDNceGClta&#10;VFRc8n+jYEM/+/R+sMvTsXnk2/NihX8uVWrQ7+bfIAJ14S1+uddawTiOjV/iD5DT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G88vwQAAANsAAAAPAAAAAAAAAAAAAAAA&#10;AKECAABkcnMvZG93bnJldi54bWxQSwUGAAAAAAQABAD5AAAAjwMAAAAA&#10;" strokecolor="#00b0f0"/>
                <v:shape id="AutoShape 2064" o:spid="_x0000_s1073" type="#_x0000_t32" style="position:absolute;left:10045;top:567;width:0;height:157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dqtMUAAADbAAAADwAAAGRycy9kb3ducmV2LnhtbESPT2sCMRTE7wW/Q3hCbzW7PUi7GhcR&#10;hdJe6lZRb4/N2z+4eVmSVNd++kYo9DjMzG+YeT6YTlzI+daygnSSgCAurW65VrD72jy9gPABWWNn&#10;mRTcyEO+GD3MMdP2ylu6FKEWEcI+QwVNCH0mpS8bMugntieOXmWdwRClq6V2eI1w08nnJJlKgy3H&#10;hQZ7WjVUnotvo+CD3nfp7WDXp2P3U3xWqw3uXarU43hYzkAEGsJ/+K/9phVMX+H+Jf4A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FdqtMUAAADbAAAADwAAAAAAAAAA&#10;AAAAAAChAgAAZHJzL2Rvd25yZXYueG1sUEsFBgAAAAAEAAQA+QAAAJMDAAAAAA==&#10;" strokecolor="#00b0f0"/>
                <v:shape id="AutoShape 2065" o:spid="_x0000_s1074" type="#_x0000_t32" style="position:absolute;left:10886;top:567;width:0;height:157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1cLMEAAADbAAAADwAAAGRycy9kb3ducmV2LnhtbERPu27CMBTdK/EP1kXqUhWnGSgKGFRo&#10;kTK1EMp+FV/iqPF1FDsP/r4eKnU8Ou/NbrKNGKjztWMFL4sEBHHpdM2Vgu/L8XkFwgdkjY1jUnAn&#10;D7vt7GGDmXYjn2koQiViCPsMFZgQ2kxKXxqy6BeuJY7czXUWQ4RdJXWHYwy3jUyTZCkt1hwbDLZ0&#10;MFT+FL1VcBqsOYXrR59+5vunhN6/lsVtUOpxPr2tQQSawr/4z51rBa9xffwSf4D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VwswQAAANsAAAAPAAAAAAAAAAAAAAAA&#10;AKECAABkcnMvZG93bnJldi54bWxQSwUGAAAAAAQABAD5AAAAjwMAAAAA&#10;" strokecolor="#002060"/>
              </v:group>
              <w10:wrap anchorx="page" anchory="page"/>
            </v:group>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AC7" w:rsidRPr="009B05E3" w:rsidRDefault="00420464" w:rsidP="009B05E3">
    <w:pPr>
      <w:pStyle w:val="Header"/>
    </w:pPr>
    <w:fldSimple w:instr=" STYLEREF &quot;Heading 4&quot; ">
      <w:r w:rsidR="00542564">
        <w:rPr>
          <w:noProof/>
        </w:rPr>
        <w:t>Guides modification document</w:t>
      </w:r>
    </w:fldSimple>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AC7" w:rsidRDefault="00990AC7" w:rsidP="0091050E">
    <w:pPr>
      <w:pStyle w:val="Header-FirstPage"/>
    </w:pPr>
  </w:p>
  <w:p w:rsidR="00990AC7" w:rsidRPr="007E5215" w:rsidRDefault="00990AC7" w:rsidP="007E5215">
    <w:pPr>
      <w:pStyle w:val="FirstPagePanelFrame-Contents"/>
      <w:framePr w:wrap="notBeside"/>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AC7" w:rsidRPr="00C151DD" w:rsidRDefault="00990AC7" w:rsidP="00C151DD">
    <w:pPr>
      <w:pStyle w:val="Header-Even"/>
    </w:pPr>
    <w:r>
      <w:rPr>
        <w:noProof/>
        <w:snapToGrid/>
        <w:lang w:eastAsia="en-AU"/>
      </w:rPr>
      <w:fldChar w:fldCharType="begin"/>
    </w:r>
    <w:r>
      <w:rPr>
        <w:noProof/>
        <w:snapToGrid/>
        <w:lang w:eastAsia="en-AU"/>
      </w:rPr>
      <w:instrText xml:space="preserve"> STYLEREF "Heading 4" </w:instrText>
    </w:r>
    <w:r>
      <w:rPr>
        <w:noProof/>
        <w:snapToGrid/>
        <w:lang w:eastAsia="en-AU"/>
      </w:rPr>
      <w:fldChar w:fldCharType="separate"/>
    </w:r>
    <w:r w:rsidR="00542564">
      <w:rPr>
        <w:noProof/>
        <w:snapToGrid/>
        <w:lang w:eastAsia="en-AU"/>
      </w:rPr>
      <w:t>Guides modification document</w:t>
    </w:r>
    <w:r>
      <w:rPr>
        <w:noProof/>
        <w:snapToGrid/>
        <w:lang w:eastAsia="en-AU"/>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AC7" w:rsidRPr="00C151DD" w:rsidRDefault="00990AC7" w:rsidP="00C151DD">
    <w:pPr>
      <w:pStyle w:val="Header"/>
    </w:pPr>
    <w:r>
      <w:rPr>
        <w:noProof/>
        <w:snapToGrid/>
        <w:lang w:eastAsia="en-AU"/>
      </w:rPr>
      <w:fldChar w:fldCharType="begin"/>
    </w:r>
    <w:r>
      <w:rPr>
        <w:noProof/>
        <w:snapToGrid/>
        <w:lang w:eastAsia="en-AU"/>
      </w:rPr>
      <w:instrText xml:space="preserve"> STYLEREF "Heading 4" </w:instrText>
    </w:r>
    <w:r>
      <w:rPr>
        <w:noProof/>
        <w:snapToGrid/>
        <w:lang w:eastAsia="en-AU"/>
      </w:rPr>
      <w:fldChar w:fldCharType="separate"/>
    </w:r>
    <w:r w:rsidR="00F10EB0">
      <w:rPr>
        <w:noProof/>
        <w:snapToGrid/>
        <w:lang w:eastAsia="en-AU"/>
      </w:rPr>
      <w:t>Guides modification document</w:t>
    </w:r>
    <w:r>
      <w:rPr>
        <w:noProof/>
        <w:snapToGrid/>
        <w:lang w:eastAsia="en-AU"/>
      </w:rP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AC7" w:rsidRDefault="00990AC7" w:rsidP="00967C0A">
    <w:pPr>
      <w:pStyle w:val="Header"/>
    </w:pPr>
  </w:p>
  <w:p w:rsidR="00990AC7" w:rsidRPr="0097760A" w:rsidRDefault="00990AC7" w:rsidP="0059630D">
    <w:pPr>
      <w:pStyle w:val="FirstPagePanelFrame"/>
      <w:framePr w:wrap="notBeside"/>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AC7" w:rsidRPr="005B4BF3" w:rsidRDefault="00990AC7" w:rsidP="005B4BF3">
    <w:pPr>
      <w:pStyle w:val="Header"/>
    </w:pPr>
    <w:r>
      <w:rPr>
        <w:noProof/>
        <w:snapToGrid/>
        <w:lang w:eastAsia="en-AU"/>
      </w:rPr>
      <mc:AlternateContent>
        <mc:Choice Requires="wps">
          <w:drawing>
            <wp:anchor distT="0" distB="0" distL="114300" distR="114300" simplePos="1" relativeHeight="252182528" behindDoc="1" locked="1" layoutInCell="1" allowOverlap="1" wp14:anchorId="1E69604D" wp14:editId="4BA01A00">
              <wp:simplePos x="0" y="0"/>
              <wp:positionH relativeFrom="page">
                <wp:posOffset>259080</wp:posOffset>
              </wp:positionH>
              <wp:positionV relativeFrom="page">
                <wp:posOffset>259080</wp:posOffset>
              </wp:positionV>
              <wp:extent cx="7041600" cy="10173600"/>
              <wp:effectExtent l="0" t="0" r="26035" b="18415"/>
              <wp:wrapNone/>
              <wp:docPr id="153" name="Rectangle 153" descr="BackCoverBlock"/>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ltGray">
                      <a:xfrm>
                        <a:off x="0" y="0"/>
                        <a:ext cx="7041600" cy="10173600"/>
                      </a:xfrm>
                      <a:prstGeom prst="rect">
                        <a:avLst/>
                      </a:prstGeom>
                      <a:solidFill>
                        <a:schemeClr val="tx2"/>
                      </a:solidFill>
                      <a:ln w="0" cmpd="sng">
                        <a:solidFill>
                          <a:schemeClr val="tx2"/>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3" o:spid="_x0000_s1026" alt="BackCoverBlock" style="position:absolute;margin-left:20.4pt;margin-top:20.4pt;width:554.45pt;height:801.05pt;z-index:-25113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" fillcolor="#a32020 [3215]" strokecolor="#a32020 [3215]" strokeweight="0">
              <v:path arrowok="t"/>
              <w10:wrap anchorx="page" anchory="page"/>
              <w10:anchorlock/>
            </v:rect>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AC7" w:rsidRPr="00A84ADF" w:rsidRDefault="00990AC7" w:rsidP="003333C5">
    <w:pPr>
      <w:pStyle w:val="Header-Even"/>
    </w:pPr>
  </w:p>
  <w:p w:rsidR="00990AC7" w:rsidRPr="003333C5" w:rsidRDefault="00990AC7" w:rsidP="003333C5">
    <w:pPr>
      <w:pStyle w:val="Header"/>
    </w:pPr>
    <w:r>
      <w:rPr>
        <w:noProof/>
        <w:snapToGrid/>
        <w:lang w:eastAsia="en-AU"/>
      </w:rPr>
      <mc:AlternateContent>
        <mc:Choice Requires="wps">
          <w:drawing>
            <wp:anchor distT="0" distB="0" distL="114300" distR="114300" simplePos="0" relativeHeight="252180480" behindDoc="1" locked="1" layoutInCell="1" allowOverlap="1" wp14:anchorId="48DEEB9C" wp14:editId="2B01A6DA">
              <wp:simplePos x="0" y="0"/>
              <wp:positionH relativeFrom="page">
                <wp:posOffset>259080</wp:posOffset>
              </wp:positionH>
              <wp:positionV relativeFrom="page">
                <wp:posOffset>259080</wp:posOffset>
              </wp:positionV>
              <wp:extent cx="7041600" cy="10173600"/>
              <wp:effectExtent l="0" t="0" r="26035" b="18415"/>
              <wp:wrapNone/>
              <wp:docPr id="3" name="Rectangle 3" descr="BackCoverBlock"/>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ltGray">
                      <a:xfrm>
                        <a:off x="0" y="0"/>
                        <a:ext cx="7041600" cy="10173600"/>
                      </a:xfrm>
                      <a:prstGeom prst="rect">
                        <a:avLst/>
                      </a:prstGeom>
                      <a:solidFill>
                        <a:schemeClr val="tx2"/>
                      </a:solidFill>
                      <a:ln w="0" cmpd="sng">
                        <a:solidFill>
                          <a:schemeClr val="tx2"/>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alt="BackCoverBlock" style="position:absolute;margin-left:20.4pt;margin-top:20.4pt;width:554.45pt;height:801.05pt;z-index:-25113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" fillcolor="#a32020 [3215]" strokecolor="#a32020 [3215]" strokeweight="0">
              <v:path arrowok="t"/>
              <w10:wrap anchorx="page" anchory="page"/>
              <w10:anchorlock/>
            </v:rect>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AC7" w:rsidRDefault="00990AC7" w:rsidP="005236F7">
    <w:pPr>
      <w:pStyle w:val="Header"/>
    </w:pPr>
  </w:p>
  <w:p w:rsidR="00990AC7" w:rsidRDefault="00990AC7" w:rsidP="005236F7">
    <w:pPr>
      <w:pStyle w:val="Header"/>
    </w:pPr>
  </w:p>
  <w:p w:rsidR="00990AC7" w:rsidRDefault="00990AC7" w:rsidP="005236F7">
    <w:pPr>
      <w:pStyle w:val="Header"/>
    </w:pPr>
  </w:p>
  <w:p w:rsidR="00990AC7" w:rsidRPr="005236F7" w:rsidRDefault="00990AC7" w:rsidP="005236F7">
    <w:pPr>
      <w:pStyle w:val="Header"/>
    </w:pPr>
    <w:r>
      <w:rPr>
        <w:noProof/>
        <w:snapToGrid/>
        <w:lang w:eastAsia="en-AU"/>
      </w:rPr>
      <mc:AlternateContent>
        <mc:Choice Requires="wps">
          <w:drawing>
            <wp:anchor distT="0" distB="0" distL="114300" distR="114300" simplePos="1" relativeHeight="252181504" behindDoc="1" locked="1" layoutInCell="1" allowOverlap="1" wp14:anchorId="282B390A" wp14:editId="1D380C3A">
              <wp:simplePos x="0" y="0"/>
              <wp:positionH relativeFrom="page">
                <wp:posOffset>259080</wp:posOffset>
              </wp:positionH>
              <wp:positionV relativeFrom="page">
                <wp:posOffset>259080</wp:posOffset>
              </wp:positionV>
              <wp:extent cx="7041600" cy="10173600"/>
              <wp:effectExtent l="0" t="0" r="26035" b="18415"/>
              <wp:wrapNone/>
              <wp:docPr id="4" name="Rectangle 4" descr="BackCoverBlock"/>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ltGray">
                      <a:xfrm>
                        <a:off x="0" y="0"/>
                        <a:ext cx="7041600" cy="10173600"/>
                      </a:xfrm>
                      <a:prstGeom prst="rect">
                        <a:avLst/>
                      </a:prstGeom>
                      <a:solidFill>
                        <a:schemeClr val="tx2"/>
                      </a:solidFill>
                      <a:ln w="0" cmpd="sng">
                        <a:solidFill>
                          <a:schemeClr val="tx2"/>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alt="BackCoverBlock" style="position:absolute;margin-left:20.4pt;margin-top:20.4pt;width:554.45pt;height:801.05pt;z-index:-25113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" fillcolor="#a32020 [3215]" strokecolor="#a32020 [3215]" strokeweight="0">
              <v:path arrowok="t"/>
              <w10:wrap anchorx="page" anchory="page"/>
              <w10:anchorlock/>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AC7" w:rsidRPr="000F4EB8" w:rsidRDefault="00990AC7" w:rsidP="000F4EB8">
    <w:pPr>
      <w:pStyle w:val="URLCover"/>
      <w:rPr>
        <w:rFonts w:eastAsia="+mn-ea"/>
      </w:rPr>
    </w:pPr>
    <w:r>
      <w:rPr>
        <w:noProof/>
        <w:snapToGrid/>
        <w:lang w:eastAsia="en-AU"/>
      </w:rPr>
      <mc:AlternateContent>
        <mc:Choice Requires="wpg">
          <w:drawing>
            <wp:anchor distT="0" distB="0" distL="114300" distR="114300" simplePos="0" relativeHeight="252242944" behindDoc="0" locked="0" layoutInCell="1" allowOverlap="1" wp14:anchorId="2AA95C97" wp14:editId="3E51D7EF">
              <wp:simplePos x="0" y="0"/>
              <wp:positionH relativeFrom="page">
                <wp:posOffset>2102485</wp:posOffset>
              </wp:positionH>
              <wp:positionV relativeFrom="page">
                <wp:posOffset>911225</wp:posOffset>
              </wp:positionV>
              <wp:extent cx="5351145" cy="8866505"/>
              <wp:effectExtent l="0" t="0" r="4445" b="4445"/>
              <wp:wrapNone/>
              <wp:docPr id="2" name="Group 5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1145" cy="8866505"/>
                        <a:chOff x="3311" y="1531"/>
                        <a:chExt cx="8202" cy="13765"/>
                      </a:xfrm>
                    </wpg:grpSpPr>
                    <wps:wsp>
                      <wps:cNvPr id="5" name="Rectangle 5449"/>
                      <wps:cNvSpPr>
                        <a:spLocks noChangeArrowheads="1"/>
                      </wps:cNvSpPr>
                      <wps:spPr bwMode="auto">
                        <a:xfrm>
                          <a:off x="3311" y="8418"/>
                          <a:ext cx="7460" cy="6878"/>
                        </a:xfrm>
                        <a:prstGeom prst="rect">
                          <a:avLst/>
                        </a:prstGeom>
                        <a:solidFill>
                          <a:srgbClr val="F3BC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5450"/>
                      <wps:cNvSpPr>
                        <a:spLocks noChangeArrowheads="1"/>
                      </wps:cNvSpPr>
                      <wps:spPr bwMode="auto">
                        <a:xfrm>
                          <a:off x="3311" y="1531"/>
                          <a:ext cx="6314" cy="13765"/>
                        </a:xfrm>
                        <a:prstGeom prst="rect">
                          <a:avLst/>
                        </a:prstGeom>
                        <a:solidFill>
                          <a:srgbClr val="EE9C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Rectangle 5451"/>
                      <wps:cNvSpPr>
                        <a:spLocks noChangeArrowheads="1"/>
                      </wps:cNvSpPr>
                      <wps:spPr bwMode="auto">
                        <a:xfrm>
                          <a:off x="3311" y="10138"/>
                          <a:ext cx="8202" cy="5158"/>
                        </a:xfrm>
                        <a:prstGeom prst="rect">
                          <a:avLst/>
                        </a:prstGeom>
                        <a:solidFill>
                          <a:srgbClr val="F3BE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5452"/>
                      <wps:cNvSpPr>
                        <a:spLocks noChangeArrowheads="1"/>
                      </wps:cNvSpPr>
                      <wps:spPr bwMode="auto">
                        <a:xfrm>
                          <a:off x="3311" y="2399"/>
                          <a:ext cx="6929" cy="12897"/>
                        </a:xfrm>
                        <a:prstGeom prst="rect">
                          <a:avLst/>
                        </a:prstGeom>
                        <a:solidFill>
                          <a:srgbClr val="E669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5453"/>
                      <wps:cNvSpPr>
                        <a:spLocks noChangeArrowheads="1"/>
                      </wps:cNvSpPr>
                      <wps:spPr bwMode="auto">
                        <a:xfrm>
                          <a:off x="3311" y="10138"/>
                          <a:ext cx="7460" cy="5158"/>
                        </a:xfrm>
                        <a:prstGeom prst="rect">
                          <a:avLst/>
                        </a:prstGeom>
                        <a:solidFill>
                          <a:srgbClr val="E88C1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5454"/>
                      <wps:cNvSpPr>
                        <a:spLocks noChangeArrowheads="1"/>
                      </wps:cNvSpPr>
                      <wps:spPr bwMode="auto">
                        <a:xfrm>
                          <a:off x="3311" y="2399"/>
                          <a:ext cx="6314" cy="12897"/>
                        </a:xfrm>
                        <a:prstGeom prst="rect">
                          <a:avLst/>
                        </a:prstGeom>
                        <a:solidFill>
                          <a:srgbClr val="D740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5455"/>
                      <wps:cNvSpPr>
                        <a:spLocks noChangeArrowheads="1"/>
                      </wps:cNvSpPr>
                      <wps:spPr bwMode="auto">
                        <a:xfrm>
                          <a:off x="3311" y="8418"/>
                          <a:ext cx="6929" cy="6878"/>
                        </a:xfrm>
                        <a:prstGeom prst="rect">
                          <a:avLst/>
                        </a:prstGeom>
                        <a:solidFill>
                          <a:srgbClr val="DB4D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5456"/>
                      <wps:cNvSpPr>
                        <a:spLocks noChangeArrowheads="1"/>
                      </wps:cNvSpPr>
                      <wps:spPr bwMode="auto">
                        <a:xfrm>
                          <a:off x="3311" y="10138"/>
                          <a:ext cx="6929" cy="5158"/>
                        </a:xfrm>
                        <a:prstGeom prst="rect">
                          <a:avLst/>
                        </a:prstGeom>
                        <a:solidFill>
                          <a:srgbClr val="D13A0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5457"/>
                      <wps:cNvSpPr>
                        <a:spLocks noChangeArrowheads="1"/>
                      </wps:cNvSpPr>
                      <wps:spPr bwMode="auto">
                        <a:xfrm>
                          <a:off x="3311" y="8418"/>
                          <a:ext cx="6314" cy="6878"/>
                        </a:xfrm>
                        <a:prstGeom prst="rect">
                          <a:avLst/>
                        </a:prstGeom>
                        <a:solidFill>
                          <a:srgbClr val="CD2F1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5458"/>
                      <wps:cNvSpPr>
                        <a:spLocks noChangeArrowheads="1"/>
                      </wps:cNvSpPr>
                      <wps:spPr bwMode="auto">
                        <a:xfrm>
                          <a:off x="3311" y="10138"/>
                          <a:ext cx="6314" cy="5158"/>
                        </a:xfrm>
                        <a:prstGeom prst="rect">
                          <a:avLst/>
                        </a:prstGeom>
                        <a:solidFill>
                          <a:srgbClr val="C4230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5459"/>
                      <wps:cNvSpPr>
                        <a:spLocks noChangeArrowheads="1"/>
                      </wps:cNvSpPr>
                      <wps:spPr bwMode="auto">
                        <a:xfrm>
                          <a:off x="3311" y="11857"/>
                          <a:ext cx="3486" cy="3439"/>
                        </a:xfrm>
                        <a:prstGeom prst="rect">
                          <a:avLst/>
                        </a:prstGeom>
                        <a:solidFill>
                          <a:srgbClr val="9A170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48" o:spid="_x0000_s1026" style="position:absolute;margin-left:165.55pt;margin-top:71.75pt;width:421.35pt;height:698.15pt;z-index:252242944;mso-position-horizontal-relative:page;mso-position-vertical-relative:page" coordorigin="3311,1531" coordsize="8202,13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">
              <v:rect id="Rectangle 5449" o:spid="_x0000_s1027" style="position:absolute;left:3311;top:8418;width:7460;height:6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3B/sAA&#10;AADaAAAADwAAAGRycy9kb3ducmV2LnhtbESPQYvCMBSE7wv+h/AEL4umCopbjSKKIOzJrnh+NM+m&#10;2ryUJtb67zeC4HGYmW+Y5bqzlWip8aVjBeNRAoI4d7rkQsHpbz+cg/ABWWPlmBQ8ycN61ftaYqrd&#10;g4/UZqEQEcI+RQUmhDqV0ueGLPqRq4mjd3GNxRBlU0jd4CPCbSUnSTKTFkuOCwZr2hrKb9ndKsjI&#10;2OnP/nr+3Z7a79luY+etPCs16HebBYhAXfiE3+2DVjCF15V4A+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b3B/sAAAADaAAAADwAAAAAAAAAAAAAAAACYAgAAZHJzL2Rvd25y&#10;ZXYueG1sUEsFBgAAAAAEAAQA9QAAAIUDAAAAAA==&#10;" fillcolor="#f3bc87" stroked="f"/>
              <v:rect id="Rectangle 5450" o:spid="_x0000_s1028" style="position:absolute;left:3311;top:1531;width:6314;height:13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L6KMEA&#10;AADaAAAADwAAAGRycy9kb3ducmV2LnhtbESPQWsCMRSE74L/ITyhN83WFpGtURap4K3sKnp9bF43&#10;SzcvcZPq9t83guBxmJlvmNVmsJ24Uh9axwpeZxkI4trplhsFx8NuugQRIrLGzjEp+KMAm/V4tMJc&#10;uxuXdK1iIxKEQ44KTIw+lzLUhiyGmfPEyft2vcWYZN9I3eMtwW0n51m2kBZbTgsGPW0N1T/Vr1Xw&#10;Vpz59D7Hr7KoPn0sfdleOqPUy2QoPkBEGuIz/GjvtYIF3K+kG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i+ijBAAAA2gAAAA8AAAAAAAAAAAAAAAAAmAIAAGRycy9kb3du&#10;cmV2LnhtbFBLBQYAAAAABAAEAPUAAACGAwAAAAA=&#10;" fillcolor="#ee9c34" stroked="f"/>
              <v:rect id="Rectangle 5451" o:spid="_x0000_s1029" style="position:absolute;left:3311;top:10138;width:8202;height:5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R7xsQA&#10;AADaAAAADwAAAGRycy9kb3ducmV2LnhtbESPQWsCMRSE70L/Q3iF3jRbD11ZjSIWsaBQu+3F22Pz&#10;3CxuXpYkdVd/fVMo9DjMzDfMYjXYVlzJh8axgudJBoK4crrhWsHX53Y8AxEissbWMSm4UYDV8mG0&#10;wEK7nj/oWsZaJAiHAhWYGLtCylAZshgmriNO3tl5izFJX0vtsU9w28pplr1Iiw2nBYMdbQxVl/Lb&#10;Ktjl/pj1r/fTae9Nvg3vh3Xrg1JPj8N6DiLSEP/Df+03rSCH3yvpBs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Ee8bEAAAA2gAAAA8AAAAAAAAAAAAAAAAAmAIAAGRycy9k&#10;b3ducmV2LnhtbFBLBQYAAAAABAAEAPUAAACJAwAAAAA=&#10;" fillcolor="#f3be26" stroked="f"/>
              <v:rect id="Rectangle 5452" o:spid="_x0000_s1030" style="position:absolute;left:3311;top:2399;width:6929;height:12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cDtsIA&#10;AADaAAAADwAAAGRycy9kb3ducmV2LnhtbERPu07DMBTdkfgH6yJ1o047RCitE1UpfUiIgZaB8Ta+&#10;eUB8HWKnTf4eD0gdj857nY2mFVfqXWNZwWIegSAurG64UvB53j2/gHAeWWNrmRRM5CBLHx/WmGh7&#10;4w+6nnwlQgi7BBXU3neJlK6oyaCb2444cKXtDfoA+0rqHm8h3LRyGUWxNNhwaKixo7ym4uc0GAVf&#10;y4bL99/4e18ddsX0dpmG7Wuu1Oxp3KxAeBr9XfzvPmoFYWu4Em6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dwO2wgAAANoAAAAPAAAAAAAAAAAAAAAAAJgCAABkcnMvZG93&#10;bnJldi54bWxQSwUGAAAAAAQABAD1AAAAhwMAAAAA&#10;" fillcolor="#e669a2" stroked="f"/>
              <v:rect id="Rectangle 5453" o:spid="_x0000_s1031" style="position:absolute;left:3311;top:10138;width:7460;height:5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sucQA&#10;AADaAAAADwAAAGRycy9kb3ducmV2LnhtbESP3WrCQBSE7wu+w3IEb4puIlg0ukoQWlqUFn8e4Jg9&#10;JtHs2ZBdY3x7t1Do5TAz3zCLVWcq0VLjSssK4lEEgjizuuRcwfHwPpyCcB5ZY2WZFDzIwWrZe1lg&#10;ou2dd9TufS4ChF2CCgrv60RKlxVk0I1sTRy8s20M+iCbXOoG7wFuKjmOojdpsOSwUGBN64Ky6/5m&#10;FFy2X7V99V08+T79lHG7GaeP9EOpQb9L5yA8df4//Nf+1Apm8Hsl3AC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rLnEAAAA2gAAAA8AAAAAAAAAAAAAAAAAmAIAAGRycy9k&#10;b3ducmV2LnhtbFBLBQYAAAAABAAEAPUAAACJAwAAAAA=&#10;" fillcolor="#e88c14" stroked="f"/>
              <v:rect id="Rectangle 5454" o:spid="_x0000_s1032" style="position:absolute;left:3311;top:2399;width:6314;height:12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0+MAA&#10;AADbAAAADwAAAGRycy9kb3ducmV2LnhtbERPTYvCMBC9L/gfwgjetqmKItUoIioeBNkqgrehGdti&#10;MylN1PrvjSDsbR7vc2aL1lTiQY0rLSvoRzEI4szqknMFp+PmdwLCeWSNlWVS8CIHi3nnZ4aJtk/+&#10;o0fqcxFC2CWooPC+TqR0WUEGXWRr4sBdbWPQB9jkUjf4DOGmkoM4HkuDJYeGAmtaFZTd0rtRcDiv&#10;lqOLvY6H27jdc1auU72/KdXrtsspCE+t/xd/3Tsd5vfh80s4QM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u0+MAAAADbAAAADwAAAAAAAAAAAAAAAACYAgAAZHJzL2Rvd25y&#10;ZXYueG1sUEsFBgAAAAAEAAQA9QAAAIUDAAAAAA==&#10;" fillcolor="#d74021" stroked="f"/>
              <v:rect id="Rectangle 5455" o:spid="_x0000_s1033" style="position:absolute;left:3311;top:8418;width:6929;height:6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q+8MA&#10;AADbAAAADwAAAGRycy9kb3ducmV2LnhtbERPTWvCQBC9C/6HZYTedKNQDamrVEHpQdDEHuxtyI5J&#10;bHY2Zrca/323IPQ2j/c582VnanGj1lWWFYxHEQji3OqKCwWfx80wBuE8ssbaMil4kIPlot+bY6Lt&#10;nVO6Zb4QIYRdggpK75tESpeXZNCNbEMcuLNtDfoA20LqFu8h3NRyEkVTabDi0FBiQ+uS8u/sxyi4&#10;bF/TdH/8Wh22WXw9jWc7nZ+cUi+D7v0NhKfO/4uf7g8d5k/g75dw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q+8MAAADbAAAADwAAAAAAAAAAAAAAAACYAgAAZHJzL2Rv&#10;d25yZXYueG1sUEsFBgAAAAAEAAQA9QAAAIgDAAAAAA==&#10;" fillcolor="#db4d56" stroked="f"/>
              <v:rect id="Rectangle 5456" o:spid="_x0000_s1034" style="position:absolute;left:3311;top:10138;width:6929;height:5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EDMIA&#10;AADbAAAADwAAAGRycy9kb3ducmV2LnhtbERPTWuDQBC9F/Iflgn01qy1WILJRkqgpCchthRyG9yp&#10;St1Z467R+OuzgUJv83ifs80m04oL9a6xrOB5FYEgLq1uuFLw9fn+tAbhPLLG1jIpuJKDbLd42GKq&#10;7chHuhS+EiGEXYoKau+7VEpX1mTQrWxHHLgf2xv0AfaV1D2OIdy0Mo6iV2mw4dBQY0f7msrfYjAK&#10;Ej3zEK/ZJPnBHtrv0zzl51mpx+X0tgHhafL/4j/3hw7zX+D+SzhA7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r4QMwgAAANsAAAAPAAAAAAAAAAAAAAAAAJgCAABkcnMvZG93&#10;bnJldi54bWxQSwUGAAAAAAQABAD1AAAAhwMAAAAA&#10;" fillcolor="#d13a0d" stroked="f"/>
              <v:rect id="Rectangle 5457" o:spid="_x0000_s1035" style="position:absolute;left:3311;top:8418;width:6314;height:6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PUrcMA&#10;AADbAAAADwAAAGRycy9kb3ducmV2LnhtbERP32vCMBB+H/g/hBN8m6kiMqtRRCcKImw69PVobk1Z&#10;c+ma2Hb//SIM9nYf389brDpbioZqXzhWMBomIIgzpwvOFXxcds8vIHxA1lg6JgU/5GG17D0tMNWu&#10;5XdqziEXMYR9igpMCFUqpc8MWfRDVxFH7tPVFkOEdS51jW0Mt6UcJ8lUWiw4NhisaGMo+zrfrYK3&#10;7bUxs2J32l/a6+F4237PXo9TpQb9bj0HEagL/+I/90HH+RN4/BI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PUrcMAAADbAAAADwAAAAAAAAAAAAAAAACYAgAAZHJzL2Rv&#10;d25yZXYueG1sUEsFBgAAAAAEAAQA9QAAAIgDAAAAAA==&#10;" fillcolor="#cd2f12" stroked="f"/>
              <v:rect id="Rectangle 5458" o:spid="_x0000_s1036" style="position:absolute;left:3311;top:10138;width:6314;height:5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hXYsAA&#10;AADbAAAADwAAAGRycy9kb3ducmV2LnhtbERPS4vCMBC+C/6HMII3TS34oGsUEYWCe1gfex+a2TZs&#10;MylNrPXfbwRhb/PxPWe97W0tOmq9caxgNk1AEBdOGy4V3K7HyQqED8gaa8ek4EketpvhYI2Zdg8+&#10;U3cJpYgh7DNUUIXQZFL6oiKLfuoa4sj9uNZiiLAtpW7xEcNtLdMkWUiLhmNDhQ3tKyp+L3erID+4&#10;/DtddgezOOHnV3pfHs35pNR41O8+QATqw7/47c51nD+H1y/xALn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GhXYsAAAADbAAAADwAAAAAAAAAAAAAAAACYAgAAZHJzL2Rvd25y&#10;ZXYueG1sUEsFBgAAAAAEAAQA9QAAAIUDAAAAAA==&#10;" fillcolor="#c42303" stroked="f"/>
              <v:rect id="Rectangle 5459" o:spid="_x0000_s1037" style="position:absolute;left:3311;top:11857;width:3486;height:3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77WsMA&#10;AADbAAAADwAAAGRycy9kb3ducmV2LnhtbERPS2vCQBC+C/6HZQremk17sDa6EVuwFCwVU0G8jdnJ&#10;A7OzIbvG9N93hYK3+fies1gOphE9da62rOApikEQ51bXXCrY/6wfZyCcR9bYWCYFv+RgmY5HC0y0&#10;vfKO+syXIoSwS1BB5X2bSOnyigy6yLbEgStsZ9AH2JVSd3gN4aaRz3E8lQZrDg0VtvReUX7OLkbB&#10;oTyuNq/9Bk/Zy8fa92/F4ftrq9TkYVjNQXga/F387/7UYf4Ubr+EA2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77WsMAAADbAAAADwAAAAAAAAAAAAAAAACYAgAAZHJzL2Rv&#10;d25yZXYueG1sUEsFBgAAAAAEAAQA9QAAAIgDAAAAAA==&#10;" fillcolor="#9a1702" stroked="f"/>
              <w10:wrap anchorx="page" anchory="page"/>
            </v:group>
          </w:pict>
        </mc:Fallback>
      </mc:AlternateContent>
    </w:r>
    <w:r>
      <w:rPr>
        <w:noProof/>
        <w:snapToGrid/>
        <w:lang w:eastAsia="en-AU"/>
      </w:rPr>
      <w:drawing>
        <wp:anchor distT="0" distB="0" distL="114300" distR="114300" simplePos="0" relativeHeight="252239872" behindDoc="1" locked="0" layoutInCell="1" allowOverlap="1" wp14:anchorId="64D5C5D0" wp14:editId="78129C2B">
          <wp:simplePos x="0" y="0"/>
          <wp:positionH relativeFrom="page">
            <wp:posOffset>1315587</wp:posOffset>
          </wp:positionH>
          <wp:positionV relativeFrom="page">
            <wp:posOffset>9771797</wp:posOffset>
          </wp:positionV>
          <wp:extent cx="936294" cy="545910"/>
          <wp:effectExtent l="19050" t="0" r="0" b="0"/>
          <wp:wrapNone/>
          <wp:docPr id="56" name="PwCLogoP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936294" cy="545910"/>
                  </a:xfrm>
                  <a:prstGeom prst="rect">
                    <a:avLst/>
                  </a:prstGeom>
                  <a:noFill/>
                  <a:ln w="9525">
                    <a:noFill/>
                    <a:miter lim="800000"/>
                    <a:headEnd/>
                    <a:tailEnd/>
                  </a:ln>
                </pic:spPr>
              </pic:pic>
            </a:graphicData>
          </a:graphic>
        </wp:anchor>
      </w:drawing>
    </w:r>
    <w:r>
      <w:rPr>
        <w:rFonts w:eastAsia="+mn-ea"/>
      </w:rPr>
      <w:t>www.pwc.com.au</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AC7" w:rsidRPr="005D1FC6" w:rsidRDefault="00420464" w:rsidP="005D1FC6">
    <w:pPr>
      <w:pStyle w:val="Header"/>
    </w:pPr>
    <w:fldSimple w:instr=" STYLEREF &quot;Preface Title&quot; ">
      <w:r w:rsidR="00542564">
        <w:rPr>
          <w:noProof/>
        </w:rPr>
        <w:t>Disclaimer</w:t>
      </w:r>
    </w:fldSimple>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AC7" w:rsidRPr="005D1FC6" w:rsidRDefault="00420464" w:rsidP="005D1FC6">
    <w:pPr>
      <w:pStyle w:val="Header"/>
    </w:pPr>
    <w:fldSimple w:instr=" STYLEREF &quot;Preface Title&quot; ">
      <w:r w:rsidR="00542564">
        <w:rPr>
          <w:noProof/>
        </w:rPr>
        <w:t>Disclaimer</w:t>
      </w:r>
    </w:fldSimple>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AC7" w:rsidRPr="00460052" w:rsidRDefault="00990AC7" w:rsidP="00460052">
    <w:pPr>
      <w:pStyle w:val="FirstPagePanelFrame"/>
      <w:framePr w:wrap="notBesid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AC7" w:rsidRPr="005D1FC6" w:rsidRDefault="00420464" w:rsidP="005D1FC6">
    <w:pPr>
      <w:pStyle w:val="Header"/>
    </w:pPr>
    <w:fldSimple w:instr=" STYLEREF &quot;Preface Title&quot; ">
      <w:r w:rsidR="00542564">
        <w:rPr>
          <w:noProof/>
        </w:rPr>
        <w:t>Disclaimer</w:t>
      </w:r>
    </w:fldSimple>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4095" w:rsidRPr="00460052" w:rsidRDefault="00A84095" w:rsidP="00A84095">
    <w:pPr>
      <w:pStyle w:val="FirstPagePanelFrame"/>
      <w:framePr w:wrap="notBeside"/>
    </w:pPr>
  </w:p>
  <w:p w:rsidR="00990AC7" w:rsidRPr="005D1FC6" w:rsidRDefault="00420464" w:rsidP="005D1FC6">
    <w:pPr>
      <w:pStyle w:val="Header"/>
    </w:pPr>
    <w:fldSimple w:instr=" STYLEREF &quot;Preface Title&quot; ">
      <w:r w:rsidR="00F10EB0">
        <w:rPr>
          <w:noProof/>
        </w:rPr>
        <w:t>Executive summary</w:t>
      </w:r>
    </w:fldSimple>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AC7" w:rsidRPr="00460052" w:rsidRDefault="00990AC7" w:rsidP="00460052">
    <w:pPr>
      <w:pStyle w:val="FirstPagePanelFrame"/>
      <w:framePr w:wrap="notBesid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E763B80"/>
    <w:lvl w:ilvl="0">
      <w:start w:val="1"/>
      <w:numFmt w:val="bullet"/>
      <w:lvlText w:val=""/>
      <w:lvlJc w:val="left"/>
      <w:pPr>
        <w:tabs>
          <w:tab w:val="num" w:pos="360"/>
        </w:tabs>
        <w:ind w:left="360" w:hanging="360"/>
      </w:pPr>
      <w:rPr>
        <w:rFonts w:ascii="Symbol" w:hAnsi="Symbol" w:hint="default"/>
      </w:rPr>
    </w:lvl>
  </w:abstractNum>
  <w:abstractNum w:abstractNumId="1">
    <w:nsid w:val="01787B35"/>
    <w:multiLevelType w:val="multilevel"/>
    <w:tmpl w:val="FFBA3F06"/>
    <w:styleLink w:val="List51"/>
    <w:lvl w:ilvl="0">
      <w:start w:val="1"/>
      <w:numFmt w:val="low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2">
    <w:nsid w:val="01997751"/>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01D50566"/>
    <w:multiLevelType w:val="hybridMultilevel"/>
    <w:tmpl w:val="FDE6FFC0"/>
    <w:lvl w:ilvl="0" w:tplc="DED2AD6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731221B"/>
    <w:multiLevelType w:val="multilevel"/>
    <w:tmpl w:val="54B62ED8"/>
    <w:styleLink w:val="BulletList"/>
    <w:lvl w:ilvl="0">
      <w:start w:val="1"/>
      <w:numFmt w:val="bullet"/>
      <w:lvlRestart w:val="0"/>
      <w:lvlText w:val=""/>
      <w:lvlJc w:val="left"/>
      <w:pPr>
        <w:tabs>
          <w:tab w:val="num" w:pos="567"/>
        </w:tabs>
        <w:ind w:left="567" w:hanging="567"/>
      </w:pPr>
      <w:rPr>
        <w:rFonts w:ascii="Symbol" w:hAnsi="Symbol" w:hint="default"/>
        <w:b w:val="0"/>
        <w:i w:val="0"/>
        <w:color w:val="auto"/>
      </w:rPr>
    </w:lvl>
    <w:lvl w:ilvl="1">
      <w:start w:val="1"/>
      <w:numFmt w:val="bullet"/>
      <w:lvlText w:val="–"/>
      <w:lvlJc w:val="left"/>
      <w:pPr>
        <w:tabs>
          <w:tab w:val="num" w:pos="1134"/>
        </w:tabs>
        <w:ind w:left="1134" w:hanging="567"/>
      </w:pPr>
      <w:rPr>
        <w:rFonts w:ascii="Arial" w:hAnsi="Arial" w:hint="default"/>
        <w:b w:val="0"/>
        <w:i w:val="0"/>
        <w:color w:val="auto"/>
      </w:rPr>
    </w:lvl>
    <w:lvl w:ilvl="2">
      <w:start w:val="1"/>
      <w:numFmt w:val="bullet"/>
      <w:lvlText w:val="o"/>
      <w:lvlJc w:val="left"/>
      <w:pPr>
        <w:tabs>
          <w:tab w:val="num" w:pos="1701"/>
        </w:tabs>
        <w:ind w:left="1701" w:hanging="567"/>
      </w:pPr>
      <w:rPr>
        <w:rFonts w:ascii="Arial" w:hAnsi="Arial" w:hint="default"/>
        <w:b w:val="0"/>
        <w:i w:val="0"/>
        <w:color w:val="auto"/>
        <w:sz w:val="10"/>
        <w:szCs w:val="10"/>
      </w:rPr>
    </w:lvl>
    <w:lvl w:ilvl="3">
      <w:start w:val="1"/>
      <w:numFmt w:val="bullet"/>
      <w:lvlText w:val=""/>
      <w:lvlJc w:val="left"/>
      <w:pPr>
        <w:tabs>
          <w:tab w:val="num" w:pos="2268"/>
        </w:tabs>
        <w:ind w:left="2268" w:hanging="567"/>
      </w:pPr>
      <w:rPr>
        <w:rFonts w:ascii="Wingdings" w:hAnsi="Wingdings" w:hint="default"/>
        <w:b w:val="0"/>
        <w:i w:val="0"/>
        <w:color w:val="auto"/>
        <w:sz w:val="10"/>
        <w:szCs w:val="10"/>
      </w:rPr>
    </w:lvl>
    <w:lvl w:ilvl="4">
      <w:start w:val="1"/>
      <w:numFmt w:val="none"/>
      <w:lvlText w:val="%5"/>
      <w:lvlJc w:val="left"/>
      <w:pPr>
        <w:tabs>
          <w:tab w:val="num" w:pos="0"/>
        </w:tabs>
        <w:ind w:left="0" w:firstLine="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5">
    <w:nsid w:val="08112352"/>
    <w:multiLevelType w:val="multilevel"/>
    <w:tmpl w:val="8CEA6DAA"/>
    <w:name w:val="Bullets"/>
    <w:styleLink w:val="Bullets"/>
    <w:lvl w:ilvl="0">
      <w:start w:val="1"/>
      <w:numFmt w:val="bullet"/>
      <w:pStyle w:val="Bullet1"/>
      <w:lvlText w:val=""/>
      <w:lvlJc w:val="left"/>
      <w:pPr>
        <w:tabs>
          <w:tab w:val="num" w:pos="284"/>
        </w:tabs>
        <w:ind w:left="284" w:hanging="284"/>
      </w:pPr>
      <w:rPr>
        <w:rFonts w:ascii="Symbol" w:hAnsi="Symbol" w:hint="default"/>
        <w:color w:val="auto"/>
      </w:rPr>
    </w:lvl>
    <w:lvl w:ilvl="1">
      <w:start w:val="1"/>
      <w:numFmt w:val="bullet"/>
      <w:pStyle w:val="Bullet2"/>
      <w:lvlText w:val="–"/>
      <w:lvlJc w:val="left"/>
      <w:pPr>
        <w:tabs>
          <w:tab w:val="num" w:pos="567"/>
        </w:tabs>
        <w:ind w:left="568" w:hanging="284"/>
      </w:pPr>
      <w:rPr>
        <w:rFonts w:ascii="Arial" w:hAnsi="Arial" w:hint="default"/>
        <w:color w:val="auto"/>
      </w:rPr>
    </w:lvl>
    <w:lvl w:ilvl="2">
      <w:start w:val="1"/>
      <w:numFmt w:val="bullet"/>
      <w:pStyle w:val="Bullet3"/>
      <w:lvlText w:val="◦"/>
      <w:lvlJc w:val="left"/>
      <w:pPr>
        <w:tabs>
          <w:tab w:val="num" w:pos="851"/>
        </w:tabs>
        <w:ind w:left="852" w:hanging="284"/>
      </w:pPr>
      <w:rPr>
        <w:rFonts w:ascii="Georgia" w:hAnsi="Georgia" w:hint="default"/>
        <w:color w:val="auto"/>
      </w:rPr>
    </w:lvl>
    <w:lvl w:ilvl="3">
      <w:start w:val="1"/>
      <w:numFmt w:val="bullet"/>
      <w:pStyle w:val="Bullet4"/>
      <w:lvlText w:val=""/>
      <w:lvlJc w:val="left"/>
      <w:pPr>
        <w:tabs>
          <w:tab w:val="num" w:pos="1134"/>
        </w:tabs>
        <w:ind w:left="1136" w:hanging="284"/>
      </w:pPr>
      <w:rPr>
        <w:rFonts w:ascii="Symbol" w:hAnsi="Symbol" w:hint="default"/>
        <w:color w:val="auto"/>
      </w:rPr>
    </w:lvl>
    <w:lvl w:ilvl="4">
      <w:start w:val="1"/>
      <w:numFmt w:val="lowerLetter"/>
      <w:lvlText w:val="(%5)"/>
      <w:lvlJc w:val="left"/>
      <w:pPr>
        <w:tabs>
          <w:tab w:val="num" w:pos="1418"/>
        </w:tabs>
        <w:ind w:left="1420" w:hanging="284"/>
      </w:pPr>
      <w:rPr>
        <w:rFonts w:hint="default"/>
      </w:rPr>
    </w:lvl>
    <w:lvl w:ilvl="5">
      <w:start w:val="1"/>
      <w:numFmt w:val="lowerRoman"/>
      <w:lvlText w:val="(%6)"/>
      <w:lvlJc w:val="left"/>
      <w:pPr>
        <w:tabs>
          <w:tab w:val="num" w:pos="1701"/>
        </w:tabs>
        <w:ind w:left="1701" w:hanging="281"/>
      </w:pPr>
      <w:rPr>
        <w:rFonts w:hint="default"/>
      </w:rPr>
    </w:lvl>
    <w:lvl w:ilvl="6">
      <w:start w:val="1"/>
      <w:numFmt w:val="decimal"/>
      <w:lvlText w:val="%7."/>
      <w:lvlJc w:val="left"/>
      <w:pPr>
        <w:tabs>
          <w:tab w:val="num" w:pos="1985"/>
        </w:tabs>
        <w:ind w:left="1985" w:hanging="284"/>
      </w:pPr>
      <w:rPr>
        <w:rFonts w:hint="default"/>
      </w:rPr>
    </w:lvl>
    <w:lvl w:ilvl="7">
      <w:start w:val="1"/>
      <w:numFmt w:val="lowerLetter"/>
      <w:lvlText w:val="%8."/>
      <w:lvlJc w:val="left"/>
      <w:pPr>
        <w:tabs>
          <w:tab w:val="num" w:pos="2268"/>
        </w:tabs>
        <w:ind w:left="2268" w:hanging="283"/>
      </w:pPr>
      <w:rPr>
        <w:rFonts w:hint="default"/>
      </w:rPr>
    </w:lvl>
    <w:lvl w:ilvl="8">
      <w:start w:val="1"/>
      <w:numFmt w:val="lowerRoman"/>
      <w:lvlText w:val="%9."/>
      <w:lvlJc w:val="left"/>
      <w:pPr>
        <w:tabs>
          <w:tab w:val="num" w:pos="2552"/>
        </w:tabs>
        <w:ind w:left="2552" w:hanging="284"/>
      </w:pPr>
      <w:rPr>
        <w:rFonts w:hint="default"/>
      </w:rPr>
    </w:lvl>
  </w:abstractNum>
  <w:abstractNum w:abstractNumId="6">
    <w:nsid w:val="09257FF5"/>
    <w:multiLevelType w:val="multilevel"/>
    <w:tmpl w:val="585065D6"/>
    <w:lvl w:ilvl="0">
      <w:start w:val="1"/>
      <w:numFmt w:val="bullet"/>
      <w:pStyle w:val="CVBullet1"/>
      <w:lvlText w:val=""/>
      <w:lvlJc w:val="left"/>
      <w:pPr>
        <w:ind w:left="227" w:hanging="227"/>
      </w:pPr>
      <w:rPr>
        <w:rFonts w:ascii="Symbol" w:hAnsi="Symbol" w:hint="default"/>
        <w:color w:val="auto"/>
      </w:rPr>
    </w:lvl>
    <w:lvl w:ilvl="1">
      <w:start w:val="1"/>
      <w:numFmt w:val="bullet"/>
      <w:pStyle w:val="CVBullet2"/>
      <w:lvlText w:val="–"/>
      <w:lvlJc w:val="left"/>
      <w:pPr>
        <w:ind w:left="454" w:hanging="227"/>
      </w:pPr>
      <w:rPr>
        <w:rFonts w:ascii="Arial" w:hAnsi="Aria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0984408E"/>
    <w:multiLevelType w:val="multilevel"/>
    <w:tmpl w:val="EE3860A0"/>
    <w:name w:val="PwCListNumbers1"/>
    <w:styleLink w:val="PwCListNumbers1"/>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8">
    <w:nsid w:val="0B086541"/>
    <w:multiLevelType w:val="multilevel"/>
    <w:tmpl w:val="572824AC"/>
    <w:lvl w:ilvl="0">
      <w:start w:val="1"/>
      <w:numFmt w:val="decimal"/>
      <w:pStyle w:val="ListNumber"/>
      <w:lvlText w:val="%1"/>
      <w:lvlJc w:val="left"/>
      <w:pPr>
        <w:tabs>
          <w:tab w:val="num" w:pos="567"/>
        </w:tabs>
        <w:ind w:left="567" w:hanging="567"/>
      </w:pPr>
      <w:rPr>
        <w:rFonts w:hint="default"/>
      </w:rPr>
    </w:lvl>
    <w:lvl w:ilvl="1">
      <w:start w:val="1"/>
      <w:numFmt w:val="lowerLetter"/>
      <w:pStyle w:val="ListNumber2"/>
      <w:lvlText w:val="%2"/>
      <w:lvlJc w:val="left"/>
      <w:pPr>
        <w:tabs>
          <w:tab w:val="num" w:pos="1134"/>
        </w:tabs>
        <w:ind w:left="1134" w:hanging="567"/>
      </w:pPr>
      <w:rPr>
        <w:rFonts w:hint="default"/>
      </w:rPr>
    </w:lvl>
    <w:lvl w:ilvl="2">
      <w:start w:val="1"/>
      <w:numFmt w:val="lowerRoman"/>
      <w:pStyle w:val="ListNumber3"/>
      <w:lvlText w:val="%3"/>
      <w:lvlJc w:val="left"/>
      <w:pPr>
        <w:tabs>
          <w:tab w:val="num" w:pos="1701"/>
        </w:tabs>
        <w:ind w:left="1701" w:hanging="567"/>
      </w:pPr>
      <w:rPr>
        <w:rFonts w:hint="default"/>
      </w:rPr>
    </w:lvl>
    <w:lvl w:ilvl="3">
      <w:start w:val="1"/>
      <w:numFmt w:val="decimal"/>
      <w:pStyle w:val="ListNumber4"/>
      <w:lvlText w:val="%4"/>
      <w:lvlJc w:val="left"/>
      <w:pPr>
        <w:tabs>
          <w:tab w:val="num" w:pos="2268"/>
        </w:tabs>
        <w:ind w:left="2268" w:hanging="567"/>
      </w:pPr>
      <w:rPr>
        <w:rFonts w:hint="default"/>
      </w:rPr>
    </w:lvl>
    <w:lvl w:ilvl="4">
      <w:start w:val="1"/>
      <w:numFmt w:val="lowerLetter"/>
      <w:pStyle w:val="ListNumber5"/>
      <w:lvlText w:val="%5"/>
      <w:lvlJc w:val="left"/>
      <w:pPr>
        <w:tabs>
          <w:tab w:val="num" w:pos="2835"/>
        </w:tabs>
        <w:ind w:left="2835" w:hanging="567"/>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0F210E06"/>
    <w:multiLevelType w:val="multilevel"/>
    <w:tmpl w:val="3938A092"/>
    <w:lvl w:ilvl="0">
      <w:start w:val="1"/>
      <w:numFmt w:val="decimal"/>
      <w:lvlText w:val="%1."/>
      <w:lvlJc w:val="left"/>
      <w:rPr>
        <w:position w:val="0"/>
        <w:rtl w:val="0"/>
      </w:rPr>
    </w:lvl>
    <w:lvl w:ilvl="1">
      <w:start w:val="1"/>
      <w:numFmt w:val="decimal"/>
      <w:lvlText w:val="%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upperLetter"/>
      <w:lvlText w:val="%5."/>
      <w:lvlJc w:val="left"/>
      <w:rPr>
        <w:position w:val="0"/>
        <w:rtl w:val="0"/>
      </w:rPr>
    </w:lvl>
    <w:lvl w:ilvl="5">
      <w:start w:val="1"/>
      <w:numFmt w:val="upperLetter"/>
      <w:lvlText w:val="%6."/>
      <w:lvlJc w:val="left"/>
      <w:rPr>
        <w:position w:val="0"/>
        <w:rtl w:val="0"/>
      </w:rPr>
    </w:lvl>
    <w:lvl w:ilvl="6">
      <w:start w:val="1"/>
      <w:numFmt w:val="decimal"/>
      <w:lvlText w:val="%7."/>
      <w:lvlJc w:val="left"/>
      <w:rPr>
        <w:position w:val="0"/>
        <w:rtl w:val="0"/>
      </w:rPr>
    </w:lvl>
    <w:lvl w:ilvl="7">
      <w:start w:val="1"/>
      <w:numFmt w:val="decimal"/>
      <w:lvlText w:val="%8."/>
      <w:lvlJc w:val="left"/>
      <w:rPr>
        <w:position w:val="0"/>
        <w:rtl w:val="0"/>
      </w:rPr>
    </w:lvl>
    <w:lvl w:ilvl="8">
      <w:start w:val="1"/>
      <w:numFmt w:val="lowerLetter"/>
      <w:lvlText w:val="%9."/>
      <w:lvlJc w:val="left"/>
      <w:rPr>
        <w:position w:val="0"/>
        <w:rtl w:val="0"/>
      </w:rPr>
    </w:lvl>
  </w:abstractNum>
  <w:abstractNum w:abstractNumId="10">
    <w:nsid w:val="113C4B44"/>
    <w:multiLevelType w:val="multilevel"/>
    <w:tmpl w:val="4E5C847A"/>
    <w:styleLink w:val="Indents"/>
    <w:lvl w:ilvl="0">
      <w:start w:val="1"/>
      <w:numFmt w:val="none"/>
      <w:suff w:val="nothing"/>
      <w:lvlText w:val=""/>
      <w:lvlJc w:val="left"/>
      <w:pPr>
        <w:ind w:left="0" w:firstLine="0"/>
      </w:pPr>
      <w:rPr>
        <w:rFonts w:hint="default"/>
        <w:color w:val="auto"/>
      </w:rPr>
    </w:lvl>
    <w:lvl w:ilvl="1">
      <w:start w:val="1"/>
      <w:numFmt w:val="none"/>
      <w:suff w:val="nothing"/>
      <w:lvlText w:val=""/>
      <w:lvlJc w:val="left"/>
      <w:pPr>
        <w:ind w:left="567" w:firstLine="0"/>
      </w:pPr>
      <w:rPr>
        <w:rFonts w:hint="default"/>
      </w:rPr>
    </w:lvl>
    <w:lvl w:ilvl="2">
      <w:start w:val="1"/>
      <w:numFmt w:val="none"/>
      <w:suff w:val="nothing"/>
      <w:lvlText w:val=""/>
      <w:lvlJc w:val="left"/>
      <w:pPr>
        <w:ind w:left="1134" w:firstLine="0"/>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835" w:firstLine="0"/>
      </w:pPr>
      <w:rPr>
        <w:rFonts w:hint="default"/>
      </w:rPr>
    </w:lvl>
    <w:lvl w:ilvl="6">
      <w:start w:val="1"/>
      <w:numFmt w:val="none"/>
      <w:suff w:val="nothing"/>
      <w:lvlText w:val=""/>
      <w:lvlJc w:val="left"/>
      <w:pPr>
        <w:ind w:left="3402" w:firstLine="0"/>
      </w:pPr>
      <w:rPr>
        <w:rFonts w:hint="default"/>
      </w:rPr>
    </w:lvl>
    <w:lvl w:ilvl="7">
      <w:start w:val="1"/>
      <w:numFmt w:val="none"/>
      <w:suff w:val="nothing"/>
      <w:lvlText w:val=""/>
      <w:lvlJc w:val="left"/>
      <w:pPr>
        <w:ind w:left="3969" w:firstLine="0"/>
      </w:pPr>
      <w:rPr>
        <w:rFonts w:hint="default"/>
      </w:rPr>
    </w:lvl>
    <w:lvl w:ilvl="8">
      <w:start w:val="1"/>
      <w:numFmt w:val="none"/>
      <w:suff w:val="nothing"/>
      <w:lvlText w:val=""/>
      <w:lvlJc w:val="left"/>
      <w:pPr>
        <w:ind w:left="4536" w:firstLine="0"/>
      </w:pPr>
      <w:rPr>
        <w:rFonts w:hint="default"/>
      </w:rPr>
    </w:lvl>
  </w:abstractNum>
  <w:abstractNum w:abstractNumId="11">
    <w:nsid w:val="115F24E0"/>
    <w:multiLevelType w:val="multilevel"/>
    <w:tmpl w:val="E3664002"/>
    <w:lvl w:ilvl="0">
      <w:start w:val="1"/>
      <w:numFmt w:val="bullet"/>
      <w:lvlText w:val=""/>
      <w:lvlJc w:val="left"/>
      <w:pPr>
        <w:ind w:left="0" w:firstLine="0"/>
      </w:pPr>
      <w:rPr>
        <w:rFonts w:ascii="Symbol" w:hAnsi="Symbol" w:hint="default"/>
        <w:color w:val="auto"/>
      </w:rPr>
    </w:lvl>
    <w:lvl w:ilvl="1">
      <w:start w:val="1"/>
      <w:numFmt w:val="none"/>
      <w:suff w:val="nothing"/>
      <w:lvlText w:val=""/>
      <w:lvlJc w:val="left"/>
      <w:pPr>
        <w:ind w:left="284" w:firstLine="0"/>
      </w:pPr>
      <w:rPr>
        <w:rFonts w:hint="default"/>
      </w:rPr>
    </w:lvl>
    <w:lvl w:ilvl="2">
      <w:start w:val="1"/>
      <w:numFmt w:val="none"/>
      <w:suff w:val="nothing"/>
      <w:lvlText w:val=""/>
      <w:lvlJc w:val="left"/>
      <w:pPr>
        <w:ind w:left="568" w:firstLine="0"/>
      </w:pPr>
      <w:rPr>
        <w:rFonts w:hint="default"/>
      </w:rPr>
    </w:lvl>
    <w:lvl w:ilvl="3">
      <w:start w:val="1"/>
      <w:numFmt w:val="none"/>
      <w:suff w:val="nothing"/>
      <w:lvlText w:val=""/>
      <w:lvlJc w:val="left"/>
      <w:pPr>
        <w:ind w:left="852" w:firstLine="0"/>
      </w:pPr>
      <w:rPr>
        <w:rFonts w:hint="default"/>
      </w:rPr>
    </w:lvl>
    <w:lvl w:ilvl="4">
      <w:start w:val="1"/>
      <w:numFmt w:val="none"/>
      <w:suff w:val="nothing"/>
      <w:lvlText w:val=""/>
      <w:lvlJc w:val="left"/>
      <w:pPr>
        <w:ind w:left="1136" w:firstLine="0"/>
      </w:pPr>
      <w:rPr>
        <w:rFonts w:hint="default"/>
      </w:rPr>
    </w:lvl>
    <w:lvl w:ilvl="5">
      <w:start w:val="1"/>
      <w:numFmt w:val="none"/>
      <w:suff w:val="nothing"/>
      <w:lvlText w:val=""/>
      <w:lvlJc w:val="left"/>
      <w:pPr>
        <w:ind w:left="1420" w:firstLine="0"/>
      </w:pPr>
      <w:rPr>
        <w:rFonts w:hint="default"/>
      </w:rPr>
    </w:lvl>
    <w:lvl w:ilvl="6">
      <w:start w:val="1"/>
      <w:numFmt w:val="none"/>
      <w:suff w:val="nothing"/>
      <w:lvlText w:val=""/>
      <w:lvlJc w:val="left"/>
      <w:pPr>
        <w:ind w:left="1704" w:firstLine="0"/>
      </w:pPr>
      <w:rPr>
        <w:rFonts w:hint="default"/>
      </w:rPr>
    </w:lvl>
    <w:lvl w:ilvl="7">
      <w:start w:val="1"/>
      <w:numFmt w:val="none"/>
      <w:suff w:val="nothing"/>
      <w:lvlText w:val=""/>
      <w:lvlJc w:val="left"/>
      <w:pPr>
        <w:ind w:left="1988" w:firstLine="0"/>
      </w:pPr>
      <w:rPr>
        <w:rFonts w:hint="default"/>
      </w:rPr>
    </w:lvl>
    <w:lvl w:ilvl="8">
      <w:start w:val="1"/>
      <w:numFmt w:val="none"/>
      <w:suff w:val="nothing"/>
      <w:lvlText w:val=""/>
      <w:lvlJc w:val="left"/>
      <w:pPr>
        <w:ind w:left="2272" w:firstLine="0"/>
      </w:pPr>
      <w:rPr>
        <w:rFonts w:hint="default"/>
      </w:rPr>
    </w:lvl>
  </w:abstractNum>
  <w:abstractNum w:abstractNumId="12">
    <w:nsid w:val="139E568D"/>
    <w:multiLevelType w:val="hybridMultilevel"/>
    <w:tmpl w:val="B8C4C27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nsid w:val="16417FC4"/>
    <w:multiLevelType w:val="multilevel"/>
    <w:tmpl w:val="50B20D3A"/>
    <w:styleLink w:val="TableNumberedListSmall"/>
    <w:lvl w:ilvl="0">
      <w:start w:val="1"/>
      <w:numFmt w:val="decimal"/>
      <w:lvlRestart w:val="0"/>
      <w:pStyle w:val="TableNumberedListSmall1"/>
      <w:lvlText w:val="%1"/>
      <w:lvlJc w:val="left"/>
      <w:pPr>
        <w:tabs>
          <w:tab w:val="num" w:pos="283"/>
        </w:tabs>
        <w:ind w:left="284" w:hanging="284"/>
      </w:pPr>
      <w:rPr>
        <w:rFonts w:asciiTheme="minorHAnsi" w:hAnsiTheme="minorHAnsi" w:hint="default"/>
        <w:b w:val="0"/>
        <w:i w:val="0"/>
        <w:color w:val="auto"/>
        <w:sz w:val="20"/>
      </w:rPr>
    </w:lvl>
    <w:lvl w:ilvl="1">
      <w:start w:val="1"/>
      <w:numFmt w:val="lowerLetter"/>
      <w:lvlRestart w:val="0"/>
      <w:pStyle w:val="TableNumberedListSmall2"/>
      <w:lvlText w:val="%2"/>
      <w:lvlJc w:val="left"/>
      <w:pPr>
        <w:tabs>
          <w:tab w:val="num" w:pos="567"/>
        </w:tabs>
        <w:ind w:left="567" w:hanging="283"/>
      </w:pPr>
      <w:rPr>
        <w:rFonts w:hint="default"/>
        <w:b w:val="0"/>
        <w:i w:val="0"/>
        <w:color w:val="auto"/>
        <w:szCs w:val="10"/>
      </w:rPr>
    </w:lvl>
    <w:lvl w:ilvl="2">
      <w:start w:val="1"/>
      <w:numFmt w:val="lowerRoman"/>
      <w:lvlRestart w:val="0"/>
      <w:pStyle w:val="TableNumberedListSmall3"/>
      <w:lvlText w:val="%3"/>
      <w:lvlJc w:val="left"/>
      <w:pPr>
        <w:tabs>
          <w:tab w:val="num" w:pos="851"/>
        </w:tabs>
        <w:ind w:left="851" w:hanging="284"/>
      </w:pPr>
      <w:rPr>
        <w:rFonts w:asciiTheme="minorHAnsi" w:hAnsiTheme="minorHAnsi" w:hint="default"/>
        <w:b w:val="0"/>
        <w:i w:val="0"/>
        <w:color w:val="auto"/>
        <w:sz w:val="20"/>
        <w:szCs w:val="10"/>
      </w:rPr>
    </w:lvl>
    <w:lvl w:ilvl="3">
      <w:start w:val="1"/>
      <w:numFmt w:val="none"/>
      <w:lvlRestart w:val="0"/>
      <w:lvlText w:val=""/>
      <w:lvlJc w:val="left"/>
      <w:pPr>
        <w:tabs>
          <w:tab w:val="num" w:pos="0"/>
        </w:tabs>
        <w:ind w:left="0" w:firstLine="0"/>
      </w:pPr>
      <w:rPr>
        <w:rFonts w:hint="default"/>
        <w:color w:val="auto"/>
        <w:sz w:val="10"/>
        <w:szCs w:val="10"/>
      </w:rPr>
    </w:lvl>
    <w:lvl w:ilvl="4">
      <w:start w:val="1"/>
      <w:numFmt w:val="none"/>
      <w:lvlText w:val="%5"/>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14">
    <w:nsid w:val="17C51CA3"/>
    <w:multiLevelType w:val="multilevel"/>
    <w:tmpl w:val="9466B91C"/>
    <w:lvl w:ilvl="0">
      <w:start w:val="1"/>
      <w:numFmt w:val="decimal"/>
      <w:lvlText w:val="%1."/>
      <w:lvlJc w:val="left"/>
      <w:pPr>
        <w:ind w:left="1134" w:hanging="1134"/>
      </w:pPr>
      <w:rPr>
        <w:rFonts w:ascii="Georgia" w:eastAsia="Georgia" w:hAnsi="Georgia" w:cs="Georgia"/>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1">
      <w:start w:val="1"/>
      <w:numFmt w:val="decimal"/>
      <w:lvlText w:val="%2."/>
      <w:lvlJc w:val="left"/>
      <w:pPr>
        <w:tabs>
          <w:tab w:val="num" w:pos="304"/>
        </w:tabs>
        <w:ind w:left="1438" w:hanging="1438"/>
      </w:pPr>
      <w:rPr>
        <w:rFonts w:ascii="Georgia" w:eastAsia="Georgia" w:hAnsi="Georgia" w:cs="Georgia"/>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decimal"/>
      <w:lvlText w:val="%1.%2.%3."/>
      <w:lvlJc w:val="left"/>
      <w:pPr>
        <w:tabs>
          <w:tab w:val="num" w:pos="304"/>
        </w:tabs>
        <w:ind w:left="1438" w:hanging="1438"/>
      </w:pPr>
      <w:rPr>
        <w:rFonts w:ascii="Georgia" w:eastAsia="Georgia" w:hAnsi="Georgia" w:cs="Georgia"/>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decimal"/>
      <w:lvlText w:val="%1.%2.%3.%4."/>
      <w:lvlJc w:val="left"/>
      <w:pPr>
        <w:tabs>
          <w:tab w:val="num" w:pos="446"/>
        </w:tabs>
        <w:ind w:left="1580" w:hanging="1438"/>
      </w:pPr>
      <w:rPr>
        <w:rFonts w:ascii="Georgia" w:eastAsia="Georgia" w:hAnsi="Georgia" w:cs="Georgia"/>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upperLetter"/>
      <w:lvlText w:val="%5."/>
      <w:lvlJc w:val="left"/>
      <w:pPr>
        <w:tabs>
          <w:tab w:val="num" w:pos="304"/>
        </w:tabs>
        <w:ind w:left="1438" w:hanging="1438"/>
      </w:pPr>
      <w:rPr>
        <w:rFonts w:ascii="Georgia" w:eastAsia="Georgia" w:hAnsi="Georgia" w:cs="Georgia"/>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upperLetter"/>
      <w:lvlText w:val="%6."/>
      <w:lvlJc w:val="left"/>
      <w:pPr>
        <w:ind w:left="1134" w:hanging="1134"/>
      </w:pPr>
      <w:rPr>
        <w:rFonts w:ascii="Georgia" w:eastAsia="Georgia" w:hAnsi="Georgia" w:cs="Georgia"/>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decimal"/>
      <w:lvlText w:val="%7."/>
      <w:lvlJc w:val="left"/>
      <w:pPr>
        <w:tabs>
          <w:tab w:val="num" w:pos="203"/>
        </w:tabs>
        <w:ind w:left="1337" w:hanging="1337"/>
      </w:pPr>
      <w:rPr>
        <w:rFonts w:ascii="Georgia" w:eastAsia="Georgia" w:hAnsi="Georgia" w:cs="Georgia"/>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decimal"/>
      <w:lvlText w:val="%8."/>
      <w:lvlJc w:val="left"/>
      <w:pPr>
        <w:tabs>
          <w:tab w:val="num" w:pos="203"/>
        </w:tabs>
        <w:ind w:left="1337" w:hanging="1337"/>
      </w:pPr>
      <w:rPr>
        <w:rFonts w:ascii="Georgia" w:eastAsia="Georgia" w:hAnsi="Georgia" w:cs="Georgia"/>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lowerLetter"/>
      <w:lvlText w:val="%9."/>
      <w:lvlJc w:val="left"/>
      <w:pPr>
        <w:tabs>
          <w:tab w:val="num" w:pos="770"/>
        </w:tabs>
        <w:ind w:left="1903" w:hanging="1337"/>
      </w:pPr>
      <w:rPr>
        <w:rFonts w:ascii="Georgia" w:eastAsia="Georgia" w:hAnsi="Georgia" w:cs="Georgia"/>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15">
    <w:nsid w:val="184F5379"/>
    <w:multiLevelType w:val="multilevel"/>
    <w:tmpl w:val="1546630C"/>
    <w:styleLink w:val="ListNumberList"/>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righ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187C12CF"/>
    <w:multiLevelType w:val="multilevel"/>
    <w:tmpl w:val="65807B1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nsid w:val="187E60D1"/>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195D36D6"/>
    <w:multiLevelType w:val="hybridMultilevel"/>
    <w:tmpl w:val="D6D061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19DA6858"/>
    <w:multiLevelType w:val="hybridMultilevel"/>
    <w:tmpl w:val="F2CE5ABE"/>
    <w:lvl w:ilvl="0" w:tplc="899C8E1C">
      <w:start w:val="1"/>
      <w:numFmt w:val="decimal"/>
      <w:lvlText w:val="%1)"/>
      <w:lvlJc w:val="left"/>
      <w:pPr>
        <w:ind w:left="720" w:hanging="360"/>
      </w:pPr>
      <w:rPr>
        <w:rFonts w:ascii="Georgia" w:eastAsia="Times New Roman" w:hAnsi="Georgia" w:cs="Arial"/>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1D230827"/>
    <w:multiLevelType w:val="multilevel"/>
    <w:tmpl w:val="AF18B140"/>
    <w:styleLink w:val="TableNumberdListNormal"/>
    <w:lvl w:ilvl="0">
      <w:start w:val="1"/>
      <w:numFmt w:val="decimal"/>
      <w:lvlRestart w:val="0"/>
      <w:lvlText w:val="%1"/>
      <w:lvlJc w:val="left"/>
      <w:pPr>
        <w:tabs>
          <w:tab w:val="num" w:pos="283"/>
        </w:tabs>
        <w:ind w:left="284" w:hanging="284"/>
      </w:pPr>
      <w:rPr>
        <w:rFonts w:ascii="Times New Roman" w:hAnsi="Times New Roman" w:hint="default"/>
        <w:b w:val="0"/>
        <w:i w:val="0"/>
        <w:color w:val="auto"/>
      </w:rPr>
    </w:lvl>
    <w:lvl w:ilvl="1">
      <w:start w:val="1"/>
      <w:numFmt w:val="lowerLetter"/>
      <w:lvlRestart w:val="0"/>
      <w:lvlText w:val="%2"/>
      <w:lvlJc w:val="left"/>
      <w:pPr>
        <w:tabs>
          <w:tab w:val="num" w:pos="567"/>
        </w:tabs>
        <w:ind w:left="567" w:hanging="283"/>
      </w:pPr>
      <w:rPr>
        <w:rFonts w:hint="default"/>
        <w:b w:val="0"/>
        <w:i w:val="0"/>
        <w:color w:val="auto"/>
        <w:szCs w:val="10"/>
      </w:rPr>
    </w:lvl>
    <w:lvl w:ilvl="2">
      <w:start w:val="1"/>
      <w:numFmt w:val="lowerRoman"/>
      <w:lvlRestart w:val="0"/>
      <w:lvlText w:val="%3"/>
      <w:lvlJc w:val="left"/>
      <w:pPr>
        <w:tabs>
          <w:tab w:val="num" w:pos="851"/>
        </w:tabs>
        <w:ind w:left="851" w:hanging="284"/>
      </w:pPr>
      <w:rPr>
        <w:rFonts w:hint="default"/>
        <w:b w:val="0"/>
        <w:i w:val="0"/>
        <w:color w:val="auto"/>
        <w:sz w:val="10"/>
        <w:szCs w:val="10"/>
      </w:rPr>
    </w:lvl>
    <w:lvl w:ilvl="3">
      <w:start w:val="1"/>
      <w:numFmt w:val="none"/>
      <w:lvlRestart w:val="0"/>
      <w:lvlText w:val=""/>
      <w:lvlJc w:val="left"/>
      <w:pPr>
        <w:tabs>
          <w:tab w:val="num" w:pos="0"/>
        </w:tabs>
        <w:ind w:left="0" w:firstLine="0"/>
      </w:pPr>
      <w:rPr>
        <w:rFonts w:hint="default"/>
        <w:color w:val="auto"/>
        <w:sz w:val="10"/>
        <w:szCs w:val="10"/>
      </w:rPr>
    </w:lvl>
    <w:lvl w:ilvl="4">
      <w:start w:val="1"/>
      <w:numFmt w:val="none"/>
      <w:lvlText w:val="%5"/>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21">
    <w:nsid w:val="1EFC6DF1"/>
    <w:multiLevelType w:val="hybridMultilevel"/>
    <w:tmpl w:val="7660B30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2132243D"/>
    <w:multiLevelType w:val="hybridMultilevel"/>
    <w:tmpl w:val="1D9078CE"/>
    <w:lvl w:ilvl="0" w:tplc="0C090011">
      <w:start w:val="1"/>
      <w:numFmt w:val="decimal"/>
      <w:lvlText w:val="%1)"/>
      <w:lvlJc w:val="left"/>
      <w:pPr>
        <w:ind w:left="2486"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283947C2"/>
    <w:multiLevelType w:val="multilevel"/>
    <w:tmpl w:val="50B20D3A"/>
    <w:numStyleLink w:val="TableNumberedListSmall"/>
  </w:abstractNum>
  <w:abstractNum w:abstractNumId="24">
    <w:nsid w:val="29B2397A"/>
    <w:multiLevelType w:val="hybridMultilevel"/>
    <w:tmpl w:val="01E2994C"/>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nsid w:val="29F60073"/>
    <w:multiLevelType w:val="multilevel"/>
    <w:tmpl w:val="28909FD8"/>
    <w:lvl w:ilvl="0">
      <w:start w:val="1"/>
      <w:numFmt w:val="decimal"/>
      <w:lvlRestart w:val="0"/>
      <w:pStyle w:val="TableNumberedList1"/>
      <w:lvlText w:val="%1"/>
      <w:lvlJc w:val="left"/>
      <w:pPr>
        <w:tabs>
          <w:tab w:val="num" w:pos="283"/>
        </w:tabs>
        <w:ind w:left="284" w:hanging="284"/>
      </w:pPr>
      <w:rPr>
        <w:rFonts w:ascii="Times New Roman" w:hAnsi="Times New Roman" w:hint="default"/>
        <w:b w:val="0"/>
        <w:i w:val="0"/>
        <w:color w:val="auto"/>
        <w:sz w:val="20"/>
      </w:rPr>
    </w:lvl>
    <w:lvl w:ilvl="1">
      <w:start w:val="1"/>
      <w:numFmt w:val="lowerLetter"/>
      <w:lvlRestart w:val="0"/>
      <w:pStyle w:val="TableNumberedList2"/>
      <w:lvlText w:val="%2"/>
      <w:lvlJc w:val="left"/>
      <w:pPr>
        <w:tabs>
          <w:tab w:val="num" w:pos="567"/>
        </w:tabs>
        <w:ind w:left="567" w:hanging="283"/>
      </w:pPr>
      <w:rPr>
        <w:rFonts w:hint="default"/>
        <w:b w:val="0"/>
        <w:i w:val="0"/>
        <w:color w:val="auto"/>
        <w:szCs w:val="10"/>
      </w:rPr>
    </w:lvl>
    <w:lvl w:ilvl="2">
      <w:start w:val="1"/>
      <w:numFmt w:val="lowerRoman"/>
      <w:lvlRestart w:val="0"/>
      <w:pStyle w:val="TableNumberedList3"/>
      <w:lvlText w:val="%3"/>
      <w:lvlJc w:val="left"/>
      <w:pPr>
        <w:tabs>
          <w:tab w:val="num" w:pos="851"/>
        </w:tabs>
        <w:ind w:left="851" w:hanging="284"/>
      </w:pPr>
      <w:rPr>
        <w:rFonts w:asciiTheme="minorHAnsi" w:hAnsiTheme="minorHAnsi" w:hint="default"/>
        <w:b w:val="0"/>
        <w:i w:val="0"/>
        <w:color w:val="auto"/>
        <w:sz w:val="20"/>
        <w:szCs w:val="10"/>
      </w:rPr>
    </w:lvl>
    <w:lvl w:ilvl="3">
      <w:start w:val="1"/>
      <w:numFmt w:val="none"/>
      <w:lvlRestart w:val="0"/>
      <w:lvlText w:val=""/>
      <w:lvlJc w:val="left"/>
      <w:pPr>
        <w:tabs>
          <w:tab w:val="num" w:pos="0"/>
        </w:tabs>
        <w:ind w:left="0" w:firstLine="0"/>
      </w:pPr>
      <w:rPr>
        <w:rFonts w:hint="default"/>
        <w:color w:val="auto"/>
        <w:sz w:val="10"/>
        <w:szCs w:val="10"/>
      </w:rPr>
    </w:lvl>
    <w:lvl w:ilvl="4">
      <w:start w:val="1"/>
      <w:numFmt w:val="none"/>
      <w:lvlText w:val="%5"/>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26">
    <w:nsid w:val="2BF876DE"/>
    <w:multiLevelType w:val="multilevel"/>
    <w:tmpl w:val="B7F496D4"/>
    <w:lvl w:ilvl="0">
      <w:start w:val="1"/>
      <w:numFmt w:val="bullet"/>
      <w:lvlRestart w:val="0"/>
      <w:pStyle w:val="TableBullet1Small"/>
      <w:lvlText w:val=""/>
      <w:lvlJc w:val="left"/>
      <w:pPr>
        <w:tabs>
          <w:tab w:val="num" w:pos="284"/>
        </w:tabs>
        <w:ind w:left="170" w:hanging="170"/>
      </w:pPr>
      <w:rPr>
        <w:rFonts w:ascii="Symbol" w:hAnsi="Symbol" w:hint="default"/>
        <w:b w:val="0"/>
        <w:i w:val="0"/>
        <w:color w:val="auto"/>
      </w:rPr>
    </w:lvl>
    <w:lvl w:ilvl="1">
      <w:start w:val="1"/>
      <w:numFmt w:val="bullet"/>
      <w:lvlRestart w:val="0"/>
      <w:pStyle w:val="TableBullet2Small"/>
      <w:lvlText w:val="–"/>
      <w:lvlJc w:val="left"/>
      <w:pPr>
        <w:tabs>
          <w:tab w:val="num" w:pos="567"/>
        </w:tabs>
        <w:ind w:left="340" w:hanging="170"/>
      </w:pPr>
      <w:rPr>
        <w:rFonts w:ascii="Arial" w:hAnsi="Arial" w:hint="default"/>
        <w:b w:val="0"/>
        <w:i w:val="0"/>
        <w:color w:val="auto"/>
      </w:rPr>
    </w:lvl>
    <w:lvl w:ilvl="2">
      <w:start w:val="1"/>
      <w:numFmt w:val="bullet"/>
      <w:lvlRestart w:val="0"/>
      <w:pStyle w:val="TableBullet3Small"/>
      <w:lvlText w:val="o"/>
      <w:lvlJc w:val="left"/>
      <w:pPr>
        <w:tabs>
          <w:tab w:val="num" w:pos="851"/>
        </w:tabs>
        <w:ind w:left="510" w:hanging="170"/>
      </w:pPr>
      <w:rPr>
        <w:rFonts w:ascii="Arial" w:hAnsi="Arial" w:hint="default"/>
        <w:b w:val="0"/>
        <w:i w:val="0"/>
        <w:color w:val="auto"/>
        <w:sz w:val="10"/>
        <w:szCs w:val="10"/>
      </w:rPr>
    </w:lvl>
    <w:lvl w:ilvl="3">
      <w:start w:val="1"/>
      <w:numFmt w:val="none"/>
      <w:lvlRestart w:val="0"/>
      <w:lvlText w:val=""/>
      <w:lvlJc w:val="left"/>
      <w:pPr>
        <w:tabs>
          <w:tab w:val="num" w:pos="2880"/>
        </w:tabs>
        <w:ind w:left="2880" w:hanging="720"/>
      </w:pPr>
      <w:rPr>
        <w:rFonts w:hint="default"/>
        <w:b w:val="0"/>
        <w:i w:val="0"/>
        <w:color w:val="auto"/>
        <w:sz w:val="10"/>
        <w:szCs w:val="10"/>
      </w:rPr>
    </w:lvl>
    <w:lvl w:ilvl="4">
      <w:start w:val="1"/>
      <w:numFmt w:val="lowerLetter"/>
      <w:lvlText w:val=""/>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27">
    <w:nsid w:val="307E06FA"/>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nsid w:val="32D7125E"/>
    <w:multiLevelType w:val="multilevel"/>
    <w:tmpl w:val="8E0CCD38"/>
    <w:styleLink w:val="CV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7" w:hanging="283"/>
      </w:pPr>
      <w:rPr>
        <w:rFonts w:ascii="Arial" w:hAnsi="Aria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378D5E27"/>
    <w:multiLevelType w:val="hybridMultilevel"/>
    <w:tmpl w:val="6C1609A0"/>
    <w:name w:val="NumberedLists"/>
    <w:lvl w:ilvl="0" w:tplc="978EC44E">
      <w:start w:val="1"/>
      <w:numFmt w:val="bullet"/>
      <w:lvlText w:val="-"/>
      <w:lvlJc w:val="left"/>
      <w:pPr>
        <w:tabs>
          <w:tab w:val="num" w:pos="720"/>
        </w:tabs>
        <w:ind w:left="720" w:hanging="360"/>
      </w:pPr>
      <w:rPr>
        <w:rFonts w:ascii="Times New Roman" w:hAnsi="Times New Roman" w:hint="default"/>
      </w:rPr>
    </w:lvl>
    <w:lvl w:ilvl="1" w:tplc="642E94AA" w:tentative="1">
      <w:start w:val="1"/>
      <w:numFmt w:val="bullet"/>
      <w:lvlText w:val="-"/>
      <w:lvlJc w:val="left"/>
      <w:pPr>
        <w:tabs>
          <w:tab w:val="num" w:pos="1440"/>
        </w:tabs>
        <w:ind w:left="1440" w:hanging="360"/>
      </w:pPr>
      <w:rPr>
        <w:rFonts w:ascii="Times New Roman" w:hAnsi="Times New Roman" w:hint="default"/>
      </w:rPr>
    </w:lvl>
    <w:lvl w:ilvl="2" w:tplc="DAC44BAE" w:tentative="1">
      <w:start w:val="1"/>
      <w:numFmt w:val="bullet"/>
      <w:lvlText w:val="-"/>
      <w:lvlJc w:val="left"/>
      <w:pPr>
        <w:tabs>
          <w:tab w:val="num" w:pos="2160"/>
        </w:tabs>
        <w:ind w:left="2160" w:hanging="360"/>
      </w:pPr>
      <w:rPr>
        <w:rFonts w:ascii="Times New Roman" w:hAnsi="Times New Roman" w:hint="default"/>
      </w:rPr>
    </w:lvl>
    <w:lvl w:ilvl="3" w:tplc="C792D91A" w:tentative="1">
      <w:start w:val="1"/>
      <w:numFmt w:val="bullet"/>
      <w:lvlText w:val="-"/>
      <w:lvlJc w:val="left"/>
      <w:pPr>
        <w:tabs>
          <w:tab w:val="num" w:pos="2880"/>
        </w:tabs>
        <w:ind w:left="2880" w:hanging="360"/>
      </w:pPr>
      <w:rPr>
        <w:rFonts w:ascii="Times New Roman" w:hAnsi="Times New Roman" w:hint="default"/>
      </w:rPr>
    </w:lvl>
    <w:lvl w:ilvl="4" w:tplc="414C920C" w:tentative="1">
      <w:start w:val="1"/>
      <w:numFmt w:val="bullet"/>
      <w:lvlText w:val="-"/>
      <w:lvlJc w:val="left"/>
      <w:pPr>
        <w:tabs>
          <w:tab w:val="num" w:pos="3600"/>
        </w:tabs>
        <w:ind w:left="3600" w:hanging="360"/>
      </w:pPr>
      <w:rPr>
        <w:rFonts w:ascii="Times New Roman" w:hAnsi="Times New Roman" w:hint="default"/>
      </w:rPr>
    </w:lvl>
    <w:lvl w:ilvl="5" w:tplc="531A9BB8" w:tentative="1">
      <w:start w:val="1"/>
      <w:numFmt w:val="bullet"/>
      <w:lvlText w:val="-"/>
      <w:lvlJc w:val="left"/>
      <w:pPr>
        <w:tabs>
          <w:tab w:val="num" w:pos="4320"/>
        </w:tabs>
        <w:ind w:left="4320" w:hanging="360"/>
      </w:pPr>
      <w:rPr>
        <w:rFonts w:ascii="Times New Roman" w:hAnsi="Times New Roman" w:hint="default"/>
      </w:rPr>
    </w:lvl>
    <w:lvl w:ilvl="6" w:tplc="8D7C4DA8" w:tentative="1">
      <w:start w:val="1"/>
      <w:numFmt w:val="bullet"/>
      <w:lvlText w:val="-"/>
      <w:lvlJc w:val="left"/>
      <w:pPr>
        <w:tabs>
          <w:tab w:val="num" w:pos="5040"/>
        </w:tabs>
        <w:ind w:left="5040" w:hanging="360"/>
      </w:pPr>
      <w:rPr>
        <w:rFonts w:ascii="Times New Roman" w:hAnsi="Times New Roman" w:hint="default"/>
      </w:rPr>
    </w:lvl>
    <w:lvl w:ilvl="7" w:tplc="8150675A" w:tentative="1">
      <w:start w:val="1"/>
      <w:numFmt w:val="bullet"/>
      <w:lvlText w:val="-"/>
      <w:lvlJc w:val="left"/>
      <w:pPr>
        <w:tabs>
          <w:tab w:val="num" w:pos="5760"/>
        </w:tabs>
        <w:ind w:left="5760" w:hanging="360"/>
      </w:pPr>
      <w:rPr>
        <w:rFonts w:ascii="Times New Roman" w:hAnsi="Times New Roman" w:hint="default"/>
      </w:rPr>
    </w:lvl>
    <w:lvl w:ilvl="8" w:tplc="454A8D4A" w:tentative="1">
      <w:start w:val="1"/>
      <w:numFmt w:val="bullet"/>
      <w:lvlText w:val="-"/>
      <w:lvlJc w:val="left"/>
      <w:pPr>
        <w:tabs>
          <w:tab w:val="num" w:pos="6480"/>
        </w:tabs>
        <w:ind w:left="6480" w:hanging="360"/>
      </w:pPr>
      <w:rPr>
        <w:rFonts w:ascii="Times New Roman" w:hAnsi="Times New Roman" w:hint="default"/>
      </w:rPr>
    </w:lvl>
  </w:abstractNum>
  <w:abstractNum w:abstractNumId="30">
    <w:nsid w:val="3E4F29E4"/>
    <w:multiLevelType w:val="multilevel"/>
    <w:tmpl w:val="0BD8A4F4"/>
    <w:styleLink w:val="ChapterNumberingList"/>
    <w:lvl w:ilvl="0">
      <w:start w:val="1"/>
      <w:numFmt w:val="decimal"/>
      <w:lvlRestart w:val="0"/>
      <w:suff w:val="nothing"/>
      <w:lvlText w:val="%1"/>
      <w:lvlJc w:val="left"/>
      <w:pPr>
        <w:ind w:left="0" w:firstLine="0"/>
      </w:pPr>
      <w:rPr>
        <w:rFonts w:hint="default"/>
      </w:rPr>
    </w:lvl>
    <w:lvl w:ilvl="1">
      <w:start w:val="1"/>
      <w:numFmt w:val="decimal"/>
      <w:lvlRestart w:val="0"/>
      <w:lvlText w:val="%2"/>
      <w:lvlJc w:val="left"/>
      <w:pPr>
        <w:tabs>
          <w:tab w:val="num" w:pos="850"/>
        </w:tabs>
        <w:ind w:left="850" w:hanging="850"/>
      </w:pPr>
      <w:rPr>
        <w:rFonts w:hint="default"/>
      </w:rPr>
    </w:lvl>
    <w:lvl w:ilvl="2">
      <w:start w:val="1"/>
      <w:numFmt w:val="decimal"/>
      <w:lvlText w:val="%2.%3"/>
      <w:lvlJc w:val="left"/>
      <w:pPr>
        <w:tabs>
          <w:tab w:val="num" w:pos="850"/>
        </w:tabs>
        <w:ind w:left="850" w:hanging="850"/>
      </w:pPr>
      <w:rPr>
        <w:rFonts w:hint="default"/>
      </w:rPr>
    </w:lvl>
    <w:lvl w:ilvl="3">
      <w:start w:val="1"/>
      <w:numFmt w:val="decimal"/>
      <w:lvlText w:val="%2.%3.%4"/>
      <w:lvlJc w:val="left"/>
      <w:pPr>
        <w:tabs>
          <w:tab w:val="num" w:pos="850"/>
        </w:tabs>
        <w:ind w:left="850" w:hanging="850"/>
      </w:pPr>
      <w:rPr>
        <w:rFonts w:hint="default"/>
      </w:rPr>
    </w:lvl>
    <w:lvl w:ilvl="4">
      <w:start w:val="1"/>
      <w:numFmt w:val="upperLetter"/>
      <w:lvlRestart w:val="0"/>
      <w:lvlText w:val="Appendix %5"/>
      <w:lvlJc w:val="left"/>
      <w:pPr>
        <w:tabs>
          <w:tab w:val="num" w:pos="3685"/>
        </w:tabs>
        <w:ind w:left="0" w:firstLine="0"/>
      </w:pPr>
      <w:rPr>
        <w:rFonts w:hint="default"/>
      </w:rPr>
    </w:lvl>
    <w:lvl w:ilvl="5">
      <w:start w:val="1"/>
      <w:numFmt w:val="upperLetter"/>
      <w:lvlRestart w:val="0"/>
      <w:suff w:val="nothing"/>
      <w:lvlText w:val="Appendix %6"/>
      <w:lvlJc w:val="left"/>
      <w:pPr>
        <w:ind w:left="0" w:firstLine="0"/>
      </w:pPr>
      <w:rPr>
        <w:rFonts w:hint="default"/>
      </w:rPr>
    </w:lvl>
    <w:lvl w:ilvl="6">
      <w:start w:val="1"/>
      <w:numFmt w:val="decimal"/>
      <w:lvlText w:val="%7"/>
      <w:lvlJc w:val="left"/>
      <w:pPr>
        <w:tabs>
          <w:tab w:val="num" w:pos="567"/>
        </w:tabs>
        <w:ind w:left="567" w:hanging="567"/>
      </w:pPr>
      <w:rPr>
        <w:rFonts w:hint="default"/>
        <w:b/>
        <w:i/>
      </w:rPr>
    </w:lvl>
    <w:lvl w:ilvl="7">
      <w:start w:val="1"/>
      <w:numFmt w:val="decimal"/>
      <w:lvlText w:val="%8"/>
      <w:lvlJc w:val="left"/>
      <w:pPr>
        <w:tabs>
          <w:tab w:val="num" w:pos="284"/>
        </w:tabs>
        <w:ind w:left="284" w:hanging="284"/>
      </w:pPr>
      <w:rPr>
        <w:rFonts w:hint="default"/>
        <w:b w:val="0"/>
        <w:i w:val="0"/>
        <w:color w:val="auto"/>
      </w:rPr>
    </w:lvl>
    <w:lvl w:ilvl="8">
      <w:start w:val="1"/>
      <w:numFmt w:val="lowerLetter"/>
      <w:lvlText w:val="%9"/>
      <w:lvlJc w:val="left"/>
      <w:pPr>
        <w:tabs>
          <w:tab w:val="num" w:pos="567"/>
        </w:tabs>
        <w:ind w:left="567" w:hanging="283"/>
      </w:pPr>
      <w:rPr>
        <w:rFonts w:hint="default"/>
        <w:b w:val="0"/>
        <w:i w:val="0"/>
        <w:color w:val="auto"/>
      </w:rPr>
    </w:lvl>
  </w:abstractNum>
  <w:abstractNum w:abstractNumId="31">
    <w:nsid w:val="3EE52A50"/>
    <w:multiLevelType w:val="multilevel"/>
    <w:tmpl w:val="EE12AE72"/>
    <w:name w:val="PwCListNumbers13"/>
    <w:styleLink w:val="PwCAppendixList1"/>
    <w:lvl w:ilvl="0">
      <w:start w:val="1"/>
      <w:numFmt w:val="upperLetter"/>
      <w:pStyle w:val="Appendix"/>
      <w:lvlText w:val="Appendix %1 "/>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444E3268"/>
    <w:multiLevelType w:val="hybridMultilevel"/>
    <w:tmpl w:val="12BE5EB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460B564E"/>
    <w:multiLevelType w:val="multilevel"/>
    <w:tmpl w:val="D5EA105E"/>
    <w:styleLink w:val="TableBulletSmallList"/>
    <w:lvl w:ilvl="0">
      <w:start w:val="1"/>
      <w:numFmt w:val="bullet"/>
      <w:lvlRestart w:val="0"/>
      <w:lvlText w:val=""/>
      <w:lvlJc w:val="left"/>
      <w:pPr>
        <w:tabs>
          <w:tab w:val="num" w:pos="284"/>
        </w:tabs>
        <w:ind w:left="284" w:hanging="284"/>
      </w:pPr>
      <w:rPr>
        <w:rFonts w:ascii="Symbol" w:hAnsi="Symbol" w:hint="default"/>
        <w:b w:val="0"/>
        <w:i w:val="0"/>
        <w:color w:val="auto"/>
      </w:rPr>
    </w:lvl>
    <w:lvl w:ilvl="1">
      <w:start w:val="1"/>
      <w:numFmt w:val="bullet"/>
      <w:lvlRestart w:val="0"/>
      <w:lvlText w:val="–"/>
      <w:lvlJc w:val="left"/>
      <w:pPr>
        <w:tabs>
          <w:tab w:val="num" w:pos="567"/>
        </w:tabs>
        <w:ind w:left="567" w:hanging="283"/>
      </w:pPr>
      <w:rPr>
        <w:rFonts w:ascii="Arial" w:hAnsi="Arial" w:hint="default"/>
        <w:b w:val="0"/>
        <w:i w:val="0"/>
        <w:color w:val="auto"/>
      </w:rPr>
    </w:lvl>
    <w:lvl w:ilvl="2">
      <w:start w:val="1"/>
      <w:numFmt w:val="bullet"/>
      <w:lvlRestart w:val="0"/>
      <w:lvlText w:val="o"/>
      <w:lvlJc w:val="left"/>
      <w:pPr>
        <w:tabs>
          <w:tab w:val="num" w:pos="851"/>
        </w:tabs>
        <w:ind w:left="851" w:hanging="284"/>
      </w:pPr>
      <w:rPr>
        <w:rFonts w:ascii="Arial" w:hAnsi="Arial" w:hint="default"/>
        <w:b w:val="0"/>
        <w:i w:val="0"/>
        <w:color w:val="auto"/>
        <w:sz w:val="10"/>
        <w:szCs w:val="10"/>
      </w:rPr>
    </w:lvl>
    <w:lvl w:ilvl="3">
      <w:start w:val="1"/>
      <w:numFmt w:val="none"/>
      <w:lvlRestart w:val="0"/>
      <w:lvlText w:val=""/>
      <w:lvlJc w:val="left"/>
      <w:pPr>
        <w:tabs>
          <w:tab w:val="num" w:pos="2880"/>
        </w:tabs>
        <w:ind w:left="2880" w:hanging="720"/>
      </w:pPr>
      <w:rPr>
        <w:rFonts w:hint="default"/>
        <w:b w:val="0"/>
        <w:i w:val="0"/>
        <w:color w:val="auto"/>
        <w:sz w:val="10"/>
        <w:szCs w:val="10"/>
      </w:rPr>
    </w:lvl>
    <w:lvl w:ilvl="4">
      <w:start w:val="1"/>
      <w:numFmt w:val="lowerLetter"/>
      <w:lvlText w:val=""/>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34">
    <w:nsid w:val="49F63263"/>
    <w:multiLevelType w:val="hybridMultilevel"/>
    <w:tmpl w:val="82E2B762"/>
    <w:lvl w:ilvl="0" w:tplc="04AA6A96">
      <w:start w:val="1"/>
      <w:numFmt w:val="bullet"/>
      <w:lvlText w:val="-"/>
      <w:lvlJc w:val="left"/>
      <w:pPr>
        <w:ind w:left="720" w:hanging="360"/>
      </w:pPr>
      <w:rPr>
        <w:rFonts w:ascii="Georgia" w:eastAsia="Times New Roman" w:hAnsi="Georgia"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5">
    <w:nsid w:val="4AAB5470"/>
    <w:multiLevelType w:val="multilevel"/>
    <w:tmpl w:val="70E46C8A"/>
    <w:lvl w:ilvl="0">
      <w:start w:val="1"/>
      <w:numFmt w:val="bullet"/>
      <w:lvlRestart w:val="0"/>
      <w:pStyle w:val="ListBullet"/>
      <w:lvlText w:val=""/>
      <w:lvlJc w:val="left"/>
      <w:pPr>
        <w:tabs>
          <w:tab w:val="num" w:pos="284"/>
        </w:tabs>
        <w:ind w:left="284" w:hanging="284"/>
      </w:pPr>
      <w:rPr>
        <w:rFonts w:ascii="Symbol" w:hAnsi="Symbol" w:hint="default"/>
        <w:b w:val="0"/>
        <w:i w:val="0"/>
        <w:color w:val="auto"/>
      </w:rPr>
    </w:lvl>
    <w:lvl w:ilvl="1">
      <w:start w:val="1"/>
      <w:numFmt w:val="bullet"/>
      <w:pStyle w:val="ListBullet2"/>
      <w:lvlText w:val="–"/>
      <w:lvlJc w:val="left"/>
      <w:pPr>
        <w:tabs>
          <w:tab w:val="num" w:pos="567"/>
        </w:tabs>
        <w:ind w:left="568" w:hanging="284"/>
      </w:pPr>
      <w:rPr>
        <w:rFonts w:ascii="Arial" w:hAnsi="Arial" w:hint="default"/>
        <w:b w:val="0"/>
        <w:i w:val="0"/>
        <w:color w:val="auto"/>
      </w:rPr>
    </w:lvl>
    <w:lvl w:ilvl="2">
      <w:start w:val="1"/>
      <w:numFmt w:val="bullet"/>
      <w:pStyle w:val="ListBullet3"/>
      <w:lvlText w:val="◦"/>
      <w:lvlJc w:val="left"/>
      <w:pPr>
        <w:tabs>
          <w:tab w:val="num" w:pos="851"/>
        </w:tabs>
        <w:ind w:left="852" w:hanging="284"/>
      </w:pPr>
      <w:rPr>
        <w:rFonts w:ascii="Georgia" w:hAnsi="Georgia" w:hint="default"/>
        <w:b w:val="0"/>
        <w:i w:val="0"/>
        <w:color w:val="auto"/>
        <w:sz w:val="18"/>
        <w:szCs w:val="10"/>
      </w:rPr>
    </w:lvl>
    <w:lvl w:ilvl="3">
      <w:start w:val="1"/>
      <w:numFmt w:val="bullet"/>
      <w:pStyle w:val="ListBullet4"/>
      <w:lvlText w:val=""/>
      <w:lvlJc w:val="left"/>
      <w:pPr>
        <w:tabs>
          <w:tab w:val="num" w:pos="1134"/>
        </w:tabs>
        <w:ind w:left="1136" w:hanging="284"/>
      </w:pPr>
      <w:rPr>
        <w:rFonts w:ascii="Symbol" w:hAnsi="Symbol" w:hint="default"/>
        <w:b w:val="0"/>
        <w:i w:val="0"/>
        <w:color w:val="auto"/>
        <w:sz w:val="20"/>
        <w:szCs w:val="10"/>
      </w:rPr>
    </w:lvl>
    <w:lvl w:ilvl="4">
      <w:start w:val="1"/>
      <w:numFmt w:val="bullet"/>
      <w:pStyle w:val="ListBullet5"/>
      <w:lvlText w:val="~"/>
      <w:lvlJc w:val="left"/>
      <w:pPr>
        <w:tabs>
          <w:tab w:val="num" w:pos="1418"/>
        </w:tabs>
        <w:ind w:left="1420" w:hanging="284"/>
      </w:pPr>
      <w:rPr>
        <w:rFonts w:ascii="Georgia" w:hAnsi="Georgia" w:hint="default"/>
        <w:color w:val="auto"/>
      </w:rPr>
    </w:lvl>
    <w:lvl w:ilvl="5">
      <w:start w:val="1"/>
      <w:numFmt w:val="lowerRoman"/>
      <w:lvlText w:val="%6"/>
      <w:lvlJc w:val="left"/>
      <w:pPr>
        <w:tabs>
          <w:tab w:val="num" w:pos="1701"/>
        </w:tabs>
        <w:ind w:left="1361" w:firstLine="59"/>
      </w:pPr>
      <w:rPr>
        <w:rFonts w:hint="default"/>
      </w:rPr>
    </w:lvl>
    <w:lvl w:ilvl="6">
      <w:start w:val="1"/>
      <w:numFmt w:val="decimal"/>
      <w:lvlText w:val="%7"/>
      <w:lvlJc w:val="left"/>
      <w:pPr>
        <w:tabs>
          <w:tab w:val="num" w:pos="1985"/>
        </w:tabs>
        <w:ind w:left="1985" w:hanging="964"/>
      </w:pPr>
      <w:rPr>
        <w:rFonts w:hint="default"/>
      </w:rPr>
    </w:lvl>
    <w:lvl w:ilvl="7">
      <w:start w:val="1"/>
      <w:numFmt w:val="lowerLetter"/>
      <w:lvlText w:val="%8"/>
      <w:lvlJc w:val="left"/>
      <w:pPr>
        <w:tabs>
          <w:tab w:val="num" w:pos="2268"/>
        </w:tabs>
        <w:ind w:left="2211" w:hanging="226"/>
      </w:pPr>
      <w:rPr>
        <w:rFonts w:hint="default"/>
      </w:rPr>
    </w:lvl>
    <w:lvl w:ilvl="8">
      <w:start w:val="1"/>
      <w:numFmt w:val="lowerRoman"/>
      <w:lvlText w:val="%9"/>
      <w:lvlJc w:val="left"/>
      <w:pPr>
        <w:tabs>
          <w:tab w:val="num" w:pos="2552"/>
        </w:tabs>
        <w:ind w:left="2552" w:hanging="284"/>
      </w:pPr>
      <w:rPr>
        <w:rFonts w:hint="default"/>
      </w:rPr>
    </w:lvl>
  </w:abstractNum>
  <w:abstractNum w:abstractNumId="36">
    <w:nsid w:val="4D8C2F25"/>
    <w:multiLevelType w:val="multilevel"/>
    <w:tmpl w:val="6E008996"/>
    <w:lvl w:ilvl="0">
      <w:start w:val="1"/>
      <w:numFmt w:val="bullet"/>
      <w:lvlRestart w:val="0"/>
      <w:pStyle w:val="TableBullet1Normal"/>
      <w:lvlText w:val=""/>
      <w:lvlJc w:val="left"/>
      <w:pPr>
        <w:tabs>
          <w:tab w:val="num" w:pos="283"/>
        </w:tabs>
        <w:ind w:left="284" w:hanging="284"/>
      </w:pPr>
      <w:rPr>
        <w:rFonts w:ascii="Symbol" w:hAnsi="Symbol" w:hint="default"/>
        <w:b w:val="0"/>
        <w:i w:val="0"/>
        <w:color w:val="auto"/>
      </w:rPr>
    </w:lvl>
    <w:lvl w:ilvl="1">
      <w:start w:val="1"/>
      <w:numFmt w:val="bullet"/>
      <w:lvlRestart w:val="0"/>
      <w:pStyle w:val="TableBullet2Normal"/>
      <w:lvlText w:val="–"/>
      <w:lvlJc w:val="left"/>
      <w:pPr>
        <w:tabs>
          <w:tab w:val="num" w:pos="567"/>
        </w:tabs>
        <w:ind w:left="567" w:hanging="283"/>
      </w:pPr>
      <w:rPr>
        <w:rFonts w:ascii="Arial" w:hAnsi="Arial" w:hint="default"/>
        <w:b w:val="0"/>
        <w:i w:val="0"/>
        <w:color w:val="auto"/>
        <w:szCs w:val="10"/>
      </w:rPr>
    </w:lvl>
    <w:lvl w:ilvl="2">
      <w:start w:val="1"/>
      <w:numFmt w:val="bullet"/>
      <w:lvlRestart w:val="0"/>
      <w:pStyle w:val="TableBullet3Normal"/>
      <w:lvlText w:val="o"/>
      <w:lvlJc w:val="left"/>
      <w:pPr>
        <w:tabs>
          <w:tab w:val="num" w:pos="851"/>
        </w:tabs>
        <w:ind w:left="851" w:hanging="284"/>
      </w:pPr>
      <w:rPr>
        <w:rFonts w:ascii="Arial" w:hAnsi="Arial" w:hint="default"/>
        <w:b w:val="0"/>
        <w:i w:val="0"/>
        <w:color w:val="auto"/>
        <w:sz w:val="10"/>
        <w:szCs w:val="10"/>
      </w:rPr>
    </w:lvl>
    <w:lvl w:ilvl="3">
      <w:start w:val="1"/>
      <w:numFmt w:val="none"/>
      <w:lvlRestart w:val="0"/>
      <w:lvlText w:val=""/>
      <w:lvlJc w:val="left"/>
      <w:pPr>
        <w:tabs>
          <w:tab w:val="num" w:pos="0"/>
        </w:tabs>
        <w:ind w:left="0" w:firstLine="0"/>
      </w:pPr>
      <w:rPr>
        <w:rFonts w:hint="default"/>
        <w:color w:val="auto"/>
        <w:sz w:val="10"/>
        <w:szCs w:val="10"/>
      </w:rPr>
    </w:lvl>
    <w:lvl w:ilvl="4">
      <w:start w:val="1"/>
      <w:numFmt w:val="none"/>
      <w:lvlText w:val="%5"/>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37">
    <w:nsid w:val="518C39C9"/>
    <w:multiLevelType w:val="multilevel"/>
    <w:tmpl w:val="D93463A2"/>
    <w:styleLink w:val="Style1"/>
    <w:lvl w:ilvl="0">
      <w:start w:val="1"/>
      <w:numFmt w:val="decimal"/>
      <w:pStyle w:val="TOC1"/>
      <w:lvlText w:val="%1"/>
      <w:lvlJc w:val="left"/>
      <w:pPr>
        <w:tabs>
          <w:tab w:val="num" w:pos="567"/>
        </w:tabs>
        <w:ind w:left="567" w:hanging="567"/>
      </w:pPr>
      <w:rPr>
        <w:rFonts w:hint="default"/>
      </w:rPr>
    </w:lvl>
    <w:lvl w:ilvl="1">
      <w:start w:val="1"/>
      <w:numFmt w:val="none"/>
      <w:pStyle w:val="Appendicestitle"/>
      <w:suff w:val="nothing"/>
      <w:lvlText w:val=""/>
      <w:lvlJc w:val="left"/>
      <w:pPr>
        <w:ind w:left="0" w:firstLine="0"/>
      </w:pPr>
      <w:rPr>
        <w:rFonts w:hint="default"/>
      </w:rPr>
    </w:lvl>
    <w:lvl w:ilvl="2">
      <w:start w:val="1"/>
      <w:numFmt w:val="upperLetter"/>
      <w:pStyle w:val="TOC3"/>
      <w:lvlText w:val="Appendix %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nsid w:val="53D43247"/>
    <w:multiLevelType w:val="hybridMultilevel"/>
    <w:tmpl w:val="0A56CE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561810BB"/>
    <w:multiLevelType w:val="hybridMultilevel"/>
    <w:tmpl w:val="092E98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5A221997"/>
    <w:multiLevelType w:val="hybridMultilevel"/>
    <w:tmpl w:val="DE1438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5DC76B7F"/>
    <w:multiLevelType w:val="multilevel"/>
    <w:tmpl w:val="9B92D8C8"/>
    <w:lvl w:ilvl="0">
      <w:start w:val="1"/>
      <w:numFmt w:val="decimal"/>
      <w:lvlRestart w:val="0"/>
      <w:pStyle w:val="ChapterNumberLong"/>
      <w:suff w:val="nothing"/>
      <w:lvlText w:val="%1"/>
      <w:lvlJc w:val="left"/>
      <w:pPr>
        <w:tabs>
          <w:tab w:val="num" w:pos="0"/>
        </w:tabs>
        <w:ind w:left="0" w:firstLine="0"/>
      </w:pPr>
      <w:rPr>
        <w:rFonts w:hint="default"/>
      </w:rPr>
    </w:lvl>
    <w:lvl w:ilvl="1">
      <w:start w:val="1"/>
      <w:numFmt w:val="decimal"/>
      <w:lvlRestart w:val="0"/>
      <w:pStyle w:val="Heading2"/>
      <w:lvlText w:val="%2"/>
      <w:lvlJc w:val="left"/>
      <w:pPr>
        <w:tabs>
          <w:tab w:val="num" w:pos="850"/>
        </w:tabs>
        <w:ind w:left="850" w:hanging="850"/>
      </w:pPr>
      <w:rPr>
        <w:rFonts w:hint="default"/>
      </w:rPr>
    </w:lvl>
    <w:lvl w:ilvl="2">
      <w:start w:val="1"/>
      <w:numFmt w:val="decimal"/>
      <w:pStyle w:val="Heading6"/>
      <w:lvlText w:val="%2.%3"/>
      <w:lvlJc w:val="left"/>
      <w:pPr>
        <w:tabs>
          <w:tab w:val="num" w:pos="850"/>
        </w:tabs>
        <w:ind w:left="850" w:hanging="850"/>
      </w:pPr>
      <w:rPr>
        <w:rFonts w:hint="default"/>
      </w:rPr>
    </w:lvl>
    <w:lvl w:ilvl="3">
      <w:start w:val="1"/>
      <w:numFmt w:val="decimal"/>
      <w:pStyle w:val="Heading7"/>
      <w:lvlText w:val="%2.%3.%4"/>
      <w:lvlJc w:val="left"/>
      <w:pPr>
        <w:tabs>
          <w:tab w:val="num" w:pos="850"/>
        </w:tabs>
        <w:ind w:left="850" w:hanging="850"/>
      </w:pPr>
      <w:rPr>
        <w:b w:val="0"/>
        <w:bCs w:val="0"/>
        <w:i w:val="0"/>
        <w:iCs w:val="0"/>
        <w:caps w:val="0"/>
        <w:smallCaps w:val="0"/>
        <w:strike w:val="0"/>
        <w:dstrike w:val="0"/>
        <w:outline w:val="0"/>
        <w:shadow w:val="0"/>
        <w:emboss w:val="0"/>
        <w:imprint w:val="0"/>
        <w:noProof w:val="0"/>
        <w:snapToGrid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upperLetter"/>
      <w:lvlRestart w:val="0"/>
      <w:pStyle w:val="Heading4"/>
      <w:lvlText w:val="Appendix %5"/>
      <w:lvlJc w:val="left"/>
      <w:pPr>
        <w:tabs>
          <w:tab w:val="num" w:pos="4393"/>
        </w:tabs>
        <w:ind w:left="708" w:firstLine="0"/>
      </w:pPr>
      <w:rPr>
        <w:rFonts w:hint="default"/>
      </w:rPr>
    </w:lvl>
    <w:lvl w:ilvl="5">
      <w:start w:val="1"/>
      <w:numFmt w:val="upperLetter"/>
      <w:lvlRestart w:val="0"/>
      <w:pStyle w:val="AppendixNumberLong"/>
      <w:suff w:val="nothing"/>
      <w:lvlText w:val="Appendix %6"/>
      <w:lvlJc w:val="left"/>
      <w:pPr>
        <w:tabs>
          <w:tab w:val="num" w:pos="0"/>
        </w:tabs>
        <w:ind w:left="0" w:firstLine="0"/>
      </w:pPr>
      <w:rPr>
        <w:rFonts w:hint="default"/>
      </w:rPr>
    </w:lvl>
    <w:lvl w:ilvl="6">
      <w:start w:val="1"/>
      <w:numFmt w:val="decimal"/>
      <w:pStyle w:val="Heading8"/>
      <w:lvlText w:val="%7"/>
      <w:lvlJc w:val="left"/>
      <w:pPr>
        <w:tabs>
          <w:tab w:val="num" w:pos="567"/>
        </w:tabs>
        <w:ind w:left="567" w:hanging="567"/>
      </w:pPr>
      <w:rPr>
        <w:rFonts w:hint="default"/>
        <w:b/>
        <w:i/>
      </w:rPr>
    </w:lvl>
    <w:lvl w:ilvl="7">
      <w:start w:val="1"/>
      <w:numFmt w:val="decimal"/>
      <w:pStyle w:val="ChapterNumberedList1"/>
      <w:lvlText w:val="%8"/>
      <w:lvlJc w:val="left"/>
      <w:pPr>
        <w:tabs>
          <w:tab w:val="num" w:pos="567"/>
        </w:tabs>
        <w:ind w:left="567" w:hanging="567"/>
      </w:pPr>
      <w:rPr>
        <w:rFonts w:hint="default"/>
        <w:b w:val="0"/>
        <w:i w:val="0"/>
        <w:color w:val="auto"/>
      </w:rPr>
    </w:lvl>
    <w:lvl w:ilvl="8">
      <w:start w:val="1"/>
      <w:numFmt w:val="lowerLetter"/>
      <w:pStyle w:val="ChapterNumberedList2"/>
      <w:lvlText w:val="%9"/>
      <w:lvlJc w:val="left"/>
      <w:pPr>
        <w:tabs>
          <w:tab w:val="num" w:pos="1134"/>
        </w:tabs>
        <w:ind w:left="1134" w:hanging="567"/>
      </w:pPr>
      <w:rPr>
        <w:rFonts w:hint="default"/>
        <w:b w:val="0"/>
        <w:i w:val="0"/>
        <w:color w:val="auto"/>
      </w:rPr>
    </w:lvl>
  </w:abstractNum>
  <w:abstractNum w:abstractNumId="42">
    <w:nsid w:val="5E401664"/>
    <w:multiLevelType w:val="multilevel"/>
    <w:tmpl w:val="EE12AE72"/>
    <w:name w:val="LongTOC"/>
    <w:numStyleLink w:val="PwCAppendixList1"/>
  </w:abstractNum>
  <w:abstractNum w:abstractNumId="43">
    <w:nsid w:val="63917BB9"/>
    <w:multiLevelType w:val="multilevel"/>
    <w:tmpl w:val="2012B978"/>
    <w:lvl w:ilvl="0">
      <w:start w:val="1"/>
      <w:numFmt w:val="none"/>
      <w:pStyle w:val="PwCNormal"/>
      <w:suff w:val="nothing"/>
      <w:lvlText w:val=""/>
      <w:lvlJc w:val="left"/>
      <w:pPr>
        <w:ind w:left="0" w:firstLine="0"/>
      </w:pPr>
      <w:rPr>
        <w:rFonts w:hint="default"/>
        <w:color w:val="auto"/>
      </w:rPr>
    </w:lvl>
    <w:lvl w:ilvl="1">
      <w:start w:val="1"/>
      <w:numFmt w:val="none"/>
      <w:pStyle w:val="Indent1"/>
      <w:suff w:val="nothing"/>
      <w:lvlText w:val=""/>
      <w:lvlJc w:val="left"/>
      <w:pPr>
        <w:ind w:left="284" w:firstLine="0"/>
      </w:pPr>
      <w:rPr>
        <w:rFonts w:hint="default"/>
      </w:rPr>
    </w:lvl>
    <w:lvl w:ilvl="2">
      <w:start w:val="1"/>
      <w:numFmt w:val="none"/>
      <w:pStyle w:val="Indent2"/>
      <w:suff w:val="nothing"/>
      <w:lvlText w:val=""/>
      <w:lvlJc w:val="left"/>
      <w:pPr>
        <w:ind w:left="568" w:firstLine="0"/>
      </w:pPr>
      <w:rPr>
        <w:rFonts w:hint="default"/>
      </w:rPr>
    </w:lvl>
    <w:lvl w:ilvl="3">
      <w:start w:val="1"/>
      <w:numFmt w:val="none"/>
      <w:pStyle w:val="Indent3"/>
      <w:suff w:val="nothing"/>
      <w:lvlText w:val=""/>
      <w:lvlJc w:val="left"/>
      <w:pPr>
        <w:ind w:left="852" w:firstLine="0"/>
      </w:pPr>
      <w:rPr>
        <w:rFonts w:hint="default"/>
      </w:rPr>
    </w:lvl>
    <w:lvl w:ilvl="4">
      <w:start w:val="1"/>
      <w:numFmt w:val="none"/>
      <w:pStyle w:val="Indent4"/>
      <w:suff w:val="nothing"/>
      <w:lvlText w:val=""/>
      <w:lvlJc w:val="left"/>
      <w:pPr>
        <w:ind w:left="1136" w:firstLine="0"/>
      </w:pPr>
      <w:rPr>
        <w:rFonts w:hint="default"/>
      </w:rPr>
    </w:lvl>
    <w:lvl w:ilvl="5">
      <w:start w:val="1"/>
      <w:numFmt w:val="none"/>
      <w:pStyle w:val="Indent5"/>
      <w:suff w:val="nothing"/>
      <w:lvlText w:val=""/>
      <w:lvlJc w:val="left"/>
      <w:pPr>
        <w:ind w:left="1420" w:firstLine="0"/>
      </w:pPr>
      <w:rPr>
        <w:rFonts w:hint="default"/>
      </w:rPr>
    </w:lvl>
    <w:lvl w:ilvl="6">
      <w:start w:val="1"/>
      <w:numFmt w:val="none"/>
      <w:pStyle w:val="Indent6"/>
      <w:suff w:val="nothing"/>
      <w:lvlText w:val=""/>
      <w:lvlJc w:val="left"/>
      <w:pPr>
        <w:ind w:left="1704" w:firstLine="0"/>
      </w:pPr>
      <w:rPr>
        <w:rFonts w:hint="default"/>
      </w:rPr>
    </w:lvl>
    <w:lvl w:ilvl="7">
      <w:start w:val="1"/>
      <w:numFmt w:val="none"/>
      <w:pStyle w:val="Indent7"/>
      <w:suff w:val="nothing"/>
      <w:lvlText w:val=""/>
      <w:lvlJc w:val="left"/>
      <w:pPr>
        <w:ind w:left="1988" w:firstLine="0"/>
      </w:pPr>
      <w:rPr>
        <w:rFonts w:hint="default"/>
      </w:rPr>
    </w:lvl>
    <w:lvl w:ilvl="8">
      <w:start w:val="1"/>
      <w:numFmt w:val="none"/>
      <w:pStyle w:val="Indent8"/>
      <w:suff w:val="nothing"/>
      <w:lvlText w:val=""/>
      <w:lvlJc w:val="left"/>
      <w:pPr>
        <w:ind w:left="2272" w:firstLine="0"/>
      </w:pPr>
      <w:rPr>
        <w:rFonts w:hint="default"/>
      </w:rPr>
    </w:lvl>
  </w:abstractNum>
  <w:abstractNum w:abstractNumId="44">
    <w:nsid w:val="63C1231E"/>
    <w:multiLevelType w:val="hybridMultilevel"/>
    <w:tmpl w:val="BFE09F4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5">
    <w:nsid w:val="66B91E01"/>
    <w:multiLevelType w:val="multilevel"/>
    <w:tmpl w:val="72441B02"/>
    <w:lvl w:ilvl="0">
      <w:numFmt w:val="bullet"/>
      <w:lvlText w:val="•"/>
      <w:lvlJc w:val="left"/>
      <w:rPr>
        <w:color w:val="000000"/>
        <w:position w:val="0"/>
        <w:rtl w:val="0"/>
      </w:rPr>
    </w:lvl>
    <w:lvl w:ilvl="1">
      <w:start w:val="1"/>
      <w:numFmt w:val="bullet"/>
      <w:lvlText w:val="–"/>
      <w:lvlJc w:val="left"/>
      <w:rPr>
        <w:color w:val="000000"/>
        <w:position w:val="0"/>
        <w:rtl w:val="0"/>
      </w:rPr>
    </w:lvl>
    <w:lvl w:ilvl="2">
      <w:start w:val="1"/>
      <w:numFmt w:val="bullet"/>
      <w:lvlText w:val="◦"/>
      <w:lvlJc w:val="left"/>
      <w:rPr>
        <w:color w:val="000000"/>
        <w:position w:val="0"/>
        <w:rtl w:val="0"/>
      </w:rPr>
    </w:lvl>
    <w:lvl w:ilvl="3">
      <w:start w:val="1"/>
      <w:numFmt w:val="bullet"/>
      <w:lvlText w:val="&gt;"/>
      <w:lvlJc w:val="left"/>
      <w:rPr>
        <w:color w:val="000000"/>
        <w:position w:val="0"/>
        <w:rtl w:val="0"/>
      </w:rPr>
    </w:lvl>
    <w:lvl w:ilvl="4">
      <w:start w:val="1"/>
      <w:numFmt w:val="bullet"/>
      <w:lvlText w:val="~"/>
      <w:lvlJc w:val="left"/>
      <w:rPr>
        <w:color w:val="000000"/>
        <w:position w:val="0"/>
        <w:rtl w:val="0"/>
      </w:rPr>
    </w:lvl>
    <w:lvl w:ilvl="5">
      <w:start w:val="1"/>
      <w:numFmt w:val="lowerRoman"/>
      <w:lvlText w:val="%6."/>
      <w:lvlJc w:val="left"/>
      <w:rPr>
        <w:color w:val="000000"/>
        <w:position w:val="0"/>
        <w:rtl w:val="0"/>
      </w:rPr>
    </w:lvl>
    <w:lvl w:ilvl="6">
      <w:start w:val="1"/>
      <w:numFmt w:val="decimal"/>
      <w:lvlText w:val="%7."/>
      <w:lvlJc w:val="left"/>
      <w:rPr>
        <w:color w:val="000000"/>
        <w:position w:val="0"/>
        <w:rtl w:val="0"/>
      </w:rPr>
    </w:lvl>
    <w:lvl w:ilvl="7">
      <w:start w:val="1"/>
      <w:numFmt w:val="lowerLetter"/>
      <w:lvlText w:val="%8."/>
      <w:lvlJc w:val="left"/>
      <w:rPr>
        <w:color w:val="000000"/>
        <w:position w:val="0"/>
        <w:rtl w:val="0"/>
      </w:rPr>
    </w:lvl>
    <w:lvl w:ilvl="8">
      <w:start w:val="1"/>
      <w:numFmt w:val="lowerRoman"/>
      <w:lvlText w:val="%9."/>
      <w:lvlJc w:val="left"/>
      <w:rPr>
        <w:color w:val="000000"/>
        <w:position w:val="0"/>
        <w:rtl w:val="0"/>
      </w:rPr>
    </w:lvl>
  </w:abstractNum>
  <w:abstractNum w:abstractNumId="46">
    <w:nsid w:val="6C60709E"/>
    <w:multiLevelType w:val="hybridMultilevel"/>
    <w:tmpl w:val="559EF9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6C8A32D2"/>
    <w:multiLevelType w:val="multilevel"/>
    <w:tmpl w:val="25800BE4"/>
    <w:styleLink w:val="TableBulletNormalList"/>
    <w:lvl w:ilvl="0">
      <w:start w:val="1"/>
      <w:numFmt w:val="bullet"/>
      <w:lvlRestart w:val="0"/>
      <w:lvlText w:val=""/>
      <w:lvlJc w:val="left"/>
      <w:pPr>
        <w:tabs>
          <w:tab w:val="num" w:pos="283"/>
        </w:tabs>
        <w:ind w:left="283" w:hanging="283"/>
      </w:pPr>
      <w:rPr>
        <w:rFonts w:ascii="Symbol" w:hAnsi="Symbol" w:hint="default"/>
        <w:b w:val="0"/>
        <w:i w:val="0"/>
        <w:color w:val="auto"/>
      </w:rPr>
    </w:lvl>
    <w:lvl w:ilvl="1">
      <w:start w:val="1"/>
      <w:numFmt w:val="bullet"/>
      <w:lvlRestart w:val="0"/>
      <w:lvlText w:val="–"/>
      <w:lvlJc w:val="left"/>
      <w:pPr>
        <w:tabs>
          <w:tab w:val="num" w:pos="567"/>
        </w:tabs>
        <w:ind w:left="567" w:hanging="283"/>
      </w:pPr>
      <w:rPr>
        <w:rFonts w:ascii="Arial" w:hAnsi="Arial" w:hint="default"/>
        <w:b w:val="0"/>
        <w:i w:val="0"/>
        <w:color w:val="auto"/>
        <w:szCs w:val="10"/>
      </w:rPr>
    </w:lvl>
    <w:lvl w:ilvl="2">
      <w:start w:val="1"/>
      <w:numFmt w:val="bullet"/>
      <w:lvlRestart w:val="0"/>
      <w:lvlText w:val="o"/>
      <w:lvlJc w:val="left"/>
      <w:pPr>
        <w:tabs>
          <w:tab w:val="num" w:pos="851"/>
        </w:tabs>
        <w:ind w:left="851" w:hanging="284"/>
      </w:pPr>
      <w:rPr>
        <w:rFonts w:ascii="Arial" w:hAnsi="Arial" w:hint="default"/>
        <w:b w:val="0"/>
        <w:i w:val="0"/>
        <w:color w:val="auto"/>
        <w:sz w:val="10"/>
        <w:szCs w:val="10"/>
      </w:rPr>
    </w:lvl>
    <w:lvl w:ilvl="3">
      <w:start w:val="1"/>
      <w:numFmt w:val="none"/>
      <w:lvlRestart w:val="0"/>
      <w:lvlText w:val=""/>
      <w:lvlJc w:val="left"/>
      <w:pPr>
        <w:tabs>
          <w:tab w:val="num" w:pos="0"/>
        </w:tabs>
        <w:ind w:left="0" w:firstLine="0"/>
      </w:pPr>
      <w:rPr>
        <w:rFonts w:hint="default"/>
        <w:color w:val="auto"/>
        <w:sz w:val="10"/>
        <w:szCs w:val="10"/>
      </w:rPr>
    </w:lvl>
    <w:lvl w:ilvl="4">
      <w:start w:val="1"/>
      <w:numFmt w:val="none"/>
      <w:lvlText w:val="%5"/>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48">
    <w:nsid w:val="6C9F574F"/>
    <w:multiLevelType w:val="multilevel"/>
    <w:tmpl w:val="5A9A1F64"/>
    <w:lvl w:ilvl="0">
      <w:numFmt w:val="bullet"/>
      <w:lvlText w:val="•"/>
      <w:lvlJc w:val="left"/>
      <w:rPr>
        <w:color w:val="000000"/>
        <w:position w:val="0"/>
        <w:rtl w:val="0"/>
      </w:rPr>
    </w:lvl>
    <w:lvl w:ilvl="1">
      <w:start w:val="1"/>
      <w:numFmt w:val="bullet"/>
      <w:lvlText w:val="–"/>
      <w:lvlJc w:val="left"/>
      <w:rPr>
        <w:color w:val="000000"/>
        <w:position w:val="0"/>
        <w:rtl w:val="0"/>
      </w:rPr>
    </w:lvl>
    <w:lvl w:ilvl="2">
      <w:start w:val="1"/>
      <w:numFmt w:val="bullet"/>
      <w:lvlText w:val="◦"/>
      <w:lvlJc w:val="left"/>
      <w:rPr>
        <w:color w:val="000000"/>
        <w:position w:val="0"/>
        <w:rtl w:val="0"/>
      </w:rPr>
    </w:lvl>
    <w:lvl w:ilvl="3">
      <w:start w:val="1"/>
      <w:numFmt w:val="bullet"/>
      <w:lvlText w:val="&gt;"/>
      <w:lvlJc w:val="left"/>
      <w:rPr>
        <w:color w:val="000000"/>
        <w:position w:val="0"/>
        <w:rtl w:val="0"/>
      </w:rPr>
    </w:lvl>
    <w:lvl w:ilvl="4">
      <w:start w:val="1"/>
      <w:numFmt w:val="bullet"/>
      <w:lvlText w:val="~"/>
      <w:lvlJc w:val="left"/>
      <w:rPr>
        <w:color w:val="000000"/>
        <w:position w:val="0"/>
        <w:rtl w:val="0"/>
      </w:rPr>
    </w:lvl>
    <w:lvl w:ilvl="5">
      <w:start w:val="1"/>
      <w:numFmt w:val="lowerRoman"/>
      <w:lvlText w:val="%6."/>
      <w:lvlJc w:val="left"/>
      <w:rPr>
        <w:color w:val="000000"/>
        <w:position w:val="0"/>
        <w:rtl w:val="0"/>
      </w:rPr>
    </w:lvl>
    <w:lvl w:ilvl="6">
      <w:start w:val="1"/>
      <w:numFmt w:val="decimal"/>
      <w:lvlText w:val="%7."/>
      <w:lvlJc w:val="left"/>
      <w:rPr>
        <w:color w:val="000000"/>
        <w:position w:val="0"/>
        <w:rtl w:val="0"/>
      </w:rPr>
    </w:lvl>
    <w:lvl w:ilvl="7">
      <w:start w:val="1"/>
      <w:numFmt w:val="lowerLetter"/>
      <w:lvlText w:val="%8."/>
      <w:lvlJc w:val="left"/>
      <w:rPr>
        <w:color w:val="000000"/>
        <w:position w:val="0"/>
        <w:rtl w:val="0"/>
      </w:rPr>
    </w:lvl>
    <w:lvl w:ilvl="8">
      <w:start w:val="1"/>
      <w:numFmt w:val="lowerRoman"/>
      <w:lvlText w:val="%9."/>
      <w:lvlJc w:val="left"/>
      <w:rPr>
        <w:color w:val="000000"/>
        <w:position w:val="0"/>
        <w:rtl w:val="0"/>
      </w:rPr>
    </w:lvl>
  </w:abstractNum>
  <w:abstractNum w:abstractNumId="49">
    <w:nsid w:val="707518CF"/>
    <w:multiLevelType w:val="multilevel"/>
    <w:tmpl w:val="8CEA6DAA"/>
    <w:name w:val="Bullets2"/>
    <w:numStyleLink w:val="Bullets"/>
  </w:abstractNum>
  <w:abstractNum w:abstractNumId="50">
    <w:nsid w:val="752B32F7"/>
    <w:multiLevelType w:val="hybridMultilevel"/>
    <w:tmpl w:val="C1FA08F0"/>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7E606B70"/>
    <w:multiLevelType w:val="hybridMultilevel"/>
    <w:tmpl w:val="9B1039A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
  </w:num>
  <w:num w:numId="2">
    <w:abstractNumId w:val="10"/>
  </w:num>
  <w:num w:numId="3">
    <w:abstractNumId w:val="33"/>
  </w:num>
  <w:num w:numId="4">
    <w:abstractNumId w:val="47"/>
  </w:num>
  <w:num w:numId="5">
    <w:abstractNumId w:val="36"/>
  </w:num>
  <w:num w:numId="6">
    <w:abstractNumId w:val="26"/>
  </w:num>
  <w:num w:numId="7">
    <w:abstractNumId w:val="28"/>
  </w:num>
  <w:num w:numId="8">
    <w:abstractNumId w:val="6"/>
  </w:num>
  <w:num w:numId="9">
    <w:abstractNumId w:val="31"/>
  </w:num>
  <w:num w:numId="10">
    <w:abstractNumId w:val="42"/>
  </w:num>
  <w:num w:numId="11">
    <w:abstractNumId w:val="7"/>
  </w:num>
  <w:num w:numId="12">
    <w:abstractNumId w:val="20"/>
  </w:num>
  <w:num w:numId="13">
    <w:abstractNumId w:val="25"/>
  </w:num>
  <w:num w:numId="14">
    <w:abstractNumId w:val="13"/>
  </w:num>
  <w:num w:numId="15">
    <w:abstractNumId w:val="23"/>
  </w:num>
  <w:num w:numId="16">
    <w:abstractNumId w:val="15"/>
  </w:num>
  <w:num w:numId="17">
    <w:abstractNumId w:val="17"/>
  </w:num>
  <w:num w:numId="18">
    <w:abstractNumId w:val="2"/>
  </w:num>
  <w:num w:numId="19">
    <w:abstractNumId w:val="27"/>
  </w:num>
  <w:num w:numId="20">
    <w:abstractNumId w:val="5"/>
  </w:num>
  <w:num w:numId="21">
    <w:abstractNumId w:val="37"/>
  </w:num>
  <w:num w:numId="22">
    <w:abstractNumId w:val="30"/>
  </w:num>
  <w:num w:numId="23">
    <w:abstractNumId w:val="49"/>
  </w:num>
  <w:num w:numId="24">
    <w:abstractNumId w:val="43"/>
  </w:num>
  <w:num w:numId="25">
    <w:abstractNumId w:val="41"/>
  </w:num>
  <w:num w:numId="26">
    <w:abstractNumId w:val="3"/>
  </w:num>
  <w:num w:numId="27">
    <w:abstractNumId w:val="51"/>
  </w:num>
  <w:num w:numId="28">
    <w:abstractNumId w:val="22"/>
  </w:num>
  <w:num w:numId="29">
    <w:abstractNumId w:val="35"/>
  </w:num>
  <w:num w:numId="30">
    <w:abstractNumId w:val="8"/>
  </w:num>
  <w:num w:numId="31">
    <w:abstractNumId w:val="24"/>
  </w:num>
  <w:num w:numId="32">
    <w:abstractNumId w:val="12"/>
  </w:num>
  <w:num w:numId="33">
    <w:abstractNumId w:val="19"/>
  </w:num>
  <w:num w:numId="34">
    <w:abstractNumId w:val="21"/>
  </w:num>
  <w:num w:numId="35">
    <w:abstractNumId w:val="18"/>
  </w:num>
  <w:num w:numId="36">
    <w:abstractNumId w:val="40"/>
  </w:num>
  <w:num w:numId="37">
    <w:abstractNumId w:val="43"/>
  </w:num>
  <w:num w:numId="38">
    <w:abstractNumId w:val="43"/>
  </w:num>
  <w:num w:numId="39">
    <w:abstractNumId w:val="41"/>
  </w:num>
  <w:num w:numId="40">
    <w:abstractNumId w:val="43"/>
  </w:num>
  <w:num w:numId="41">
    <w:abstractNumId w:val="38"/>
  </w:num>
  <w:num w:numId="42">
    <w:abstractNumId w:val="43"/>
  </w:num>
  <w:num w:numId="43">
    <w:abstractNumId w:val="43"/>
  </w:num>
  <w:num w:numId="44">
    <w:abstractNumId w:val="43"/>
  </w:num>
  <w:num w:numId="45">
    <w:abstractNumId w:val="43"/>
  </w:num>
  <w:num w:numId="46">
    <w:abstractNumId w:val="43"/>
  </w:num>
  <w:num w:numId="47">
    <w:abstractNumId w:val="41"/>
  </w:num>
  <w:num w:numId="48">
    <w:abstractNumId w:val="41"/>
  </w:num>
  <w:num w:numId="49">
    <w:abstractNumId w:val="41"/>
  </w:num>
  <w:num w:numId="50">
    <w:abstractNumId w:val="43"/>
  </w:num>
  <w:num w:numId="51">
    <w:abstractNumId w:val="43"/>
  </w:num>
  <w:num w:numId="52">
    <w:abstractNumId w:val="43"/>
  </w:num>
  <w:num w:numId="53">
    <w:abstractNumId w:val="43"/>
  </w:num>
  <w:num w:numId="54">
    <w:abstractNumId w:val="39"/>
  </w:num>
  <w:num w:numId="55">
    <w:abstractNumId w:val="0"/>
  </w:num>
  <w:num w:numId="56">
    <w:abstractNumId w:val="11"/>
  </w:num>
  <w:num w:numId="57">
    <w:abstractNumId w:val="35"/>
  </w:num>
  <w:num w:numId="58">
    <w:abstractNumId w:val="16"/>
  </w:num>
  <w:num w:numId="5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4"/>
  </w:num>
  <w:num w:numId="61">
    <w:abstractNumId w:val="32"/>
  </w:num>
  <w:num w:numId="62">
    <w:abstractNumId w:val="43"/>
  </w:num>
  <w:num w:numId="63">
    <w:abstractNumId w:val="43"/>
  </w:num>
  <w:num w:numId="64">
    <w:abstractNumId w:val="43"/>
  </w:num>
  <w:num w:numId="65">
    <w:abstractNumId w:val="43"/>
  </w:num>
  <w:num w:numId="66">
    <w:abstractNumId w:val="41"/>
  </w:num>
  <w:num w:numId="67">
    <w:abstractNumId w:val="41"/>
  </w:num>
  <w:num w:numId="68">
    <w:abstractNumId w:val="43"/>
  </w:num>
  <w:num w:numId="69">
    <w:abstractNumId w:val="1"/>
  </w:num>
  <w:num w:numId="70">
    <w:abstractNumId w:val="14"/>
  </w:num>
  <w:num w:numId="71">
    <w:abstractNumId w:val="9"/>
  </w:num>
  <w:num w:numId="72">
    <w:abstractNumId w:val="43"/>
  </w:num>
  <w:num w:numId="73">
    <w:abstractNumId w:val="43"/>
  </w:num>
  <w:num w:numId="74">
    <w:abstractNumId w:val="43"/>
  </w:num>
  <w:num w:numId="75">
    <w:abstractNumId w:val="43"/>
  </w:num>
  <w:num w:numId="76">
    <w:abstractNumId w:val="35"/>
  </w:num>
  <w:num w:numId="77">
    <w:abstractNumId w:val="48"/>
  </w:num>
  <w:num w:numId="78">
    <w:abstractNumId w:val="45"/>
  </w:num>
  <w:num w:numId="79">
    <w:abstractNumId w:val="50"/>
  </w:num>
  <w:num w:numId="80">
    <w:abstractNumId w:val="44"/>
  </w:num>
  <w:num w:numId="81">
    <w:abstractNumId w:val="41"/>
  </w:num>
  <w:num w:numId="82">
    <w:abstractNumId w:val="41"/>
  </w:num>
  <w:num w:numId="83">
    <w:abstractNumId w:val="41"/>
  </w:num>
  <w:num w:numId="84">
    <w:abstractNumId w:val="41"/>
  </w:num>
  <w:num w:numId="85">
    <w:abstractNumId w:val="43"/>
  </w:num>
  <w:num w:numId="86">
    <w:abstractNumId w:val="46"/>
  </w:num>
  <w:num w:numId="87">
    <w:abstractNumId w:val="41"/>
  </w:num>
  <w:num w:numId="88">
    <w:abstractNumId w:val="41"/>
  </w:num>
  <w:num w:numId="89">
    <w:abstractNumId w:val="41"/>
  </w:num>
  <w:num w:numId="90">
    <w:abstractNumId w:val="43"/>
  </w:num>
  <w:num w:numId="91">
    <w:abstractNumId w:val="43"/>
  </w:num>
  <w:num w:numId="92">
    <w:abstractNumId w:val="43"/>
  </w:num>
  <w:num w:numId="93">
    <w:abstractNumId w:val="43"/>
  </w:num>
  <w:num w:numId="94">
    <w:abstractNumId w:val="43"/>
  </w:num>
  <w:num w:numId="95">
    <w:abstractNumId w:val="43"/>
  </w:num>
  <w:num w:numId="96">
    <w:abstractNumId w:val="43"/>
  </w:num>
  <w:num w:numId="97">
    <w:abstractNumId w:val="43"/>
  </w:num>
  <w:num w:numId="98">
    <w:abstractNumId w:val="35"/>
  </w:num>
  <w:num w:numId="99">
    <w:abstractNumId w:val="41"/>
  </w:num>
  <w:num w:numId="100">
    <w:abstractNumId w:val="41"/>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00"/>
  <w:displayHorizontalDrawingGridEvery w:val="2"/>
  <w:characterSpacingControl w:val="doNotCompress"/>
  <w:hdrShapeDefaults>
    <o:shapedefaults v:ext="edit" spidmax="8193" fillcolor="none [3215]" stroke="f">
      <v:fill color="none [3215]"/>
      <v:stroke on="f"/>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51DD"/>
    <w:rsid w:val="00000267"/>
    <w:rsid w:val="00000B47"/>
    <w:rsid w:val="00000E07"/>
    <w:rsid w:val="000010DC"/>
    <w:rsid w:val="0000119F"/>
    <w:rsid w:val="00001404"/>
    <w:rsid w:val="00001A70"/>
    <w:rsid w:val="00002117"/>
    <w:rsid w:val="000024C0"/>
    <w:rsid w:val="00002A8A"/>
    <w:rsid w:val="00002F7F"/>
    <w:rsid w:val="00002F85"/>
    <w:rsid w:val="00003F70"/>
    <w:rsid w:val="000046CA"/>
    <w:rsid w:val="00005CEB"/>
    <w:rsid w:val="00005DA4"/>
    <w:rsid w:val="00006B9F"/>
    <w:rsid w:val="00006DC6"/>
    <w:rsid w:val="00007406"/>
    <w:rsid w:val="00007EFD"/>
    <w:rsid w:val="00007F60"/>
    <w:rsid w:val="00010F78"/>
    <w:rsid w:val="000114D7"/>
    <w:rsid w:val="00011B56"/>
    <w:rsid w:val="000148A7"/>
    <w:rsid w:val="00014B97"/>
    <w:rsid w:val="00014ECF"/>
    <w:rsid w:val="00015271"/>
    <w:rsid w:val="00015598"/>
    <w:rsid w:val="00015F3F"/>
    <w:rsid w:val="000165FF"/>
    <w:rsid w:val="000203C2"/>
    <w:rsid w:val="00020DB8"/>
    <w:rsid w:val="00020F7F"/>
    <w:rsid w:val="00020F8D"/>
    <w:rsid w:val="000219D0"/>
    <w:rsid w:val="00022048"/>
    <w:rsid w:val="000223BE"/>
    <w:rsid w:val="00023712"/>
    <w:rsid w:val="0002400B"/>
    <w:rsid w:val="00025387"/>
    <w:rsid w:val="00026DF9"/>
    <w:rsid w:val="00027B5F"/>
    <w:rsid w:val="0003004A"/>
    <w:rsid w:val="000308DC"/>
    <w:rsid w:val="00031309"/>
    <w:rsid w:val="000317A6"/>
    <w:rsid w:val="0003180E"/>
    <w:rsid w:val="000324F8"/>
    <w:rsid w:val="00033E5E"/>
    <w:rsid w:val="00034A67"/>
    <w:rsid w:val="00035288"/>
    <w:rsid w:val="00035B7B"/>
    <w:rsid w:val="0003687B"/>
    <w:rsid w:val="0003724A"/>
    <w:rsid w:val="000379DF"/>
    <w:rsid w:val="00037B97"/>
    <w:rsid w:val="00040BC7"/>
    <w:rsid w:val="00041151"/>
    <w:rsid w:val="00041787"/>
    <w:rsid w:val="00041E14"/>
    <w:rsid w:val="00042109"/>
    <w:rsid w:val="00043650"/>
    <w:rsid w:val="0004385E"/>
    <w:rsid w:val="00044237"/>
    <w:rsid w:val="000444FF"/>
    <w:rsid w:val="00044F00"/>
    <w:rsid w:val="00045D4E"/>
    <w:rsid w:val="00046EB5"/>
    <w:rsid w:val="00047050"/>
    <w:rsid w:val="000473AE"/>
    <w:rsid w:val="00047714"/>
    <w:rsid w:val="00047EC5"/>
    <w:rsid w:val="000506A5"/>
    <w:rsid w:val="00050ACB"/>
    <w:rsid w:val="00050D61"/>
    <w:rsid w:val="00051862"/>
    <w:rsid w:val="0005222A"/>
    <w:rsid w:val="00052BCA"/>
    <w:rsid w:val="0005334C"/>
    <w:rsid w:val="00053B82"/>
    <w:rsid w:val="00054C40"/>
    <w:rsid w:val="000557FF"/>
    <w:rsid w:val="00055A6A"/>
    <w:rsid w:val="00055BAE"/>
    <w:rsid w:val="0005674C"/>
    <w:rsid w:val="0005710C"/>
    <w:rsid w:val="0005746F"/>
    <w:rsid w:val="0005762D"/>
    <w:rsid w:val="00057E1B"/>
    <w:rsid w:val="000604C5"/>
    <w:rsid w:val="000606D1"/>
    <w:rsid w:val="00061068"/>
    <w:rsid w:val="000614C4"/>
    <w:rsid w:val="000619A2"/>
    <w:rsid w:val="00061DA1"/>
    <w:rsid w:val="0006211D"/>
    <w:rsid w:val="00062ABE"/>
    <w:rsid w:val="00063503"/>
    <w:rsid w:val="00063BE4"/>
    <w:rsid w:val="000647C3"/>
    <w:rsid w:val="00064A4C"/>
    <w:rsid w:val="00064B40"/>
    <w:rsid w:val="00064EB8"/>
    <w:rsid w:val="0006530A"/>
    <w:rsid w:val="0006663D"/>
    <w:rsid w:val="000679F1"/>
    <w:rsid w:val="00067EC5"/>
    <w:rsid w:val="00070164"/>
    <w:rsid w:val="00070486"/>
    <w:rsid w:val="00070487"/>
    <w:rsid w:val="00070875"/>
    <w:rsid w:val="00071357"/>
    <w:rsid w:val="000713BA"/>
    <w:rsid w:val="00072BB0"/>
    <w:rsid w:val="00073607"/>
    <w:rsid w:val="000753E6"/>
    <w:rsid w:val="0007678D"/>
    <w:rsid w:val="00076C97"/>
    <w:rsid w:val="000778C7"/>
    <w:rsid w:val="000778D4"/>
    <w:rsid w:val="00077EBF"/>
    <w:rsid w:val="0008065D"/>
    <w:rsid w:val="00080692"/>
    <w:rsid w:val="000807AC"/>
    <w:rsid w:val="00080AF8"/>
    <w:rsid w:val="0008139D"/>
    <w:rsid w:val="00081A58"/>
    <w:rsid w:val="000824FB"/>
    <w:rsid w:val="00082CD9"/>
    <w:rsid w:val="00083051"/>
    <w:rsid w:val="00083500"/>
    <w:rsid w:val="0008478E"/>
    <w:rsid w:val="000847B3"/>
    <w:rsid w:val="000865D1"/>
    <w:rsid w:val="00087003"/>
    <w:rsid w:val="00087C5B"/>
    <w:rsid w:val="00087F45"/>
    <w:rsid w:val="0009021A"/>
    <w:rsid w:val="000905BA"/>
    <w:rsid w:val="00090AAB"/>
    <w:rsid w:val="00091458"/>
    <w:rsid w:val="000915C5"/>
    <w:rsid w:val="0009340E"/>
    <w:rsid w:val="00093FCF"/>
    <w:rsid w:val="00094408"/>
    <w:rsid w:val="0009475F"/>
    <w:rsid w:val="00095C5E"/>
    <w:rsid w:val="00096CE6"/>
    <w:rsid w:val="00096F31"/>
    <w:rsid w:val="000A0570"/>
    <w:rsid w:val="000A0836"/>
    <w:rsid w:val="000A1F0C"/>
    <w:rsid w:val="000A1F3F"/>
    <w:rsid w:val="000A34A1"/>
    <w:rsid w:val="000A36C6"/>
    <w:rsid w:val="000A38AA"/>
    <w:rsid w:val="000A4154"/>
    <w:rsid w:val="000A4352"/>
    <w:rsid w:val="000A51EE"/>
    <w:rsid w:val="000A5857"/>
    <w:rsid w:val="000A5A4F"/>
    <w:rsid w:val="000A6014"/>
    <w:rsid w:val="000A69FF"/>
    <w:rsid w:val="000A6F12"/>
    <w:rsid w:val="000A744F"/>
    <w:rsid w:val="000A759E"/>
    <w:rsid w:val="000A789F"/>
    <w:rsid w:val="000A7C8A"/>
    <w:rsid w:val="000B0828"/>
    <w:rsid w:val="000B0862"/>
    <w:rsid w:val="000B0903"/>
    <w:rsid w:val="000B1068"/>
    <w:rsid w:val="000B319E"/>
    <w:rsid w:val="000B4247"/>
    <w:rsid w:val="000B510F"/>
    <w:rsid w:val="000B5AFD"/>
    <w:rsid w:val="000B61EE"/>
    <w:rsid w:val="000B62A0"/>
    <w:rsid w:val="000B65CE"/>
    <w:rsid w:val="000B741C"/>
    <w:rsid w:val="000B7AC9"/>
    <w:rsid w:val="000B7E22"/>
    <w:rsid w:val="000B7EC4"/>
    <w:rsid w:val="000C009C"/>
    <w:rsid w:val="000C0DC8"/>
    <w:rsid w:val="000C10E3"/>
    <w:rsid w:val="000C2352"/>
    <w:rsid w:val="000C26FC"/>
    <w:rsid w:val="000C312A"/>
    <w:rsid w:val="000C3423"/>
    <w:rsid w:val="000C3AC5"/>
    <w:rsid w:val="000C40D6"/>
    <w:rsid w:val="000C4821"/>
    <w:rsid w:val="000C56BD"/>
    <w:rsid w:val="000C5D73"/>
    <w:rsid w:val="000C5EEC"/>
    <w:rsid w:val="000C666A"/>
    <w:rsid w:val="000C67E0"/>
    <w:rsid w:val="000C6F10"/>
    <w:rsid w:val="000C7962"/>
    <w:rsid w:val="000D0DFE"/>
    <w:rsid w:val="000D21C3"/>
    <w:rsid w:val="000D2667"/>
    <w:rsid w:val="000D3B7B"/>
    <w:rsid w:val="000D3C42"/>
    <w:rsid w:val="000D3C62"/>
    <w:rsid w:val="000D4527"/>
    <w:rsid w:val="000D45C4"/>
    <w:rsid w:val="000D4955"/>
    <w:rsid w:val="000D55F2"/>
    <w:rsid w:val="000D5762"/>
    <w:rsid w:val="000E0137"/>
    <w:rsid w:val="000E0394"/>
    <w:rsid w:val="000E0E16"/>
    <w:rsid w:val="000E126D"/>
    <w:rsid w:val="000E131F"/>
    <w:rsid w:val="000E14AD"/>
    <w:rsid w:val="000E1A6E"/>
    <w:rsid w:val="000E1C65"/>
    <w:rsid w:val="000E2F96"/>
    <w:rsid w:val="000E3802"/>
    <w:rsid w:val="000E3A7F"/>
    <w:rsid w:val="000E5D59"/>
    <w:rsid w:val="000E5DA3"/>
    <w:rsid w:val="000E6525"/>
    <w:rsid w:val="000E65B2"/>
    <w:rsid w:val="000E751E"/>
    <w:rsid w:val="000E75BB"/>
    <w:rsid w:val="000E7917"/>
    <w:rsid w:val="000E7BB5"/>
    <w:rsid w:val="000F065D"/>
    <w:rsid w:val="000F118B"/>
    <w:rsid w:val="000F3330"/>
    <w:rsid w:val="000F4D5F"/>
    <w:rsid w:val="000F4EB8"/>
    <w:rsid w:val="000F5B03"/>
    <w:rsid w:val="000F5BBE"/>
    <w:rsid w:val="000F6E25"/>
    <w:rsid w:val="000F76FF"/>
    <w:rsid w:val="000F77C6"/>
    <w:rsid w:val="000F7CDF"/>
    <w:rsid w:val="001002E4"/>
    <w:rsid w:val="001003F1"/>
    <w:rsid w:val="00100753"/>
    <w:rsid w:val="001013F4"/>
    <w:rsid w:val="0010140F"/>
    <w:rsid w:val="001015D1"/>
    <w:rsid w:val="00101E7E"/>
    <w:rsid w:val="00101F3F"/>
    <w:rsid w:val="001026F1"/>
    <w:rsid w:val="00103591"/>
    <w:rsid w:val="00105AA9"/>
    <w:rsid w:val="00106911"/>
    <w:rsid w:val="00106C3F"/>
    <w:rsid w:val="00111324"/>
    <w:rsid w:val="00111544"/>
    <w:rsid w:val="001116A3"/>
    <w:rsid w:val="00111E23"/>
    <w:rsid w:val="00112A1C"/>
    <w:rsid w:val="00113D7F"/>
    <w:rsid w:val="0011421B"/>
    <w:rsid w:val="00114B11"/>
    <w:rsid w:val="00114C0D"/>
    <w:rsid w:val="00116C85"/>
    <w:rsid w:val="001179B7"/>
    <w:rsid w:val="00117A61"/>
    <w:rsid w:val="00117D9C"/>
    <w:rsid w:val="00117F6D"/>
    <w:rsid w:val="001220E1"/>
    <w:rsid w:val="001226BE"/>
    <w:rsid w:val="00123EF1"/>
    <w:rsid w:val="00124E9B"/>
    <w:rsid w:val="0012591B"/>
    <w:rsid w:val="00125AFC"/>
    <w:rsid w:val="00126AFF"/>
    <w:rsid w:val="00126DC3"/>
    <w:rsid w:val="0012715F"/>
    <w:rsid w:val="00127187"/>
    <w:rsid w:val="00127829"/>
    <w:rsid w:val="00127C67"/>
    <w:rsid w:val="00130007"/>
    <w:rsid w:val="00130727"/>
    <w:rsid w:val="00130745"/>
    <w:rsid w:val="001325B4"/>
    <w:rsid w:val="00132794"/>
    <w:rsid w:val="00132EED"/>
    <w:rsid w:val="00135AE9"/>
    <w:rsid w:val="00136030"/>
    <w:rsid w:val="00137B03"/>
    <w:rsid w:val="0014062F"/>
    <w:rsid w:val="00141457"/>
    <w:rsid w:val="001415DD"/>
    <w:rsid w:val="001420B0"/>
    <w:rsid w:val="00142F9D"/>
    <w:rsid w:val="001436B6"/>
    <w:rsid w:val="00144B38"/>
    <w:rsid w:val="001469D4"/>
    <w:rsid w:val="00146E85"/>
    <w:rsid w:val="0014703A"/>
    <w:rsid w:val="001476BD"/>
    <w:rsid w:val="001476BE"/>
    <w:rsid w:val="0015001A"/>
    <w:rsid w:val="00150DC3"/>
    <w:rsid w:val="00152868"/>
    <w:rsid w:val="0015303F"/>
    <w:rsid w:val="00153B01"/>
    <w:rsid w:val="0015487F"/>
    <w:rsid w:val="001559AF"/>
    <w:rsid w:val="00155FE3"/>
    <w:rsid w:val="00156FF4"/>
    <w:rsid w:val="00157444"/>
    <w:rsid w:val="001575F0"/>
    <w:rsid w:val="001604B6"/>
    <w:rsid w:val="001607B8"/>
    <w:rsid w:val="001624E5"/>
    <w:rsid w:val="001644B1"/>
    <w:rsid w:val="0016454D"/>
    <w:rsid w:val="00164A8D"/>
    <w:rsid w:val="00165AC0"/>
    <w:rsid w:val="00165B00"/>
    <w:rsid w:val="00166AE4"/>
    <w:rsid w:val="00166F4F"/>
    <w:rsid w:val="001678B4"/>
    <w:rsid w:val="00167953"/>
    <w:rsid w:val="00167EE0"/>
    <w:rsid w:val="00167F7E"/>
    <w:rsid w:val="00170238"/>
    <w:rsid w:val="001708CB"/>
    <w:rsid w:val="00170DF6"/>
    <w:rsid w:val="00173D49"/>
    <w:rsid w:val="00174043"/>
    <w:rsid w:val="00175DB8"/>
    <w:rsid w:val="00176205"/>
    <w:rsid w:val="001765B4"/>
    <w:rsid w:val="00176D1A"/>
    <w:rsid w:val="00176D38"/>
    <w:rsid w:val="00177B79"/>
    <w:rsid w:val="00180895"/>
    <w:rsid w:val="001810B7"/>
    <w:rsid w:val="00181EAE"/>
    <w:rsid w:val="001824CB"/>
    <w:rsid w:val="00182598"/>
    <w:rsid w:val="001827F1"/>
    <w:rsid w:val="00184855"/>
    <w:rsid w:val="00185379"/>
    <w:rsid w:val="001856FB"/>
    <w:rsid w:val="00185720"/>
    <w:rsid w:val="001857DA"/>
    <w:rsid w:val="00185E01"/>
    <w:rsid w:val="00185F6F"/>
    <w:rsid w:val="001861C1"/>
    <w:rsid w:val="001862DB"/>
    <w:rsid w:val="00187218"/>
    <w:rsid w:val="0019006B"/>
    <w:rsid w:val="00190483"/>
    <w:rsid w:val="00192241"/>
    <w:rsid w:val="00192A42"/>
    <w:rsid w:val="00192F51"/>
    <w:rsid w:val="00193397"/>
    <w:rsid w:val="00193CA0"/>
    <w:rsid w:val="0019479C"/>
    <w:rsid w:val="0019479F"/>
    <w:rsid w:val="001947C6"/>
    <w:rsid w:val="00195CE1"/>
    <w:rsid w:val="001969CD"/>
    <w:rsid w:val="00197937"/>
    <w:rsid w:val="00197C7A"/>
    <w:rsid w:val="001A01CF"/>
    <w:rsid w:val="001A129B"/>
    <w:rsid w:val="001A1976"/>
    <w:rsid w:val="001A1C17"/>
    <w:rsid w:val="001A24EE"/>
    <w:rsid w:val="001A2696"/>
    <w:rsid w:val="001A529E"/>
    <w:rsid w:val="001A53F7"/>
    <w:rsid w:val="001A6378"/>
    <w:rsid w:val="001A685B"/>
    <w:rsid w:val="001A75C2"/>
    <w:rsid w:val="001B04DA"/>
    <w:rsid w:val="001B154C"/>
    <w:rsid w:val="001B16FC"/>
    <w:rsid w:val="001B1E72"/>
    <w:rsid w:val="001B2382"/>
    <w:rsid w:val="001B2B65"/>
    <w:rsid w:val="001B3327"/>
    <w:rsid w:val="001B334C"/>
    <w:rsid w:val="001B34FF"/>
    <w:rsid w:val="001B3566"/>
    <w:rsid w:val="001B3737"/>
    <w:rsid w:val="001B3C7F"/>
    <w:rsid w:val="001B58F2"/>
    <w:rsid w:val="001B638D"/>
    <w:rsid w:val="001B678D"/>
    <w:rsid w:val="001B6793"/>
    <w:rsid w:val="001C01A6"/>
    <w:rsid w:val="001C08B7"/>
    <w:rsid w:val="001C2061"/>
    <w:rsid w:val="001C28BE"/>
    <w:rsid w:val="001C32F9"/>
    <w:rsid w:val="001C3CAD"/>
    <w:rsid w:val="001C447B"/>
    <w:rsid w:val="001C47A5"/>
    <w:rsid w:val="001C4FE3"/>
    <w:rsid w:val="001C5226"/>
    <w:rsid w:val="001C5F00"/>
    <w:rsid w:val="001C6506"/>
    <w:rsid w:val="001C66FC"/>
    <w:rsid w:val="001C6D16"/>
    <w:rsid w:val="001C6EBB"/>
    <w:rsid w:val="001C7FDD"/>
    <w:rsid w:val="001D11DC"/>
    <w:rsid w:val="001D1AF5"/>
    <w:rsid w:val="001D2237"/>
    <w:rsid w:val="001D29AE"/>
    <w:rsid w:val="001D2F83"/>
    <w:rsid w:val="001D3DD1"/>
    <w:rsid w:val="001D40A8"/>
    <w:rsid w:val="001D4381"/>
    <w:rsid w:val="001D4D60"/>
    <w:rsid w:val="001D59AE"/>
    <w:rsid w:val="001D65CA"/>
    <w:rsid w:val="001D6612"/>
    <w:rsid w:val="001D762E"/>
    <w:rsid w:val="001D7DDA"/>
    <w:rsid w:val="001E06FE"/>
    <w:rsid w:val="001E0849"/>
    <w:rsid w:val="001E0921"/>
    <w:rsid w:val="001E1970"/>
    <w:rsid w:val="001E2F91"/>
    <w:rsid w:val="001E31A4"/>
    <w:rsid w:val="001E3EA7"/>
    <w:rsid w:val="001E41D9"/>
    <w:rsid w:val="001E49D4"/>
    <w:rsid w:val="001E4A2B"/>
    <w:rsid w:val="001E4C07"/>
    <w:rsid w:val="001E5304"/>
    <w:rsid w:val="001E57DD"/>
    <w:rsid w:val="001E5ED3"/>
    <w:rsid w:val="001E620F"/>
    <w:rsid w:val="001E62C4"/>
    <w:rsid w:val="001E6A5E"/>
    <w:rsid w:val="001E6A5F"/>
    <w:rsid w:val="001E6CE0"/>
    <w:rsid w:val="001E71DC"/>
    <w:rsid w:val="001E725C"/>
    <w:rsid w:val="001F0210"/>
    <w:rsid w:val="001F0793"/>
    <w:rsid w:val="001F0B41"/>
    <w:rsid w:val="001F0DAD"/>
    <w:rsid w:val="001F1103"/>
    <w:rsid w:val="001F2BB2"/>
    <w:rsid w:val="001F2C4E"/>
    <w:rsid w:val="001F2F9F"/>
    <w:rsid w:val="001F3220"/>
    <w:rsid w:val="001F3E67"/>
    <w:rsid w:val="001F4205"/>
    <w:rsid w:val="001F55EB"/>
    <w:rsid w:val="001F765D"/>
    <w:rsid w:val="001F798F"/>
    <w:rsid w:val="001F7CD5"/>
    <w:rsid w:val="00200FCE"/>
    <w:rsid w:val="002014CF"/>
    <w:rsid w:val="00201857"/>
    <w:rsid w:val="00202810"/>
    <w:rsid w:val="00202C76"/>
    <w:rsid w:val="002030A3"/>
    <w:rsid w:val="00203710"/>
    <w:rsid w:val="00203D61"/>
    <w:rsid w:val="00204F10"/>
    <w:rsid w:val="00205D40"/>
    <w:rsid w:val="00207E36"/>
    <w:rsid w:val="00210620"/>
    <w:rsid w:val="002108D1"/>
    <w:rsid w:val="0021094E"/>
    <w:rsid w:val="00210BEF"/>
    <w:rsid w:val="00211991"/>
    <w:rsid w:val="00213C42"/>
    <w:rsid w:val="00214D94"/>
    <w:rsid w:val="0021543C"/>
    <w:rsid w:val="00215A34"/>
    <w:rsid w:val="00215D7C"/>
    <w:rsid w:val="00215E7D"/>
    <w:rsid w:val="00217154"/>
    <w:rsid w:val="00217F70"/>
    <w:rsid w:val="00220A0B"/>
    <w:rsid w:val="00220D79"/>
    <w:rsid w:val="002219F5"/>
    <w:rsid w:val="00221B20"/>
    <w:rsid w:val="00221B74"/>
    <w:rsid w:val="002228B6"/>
    <w:rsid w:val="00222EC0"/>
    <w:rsid w:val="00224BA5"/>
    <w:rsid w:val="0022596A"/>
    <w:rsid w:val="00227316"/>
    <w:rsid w:val="00227918"/>
    <w:rsid w:val="00230266"/>
    <w:rsid w:val="00231135"/>
    <w:rsid w:val="00232B27"/>
    <w:rsid w:val="002330A0"/>
    <w:rsid w:val="00234835"/>
    <w:rsid w:val="00234F3A"/>
    <w:rsid w:val="0023507D"/>
    <w:rsid w:val="002353A9"/>
    <w:rsid w:val="002354CA"/>
    <w:rsid w:val="00235653"/>
    <w:rsid w:val="0023597B"/>
    <w:rsid w:val="00235E6E"/>
    <w:rsid w:val="00236445"/>
    <w:rsid w:val="002375E8"/>
    <w:rsid w:val="00237BCC"/>
    <w:rsid w:val="00237F8A"/>
    <w:rsid w:val="002407B2"/>
    <w:rsid w:val="00240FCD"/>
    <w:rsid w:val="00241695"/>
    <w:rsid w:val="00243644"/>
    <w:rsid w:val="0024426B"/>
    <w:rsid w:val="002444D5"/>
    <w:rsid w:val="002445FF"/>
    <w:rsid w:val="0024482C"/>
    <w:rsid w:val="0024535B"/>
    <w:rsid w:val="00245400"/>
    <w:rsid w:val="00245C02"/>
    <w:rsid w:val="00247067"/>
    <w:rsid w:val="002470AA"/>
    <w:rsid w:val="00247954"/>
    <w:rsid w:val="00247BB9"/>
    <w:rsid w:val="002504DF"/>
    <w:rsid w:val="00250ED7"/>
    <w:rsid w:val="00250FB3"/>
    <w:rsid w:val="00251EA9"/>
    <w:rsid w:val="002534B3"/>
    <w:rsid w:val="002542AB"/>
    <w:rsid w:val="0025481F"/>
    <w:rsid w:val="00255ECC"/>
    <w:rsid w:val="00256B17"/>
    <w:rsid w:val="00257062"/>
    <w:rsid w:val="002570A9"/>
    <w:rsid w:val="00257526"/>
    <w:rsid w:val="00257794"/>
    <w:rsid w:val="00257884"/>
    <w:rsid w:val="00257AC6"/>
    <w:rsid w:val="00260968"/>
    <w:rsid w:val="00260B1B"/>
    <w:rsid w:val="00261687"/>
    <w:rsid w:val="00261E6A"/>
    <w:rsid w:val="002627A5"/>
    <w:rsid w:val="002628D1"/>
    <w:rsid w:val="002634FB"/>
    <w:rsid w:val="002639CC"/>
    <w:rsid w:val="00263AE9"/>
    <w:rsid w:val="0026608B"/>
    <w:rsid w:val="00266A04"/>
    <w:rsid w:val="00267317"/>
    <w:rsid w:val="00270109"/>
    <w:rsid w:val="00270144"/>
    <w:rsid w:val="002709D2"/>
    <w:rsid w:val="002724D0"/>
    <w:rsid w:val="00273234"/>
    <w:rsid w:val="002736C6"/>
    <w:rsid w:val="00273D52"/>
    <w:rsid w:val="00274189"/>
    <w:rsid w:val="002745E9"/>
    <w:rsid w:val="0027472A"/>
    <w:rsid w:val="00275248"/>
    <w:rsid w:val="00275394"/>
    <w:rsid w:val="00275813"/>
    <w:rsid w:val="00276532"/>
    <w:rsid w:val="00276748"/>
    <w:rsid w:val="00276DF5"/>
    <w:rsid w:val="00280476"/>
    <w:rsid w:val="00281EAB"/>
    <w:rsid w:val="00281F92"/>
    <w:rsid w:val="002825BF"/>
    <w:rsid w:val="00282F45"/>
    <w:rsid w:val="00283175"/>
    <w:rsid w:val="002833F5"/>
    <w:rsid w:val="00284269"/>
    <w:rsid w:val="00284647"/>
    <w:rsid w:val="00284B01"/>
    <w:rsid w:val="002850FC"/>
    <w:rsid w:val="002853FB"/>
    <w:rsid w:val="00285547"/>
    <w:rsid w:val="0028561C"/>
    <w:rsid w:val="00285AAD"/>
    <w:rsid w:val="0028608E"/>
    <w:rsid w:val="0028639C"/>
    <w:rsid w:val="00287BBC"/>
    <w:rsid w:val="00290883"/>
    <w:rsid w:val="002908C9"/>
    <w:rsid w:val="00292BF1"/>
    <w:rsid w:val="00293411"/>
    <w:rsid w:val="002943CA"/>
    <w:rsid w:val="002949B8"/>
    <w:rsid w:val="00295C4A"/>
    <w:rsid w:val="00295DDD"/>
    <w:rsid w:val="002960CE"/>
    <w:rsid w:val="00296433"/>
    <w:rsid w:val="00296814"/>
    <w:rsid w:val="00297CF4"/>
    <w:rsid w:val="002A07D8"/>
    <w:rsid w:val="002A0C42"/>
    <w:rsid w:val="002A17D9"/>
    <w:rsid w:val="002A3CD0"/>
    <w:rsid w:val="002A4114"/>
    <w:rsid w:val="002A4275"/>
    <w:rsid w:val="002A46B1"/>
    <w:rsid w:val="002A4E44"/>
    <w:rsid w:val="002A5354"/>
    <w:rsid w:val="002A6565"/>
    <w:rsid w:val="002B10D1"/>
    <w:rsid w:val="002B1624"/>
    <w:rsid w:val="002B1CD2"/>
    <w:rsid w:val="002B1F77"/>
    <w:rsid w:val="002B2097"/>
    <w:rsid w:val="002B2426"/>
    <w:rsid w:val="002B27CC"/>
    <w:rsid w:val="002B296B"/>
    <w:rsid w:val="002B298D"/>
    <w:rsid w:val="002B2A8F"/>
    <w:rsid w:val="002B3373"/>
    <w:rsid w:val="002B4C2E"/>
    <w:rsid w:val="002B4C86"/>
    <w:rsid w:val="002B5288"/>
    <w:rsid w:val="002B5E77"/>
    <w:rsid w:val="002B60B6"/>
    <w:rsid w:val="002B7A82"/>
    <w:rsid w:val="002B7C8E"/>
    <w:rsid w:val="002C016F"/>
    <w:rsid w:val="002C0347"/>
    <w:rsid w:val="002C0609"/>
    <w:rsid w:val="002C10B0"/>
    <w:rsid w:val="002C29F8"/>
    <w:rsid w:val="002C3ABA"/>
    <w:rsid w:val="002C4763"/>
    <w:rsid w:val="002C4E3A"/>
    <w:rsid w:val="002C5E1C"/>
    <w:rsid w:val="002C64D1"/>
    <w:rsid w:val="002C6FB3"/>
    <w:rsid w:val="002D0A6D"/>
    <w:rsid w:val="002D1B11"/>
    <w:rsid w:val="002D2514"/>
    <w:rsid w:val="002D3302"/>
    <w:rsid w:val="002D3827"/>
    <w:rsid w:val="002D38DD"/>
    <w:rsid w:val="002D3FFF"/>
    <w:rsid w:val="002D4F4C"/>
    <w:rsid w:val="002D5CE4"/>
    <w:rsid w:val="002D5DC3"/>
    <w:rsid w:val="002D6616"/>
    <w:rsid w:val="002D6FED"/>
    <w:rsid w:val="002E0C52"/>
    <w:rsid w:val="002E11FC"/>
    <w:rsid w:val="002E1E04"/>
    <w:rsid w:val="002E2AA4"/>
    <w:rsid w:val="002E481F"/>
    <w:rsid w:val="002E4B69"/>
    <w:rsid w:val="002E5B95"/>
    <w:rsid w:val="002E6590"/>
    <w:rsid w:val="002E6777"/>
    <w:rsid w:val="002E67D1"/>
    <w:rsid w:val="002F02A4"/>
    <w:rsid w:val="002F323F"/>
    <w:rsid w:val="002F3B13"/>
    <w:rsid w:val="002F3B91"/>
    <w:rsid w:val="002F42B7"/>
    <w:rsid w:val="002F441C"/>
    <w:rsid w:val="002F6082"/>
    <w:rsid w:val="002F6437"/>
    <w:rsid w:val="002F6B5E"/>
    <w:rsid w:val="002F6BF5"/>
    <w:rsid w:val="002F730C"/>
    <w:rsid w:val="002F7A8E"/>
    <w:rsid w:val="0030011D"/>
    <w:rsid w:val="00300996"/>
    <w:rsid w:val="00300EAC"/>
    <w:rsid w:val="00301999"/>
    <w:rsid w:val="00302BCF"/>
    <w:rsid w:val="00303067"/>
    <w:rsid w:val="00303BE3"/>
    <w:rsid w:val="00304820"/>
    <w:rsid w:val="00305677"/>
    <w:rsid w:val="00306BEC"/>
    <w:rsid w:val="00306F4B"/>
    <w:rsid w:val="00310381"/>
    <w:rsid w:val="003103E1"/>
    <w:rsid w:val="00310CB2"/>
    <w:rsid w:val="003146EB"/>
    <w:rsid w:val="00315CD9"/>
    <w:rsid w:val="00316CCD"/>
    <w:rsid w:val="00316F48"/>
    <w:rsid w:val="00317710"/>
    <w:rsid w:val="00317BC3"/>
    <w:rsid w:val="00320103"/>
    <w:rsid w:val="003209AE"/>
    <w:rsid w:val="00321888"/>
    <w:rsid w:val="00324D8C"/>
    <w:rsid w:val="00324F7E"/>
    <w:rsid w:val="003250F7"/>
    <w:rsid w:val="00325697"/>
    <w:rsid w:val="00325BFA"/>
    <w:rsid w:val="00325C37"/>
    <w:rsid w:val="00325FD3"/>
    <w:rsid w:val="0032654B"/>
    <w:rsid w:val="003270A5"/>
    <w:rsid w:val="00327C6B"/>
    <w:rsid w:val="0033089A"/>
    <w:rsid w:val="00330AE8"/>
    <w:rsid w:val="00330CB5"/>
    <w:rsid w:val="00330DE0"/>
    <w:rsid w:val="00330EAA"/>
    <w:rsid w:val="003318BA"/>
    <w:rsid w:val="00331DAA"/>
    <w:rsid w:val="00332992"/>
    <w:rsid w:val="0033304D"/>
    <w:rsid w:val="003333C5"/>
    <w:rsid w:val="00333956"/>
    <w:rsid w:val="003343D7"/>
    <w:rsid w:val="00334CDC"/>
    <w:rsid w:val="003364E5"/>
    <w:rsid w:val="0033690E"/>
    <w:rsid w:val="0033707D"/>
    <w:rsid w:val="00340545"/>
    <w:rsid w:val="00340549"/>
    <w:rsid w:val="00341C34"/>
    <w:rsid w:val="00342567"/>
    <w:rsid w:val="0034289D"/>
    <w:rsid w:val="00342966"/>
    <w:rsid w:val="003437D0"/>
    <w:rsid w:val="003445FC"/>
    <w:rsid w:val="003459D7"/>
    <w:rsid w:val="00346235"/>
    <w:rsid w:val="00346925"/>
    <w:rsid w:val="003469A7"/>
    <w:rsid w:val="00346A3C"/>
    <w:rsid w:val="003505D5"/>
    <w:rsid w:val="003507FA"/>
    <w:rsid w:val="00350B99"/>
    <w:rsid w:val="00351241"/>
    <w:rsid w:val="00351724"/>
    <w:rsid w:val="00351DE1"/>
    <w:rsid w:val="00351FA6"/>
    <w:rsid w:val="003522D8"/>
    <w:rsid w:val="00352966"/>
    <w:rsid w:val="0035350F"/>
    <w:rsid w:val="00353DD6"/>
    <w:rsid w:val="0035429F"/>
    <w:rsid w:val="00354580"/>
    <w:rsid w:val="00354ADA"/>
    <w:rsid w:val="0035624C"/>
    <w:rsid w:val="00357088"/>
    <w:rsid w:val="00357BC1"/>
    <w:rsid w:val="00360109"/>
    <w:rsid w:val="00360615"/>
    <w:rsid w:val="003613F0"/>
    <w:rsid w:val="00362E31"/>
    <w:rsid w:val="00364A6B"/>
    <w:rsid w:val="00364E03"/>
    <w:rsid w:val="0036581E"/>
    <w:rsid w:val="00366205"/>
    <w:rsid w:val="00366F3D"/>
    <w:rsid w:val="00367047"/>
    <w:rsid w:val="00367142"/>
    <w:rsid w:val="00367462"/>
    <w:rsid w:val="00367555"/>
    <w:rsid w:val="00367708"/>
    <w:rsid w:val="00367B96"/>
    <w:rsid w:val="00367FC6"/>
    <w:rsid w:val="003702B2"/>
    <w:rsid w:val="00370DB1"/>
    <w:rsid w:val="00370F3E"/>
    <w:rsid w:val="003733BE"/>
    <w:rsid w:val="00373B4F"/>
    <w:rsid w:val="00375BC9"/>
    <w:rsid w:val="0037694D"/>
    <w:rsid w:val="0037696F"/>
    <w:rsid w:val="003769C7"/>
    <w:rsid w:val="00376A58"/>
    <w:rsid w:val="00377556"/>
    <w:rsid w:val="003779E0"/>
    <w:rsid w:val="0038008F"/>
    <w:rsid w:val="0038033A"/>
    <w:rsid w:val="00380F77"/>
    <w:rsid w:val="00381350"/>
    <w:rsid w:val="00381E9E"/>
    <w:rsid w:val="0038213B"/>
    <w:rsid w:val="00382A9D"/>
    <w:rsid w:val="003836C9"/>
    <w:rsid w:val="00384AB2"/>
    <w:rsid w:val="00384D03"/>
    <w:rsid w:val="003854AB"/>
    <w:rsid w:val="00385B5F"/>
    <w:rsid w:val="00392372"/>
    <w:rsid w:val="00392564"/>
    <w:rsid w:val="003929DD"/>
    <w:rsid w:val="00392A4D"/>
    <w:rsid w:val="00393732"/>
    <w:rsid w:val="003955B3"/>
    <w:rsid w:val="003958F5"/>
    <w:rsid w:val="003960FE"/>
    <w:rsid w:val="00396422"/>
    <w:rsid w:val="003A046D"/>
    <w:rsid w:val="003A0783"/>
    <w:rsid w:val="003A10D3"/>
    <w:rsid w:val="003A1137"/>
    <w:rsid w:val="003A1DD5"/>
    <w:rsid w:val="003A2E2A"/>
    <w:rsid w:val="003A3C92"/>
    <w:rsid w:val="003A4A67"/>
    <w:rsid w:val="003A4A6F"/>
    <w:rsid w:val="003A546E"/>
    <w:rsid w:val="003A6A39"/>
    <w:rsid w:val="003A797E"/>
    <w:rsid w:val="003B0BDD"/>
    <w:rsid w:val="003B1859"/>
    <w:rsid w:val="003B1871"/>
    <w:rsid w:val="003B1B8B"/>
    <w:rsid w:val="003B2DA6"/>
    <w:rsid w:val="003B326B"/>
    <w:rsid w:val="003B429A"/>
    <w:rsid w:val="003B5733"/>
    <w:rsid w:val="003B5AAE"/>
    <w:rsid w:val="003B5C06"/>
    <w:rsid w:val="003B5E75"/>
    <w:rsid w:val="003B6703"/>
    <w:rsid w:val="003B6AA0"/>
    <w:rsid w:val="003B752C"/>
    <w:rsid w:val="003B7938"/>
    <w:rsid w:val="003C04C1"/>
    <w:rsid w:val="003C08A5"/>
    <w:rsid w:val="003C0EFE"/>
    <w:rsid w:val="003C1781"/>
    <w:rsid w:val="003C1B0D"/>
    <w:rsid w:val="003C217B"/>
    <w:rsid w:val="003C2EF9"/>
    <w:rsid w:val="003C345E"/>
    <w:rsid w:val="003C3D9B"/>
    <w:rsid w:val="003C4034"/>
    <w:rsid w:val="003C42CF"/>
    <w:rsid w:val="003C52DC"/>
    <w:rsid w:val="003C5C9C"/>
    <w:rsid w:val="003C71A5"/>
    <w:rsid w:val="003C7E3E"/>
    <w:rsid w:val="003D06E6"/>
    <w:rsid w:val="003D20AF"/>
    <w:rsid w:val="003D28AE"/>
    <w:rsid w:val="003D3282"/>
    <w:rsid w:val="003D366E"/>
    <w:rsid w:val="003D38B0"/>
    <w:rsid w:val="003D41CD"/>
    <w:rsid w:val="003D429E"/>
    <w:rsid w:val="003D518B"/>
    <w:rsid w:val="003D51A5"/>
    <w:rsid w:val="003D5331"/>
    <w:rsid w:val="003D54AD"/>
    <w:rsid w:val="003D60E4"/>
    <w:rsid w:val="003D6F33"/>
    <w:rsid w:val="003D708E"/>
    <w:rsid w:val="003D7A5F"/>
    <w:rsid w:val="003D7D56"/>
    <w:rsid w:val="003D7F56"/>
    <w:rsid w:val="003E0A22"/>
    <w:rsid w:val="003E3BCC"/>
    <w:rsid w:val="003E417F"/>
    <w:rsid w:val="003E4546"/>
    <w:rsid w:val="003E4C68"/>
    <w:rsid w:val="003E6FC9"/>
    <w:rsid w:val="003E7F96"/>
    <w:rsid w:val="003F0189"/>
    <w:rsid w:val="003F0CE9"/>
    <w:rsid w:val="003F1BDC"/>
    <w:rsid w:val="003F2926"/>
    <w:rsid w:val="003F2A12"/>
    <w:rsid w:val="003F4C35"/>
    <w:rsid w:val="003F56F2"/>
    <w:rsid w:val="003F5EE9"/>
    <w:rsid w:val="003F70F7"/>
    <w:rsid w:val="003F7436"/>
    <w:rsid w:val="004007E3"/>
    <w:rsid w:val="00400C5B"/>
    <w:rsid w:val="00400D4D"/>
    <w:rsid w:val="00402F59"/>
    <w:rsid w:val="00403848"/>
    <w:rsid w:val="0040384E"/>
    <w:rsid w:val="004038BD"/>
    <w:rsid w:val="00403A0A"/>
    <w:rsid w:val="00403DBB"/>
    <w:rsid w:val="00404399"/>
    <w:rsid w:val="00404528"/>
    <w:rsid w:val="004048E1"/>
    <w:rsid w:val="004059BA"/>
    <w:rsid w:val="00405C3C"/>
    <w:rsid w:val="0040648C"/>
    <w:rsid w:val="00406928"/>
    <w:rsid w:val="00406BD8"/>
    <w:rsid w:val="00410435"/>
    <w:rsid w:val="00410D4B"/>
    <w:rsid w:val="00410FEA"/>
    <w:rsid w:val="00411104"/>
    <w:rsid w:val="00412140"/>
    <w:rsid w:val="004122AE"/>
    <w:rsid w:val="00412358"/>
    <w:rsid w:val="004138E6"/>
    <w:rsid w:val="00414885"/>
    <w:rsid w:val="0041517E"/>
    <w:rsid w:val="00415D8B"/>
    <w:rsid w:val="00415DCC"/>
    <w:rsid w:val="00416280"/>
    <w:rsid w:val="00416B9F"/>
    <w:rsid w:val="0041762D"/>
    <w:rsid w:val="00417B4A"/>
    <w:rsid w:val="00417CA1"/>
    <w:rsid w:val="00420464"/>
    <w:rsid w:val="0042103E"/>
    <w:rsid w:val="00422095"/>
    <w:rsid w:val="00423054"/>
    <w:rsid w:val="004236CF"/>
    <w:rsid w:val="004256E9"/>
    <w:rsid w:val="00425FC5"/>
    <w:rsid w:val="004320B0"/>
    <w:rsid w:val="00432309"/>
    <w:rsid w:val="00432A28"/>
    <w:rsid w:val="00433033"/>
    <w:rsid w:val="004343B3"/>
    <w:rsid w:val="004348F0"/>
    <w:rsid w:val="004351F4"/>
    <w:rsid w:val="00435286"/>
    <w:rsid w:val="00436418"/>
    <w:rsid w:val="00437534"/>
    <w:rsid w:val="00437790"/>
    <w:rsid w:val="00437C5C"/>
    <w:rsid w:val="00437DC1"/>
    <w:rsid w:val="00437F9A"/>
    <w:rsid w:val="0044108D"/>
    <w:rsid w:val="00441864"/>
    <w:rsid w:val="004425FD"/>
    <w:rsid w:val="00442C22"/>
    <w:rsid w:val="00442DFE"/>
    <w:rsid w:val="00442F25"/>
    <w:rsid w:val="004435DF"/>
    <w:rsid w:val="004438FA"/>
    <w:rsid w:val="00443B99"/>
    <w:rsid w:val="00443E7B"/>
    <w:rsid w:val="00445256"/>
    <w:rsid w:val="004465CA"/>
    <w:rsid w:val="00446AAF"/>
    <w:rsid w:val="00447FF7"/>
    <w:rsid w:val="00450038"/>
    <w:rsid w:val="00450840"/>
    <w:rsid w:val="00450E38"/>
    <w:rsid w:val="00451E40"/>
    <w:rsid w:val="00452188"/>
    <w:rsid w:val="004521EC"/>
    <w:rsid w:val="0045226A"/>
    <w:rsid w:val="00453A75"/>
    <w:rsid w:val="00453C5A"/>
    <w:rsid w:val="0045450B"/>
    <w:rsid w:val="004546E4"/>
    <w:rsid w:val="00454F2A"/>
    <w:rsid w:val="00455C8F"/>
    <w:rsid w:val="00455EDD"/>
    <w:rsid w:val="00456E8B"/>
    <w:rsid w:val="004570CF"/>
    <w:rsid w:val="004574EC"/>
    <w:rsid w:val="00457C8A"/>
    <w:rsid w:val="00460052"/>
    <w:rsid w:val="00461560"/>
    <w:rsid w:val="00461AF8"/>
    <w:rsid w:val="00462400"/>
    <w:rsid w:val="0046265A"/>
    <w:rsid w:val="00463277"/>
    <w:rsid w:val="0046379B"/>
    <w:rsid w:val="00463DA8"/>
    <w:rsid w:val="00463F98"/>
    <w:rsid w:val="00464712"/>
    <w:rsid w:val="00464C52"/>
    <w:rsid w:val="0046524E"/>
    <w:rsid w:val="0046540E"/>
    <w:rsid w:val="00465A6D"/>
    <w:rsid w:val="00465D73"/>
    <w:rsid w:val="00466338"/>
    <w:rsid w:val="00466848"/>
    <w:rsid w:val="00466C53"/>
    <w:rsid w:val="00467512"/>
    <w:rsid w:val="0047015C"/>
    <w:rsid w:val="00470697"/>
    <w:rsid w:val="004708CA"/>
    <w:rsid w:val="00471E7F"/>
    <w:rsid w:val="004726F1"/>
    <w:rsid w:val="00472BF5"/>
    <w:rsid w:val="0047382B"/>
    <w:rsid w:val="00473C8D"/>
    <w:rsid w:val="00473D22"/>
    <w:rsid w:val="00474338"/>
    <w:rsid w:val="00474A08"/>
    <w:rsid w:val="0047590B"/>
    <w:rsid w:val="00475CE4"/>
    <w:rsid w:val="00475EDA"/>
    <w:rsid w:val="004774F5"/>
    <w:rsid w:val="00477D62"/>
    <w:rsid w:val="00480266"/>
    <w:rsid w:val="004803A8"/>
    <w:rsid w:val="004806E1"/>
    <w:rsid w:val="00480BDE"/>
    <w:rsid w:val="00480C7A"/>
    <w:rsid w:val="00481783"/>
    <w:rsid w:val="00482221"/>
    <w:rsid w:val="00482B86"/>
    <w:rsid w:val="004835BF"/>
    <w:rsid w:val="00483E95"/>
    <w:rsid w:val="00483ED1"/>
    <w:rsid w:val="0048404F"/>
    <w:rsid w:val="0048436D"/>
    <w:rsid w:val="004860A4"/>
    <w:rsid w:val="00486F32"/>
    <w:rsid w:val="0048701E"/>
    <w:rsid w:val="00487907"/>
    <w:rsid w:val="00487C6F"/>
    <w:rsid w:val="00490157"/>
    <w:rsid w:val="0049074E"/>
    <w:rsid w:val="00492AB7"/>
    <w:rsid w:val="004938B4"/>
    <w:rsid w:val="00494C5D"/>
    <w:rsid w:val="004954CF"/>
    <w:rsid w:val="00496610"/>
    <w:rsid w:val="004967D5"/>
    <w:rsid w:val="004977E5"/>
    <w:rsid w:val="00497B9A"/>
    <w:rsid w:val="00497C68"/>
    <w:rsid w:val="004A0652"/>
    <w:rsid w:val="004A0693"/>
    <w:rsid w:val="004A0AF2"/>
    <w:rsid w:val="004A1CC0"/>
    <w:rsid w:val="004A246F"/>
    <w:rsid w:val="004A3749"/>
    <w:rsid w:val="004A3ABF"/>
    <w:rsid w:val="004A3FE5"/>
    <w:rsid w:val="004A4336"/>
    <w:rsid w:val="004A4352"/>
    <w:rsid w:val="004A45E9"/>
    <w:rsid w:val="004A4C81"/>
    <w:rsid w:val="004A5FE8"/>
    <w:rsid w:val="004A6918"/>
    <w:rsid w:val="004A6D0F"/>
    <w:rsid w:val="004A766A"/>
    <w:rsid w:val="004A7724"/>
    <w:rsid w:val="004A7D50"/>
    <w:rsid w:val="004B02C4"/>
    <w:rsid w:val="004B1012"/>
    <w:rsid w:val="004B1CFE"/>
    <w:rsid w:val="004B1E27"/>
    <w:rsid w:val="004B24C5"/>
    <w:rsid w:val="004B2746"/>
    <w:rsid w:val="004B38D3"/>
    <w:rsid w:val="004B3B29"/>
    <w:rsid w:val="004B40D9"/>
    <w:rsid w:val="004B4B04"/>
    <w:rsid w:val="004B734D"/>
    <w:rsid w:val="004B7602"/>
    <w:rsid w:val="004B7C65"/>
    <w:rsid w:val="004B7D70"/>
    <w:rsid w:val="004B7E73"/>
    <w:rsid w:val="004C0466"/>
    <w:rsid w:val="004C09AF"/>
    <w:rsid w:val="004C1F04"/>
    <w:rsid w:val="004C285D"/>
    <w:rsid w:val="004C2A11"/>
    <w:rsid w:val="004C2E9F"/>
    <w:rsid w:val="004C315F"/>
    <w:rsid w:val="004C3578"/>
    <w:rsid w:val="004C3B2E"/>
    <w:rsid w:val="004C4433"/>
    <w:rsid w:val="004C4505"/>
    <w:rsid w:val="004C53DE"/>
    <w:rsid w:val="004C5873"/>
    <w:rsid w:val="004C5B12"/>
    <w:rsid w:val="004C5B61"/>
    <w:rsid w:val="004C5FE6"/>
    <w:rsid w:val="004C7A29"/>
    <w:rsid w:val="004D01E2"/>
    <w:rsid w:val="004D03AF"/>
    <w:rsid w:val="004D0924"/>
    <w:rsid w:val="004D10AA"/>
    <w:rsid w:val="004D2632"/>
    <w:rsid w:val="004D348F"/>
    <w:rsid w:val="004D36B5"/>
    <w:rsid w:val="004D37FC"/>
    <w:rsid w:val="004D3CB2"/>
    <w:rsid w:val="004D4998"/>
    <w:rsid w:val="004D59B5"/>
    <w:rsid w:val="004D69DD"/>
    <w:rsid w:val="004D73E5"/>
    <w:rsid w:val="004E0593"/>
    <w:rsid w:val="004E0740"/>
    <w:rsid w:val="004E07C3"/>
    <w:rsid w:val="004E0B72"/>
    <w:rsid w:val="004E0C44"/>
    <w:rsid w:val="004E10D8"/>
    <w:rsid w:val="004E2E41"/>
    <w:rsid w:val="004E35A7"/>
    <w:rsid w:val="004E41EF"/>
    <w:rsid w:val="004E42F0"/>
    <w:rsid w:val="004E46DF"/>
    <w:rsid w:val="004E47D5"/>
    <w:rsid w:val="004E4D98"/>
    <w:rsid w:val="004E544C"/>
    <w:rsid w:val="004E623E"/>
    <w:rsid w:val="004F0878"/>
    <w:rsid w:val="004F0B10"/>
    <w:rsid w:val="004F163B"/>
    <w:rsid w:val="004F1D57"/>
    <w:rsid w:val="004F261E"/>
    <w:rsid w:val="004F263E"/>
    <w:rsid w:val="004F28E6"/>
    <w:rsid w:val="004F3702"/>
    <w:rsid w:val="004F417E"/>
    <w:rsid w:val="004F4B69"/>
    <w:rsid w:val="004F4C9D"/>
    <w:rsid w:val="004F4EFF"/>
    <w:rsid w:val="004F78E9"/>
    <w:rsid w:val="004F7C7D"/>
    <w:rsid w:val="00500579"/>
    <w:rsid w:val="00502A2E"/>
    <w:rsid w:val="00503844"/>
    <w:rsid w:val="00503A1D"/>
    <w:rsid w:val="00505891"/>
    <w:rsid w:val="00505A11"/>
    <w:rsid w:val="0050623E"/>
    <w:rsid w:val="0050706C"/>
    <w:rsid w:val="00510814"/>
    <w:rsid w:val="00510B83"/>
    <w:rsid w:val="0051141E"/>
    <w:rsid w:val="00511B4C"/>
    <w:rsid w:val="00511FB3"/>
    <w:rsid w:val="00511FE3"/>
    <w:rsid w:val="0051213F"/>
    <w:rsid w:val="00512522"/>
    <w:rsid w:val="005137DE"/>
    <w:rsid w:val="00514109"/>
    <w:rsid w:val="005154E2"/>
    <w:rsid w:val="00515752"/>
    <w:rsid w:val="00516747"/>
    <w:rsid w:val="00520519"/>
    <w:rsid w:val="00520F1E"/>
    <w:rsid w:val="0052254D"/>
    <w:rsid w:val="005228B8"/>
    <w:rsid w:val="005234B2"/>
    <w:rsid w:val="00523671"/>
    <w:rsid w:val="005236F7"/>
    <w:rsid w:val="0052385A"/>
    <w:rsid w:val="00524384"/>
    <w:rsid w:val="00524531"/>
    <w:rsid w:val="00524862"/>
    <w:rsid w:val="0052509C"/>
    <w:rsid w:val="00526C0A"/>
    <w:rsid w:val="00527DB0"/>
    <w:rsid w:val="00530A80"/>
    <w:rsid w:val="00531214"/>
    <w:rsid w:val="0053326F"/>
    <w:rsid w:val="00533B43"/>
    <w:rsid w:val="00533D69"/>
    <w:rsid w:val="00534F7B"/>
    <w:rsid w:val="005352FA"/>
    <w:rsid w:val="00535AE8"/>
    <w:rsid w:val="00535CEA"/>
    <w:rsid w:val="005360DD"/>
    <w:rsid w:val="00536994"/>
    <w:rsid w:val="00537FB3"/>
    <w:rsid w:val="005414DA"/>
    <w:rsid w:val="00541B62"/>
    <w:rsid w:val="00542564"/>
    <w:rsid w:val="00542596"/>
    <w:rsid w:val="005427E6"/>
    <w:rsid w:val="005428AF"/>
    <w:rsid w:val="005428FB"/>
    <w:rsid w:val="00543D49"/>
    <w:rsid w:val="00544D1E"/>
    <w:rsid w:val="00544D91"/>
    <w:rsid w:val="00544EFD"/>
    <w:rsid w:val="005454EC"/>
    <w:rsid w:val="00545514"/>
    <w:rsid w:val="005478F4"/>
    <w:rsid w:val="00547AE6"/>
    <w:rsid w:val="00551766"/>
    <w:rsid w:val="00551B85"/>
    <w:rsid w:val="0055267F"/>
    <w:rsid w:val="005528EA"/>
    <w:rsid w:val="00552D1C"/>
    <w:rsid w:val="00553010"/>
    <w:rsid w:val="00553472"/>
    <w:rsid w:val="0055347D"/>
    <w:rsid w:val="0055372B"/>
    <w:rsid w:val="00553F76"/>
    <w:rsid w:val="00554C90"/>
    <w:rsid w:val="00555705"/>
    <w:rsid w:val="00555C3C"/>
    <w:rsid w:val="005570A4"/>
    <w:rsid w:val="0056000D"/>
    <w:rsid w:val="00560302"/>
    <w:rsid w:val="00560FBE"/>
    <w:rsid w:val="00561DDC"/>
    <w:rsid w:val="00561E49"/>
    <w:rsid w:val="00561E91"/>
    <w:rsid w:val="005627BE"/>
    <w:rsid w:val="005628A2"/>
    <w:rsid w:val="005632D1"/>
    <w:rsid w:val="005633D2"/>
    <w:rsid w:val="00563609"/>
    <w:rsid w:val="00563DFA"/>
    <w:rsid w:val="00563E6F"/>
    <w:rsid w:val="0056414E"/>
    <w:rsid w:val="005644B1"/>
    <w:rsid w:val="005661C8"/>
    <w:rsid w:val="00566D61"/>
    <w:rsid w:val="00566EAE"/>
    <w:rsid w:val="00567009"/>
    <w:rsid w:val="005700DB"/>
    <w:rsid w:val="00570AA9"/>
    <w:rsid w:val="00570B39"/>
    <w:rsid w:val="00570C99"/>
    <w:rsid w:val="00571684"/>
    <w:rsid w:val="00571AAD"/>
    <w:rsid w:val="00571EAB"/>
    <w:rsid w:val="005728A8"/>
    <w:rsid w:val="00572B9E"/>
    <w:rsid w:val="00572CCC"/>
    <w:rsid w:val="005732FB"/>
    <w:rsid w:val="00573518"/>
    <w:rsid w:val="00573529"/>
    <w:rsid w:val="00574287"/>
    <w:rsid w:val="0057523A"/>
    <w:rsid w:val="00576C07"/>
    <w:rsid w:val="005800CD"/>
    <w:rsid w:val="00582B60"/>
    <w:rsid w:val="0058390B"/>
    <w:rsid w:val="0058435B"/>
    <w:rsid w:val="00585FAC"/>
    <w:rsid w:val="005861D4"/>
    <w:rsid w:val="005869A1"/>
    <w:rsid w:val="00587A84"/>
    <w:rsid w:val="00587C69"/>
    <w:rsid w:val="00587CE1"/>
    <w:rsid w:val="00590E06"/>
    <w:rsid w:val="00591FCE"/>
    <w:rsid w:val="00592675"/>
    <w:rsid w:val="00592B9F"/>
    <w:rsid w:val="00593C73"/>
    <w:rsid w:val="00594876"/>
    <w:rsid w:val="00594D4F"/>
    <w:rsid w:val="00595141"/>
    <w:rsid w:val="005959C2"/>
    <w:rsid w:val="0059630D"/>
    <w:rsid w:val="00596311"/>
    <w:rsid w:val="00596893"/>
    <w:rsid w:val="005970F9"/>
    <w:rsid w:val="005974CD"/>
    <w:rsid w:val="00597931"/>
    <w:rsid w:val="005A064F"/>
    <w:rsid w:val="005A0E0F"/>
    <w:rsid w:val="005A1176"/>
    <w:rsid w:val="005A22D8"/>
    <w:rsid w:val="005A2566"/>
    <w:rsid w:val="005A2ADD"/>
    <w:rsid w:val="005A2E33"/>
    <w:rsid w:val="005A3234"/>
    <w:rsid w:val="005A3A30"/>
    <w:rsid w:val="005A3BCC"/>
    <w:rsid w:val="005A3BE1"/>
    <w:rsid w:val="005A638D"/>
    <w:rsid w:val="005A69E4"/>
    <w:rsid w:val="005A6E4D"/>
    <w:rsid w:val="005B0B5E"/>
    <w:rsid w:val="005B0DD3"/>
    <w:rsid w:val="005B176D"/>
    <w:rsid w:val="005B1E6F"/>
    <w:rsid w:val="005B2536"/>
    <w:rsid w:val="005B25AF"/>
    <w:rsid w:val="005B29E1"/>
    <w:rsid w:val="005B3BE6"/>
    <w:rsid w:val="005B3ED8"/>
    <w:rsid w:val="005B3EEE"/>
    <w:rsid w:val="005B462B"/>
    <w:rsid w:val="005B4BF3"/>
    <w:rsid w:val="005B592A"/>
    <w:rsid w:val="005B6146"/>
    <w:rsid w:val="005B6E0E"/>
    <w:rsid w:val="005B7998"/>
    <w:rsid w:val="005B7FDD"/>
    <w:rsid w:val="005C0346"/>
    <w:rsid w:val="005C16A0"/>
    <w:rsid w:val="005C1925"/>
    <w:rsid w:val="005C2183"/>
    <w:rsid w:val="005C25D5"/>
    <w:rsid w:val="005C2984"/>
    <w:rsid w:val="005C2EC6"/>
    <w:rsid w:val="005C3E2D"/>
    <w:rsid w:val="005C464E"/>
    <w:rsid w:val="005C5F81"/>
    <w:rsid w:val="005C6197"/>
    <w:rsid w:val="005C6E53"/>
    <w:rsid w:val="005C6ECC"/>
    <w:rsid w:val="005C731F"/>
    <w:rsid w:val="005C746C"/>
    <w:rsid w:val="005C79F3"/>
    <w:rsid w:val="005C7AB1"/>
    <w:rsid w:val="005D032E"/>
    <w:rsid w:val="005D0331"/>
    <w:rsid w:val="005D0C51"/>
    <w:rsid w:val="005D160B"/>
    <w:rsid w:val="005D1876"/>
    <w:rsid w:val="005D1FC6"/>
    <w:rsid w:val="005D29BC"/>
    <w:rsid w:val="005D2E8C"/>
    <w:rsid w:val="005D3112"/>
    <w:rsid w:val="005D34FB"/>
    <w:rsid w:val="005D3EA4"/>
    <w:rsid w:val="005D5AF6"/>
    <w:rsid w:val="005D6424"/>
    <w:rsid w:val="005D6F94"/>
    <w:rsid w:val="005D7050"/>
    <w:rsid w:val="005E08F2"/>
    <w:rsid w:val="005E0BA8"/>
    <w:rsid w:val="005E146A"/>
    <w:rsid w:val="005E1BB9"/>
    <w:rsid w:val="005E2106"/>
    <w:rsid w:val="005E2424"/>
    <w:rsid w:val="005E2460"/>
    <w:rsid w:val="005E3034"/>
    <w:rsid w:val="005E3101"/>
    <w:rsid w:val="005E3B2E"/>
    <w:rsid w:val="005E3B6F"/>
    <w:rsid w:val="005E3C65"/>
    <w:rsid w:val="005E3E2E"/>
    <w:rsid w:val="005E3E42"/>
    <w:rsid w:val="005E446F"/>
    <w:rsid w:val="005E44BA"/>
    <w:rsid w:val="005E44D9"/>
    <w:rsid w:val="005E475A"/>
    <w:rsid w:val="005E4B6C"/>
    <w:rsid w:val="005E4E06"/>
    <w:rsid w:val="005E5093"/>
    <w:rsid w:val="005E58A5"/>
    <w:rsid w:val="005E70C2"/>
    <w:rsid w:val="005E7AAA"/>
    <w:rsid w:val="005E7D37"/>
    <w:rsid w:val="005F018B"/>
    <w:rsid w:val="005F07CE"/>
    <w:rsid w:val="005F11E9"/>
    <w:rsid w:val="005F1607"/>
    <w:rsid w:val="005F16AA"/>
    <w:rsid w:val="005F23E0"/>
    <w:rsid w:val="005F561C"/>
    <w:rsid w:val="005F5E89"/>
    <w:rsid w:val="005F5F13"/>
    <w:rsid w:val="005F76F2"/>
    <w:rsid w:val="005F7794"/>
    <w:rsid w:val="0060076A"/>
    <w:rsid w:val="00601913"/>
    <w:rsid w:val="006028C4"/>
    <w:rsid w:val="00602DF4"/>
    <w:rsid w:val="00603F2F"/>
    <w:rsid w:val="00603F80"/>
    <w:rsid w:val="00604C30"/>
    <w:rsid w:val="00604E5A"/>
    <w:rsid w:val="006050E2"/>
    <w:rsid w:val="0060612D"/>
    <w:rsid w:val="00606BE8"/>
    <w:rsid w:val="00606D96"/>
    <w:rsid w:val="00606DFC"/>
    <w:rsid w:val="00606ED7"/>
    <w:rsid w:val="00606FC1"/>
    <w:rsid w:val="006073BD"/>
    <w:rsid w:val="00607B15"/>
    <w:rsid w:val="00610A70"/>
    <w:rsid w:val="00611D84"/>
    <w:rsid w:val="0061276C"/>
    <w:rsid w:val="00613408"/>
    <w:rsid w:val="00613D97"/>
    <w:rsid w:val="0061571C"/>
    <w:rsid w:val="006170EB"/>
    <w:rsid w:val="00617CBF"/>
    <w:rsid w:val="00620534"/>
    <w:rsid w:val="0062085C"/>
    <w:rsid w:val="00620DC8"/>
    <w:rsid w:val="00620E66"/>
    <w:rsid w:val="00621F91"/>
    <w:rsid w:val="00623B12"/>
    <w:rsid w:val="00623EBB"/>
    <w:rsid w:val="006245CA"/>
    <w:rsid w:val="00624EE6"/>
    <w:rsid w:val="00626524"/>
    <w:rsid w:val="006267FA"/>
    <w:rsid w:val="00626A34"/>
    <w:rsid w:val="00626DB7"/>
    <w:rsid w:val="00626E08"/>
    <w:rsid w:val="00627214"/>
    <w:rsid w:val="00627850"/>
    <w:rsid w:val="006304C7"/>
    <w:rsid w:val="00630514"/>
    <w:rsid w:val="00630AC8"/>
    <w:rsid w:val="00630E2B"/>
    <w:rsid w:val="00631D4B"/>
    <w:rsid w:val="00632311"/>
    <w:rsid w:val="00632677"/>
    <w:rsid w:val="0063347D"/>
    <w:rsid w:val="00633B33"/>
    <w:rsid w:val="006340DF"/>
    <w:rsid w:val="006342BF"/>
    <w:rsid w:val="006344C3"/>
    <w:rsid w:val="0063496C"/>
    <w:rsid w:val="00634F49"/>
    <w:rsid w:val="006357F1"/>
    <w:rsid w:val="00635CCF"/>
    <w:rsid w:val="00635F94"/>
    <w:rsid w:val="00637F76"/>
    <w:rsid w:val="00640C85"/>
    <w:rsid w:val="00640F80"/>
    <w:rsid w:val="006415CB"/>
    <w:rsid w:val="00641D31"/>
    <w:rsid w:val="0064275C"/>
    <w:rsid w:val="006434F2"/>
    <w:rsid w:val="0064358E"/>
    <w:rsid w:val="00643A35"/>
    <w:rsid w:val="006446F3"/>
    <w:rsid w:val="00644CE1"/>
    <w:rsid w:val="0064516F"/>
    <w:rsid w:val="00646809"/>
    <w:rsid w:val="00647220"/>
    <w:rsid w:val="006476D4"/>
    <w:rsid w:val="006476FD"/>
    <w:rsid w:val="00650CCD"/>
    <w:rsid w:val="00652397"/>
    <w:rsid w:val="00652A42"/>
    <w:rsid w:val="00653549"/>
    <w:rsid w:val="00653A1C"/>
    <w:rsid w:val="00654A01"/>
    <w:rsid w:val="0065539C"/>
    <w:rsid w:val="00655490"/>
    <w:rsid w:val="00656631"/>
    <w:rsid w:val="00656C8E"/>
    <w:rsid w:val="00657E4D"/>
    <w:rsid w:val="00660DAC"/>
    <w:rsid w:val="006629D1"/>
    <w:rsid w:val="00662F50"/>
    <w:rsid w:val="00663B5E"/>
    <w:rsid w:val="00663FE2"/>
    <w:rsid w:val="006645C7"/>
    <w:rsid w:val="00664768"/>
    <w:rsid w:val="006650EF"/>
    <w:rsid w:val="006656F3"/>
    <w:rsid w:val="006657FB"/>
    <w:rsid w:val="00665BD6"/>
    <w:rsid w:val="0066659E"/>
    <w:rsid w:val="0066674B"/>
    <w:rsid w:val="006673A9"/>
    <w:rsid w:val="006714B9"/>
    <w:rsid w:val="00671F38"/>
    <w:rsid w:val="0067238C"/>
    <w:rsid w:val="0067331C"/>
    <w:rsid w:val="00673894"/>
    <w:rsid w:val="006742E0"/>
    <w:rsid w:val="00674510"/>
    <w:rsid w:val="00674C02"/>
    <w:rsid w:val="00675510"/>
    <w:rsid w:val="006755D9"/>
    <w:rsid w:val="006768DF"/>
    <w:rsid w:val="00676D42"/>
    <w:rsid w:val="00676E0B"/>
    <w:rsid w:val="006773BB"/>
    <w:rsid w:val="00677E79"/>
    <w:rsid w:val="00680B55"/>
    <w:rsid w:val="00680F21"/>
    <w:rsid w:val="0068118A"/>
    <w:rsid w:val="0068189E"/>
    <w:rsid w:val="006818CB"/>
    <w:rsid w:val="006819C0"/>
    <w:rsid w:val="0068249B"/>
    <w:rsid w:val="00682F19"/>
    <w:rsid w:val="00683682"/>
    <w:rsid w:val="006841F4"/>
    <w:rsid w:val="00684846"/>
    <w:rsid w:val="006848AB"/>
    <w:rsid w:val="00684B40"/>
    <w:rsid w:val="00684D55"/>
    <w:rsid w:val="00684FAE"/>
    <w:rsid w:val="00685194"/>
    <w:rsid w:val="0068544F"/>
    <w:rsid w:val="00685932"/>
    <w:rsid w:val="00685CB2"/>
    <w:rsid w:val="0068681D"/>
    <w:rsid w:val="00686DE2"/>
    <w:rsid w:val="00687829"/>
    <w:rsid w:val="00687A0D"/>
    <w:rsid w:val="00687B54"/>
    <w:rsid w:val="00687DAB"/>
    <w:rsid w:val="00690E62"/>
    <w:rsid w:val="006916CB"/>
    <w:rsid w:val="00691D03"/>
    <w:rsid w:val="0069272B"/>
    <w:rsid w:val="00692BD3"/>
    <w:rsid w:val="00692E57"/>
    <w:rsid w:val="00693579"/>
    <w:rsid w:val="00694ED0"/>
    <w:rsid w:val="00694F96"/>
    <w:rsid w:val="00695391"/>
    <w:rsid w:val="00695761"/>
    <w:rsid w:val="00695B02"/>
    <w:rsid w:val="00695DA7"/>
    <w:rsid w:val="00696937"/>
    <w:rsid w:val="00696F3B"/>
    <w:rsid w:val="0069728F"/>
    <w:rsid w:val="006A011A"/>
    <w:rsid w:val="006A0244"/>
    <w:rsid w:val="006A0A4A"/>
    <w:rsid w:val="006A112C"/>
    <w:rsid w:val="006A1474"/>
    <w:rsid w:val="006A21BB"/>
    <w:rsid w:val="006A26FE"/>
    <w:rsid w:val="006A2923"/>
    <w:rsid w:val="006A3160"/>
    <w:rsid w:val="006A3686"/>
    <w:rsid w:val="006A36F2"/>
    <w:rsid w:val="006A3A14"/>
    <w:rsid w:val="006A3CC0"/>
    <w:rsid w:val="006A4C0A"/>
    <w:rsid w:val="006A4C35"/>
    <w:rsid w:val="006A50C8"/>
    <w:rsid w:val="006A58A3"/>
    <w:rsid w:val="006A699F"/>
    <w:rsid w:val="006A70C0"/>
    <w:rsid w:val="006A731A"/>
    <w:rsid w:val="006A773D"/>
    <w:rsid w:val="006A7B42"/>
    <w:rsid w:val="006A7BA1"/>
    <w:rsid w:val="006B008A"/>
    <w:rsid w:val="006B02C1"/>
    <w:rsid w:val="006B0764"/>
    <w:rsid w:val="006B0DD6"/>
    <w:rsid w:val="006B0F21"/>
    <w:rsid w:val="006B1B51"/>
    <w:rsid w:val="006B21DB"/>
    <w:rsid w:val="006B2636"/>
    <w:rsid w:val="006B2B5A"/>
    <w:rsid w:val="006B38CA"/>
    <w:rsid w:val="006B4002"/>
    <w:rsid w:val="006B4937"/>
    <w:rsid w:val="006B4F20"/>
    <w:rsid w:val="006B51D0"/>
    <w:rsid w:val="006B7E2C"/>
    <w:rsid w:val="006C04CD"/>
    <w:rsid w:val="006C0736"/>
    <w:rsid w:val="006C1783"/>
    <w:rsid w:val="006C1EC2"/>
    <w:rsid w:val="006C1EE6"/>
    <w:rsid w:val="006C21B8"/>
    <w:rsid w:val="006C2A0E"/>
    <w:rsid w:val="006C2B17"/>
    <w:rsid w:val="006C2FAD"/>
    <w:rsid w:val="006C58B1"/>
    <w:rsid w:val="006C58E5"/>
    <w:rsid w:val="006C5E97"/>
    <w:rsid w:val="006C6079"/>
    <w:rsid w:val="006C6200"/>
    <w:rsid w:val="006C69AC"/>
    <w:rsid w:val="006C72C4"/>
    <w:rsid w:val="006C7B49"/>
    <w:rsid w:val="006D0491"/>
    <w:rsid w:val="006D0650"/>
    <w:rsid w:val="006D1AC9"/>
    <w:rsid w:val="006D1B08"/>
    <w:rsid w:val="006D1E23"/>
    <w:rsid w:val="006D22E1"/>
    <w:rsid w:val="006D2A5C"/>
    <w:rsid w:val="006D2D50"/>
    <w:rsid w:val="006D3270"/>
    <w:rsid w:val="006D4667"/>
    <w:rsid w:val="006D6344"/>
    <w:rsid w:val="006D709A"/>
    <w:rsid w:val="006D70E7"/>
    <w:rsid w:val="006D735D"/>
    <w:rsid w:val="006D779B"/>
    <w:rsid w:val="006D7FC4"/>
    <w:rsid w:val="006E0938"/>
    <w:rsid w:val="006E1F59"/>
    <w:rsid w:val="006E2235"/>
    <w:rsid w:val="006E2523"/>
    <w:rsid w:val="006E32DA"/>
    <w:rsid w:val="006E35E8"/>
    <w:rsid w:val="006E39B9"/>
    <w:rsid w:val="006E3B78"/>
    <w:rsid w:val="006E3FB3"/>
    <w:rsid w:val="006E5264"/>
    <w:rsid w:val="006E5411"/>
    <w:rsid w:val="006E5F46"/>
    <w:rsid w:val="006E62C4"/>
    <w:rsid w:val="006E64F4"/>
    <w:rsid w:val="006E66B7"/>
    <w:rsid w:val="006E67F4"/>
    <w:rsid w:val="006F057B"/>
    <w:rsid w:val="006F0B66"/>
    <w:rsid w:val="006F17F7"/>
    <w:rsid w:val="006F2D7B"/>
    <w:rsid w:val="006F46E1"/>
    <w:rsid w:val="006F4B21"/>
    <w:rsid w:val="006F4F34"/>
    <w:rsid w:val="006F5C81"/>
    <w:rsid w:val="006F62BF"/>
    <w:rsid w:val="006F70BE"/>
    <w:rsid w:val="006F771E"/>
    <w:rsid w:val="006F7816"/>
    <w:rsid w:val="006F7C2C"/>
    <w:rsid w:val="007006DB"/>
    <w:rsid w:val="00700DE7"/>
    <w:rsid w:val="007022AE"/>
    <w:rsid w:val="00702C93"/>
    <w:rsid w:val="007030BC"/>
    <w:rsid w:val="007031B8"/>
    <w:rsid w:val="00703D19"/>
    <w:rsid w:val="00704E51"/>
    <w:rsid w:val="00704F21"/>
    <w:rsid w:val="0070528C"/>
    <w:rsid w:val="0070533D"/>
    <w:rsid w:val="007059CA"/>
    <w:rsid w:val="00706119"/>
    <w:rsid w:val="007062B5"/>
    <w:rsid w:val="00706579"/>
    <w:rsid w:val="0070673A"/>
    <w:rsid w:val="00706D8F"/>
    <w:rsid w:val="00706D9E"/>
    <w:rsid w:val="0070717F"/>
    <w:rsid w:val="00707B46"/>
    <w:rsid w:val="007103FF"/>
    <w:rsid w:val="00710980"/>
    <w:rsid w:val="0071108D"/>
    <w:rsid w:val="007115C7"/>
    <w:rsid w:val="0071186F"/>
    <w:rsid w:val="00711E1A"/>
    <w:rsid w:val="00712430"/>
    <w:rsid w:val="0071308C"/>
    <w:rsid w:val="00713A51"/>
    <w:rsid w:val="00713FDF"/>
    <w:rsid w:val="007141F6"/>
    <w:rsid w:val="00715364"/>
    <w:rsid w:val="00715885"/>
    <w:rsid w:val="00716535"/>
    <w:rsid w:val="007167DF"/>
    <w:rsid w:val="00716B1D"/>
    <w:rsid w:val="00716C29"/>
    <w:rsid w:val="00717D4B"/>
    <w:rsid w:val="00720F05"/>
    <w:rsid w:val="00721515"/>
    <w:rsid w:val="007215FA"/>
    <w:rsid w:val="00721C39"/>
    <w:rsid w:val="007221A3"/>
    <w:rsid w:val="00722582"/>
    <w:rsid w:val="00722C67"/>
    <w:rsid w:val="0072342D"/>
    <w:rsid w:val="00723595"/>
    <w:rsid w:val="00723E18"/>
    <w:rsid w:val="00724332"/>
    <w:rsid w:val="0072532D"/>
    <w:rsid w:val="007261FA"/>
    <w:rsid w:val="00726590"/>
    <w:rsid w:val="00726AB8"/>
    <w:rsid w:val="00726D14"/>
    <w:rsid w:val="00727779"/>
    <w:rsid w:val="00727CE0"/>
    <w:rsid w:val="00730A5F"/>
    <w:rsid w:val="00731184"/>
    <w:rsid w:val="007318CB"/>
    <w:rsid w:val="00733F9A"/>
    <w:rsid w:val="00734043"/>
    <w:rsid w:val="00734EFF"/>
    <w:rsid w:val="00735084"/>
    <w:rsid w:val="00735194"/>
    <w:rsid w:val="0073539F"/>
    <w:rsid w:val="00735624"/>
    <w:rsid w:val="00735D46"/>
    <w:rsid w:val="0073755B"/>
    <w:rsid w:val="00737873"/>
    <w:rsid w:val="0074002B"/>
    <w:rsid w:val="00740095"/>
    <w:rsid w:val="007404CB"/>
    <w:rsid w:val="00741481"/>
    <w:rsid w:val="00741589"/>
    <w:rsid w:val="00741AF4"/>
    <w:rsid w:val="00742423"/>
    <w:rsid w:val="007430E3"/>
    <w:rsid w:val="00743679"/>
    <w:rsid w:val="00743DD2"/>
    <w:rsid w:val="00744AAF"/>
    <w:rsid w:val="007453E9"/>
    <w:rsid w:val="0074577D"/>
    <w:rsid w:val="007461ED"/>
    <w:rsid w:val="00746A19"/>
    <w:rsid w:val="00746BDF"/>
    <w:rsid w:val="00746FC9"/>
    <w:rsid w:val="00747D15"/>
    <w:rsid w:val="00747F87"/>
    <w:rsid w:val="00750082"/>
    <w:rsid w:val="0075024A"/>
    <w:rsid w:val="0075048E"/>
    <w:rsid w:val="00750782"/>
    <w:rsid w:val="00751797"/>
    <w:rsid w:val="00751C1F"/>
    <w:rsid w:val="00751EF4"/>
    <w:rsid w:val="007521DA"/>
    <w:rsid w:val="00752788"/>
    <w:rsid w:val="007531EF"/>
    <w:rsid w:val="007534DF"/>
    <w:rsid w:val="00753A68"/>
    <w:rsid w:val="0075435A"/>
    <w:rsid w:val="0075490D"/>
    <w:rsid w:val="00755627"/>
    <w:rsid w:val="007560B3"/>
    <w:rsid w:val="0075622F"/>
    <w:rsid w:val="00757056"/>
    <w:rsid w:val="007603E6"/>
    <w:rsid w:val="00760610"/>
    <w:rsid w:val="00760996"/>
    <w:rsid w:val="007609E2"/>
    <w:rsid w:val="007609E8"/>
    <w:rsid w:val="00760EDA"/>
    <w:rsid w:val="007625E6"/>
    <w:rsid w:val="0076395D"/>
    <w:rsid w:val="00763C4F"/>
    <w:rsid w:val="007641CF"/>
    <w:rsid w:val="007655DE"/>
    <w:rsid w:val="00765CF5"/>
    <w:rsid w:val="00765D8B"/>
    <w:rsid w:val="007668FF"/>
    <w:rsid w:val="00766DE8"/>
    <w:rsid w:val="007675A4"/>
    <w:rsid w:val="0076794B"/>
    <w:rsid w:val="00770178"/>
    <w:rsid w:val="00770598"/>
    <w:rsid w:val="00771DD4"/>
    <w:rsid w:val="00771FB0"/>
    <w:rsid w:val="00772AF2"/>
    <w:rsid w:val="00773D05"/>
    <w:rsid w:val="0077432E"/>
    <w:rsid w:val="007743C0"/>
    <w:rsid w:val="007757C4"/>
    <w:rsid w:val="00775B7B"/>
    <w:rsid w:val="00777852"/>
    <w:rsid w:val="00777C3A"/>
    <w:rsid w:val="0078043C"/>
    <w:rsid w:val="007804CE"/>
    <w:rsid w:val="0078052B"/>
    <w:rsid w:val="007823D9"/>
    <w:rsid w:val="0078338B"/>
    <w:rsid w:val="007840E3"/>
    <w:rsid w:val="007844EB"/>
    <w:rsid w:val="00785051"/>
    <w:rsid w:val="00786363"/>
    <w:rsid w:val="0078723D"/>
    <w:rsid w:val="00787F28"/>
    <w:rsid w:val="0079053E"/>
    <w:rsid w:val="007905D9"/>
    <w:rsid w:val="00790E5F"/>
    <w:rsid w:val="007911E4"/>
    <w:rsid w:val="00792A8C"/>
    <w:rsid w:val="00792BBE"/>
    <w:rsid w:val="00792CC0"/>
    <w:rsid w:val="007930CE"/>
    <w:rsid w:val="00793E5A"/>
    <w:rsid w:val="00794483"/>
    <w:rsid w:val="00794E6F"/>
    <w:rsid w:val="007958AC"/>
    <w:rsid w:val="00795B27"/>
    <w:rsid w:val="00795C7A"/>
    <w:rsid w:val="00795F68"/>
    <w:rsid w:val="007961D1"/>
    <w:rsid w:val="00796ABF"/>
    <w:rsid w:val="00796EF9"/>
    <w:rsid w:val="00797CF4"/>
    <w:rsid w:val="007A11FB"/>
    <w:rsid w:val="007A1815"/>
    <w:rsid w:val="007A1B38"/>
    <w:rsid w:val="007A31CF"/>
    <w:rsid w:val="007A3AFB"/>
    <w:rsid w:val="007A3DA2"/>
    <w:rsid w:val="007A47F1"/>
    <w:rsid w:val="007A4A02"/>
    <w:rsid w:val="007A4A42"/>
    <w:rsid w:val="007A4F13"/>
    <w:rsid w:val="007A5ABB"/>
    <w:rsid w:val="007A6CEF"/>
    <w:rsid w:val="007A6EC6"/>
    <w:rsid w:val="007A7249"/>
    <w:rsid w:val="007A74B0"/>
    <w:rsid w:val="007B015A"/>
    <w:rsid w:val="007B0FF0"/>
    <w:rsid w:val="007B1D00"/>
    <w:rsid w:val="007B3269"/>
    <w:rsid w:val="007B4628"/>
    <w:rsid w:val="007B65CA"/>
    <w:rsid w:val="007B6743"/>
    <w:rsid w:val="007B692F"/>
    <w:rsid w:val="007B793C"/>
    <w:rsid w:val="007B7DA0"/>
    <w:rsid w:val="007B7E8B"/>
    <w:rsid w:val="007C086F"/>
    <w:rsid w:val="007C0BC8"/>
    <w:rsid w:val="007C1037"/>
    <w:rsid w:val="007C1C41"/>
    <w:rsid w:val="007C28C4"/>
    <w:rsid w:val="007C30DF"/>
    <w:rsid w:val="007C38BF"/>
    <w:rsid w:val="007C3A5B"/>
    <w:rsid w:val="007C3AA1"/>
    <w:rsid w:val="007C3B93"/>
    <w:rsid w:val="007C4F96"/>
    <w:rsid w:val="007C519D"/>
    <w:rsid w:val="007C649B"/>
    <w:rsid w:val="007C7566"/>
    <w:rsid w:val="007C7625"/>
    <w:rsid w:val="007D0151"/>
    <w:rsid w:val="007D04AC"/>
    <w:rsid w:val="007D0619"/>
    <w:rsid w:val="007D0D57"/>
    <w:rsid w:val="007D1041"/>
    <w:rsid w:val="007D143D"/>
    <w:rsid w:val="007D1C0E"/>
    <w:rsid w:val="007D1C4E"/>
    <w:rsid w:val="007D2A6A"/>
    <w:rsid w:val="007D2CFB"/>
    <w:rsid w:val="007D35EF"/>
    <w:rsid w:val="007D3D31"/>
    <w:rsid w:val="007D44AB"/>
    <w:rsid w:val="007D48B4"/>
    <w:rsid w:val="007D65B4"/>
    <w:rsid w:val="007D7DC8"/>
    <w:rsid w:val="007E0B9A"/>
    <w:rsid w:val="007E1879"/>
    <w:rsid w:val="007E1B3D"/>
    <w:rsid w:val="007E25E6"/>
    <w:rsid w:val="007E3953"/>
    <w:rsid w:val="007E5215"/>
    <w:rsid w:val="007E5EA3"/>
    <w:rsid w:val="007E714D"/>
    <w:rsid w:val="007F1B0D"/>
    <w:rsid w:val="007F2123"/>
    <w:rsid w:val="007F290F"/>
    <w:rsid w:val="007F32C3"/>
    <w:rsid w:val="007F3813"/>
    <w:rsid w:val="007F4D8D"/>
    <w:rsid w:val="007F5257"/>
    <w:rsid w:val="007F56D3"/>
    <w:rsid w:val="007F5AE9"/>
    <w:rsid w:val="007F6AAF"/>
    <w:rsid w:val="007F7C45"/>
    <w:rsid w:val="007F7D55"/>
    <w:rsid w:val="008032CF"/>
    <w:rsid w:val="00804FBB"/>
    <w:rsid w:val="00805111"/>
    <w:rsid w:val="00805712"/>
    <w:rsid w:val="00805857"/>
    <w:rsid w:val="00805A20"/>
    <w:rsid w:val="00806DDC"/>
    <w:rsid w:val="008073A9"/>
    <w:rsid w:val="00807B4A"/>
    <w:rsid w:val="00807BE9"/>
    <w:rsid w:val="00807D20"/>
    <w:rsid w:val="00807FAB"/>
    <w:rsid w:val="00810280"/>
    <w:rsid w:val="008109E4"/>
    <w:rsid w:val="00811863"/>
    <w:rsid w:val="0081232E"/>
    <w:rsid w:val="008124F7"/>
    <w:rsid w:val="00813172"/>
    <w:rsid w:val="00813B36"/>
    <w:rsid w:val="00814F70"/>
    <w:rsid w:val="00815AEE"/>
    <w:rsid w:val="0081655B"/>
    <w:rsid w:val="00816C60"/>
    <w:rsid w:val="00816FE6"/>
    <w:rsid w:val="008173D8"/>
    <w:rsid w:val="00822702"/>
    <w:rsid w:val="00822F86"/>
    <w:rsid w:val="00822FC2"/>
    <w:rsid w:val="00823AAA"/>
    <w:rsid w:val="00823CD7"/>
    <w:rsid w:val="00824D72"/>
    <w:rsid w:val="00826DC8"/>
    <w:rsid w:val="0082710C"/>
    <w:rsid w:val="0082744D"/>
    <w:rsid w:val="00827BD0"/>
    <w:rsid w:val="00827E8B"/>
    <w:rsid w:val="00830674"/>
    <w:rsid w:val="008307AA"/>
    <w:rsid w:val="00830810"/>
    <w:rsid w:val="00830E46"/>
    <w:rsid w:val="00831B3B"/>
    <w:rsid w:val="00831EAF"/>
    <w:rsid w:val="00831FAE"/>
    <w:rsid w:val="0083203A"/>
    <w:rsid w:val="00832291"/>
    <w:rsid w:val="00832B42"/>
    <w:rsid w:val="00834B39"/>
    <w:rsid w:val="0083579F"/>
    <w:rsid w:val="0083596F"/>
    <w:rsid w:val="00835DA2"/>
    <w:rsid w:val="00835EA4"/>
    <w:rsid w:val="008371DC"/>
    <w:rsid w:val="00837C36"/>
    <w:rsid w:val="008401A8"/>
    <w:rsid w:val="0084022E"/>
    <w:rsid w:val="0084080C"/>
    <w:rsid w:val="00840D8A"/>
    <w:rsid w:val="008411BC"/>
    <w:rsid w:val="00841521"/>
    <w:rsid w:val="00842371"/>
    <w:rsid w:val="008426CF"/>
    <w:rsid w:val="008433EE"/>
    <w:rsid w:val="0084409A"/>
    <w:rsid w:val="00844394"/>
    <w:rsid w:val="0084518F"/>
    <w:rsid w:val="00845250"/>
    <w:rsid w:val="00845AEA"/>
    <w:rsid w:val="00846702"/>
    <w:rsid w:val="008471B8"/>
    <w:rsid w:val="0084748B"/>
    <w:rsid w:val="0085029E"/>
    <w:rsid w:val="00850FEE"/>
    <w:rsid w:val="0085286B"/>
    <w:rsid w:val="008529E1"/>
    <w:rsid w:val="008531BB"/>
    <w:rsid w:val="008532E1"/>
    <w:rsid w:val="00853630"/>
    <w:rsid w:val="0085390C"/>
    <w:rsid w:val="00853955"/>
    <w:rsid w:val="00854109"/>
    <w:rsid w:val="00854331"/>
    <w:rsid w:val="00854E22"/>
    <w:rsid w:val="008556C0"/>
    <w:rsid w:val="0085604B"/>
    <w:rsid w:val="00857AE8"/>
    <w:rsid w:val="00857D9D"/>
    <w:rsid w:val="00860072"/>
    <w:rsid w:val="00861774"/>
    <w:rsid w:val="00861A42"/>
    <w:rsid w:val="0086272C"/>
    <w:rsid w:val="008627BB"/>
    <w:rsid w:val="008635CD"/>
    <w:rsid w:val="00865063"/>
    <w:rsid w:val="0086659C"/>
    <w:rsid w:val="008668D4"/>
    <w:rsid w:val="008679A5"/>
    <w:rsid w:val="00870239"/>
    <w:rsid w:val="0087094B"/>
    <w:rsid w:val="00870C81"/>
    <w:rsid w:val="00871054"/>
    <w:rsid w:val="00871E78"/>
    <w:rsid w:val="008729A7"/>
    <w:rsid w:val="008737B1"/>
    <w:rsid w:val="00873A86"/>
    <w:rsid w:val="00873DF2"/>
    <w:rsid w:val="0087418A"/>
    <w:rsid w:val="008746BE"/>
    <w:rsid w:val="00875144"/>
    <w:rsid w:val="0087543D"/>
    <w:rsid w:val="00875C24"/>
    <w:rsid w:val="00876814"/>
    <w:rsid w:val="00876B12"/>
    <w:rsid w:val="00876C57"/>
    <w:rsid w:val="008775F4"/>
    <w:rsid w:val="00877E93"/>
    <w:rsid w:val="008807E7"/>
    <w:rsid w:val="00880B64"/>
    <w:rsid w:val="00880EE6"/>
    <w:rsid w:val="0088117E"/>
    <w:rsid w:val="008811B0"/>
    <w:rsid w:val="008816B6"/>
    <w:rsid w:val="00881C35"/>
    <w:rsid w:val="00882C94"/>
    <w:rsid w:val="0088304B"/>
    <w:rsid w:val="00883373"/>
    <w:rsid w:val="0088409F"/>
    <w:rsid w:val="0088486A"/>
    <w:rsid w:val="00884944"/>
    <w:rsid w:val="00884E4A"/>
    <w:rsid w:val="0088594C"/>
    <w:rsid w:val="00885DAA"/>
    <w:rsid w:val="00886058"/>
    <w:rsid w:val="00886CF3"/>
    <w:rsid w:val="00886FFD"/>
    <w:rsid w:val="00887535"/>
    <w:rsid w:val="008901BA"/>
    <w:rsid w:val="00890FB4"/>
    <w:rsid w:val="00891358"/>
    <w:rsid w:val="00891510"/>
    <w:rsid w:val="00891766"/>
    <w:rsid w:val="008922C6"/>
    <w:rsid w:val="00893F62"/>
    <w:rsid w:val="008951AE"/>
    <w:rsid w:val="008951E1"/>
    <w:rsid w:val="00895447"/>
    <w:rsid w:val="0089579C"/>
    <w:rsid w:val="00895CCF"/>
    <w:rsid w:val="00895DDB"/>
    <w:rsid w:val="008A0B4C"/>
    <w:rsid w:val="008A0C5A"/>
    <w:rsid w:val="008A16CC"/>
    <w:rsid w:val="008A1AF9"/>
    <w:rsid w:val="008A2638"/>
    <w:rsid w:val="008A3C08"/>
    <w:rsid w:val="008A3D26"/>
    <w:rsid w:val="008A3D59"/>
    <w:rsid w:val="008A46E9"/>
    <w:rsid w:val="008A4A97"/>
    <w:rsid w:val="008A4C00"/>
    <w:rsid w:val="008A4CCC"/>
    <w:rsid w:val="008A4E5D"/>
    <w:rsid w:val="008A4F4E"/>
    <w:rsid w:val="008A5295"/>
    <w:rsid w:val="008A630A"/>
    <w:rsid w:val="008A6A78"/>
    <w:rsid w:val="008A6C5C"/>
    <w:rsid w:val="008A70D3"/>
    <w:rsid w:val="008A737F"/>
    <w:rsid w:val="008A7388"/>
    <w:rsid w:val="008B0EF8"/>
    <w:rsid w:val="008B1125"/>
    <w:rsid w:val="008B1250"/>
    <w:rsid w:val="008B1EA5"/>
    <w:rsid w:val="008B25B5"/>
    <w:rsid w:val="008B3F6B"/>
    <w:rsid w:val="008B4032"/>
    <w:rsid w:val="008B40AA"/>
    <w:rsid w:val="008B4CE2"/>
    <w:rsid w:val="008B50AC"/>
    <w:rsid w:val="008B53FB"/>
    <w:rsid w:val="008B5C64"/>
    <w:rsid w:val="008B61D6"/>
    <w:rsid w:val="008B6397"/>
    <w:rsid w:val="008B6F9F"/>
    <w:rsid w:val="008B7110"/>
    <w:rsid w:val="008C0F2E"/>
    <w:rsid w:val="008C1B15"/>
    <w:rsid w:val="008C2B82"/>
    <w:rsid w:val="008C2D4F"/>
    <w:rsid w:val="008C52D3"/>
    <w:rsid w:val="008C575A"/>
    <w:rsid w:val="008C5A39"/>
    <w:rsid w:val="008C5F44"/>
    <w:rsid w:val="008C6383"/>
    <w:rsid w:val="008C6722"/>
    <w:rsid w:val="008C767F"/>
    <w:rsid w:val="008C7B0F"/>
    <w:rsid w:val="008D10DF"/>
    <w:rsid w:val="008D2272"/>
    <w:rsid w:val="008D3914"/>
    <w:rsid w:val="008D3E50"/>
    <w:rsid w:val="008D4477"/>
    <w:rsid w:val="008D4B93"/>
    <w:rsid w:val="008D4EBC"/>
    <w:rsid w:val="008D4EEE"/>
    <w:rsid w:val="008D562C"/>
    <w:rsid w:val="008D580F"/>
    <w:rsid w:val="008D6532"/>
    <w:rsid w:val="008D6739"/>
    <w:rsid w:val="008D737D"/>
    <w:rsid w:val="008D7BC4"/>
    <w:rsid w:val="008E02A6"/>
    <w:rsid w:val="008E0906"/>
    <w:rsid w:val="008E09AF"/>
    <w:rsid w:val="008E1048"/>
    <w:rsid w:val="008E2612"/>
    <w:rsid w:val="008E37E5"/>
    <w:rsid w:val="008E3858"/>
    <w:rsid w:val="008E3B3A"/>
    <w:rsid w:val="008E5CEB"/>
    <w:rsid w:val="008E64F8"/>
    <w:rsid w:val="008E66E8"/>
    <w:rsid w:val="008E7013"/>
    <w:rsid w:val="008E710D"/>
    <w:rsid w:val="008E731C"/>
    <w:rsid w:val="008E75A3"/>
    <w:rsid w:val="008E7FB6"/>
    <w:rsid w:val="008F0566"/>
    <w:rsid w:val="008F097E"/>
    <w:rsid w:val="008F0FD6"/>
    <w:rsid w:val="008F1823"/>
    <w:rsid w:val="008F2647"/>
    <w:rsid w:val="008F2C41"/>
    <w:rsid w:val="008F3624"/>
    <w:rsid w:val="008F3976"/>
    <w:rsid w:val="008F46CE"/>
    <w:rsid w:val="008F4F1A"/>
    <w:rsid w:val="008F5BF8"/>
    <w:rsid w:val="008F5F1C"/>
    <w:rsid w:val="008F6E81"/>
    <w:rsid w:val="008F7371"/>
    <w:rsid w:val="009001A9"/>
    <w:rsid w:val="00900ACE"/>
    <w:rsid w:val="00901149"/>
    <w:rsid w:val="0090188B"/>
    <w:rsid w:val="00901A73"/>
    <w:rsid w:val="00901CCB"/>
    <w:rsid w:val="00901DED"/>
    <w:rsid w:val="009025BF"/>
    <w:rsid w:val="00903479"/>
    <w:rsid w:val="00903654"/>
    <w:rsid w:val="00904A8E"/>
    <w:rsid w:val="00904C82"/>
    <w:rsid w:val="00904E74"/>
    <w:rsid w:val="00905E2C"/>
    <w:rsid w:val="0090634D"/>
    <w:rsid w:val="00906812"/>
    <w:rsid w:val="00906973"/>
    <w:rsid w:val="0090724C"/>
    <w:rsid w:val="00907FC6"/>
    <w:rsid w:val="0091050E"/>
    <w:rsid w:val="009108B3"/>
    <w:rsid w:val="009111B1"/>
    <w:rsid w:val="00911D6C"/>
    <w:rsid w:val="00912020"/>
    <w:rsid w:val="00913136"/>
    <w:rsid w:val="009136B7"/>
    <w:rsid w:val="00913724"/>
    <w:rsid w:val="00914BD4"/>
    <w:rsid w:val="00914F3F"/>
    <w:rsid w:val="00915083"/>
    <w:rsid w:val="009153C4"/>
    <w:rsid w:val="00915F2F"/>
    <w:rsid w:val="00916983"/>
    <w:rsid w:val="0092079C"/>
    <w:rsid w:val="00921114"/>
    <w:rsid w:val="00921B70"/>
    <w:rsid w:val="009225A4"/>
    <w:rsid w:val="009231BC"/>
    <w:rsid w:val="009235C1"/>
    <w:rsid w:val="00923A80"/>
    <w:rsid w:val="00923D78"/>
    <w:rsid w:val="00924CA6"/>
    <w:rsid w:val="009254FD"/>
    <w:rsid w:val="00926745"/>
    <w:rsid w:val="00926D9E"/>
    <w:rsid w:val="009273B8"/>
    <w:rsid w:val="009277DD"/>
    <w:rsid w:val="009278D4"/>
    <w:rsid w:val="00927EEB"/>
    <w:rsid w:val="00930083"/>
    <w:rsid w:val="009301DC"/>
    <w:rsid w:val="00930AB8"/>
    <w:rsid w:val="00930D3B"/>
    <w:rsid w:val="0093105E"/>
    <w:rsid w:val="00931257"/>
    <w:rsid w:val="009312BB"/>
    <w:rsid w:val="009315A4"/>
    <w:rsid w:val="00931C88"/>
    <w:rsid w:val="00931F8A"/>
    <w:rsid w:val="009328F3"/>
    <w:rsid w:val="00933433"/>
    <w:rsid w:val="009339DA"/>
    <w:rsid w:val="009340F1"/>
    <w:rsid w:val="00934425"/>
    <w:rsid w:val="00935358"/>
    <w:rsid w:val="009357CE"/>
    <w:rsid w:val="0093655A"/>
    <w:rsid w:val="00936C24"/>
    <w:rsid w:val="00936DC8"/>
    <w:rsid w:val="00936FB8"/>
    <w:rsid w:val="00937568"/>
    <w:rsid w:val="00940040"/>
    <w:rsid w:val="00941530"/>
    <w:rsid w:val="009419A4"/>
    <w:rsid w:val="009422F7"/>
    <w:rsid w:val="00942BDD"/>
    <w:rsid w:val="0094305F"/>
    <w:rsid w:val="009440CE"/>
    <w:rsid w:val="00944AF3"/>
    <w:rsid w:val="0094562A"/>
    <w:rsid w:val="00945722"/>
    <w:rsid w:val="00945D53"/>
    <w:rsid w:val="00947130"/>
    <w:rsid w:val="009471D4"/>
    <w:rsid w:val="00947BDB"/>
    <w:rsid w:val="00947D69"/>
    <w:rsid w:val="0095037D"/>
    <w:rsid w:val="009503C2"/>
    <w:rsid w:val="009526F9"/>
    <w:rsid w:val="0095290F"/>
    <w:rsid w:val="00952B45"/>
    <w:rsid w:val="00954713"/>
    <w:rsid w:val="00954AF7"/>
    <w:rsid w:val="00955216"/>
    <w:rsid w:val="00955785"/>
    <w:rsid w:val="00956CF1"/>
    <w:rsid w:val="00956CFA"/>
    <w:rsid w:val="00960746"/>
    <w:rsid w:val="00961763"/>
    <w:rsid w:val="00961CB3"/>
    <w:rsid w:val="00962770"/>
    <w:rsid w:val="00962D16"/>
    <w:rsid w:val="00964EBF"/>
    <w:rsid w:val="00965438"/>
    <w:rsid w:val="009659E6"/>
    <w:rsid w:val="00966142"/>
    <w:rsid w:val="009672F6"/>
    <w:rsid w:val="00967C0A"/>
    <w:rsid w:val="00971CD3"/>
    <w:rsid w:val="00971D4B"/>
    <w:rsid w:val="00972007"/>
    <w:rsid w:val="009726CA"/>
    <w:rsid w:val="00972C26"/>
    <w:rsid w:val="00972D54"/>
    <w:rsid w:val="00973C06"/>
    <w:rsid w:val="009747DF"/>
    <w:rsid w:val="009748A3"/>
    <w:rsid w:val="00974A4D"/>
    <w:rsid w:val="00975188"/>
    <w:rsid w:val="00975389"/>
    <w:rsid w:val="00975419"/>
    <w:rsid w:val="009760EC"/>
    <w:rsid w:val="0097627C"/>
    <w:rsid w:val="009764B8"/>
    <w:rsid w:val="00976504"/>
    <w:rsid w:val="009769E1"/>
    <w:rsid w:val="00976D38"/>
    <w:rsid w:val="0097760A"/>
    <w:rsid w:val="00977D67"/>
    <w:rsid w:val="0098018E"/>
    <w:rsid w:val="0098057D"/>
    <w:rsid w:val="00981F00"/>
    <w:rsid w:val="00982793"/>
    <w:rsid w:val="009828BD"/>
    <w:rsid w:val="00982A7A"/>
    <w:rsid w:val="00982C1A"/>
    <w:rsid w:val="00983C4E"/>
    <w:rsid w:val="0098403B"/>
    <w:rsid w:val="00984ADE"/>
    <w:rsid w:val="00984F02"/>
    <w:rsid w:val="0098524A"/>
    <w:rsid w:val="0098559D"/>
    <w:rsid w:val="00985C82"/>
    <w:rsid w:val="00985DA3"/>
    <w:rsid w:val="00986DF4"/>
    <w:rsid w:val="00990AC7"/>
    <w:rsid w:val="0099198C"/>
    <w:rsid w:val="00991E7D"/>
    <w:rsid w:val="00992B0A"/>
    <w:rsid w:val="00992CDE"/>
    <w:rsid w:val="009933F0"/>
    <w:rsid w:val="009938FE"/>
    <w:rsid w:val="00993DBB"/>
    <w:rsid w:val="00994402"/>
    <w:rsid w:val="00994A0F"/>
    <w:rsid w:val="00995041"/>
    <w:rsid w:val="00995101"/>
    <w:rsid w:val="00995981"/>
    <w:rsid w:val="009A037B"/>
    <w:rsid w:val="009A0801"/>
    <w:rsid w:val="009A0CB3"/>
    <w:rsid w:val="009A10DF"/>
    <w:rsid w:val="009A2E69"/>
    <w:rsid w:val="009A3B2E"/>
    <w:rsid w:val="009A4150"/>
    <w:rsid w:val="009A5C1D"/>
    <w:rsid w:val="009A646C"/>
    <w:rsid w:val="009A7A6E"/>
    <w:rsid w:val="009B0281"/>
    <w:rsid w:val="009B0527"/>
    <w:rsid w:val="009B05E3"/>
    <w:rsid w:val="009B09DB"/>
    <w:rsid w:val="009B0D8E"/>
    <w:rsid w:val="009B162F"/>
    <w:rsid w:val="009B1782"/>
    <w:rsid w:val="009B3056"/>
    <w:rsid w:val="009B3B66"/>
    <w:rsid w:val="009B3D70"/>
    <w:rsid w:val="009B3E02"/>
    <w:rsid w:val="009B3F57"/>
    <w:rsid w:val="009B4ED6"/>
    <w:rsid w:val="009B5164"/>
    <w:rsid w:val="009B5799"/>
    <w:rsid w:val="009B69BD"/>
    <w:rsid w:val="009B6A75"/>
    <w:rsid w:val="009B6B85"/>
    <w:rsid w:val="009B6C17"/>
    <w:rsid w:val="009B6DA3"/>
    <w:rsid w:val="009B77D4"/>
    <w:rsid w:val="009C097B"/>
    <w:rsid w:val="009C27C6"/>
    <w:rsid w:val="009C3339"/>
    <w:rsid w:val="009C372F"/>
    <w:rsid w:val="009C3838"/>
    <w:rsid w:val="009C390A"/>
    <w:rsid w:val="009C3BE3"/>
    <w:rsid w:val="009C447B"/>
    <w:rsid w:val="009C475F"/>
    <w:rsid w:val="009C60B9"/>
    <w:rsid w:val="009C6325"/>
    <w:rsid w:val="009C65E6"/>
    <w:rsid w:val="009C7186"/>
    <w:rsid w:val="009D04F0"/>
    <w:rsid w:val="009D0E2C"/>
    <w:rsid w:val="009D1354"/>
    <w:rsid w:val="009D17A8"/>
    <w:rsid w:val="009D18AB"/>
    <w:rsid w:val="009D1DB7"/>
    <w:rsid w:val="009D213A"/>
    <w:rsid w:val="009D3AAD"/>
    <w:rsid w:val="009D3EE2"/>
    <w:rsid w:val="009D42CA"/>
    <w:rsid w:val="009D52DD"/>
    <w:rsid w:val="009D55F1"/>
    <w:rsid w:val="009D5755"/>
    <w:rsid w:val="009D7202"/>
    <w:rsid w:val="009D7A98"/>
    <w:rsid w:val="009E0191"/>
    <w:rsid w:val="009E0231"/>
    <w:rsid w:val="009E0C12"/>
    <w:rsid w:val="009E19C8"/>
    <w:rsid w:val="009E1AC2"/>
    <w:rsid w:val="009E231C"/>
    <w:rsid w:val="009E2B2E"/>
    <w:rsid w:val="009E2CC0"/>
    <w:rsid w:val="009E302C"/>
    <w:rsid w:val="009E3B43"/>
    <w:rsid w:val="009E3BE8"/>
    <w:rsid w:val="009E4832"/>
    <w:rsid w:val="009E483B"/>
    <w:rsid w:val="009E5218"/>
    <w:rsid w:val="009E54C5"/>
    <w:rsid w:val="009E5780"/>
    <w:rsid w:val="009E5C74"/>
    <w:rsid w:val="009F0715"/>
    <w:rsid w:val="009F16D4"/>
    <w:rsid w:val="009F1CBC"/>
    <w:rsid w:val="009F2BEA"/>
    <w:rsid w:val="009F2D50"/>
    <w:rsid w:val="009F30BD"/>
    <w:rsid w:val="009F36D7"/>
    <w:rsid w:val="009F38AA"/>
    <w:rsid w:val="009F3E4A"/>
    <w:rsid w:val="009F50CF"/>
    <w:rsid w:val="009F574D"/>
    <w:rsid w:val="009F5B9F"/>
    <w:rsid w:val="009F6A99"/>
    <w:rsid w:val="009F770C"/>
    <w:rsid w:val="009F7A49"/>
    <w:rsid w:val="00A0089B"/>
    <w:rsid w:val="00A01943"/>
    <w:rsid w:val="00A01E30"/>
    <w:rsid w:val="00A021B1"/>
    <w:rsid w:val="00A02B3B"/>
    <w:rsid w:val="00A033D8"/>
    <w:rsid w:val="00A03909"/>
    <w:rsid w:val="00A05B67"/>
    <w:rsid w:val="00A0655E"/>
    <w:rsid w:val="00A0673E"/>
    <w:rsid w:val="00A07C5F"/>
    <w:rsid w:val="00A07C77"/>
    <w:rsid w:val="00A10F24"/>
    <w:rsid w:val="00A113BB"/>
    <w:rsid w:val="00A11BE0"/>
    <w:rsid w:val="00A137E4"/>
    <w:rsid w:val="00A13B8E"/>
    <w:rsid w:val="00A145DF"/>
    <w:rsid w:val="00A14944"/>
    <w:rsid w:val="00A17AF2"/>
    <w:rsid w:val="00A21652"/>
    <w:rsid w:val="00A218EE"/>
    <w:rsid w:val="00A22386"/>
    <w:rsid w:val="00A22444"/>
    <w:rsid w:val="00A22822"/>
    <w:rsid w:val="00A2289D"/>
    <w:rsid w:val="00A228E1"/>
    <w:rsid w:val="00A2329A"/>
    <w:rsid w:val="00A233DC"/>
    <w:rsid w:val="00A23BBC"/>
    <w:rsid w:val="00A2469A"/>
    <w:rsid w:val="00A24B44"/>
    <w:rsid w:val="00A2541F"/>
    <w:rsid w:val="00A25699"/>
    <w:rsid w:val="00A25AE2"/>
    <w:rsid w:val="00A26023"/>
    <w:rsid w:val="00A2666A"/>
    <w:rsid w:val="00A270D6"/>
    <w:rsid w:val="00A272CE"/>
    <w:rsid w:val="00A301E7"/>
    <w:rsid w:val="00A31F2D"/>
    <w:rsid w:val="00A3213F"/>
    <w:rsid w:val="00A322DD"/>
    <w:rsid w:val="00A3237F"/>
    <w:rsid w:val="00A327F2"/>
    <w:rsid w:val="00A33A53"/>
    <w:rsid w:val="00A349EF"/>
    <w:rsid w:val="00A34A9D"/>
    <w:rsid w:val="00A3584A"/>
    <w:rsid w:val="00A35BE3"/>
    <w:rsid w:val="00A36255"/>
    <w:rsid w:val="00A36A05"/>
    <w:rsid w:val="00A37CC1"/>
    <w:rsid w:val="00A41274"/>
    <w:rsid w:val="00A41280"/>
    <w:rsid w:val="00A41512"/>
    <w:rsid w:val="00A424C8"/>
    <w:rsid w:val="00A42A87"/>
    <w:rsid w:val="00A44D17"/>
    <w:rsid w:val="00A45668"/>
    <w:rsid w:val="00A51793"/>
    <w:rsid w:val="00A51D36"/>
    <w:rsid w:val="00A523D9"/>
    <w:rsid w:val="00A52B3A"/>
    <w:rsid w:val="00A530C1"/>
    <w:rsid w:val="00A533CC"/>
    <w:rsid w:val="00A5352B"/>
    <w:rsid w:val="00A53BBC"/>
    <w:rsid w:val="00A53E19"/>
    <w:rsid w:val="00A54549"/>
    <w:rsid w:val="00A546C2"/>
    <w:rsid w:val="00A54F36"/>
    <w:rsid w:val="00A55654"/>
    <w:rsid w:val="00A573A0"/>
    <w:rsid w:val="00A578F3"/>
    <w:rsid w:val="00A57C2A"/>
    <w:rsid w:val="00A607E5"/>
    <w:rsid w:val="00A60E2A"/>
    <w:rsid w:val="00A61958"/>
    <w:rsid w:val="00A61A20"/>
    <w:rsid w:val="00A623ED"/>
    <w:rsid w:val="00A6388F"/>
    <w:rsid w:val="00A63E2F"/>
    <w:rsid w:val="00A65453"/>
    <w:rsid w:val="00A65ED5"/>
    <w:rsid w:val="00A6668E"/>
    <w:rsid w:val="00A674BE"/>
    <w:rsid w:val="00A67953"/>
    <w:rsid w:val="00A70291"/>
    <w:rsid w:val="00A703B9"/>
    <w:rsid w:val="00A704F7"/>
    <w:rsid w:val="00A70C5D"/>
    <w:rsid w:val="00A70DFF"/>
    <w:rsid w:val="00A7215B"/>
    <w:rsid w:val="00A7277F"/>
    <w:rsid w:val="00A734B5"/>
    <w:rsid w:val="00A73F15"/>
    <w:rsid w:val="00A749B8"/>
    <w:rsid w:val="00A749DF"/>
    <w:rsid w:val="00A74B4B"/>
    <w:rsid w:val="00A74D02"/>
    <w:rsid w:val="00A7542D"/>
    <w:rsid w:val="00A75868"/>
    <w:rsid w:val="00A75DBD"/>
    <w:rsid w:val="00A76ED7"/>
    <w:rsid w:val="00A7718E"/>
    <w:rsid w:val="00A773AE"/>
    <w:rsid w:val="00A816E4"/>
    <w:rsid w:val="00A81767"/>
    <w:rsid w:val="00A81C28"/>
    <w:rsid w:val="00A824C3"/>
    <w:rsid w:val="00A82BF5"/>
    <w:rsid w:val="00A84095"/>
    <w:rsid w:val="00A84ADF"/>
    <w:rsid w:val="00A85695"/>
    <w:rsid w:val="00A861AF"/>
    <w:rsid w:val="00A8670D"/>
    <w:rsid w:val="00A86844"/>
    <w:rsid w:val="00A86881"/>
    <w:rsid w:val="00A87097"/>
    <w:rsid w:val="00A870DA"/>
    <w:rsid w:val="00A8729E"/>
    <w:rsid w:val="00A87947"/>
    <w:rsid w:val="00A879EE"/>
    <w:rsid w:val="00A911F9"/>
    <w:rsid w:val="00A9161C"/>
    <w:rsid w:val="00A91A7F"/>
    <w:rsid w:val="00A91D7C"/>
    <w:rsid w:val="00A924AD"/>
    <w:rsid w:val="00A92563"/>
    <w:rsid w:val="00A925C6"/>
    <w:rsid w:val="00A931EF"/>
    <w:rsid w:val="00A9383A"/>
    <w:rsid w:val="00A93A63"/>
    <w:rsid w:val="00A93DA8"/>
    <w:rsid w:val="00A93DD4"/>
    <w:rsid w:val="00A9416A"/>
    <w:rsid w:val="00A96D1E"/>
    <w:rsid w:val="00A971DC"/>
    <w:rsid w:val="00A974C7"/>
    <w:rsid w:val="00AA07F6"/>
    <w:rsid w:val="00AA23DF"/>
    <w:rsid w:val="00AA270E"/>
    <w:rsid w:val="00AA3339"/>
    <w:rsid w:val="00AA4AC3"/>
    <w:rsid w:val="00AA4DDB"/>
    <w:rsid w:val="00AA58CF"/>
    <w:rsid w:val="00AA59E7"/>
    <w:rsid w:val="00AA755C"/>
    <w:rsid w:val="00AA787D"/>
    <w:rsid w:val="00AB03A9"/>
    <w:rsid w:val="00AB0550"/>
    <w:rsid w:val="00AB1315"/>
    <w:rsid w:val="00AB2036"/>
    <w:rsid w:val="00AB2D86"/>
    <w:rsid w:val="00AB2FAD"/>
    <w:rsid w:val="00AB2FB2"/>
    <w:rsid w:val="00AB3032"/>
    <w:rsid w:val="00AB394F"/>
    <w:rsid w:val="00AB565A"/>
    <w:rsid w:val="00AB5977"/>
    <w:rsid w:val="00AC10B9"/>
    <w:rsid w:val="00AC11F8"/>
    <w:rsid w:val="00AC17DE"/>
    <w:rsid w:val="00AC1E05"/>
    <w:rsid w:val="00AC26E4"/>
    <w:rsid w:val="00AC3811"/>
    <w:rsid w:val="00AC3A64"/>
    <w:rsid w:val="00AC4AC4"/>
    <w:rsid w:val="00AC55A3"/>
    <w:rsid w:val="00AC57B3"/>
    <w:rsid w:val="00AC6681"/>
    <w:rsid w:val="00AC680F"/>
    <w:rsid w:val="00AC69AA"/>
    <w:rsid w:val="00AC6AC0"/>
    <w:rsid w:val="00AC6D00"/>
    <w:rsid w:val="00AC7862"/>
    <w:rsid w:val="00AC7A97"/>
    <w:rsid w:val="00AD01A3"/>
    <w:rsid w:val="00AD0EE6"/>
    <w:rsid w:val="00AD137F"/>
    <w:rsid w:val="00AD1750"/>
    <w:rsid w:val="00AD1CCC"/>
    <w:rsid w:val="00AD1F99"/>
    <w:rsid w:val="00AD3762"/>
    <w:rsid w:val="00AD470A"/>
    <w:rsid w:val="00AD49F4"/>
    <w:rsid w:val="00AD5112"/>
    <w:rsid w:val="00AD5699"/>
    <w:rsid w:val="00AD5726"/>
    <w:rsid w:val="00AD5890"/>
    <w:rsid w:val="00AD63D8"/>
    <w:rsid w:val="00AD7149"/>
    <w:rsid w:val="00AD767C"/>
    <w:rsid w:val="00AE00D9"/>
    <w:rsid w:val="00AE0ACE"/>
    <w:rsid w:val="00AE250B"/>
    <w:rsid w:val="00AE30C1"/>
    <w:rsid w:val="00AE31AE"/>
    <w:rsid w:val="00AE35FE"/>
    <w:rsid w:val="00AE506B"/>
    <w:rsid w:val="00AE5EEC"/>
    <w:rsid w:val="00AE6298"/>
    <w:rsid w:val="00AE62CC"/>
    <w:rsid w:val="00AE6422"/>
    <w:rsid w:val="00AE65B6"/>
    <w:rsid w:val="00AE71B1"/>
    <w:rsid w:val="00AE7740"/>
    <w:rsid w:val="00AE7ACA"/>
    <w:rsid w:val="00AF0305"/>
    <w:rsid w:val="00AF1326"/>
    <w:rsid w:val="00AF1573"/>
    <w:rsid w:val="00AF175C"/>
    <w:rsid w:val="00AF1A70"/>
    <w:rsid w:val="00AF2E4B"/>
    <w:rsid w:val="00AF390E"/>
    <w:rsid w:val="00AF4407"/>
    <w:rsid w:val="00AF469D"/>
    <w:rsid w:val="00AF4D17"/>
    <w:rsid w:val="00AF58B8"/>
    <w:rsid w:val="00AF6069"/>
    <w:rsid w:val="00AF61F9"/>
    <w:rsid w:val="00AF690C"/>
    <w:rsid w:val="00B0094C"/>
    <w:rsid w:val="00B00B8D"/>
    <w:rsid w:val="00B01F41"/>
    <w:rsid w:val="00B01FBE"/>
    <w:rsid w:val="00B0235B"/>
    <w:rsid w:val="00B026F3"/>
    <w:rsid w:val="00B02F2B"/>
    <w:rsid w:val="00B03AF8"/>
    <w:rsid w:val="00B06346"/>
    <w:rsid w:val="00B06B54"/>
    <w:rsid w:val="00B06E1E"/>
    <w:rsid w:val="00B07965"/>
    <w:rsid w:val="00B07F76"/>
    <w:rsid w:val="00B11003"/>
    <w:rsid w:val="00B11168"/>
    <w:rsid w:val="00B11819"/>
    <w:rsid w:val="00B11C5E"/>
    <w:rsid w:val="00B126D9"/>
    <w:rsid w:val="00B12CC9"/>
    <w:rsid w:val="00B1360A"/>
    <w:rsid w:val="00B1399E"/>
    <w:rsid w:val="00B13DFD"/>
    <w:rsid w:val="00B148D0"/>
    <w:rsid w:val="00B14943"/>
    <w:rsid w:val="00B16E64"/>
    <w:rsid w:val="00B20732"/>
    <w:rsid w:val="00B214B1"/>
    <w:rsid w:val="00B229CC"/>
    <w:rsid w:val="00B22A98"/>
    <w:rsid w:val="00B23C38"/>
    <w:rsid w:val="00B23E6D"/>
    <w:rsid w:val="00B24724"/>
    <w:rsid w:val="00B25A50"/>
    <w:rsid w:val="00B2669E"/>
    <w:rsid w:val="00B27285"/>
    <w:rsid w:val="00B27C47"/>
    <w:rsid w:val="00B308A1"/>
    <w:rsid w:val="00B319DA"/>
    <w:rsid w:val="00B32CE2"/>
    <w:rsid w:val="00B3665D"/>
    <w:rsid w:val="00B36AFD"/>
    <w:rsid w:val="00B3701B"/>
    <w:rsid w:val="00B376A6"/>
    <w:rsid w:val="00B407BE"/>
    <w:rsid w:val="00B40A83"/>
    <w:rsid w:val="00B40BC2"/>
    <w:rsid w:val="00B42019"/>
    <w:rsid w:val="00B42303"/>
    <w:rsid w:val="00B4281C"/>
    <w:rsid w:val="00B42A7C"/>
    <w:rsid w:val="00B42F10"/>
    <w:rsid w:val="00B43591"/>
    <w:rsid w:val="00B4365E"/>
    <w:rsid w:val="00B43929"/>
    <w:rsid w:val="00B4410E"/>
    <w:rsid w:val="00B44799"/>
    <w:rsid w:val="00B45EB8"/>
    <w:rsid w:val="00B45F15"/>
    <w:rsid w:val="00B470D8"/>
    <w:rsid w:val="00B471DA"/>
    <w:rsid w:val="00B50C09"/>
    <w:rsid w:val="00B512C1"/>
    <w:rsid w:val="00B51A49"/>
    <w:rsid w:val="00B51CCB"/>
    <w:rsid w:val="00B53964"/>
    <w:rsid w:val="00B54579"/>
    <w:rsid w:val="00B54624"/>
    <w:rsid w:val="00B54E89"/>
    <w:rsid w:val="00B5502A"/>
    <w:rsid w:val="00B55817"/>
    <w:rsid w:val="00B56F49"/>
    <w:rsid w:val="00B57854"/>
    <w:rsid w:val="00B57E21"/>
    <w:rsid w:val="00B603A6"/>
    <w:rsid w:val="00B61105"/>
    <w:rsid w:val="00B616D8"/>
    <w:rsid w:val="00B62683"/>
    <w:rsid w:val="00B62AC6"/>
    <w:rsid w:val="00B62F89"/>
    <w:rsid w:val="00B6335A"/>
    <w:rsid w:val="00B63857"/>
    <w:rsid w:val="00B6427D"/>
    <w:rsid w:val="00B64307"/>
    <w:rsid w:val="00B6474F"/>
    <w:rsid w:val="00B66542"/>
    <w:rsid w:val="00B669F4"/>
    <w:rsid w:val="00B66B0A"/>
    <w:rsid w:val="00B67258"/>
    <w:rsid w:val="00B70AEF"/>
    <w:rsid w:val="00B70D7D"/>
    <w:rsid w:val="00B71021"/>
    <w:rsid w:val="00B72649"/>
    <w:rsid w:val="00B7364B"/>
    <w:rsid w:val="00B73B21"/>
    <w:rsid w:val="00B73BC9"/>
    <w:rsid w:val="00B73DF4"/>
    <w:rsid w:val="00B75AF5"/>
    <w:rsid w:val="00B75F78"/>
    <w:rsid w:val="00B764CF"/>
    <w:rsid w:val="00B76797"/>
    <w:rsid w:val="00B76A14"/>
    <w:rsid w:val="00B76A6A"/>
    <w:rsid w:val="00B76AC8"/>
    <w:rsid w:val="00B77B4E"/>
    <w:rsid w:val="00B77F80"/>
    <w:rsid w:val="00B77FBE"/>
    <w:rsid w:val="00B8056A"/>
    <w:rsid w:val="00B80D43"/>
    <w:rsid w:val="00B81331"/>
    <w:rsid w:val="00B829EC"/>
    <w:rsid w:val="00B83235"/>
    <w:rsid w:val="00B859EF"/>
    <w:rsid w:val="00B87E35"/>
    <w:rsid w:val="00B902D7"/>
    <w:rsid w:val="00B922A4"/>
    <w:rsid w:val="00B92FFF"/>
    <w:rsid w:val="00B9311B"/>
    <w:rsid w:val="00B93E0B"/>
    <w:rsid w:val="00B9401B"/>
    <w:rsid w:val="00B95011"/>
    <w:rsid w:val="00B96901"/>
    <w:rsid w:val="00B96DAF"/>
    <w:rsid w:val="00B970B4"/>
    <w:rsid w:val="00B97163"/>
    <w:rsid w:val="00B97461"/>
    <w:rsid w:val="00BA0898"/>
    <w:rsid w:val="00BA17C5"/>
    <w:rsid w:val="00BA250C"/>
    <w:rsid w:val="00BA2614"/>
    <w:rsid w:val="00BA35EC"/>
    <w:rsid w:val="00BA3BF3"/>
    <w:rsid w:val="00BA3C42"/>
    <w:rsid w:val="00BA3C6B"/>
    <w:rsid w:val="00BA3F4E"/>
    <w:rsid w:val="00BA459F"/>
    <w:rsid w:val="00BA58B0"/>
    <w:rsid w:val="00BA66E6"/>
    <w:rsid w:val="00BA6B01"/>
    <w:rsid w:val="00BA6EA3"/>
    <w:rsid w:val="00BA78FD"/>
    <w:rsid w:val="00BA7B87"/>
    <w:rsid w:val="00BA7B89"/>
    <w:rsid w:val="00BB0138"/>
    <w:rsid w:val="00BB02E7"/>
    <w:rsid w:val="00BB1B02"/>
    <w:rsid w:val="00BB1DD4"/>
    <w:rsid w:val="00BB1E68"/>
    <w:rsid w:val="00BB21B4"/>
    <w:rsid w:val="00BB270D"/>
    <w:rsid w:val="00BB2A0E"/>
    <w:rsid w:val="00BB2AC0"/>
    <w:rsid w:val="00BB333C"/>
    <w:rsid w:val="00BB33DD"/>
    <w:rsid w:val="00BB3BF2"/>
    <w:rsid w:val="00BB4286"/>
    <w:rsid w:val="00BB5CD3"/>
    <w:rsid w:val="00BB6489"/>
    <w:rsid w:val="00BB6866"/>
    <w:rsid w:val="00BB700E"/>
    <w:rsid w:val="00BB74EB"/>
    <w:rsid w:val="00BB7806"/>
    <w:rsid w:val="00BB7D90"/>
    <w:rsid w:val="00BC006D"/>
    <w:rsid w:val="00BC0260"/>
    <w:rsid w:val="00BC086C"/>
    <w:rsid w:val="00BC0A43"/>
    <w:rsid w:val="00BC1DBF"/>
    <w:rsid w:val="00BC2BBA"/>
    <w:rsid w:val="00BC3382"/>
    <w:rsid w:val="00BC3779"/>
    <w:rsid w:val="00BC407A"/>
    <w:rsid w:val="00BC447F"/>
    <w:rsid w:val="00BC4C41"/>
    <w:rsid w:val="00BC4E6B"/>
    <w:rsid w:val="00BC51A5"/>
    <w:rsid w:val="00BC5284"/>
    <w:rsid w:val="00BC55C1"/>
    <w:rsid w:val="00BC6A02"/>
    <w:rsid w:val="00BC7251"/>
    <w:rsid w:val="00BC733E"/>
    <w:rsid w:val="00BC7BFE"/>
    <w:rsid w:val="00BD0352"/>
    <w:rsid w:val="00BD03B8"/>
    <w:rsid w:val="00BD1A3A"/>
    <w:rsid w:val="00BD1F5F"/>
    <w:rsid w:val="00BD20B4"/>
    <w:rsid w:val="00BD2651"/>
    <w:rsid w:val="00BD38C9"/>
    <w:rsid w:val="00BD47A7"/>
    <w:rsid w:val="00BD4C98"/>
    <w:rsid w:val="00BD56A9"/>
    <w:rsid w:val="00BD5ECE"/>
    <w:rsid w:val="00BD7021"/>
    <w:rsid w:val="00BD75AA"/>
    <w:rsid w:val="00BE0261"/>
    <w:rsid w:val="00BE0FC7"/>
    <w:rsid w:val="00BE1162"/>
    <w:rsid w:val="00BE11D9"/>
    <w:rsid w:val="00BE13A6"/>
    <w:rsid w:val="00BE14C5"/>
    <w:rsid w:val="00BE17B7"/>
    <w:rsid w:val="00BE1E66"/>
    <w:rsid w:val="00BE3784"/>
    <w:rsid w:val="00BE3841"/>
    <w:rsid w:val="00BE4533"/>
    <w:rsid w:val="00BE4BB2"/>
    <w:rsid w:val="00BE4F03"/>
    <w:rsid w:val="00BE599E"/>
    <w:rsid w:val="00BE601B"/>
    <w:rsid w:val="00BE63FD"/>
    <w:rsid w:val="00BF0598"/>
    <w:rsid w:val="00BF0860"/>
    <w:rsid w:val="00BF08D1"/>
    <w:rsid w:val="00BF0DF4"/>
    <w:rsid w:val="00BF1629"/>
    <w:rsid w:val="00BF1834"/>
    <w:rsid w:val="00BF19FA"/>
    <w:rsid w:val="00BF2CD7"/>
    <w:rsid w:val="00BF31B3"/>
    <w:rsid w:val="00BF47B4"/>
    <w:rsid w:val="00BF4F00"/>
    <w:rsid w:val="00BF509A"/>
    <w:rsid w:val="00BF5560"/>
    <w:rsid w:val="00BF5C7E"/>
    <w:rsid w:val="00BF721C"/>
    <w:rsid w:val="00BF7426"/>
    <w:rsid w:val="00C00578"/>
    <w:rsid w:val="00C00A66"/>
    <w:rsid w:val="00C00B62"/>
    <w:rsid w:val="00C02AF3"/>
    <w:rsid w:val="00C03478"/>
    <w:rsid w:val="00C039AD"/>
    <w:rsid w:val="00C04E7A"/>
    <w:rsid w:val="00C053C1"/>
    <w:rsid w:val="00C06862"/>
    <w:rsid w:val="00C06D43"/>
    <w:rsid w:val="00C07A5C"/>
    <w:rsid w:val="00C07CD8"/>
    <w:rsid w:val="00C102CC"/>
    <w:rsid w:val="00C1076E"/>
    <w:rsid w:val="00C119FC"/>
    <w:rsid w:val="00C11A48"/>
    <w:rsid w:val="00C14118"/>
    <w:rsid w:val="00C14178"/>
    <w:rsid w:val="00C14FC5"/>
    <w:rsid w:val="00C151DD"/>
    <w:rsid w:val="00C20F96"/>
    <w:rsid w:val="00C214A3"/>
    <w:rsid w:val="00C217B6"/>
    <w:rsid w:val="00C220C3"/>
    <w:rsid w:val="00C2213F"/>
    <w:rsid w:val="00C2220E"/>
    <w:rsid w:val="00C2257E"/>
    <w:rsid w:val="00C225CC"/>
    <w:rsid w:val="00C22724"/>
    <w:rsid w:val="00C23202"/>
    <w:rsid w:val="00C23363"/>
    <w:rsid w:val="00C23A73"/>
    <w:rsid w:val="00C24185"/>
    <w:rsid w:val="00C24350"/>
    <w:rsid w:val="00C25B34"/>
    <w:rsid w:val="00C25DC4"/>
    <w:rsid w:val="00C260DF"/>
    <w:rsid w:val="00C267F9"/>
    <w:rsid w:val="00C26982"/>
    <w:rsid w:val="00C270FB"/>
    <w:rsid w:val="00C27113"/>
    <w:rsid w:val="00C3184A"/>
    <w:rsid w:val="00C31F4D"/>
    <w:rsid w:val="00C3209C"/>
    <w:rsid w:val="00C32324"/>
    <w:rsid w:val="00C3527B"/>
    <w:rsid w:val="00C3570E"/>
    <w:rsid w:val="00C35EAE"/>
    <w:rsid w:val="00C35EE0"/>
    <w:rsid w:val="00C36814"/>
    <w:rsid w:val="00C36D61"/>
    <w:rsid w:val="00C37975"/>
    <w:rsid w:val="00C407E1"/>
    <w:rsid w:val="00C40AAE"/>
    <w:rsid w:val="00C40BCC"/>
    <w:rsid w:val="00C4108A"/>
    <w:rsid w:val="00C413FD"/>
    <w:rsid w:val="00C425E9"/>
    <w:rsid w:val="00C42722"/>
    <w:rsid w:val="00C42C32"/>
    <w:rsid w:val="00C42E7D"/>
    <w:rsid w:val="00C44032"/>
    <w:rsid w:val="00C443B8"/>
    <w:rsid w:val="00C44537"/>
    <w:rsid w:val="00C44D0E"/>
    <w:rsid w:val="00C462DA"/>
    <w:rsid w:val="00C4696F"/>
    <w:rsid w:val="00C47F52"/>
    <w:rsid w:val="00C500B9"/>
    <w:rsid w:val="00C507AA"/>
    <w:rsid w:val="00C519E5"/>
    <w:rsid w:val="00C51EFE"/>
    <w:rsid w:val="00C51FCA"/>
    <w:rsid w:val="00C51FCB"/>
    <w:rsid w:val="00C520E1"/>
    <w:rsid w:val="00C52B22"/>
    <w:rsid w:val="00C52D4A"/>
    <w:rsid w:val="00C530ED"/>
    <w:rsid w:val="00C53BE5"/>
    <w:rsid w:val="00C54C9B"/>
    <w:rsid w:val="00C54F7B"/>
    <w:rsid w:val="00C5533D"/>
    <w:rsid w:val="00C5540D"/>
    <w:rsid w:val="00C563C1"/>
    <w:rsid w:val="00C5685A"/>
    <w:rsid w:val="00C574C4"/>
    <w:rsid w:val="00C60223"/>
    <w:rsid w:val="00C60740"/>
    <w:rsid w:val="00C62454"/>
    <w:rsid w:val="00C62691"/>
    <w:rsid w:val="00C6289C"/>
    <w:rsid w:val="00C64042"/>
    <w:rsid w:val="00C642A4"/>
    <w:rsid w:val="00C65F4B"/>
    <w:rsid w:val="00C66BF4"/>
    <w:rsid w:val="00C66EAD"/>
    <w:rsid w:val="00C7091D"/>
    <w:rsid w:val="00C70AB2"/>
    <w:rsid w:val="00C72147"/>
    <w:rsid w:val="00C7246A"/>
    <w:rsid w:val="00C72F31"/>
    <w:rsid w:val="00C730AC"/>
    <w:rsid w:val="00C73133"/>
    <w:rsid w:val="00C732FF"/>
    <w:rsid w:val="00C739EC"/>
    <w:rsid w:val="00C74DD5"/>
    <w:rsid w:val="00C74EBE"/>
    <w:rsid w:val="00C75673"/>
    <w:rsid w:val="00C75BEC"/>
    <w:rsid w:val="00C75E30"/>
    <w:rsid w:val="00C75F36"/>
    <w:rsid w:val="00C76457"/>
    <w:rsid w:val="00C7673F"/>
    <w:rsid w:val="00C77BCF"/>
    <w:rsid w:val="00C80AE6"/>
    <w:rsid w:val="00C80C01"/>
    <w:rsid w:val="00C80D60"/>
    <w:rsid w:val="00C81E56"/>
    <w:rsid w:val="00C827D3"/>
    <w:rsid w:val="00C838A9"/>
    <w:rsid w:val="00C83991"/>
    <w:rsid w:val="00C84CB6"/>
    <w:rsid w:val="00C8622A"/>
    <w:rsid w:val="00C86D5F"/>
    <w:rsid w:val="00C86F84"/>
    <w:rsid w:val="00C87B8D"/>
    <w:rsid w:val="00C87EFD"/>
    <w:rsid w:val="00C903B5"/>
    <w:rsid w:val="00C90C26"/>
    <w:rsid w:val="00C90DE6"/>
    <w:rsid w:val="00C913F2"/>
    <w:rsid w:val="00C91816"/>
    <w:rsid w:val="00C92BDC"/>
    <w:rsid w:val="00C9488F"/>
    <w:rsid w:val="00C9513A"/>
    <w:rsid w:val="00C955A4"/>
    <w:rsid w:val="00C9560D"/>
    <w:rsid w:val="00C95773"/>
    <w:rsid w:val="00C958EA"/>
    <w:rsid w:val="00C959A0"/>
    <w:rsid w:val="00C95F64"/>
    <w:rsid w:val="00C9634E"/>
    <w:rsid w:val="00C96496"/>
    <w:rsid w:val="00C96512"/>
    <w:rsid w:val="00C96575"/>
    <w:rsid w:val="00C96642"/>
    <w:rsid w:val="00C97F60"/>
    <w:rsid w:val="00CA05B1"/>
    <w:rsid w:val="00CA09F6"/>
    <w:rsid w:val="00CA1A2B"/>
    <w:rsid w:val="00CA1B80"/>
    <w:rsid w:val="00CA288D"/>
    <w:rsid w:val="00CA2D3E"/>
    <w:rsid w:val="00CA36B5"/>
    <w:rsid w:val="00CA3DFB"/>
    <w:rsid w:val="00CA4A00"/>
    <w:rsid w:val="00CA4E32"/>
    <w:rsid w:val="00CA5205"/>
    <w:rsid w:val="00CA5CB2"/>
    <w:rsid w:val="00CA5DCC"/>
    <w:rsid w:val="00CA65EC"/>
    <w:rsid w:val="00CA758E"/>
    <w:rsid w:val="00CA78C9"/>
    <w:rsid w:val="00CA7B4B"/>
    <w:rsid w:val="00CA7DCA"/>
    <w:rsid w:val="00CB0186"/>
    <w:rsid w:val="00CB168E"/>
    <w:rsid w:val="00CB1741"/>
    <w:rsid w:val="00CB2055"/>
    <w:rsid w:val="00CB329C"/>
    <w:rsid w:val="00CB3489"/>
    <w:rsid w:val="00CB3939"/>
    <w:rsid w:val="00CB396C"/>
    <w:rsid w:val="00CB3ABF"/>
    <w:rsid w:val="00CB3F65"/>
    <w:rsid w:val="00CB4088"/>
    <w:rsid w:val="00CB53D5"/>
    <w:rsid w:val="00CB62A4"/>
    <w:rsid w:val="00CB6B80"/>
    <w:rsid w:val="00CB73C3"/>
    <w:rsid w:val="00CB7603"/>
    <w:rsid w:val="00CC076C"/>
    <w:rsid w:val="00CC0FEB"/>
    <w:rsid w:val="00CC15CB"/>
    <w:rsid w:val="00CC1D52"/>
    <w:rsid w:val="00CC216A"/>
    <w:rsid w:val="00CC25DA"/>
    <w:rsid w:val="00CC273C"/>
    <w:rsid w:val="00CC28E8"/>
    <w:rsid w:val="00CC2926"/>
    <w:rsid w:val="00CC353B"/>
    <w:rsid w:val="00CC3934"/>
    <w:rsid w:val="00CC4A09"/>
    <w:rsid w:val="00CC5FC2"/>
    <w:rsid w:val="00CC6336"/>
    <w:rsid w:val="00CC66C5"/>
    <w:rsid w:val="00CC6B94"/>
    <w:rsid w:val="00CC70DE"/>
    <w:rsid w:val="00CD0396"/>
    <w:rsid w:val="00CD1548"/>
    <w:rsid w:val="00CD157B"/>
    <w:rsid w:val="00CD17C4"/>
    <w:rsid w:val="00CD1F70"/>
    <w:rsid w:val="00CD28D1"/>
    <w:rsid w:val="00CD3243"/>
    <w:rsid w:val="00CD54FA"/>
    <w:rsid w:val="00CD564E"/>
    <w:rsid w:val="00CD56CF"/>
    <w:rsid w:val="00CD7B07"/>
    <w:rsid w:val="00CE0058"/>
    <w:rsid w:val="00CE05D6"/>
    <w:rsid w:val="00CE0E7A"/>
    <w:rsid w:val="00CE2493"/>
    <w:rsid w:val="00CE2C08"/>
    <w:rsid w:val="00CE3996"/>
    <w:rsid w:val="00CE3CFA"/>
    <w:rsid w:val="00CE3D29"/>
    <w:rsid w:val="00CE45AE"/>
    <w:rsid w:val="00CE4910"/>
    <w:rsid w:val="00CE49B6"/>
    <w:rsid w:val="00CE4B4A"/>
    <w:rsid w:val="00CE5275"/>
    <w:rsid w:val="00CE580B"/>
    <w:rsid w:val="00CE75E8"/>
    <w:rsid w:val="00CE7C32"/>
    <w:rsid w:val="00CE7F6F"/>
    <w:rsid w:val="00CF0B91"/>
    <w:rsid w:val="00CF1086"/>
    <w:rsid w:val="00CF1C99"/>
    <w:rsid w:val="00CF229B"/>
    <w:rsid w:val="00CF28FE"/>
    <w:rsid w:val="00CF2A92"/>
    <w:rsid w:val="00CF2C63"/>
    <w:rsid w:val="00CF306E"/>
    <w:rsid w:val="00CF3273"/>
    <w:rsid w:val="00CF357E"/>
    <w:rsid w:val="00CF3668"/>
    <w:rsid w:val="00CF47FA"/>
    <w:rsid w:val="00CF534B"/>
    <w:rsid w:val="00CF5621"/>
    <w:rsid w:val="00CF59FA"/>
    <w:rsid w:val="00CF5AC7"/>
    <w:rsid w:val="00CF625E"/>
    <w:rsid w:val="00CF7070"/>
    <w:rsid w:val="00CF7295"/>
    <w:rsid w:val="00CF7F9F"/>
    <w:rsid w:val="00D004ED"/>
    <w:rsid w:val="00D0068E"/>
    <w:rsid w:val="00D00FAE"/>
    <w:rsid w:val="00D01C95"/>
    <w:rsid w:val="00D02678"/>
    <w:rsid w:val="00D02811"/>
    <w:rsid w:val="00D02A8A"/>
    <w:rsid w:val="00D03F29"/>
    <w:rsid w:val="00D04AA5"/>
    <w:rsid w:val="00D04D63"/>
    <w:rsid w:val="00D06096"/>
    <w:rsid w:val="00D065E0"/>
    <w:rsid w:val="00D06EF9"/>
    <w:rsid w:val="00D10941"/>
    <w:rsid w:val="00D10F9E"/>
    <w:rsid w:val="00D11473"/>
    <w:rsid w:val="00D11EFB"/>
    <w:rsid w:val="00D12175"/>
    <w:rsid w:val="00D12532"/>
    <w:rsid w:val="00D12AA0"/>
    <w:rsid w:val="00D13DF7"/>
    <w:rsid w:val="00D1444E"/>
    <w:rsid w:val="00D151B7"/>
    <w:rsid w:val="00D15F50"/>
    <w:rsid w:val="00D179D3"/>
    <w:rsid w:val="00D20617"/>
    <w:rsid w:val="00D217C4"/>
    <w:rsid w:val="00D21F29"/>
    <w:rsid w:val="00D226F9"/>
    <w:rsid w:val="00D22D75"/>
    <w:rsid w:val="00D232BB"/>
    <w:rsid w:val="00D235CC"/>
    <w:rsid w:val="00D23EE8"/>
    <w:rsid w:val="00D23FF1"/>
    <w:rsid w:val="00D24714"/>
    <w:rsid w:val="00D24AD7"/>
    <w:rsid w:val="00D2736E"/>
    <w:rsid w:val="00D27529"/>
    <w:rsid w:val="00D2756F"/>
    <w:rsid w:val="00D27B44"/>
    <w:rsid w:val="00D27DA9"/>
    <w:rsid w:val="00D309AB"/>
    <w:rsid w:val="00D31F02"/>
    <w:rsid w:val="00D324B0"/>
    <w:rsid w:val="00D327FA"/>
    <w:rsid w:val="00D32D19"/>
    <w:rsid w:val="00D334A9"/>
    <w:rsid w:val="00D337AE"/>
    <w:rsid w:val="00D33911"/>
    <w:rsid w:val="00D34095"/>
    <w:rsid w:val="00D343B5"/>
    <w:rsid w:val="00D345E9"/>
    <w:rsid w:val="00D36C6A"/>
    <w:rsid w:val="00D36CBB"/>
    <w:rsid w:val="00D36FE4"/>
    <w:rsid w:val="00D4045A"/>
    <w:rsid w:val="00D40A6C"/>
    <w:rsid w:val="00D40F25"/>
    <w:rsid w:val="00D419B2"/>
    <w:rsid w:val="00D424C7"/>
    <w:rsid w:val="00D42603"/>
    <w:rsid w:val="00D42687"/>
    <w:rsid w:val="00D42991"/>
    <w:rsid w:val="00D42A51"/>
    <w:rsid w:val="00D4325D"/>
    <w:rsid w:val="00D43991"/>
    <w:rsid w:val="00D44475"/>
    <w:rsid w:val="00D45D16"/>
    <w:rsid w:val="00D45EAC"/>
    <w:rsid w:val="00D46609"/>
    <w:rsid w:val="00D479C7"/>
    <w:rsid w:val="00D47A9C"/>
    <w:rsid w:val="00D47D4E"/>
    <w:rsid w:val="00D508F8"/>
    <w:rsid w:val="00D522D7"/>
    <w:rsid w:val="00D52678"/>
    <w:rsid w:val="00D53980"/>
    <w:rsid w:val="00D53A91"/>
    <w:rsid w:val="00D53DAF"/>
    <w:rsid w:val="00D5446A"/>
    <w:rsid w:val="00D57D96"/>
    <w:rsid w:val="00D60513"/>
    <w:rsid w:val="00D61087"/>
    <w:rsid w:val="00D61B32"/>
    <w:rsid w:val="00D61BF2"/>
    <w:rsid w:val="00D63058"/>
    <w:rsid w:val="00D64DE8"/>
    <w:rsid w:val="00D6534D"/>
    <w:rsid w:val="00D657FC"/>
    <w:rsid w:val="00D66146"/>
    <w:rsid w:val="00D67083"/>
    <w:rsid w:val="00D703B8"/>
    <w:rsid w:val="00D70589"/>
    <w:rsid w:val="00D70677"/>
    <w:rsid w:val="00D7072C"/>
    <w:rsid w:val="00D71044"/>
    <w:rsid w:val="00D719A5"/>
    <w:rsid w:val="00D7247D"/>
    <w:rsid w:val="00D72E4D"/>
    <w:rsid w:val="00D74936"/>
    <w:rsid w:val="00D75056"/>
    <w:rsid w:val="00D77EE9"/>
    <w:rsid w:val="00D800B3"/>
    <w:rsid w:val="00D80370"/>
    <w:rsid w:val="00D80BCF"/>
    <w:rsid w:val="00D82A82"/>
    <w:rsid w:val="00D82DBC"/>
    <w:rsid w:val="00D830D6"/>
    <w:rsid w:val="00D83482"/>
    <w:rsid w:val="00D84127"/>
    <w:rsid w:val="00D858B7"/>
    <w:rsid w:val="00D85F9C"/>
    <w:rsid w:val="00D8643A"/>
    <w:rsid w:val="00D86E57"/>
    <w:rsid w:val="00D8727B"/>
    <w:rsid w:val="00D8766E"/>
    <w:rsid w:val="00D90845"/>
    <w:rsid w:val="00D90FCE"/>
    <w:rsid w:val="00D9135A"/>
    <w:rsid w:val="00D9250A"/>
    <w:rsid w:val="00D938A7"/>
    <w:rsid w:val="00D93BF7"/>
    <w:rsid w:val="00D977F0"/>
    <w:rsid w:val="00D97F5B"/>
    <w:rsid w:val="00DA053A"/>
    <w:rsid w:val="00DA247F"/>
    <w:rsid w:val="00DA2AF8"/>
    <w:rsid w:val="00DA3D94"/>
    <w:rsid w:val="00DA4090"/>
    <w:rsid w:val="00DA4D95"/>
    <w:rsid w:val="00DA5507"/>
    <w:rsid w:val="00DA573E"/>
    <w:rsid w:val="00DA5793"/>
    <w:rsid w:val="00DA57F0"/>
    <w:rsid w:val="00DA635F"/>
    <w:rsid w:val="00DA7002"/>
    <w:rsid w:val="00DB071F"/>
    <w:rsid w:val="00DB1A08"/>
    <w:rsid w:val="00DB2079"/>
    <w:rsid w:val="00DB3BD6"/>
    <w:rsid w:val="00DB3DF7"/>
    <w:rsid w:val="00DB42C6"/>
    <w:rsid w:val="00DB4462"/>
    <w:rsid w:val="00DB5060"/>
    <w:rsid w:val="00DB5AAB"/>
    <w:rsid w:val="00DB5AEC"/>
    <w:rsid w:val="00DB5C54"/>
    <w:rsid w:val="00DB5FC5"/>
    <w:rsid w:val="00DB6EB5"/>
    <w:rsid w:val="00DB7190"/>
    <w:rsid w:val="00DB7773"/>
    <w:rsid w:val="00DC0138"/>
    <w:rsid w:val="00DC048A"/>
    <w:rsid w:val="00DC1943"/>
    <w:rsid w:val="00DC209C"/>
    <w:rsid w:val="00DC271F"/>
    <w:rsid w:val="00DC2819"/>
    <w:rsid w:val="00DC3DE1"/>
    <w:rsid w:val="00DC4649"/>
    <w:rsid w:val="00DC4F48"/>
    <w:rsid w:val="00DC5060"/>
    <w:rsid w:val="00DC58DA"/>
    <w:rsid w:val="00DC5E24"/>
    <w:rsid w:val="00DC7377"/>
    <w:rsid w:val="00DD0045"/>
    <w:rsid w:val="00DD07C6"/>
    <w:rsid w:val="00DD0976"/>
    <w:rsid w:val="00DD0D25"/>
    <w:rsid w:val="00DD1831"/>
    <w:rsid w:val="00DD310D"/>
    <w:rsid w:val="00DD3121"/>
    <w:rsid w:val="00DD3585"/>
    <w:rsid w:val="00DD4A78"/>
    <w:rsid w:val="00DD4AFA"/>
    <w:rsid w:val="00DD5562"/>
    <w:rsid w:val="00DD5BED"/>
    <w:rsid w:val="00DD67BC"/>
    <w:rsid w:val="00DD79B9"/>
    <w:rsid w:val="00DE036D"/>
    <w:rsid w:val="00DE0D95"/>
    <w:rsid w:val="00DE1197"/>
    <w:rsid w:val="00DE139A"/>
    <w:rsid w:val="00DE2766"/>
    <w:rsid w:val="00DE2844"/>
    <w:rsid w:val="00DE2A83"/>
    <w:rsid w:val="00DE2A95"/>
    <w:rsid w:val="00DE316C"/>
    <w:rsid w:val="00DE6190"/>
    <w:rsid w:val="00DE6DB9"/>
    <w:rsid w:val="00DE7003"/>
    <w:rsid w:val="00DE7083"/>
    <w:rsid w:val="00DE763A"/>
    <w:rsid w:val="00DE7AF3"/>
    <w:rsid w:val="00DF0232"/>
    <w:rsid w:val="00DF13EF"/>
    <w:rsid w:val="00DF22D7"/>
    <w:rsid w:val="00DF34EB"/>
    <w:rsid w:val="00DF35C7"/>
    <w:rsid w:val="00DF61A6"/>
    <w:rsid w:val="00DF6D0C"/>
    <w:rsid w:val="00DF7050"/>
    <w:rsid w:val="00DF7ED4"/>
    <w:rsid w:val="00E00919"/>
    <w:rsid w:val="00E00D3A"/>
    <w:rsid w:val="00E022B7"/>
    <w:rsid w:val="00E02501"/>
    <w:rsid w:val="00E02C97"/>
    <w:rsid w:val="00E02E55"/>
    <w:rsid w:val="00E0353D"/>
    <w:rsid w:val="00E04C16"/>
    <w:rsid w:val="00E054F1"/>
    <w:rsid w:val="00E056A6"/>
    <w:rsid w:val="00E05E19"/>
    <w:rsid w:val="00E05ED9"/>
    <w:rsid w:val="00E061E9"/>
    <w:rsid w:val="00E1029C"/>
    <w:rsid w:val="00E10880"/>
    <w:rsid w:val="00E109E1"/>
    <w:rsid w:val="00E109E2"/>
    <w:rsid w:val="00E11686"/>
    <w:rsid w:val="00E119D9"/>
    <w:rsid w:val="00E11DB1"/>
    <w:rsid w:val="00E12266"/>
    <w:rsid w:val="00E1370C"/>
    <w:rsid w:val="00E141E6"/>
    <w:rsid w:val="00E14346"/>
    <w:rsid w:val="00E1467B"/>
    <w:rsid w:val="00E1529F"/>
    <w:rsid w:val="00E1581D"/>
    <w:rsid w:val="00E15B02"/>
    <w:rsid w:val="00E15B91"/>
    <w:rsid w:val="00E15E91"/>
    <w:rsid w:val="00E16112"/>
    <w:rsid w:val="00E17274"/>
    <w:rsid w:val="00E17BC7"/>
    <w:rsid w:val="00E205FB"/>
    <w:rsid w:val="00E2066A"/>
    <w:rsid w:val="00E20D69"/>
    <w:rsid w:val="00E20DA0"/>
    <w:rsid w:val="00E2157C"/>
    <w:rsid w:val="00E225F2"/>
    <w:rsid w:val="00E22A14"/>
    <w:rsid w:val="00E23CF1"/>
    <w:rsid w:val="00E24974"/>
    <w:rsid w:val="00E249ED"/>
    <w:rsid w:val="00E254F3"/>
    <w:rsid w:val="00E25646"/>
    <w:rsid w:val="00E25938"/>
    <w:rsid w:val="00E25AE4"/>
    <w:rsid w:val="00E25DD0"/>
    <w:rsid w:val="00E25F2D"/>
    <w:rsid w:val="00E268B1"/>
    <w:rsid w:val="00E27E5B"/>
    <w:rsid w:val="00E31137"/>
    <w:rsid w:val="00E3242F"/>
    <w:rsid w:val="00E34E21"/>
    <w:rsid w:val="00E35F96"/>
    <w:rsid w:val="00E36CF1"/>
    <w:rsid w:val="00E36D60"/>
    <w:rsid w:val="00E37D45"/>
    <w:rsid w:val="00E42587"/>
    <w:rsid w:val="00E425DA"/>
    <w:rsid w:val="00E425E4"/>
    <w:rsid w:val="00E43E9C"/>
    <w:rsid w:val="00E440AA"/>
    <w:rsid w:val="00E44224"/>
    <w:rsid w:val="00E443D2"/>
    <w:rsid w:val="00E44F89"/>
    <w:rsid w:val="00E45A26"/>
    <w:rsid w:val="00E45F44"/>
    <w:rsid w:val="00E46634"/>
    <w:rsid w:val="00E471BA"/>
    <w:rsid w:val="00E471F9"/>
    <w:rsid w:val="00E4749F"/>
    <w:rsid w:val="00E5204A"/>
    <w:rsid w:val="00E521BC"/>
    <w:rsid w:val="00E522F5"/>
    <w:rsid w:val="00E523EF"/>
    <w:rsid w:val="00E53C19"/>
    <w:rsid w:val="00E55044"/>
    <w:rsid w:val="00E550EC"/>
    <w:rsid w:val="00E55176"/>
    <w:rsid w:val="00E55EB2"/>
    <w:rsid w:val="00E5774A"/>
    <w:rsid w:val="00E57C19"/>
    <w:rsid w:val="00E60028"/>
    <w:rsid w:val="00E60152"/>
    <w:rsid w:val="00E60537"/>
    <w:rsid w:val="00E60769"/>
    <w:rsid w:val="00E60C4F"/>
    <w:rsid w:val="00E61580"/>
    <w:rsid w:val="00E62A6B"/>
    <w:rsid w:val="00E62BA9"/>
    <w:rsid w:val="00E63434"/>
    <w:rsid w:val="00E63712"/>
    <w:rsid w:val="00E63A6A"/>
    <w:rsid w:val="00E64403"/>
    <w:rsid w:val="00E65100"/>
    <w:rsid w:val="00E665F8"/>
    <w:rsid w:val="00E66EF5"/>
    <w:rsid w:val="00E67CEF"/>
    <w:rsid w:val="00E70287"/>
    <w:rsid w:val="00E72353"/>
    <w:rsid w:val="00E724F6"/>
    <w:rsid w:val="00E7333F"/>
    <w:rsid w:val="00E7403D"/>
    <w:rsid w:val="00E759C3"/>
    <w:rsid w:val="00E75A8A"/>
    <w:rsid w:val="00E75DD7"/>
    <w:rsid w:val="00E76CA1"/>
    <w:rsid w:val="00E77455"/>
    <w:rsid w:val="00E77B72"/>
    <w:rsid w:val="00E82397"/>
    <w:rsid w:val="00E8295F"/>
    <w:rsid w:val="00E82E43"/>
    <w:rsid w:val="00E8374F"/>
    <w:rsid w:val="00E83BC5"/>
    <w:rsid w:val="00E84622"/>
    <w:rsid w:val="00E84A07"/>
    <w:rsid w:val="00E84E02"/>
    <w:rsid w:val="00E857A9"/>
    <w:rsid w:val="00E85933"/>
    <w:rsid w:val="00E8681E"/>
    <w:rsid w:val="00E879B3"/>
    <w:rsid w:val="00E87A5F"/>
    <w:rsid w:val="00E87A8E"/>
    <w:rsid w:val="00E87F97"/>
    <w:rsid w:val="00E907E0"/>
    <w:rsid w:val="00E91505"/>
    <w:rsid w:val="00E916DE"/>
    <w:rsid w:val="00E92094"/>
    <w:rsid w:val="00E92205"/>
    <w:rsid w:val="00E9258A"/>
    <w:rsid w:val="00E929B0"/>
    <w:rsid w:val="00E92F6B"/>
    <w:rsid w:val="00E92F91"/>
    <w:rsid w:val="00E930B7"/>
    <w:rsid w:val="00E93718"/>
    <w:rsid w:val="00E94EF0"/>
    <w:rsid w:val="00E94F95"/>
    <w:rsid w:val="00E95973"/>
    <w:rsid w:val="00E95A1E"/>
    <w:rsid w:val="00E964ED"/>
    <w:rsid w:val="00E96AC0"/>
    <w:rsid w:val="00E96B18"/>
    <w:rsid w:val="00E977DB"/>
    <w:rsid w:val="00E97A86"/>
    <w:rsid w:val="00EA2254"/>
    <w:rsid w:val="00EA246F"/>
    <w:rsid w:val="00EA393C"/>
    <w:rsid w:val="00EA47AB"/>
    <w:rsid w:val="00EA4A2D"/>
    <w:rsid w:val="00EA56E4"/>
    <w:rsid w:val="00EA582A"/>
    <w:rsid w:val="00EA6623"/>
    <w:rsid w:val="00EA6A76"/>
    <w:rsid w:val="00EA6C53"/>
    <w:rsid w:val="00EA7526"/>
    <w:rsid w:val="00EB0584"/>
    <w:rsid w:val="00EB0C3A"/>
    <w:rsid w:val="00EB1102"/>
    <w:rsid w:val="00EB1EC2"/>
    <w:rsid w:val="00EB2569"/>
    <w:rsid w:val="00EB25AC"/>
    <w:rsid w:val="00EB281E"/>
    <w:rsid w:val="00EB2D1E"/>
    <w:rsid w:val="00EB4012"/>
    <w:rsid w:val="00EB543F"/>
    <w:rsid w:val="00EB63AF"/>
    <w:rsid w:val="00EB6400"/>
    <w:rsid w:val="00EB6C3B"/>
    <w:rsid w:val="00EB709B"/>
    <w:rsid w:val="00EB7D72"/>
    <w:rsid w:val="00EC00D0"/>
    <w:rsid w:val="00EC083B"/>
    <w:rsid w:val="00EC0F9A"/>
    <w:rsid w:val="00EC101E"/>
    <w:rsid w:val="00EC149C"/>
    <w:rsid w:val="00EC197F"/>
    <w:rsid w:val="00EC1E7F"/>
    <w:rsid w:val="00EC2915"/>
    <w:rsid w:val="00EC4100"/>
    <w:rsid w:val="00EC4B51"/>
    <w:rsid w:val="00EC52A6"/>
    <w:rsid w:val="00ED06C6"/>
    <w:rsid w:val="00ED112D"/>
    <w:rsid w:val="00ED14B0"/>
    <w:rsid w:val="00ED1911"/>
    <w:rsid w:val="00ED194F"/>
    <w:rsid w:val="00ED1E21"/>
    <w:rsid w:val="00ED1E8B"/>
    <w:rsid w:val="00ED27EB"/>
    <w:rsid w:val="00ED305B"/>
    <w:rsid w:val="00ED367F"/>
    <w:rsid w:val="00ED3F40"/>
    <w:rsid w:val="00ED41D6"/>
    <w:rsid w:val="00ED440F"/>
    <w:rsid w:val="00ED4751"/>
    <w:rsid w:val="00ED65B2"/>
    <w:rsid w:val="00ED6756"/>
    <w:rsid w:val="00ED7079"/>
    <w:rsid w:val="00ED713D"/>
    <w:rsid w:val="00ED79A4"/>
    <w:rsid w:val="00EE04CE"/>
    <w:rsid w:val="00EE0762"/>
    <w:rsid w:val="00EE1BA5"/>
    <w:rsid w:val="00EE3157"/>
    <w:rsid w:val="00EE52BD"/>
    <w:rsid w:val="00EE5404"/>
    <w:rsid w:val="00EE579C"/>
    <w:rsid w:val="00EE5BA4"/>
    <w:rsid w:val="00EE6E4F"/>
    <w:rsid w:val="00EE743C"/>
    <w:rsid w:val="00EE7CA1"/>
    <w:rsid w:val="00EE7EBA"/>
    <w:rsid w:val="00EE7F72"/>
    <w:rsid w:val="00EF0944"/>
    <w:rsid w:val="00EF0CD2"/>
    <w:rsid w:val="00EF1825"/>
    <w:rsid w:val="00EF2037"/>
    <w:rsid w:val="00EF2B58"/>
    <w:rsid w:val="00EF346B"/>
    <w:rsid w:val="00EF3910"/>
    <w:rsid w:val="00EF52CF"/>
    <w:rsid w:val="00EF554A"/>
    <w:rsid w:val="00EF5E71"/>
    <w:rsid w:val="00EF66C6"/>
    <w:rsid w:val="00EF6A6C"/>
    <w:rsid w:val="00EF71C9"/>
    <w:rsid w:val="00EF7825"/>
    <w:rsid w:val="00EF787F"/>
    <w:rsid w:val="00EF7C75"/>
    <w:rsid w:val="00F01261"/>
    <w:rsid w:val="00F0147A"/>
    <w:rsid w:val="00F0184D"/>
    <w:rsid w:val="00F01AFB"/>
    <w:rsid w:val="00F0228C"/>
    <w:rsid w:val="00F0231E"/>
    <w:rsid w:val="00F034CF"/>
    <w:rsid w:val="00F03ACC"/>
    <w:rsid w:val="00F045C5"/>
    <w:rsid w:val="00F0487D"/>
    <w:rsid w:val="00F053B9"/>
    <w:rsid w:val="00F05A34"/>
    <w:rsid w:val="00F05CE5"/>
    <w:rsid w:val="00F06130"/>
    <w:rsid w:val="00F06705"/>
    <w:rsid w:val="00F06BAE"/>
    <w:rsid w:val="00F073FB"/>
    <w:rsid w:val="00F1093E"/>
    <w:rsid w:val="00F10EB0"/>
    <w:rsid w:val="00F11132"/>
    <w:rsid w:val="00F11BB9"/>
    <w:rsid w:val="00F1274E"/>
    <w:rsid w:val="00F12964"/>
    <w:rsid w:val="00F132BF"/>
    <w:rsid w:val="00F13526"/>
    <w:rsid w:val="00F13726"/>
    <w:rsid w:val="00F137ED"/>
    <w:rsid w:val="00F13BF6"/>
    <w:rsid w:val="00F13D27"/>
    <w:rsid w:val="00F1414F"/>
    <w:rsid w:val="00F14984"/>
    <w:rsid w:val="00F15D0C"/>
    <w:rsid w:val="00F163AB"/>
    <w:rsid w:val="00F17B07"/>
    <w:rsid w:val="00F20B7D"/>
    <w:rsid w:val="00F20E70"/>
    <w:rsid w:val="00F21627"/>
    <w:rsid w:val="00F21799"/>
    <w:rsid w:val="00F225B7"/>
    <w:rsid w:val="00F229A4"/>
    <w:rsid w:val="00F2377B"/>
    <w:rsid w:val="00F24DE8"/>
    <w:rsid w:val="00F24E17"/>
    <w:rsid w:val="00F25180"/>
    <w:rsid w:val="00F2539A"/>
    <w:rsid w:val="00F25796"/>
    <w:rsid w:val="00F25CF7"/>
    <w:rsid w:val="00F25F72"/>
    <w:rsid w:val="00F26003"/>
    <w:rsid w:val="00F27FA9"/>
    <w:rsid w:val="00F30314"/>
    <w:rsid w:val="00F30A70"/>
    <w:rsid w:val="00F31152"/>
    <w:rsid w:val="00F31A22"/>
    <w:rsid w:val="00F3239E"/>
    <w:rsid w:val="00F323DC"/>
    <w:rsid w:val="00F3272C"/>
    <w:rsid w:val="00F32B71"/>
    <w:rsid w:val="00F33531"/>
    <w:rsid w:val="00F3372A"/>
    <w:rsid w:val="00F339AB"/>
    <w:rsid w:val="00F33B08"/>
    <w:rsid w:val="00F3444C"/>
    <w:rsid w:val="00F35893"/>
    <w:rsid w:val="00F35F68"/>
    <w:rsid w:val="00F367AC"/>
    <w:rsid w:val="00F36922"/>
    <w:rsid w:val="00F36AAD"/>
    <w:rsid w:val="00F40526"/>
    <w:rsid w:val="00F4113C"/>
    <w:rsid w:val="00F4190E"/>
    <w:rsid w:val="00F4206B"/>
    <w:rsid w:val="00F420A1"/>
    <w:rsid w:val="00F43109"/>
    <w:rsid w:val="00F43461"/>
    <w:rsid w:val="00F444AE"/>
    <w:rsid w:val="00F444E3"/>
    <w:rsid w:val="00F4509B"/>
    <w:rsid w:val="00F45253"/>
    <w:rsid w:val="00F45DBE"/>
    <w:rsid w:val="00F468D6"/>
    <w:rsid w:val="00F46CE3"/>
    <w:rsid w:val="00F478CE"/>
    <w:rsid w:val="00F4796C"/>
    <w:rsid w:val="00F50D00"/>
    <w:rsid w:val="00F5172F"/>
    <w:rsid w:val="00F51B7D"/>
    <w:rsid w:val="00F54775"/>
    <w:rsid w:val="00F55F9B"/>
    <w:rsid w:val="00F56BBC"/>
    <w:rsid w:val="00F56C9F"/>
    <w:rsid w:val="00F56D88"/>
    <w:rsid w:val="00F57799"/>
    <w:rsid w:val="00F5795D"/>
    <w:rsid w:val="00F57AB1"/>
    <w:rsid w:val="00F614AA"/>
    <w:rsid w:val="00F6362D"/>
    <w:rsid w:val="00F64763"/>
    <w:rsid w:val="00F648B5"/>
    <w:rsid w:val="00F66D6C"/>
    <w:rsid w:val="00F67248"/>
    <w:rsid w:val="00F675BC"/>
    <w:rsid w:val="00F70459"/>
    <w:rsid w:val="00F72A47"/>
    <w:rsid w:val="00F73453"/>
    <w:rsid w:val="00F73FB9"/>
    <w:rsid w:val="00F7411C"/>
    <w:rsid w:val="00F74386"/>
    <w:rsid w:val="00F7494B"/>
    <w:rsid w:val="00F75E43"/>
    <w:rsid w:val="00F75ED9"/>
    <w:rsid w:val="00F76649"/>
    <w:rsid w:val="00F76D9E"/>
    <w:rsid w:val="00F77092"/>
    <w:rsid w:val="00F771A0"/>
    <w:rsid w:val="00F806E4"/>
    <w:rsid w:val="00F812B5"/>
    <w:rsid w:val="00F815AF"/>
    <w:rsid w:val="00F817C8"/>
    <w:rsid w:val="00F82580"/>
    <w:rsid w:val="00F82771"/>
    <w:rsid w:val="00F8314A"/>
    <w:rsid w:val="00F83C53"/>
    <w:rsid w:val="00F85751"/>
    <w:rsid w:val="00F85AE8"/>
    <w:rsid w:val="00F869D4"/>
    <w:rsid w:val="00F8718E"/>
    <w:rsid w:val="00F87DBF"/>
    <w:rsid w:val="00F9052D"/>
    <w:rsid w:val="00F90746"/>
    <w:rsid w:val="00F90FFB"/>
    <w:rsid w:val="00F919F5"/>
    <w:rsid w:val="00F92210"/>
    <w:rsid w:val="00F931D1"/>
    <w:rsid w:val="00F9403B"/>
    <w:rsid w:val="00F94BE7"/>
    <w:rsid w:val="00F95695"/>
    <w:rsid w:val="00F9598E"/>
    <w:rsid w:val="00F96FDA"/>
    <w:rsid w:val="00F97124"/>
    <w:rsid w:val="00FA06E1"/>
    <w:rsid w:val="00FA06E8"/>
    <w:rsid w:val="00FA0F8B"/>
    <w:rsid w:val="00FA1039"/>
    <w:rsid w:val="00FA1570"/>
    <w:rsid w:val="00FA27F8"/>
    <w:rsid w:val="00FA287B"/>
    <w:rsid w:val="00FA2D7D"/>
    <w:rsid w:val="00FA2EB6"/>
    <w:rsid w:val="00FA3D3D"/>
    <w:rsid w:val="00FA6878"/>
    <w:rsid w:val="00FA7755"/>
    <w:rsid w:val="00FA789F"/>
    <w:rsid w:val="00FB123B"/>
    <w:rsid w:val="00FB1DC6"/>
    <w:rsid w:val="00FB1FB5"/>
    <w:rsid w:val="00FB2BE9"/>
    <w:rsid w:val="00FB3D01"/>
    <w:rsid w:val="00FB4393"/>
    <w:rsid w:val="00FB49A1"/>
    <w:rsid w:val="00FB56BB"/>
    <w:rsid w:val="00FB5712"/>
    <w:rsid w:val="00FB679F"/>
    <w:rsid w:val="00FB77FD"/>
    <w:rsid w:val="00FC0796"/>
    <w:rsid w:val="00FC088C"/>
    <w:rsid w:val="00FC1352"/>
    <w:rsid w:val="00FC27A1"/>
    <w:rsid w:val="00FC2987"/>
    <w:rsid w:val="00FC30AF"/>
    <w:rsid w:val="00FC3233"/>
    <w:rsid w:val="00FC465D"/>
    <w:rsid w:val="00FC5100"/>
    <w:rsid w:val="00FC6302"/>
    <w:rsid w:val="00FC69CD"/>
    <w:rsid w:val="00FC73D9"/>
    <w:rsid w:val="00FC7FC2"/>
    <w:rsid w:val="00FD063A"/>
    <w:rsid w:val="00FD113F"/>
    <w:rsid w:val="00FD178B"/>
    <w:rsid w:val="00FD1A22"/>
    <w:rsid w:val="00FD2D61"/>
    <w:rsid w:val="00FD342F"/>
    <w:rsid w:val="00FD3875"/>
    <w:rsid w:val="00FD3F85"/>
    <w:rsid w:val="00FD40FA"/>
    <w:rsid w:val="00FD46A5"/>
    <w:rsid w:val="00FD47B0"/>
    <w:rsid w:val="00FD48D0"/>
    <w:rsid w:val="00FD4FD2"/>
    <w:rsid w:val="00FD600F"/>
    <w:rsid w:val="00FD7584"/>
    <w:rsid w:val="00FE1B44"/>
    <w:rsid w:val="00FE28CA"/>
    <w:rsid w:val="00FE3CB0"/>
    <w:rsid w:val="00FE3D02"/>
    <w:rsid w:val="00FE3E27"/>
    <w:rsid w:val="00FE4010"/>
    <w:rsid w:val="00FE4106"/>
    <w:rsid w:val="00FE50A9"/>
    <w:rsid w:val="00FE5607"/>
    <w:rsid w:val="00FE6952"/>
    <w:rsid w:val="00FE7495"/>
    <w:rsid w:val="00FE74BF"/>
    <w:rsid w:val="00FE794C"/>
    <w:rsid w:val="00FE7984"/>
    <w:rsid w:val="00FF00A0"/>
    <w:rsid w:val="00FF03BE"/>
    <w:rsid w:val="00FF13C4"/>
    <w:rsid w:val="00FF1445"/>
    <w:rsid w:val="00FF1945"/>
    <w:rsid w:val="00FF1B92"/>
    <w:rsid w:val="00FF22EA"/>
    <w:rsid w:val="00FF31AF"/>
    <w:rsid w:val="00FF4126"/>
    <w:rsid w:val="00FF4242"/>
    <w:rsid w:val="00FF4360"/>
    <w:rsid w:val="00FF5C61"/>
    <w:rsid w:val="00FF6A86"/>
    <w:rsid w:val="00FF707C"/>
    <w:rsid w:val="00FF77C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fillcolor="none [3215]" stroke="f">
      <v:fill color="none [3215]"/>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imes New Roman" w:hAnsi="Georgia" w:cs="Times New Roman"/>
        <w:lang w:val="en-AU" w:eastAsia="en-AU" w:bidi="ar-SA"/>
      </w:rPr>
    </w:rPrDefault>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semiHidden="1"/>
    <w:lsdException w:name="index 2" w:locked="0" w:semiHidden="1"/>
    <w:lsdException w:name="index 3" w:locked="0" w:semiHidden="1"/>
    <w:lsdException w:name="index 4" w:locked="0" w:semiHidden="1"/>
    <w:lsdException w:name="index 5" w:locked="0" w:semiHidden="1"/>
    <w:lsdException w:name="index 6" w:locked="0" w:semiHidden="1"/>
    <w:lsdException w:name="index 7" w:locked="0" w:semiHidden="1"/>
    <w:lsdException w:name="index 8" w:locked="0" w:semiHidden="1"/>
    <w:lsdException w:name="index 9" w:locked="0" w:semiHidden="1"/>
    <w:lsdException w:name="toc 1" w:locked="0" w:uiPriority="39"/>
    <w:lsdException w:name="toc 2" w:locked="0" w:uiPriority="39"/>
    <w:lsdException w:name="toc 3" w:locked="0" w:uiPriority="39"/>
    <w:lsdException w:name="toc 4" w:locked="0" w:uiPriority="39"/>
    <w:lsdException w:name="toc 5" w:locked="0"/>
    <w:lsdException w:name="toc 6" w:locked="0" w:uiPriority="39"/>
    <w:lsdException w:name="toc 7" w:locked="0" w:uiPriority="39"/>
    <w:lsdException w:name="toc 8" w:locked="0"/>
    <w:lsdException w:name="toc 9" w:locked="0" w:uiPriority="39"/>
    <w:lsdException w:name="Normal Indent" w:locked="0" w:semiHidden="1"/>
    <w:lsdException w:name="footnote text" w:locked="0" w:uiPriority="99"/>
    <w:lsdException w:name="annotation text" w:locked="0" w:semiHidden="1" w:uiPriority="99"/>
    <w:lsdException w:name="header" w:locked="0"/>
    <w:lsdException w:name="footer" w:locked="0"/>
    <w:lsdException w:name="index heading" w:locked="0" w:semiHidden="1"/>
    <w:lsdException w:name="caption" w:locked="0" w:qFormat="1"/>
    <w:lsdException w:name="table of figures" w:locked="0" w:semiHidden="1" w:unhideWhenUsed="1"/>
    <w:lsdException w:name="envelope address" w:semiHidden="1" w:unhideWhenUsed="1"/>
    <w:lsdException w:name="envelope return" w:semiHidden="1"/>
    <w:lsdException w:name="footnote reference" w:locked="0" w:uiPriority="99"/>
    <w:lsdException w:name="annotation reference" w:locked="0" w:semiHidden="1" w:uiPriority="99"/>
    <w:lsdException w:name="line number" w:locked="0" w:semiHidden="1"/>
    <w:lsdException w:name="page number" w:locked="0"/>
    <w:lsdException w:name="endnote reference" w:locked="0"/>
    <w:lsdException w:name="endnote text" w:locked="0"/>
    <w:lsdException w:name="table of authorities" w:locked="0" w:semiHidden="1" w:unhideWhenUsed="1"/>
    <w:lsdException w:name="macro" w:semiHidden="1" w:unhideWhenUsed="1"/>
    <w:lsdException w:name="toa heading" w:locked="0" w:semiHidden="1" w:unhideWhenUsed="1"/>
    <w:lsdException w:name="List" w:semiHidden="1"/>
    <w:lsdException w:name="List Bullet" w:semiHidden="1" w:qFormat="1"/>
    <w:lsdException w:name="List Number" w:semiHidden="1" w:uiPriority="13" w:qFormat="1"/>
    <w:lsdException w:name="List 2" w:semiHidden="1"/>
    <w:lsdException w:name="List 3" w:semiHidden="1"/>
    <w:lsdException w:name="List 4" w:semiHidden="1"/>
    <w:lsdException w:name="List 5" w:semiHidden="1"/>
    <w:lsdException w:name="List Bullet 2" w:qFormat="1"/>
    <w:lsdException w:name="List Bullet 3" w:qFormat="1"/>
    <w:lsdException w:name="List Bullet 5" w:semiHidden="1"/>
    <w:lsdException w:name="List Number 2" w:semiHidden="1" w:uiPriority="13" w:qFormat="1"/>
    <w:lsdException w:name="List Number 3" w:semiHidden="1" w:uiPriority="13" w:qFormat="1"/>
    <w:lsdException w:name="List Number 4" w:semiHidden="1" w:uiPriority="13"/>
    <w:lsdException w:name="List Number 5" w:semiHidden="1" w:uiPriority="13"/>
    <w:lsdException w:name="Title" w:locked="0" w:qFormat="1"/>
    <w:lsdException w:name="Closing" w:locked="0" w:semiHidden="1" w:unhideWhenUsed="1"/>
    <w:lsdException w:name="Signature" w:locked="0" w:semiHidden="1"/>
    <w:lsdException w:name="Default Paragraph Font" w:locked="0" w:uiPriority="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locked="0" w:semiHidden="1"/>
    <w:lsdException w:name="Subtitle" w:locked="0" w:semiHidden="1" w:qFormat="1"/>
    <w:lsdException w:name="Salutation" w:locked="0" w:semiHidden="1" w:unhideWhenUsed="1"/>
    <w:lsdException w:name="Date" w:locked="0"/>
    <w:lsdException w:name="Body Text First Indent" w:semiHidden="1"/>
    <w:lsdException w:name="Body Text First Indent 2" w:semiHidden="1"/>
    <w:lsdException w:name="Note Heading" w:locked="0" w:semiHidden="1" w:unhideWhenUsed="1"/>
    <w:lsdException w:name="Body Text 2" w:semiHidden="1"/>
    <w:lsdException w:name="Body Text 3" w:semiHidden="1"/>
    <w:lsdException w:name="Body Text Indent 2" w:semiHidden="1"/>
    <w:lsdException w:name="Body Text Indent 3" w:semiHidden="1"/>
    <w:lsdException w:name="Block Text" w:locked="0" w:semiHidden="1" w:qFormat="1"/>
    <w:lsdException w:name="Hyperlink" w:locked="0" w:semiHidden="1" w:uiPriority="99"/>
    <w:lsdException w:name="FollowedHyperlink" w:locked="0" w:semiHidden="1"/>
    <w:lsdException w:name="Strong" w:locked="0" w:semiHidden="1" w:uiPriority="22" w:qFormat="1"/>
    <w:lsdException w:name="Emphasis" w:semiHidden="1" w:qFormat="1"/>
    <w:lsdException w:name="Document Map" w:locked="0" w:semiHidden="1"/>
    <w:lsdException w:name="Plain Text" w:locked="0" w:semiHidden="1"/>
    <w:lsdException w:name="E-mail Signature" w:semiHidden="1"/>
    <w:lsdException w:name="HTML Top of Form" w:locked="0"/>
    <w:lsdException w:name="HTML Bottom of Form" w:locked="0"/>
    <w:lsdException w:name="Normal (Web)" w:locked="0" w:semiHidden="1" w:uiPriority="99"/>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locked="0"/>
    <w:lsdException w:name="annotation subject" w:locked="0" w:semiHidden="1"/>
    <w:lsdException w:name="No List" w:locked="0" w:uiPriority="99"/>
    <w:lsdException w:name="Outline List 1" w:locked="0"/>
    <w:lsdException w:name="Outline List 2" w:locked="0"/>
    <w:lsdException w:name="Outline List 3" w:locked="0"/>
    <w:lsdException w:name="Table Theme" w:locked="0"/>
    <w:lsdException w:name="Placeholder Text" w:locked="0" w:semiHidden="1" w:uiPriority="99"/>
    <w:lsdException w:name="No Spacing" w:locked="0"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semiHidden="1" w:uiPriority="34" w:qFormat="1"/>
    <w:lsdException w:name="Quote" w:locked="0"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locked="0" w:semiHidden="1" w:uiPriority="39" w:unhideWhenUsed="1" w:qFormat="1"/>
  </w:latentStyles>
  <w:style w:type="paragraph" w:default="1" w:styleId="Normal">
    <w:name w:val="Normal"/>
    <w:next w:val="PwCNormal"/>
    <w:qFormat/>
    <w:rsid w:val="00245C02"/>
    <w:pPr>
      <w:kinsoku w:val="0"/>
      <w:overflowPunct w:val="0"/>
      <w:autoSpaceDE w:val="0"/>
      <w:autoSpaceDN w:val="0"/>
      <w:adjustRightInd w:val="0"/>
      <w:snapToGrid w:val="0"/>
    </w:pPr>
    <w:rPr>
      <w:rFonts w:cs="Arial"/>
      <w:snapToGrid w:val="0"/>
      <w:lang w:eastAsia="en-US"/>
    </w:rPr>
  </w:style>
  <w:style w:type="paragraph" w:styleId="Heading1">
    <w:name w:val="heading 1"/>
    <w:aliases w:val="Chapter Heading (Long)"/>
    <w:basedOn w:val="Normal"/>
    <w:next w:val="PwCNormal"/>
    <w:qFormat/>
    <w:rsid w:val="00BC0A43"/>
    <w:pPr>
      <w:spacing w:line="720" w:lineRule="atLeast"/>
      <w:outlineLvl w:val="0"/>
    </w:pPr>
    <w:rPr>
      <w:rFonts w:asciiTheme="majorHAnsi" w:hAnsiTheme="majorHAnsi"/>
      <w:b/>
      <w:bCs/>
      <w:i/>
      <w:sz w:val="56"/>
      <w:szCs w:val="72"/>
    </w:rPr>
  </w:style>
  <w:style w:type="paragraph" w:styleId="Heading2">
    <w:name w:val="heading 2"/>
    <w:aliases w:val="Chapter Heading (Short)"/>
    <w:basedOn w:val="Normal"/>
    <w:next w:val="PwCNormal"/>
    <w:qFormat/>
    <w:rsid w:val="00BE4F03"/>
    <w:pPr>
      <w:keepNext/>
      <w:keepLines/>
      <w:pageBreakBefore/>
      <w:numPr>
        <w:ilvl w:val="1"/>
        <w:numId w:val="25"/>
      </w:numPr>
      <w:spacing w:after="480" w:line="600" w:lineRule="atLeast"/>
      <w:outlineLvl w:val="1"/>
    </w:pPr>
    <w:rPr>
      <w:rFonts w:asciiTheme="majorHAnsi" w:hAnsiTheme="majorHAnsi"/>
      <w:b/>
      <w:bCs/>
      <w:i/>
      <w:iCs/>
      <w:color w:val="000000" w:themeColor="text1"/>
      <w:sz w:val="56"/>
      <w:szCs w:val="36"/>
    </w:rPr>
  </w:style>
  <w:style w:type="paragraph" w:styleId="Heading3">
    <w:name w:val="heading 3"/>
    <w:aliases w:val="Appendix Heading (Long)"/>
    <w:basedOn w:val="Heading1"/>
    <w:next w:val="PwCNormal"/>
    <w:qFormat/>
    <w:rsid w:val="008D4477"/>
    <w:pPr>
      <w:outlineLvl w:val="2"/>
    </w:pPr>
    <w:rPr>
      <w:bCs w:val="0"/>
    </w:rPr>
  </w:style>
  <w:style w:type="paragraph" w:styleId="Heading4">
    <w:name w:val="heading 4"/>
    <w:aliases w:val="Appendix Heading (Short)"/>
    <w:basedOn w:val="Heading2"/>
    <w:next w:val="PwCNormal"/>
    <w:qFormat/>
    <w:rsid w:val="00AE506B"/>
    <w:pPr>
      <w:pageBreakBefore w:val="0"/>
      <w:numPr>
        <w:ilvl w:val="4"/>
      </w:numPr>
      <w:tabs>
        <w:tab w:val="clear" w:pos="4393"/>
        <w:tab w:val="num" w:pos="3685"/>
      </w:tabs>
      <w:ind w:left="0"/>
      <w:outlineLvl w:val="3"/>
    </w:pPr>
    <w:rPr>
      <w:bCs w:val="0"/>
    </w:rPr>
  </w:style>
  <w:style w:type="paragraph" w:styleId="Heading5">
    <w:name w:val="heading 5"/>
    <w:basedOn w:val="Heading2"/>
    <w:next w:val="PwCNormal"/>
    <w:qFormat/>
    <w:rsid w:val="00E65100"/>
    <w:pPr>
      <w:pageBreakBefore w:val="0"/>
      <w:numPr>
        <w:ilvl w:val="0"/>
        <w:numId w:val="0"/>
      </w:numPr>
      <w:spacing w:before="360" w:line="240" w:lineRule="auto"/>
      <w:outlineLvl w:val="4"/>
    </w:pPr>
    <w:rPr>
      <w:bCs w:val="0"/>
      <w:iCs w:val="0"/>
      <w:sz w:val="32"/>
      <w:szCs w:val="32"/>
    </w:rPr>
  </w:style>
  <w:style w:type="paragraph" w:styleId="Heading6">
    <w:name w:val="heading 6"/>
    <w:basedOn w:val="Heading2"/>
    <w:next w:val="PwCNormal"/>
    <w:qFormat/>
    <w:rsid w:val="00E65100"/>
    <w:pPr>
      <w:pageBreakBefore w:val="0"/>
      <w:numPr>
        <w:ilvl w:val="2"/>
      </w:numPr>
      <w:spacing w:before="240" w:after="120" w:line="240" w:lineRule="auto"/>
      <w:outlineLvl w:val="5"/>
    </w:pPr>
    <w:rPr>
      <w:bCs w:val="0"/>
      <w:color w:val="A32020" w:themeColor="text2"/>
      <w:sz w:val="32"/>
    </w:rPr>
  </w:style>
  <w:style w:type="paragraph" w:styleId="Heading7">
    <w:name w:val="heading 7"/>
    <w:basedOn w:val="Heading6"/>
    <w:next w:val="PwCNormal"/>
    <w:qFormat/>
    <w:rsid w:val="00E65100"/>
    <w:pPr>
      <w:numPr>
        <w:ilvl w:val="3"/>
      </w:numPr>
      <w:outlineLvl w:val="6"/>
    </w:pPr>
    <w:rPr>
      <w:b w:val="0"/>
      <w:sz w:val="28"/>
      <w:szCs w:val="28"/>
    </w:rPr>
  </w:style>
  <w:style w:type="paragraph" w:styleId="Heading8">
    <w:name w:val="heading 8"/>
    <w:basedOn w:val="Majorheading"/>
    <w:next w:val="PwCNormal"/>
    <w:qFormat/>
    <w:rsid w:val="00E65100"/>
    <w:pPr>
      <w:numPr>
        <w:ilvl w:val="6"/>
        <w:numId w:val="25"/>
      </w:numPr>
      <w:spacing w:after="120"/>
      <w:outlineLvl w:val="7"/>
    </w:pPr>
    <w:rPr>
      <w:sz w:val="32"/>
      <w:szCs w:val="21"/>
    </w:rPr>
  </w:style>
  <w:style w:type="paragraph" w:styleId="Heading9">
    <w:name w:val="heading 9"/>
    <w:basedOn w:val="Heading8"/>
    <w:next w:val="PwCNormal"/>
    <w:qFormat/>
    <w:rsid w:val="00E65100"/>
    <w:pPr>
      <w:numPr>
        <w:ilvl w:val="0"/>
        <w:numId w:val="0"/>
      </w:numPr>
      <w:outlineLvl w:val="8"/>
    </w:pPr>
    <w:rPr>
      <w:b w:val="0"/>
      <w:i w:val="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376A6"/>
    <w:pPr>
      <w:tabs>
        <w:tab w:val="right" w:pos="8220"/>
      </w:tabs>
    </w:pPr>
    <w:rPr>
      <w:rFonts w:ascii="Arial" w:hAnsi="Arial"/>
      <w:color w:val="000000" w:themeColor="text1"/>
      <w:sz w:val="19"/>
      <w:szCs w:val="18"/>
    </w:rPr>
  </w:style>
  <w:style w:type="paragraph" w:styleId="Footer">
    <w:name w:val="footer"/>
    <w:basedOn w:val="Normal"/>
    <w:link w:val="FooterChar"/>
    <w:rsid w:val="00B376A6"/>
    <w:pPr>
      <w:tabs>
        <w:tab w:val="right" w:pos="8220"/>
      </w:tabs>
      <w:spacing w:line="0" w:lineRule="atLeast"/>
    </w:pPr>
    <w:rPr>
      <w:rFonts w:ascii="Arial" w:hAnsi="Arial"/>
      <w:color w:val="000000" w:themeColor="text1"/>
      <w:sz w:val="19"/>
      <w:szCs w:val="18"/>
    </w:rPr>
  </w:style>
  <w:style w:type="paragraph" w:customStyle="1" w:styleId="TOCtitle">
    <w:name w:val="TOC title"/>
    <w:basedOn w:val="Heading2"/>
    <w:next w:val="PwCNormal"/>
    <w:unhideWhenUsed/>
    <w:rsid w:val="005E2460"/>
    <w:pPr>
      <w:numPr>
        <w:ilvl w:val="0"/>
        <w:numId w:val="0"/>
      </w:numPr>
      <w:spacing w:after="600"/>
    </w:pPr>
    <w:rPr>
      <w:color w:val="auto"/>
    </w:rPr>
  </w:style>
  <w:style w:type="paragraph" w:customStyle="1" w:styleId="Covertitle">
    <w:name w:val="Cover title"/>
    <w:basedOn w:val="KeySentenceInside"/>
    <w:next w:val="Coversubtitle"/>
    <w:rsid w:val="00F323DC"/>
    <w:pPr>
      <w:framePr w:w="2154" w:wrap="notBeside" w:vAnchor="page" w:hAnchor="page" w:x="928" w:y="8427"/>
      <w:spacing w:before="200"/>
      <w:ind w:left="113"/>
    </w:pPr>
    <w:rPr>
      <w:rFonts w:asciiTheme="majorHAnsi" w:hAnsiTheme="majorHAnsi"/>
      <w:color w:val="auto"/>
      <w:sz w:val="19"/>
      <w:lang w:val="en-GB"/>
    </w:rPr>
  </w:style>
  <w:style w:type="paragraph" w:customStyle="1" w:styleId="Coversubtitle">
    <w:name w:val="Cover subtitle"/>
    <w:basedOn w:val="Covertitle"/>
    <w:rsid w:val="006C1EC2"/>
    <w:pPr>
      <w:framePr w:wrap="notBeside"/>
      <w:spacing w:before="180"/>
    </w:pPr>
    <w:rPr>
      <w:bCs/>
      <w:szCs w:val="64"/>
    </w:rPr>
  </w:style>
  <w:style w:type="paragraph" w:customStyle="1" w:styleId="AppendixNumberLong">
    <w:name w:val="Appendix Number (Long)"/>
    <w:basedOn w:val="Heading3"/>
    <w:next w:val="Heading3"/>
    <w:rsid w:val="00BE4F03"/>
    <w:pPr>
      <w:keepNext/>
      <w:keepLines/>
      <w:pageBreakBefore/>
      <w:numPr>
        <w:ilvl w:val="5"/>
        <w:numId w:val="25"/>
      </w:numPr>
    </w:pPr>
    <w:rPr>
      <w:color w:val="000000" w:themeColor="text1"/>
    </w:rPr>
  </w:style>
  <w:style w:type="paragraph" w:customStyle="1" w:styleId="ChapterNumberLong">
    <w:name w:val="Chapter Number (Long)"/>
    <w:basedOn w:val="Heading1"/>
    <w:next w:val="Heading1"/>
    <w:rsid w:val="00BE4F03"/>
    <w:pPr>
      <w:pageBreakBefore/>
      <w:numPr>
        <w:numId w:val="25"/>
      </w:numPr>
    </w:pPr>
  </w:style>
  <w:style w:type="paragraph" w:customStyle="1" w:styleId="Footer-Even">
    <w:name w:val="Footer - Even"/>
    <w:basedOn w:val="Footer"/>
    <w:rsid w:val="00B51CCB"/>
  </w:style>
  <w:style w:type="paragraph" w:customStyle="1" w:styleId="URL">
    <w:name w:val="URL"/>
    <w:basedOn w:val="PwCNormal"/>
    <w:next w:val="PwCNormal"/>
    <w:rsid w:val="00BF2CD7"/>
    <w:pPr>
      <w:framePr w:wrap="around" w:vAnchor="page" w:hAnchor="page" w:x="1022" w:y="568"/>
      <w:spacing w:after="0"/>
    </w:pPr>
    <w:rPr>
      <w:rFonts w:eastAsia="+mn-ea"/>
      <w:snapToGrid/>
      <w:color w:val="FFFFFF"/>
      <w:sz w:val="36"/>
    </w:rPr>
  </w:style>
  <w:style w:type="paragraph" w:customStyle="1" w:styleId="Indent1">
    <w:name w:val="Indent 1"/>
    <w:basedOn w:val="Normal"/>
    <w:rsid w:val="006C1EC2"/>
    <w:pPr>
      <w:numPr>
        <w:ilvl w:val="1"/>
        <w:numId w:val="24"/>
      </w:numPr>
      <w:spacing w:before="100" w:after="100"/>
    </w:pPr>
    <w:rPr>
      <w:rFonts w:cs="Times New Roman"/>
    </w:rPr>
  </w:style>
  <w:style w:type="paragraph" w:customStyle="1" w:styleId="Indent2">
    <w:name w:val="Indent 2"/>
    <w:basedOn w:val="Indent1"/>
    <w:rsid w:val="00931F8A"/>
    <w:pPr>
      <w:numPr>
        <w:ilvl w:val="2"/>
      </w:numPr>
    </w:pPr>
  </w:style>
  <w:style w:type="paragraph" w:customStyle="1" w:styleId="Indent3">
    <w:name w:val="Indent 3"/>
    <w:basedOn w:val="Indent2"/>
    <w:rsid w:val="00931F8A"/>
    <w:pPr>
      <w:numPr>
        <w:ilvl w:val="3"/>
      </w:numPr>
    </w:pPr>
  </w:style>
  <w:style w:type="paragraph" w:customStyle="1" w:styleId="Indent5">
    <w:name w:val="Indent 5"/>
    <w:basedOn w:val="Indent4"/>
    <w:rsid w:val="00931F8A"/>
    <w:pPr>
      <w:numPr>
        <w:ilvl w:val="5"/>
      </w:numPr>
    </w:pPr>
  </w:style>
  <w:style w:type="paragraph" w:customStyle="1" w:styleId="Indent6">
    <w:name w:val="Indent 6"/>
    <w:basedOn w:val="Indent5"/>
    <w:rsid w:val="00931F8A"/>
    <w:pPr>
      <w:numPr>
        <w:ilvl w:val="6"/>
      </w:numPr>
    </w:pPr>
  </w:style>
  <w:style w:type="paragraph" w:customStyle="1" w:styleId="Indent7">
    <w:name w:val="Indent 7"/>
    <w:basedOn w:val="Indent6"/>
    <w:rsid w:val="00931F8A"/>
    <w:pPr>
      <w:numPr>
        <w:ilvl w:val="7"/>
      </w:numPr>
    </w:pPr>
  </w:style>
  <w:style w:type="numbering" w:customStyle="1" w:styleId="Indents">
    <w:name w:val="Indents"/>
    <w:rsid w:val="00931F8A"/>
    <w:pPr>
      <w:numPr>
        <w:numId w:val="2"/>
      </w:numPr>
    </w:pPr>
  </w:style>
  <w:style w:type="paragraph" w:customStyle="1" w:styleId="Copyright">
    <w:name w:val="Copyright"/>
    <w:basedOn w:val="Normal"/>
    <w:rsid w:val="00483E95"/>
    <w:pPr>
      <w:framePr w:w="7938" w:wrap="around" w:vAnchor="page" w:hAnchor="page" w:x="1022" w:y="15196"/>
      <w:spacing w:before="150" w:after="150" w:line="150" w:lineRule="atLeast"/>
      <w:ind w:right="816"/>
    </w:pPr>
    <w:rPr>
      <w:rFonts w:ascii="Arial" w:hAnsi="Arial"/>
      <w:color w:val="FFFFFF"/>
      <w:sz w:val="16"/>
      <w:lang w:val="en-US"/>
    </w:rPr>
  </w:style>
  <w:style w:type="paragraph" w:customStyle="1" w:styleId="Header-Even">
    <w:name w:val="Header - Even"/>
    <w:basedOn w:val="Header"/>
    <w:rsid w:val="00B51CCB"/>
  </w:style>
  <w:style w:type="paragraph" w:customStyle="1" w:styleId="PleaseNote">
    <w:name w:val="Please Note"/>
    <w:basedOn w:val="PrefaceTitle"/>
    <w:next w:val="PwCNormal"/>
    <w:rsid w:val="008D4477"/>
    <w:rPr>
      <w:iCs w:val="0"/>
    </w:rPr>
  </w:style>
  <w:style w:type="paragraph" w:customStyle="1" w:styleId="Indent4">
    <w:name w:val="Indent 4"/>
    <w:basedOn w:val="Indent3"/>
    <w:rsid w:val="00931F8A"/>
    <w:pPr>
      <w:numPr>
        <w:ilvl w:val="4"/>
      </w:numPr>
    </w:pPr>
  </w:style>
  <w:style w:type="paragraph" w:styleId="TOC2">
    <w:name w:val="toc 2"/>
    <w:basedOn w:val="TOC1"/>
    <w:next w:val="PwCNormal"/>
    <w:uiPriority w:val="39"/>
    <w:rsid w:val="008D4477"/>
    <w:pPr>
      <w:numPr>
        <w:numId w:val="0"/>
      </w:numPr>
      <w:tabs>
        <w:tab w:val="left" w:pos="567"/>
      </w:tabs>
      <w:ind w:left="567" w:hanging="567"/>
    </w:pPr>
  </w:style>
  <w:style w:type="paragraph" w:styleId="TOC4">
    <w:name w:val="toc 4"/>
    <w:basedOn w:val="TOC2"/>
    <w:next w:val="PwCNormal"/>
    <w:uiPriority w:val="39"/>
    <w:rsid w:val="00A14944"/>
    <w:pPr>
      <w:tabs>
        <w:tab w:val="clear" w:pos="567"/>
        <w:tab w:val="left" w:pos="1134"/>
      </w:tabs>
      <w:ind w:left="1134" w:hanging="1134"/>
    </w:pPr>
  </w:style>
  <w:style w:type="paragraph" w:styleId="TOC7">
    <w:name w:val="toc 7"/>
    <w:basedOn w:val="TOC6"/>
    <w:next w:val="PwCNormal"/>
    <w:uiPriority w:val="39"/>
    <w:rsid w:val="008D4477"/>
    <w:pPr>
      <w:tabs>
        <w:tab w:val="clear" w:pos="1134"/>
        <w:tab w:val="left" w:pos="1985"/>
      </w:tabs>
      <w:ind w:left="1985" w:hanging="851"/>
    </w:pPr>
  </w:style>
  <w:style w:type="paragraph" w:customStyle="1" w:styleId="KeySentenceInside">
    <w:name w:val="Key Sentence Inside"/>
    <w:basedOn w:val="KeySentence"/>
    <w:rsid w:val="006650EF"/>
    <w:pPr>
      <w:framePr w:w="2296" w:wrap="notBeside" w:vAnchor="text" w:hAnchor="margin" w:x="-2521" w:y="1" w:anchorLock="1"/>
    </w:pPr>
  </w:style>
  <w:style w:type="paragraph" w:customStyle="1" w:styleId="ChapterNumberedList1">
    <w:name w:val="Chapter Numbered List 1"/>
    <w:basedOn w:val="PwCNormal"/>
    <w:rsid w:val="00BE4F03"/>
    <w:pPr>
      <w:numPr>
        <w:ilvl w:val="7"/>
        <w:numId w:val="25"/>
      </w:numPr>
    </w:pPr>
  </w:style>
  <w:style w:type="paragraph" w:customStyle="1" w:styleId="ChapterNumberedList2">
    <w:name w:val="Chapter Numbered List 2"/>
    <w:basedOn w:val="ChapterNumberedList1"/>
    <w:rsid w:val="00F614AA"/>
    <w:pPr>
      <w:numPr>
        <w:ilvl w:val="8"/>
      </w:numPr>
    </w:pPr>
  </w:style>
  <w:style w:type="paragraph" w:styleId="TOC6">
    <w:name w:val="toc 6"/>
    <w:basedOn w:val="TOC2"/>
    <w:next w:val="PwCNormal"/>
    <w:uiPriority w:val="39"/>
    <w:rsid w:val="008D4477"/>
    <w:pPr>
      <w:tabs>
        <w:tab w:val="clear" w:pos="567"/>
        <w:tab w:val="left" w:pos="1134"/>
      </w:tabs>
      <w:ind w:left="1134"/>
    </w:pPr>
  </w:style>
  <w:style w:type="paragraph" w:customStyle="1" w:styleId="PwCNormal">
    <w:name w:val="PwC Normal"/>
    <w:basedOn w:val="Normal"/>
    <w:link w:val="PwCNormalChar"/>
    <w:rsid w:val="000B7EC4"/>
    <w:pPr>
      <w:numPr>
        <w:numId w:val="24"/>
      </w:numPr>
      <w:spacing w:before="120" w:after="120"/>
    </w:pPr>
  </w:style>
  <w:style w:type="paragraph" w:customStyle="1" w:styleId="CoverDate">
    <w:name w:val="Cover Date"/>
    <w:basedOn w:val="Coversubtitle"/>
    <w:rsid w:val="002D5CE4"/>
    <w:pPr>
      <w:framePr w:wrap="notBeside"/>
    </w:pPr>
  </w:style>
  <w:style w:type="paragraph" w:customStyle="1" w:styleId="KeySentenceOutside">
    <w:name w:val="Key Sentence Outside"/>
    <w:basedOn w:val="KeySentence"/>
    <w:rsid w:val="002627A5"/>
    <w:pPr>
      <w:framePr w:w="2410" w:wrap="around" w:vAnchor="text" w:hAnchor="margin" w:x="7909" w:y="1" w:anchorLock="1"/>
    </w:pPr>
  </w:style>
  <w:style w:type="character" w:customStyle="1" w:styleId="PwCNormalChar">
    <w:name w:val="PwC Normal Char"/>
    <w:basedOn w:val="DefaultParagraphFont"/>
    <w:link w:val="PwCNormal"/>
    <w:rsid w:val="000B7EC4"/>
    <w:rPr>
      <w:rFonts w:cs="Arial"/>
      <w:snapToGrid w:val="0"/>
      <w:lang w:eastAsia="en-US"/>
    </w:rPr>
  </w:style>
  <w:style w:type="paragraph" w:styleId="TOC1">
    <w:name w:val="toc 1"/>
    <w:basedOn w:val="Normal"/>
    <w:next w:val="PwCNormal"/>
    <w:uiPriority w:val="39"/>
    <w:rsid w:val="001D29AE"/>
    <w:pPr>
      <w:numPr>
        <w:numId w:val="21"/>
      </w:numPr>
      <w:tabs>
        <w:tab w:val="left" w:pos="567"/>
        <w:tab w:val="right" w:pos="8220"/>
      </w:tabs>
      <w:spacing w:before="240" w:after="240" w:line="240" w:lineRule="atLeast"/>
      <w:ind w:right="851"/>
    </w:pPr>
  </w:style>
  <w:style w:type="paragraph" w:customStyle="1" w:styleId="CREATISID">
    <w:name w:val="CREATISID"/>
    <w:basedOn w:val="PwCNormal"/>
    <w:unhideWhenUsed/>
    <w:rsid w:val="008D4477"/>
    <w:pPr>
      <w:framePr w:w="227" w:h="539" w:wrap="notBeside" w:vAnchor="page" w:hAnchor="page" w:x="511" w:y="15594"/>
      <w:numPr>
        <w:numId w:val="0"/>
      </w:numPr>
      <w:spacing w:after="0"/>
      <w:textDirection w:val="btLr"/>
    </w:pPr>
    <w:rPr>
      <w:rFonts w:eastAsia="MS Mincho"/>
      <w:sz w:val="10"/>
      <w:szCs w:val="12"/>
      <w:lang w:eastAsia="ja-JP"/>
    </w:rPr>
  </w:style>
  <w:style w:type="numbering" w:customStyle="1" w:styleId="BulletList">
    <w:name w:val="Bullet List"/>
    <w:rsid w:val="0021094E"/>
    <w:pPr>
      <w:numPr>
        <w:numId w:val="1"/>
      </w:numPr>
    </w:pPr>
  </w:style>
  <w:style w:type="paragraph" w:customStyle="1" w:styleId="Footer-Landscape">
    <w:name w:val="Footer - Landscape"/>
    <w:basedOn w:val="Footer"/>
    <w:rsid w:val="008D4477"/>
    <w:pPr>
      <w:tabs>
        <w:tab w:val="clear" w:pos="8220"/>
        <w:tab w:val="right" w:pos="14797"/>
      </w:tabs>
    </w:pPr>
  </w:style>
  <w:style w:type="paragraph" w:customStyle="1" w:styleId="TableBullet1Normal">
    <w:name w:val="Table Bullet 1 Normal"/>
    <w:basedOn w:val="TableTextNormal"/>
    <w:rsid w:val="00317710"/>
    <w:pPr>
      <w:numPr>
        <w:numId w:val="5"/>
      </w:numPr>
      <w:spacing w:before="40" w:after="40"/>
    </w:pPr>
  </w:style>
  <w:style w:type="paragraph" w:customStyle="1" w:styleId="TableTextNormal">
    <w:name w:val="Table Text Normal"/>
    <w:basedOn w:val="Normal"/>
    <w:rsid w:val="00053B82"/>
    <w:pPr>
      <w:spacing w:before="80" w:after="80"/>
    </w:pPr>
  </w:style>
  <w:style w:type="paragraph" w:customStyle="1" w:styleId="TableBullet1Small">
    <w:name w:val="Table Bullet 1 Small"/>
    <w:basedOn w:val="TableTextSmall"/>
    <w:rsid w:val="00317710"/>
    <w:pPr>
      <w:numPr>
        <w:numId w:val="6"/>
      </w:numPr>
      <w:spacing w:before="20" w:after="20"/>
    </w:pPr>
  </w:style>
  <w:style w:type="paragraph" w:customStyle="1" w:styleId="TableTextSmall">
    <w:name w:val="Table Text Small"/>
    <w:basedOn w:val="Normal"/>
    <w:rsid w:val="00020F7F"/>
    <w:pPr>
      <w:spacing w:before="40" w:after="40"/>
    </w:pPr>
    <w:rPr>
      <w:rFonts w:ascii="Arial" w:hAnsi="Arial"/>
      <w:sz w:val="16"/>
      <w:szCs w:val="18"/>
    </w:rPr>
  </w:style>
  <w:style w:type="paragraph" w:customStyle="1" w:styleId="TableBullet3Normal">
    <w:name w:val="Table Bullet 3 Normal"/>
    <w:basedOn w:val="TableBullet2Normal"/>
    <w:rsid w:val="008D4477"/>
    <w:pPr>
      <w:numPr>
        <w:ilvl w:val="2"/>
      </w:numPr>
    </w:pPr>
  </w:style>
  <w:style w:type="paragraph" w:customStyle="1" w:styleId="TableBullet3Small">
    <w:name w:val="Table Bullet 3 Small"/>
    <w:basedOn w:val="TableBullet2Small"/>
    <w:rsid w:val="008D4477"/>
    <w:pPr>
      <w:numPr>
        <w:ilvl w:val="2"/>
      </w:numPr>
    </w:pPr>
    <w:rPr>
      <w:szCs w:val="16"/>
    </w:rPr>
  </w:style>
  <w:style w:type="paragraph" w:customStyle="1" w:styleId="BlockText2">
    <w:name w:val="Block Text 2"/>
    <w:basedOn w:val="Normal"/>
    <w:qFormat/>
    <w:rsid w:val="0071186F"/>
    <w:pPr>
      <w:pBdr>
        <w:top w:val="single" w:sz="2" w:space="10" w:color="A32020" w:themeColor="text2"/>
        <w:left w:val="single" w:sz="2" w:space="10" w:color="A32020" w:themeColor="text2"/>
        <w:bottom w:val="single" w:sz="2" w:space="10" w:color="A32020" w:themeColor="text2"/>
        <w:right w:val="single" w:sz="2" w:space="10" w:color="A32020" w:themeColor="text2"/>
      </w:pBdr>
      <w:shd w:val="clear" w:color="auto" w:fill="A32020" w:themeFill="text2"/>
      <w:kinsoku/>
      <w:overflowPunct/>
      <w:autoSpaceDE/>
      <w:autoSpaceDN/>
      <w:adjustRightInd/>
      <w:snapToGrid/>
      <w:spacing w:after="240"/>
      <w:ind w:left="227" w:right="227"/>
    </w:pPr>
    <w:rPr>
      <w:rFonts w:eastAsiaTheme="minorHAnsi" w:cstheme="minorBidi"/>
      <w:i/>
      <w:snapToGrid/>
      <w:color w:val="FFFFFF" w:themeColor="background2"/>
      <w:sz w:val="48"/>
      <w:szCs w:val="48"/>
      <w:lang w:val="en-GB"/>
    </w:rPr>
  </w:style>
  <w:style w:type="paragraph" w:customStyle="1" w:styleId="Appendix">
    <w:name w:val="Appendix"/>
    <w:basedOn w:val="Heading1"/>
    <w:next w:val="Normal"/>
    <w:uiPriority w:val="99"/>
    <w:qFormat/>
    <w:rsid w:val="0071186F"/>
    <w:pPr>
      <w:keepNext/>
      <w:keepLines/>
      <w:numPr>
        <w:numId w:val="10"/>
      </w:numPr>
      <w:kinsoku/>
      <w:overflowPunct/>
      <w:autoSpaceDE/>
      <w:autoSpaceDN/>
      <w:adjustRightInd/>
      <w:snapToGrid/>
      <w:spacing w:after="480" w:line="600" w:lineRule="atLeast"/>
    </w:pPr>
    <w:rPr>
      <w:rFonts w:eastAsiaTheme="majorEastAsia" w:cstheme="majorBidi"/>
      <w:snapToGrid/>
      <w:szCs w:val="28"/>
      <w:lang w:val="en-GB"/>
    </w:rPr>
  </w:style>
  <w:style w:type="numbering" w:customStyle="1" w:styleId="PwCAppendixList1">
    <w:name w:val="PwC Appendix List 1"/>
    <w:uiPriority w:val="99"/>
    <w:rsid w:val="0071186F"/>
    <w:pPr>
      <w:numPr>
        <w:numId w:val="9"/>
      </w:numPr>
    </w:pPr>
  </w:style>
  <w:style w:type="paragraph" w:styleId="Caption">
    <w:name w:val="caption"/>
    <w:basedOn w:val="Normal"/>
    <w:next w:val="Normal"/>
    <w:unhideWhenUsed/>
    <w:qFormat/>
    <w:rsid w:val="004C7A29"/>
    <w:pPr>
      <w:keepNext/>
      <w:keepLines/>
      <w:tabs>
        <w:tab w:val="left" w:pos="992"/>
      </w:tabs>
      <w:spacing w:before="240" w:after="120"/>
      <w:ind w:left="992" w:hanging="992"/>
    </w:pPr>
    <w:rPr>
      <w:rFonts w:asciiTheme="majorHAnsi" w:hAnsiTheme="majorHAnsi"/>
      <w:b/>
      <w:bCs/>
      <w:color w:val="A32020" w:themeColor="text2"/>
      <w:szCs w:val="18"/>
    </w:rPr>
  </w:style>
  <w:style w:type="paragraph" w:customStyle="1" w:styleId="Majorheading">
    <w:name w:val="Major heading"/>
    <w:basedOn w:val="Normal"/>
    <w:next w:val="PwCNormal"/>
    <w:rsid w:val="0095290F"/>
    <w:pPr>
      <w:keepNext/>
      <w:keepLines/>
      <w:spacing w:before="240" w:after="40"/>
    </w:pPr>
    <w:rPr>
      <w:rFonts w:asciiTheme="majorHAnsi" w:hAnsiTheme="majorHAnsi"/>
      <w:b/>
      <w:i/>
      <w:color w:val="A32020" w:themeColor="text2"/>
      <w:sz w:val="28"/>
      <w:szCs w:val="24"/>
    </w:rPr>
  </w:style>
  <w:style w:type="numbering" w:customStyle="1" w:styleId="TableBulletNormalList">
    <w:name w:val="Table Bullet Normal List"/>
    <w:rsid w:val="0021094E"/>
    <w:pPr>
      <w:numPr>
        <w:numId w:val="4"/>
      </w:numPr>
    </w:pPr>
  </w:style>
  <w:style w:type="paragraph" w:customStyle="1" w:styleId="Disclaimer">
    <w:name w:val="Disclaimer"/>
    <w:basedOn w:val="Normal"/>
    <w:unhideWhenUsed/>
    <w:rsid w:val="00F03ACC"/>
    <w:pPr>
      <w:spacing w:after="140"/>
    </w:pPr>
    <w:rPr>
      <w:rFonts w:ascii="Arial" w:hAnsi="Arial"/>
      <w:sz w:val="15"/>
    </w:rPr>
  </w:style>
  <w:style w:type="paragraph" w:customStyle="1" w:styleId="Footer-LandscapeEven">
    <w:name w:val="Footer - Landscape Even"/>
    <w:basedOn w:val="Footer-Landscape"/>
    <w:rsid w:val="008D4477"/>
  </w:style>
  <w:style w:type="paragraph" w:customStyle="1" w:styleId="PwCNormal-Single">
    <w:name w:val="PwC Normal - Single"/>
    <w:basedOn w:val="PwCNormal"/>
    <w:rsid w:val="00126AFF"/>
    <w:pPr>
      <w:numPr>
        <w:numId w:val="0"/>
      </w:numPr>
      <w:spacing w:after="0"/>
    </w:pPr>
  </w:style>
  <w:style w:type="numbering" w:customStyle="1" w:styleId="TableNumberdListNormal">
    <w:name w:val="Table Numberd List Normal"/>
    <w:uiPriority w:val="99"/>
    <w:rsid w:val="00EA47AB"/>
    <w:pPr>
      <w:numPr>
        <w:numId w:val="12"/>
      </w:numPr>
    </w:pPr>
  </w:style>
  <w:style w:type="numbering" w:customStyle="1" w:styleId="TableNumberedListSmall">
    <w:name w:val="Table Numbered List Small"/>
    <w:uiPriority w:val="99"/>
    <w:rsid w:val="00EA47AB"/>
    <w:pPr>
      <w:numPr>
        <w:numId w:val="14"/>
      </w:numPr>
    </w:pPr>
  </w:style>
  <w:style w:type="paragraph" w:customStyle="1" w:styleId="TableIndent2Normal">
    <w:name w:val="Table Indent 2 Normal"/>
    <w:basedOn w:val="TableIndent1Normal"/>
    <w:rsid w:val="008D4477"/>
    <w:pPr>
      <w:ind w:left="567"/>
    </w:pPr>
  </w:style>
  <w:style w:type="paragraph" w:customStyle="1" w:styleId="TableIndent2Small">
    <w:name w:val="Table Indent 2 Small"/>
    <w:basedOn w:val="TableIndent1Small"/>
    <w:rsid w:val="00461AF8"/>
    <w:pPr>
      <w:ind w:left="567"/>
    </w:pPr>
    <w:rPr>
      <w:szCs w:val="16"/>
    </w:rPr>
  </w:style>
  <w:style w:type="paragraph" w:customStyle="1" w:styleId="KeySentence">
    <w:name w:val="Key Sentence"/>
    <w:basedOn w:val="Normal"/>
    <w:rsid w:val="00A86844"/>
    <w:pPr>
      <w:spacing w:after="160" w:line="260" w:lineRule="atLeast"/>
    </w:pPr>
    <w:rPr>
      <w:i/>
      <w:color w:val="A32020" w:themeColor="text2"/>
      <w:sz w:val="16"/>
      <w:szCs w:val="18"/>
    </w:rPr>
  </w:style>
  <w:style w:type="numbering" w:customStyle="1" w:styleId="TableNumberedListS">
    <w:name w:val="Table Numbered List S"/>
    <w:rsid w:val="008D4477"/>
  </w:style>
  <w:style w:type="paragraph" w:customStyle="1" w:styleId="PrefaceTitle">
    <w:name w:val="Preface Title"/>
    <w:basedOn w:val="Heading2"/>
    <w:next w:val="PwCNormal"/>
    <w:rsid w:val="00C75673"/>
    <w:pPr>
      <w:numPr>
        <w:ilvl w:val="0"/>
        <w:numId w:val="0"/>
      </w:numPr>
    </w:pPr>
  </w:style>
  <w:style w:type="paragraph" w:customStyle="1" w:styleId="Sources">
    <w:name w:val="Sources"/>
    <w:basedOn w:val="Normal"/>
    <w:next w:val="PwCNormal"/>
    <w:rsid w:val="006742E0"/>
    <w:pPr>
      <w:spacing w:before="80" w:after="240" w:line="180" w:lineRule="atLeast"/>
    </w:pPr>
    <w:rPr>
      <w:color w:val="A32020" w:themeColor="text2"/>
      <w:sz w:val="16"/>
    </w:rPr>
  </w:style>
  <w:style w:type="paragraph" w:customStyle="1" w:styleId="Minorheading">
    <w:name w:val="Minor heading"/>
    <w:basedOn w:val="Majorheading"/>
    <w:next w:val="PwCNormal"/>
    <w:rsid w:val="003C52DC"/>
    <w:pPr>
      <w:spacing w:line="180" w:lineRule="atLeast"/>
    </w:pPr>
    <w:rPr>
      <w:b w:val="0"/>
      <w:sz w:val="26"/>
    </w:rPr>
  </w:style>
  <w:style w:type="paragraph" w:customStyle="1" w:styleId="Minorheading2">
    <w:name w:val="Minor heading 2"/>
    <w:basedOn w:val="Minorheading"/>
    <w:next w:val="PwCNormal"/>
    <w:rsid w:val="00D657FC"/>
    <w:pPr>
      <w:spacing w:line="240" w:lineRule="atLeast"/>
    </w:pPr>
    <w:rPr>
      <w:b/>
      <w:i w:val="0"/>
      <w:sz w:val="20"/>
    </w:rPr>
  </w:style>
  <w:style w:type="numbering" w:customStyle="1" w:styleId="PwCListNumbers1">
    <w:name w:val="PwC List Numbers 1"/>
    <w:uiPriority w:val="99"/>
    <w:rsid w:val="0071186F"/>
    <w:pPr>
      <w:numPr>
        <w:numId w:val="11"/>
      </w:numPr>
    </w:pPr>
  </w:style>
  <w:style w:type="paragraph" w:customStyle="1" w:styleId="BlockText3">
    <w:name w:val="Block Text 3"/>
    <w:basedOn w:val="BlockText"/>
    <w:qFormat/>
    <w:rsid w:val="0071186F"/>
    <w:pPr>
      <w:pBdr>
        <w:top w:val="single" w:sz="8" w:space="10" w:color="F2F2F2" w:themeColor="background2" w:themeShade="F2"/>
        <w:left w:val="single" w:sz="8" w:space="10" w:color="F2F2F2" w:themeColor="background2" w:themeShade="F2"/>
        <w:bottom w:val="single" w:sz="8" w:space="10" w:color="F2F2F2" w:themeColor="background2" w:themeShade="F2"/>
        <w:right w:val="single" w:sz="8" w:space="10" w:color="F2F2F2" w:themeColor="background2" w:themeShade="F2"/>
      </w:pBdr>
      <w:shd w:val="clear" w:color="auto" w:fill="F2F2F2" w:themeFill="background2" w:themeFillShade="F2"/>
      <w:kinsoku/>
      <w:overflowPunct/>
      <w:autoSpaceDE/>
      <w:autoSpaceDN/>
      <w:adjustRightInd/>
      <w:snapToGrid/>
      <w:ind w:left="227" w:right="227"/>
    </w:pPr>
    <w:rPr>
      <w:snapToGrid/>
      <w:sz w:val="96"/>
      <w:lang w:val="en-GB"/>
    </w:rPr>
  </w:style>
  <w:style w:type="paragraph" w:customStyle="1" w:styleId="TableBullet2Normal">
    <w:name w:val="Table Bullet 2 Normal"/>
    <w:basedOn w:val="TableBullet1Normal"/>
    <w:rsid w:val="008D4477"/>
    <w:pPr>
      <w:numPr>
        <w:ilvl w:val="1"/>
      </w:numPr>
    </w:pPr>
  </w:style>
  <w:style w:type="paragraph" w:customStyle="1" w:styleId="TableBullet2Small">
    <w:name w:val="Table Bullet 2 Small"/>
    <w:basedOn w:val="TableBullet1Small"/>
    <w:rsid w:val="008D4477"/>
    <w:pPr>
      <w:numPr>
        <w:ilvl w:val="1"/>
      </w:numPr>
    </w:pPr>
  </w:style>
  <w:style w:type="paragraph" w:customStyle="1" w:styleId="TableIndent1Normal">
    <w:name w:val="Table Indent 1 Normal"/>
    <w:basedOn w:val="TableBullet1Normal"/>
    <w:rsid w:val="008D4477"/>
    <w:pPr>
      <w:numPr>
        <w:numId w:val="0"/>
      </w:numPr>
      <w:ind w:left="284"/>
    </w:pPr>
  </w:style>
  <w:style w:type="paragraph" w:customStyle="1" w:styleId="TableIndent1Small">
    <w:name w:val="Table Indent 1 Small"/>
    <w:basedOn w:val="TableBullet1Small"/>
    <w:rsid w:val="00461AF8"/>
    <w:pPr>
      <w:numPr>
        <w:numId w:val="0"/>
      </w:numPr>
      <w:ind w:left="284"/>
    </w:pPr>
  </w:style>
  <w:style w:type="paragraph" w:customStyle="1" w:styleId="SubHeading">
    <w:name w:val="Sub Heading"/>
    <w:basedOn w:val="PwCNormal"/>
    <w:rsid w:val="00930AB8"/>
    <w:pPr>
      <w:spacing w:after="480" w:line="600" w:lineRule="atLeast"/>
    </w:pPr>
    <w:rPr>
      <w:sz w:val="56"/>
    </w:rPr>
  </w:style>
  <w:style w:type="paragraph" w:styleId="FootnoteText">
    <w:name w:val="footnote text"/>
    <w:basedOn w:val="Normal"/>
    <w:link w:val="FootnoteTextChar"/>
    <w:uiPriority w:val="99"/>
    <w:rsid w:val="005F07CE"/>
    <w:pPr>
      <w:tabs>
        <w:tab w:val="left" w:pos="284"/>
      </w:tabs>
      <w:spacing w:before="80" w:after="80"/>
      <w:ind w:left="227" w:hanging="227"/>
    </w:pPr>
    <w:rPr>
      <w:sz w:val="14"/>
    </w:rPr>
  </w:style>
  <w:style w:type="character" w:styleId="FootnoteReference">
    <w:name w:val="footnote reference"/>
    <w:basedOn w:val="DefaultParagraphFont"/>
    <w:uiPriority w:val="99"/>
    <w:rsid w:val="00317710"/>
    <w:rPr>
      <w:rFonts w:cs="Arial"/>
      <w:sz w:val="21"/>
      <w:vertAlign w:val="superscript"/>
    </w:rPr>
  </w:style>
  <w:style w:type="character" w:styleId="EndnoteReference">
    <w:name w:val="endnote reference"/>
    <w:basedOn w:val="DefaultParagraphFont"/>
    <w:semiHidden/>
    <w:unhideWhenUsed/>
    <w:rsid w:val="008D4477"/>
    <w:rPr>
      <w:rFonts w:ascii="Arial" w:hAnsi="Arial" w:cs="Arial"/>
      <w:sz w:val="21"/>
      <w:vertAlign w:val="superscript"/>
    </w:rPr>
  </w:style>
  <w:style w:type="paragraph" w:styleId="EndnoteText">
    <w:name w:val="endnote text"/>
    <w:basedOn w:val="FootnoteText"/>
    <w:semiHidden/>
    <w:unhideWhenUsed/>
    <w:rsid w:val="008D4477"/>
  </w:style>
  <w:style w:type="paragraph" w:customStyle="1" w:styleId="Address">
    <w:name w:val="Address"/>
    <w:basedOn w:val="Normal"/>
    <w:qFormat/>
    <w:rsid w:val="009231BC"/>
    <w:pPr>
      <w:kinsoku/>
      <w:overflowPunct/>
      <w:autoSpaceDE/>
      <w:autoSpaceDN/>
      <w:adjustRightInd/>
      <w:snapToGrid/>
      <w:spacing w:line="200" w:lineRule="atLeast"/>
    </w:pPr>
    <w:rPr>
      <w:rFonts w:eastAsiaTheme="minorHAnsi" w:cstheme="minorBidi"/>
      <w:i/>
      <w:noProof/>
      <w:snapToGrid/>
      <w:sz w:val="18"/>
      <w:szCs w:val="22"/>
      <w:lang w:val="en-GB" w:eastAsia="en-GB"/>
    </w:rPr>
  </w:style>
  <w:style w:type="table" w:styleId="TableGrid">
    <w:name w:val="Table Grid"/>
    <w:basedOn w:val="TableNormal"/>
    <w:semiHidden/>
    <w:locked/>
    <w:rsid w:val="008D4477"/>
    <w:pPr>
      <w:kinsoku w:val="0"/>
      <w:overflowPunct w:val="0"/>
      <w:autoSpaceDE w:val="0"/>
      <w:autoSpaceDN w:val="0"/>
      <w:adjustRightInd w:val="0"/>
      <w:snapToGri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TOC1"/>
    <w:next w:val="PwCNormal"/>
    <w:uiPriority w:val="39"/>
    <w:rsid w:val="008D4477"/>
    <w:pPr>
      <w:numPr>
        <w:ilvl w:val="2"/>
      </w:numPr>
    </w:pPr>
  </w:style>
  <w:style w:type="paragraph" w:styleId="TOC5">
    <w:name w:val="toc 5"/>
    <w:basedOn w:val="TOC2"/>
    <w:next w:val="PwCNormal"/>
    <w:rsid w:val="008D4477"/>
  </w:style>
  <w:style w:type="paragraph" w:styleId="TOC8">
    <w:name w:val="toc 8"/>
    <w:basedOn w:val="TOC7"/>
    <w:next w:val="PwCNormal"/>
    <w:rsid w:val="008D4477"/>
    <w:pPr>
      <w:tabs>
        <w:tab w:val="clear" w:pos="1985"/>
        <w:tab w:val="left" w:pos="3402"/>
      </w:tabs>
      <w:ind w:left="3403"/>
    </w:pPr>
  </w:style>
  <w:style w:type="paragraph" w:styleId="TOC9">
    <w:name w:val="toc 9"/>
    <w:basedOn w:val="TOC8"/>
    <w:next w:val="PwCNormal"/>
    <w:uiPriority w:val="39"/>
    <w:rsid w:val="008D4477"/>
    <w:pPr>
      <w:tabs>
        <w:tab w:val="clear" w:pos="3402"/>
        <w:tab w:val="left" w:pos="4253"/>
      </w:tabs>
      <w:ind w:left="4253"/>
    </w:pPr>
  </w:style>
  <w:style w:type="paragraph" w:customStyle="1" w:styleId="Separator">
    <w:name w:val="Separator"/>
    <w:basedOn w:val="Normal"/>
    <w:semiHidden/>
    <w:rsid w:val="008D4477"/>
    <w:pPr>
      <w:spacing w:before="240" w:after="120"/>
    </w:pPr>
    <w:rPr>
      <w:sz w:val="16"/>
    </w:rPr>
  </w:style>
  <w:style w:type="numbering" w:customStyle="1" w:styleId="TableNumberedListN">
    <w:name w:val="Table Numbered List N"/>
    <w:rsid w:val="008D4477"/>
  </w:style>
  <w:style w:type="paragraph" w:customStyle="1" w:styleId="TableColumnHeadingNormal">
    <w:name w:val="Table Column Heading Normal"/>
    <w:basedOn w:val="TableTextNormal"/>
    <w:rsid w:val="000B319E"/>
    <w:pPr>
      <w:keepNext/>
      <w:keepLines/>
    </w:pPr>
    <w:rPr>
      <w:b/>
      <w:color w:val="A32020" w:themeColor="text2"/>
    </w:rPr>
  </w:style>
  <w:style w:type="paragraph" w:customStyle="1" w:styleId="TableColumnHeadingSmall">
    <w:name w:val="Table Column Heading Small"/>
    <w:basedOn w:val="TableTextSmall"/>
    <w:next w:val="TableTextSmall"/>
    <w:rsid w:val="00053B82"/>
    <w:pPr>
      <w:keepNext/>
      <w:keepLines/>
    </w:pPr>
    <w:rPr>
      <w:b/>
      <w:color w:val="A32020" w:themeColor="text2"/>
      <w:szCs w:val="16"/>
    </w:rPr>
  </w:style>
  <w:style w:type="numbering" w:customStyle="1" w:styleId="TableBulletSmallList">
    <w:name w:val="Table Bullet Small List"/>
    <w:rsid w:val="0021094E"/>
    <w:pPr>
      <w:numPr>
        <w:numId w:val="3"/>
      </w:numPr>
    </w:pPr>
  </w:style>
  <w:style w:type="paragraph" w:customStyle="1" w:styleId="Header-Landscape">
    <w:name w:val="Header - Landscape"/>
    <w:basedOn w:val="Header"/>
    <w:rsid w:val="008D4477"/>
  </w:style>
  <w:style w:type="character" w:styleId="PageNumber">
    <w:name w:val="page number"/>
    <w:semiHidden/>
    <w:unhideWhenUsed/>
    <w:rsid w:val="008D4477"/>
  </w:style>
  <w:style w:type="paragraph" w:styleId="Date">
    <w:name w:val="Date"/>
    <w:basedOn w:val="Normal"/>
    <w:next w:val="PwCNormal"/>
    <w:semiHidden/>
    <w:rsid w:val="008D4477"/>
  </w:style>
  <w:style w:type="paragraph" w:customStyle="1" w:styleId="Indent8">
    <w:name w:val="Indent 8"/>
    <w:basedOn w:val="Indent7"/>
    <w:rsid w:val="00931F8A"/>
    <w:pPr>
      <w:numPr>
        <w:ilvl w:val="8"/>
      </w:numPr>
    </w:pPr>
  </w:style>
  <w:style w:type="paragraph" w:customStyle="1" w:styleId="Header-LandscapeEven">
    <w:name w:val="Header - Landscape Even"/>
    <w:basedOn w:val="Header-Landscape"/>
    <w:rsid w:val="008D4477"/>
    <w:pPr>
      <w:tabs>
        <w:tab w:val="right" w:pos="14661"/>
      </w:tabs>
    </w:pPr>
  </w:style>
  <w:style w:type="paragraph" w:customStyle="1" w:styleId="Footer-ToC">
    <w:name w:val="Footer - ToC"/>
    <w:basedOn w:val="Footer"/>
    <w:rsid w:val="0064358E"/>
  </w:style>
  <w:style w:type="paragraph" w:customStyle="1" w:styleId="Footer-ToCEven">
    <w:name w:val="Footer - ToC Even"/>
    <w:basedOn w:val="Footer-ToC"/>
    <w:rsid w:val="00BB4286"/>
  </w:style>
  <w:style w:type="table" w:customStyle="1" w:styleId="Tables-APBase">
    <w:name w:val="Tables - AP Base"/>
    <w:basedOn w:val="TableNormal"/>
    <w:rsid w:val="00A87947"/>
    <w:tblPr>
      <w:tblStyleRowBandSize w:val="1"/>
      <w:tblStyleColBandSize w:val="1"/>
      <w:tblInd w:w="0" w:type="dxa"/>
      <w:tblBorders>
        <w:top w:val="single" w:sz="4" w:space="0" w:color="FFFFFF"/>
        <w:left w:val="single" w:sz="4" w:space="0" w:color="FFFFFF"/>
        <w:bottom w:val="single" w:sz="6" w:space="0" w:color="A32020" w:themeColor="text2"/>
        <w:right w:val="single" w:sz="4" w:space="0" w:color="FFFFFF"/>
        <w:insideH w:val="dotted" w:sz="8" w:space="0" w:color="A32020" w:themeColor="text2"/>
        <w:insideV w:val="single" w:sz="4" w:space="0" w:color="FFFFFF"/>
      </w:tblBorders>
      <w:tblCellMar>
        <w:top w:w="0" w:type="dxa"/>
        <w:left w:w="108" w:type="dxa"/>
        <w:bottom w:w="0" w:type="dxa"/>
        <w:right w:w="108" w:type="dxa"/>
      </w:tblCellMar>
    </w:tblPr>
    <w:tcPr>
      <w:shd w:val="clear" w:color="auto" w:fill="auto"/>
      <w:tcMar>
        <w:top w:w="0" w:type="dxa"/>
        <w:left w:w="108" w:type="dxa"/>
        <w:bottom w:w="0" w:type="dxa"/>
        <w:right w:w="108" w:type="dxa"/>
      </w:tcMar>
    </w:tcPr>
    <w:tblStylePr w:type="firstRow">
      <w:pPr>
        <w:jc w:val="center"/>
      </w:pPr>
      <w:rPr>
        <w:rFonts w:ascii="Georgia" w:hAnsi="Georgia"/>
        <w:b w:val="0"/>
        <w:color w:val="auto"/>
      </w:rPr>
      <w:tblPr/>
      <w:trPr>
        <w:tblHeader/>
      </w:trPr>
      <w:tcPr>
        <w:tcBorders>
          <w:top w:val="single" w:sz="4" w:space="0" w:color="A32020" w:themeColor="text2"/>
          <w:bottom w:val="single" w:sz="4" w:space="0" w:color="A32020" w:themeColor="text2"/>
        </w:tcBorders>
      </w:tcPr>
    </w:tblStylePr>
    <w:tblStylePr w:type="lastRow">
      <w:rPr>
        <w:color w:val="auto"/>
      </w:rPr>
      <w:tblPr/>
      <w:tcPr>
        <w:tcBorders>
          <w:top w:val="single" w:sz="4" w:space="0" w:color="A32020" w:themeColor="text2"/>
        </w:tcBorders>
        <w:shd w:val="clear" w:color="auto" w:fill="auto"/>
      </w:tcPr>
    </w:tblStylePr>
    <w:tblStylePr w:type="nwCell">
      <w:pPr>
        <w:jc w:val="left"/>
      </w:pPr>
      <w:tblPr/>
      <w:tcPr>
        <w:vAlign w:val="bottom"/>
      </w:tcPr>
    </w:tblStylePr>
  </w:style>
  <w:style w:type="paragraph" w:customStyle="1" w:styleId="CVRoleTitle">
    <w:name w:val="CV Role Title"/>
    <w:basedOn w:val="CVText"/>
    <w:rsid w:val="00C70AB2"/>
    <w:pPr>
      <w:pBdr>
        <w:bottom w:val="none" w:sz="0" w:space="0" w:color="00457C"/>
      </w:pBdr>
    </w:pPr>
    <w:rPr>
      <w:i/>
      <w:color w:val="A32020" w:themeColor="text2"/>
      <w:sz w:val="24"/>
      <w:szCs w:val="24"/>
    </w:rPr>
  </w:style>
  <w:style w:type="paragraph" w:customStyle="1" w:styleId="ListBullet1">
    <w:name w:val="List Bullet 1"/>
    <w:basedOn w:val="Normal"/>
    <w:semiHidden/>
    <w:locked/>
    <w:rsid w:val="00083500"/>
    <w:pPr>
      <w:tabs>
        <w:tab w:val="num" w:pos="720"/>
      </w:tabs>
      <w:spacing w:before="100" w:after="100"/>
      <w:ind w:left="720" w:hanging="720"/>
    </w:pPr>
  </w:style>
  <w:style w:type="paragraph" w:styleId="ListBullet2">
    <w:name w:val="List Bullet 2"/>
    <w:basedOn w:val="ListBullet1"/>
    <w:qFormat/>
    <w:locked/>
    <w:rsid w:val="00083500"/>
    <w:pPr>
      <w:numPr>
        <w:ilvl w:val="1"/>
        <w:numId w:val="29"/>
      </w:numPr>
      <w:spacing w:before="120" w:after="120"/>
    </w:pPr>
  </w:style>
  <w:style w:type="paragraph" w:styleId="ListBullet4">
    <w:name w:val="List Bullet 4"/>
    <w:basedOn w:val="ListBullet3"/>
    <w:unhideWhenUsed/>
    <w:locked/>
    <w:rsid w:val="00083500"/>
    <w:pPr>
      <w:numPr>
        <w:ilvl w:val="3"/>
      </w:numPr>
    </w:pPr>
  </w:style>
  <w:style w:type="paragraph" w:customStyle="1" w:styleId="CVBullet1">
    <w:name w:val="CV Bullet 1"/>
    <w:basedOn w:val="CVText"/>
    <w:rsid w:val="00C72147"/>
    <w:pPr>
      <w:numPr>
        <w:numId w:val="8"/>
      </w:numPr>
      <w:spacing w:before="40" w:after="40"/>
    </w:pPr>
  </w:style>
  <w:style w:type="paragraph" w:customStyle="1" w:styleId="CVDetails">
    <w:name w:val="CV Details"/>
    <w:basedOn w:val="CVRoleTitle"/>
    <w:rsid w:val="001226BE"/>
    <w:pPr>
      <w:spacing w:before="120" w:after="40"/>
    </w:pPr>
    <w:rPr>
      <w:sz w:val="14"/>
    </w:rPr>
  </w:style>
  <w:style w:type="paragraph" w:customStyle="1" w:styleId="CVHeading2">
    <w:name w:val="CV Heading 2"/>
    <w:basedOn w:val="CVHeading1"/>
    <w:next w:val="CVText"/>
    <w:rsid w:val="00EF71C9"/>
    <w:pPr>
      <w:pBdr>
        <w:bottom w:val="none" w:sz="0" w:space="0" w:color="00457C"/>
      </w:pBdr>
    </w:pPr>
    <w:rPr>
      <w:b w:val="0"/>
      <w:sz w:val="18"/>
      <w:szCs w:val="24"/>
    </w:rPr>
  </w:style>
  <w:style w:type="paragraph" w:styleId="ListBullet3">
    <w:name w:val="List Bullet 3"/>
    <w:basedOn w:val="ListBullet2"/>
    <w:qFormat/>
    <w:locked/>
    <w:rsid w:val="00083500"/>
    <w:pPr>
      <w:numPr>
        <w:ilvl w:val="2"/>
      </w:numPr>
    </w:pPr>
  </w:style>
  <w:style w:type="paragraph" w:customStyle="1" w:styleId="CVHeading1">
    <w:name w:val="CV Heading 1"/>
    <w:basedOn w:val="CVText"/>
    <w:next w:val="CVText"/>
    <w:rsid w:val="00C70AB2"/>
    <w:pPr>
      <w:keepNext/>
      <w:keepLines/>
      <w:spacing w:before="120"/>
    </w:pPr>
    <w:rPr>
      <w:b/>
      <w:i/>
      <w:color w:val="A32020" w:themeColor="text2"/>
    </w:rPr>
  </w:style>
  <w:style w:type="paragraph" w:customStyle="1" w:styleId="CVPhoto">
    <w:name w:val="CV Photo"/>
    <w:basedOn w:val="CVHeading2"/>
    <w:rsid w:val="00C70AB2"/>
    <w:rPr>
      <w:sz w:val="21"/>
    </w:rPr>
  </w:style>
  <w:style w:type="paragraph" w:customStyle="1" w:styleId="CVText">
    <w:name w:val="CV Text"/>
    <w:basedOn w:val="PwCNormal"/>
    <w:rsid w:val="00C72147"/>
    <w:pPr>
      <w:numPr>
        <w:numId w:val="0"/>
      </w:numPr>
      <w:spacing w:before="80" w:after="80"/>
    </w:pPr>
  </w:style>
  <w:style w:type="paragraph" w:customStyle="1" w:styleId="CVNamelarge">
    <w:name w:val="CV Name large"/>
    <w:basedOn w:val="CVText"/>
    <w:next w:val="CVRoleTitle"/>
    <w:rsid w:val="00C70AB2"/>
    <w:pPr>
      <w:spacing w:before="0"/>
    </w:pPr>
    <w:rPr>
      <w:b/>
      <w:i/>
      <w:color w:val="A32020" w:themeColor="text2"/>
      <w:sz w:val="36"/>
      <w:szCs w:val="24"/>
    </w:rPr>
  </w:style>
  <w:style w:type="paragraph" w:customStyle="1" w:styleId="CVBullet2">
    <w:name w:val="CV Bullet 2"/>
    <w:basedOn w:val="CVBullet1"/>
    <w:rsid w:val="008D4477"/>
    <w:pPr>
      <w:numPr>
        <w:ilvl w:val="1"/>
      </w:numPr>
    </w:pPr>
  </w:style>
  <w:style w:type="paragraph" w:styleId="Title">
    <w:name w:val="Title"/>
    <w:basedOn w:val="Normal"/>
    <w:semiHidden/>
    <w:qFormat/>
    <w:rsid w:val="008D4477"/>
    <w:pPr>
      <w:spacing w:before="240" w:after="60"/>
      <w:jc w:val="center"/>
      <w:outlineLvl w:val="0"/>
    </w:pPr>
    <w:rPr>
      <w:b/>
      <w:bCs/>
      <w:color w:val="A32020" w:themeColor="text2"/>
      <w:kern w:val="28"/>
      <w:sz w:val="32"/>
      <w:szCs w:val="32"/>
    </w:rPr>
  </w:style>
  <w:style w:type="paragraph" w:styleId="BalloonText">
    <w:name w:val="Balloon Text"/>
    <w:basedOn w:val="Normal"/>
    <w:semiHidden/>
    <w:locked/>
    <w:rsid w:val="008D4477"/>
    <w:rPr>
      <w:rFonts w:ascii="Tahoma" w:hAnsi="Tahoma"/>
      <w:sz w:val="16"/>
      <w:szCs w:val="16"/>
    </w:rPr>
  </w:style>
  <w:style w:type="numbering" w:customStyle="1" w:styleId="Style1">
    <w:name w:val="Style1"/>
    <w:uiPriority w:val="99"/>
    <w:rsid w:val="00D424C7"/>
    <w:pPr>
      <w:numPr>
        <w:numId w:val="21"/>
      </w:numPr>
    </w:pPr>
  </w:style>
  <w:style w:type="numbering" w:customStyle="1" w:styleId="IndentList">
    <w:name w:val="IndentList"/>
    <w:basedOn w:val="NoList"/>
    <w:rsid w:val="008D4477"/>
  </w:style>
  <w:style w:type="paragraph" w:customStyle="1" w:styleId="VersionControl">
    <w:name w:val="Version Control"/>
    <w:basedOn w:val="TOCtitle"/>
    <w:unhideWhenUsed/>
    <w:rsid w:val="007D1C0E"/>
    <w:pPr>
      <w:pageBreakBefore w:val="0"/>
      <w:framePr w:w="9923" w:wrap="around" w:vAnchor="text" w:hAnchor="page" w:x="1498" w:y="1"/>
      <w:spacing w:before="360" w:after="240"/>
    </w:pPr>
    <w:rPr>
      <w:sz w:val="28"/>
    </w:rPr>
  </w:style>
  <w:style w:type="paragraph" w:customStyle="1" w:styleId="VersionTableHeading">
    <w:name w:val="Version Table Heading"/>
    <w:basedOn w:val="VersionTableText"/>
    <w:unhideWhenUsed/>
    <w:rsid w:val="003779E0"/>
    <w:pPr>
      <w:framePr w:wrap="around"/>
    </w:pPr>
  </w:style>
  <w:style w:type="paragraph" w:customStyle="1" w:styleId="VersionTableText">
    <w:name w:val="Version Table Text"/>
    <w:basedOn w:val="VersionControl"/>
    <w:unhideWhenUsed/>
    <w:rsid w:val="003779E0"/>
    <w:pPr>
      <w:framePr w:wrap="around"/>
      <w:spacing w:before="80" w:after="80" w:line="240" w:lineRule="auto"/>
      <w:outlineLvl w:val="9"/>
    </w:pPr>
    <w:rPr>
      <w:rFonts w:ascii="Georgia" w:hAnsi="Georgia"/>
      <w:sz w:val="21"/>
      <w:szCs w:val="20"/>
    </w:rPr>
  </w:style>
  <w:style w:type="table" w:customStyle="1" w:styleId="Tables-APBase2">
    <w:name w:val="Tables - AP Base 2"/>
    <w:basedOn w:val="Tables-APBase"/>
    <w:uiPriority w:val="99"/>
    <w:qFormat/>
    <w:rsid w:val="003779E0"/>
    <w:tblPr>
      <w:tblStyleRowBandSize w:val="1"/>
      <w:tblStyleColBandSize w:val="1"/>
      <w:tblInd w:w="0" w:type="dxa"/>
      <w:tblBorders>
        <w:top w:val="single" w:sz="4" w:space="0" w:color="FFFFFF"/>
        <w:left w:val="single" w:sz="4" w:space="0" w:color="FFFFFF"/>
        <w:bottom w:val="single" w:sz="6" w:space="0" w:color="A32020" w:themeColor="text2"/>
        <w:right w:val="single" w:sz="4" w:space="0" w:color="FFFFFF"/>
        <w:insideH w:val="dotted" w:sz="8" w:space="0" w:color="A32020" w:themeColor="text2"/>
        <w:insideV w:val="single" w:sz="4" w:space="0" w:color="FFFFFF"/>
      </w:tblBorders>
      <w:tblCellMar>
        <w:top w:w="0" w:type="dxa"/>
        <w:left w:w="108" w:type="dxa"/>
        <w:bottom w:w="0" w:type="dxa"/>
        <w:right w:w="108" w:type="dxa"/>
      </w:tblCellMar>
    </w:tblPr>
    <w:tcPr>
      <w:shd w:val="clear" w:color="auto" w:fill="auto"/>
      <w:tcMar>
        <w:top w:w="0" w:type="dxa"/>
        <w:left w:w="108" w:type="dxa"/>
        <w:bottom w:w="0" w:type="dxa"/>
        <w:right w:w="108" w:type="dxa"/>
      </w:tcMar>
    </w:tcPr>
    <w:tblStylePr w:type="firstRow">
      <w:pPr>
        <w:jc w:val="center"/>
      </w:pPr>
      <w:rPr>
        <w:rFonts w:asciiTheme="minorHAnsi" w:hAnsiTheme="minorHAnsi"/>
        <w:b/>
        <w:color w:val="FFFFFF" w:themeColor="background2"/>
      </w:rPr>
      <w:tblPr/>
      <w:trPr>
        <w:tblHeader/>
      </w:trPr>
      <w:tcPr>
        <w:tcBorders>
          <w:top w:val="single" w:sz="4" w:space="0" w:color="A32020" w:themeColor="text2"/>
          <w:bottom w:val="single" w:sz="4" w:space="0" w:color="A32020" w:themeColor="text2"/>
        </w:tcBorders>
        <w:shd w:val="clear" w:color="auto" w:fill="A32020" w:themeFill="text2"/>
        <w:vAlign w:val="bottom"/>
      </w:tcPr>
    </w:tblStylePr>
    <w:tblStylePr w:type="lastRow">
      <w:rPr>
        <w:color w:val="FFFFFF" w:themeColor="background1"/>
      </w:rPr>
      <w:tblPr/>
      <w:tcPr>
        <w:tcBorders>
          <w:top w:val="single" w:sz="4" w:space="0" w:color="A32020" w:themeColor="text2"/>
        </w:tcBorders>
        <w:shd w:val="clear" w:color="auto" w:fill="A32020" w:themeFill="text2"/>
      </w:tcPr>
    </w:tblStylePr>
    <w:tblStylePr w:type="firstCol">
      <w:tblPr/>
      <w:tcPr>
        <w:shd w:val="clear" w:color="auto" w:fill="FFFFFF" w:themeFill="background2"/>
      </w:tcPr>
    </w:tblStylePr>
    <w:tblStylePr w:type="lastCol">
      <w:tblPr/>
      <w:tcPr>
        <w:shd w:val="clear" w:color="auto" w:fill="FFFFFF" w:themeFill="background2"/>
      </w:tcPr>
    </w:tblStylePr>
    <w:tblStylePr w:type="band2Vert">
      <w:tblPr/>
      <w:tcPr>
        <w:shd w:val="clear" w:color="auto" w:fill="F4CACA" w:themeFill="text2" w:themeFillTint="33"/>
      </w:tcPr>
    </w:tblStylePr>
    <w:tblStylePr w:type="band2Horz">
      <w:tblPr/>
      <w:tcPr>
        <w:shd w:val="clear" w:color="auto" w:fill="F4CACA" w:themeFill="text2" w:themeFillTint="33"/>
      </w:tcPr>
    </w:tblStylePr>
    <w:tblStylePr w:type="nwCell">
      <w:pPr>
        <w:jc w:val="left"/>
      </w:pPr>
      <w:tblPr/>
      <w:tcPr>
        <w:shd w:val="clear" w:color="auto" w:fill="FFFFFF" w:themeFill="background1"/>
        <w:vAlign w:val="bottom"/>
      </w:tcPr>
    </w:tblStylePr>
  </w:style>
  <w:style w:type="character" w:customStyle="1" w:styleId="HeaderChar">
    <w:name w:val="Header Char"/>
    <w:basedOn w:val="DefaultParagraphFont"/>
    <w:link w:val="Header"/>
    <w:locked/>
    <w:rsid w:val="00B376A6"/>
    <w:rPr>
      <w:rFonts w:ascii="Arial" w:hAnsi="Arial" w:cs="Arial"/>
      <w:snapToGrid w:val="0"/>
      <w:color w:val="000000" w:themeColor="text1"/>
      <w:sz w:val="19"/>
      <w:szCs w:val="18"/>
      <w:lang w:eastAsia="en-US"/>
    </w:rPr>
  </w:style>
  <w:style w:type="character" w:customStyle="1" w:styleId="FooterChar">
    <w:name w:val="Footer Char"/>
    <w:basedOn w:val="DefaultParagraphFont"/>
    <w:link w:val="Footer"/>
    <w:locked/>
    <w:rsid w:val="00B376A6"/>
    <w:rPr>
      <w:rFonts w:ascii="Arial" w:hAnsi="Arial" w:cs="Arial"/>
      <w:snapToGrid w:val="0"/>
      <w:color w:val="000000" w:themeColor="text1"/>
      <w:sz w:val="19"/>
      <w:szCs w:val="18"/>
      <w:lang w:eastAsia="en-US"/>
    </w:rPr>
  </w:style>
  <w:style w:type="paragraph" w:customStyle="1" w:styleId="Header-FirstPage">
    <w:name w:val="Header - First Page"/>
    <w:basedOn w:val="Header"/>
    <w:rsid w:val="008D4477"/>
  </w:style>
  <w:style w:type="paragraph" w:customStyle="1" w:styleId="Appendicestitle">
    <w:name w:val="Appendices title"/>
    <w:basedOn w:val="TOCtitle"/>
    <w:qFormat/>
    <w:rsid w:val="00D424C7"/>
    <w:pPr>
      <w:pageBreakBefore w:val="0"/>
      <w:numPr>
        <w:ilvl w:val="1"/>
        <w:numId w:val="21"/>
      </w:numPr>
    </w:pPr>
  </w:style>
  <w:style w:type="numbering" w:customStyle="1" w:styleId="CVBullets">
    <w:name w:val="CV Bullets"/>
    <w:uiPriority w:val="99"/>
    <w:rsid w:val="0021094E"/>
    <w:pPr>
      <w:numPr>
        <w:numId w:val="7"/>
      </w:numPr>
    </w:pPr>
  </w:style>
  <w:style w:type="paragraph" w:styleId="DocumentMap">
    <w:name w:val="Document Map"/>
    <w:basedOn w:val="Normal"/>
    <w:link w:val="DocumentMapChar"/>
    <w:semiHidden/>
    <w:rsid w:val="00235653"/>
    <w:rPr>
      <w:rFonts w:ascii="Tahoma" w:hAnsi="Tahoma" w:cs="Tahoma"/>
      <w:sz w:val="16"/>
      <w:szCs w:val="16"/>
    </w:rPr>
  </w:style>
  <w:style w:type="character" w:customStyle="1" w:styleId="DocumentMapChar">
    <w:name w:val="Document Map Char"/>
    <w:basedOn w:val="DefaultParagraphFont"/>
    <w:link w:val="DocumentMap"/>
    <w:semiHidden/>
    <w:rsid w:val="00235653"/>
    <w:rPr>
      <w:rFonts w:ascii="Tahoma" w:hAnsi="Tahoma" w:cs="Tahoma"/>
      <w:snapToGrid w:val="0"/>
      <w:sz w:val="16"/>
      <w:szCs w:val="16"/>
      <w:lang w:eastAsia="en-US"/>
    </w:rPr>
  </w:style>
  <w:style w:type="table" w:styleId="TableGrid1">
    <w:name w:val="Table Grid 1"/>
    <w:basedOn w:val="TableNormal"/>
    <w:semiHidden/>
    <w:locked/>
    <w:rsid w:val="00CC1D52"/>
    <w:pPr>
      <w:kinsoku w:val="0"/>
      <w:overflowPunct w:val="0"/>
      <w:autoSpaceDE w:val="0"/>
      <w:autoSpaceDN w:val="0"/>
      <w:adjustRightInd w:val="0"/>
      <w:snapToGrid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CC1D52"/>
    <w:pPr>
      <w:kinsoku w:val="0"/>
      <w:overflowPunct w:val="0"/>
      <w:autoSpaceDE w:val="0"/>
      <w:autoSpaceDN w:val="0"/>
      <w:adjustRightInd w:val="0"/>
      <w:snapToGrid w:val="0"/>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CC1D52"/>
    <w:pPr>
      <w:kinsoku w:val="0"/>
      <w:overflowPunct w:val="0"/>
      <w:autoSpaceDE w:val="0"/>
      <w:autoSpaceDN w:val="0"/>
      <w:adjustRightInd w:val="0"/>
      <w:snapToGrid w:val="0"/>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CC1D52"/>
    <w:pPr>
      <w:kinsoku w:val="0"/>
      <w:overflowPunct w:val="0"/>
      <w:autoSpaceDE w:val="0"/>
      <w:autoSpaceDN w:val="0"/>
      <w:adjustRightInd w:val="0"/>
      <w:snapToGrid w:val="0"/>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CC1D52"/>
    <w:pPr>
      <w:kinsoku w:val="0"/>
      <w:overflowPunct w:val="0"/>
      <w:autoSpaceDE w:val="0"/>
      <w:autoSpaceDN w:val="0"/>
      <w:adjustRightInd w:val="0"/>
      <w:snapToGrid w:val="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CC1D52"/>
    <w:pPr>
      <w:kinsoku w:val="0"/>
      <w:overflowPunct w:val="0"/>
      <w:autoSpaceDE w:val="0"/>
      <w:autoSpaceDN w:val="0"/>
      <w:adjustRightInd w:val="0"/>
      <w:snapToGrid w:val="0"/>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CC1D52"/>
    <w:pPr>
      <w:kinsoku w:val="0"/>
      <w:overflowPunct w:val="0"/>
      <w:autoSpaceDE w:val="0"/>
      <w:autoSpaceDN w:val="0"/>
      <w:adjustRightInd w:val="0"/>
      <w:snapToGrid w:val="0"/>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CC1D52"/>
    <w:pPr>
      <w:kinsoku w:val="0"/>
      <w:overflowPunct w:val="0"/>
      <w:autoSpaceDE w:val="0"/>
      <w:autoSpaceDN w:val="0"/>
      <w:adjustRightInd w:val="0"/>
      <w:snapToGrid w:val="0"/>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3Deffects1">
    <w:name w:val="Table 3D effects 1"/>
    <w:basedOn w:val="TableNormal"/>
    <w:locked/>
    <w:rsid w:val="00020F7F"/>
    <w:pPr>
      <w:kinsoku w:val="0"/>
      <w:overflowPunct w:val="0"/>
      <w:autoSpaceDE w:val="0"/>
      <w:autoSpaceDN w:val="0"/>
      <w:adjustRightInd w:val="0"/>
      <w:snapToGrid w:val="0"/>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Theme">
    <w:name w:val="Table Theme"/>
    <w:basedOn w:val="TableNormal"/>
    <w:semiHidden/>
    <w:rsid w:val="00CC1D52"/>
    <w:pPr>
      <w:kinsoku w:val="0"/>
      <w:overflowPunct w:val="0"/>
      <w:autoSpaceDE w:val="0"/>
      <w:autoSpaceDN w:val="0"/>
      <w:adjustRightInd w:val="0"/>
      <w:snapToGri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croText">
    <w:name w:val="macro"/>
    <w:link w:val="MacroTextChar"/>
    <w:unhideWhenUsed/>
    <w:locked/>
    <w:rsid w:val="001E6A5E"/>
    <w:pPr>
      <w:tabs>
        <w:tab w:val="left" w:pos="567"/>
        <w:tab w:val="left" w:pos="1134"/>
        <w:tab w:val="left" w:pos="1701"/>
        <w:tab w:val="left" w:pos="2268"/>
        <w:tab w:val="left" w:pos="2835"/>
        <w:tab w:val="left" w:pos="3402"/>
        <w:tab w:val="left" w:pos="3969"/>
      </w:tabs>
      <w:kinsoku w:val="0"/>
      <w:overflowPunct w:val="0"/>
      <w:autoSpaceDE w:val="0"/>
      <w:autoSpaceDN w:val="0"/>
      <w:adjustRightInd w:val="0"/>
      <w:snapToGrid w:val="0"/>
    </w:pPr>
    <w:rPr>
      <w:rFonts w:ascii="Consolas" w:hAnsi="Consolas" w:cs="Arial"/>
      <w:snapToGrid w:val="0"/>
      <w:lang w:eastAsia="en-US"/>
    </w:rPr>
  </w:style>
  <w:style w:type="character" w:customStyle="1" w:styleId="MacroTextChar">
    <w:name w:val="Macro Text Char"/>
    <w:basedOn w:val="DefaultParagraphFont"/>
    <w:link w:val="MacroText"/>
    <w:rsid w:val="001E6A5E"/>
    <w:rPr>
      <w:rFonts w:ascii="Consolas" w:hAnsi="Consolas" w:cs="Arial"/>
      <w:snapToGrid w:val="0"/>
      <w:sz w:val="20"/>
      <w:szCs w:val="20"/>
      <w:lang w:eastAsia="en-US"/>
    </w:rPr>
  </w:style>
  <w:style w:type="paragraph" w:styleId="Bibliography">
    <w:name w:val="Bibliography"/>
    <w:basedOn w:val="Normal"/>
    <w:next w:val="Normal"/>
    <w:uiPriority w:val="37"/>
    <w:semiHidden/>
    <w:locked/>
    <w:rsid w:val="007D1C0E"/>
  </w:style>
  <w:style w:type="paragraph" w:styleId="BlockText">
    <w:name w:val="Block Text"/>
    <w:basedOn w:val="Normal"/>
    <w:qFormat/>
    <w:rsid w:val="0071186F"/>
    <w:pPr>
      <w:spacing w:after="240"/>
    </w:pPr>
    <w:rPr>
      <w:rFonts w:eastAsiaTheme="minorEastAsia" w:cstheme="minorBidi"/>
      <w:b/>
      <w:i/>
      <w:iCs/>
      <w:color w:val="A32020" w:themeColor="accent1"/>
      <w:sz w:val="48"/>
    </w:rPr>
  </w:style>
  <w:style w:type="paragraph" w:styleId="BodyText">
    <w:name w:val="Body Text"/>
    <w:basedOn w:val="Normal"/>
    <w:link w:val="BodyTextChar"/>
    <w:semiHidden/>
    <w:locked/>
    <w:rsid w:val="007D1C0E"/>
    <w:pPr>
      <w:spacing w:after="120"/>
    </w:pPr>
  </w:style>
  <w:style w:type="character" w:customStyle="1" w:styleId="BodyTextChar">
    <w:name w:val="Body Text Char"/>
    <w:basedOn w:val="DefaultParagraphFont"/>
    <w:link w:val="BodyText"/>
    <w:semiHidden/>
    <w:rsid w:val="007D1C0E"/>
    <w:rPr>
      <w:rFonts w:ascii="Georgia" w:hAnsi="Georgia" w:cs="Arial"/>
      <w:snapToGrid w:val="0"/>
      <w:sz w:val="20"/>
      <w:lang w:eastAsia="en-US"/>
    </w:rPr>
  </w:style>
  <w:style w:type="paragraph" w:styleId="BodyText2">
    <w:name w:val="Body Text 2"/>
    <w:basedOn w:val="Normal"/>
    <w:link w:val="BodyText2Char"/>
    <w:semiHidden/>
    <w:locked/>
    <w:rsid w:val="007D1C0E"/>
    <w:pPr>
      <w:spacing w:after="120" w:line="480" w:lineRule="auto"/>
    </w:pPr>
  </w:style>
  <w:style w:type="character" w:customStyle="1" w:styleId="BodyText2Char">
    <w:name w:val="Body Text 2 Char"/>
    <w:basedOn w:val="DefaultParagraphFont"/>
    <w:link w:val="BodyText2"/>
    <w:semiHidden/>
    <w:rsid w:val="007D1C0E"/>
    <w:rPr>
      <w:rFonts w:ascii="Georgia" w:hAnsi="Georgia" w:cs="Arial"/>
      <w:snapToGrid w:val="0"/>
      <w:sz w:val="20"/>
      <w:lang w:eastAsia="en-US"/>
    </w:rPr>
  </w:style>
  <w:style w:type="paragraph" w:styleId="BodyText3">
    <w:name w:val="Body Text 3"/>
    <w:basedOn w:val="Normal"/>
    <w:link w:val="BodyText3Char"/>
    <w:semiHidden/>
    <w:locked/>
    <w:rsid w:val="007D1C0E"/>
    <w:pPr>
      <w:spacing w:after="120"/>
    </w:pPr>
    <w:rPr>
      <w:sz w:val="16"/>
      <w:szCs w:val="16"/>
    </w:rPr>
  </w:style>
  <w:style w:type="character" w:customStyle="1" w:styleId="BodyText3Char">
    <w:name w:val="Body Text 3 Char"/>
    <w:basedOn w:val="DefaultParagraphFont"/>
    <w:link w:val="BodyText3"/>
    <w:semiHidden/>
    <w:rsid w:val="007D1C0E"/>
    <w:rPr>
      <w:rFonts w:ascii="Georgia" w:hAnsi="Georgia" w:cs="Arial"/>
      <w:snapToGrid w:val="0"/>
      <w:sz w:val="16"/>
      <w:szCs w:val="16"/>
      <w:lang w:eastAsia="en-US"/>
    </w:rPr>
  </w:style>
  <w:style w:type="paragraph" w:styleId="BodyTextFirstIndent">
    <w:name w:val="Body Text First Indent"/>
    <w:basedOn w:val="BodyText"/>
    <w:link w:val="BodyTextFirstIndentChar"/>
    <w:semiHidden/>
    <w:locked/>
    <w:rsid w:val="007D1C0E"/>
    <w:pPr>
      <w:spacing w:after="0"/>
      <w:ind w:firstLine="360"/>
    </w:pPr>
  </w:style>
  <w:style w:type="character" w:customStyle="1" w:styleId="BodyTextFirstIndentChar">
    <w:name w:val="Body Text First Indent Char"/>
    <w:basedOn w:val="BodyTextChar"/>
    <w:link w:val="BodyTextFirstIndent"/>
    <w:semiHidden/>
    <w:rsid w:val="007D1C0E"/>
    <w:rPr>
      <w:rFonts w:ascii="Georgia" w:hAnsi="Georgia" w:cs="Arial"/>
      <w:snapToGrid w:val="0"/>
      <w:sz w:val="20"/>
      <w:lang w:eastAsia="en-US"/>
    </w:rPr>
  </w:style>
  <w:style w:type="paragraph" w:styleId="BodyTextIndent">
    <w:name w:val="Body Text Indent"/>
    <w:basedOn w:val="Normal"/>
    <w:link w:val="BodyTextIndentChar"/>
    <w:semiHidden/>
    <w:locked/>
    <w:rsid w:val="007D1C0E"/>
    <w:pPr>
      <w:spacing w:after="120"/>
      <w:ind w:left="283"/>
    </w:pPr>
  </w:style>
  <w:style w:type="character" w:customStyle="1" w:styleId="BodyTextIndentChar">
    <w:name w:val="Body Text Indent Char"/>
    <w:basedOn w:val="DefaultParagraphFont"/>
    <w:link w:val="BodyTextIndent"/>
    <w:semiHidden/>
    <w:rsid w:val="007D1C0E"/>
    <w:rPr>
      <w:rFonts w:ascii="Georgia" w:hAnsi="Georgia" w:cs="Arial"/>
      <w:snapToGrid w:val="0"/>
      <w:sz w:val="20"/>
      <w:lang w:eastAsia="en-US"/>
    </w:rPr>
  </w:style>
  <w:style w:type="paragraph" w:styleId="BodyTextFirstIndent2">
    <w:name w:val="Body Text First Indent 2"/>
    <w:basedOn w:val="BodyTextIndent"/>
    <w:link w:val="BodyTextFirstIndent2Char"/>
    <w:semiHidden/>
    <w:locked/>
    <w:rsid w:val="007D1C0E"/>
    <w:pPr>
      <w:spacing w:after="0"/>
      <w:ind w:left="360" w:firstLine="360"/>
    </w:pPr>
  </w:style>
  <w:style w:type="character" w:customStyle="1" w:styleId="BodyTextFirstIndent2Char">
    <w:name w:val="Body Text First Indent 2 Char"/>
    <w:basedOn w:val="BodyTextIndentChar"/>
    <w:link w:val="BodyTextFirstIndent2"/>
    <w:semiHidden/>
    <w:rsid w:val="007D1C0E"/>
    <w:rPr>
      <w:rFonts w:ascii="Georgia" w:hAnsi="Georgia" w:cs="Arial"/>
      <w:snapToGrid w:val="0"/>
      <w:sz w:val="20"/>
      <w:lang w:eastAsia="en-US"/>
    </w:rPr>
  </w:style>
  <w:style w:type="paragraph" w:styleId="BodyTextIndent2">
    <w:name w:val="Body Text Indent 2"/>
    <w:basedOn w:val="Normal"/>
    <w:link w:val="BodyTextIndent2Char"/>
    <w:semiHidden/>
    <w:locked/>
    <w:rsid w:val="007D1C0E"/>
    <w:pPr>
      <w:spacing w:after="120" w:line="480" w:lineRule="auto"/>
      <w:ind w:left="283"/>
    </w:pPr>
  </w:style>
  <w:style w:type="character" w:customStyle="1" w:styleId="BodyTextIndent2Char">
    <w:name w:val="Body Text Indent 2 Char"/>
    <w:basedOn w:val="DefaultParagraphFont"/>
    <w:link w:val="BodyTextIndent2"/>
    <w:semiHidden/>
    <w:rsid w:val="007D1C0E"/>
    <w:rPr>
      <w:rFonts w:ascii="Georgia" w:hAnsi="Georgia" w:cs="Arial"/>
      <w:snapToGrid w:val="0"/>
      <w:sz w:val="20"/>
      <w:lang w:eastAsia="en-US"/>
    </w:rPr>
  </w:style>
  <w:style w:type="paragraph" w:styleId="BodyTextIndent3">
    <w:name w:val="Body Text Indent 3"/>
    <w:basedOn w:val="Normal"/>
    <w:link w:val="BodyTextIndent3Char"/>
    <w:semiHidden/>
    <w:locked/>
    <w:rsid w:val="007D1C0E"/>
    <w:pPr>
      <w:spacing w:after="120"/>
      <w:ind w:left="283"/>
    </w:pPr>
    <w:rPr>
      <w:sz w:val="16"/>
      <w:szCs w:val="16"/>
    </w:rPr>
  </w:style>
  <w:style w:type="character" w:customStyle="1" w:styleId="BodyTextIndent3Char">
    <w:name w:val="Body Text Indent 3 Char"/>
    <w:basedOn w:val="DefaultParagraphFont"/>
    <w:link w:val="BodyTextIndent3"/>
    <w:semiHidden/>
    <w:rsid w:val="007D1C0E"/>
    <w:rPr>
      <w:rFonts w:ascii="Georgia" w:hAnsi="Georgia" w:cs="Arial"/>
      <w:snapToGrid w:val="0"/>
      <w:sz w:val="16"/>
      <w:szCs w:val="16"/>
      <w:lang w:eastAsia="en-US"/>
    </w:rPr>
  </w:style>
  <w:style w:type="character" w:styleId="BookTitle">
    <w:name w:val="Book Title"/>
    <w:basedOn w:val="DefaultParagraphFont"/>
    <w:uiPriority w:val="33"/>
    <w:semiHidden/>
    <w:qFormat/>
    <w:locked/>
    <w:rsid w:val="007D1C0E"/>
    <w:rPr>
      <w:rFonts w:ascii="Georgia" w:hAnsi="Georgia"/>
      <w:b/>
      <w:bCs/>
      <w:smallCaps/>
      <w:spacing w:val="5"/>
    </w:rPr>
  </w:style>
  <w:style w:type="paragraph" w:styleId="Closing">
    <w:name w:val="Closing"/>
    <w:basedOn w:val="Normal"/>
    <w:link w:val="ClosingChar"/>
    <w:semiHidden/>
    <w:unhideWhenUsed/>
    <w:rsid w:val="007D1C0E"/>
    <w:pPr>
      <w:ind w:left="4252"/>
    </w:pPr>
  </w:style>
  <w:style w:type="character" w:customStyle="1" w:styleId="ClosingChar">
    <w:name w:val="Closing Char"/>
    <w:basedOn w:val="DefaultParagraphFont"/>
    <w:link w:val="Closing"/>
    <w:semiHidden/>
    <w:rsid w:val="007D1C0E"/>
    <w:rPr>
      <w:rFonts w:ascii="Georgia" w:hAnsi="Georgia" w:cs="Arial"/>
      <w:snapToGrid w:val="0"/>
      <w:sz w:val="20"/>
      <w:lang w:eastAsia="en-US"/>
    </w:rPr>
  </w:style>
  <w:style w:type="character" w:styleId="CommentReference">
    <w:name w:val="annotation reference"/>
    <w:basedOn w:val="DefaultParagraphFont"/>
    <w:uiPriority w:val="99"/>
    <w:semiHidden/>
    <w:rsid w:val="007D1C0E"/>
    <w:rPr>
      <w:rFonts w:ascii="Georgia" w:hAnsi="Georgia"/>
      <w:sz w:val="16"/>
      <w:szCs w:val="16"/>
    </w:rPr>
  </w:style>
  <w:style w:type="paragraph" w:styleId="CommentText">
    <w:name w:val="annotation text"/>
    <w:basedOn w:val="Normal"/>
    <w:link w:val="CommentTextChar"/>
    <w:uiPriority w:val="99"/>
    <w:semiHidden/>
    <w:rsid w:val="007D1C0E"/>
  </w:style>
  <w:style w:type="character" w:customStyle="1" w:styleId="CommentTextChar">
    <w:name w:val="Comment Text Char"/>
    <w:basedOn w:val="DefaultParagraphFont"/>
    <w:link w:val="CommentText"/>
    <w:uiPriority w:val="99"/>
    <w:semiHidden/>
    <w:rsid w:val="007D1C0E"/>
    <w:rPr>
      <w:rFonts w:ascii="Georgia" w:hAnsi="Georgia" w:cs="Arial"/>
      <w:snapToGrid w:val="0"/>
      <w:sz w:val="20"/>
      <w:szCs w:val="20"/>
      <w:lang w:eastAsia="en-US"/>
    </w:rPr>
  </w:style>
  <w:style w:type="paragraph" w:styleId="CommentSubject">
    <w:name w:val="annotation subject"/>
    <w:basedOn w:val="CommentText"/>
    <w:next w:val="CommentText"/>
    <w:link w:val="CommentSubjectChar"/>
    <w:semiHidden/>
    <w:rsid w:val="007D1C0E"/>
    <w:rPr>
      <w:b/>
      <w:bCs/>
    </w:rPr>
  </w:style>
  <w:style w:type="character" w:customStyle="1" w:styleId="CommentSubjectChar">
    <w:name w:val="Comment Subject Char"/>
    <w:basedOn w:val="CommentTextChar"/>
    <w:link w:val="CommentSubject"/>
    <w:semiHidden/>
    <w:rsid w:val="007D1C0E"/>
    <w:rPr>
      <w:rFonts w:ascii="Georgia" w:hAnsi="Georgia" w:cs="Arial"/>
      <w:b/>
      <w:bCs/>
      <w:snapToGrid w:val="0"/>
      <w:sz w:val="20"/>
      <w:szCs w:val="20"/>
      <w:lang w:eastAsia="en-US"/>
    </w:rPr>
  </w:style>
  <w:style w:type="paragraph" w:styleId="EnvelopeAddress">
    <w:name w:val="envelope address"/>
    <w:basedOn w:val="Normal"/>
    <w:semiHidden/>
    <w:unhideWhenUsed/>
    <w:locked/>
    <w:rsid w:val="007D1C0E"/>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semiHidden/>
    <w:locked/>
    <w:rsid w:val="007D1C0E"/>
    <w:rPr>
      <w:rFonts w:asciiTheme="majorHAnsi" w:eastAsiaTheme="majorEastAsia" w:hAnsiTheme="majorHAnsi" w:cstheme="majorBidi"/>
    </w:rPr>
  </w:style>
  <w:style w:type="character" w:styleId="FollowedHyperlink">
    <w:name w:val="FollowedHyperlink"/>
    <w:basedOn w:val="DefaultParagraphFont"/>
    <w:semiHidden/>
    <w:rsid w:val="007D1C0E"/>
    <w:rPr>
      <w:color w:val="A32020" w:themeColor="followedHyperlink"/>
      <w:u w:val="single"/>
    </w:rPr>
  </w:style>
  <w:style w:type="character" w:styleId="Hyperlink">
    <w:name w:val="Hyperlink"/>
    <w:basedOn w:val="DefaultParagraphFont"/>
    <w:uiPriority w:val="99"/>
    <w:rsid w:val="00185720"/>
    <w:rPr>
      <w:color w:val="A32020" w:themeColor="text2"/>
      <w:u w:val="single"/>
    </w:rPr>
  </w:style>
  <w:style w:type="paragraph" w:styleId="IndexHeading">
    <w:name w:val="index heading"/>
    <w:basedOn w:val="Normal"/>
    <w:next w:val="Normal"/>
    <w:semiHidden/>
    <w:rsid w:val="007D1C0E"/>
    <w:rPr>
      <w:rFonts w:asciiTheme="majorHAnsi" w:eastAsiaTheme="majorEastAsia" w:hAnsiTheme="majorHAnsi" w:cstheme="majorBidi"/>
      <w:b/>
      <w:bCs/>
    </w:rPr>
  </w:style>
  <w:style w:type="paragraph" w:customStyle="1" w:styleId="BlockTextClient">
    <w:name w:val="Block Text Client"/>
    <w:basedOn w:val="BlockText"/>
    <w:rsid w:val="004138E6"/>
    <w:pPr>
      <w:spacing w:after="0"/>
    </w:pPr>
    <w:rPr>
      <w:b w:val="0"/>
      <w:sz w:val="20"/>
    </w:rPr>
  </w:style>
  <w:style w:type="paragraph" w:customStyle="1" w:styleId="BlockTextPosition">
    <w:name w:val="Block Text Position"/>
    <w:basedOn w:val="BlockText"/>
    <w:rsid w:val="004138E6"/>
    <w:rPr>
      <w:b w:val="0"/>
      <w:i w:val="0"/>
      <w:sz w:val="20"/>
    </w:rPr>
  </w:style>
  <w:style w:type="paragraph" w:customStyle="1" w:styleId="BlockText2Client">
    <w:name w:val="Block Text 2 Client"/>
    <w:basedOn w:val="BlockText2"/>
    <w:rsid w:val="004138E6"/>
    <w:pPr>
      <w:spacing w:after="0"/>
    </w:pPr>
    <w:rPr>
      <w:sz w:val="20"/>
      <w:szCs w:val="20"/>
    </w:rPr>
  </w:style>
  <w:style w:type="paragraph" w:customStyle="1" w:styleId="BlockText2Position">
    <w:name w:val="Block Text 2 Position"/>
    <w:basedOn w:val="BlockText2"/>
    <w:rsid w:val="004138E6"/>
    <w:rPr>
      <w:i w:val="0"/>
      <w:sz w:val="20"/>
      <w:szCs w:val="20"/>
    </w:rPr>
  </w:style>
  <w:style w:type="character" w:styleId="LineNumber">
    <w:name w:val="line number"/>
    <w:basedOn w:val="DefaultParagraphFont"/>
    <w:semiHidden/>
    <w:rsid w:val="007D1C0E"/>
  </w:style>
  <w:style w:type="paragraph" w:styleId="ListBullet">
    <w:name w:val="List Bullet"/>
    <w:basedOn w:val="Normal"/>
    <w:qFormat/>
    <w:locked/>
    <w:rsid w:val="00083500"/>
    <w:pPr>
      <w:numPr>
        <w:numId w:val="29"/>
      </w:numPr>
      <w:spacing w:before="120" w:after="120"/>
    </w:pPr>
  </w:style>
  <w:style w:type="paragraph" w:styleId="ListBullet5">
    <w:name w:val="List Bullet 5"/>
    <w:basedOn w:val="ListBullet4"/>
    <w:unhideWhenUsed/>
    <w:locked/>
    <w:rsid w:val="00083500"/>
    <w:pPr>
      <w:numPr>
        <w:ilvl w:val="4"/>
      </w:numPr>
      <w:contextualSpacing/>
    </w:pPr>
  </w:style>
  <w:style w:type="paragraph" w:styleId="ListNumber">
    <w:name w:val="List Number"/>
    <w:basedOn w:val="Normal"/>
    <w:uiPriority w:val="13"/>
    <w:unhideWhenUsed/>
    <w:qFormat/>
    <w:locked/>
    <w:rsid w:val="00083500"/>
    <w:pPr>
      <w:numPr>
        <w:numId w:val="30"/>
      </w:numPr>
      <w:contextualSpacing/>
    </w:pPr>
  </w:style>
  <w:style w:type="paragraph" w:styleId="ListNumber2">
    <w:name w:val="List Number 2"/>
    <w:basedOn w:val="ListNumber"/>
    <w:uiPriority w:val="13"/>
    <w:unhideWhenUsed/>
    <w:qFormat/>
    <w:locked/>
    <w:rsid w:val="00083500"/>
    <w:pPr>
      <w:numPr>
        <w:ilvl w:val="1"/>
      </w:numPr>
    </w:pPr>
  </w:style>
  <w:style w:type="paragraph" w:styleId="ListNumber3">
    <w:name w:val="List Number 3"/>
    <w:basedOn w:val="ListNumber2"/>
    <w:uiPriority w:val="13"/>
    <w:unhideWhenUsed/>
    <w:qFormat/>
    <w:locked/>
    <w:rsid w:val="00083500"/>
    <w:pPr>
      <w:numPr>
        <w:ilvl w:val="2"/>
      </w:numPr>
    </w:pPr>
  </w:style>
  <w:style w:type="paragraph" w:styleId="ListNumber4">
    <w:name w:val="List Number 4"/>
    <w:basedOn w:val="ListNumber3"/>
    <w:uiPriority w:val="13"/>
    <w:unhideWhenUsed/>
    <w:locked/>
    <w:rsid w:val="00083500"/>
    <w:pPr>
      <w:numPr>
        <w:ilvl w:val="3"/>
      </w:numPr>
    </w:pPr>
  </w:style>
  <w:style w:type="paragraph" w:styleId="ListNumber5">
    <w:name w:val="List Number 5"/>
    <w:basedOn w:val="ListNumber4"/>
    <w:uiPriority w:val="13"/>
    <w:unhideWhenUsed/>
    <w:locked/>
    <w:rsid w:val="00083500"/>
    <w:pPr>
      <w:numPr>
        <w:ilvl w:val="4"/>
      </w:numPr>
    </w:pPr>
  </w:style>
  <w:style w:type="paragraph" w:styleId="ListParagraph">
    <w:name w:val="List Paragraph"/>
    <w:basedOn w:val="Normal"/>
    <w:uiPriority w:val="34"/>
    <w:qFormat/>
    <w:locked/>
    <w:rsid w:val="00083500"/>
    <w:pPr>
      <w:ind w:left="720"/>
      <w:contextualSpacing/>
    </w:pPr>
  </w:style>
  <w:style w:type="paragraph" w:styleId="MessageHeader">
    <w:name w:val="Message Header"/>
    <w:basedOn w:val="Normal"/>
    <w:link w:val="MessageHeaderChar"/>
    <w:semiHidden/>
    <w:rsid w:val="007D1C0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7D1C0E"/>
    <w:rPr>
      <w:rFonts w:asciiTheme="majorHAnsi" w:eastAsiaTheme="majorEastAsia" w:hAnsiTheme="majorHAnsi" w:cstheme="majorBidi"/>
      <w:snapToGrid w:val="0"/>
      <w:sz w:val="24"/>
      <w:szCs w:val="24"/>
      <w:shd w:val="pct20" w:color="auto" w:fill="auto"/>
      <w:lang w:eastAsia="en-US"/>
    </w:rPr>
  </w:style>
  <w:style w:type="paragraph" w:styleId="NoSpacing">
    <w:name w:val="No Spacing"/>
    <w:uiPriority w:val="1"/>
    <w:semiHidden/>
    <w:qFormat/>
    <w:rsid w:val="007D1C0E"/>
    <w:pPr>
      <w:kinsoku w:val="0"/>
      <w:overflowPunct w:val="0"/>
      <w:autoSpaceDE w:val="0"/>
      <w:autoSpaceDN w:val="0"/>
      <w:adjustRightInd w:val="0"/>
      <w:snapToGrid w:val="0"/>
    </w:pPr>
    <w:rPr>
      <w:rFonts w:cs="Arial"/>
      <w:snapToGrid w:val="0"/>
      <w:lang w:eastAsia="en-US"/>
    </w:rPr>
  </w:style>
  <w:style w:type="paragraph" w:styleId="NormalIndent">
    <w:name w:val="Normal Indent"/>
    <w:basedOn w:val="Normal"/>
    <w:semiHidden/>
    <w:rsid w:val="007D1C0E"/>
    <w:pPr>
      <w:ind w:left="720"/>
    </w:pPr>
  </w:style>
  <w:style w:type="paragraph" w:styleId="NoteHeading">
    <w:name w:val="Note Heading"/>
    <w:basedOn w:val="Normal"/>
    <w:next w:val="Normal"/>
    <w:link w:val="NoteHeadingChar"/>
    <w:semiHidden/>
    <w:unhideWhenUsed/>
    <w:rsid w:val="007D1C0E"/>
  </w:style>
  <w:style w:type="character" w:customStyle="1" w:styleId="NoteHeadingChar">
    <w:name w:val="Note Heading Char"/>
    <w:basedOn w:val="DefaultParagraphFont"/>
    <w:link w:val="NoteHeading"/>
    <w:semiHidden/>
    <w:rsid w:val="007D1C0E"/>
    <w:rPr>
      <w:rFonts w:cs="Arial"/>
      <w:snapToGrid w:val="0"/>
      <w:lang w:eastAsia="en-US"/>
    </w:rPr>
  </w:style>
  <w:style w:type="character" w:styleId="PlaceholderText">
    <w:name w:val="Placeholder Text"/>
    <w:basedOn w:val="DefaultParagraphFont"/>
    <w:uiPriority w:val="99"/>
    <w:semiHidden/>
    <w:rsid w:val="007D1C0E"/>
    <w:rPr>
      <w:color w:val="808080"/>
    </w:rPr>
  </w:style>
  <w:style w:type="paragraph" w:styleId="PlainText">
    <w:name w:val="Plain Text"/>
    <w:basedOn w:val="Normal"/>
    <w:link w:val="PlainTextChar"/>
    <w:semiHidden/>
    <w:rsid w:val="007D1C0E"/>
    <w:rPr>
      <w:rFonts w:ascii="Consolas" w:hAnsi="Consolas"/>
    </w:rPr>
  </w:style>
  <w:style w:type="character" w:customStyle="1" w:styleId="PlainTextChar">
    <w:name w:val="Plain Text Char"/>
    <w:basedOn w:val="DefaultParagraphFont"/>
    <w:link w:val="PlainText"/>
    <w:semiHidden/>
    <w:rsid w:val="007D1C0E"/>
    <w:rPr>
      <w:rFonts w:ascii="Consolas" w:hAnsi="Consolas" w:cs="Arial"/>
      <w:snapToGrid w:val="0"/>
      <w:lang w:eastAsia="en-US"/>
    </w:rPr>
  </w:style>
  <w:style w:type="paragraph" w:styleId="Quote">
    <w:name w:val="Quote"/>
    <w:basedOn w:val="Normal"/>
    <w:next w:val="Normal"/>
    <w:link w:val="QuoteChar"/>
    <w:uiPriority w:val="29"/>
    <w:semiHidden/>
    <w:qFormat/>
    <w:rsid w:val="007D1C0E"/>
    <w:rPr>
      <w:i/>
      <w:iCs/>
      <w:color w:val="000000" w:themeColor="text1"/>
    </w:rPr>
  </w:style>
  <w:style w:type="character" w:customStyle="1" w:styleId="QuoteChar">
    <w:name w:val="Quote Char"/>
    <w:basedOn w:val="DefaultParagraphFont"/>
    <w:link w:val="Quote"/>
    <w:uiPriority w:val="29"/>
    <w:semiHidden/>
    <w:rsid w:val="007D1C0E"/>
    <w:rPr>
      <w:rFonts w:cs="Arial"/>
      <w:i/>
      <w:iCs/>
      <w:snapToGrid w:val="0"/>
      <w:color w:val="000000" w:themeColor="text1"/>
      <w:lang w:eastAsia="en-US"/>
    </w:rPr>
  </w:style>
  <w:style w:type="paragraph" w:styleId="Salutation">
    <w:name w:val="Salutation"/>
    <w:basedOn w:val="Normal"/>
    <w:next w:val="Normal"/>
    <w:link w:val="SalutationChar"/>
    <w:semiHidden/>
    <w:unhideWhenUsed/>
    <w:rsid w:val="007D1C0E"/>
  </w:style>
  <w:style w:type="character" w:customStyle="1" w:styleId="SalutationChar">
    <w:name w:val="Salutation Char"/>
    <w:basedOn w:val="DefaultParagraphFont"/>
    <w:link w:val="Salutation"/>
    <w:semiHidden/>
    <w:rsid w:val="007D1C0E"/>
    <w:rPr>
      <w:rFonts w:cs="Arial"/>
      <w:snapToGrid w:val="0"/>
      <w:lang w:eastAsia="en-US"/>
    </w:rPr>
  </w:style>
  <w:style w:type="paragraph" w:styleId="Signature">
    <w:name w:val="Signature"/>
    <w:basedOn w:val="Normal"/>
    <w:link w:val="SignatureChar"/>
    <w:semiHidden/>
    <w:rsid w:val="007D1C0E"/>
    <w:pPr>
      <w:ind w:left="4252"/>
    </w:pPr>
  </w:style>
  <w:style w:type="character" w:customStyle="1" w:styleId="SignatureChar">
    <w:name w:val="Signature Char"/>
    <w:basedOn w:val="DefaultParagraphFont"/>
    <w:link w:val="Signature"/>
    <w:semiHidden/>
    <w:rsid w:val="007D1C0E"/>
    <w:rPr>
      <w:rFonts w:cs="Arial"/>
      <w:snapToGrid w:val="0"/>
      <w:lang w:eastAsia="en-US"/>
    </w:rPr>
  </w:style>
  <w:style w:type="paragraph" w:styleId="TableofAuthorities">
    <w:name w:val="table of authorities"/>
    <w:basedOn w:val="Normal"/>
    <w:next w:val="Normal"/>
    <w:semiHidden/>
    <w:unhideWhenUsed/>
    <w:rsid w:val="007D1C0E"/>
    <w:pPr>
      <w:ind w:left="210" w:hanging="210"/>
    </w:pPr>
  </w:style>
  <w:style w:type="paragraph" w:styleId="TableofFigures">
    <w:name w:val="table of figures"/>
    <w:basedOn w:val="Normal"/>
    <w:next w:val="Normal"/>
    <w:semiHidden/>
    <w:unhideWhenUsed/>
    <w:rsid w:val="007D1C0E"/>
  </w:style>
  <w:style w:type="paragraph" w:styleId="TOAHeading">
    <w:name w:val="toa heading"/>
    <w:basedOn w:val="Normal"/>
    <w:next w:val="Normal"/>
    <w:semiHidden/>
    <w:unhideWhenUsed/>
    <w:rsid w:val="007D1C0E"/>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7D1C0E"/>
    <w:pPr>
      <w:keepNext/>
      <w:keepLines/>
      <w:spacing w:before="480" w:line="240" w:lineRule="auto"/>
      <w:outlineLvl w:val="9"/>
    </w:pPr>
    <w:rPr>
      <w:rFonts w:eastAsiaTheme="majorEastAsia" w:cstheme="majorBidi"/>
      <w:color w:val="7A1818" w:themeColor="accent1" w:themeShade="BF"/>
      <w:sz w:val="28"/>
      <w:szCs w:val="28"/>
    </w:rPr>
  </w:style>
  <w:style w:type="paragraph" w:customStyle="1" w:styleId="CoverPanelFrame">
    <w:name w:val="Cover Panel Frame"/>
    <w:basedOn w:val="Coverpulloutframe"/>
    <w:rsid w:val="0059630D"/>
    <w:pPr>
      <w:framePr w:w="7441" w:wrap="notBeside" w:vAnchor="margin" w:hAnchor="text" w:x="-112" w:y="1"/>
      <w:pBdr>
        <w:top w:val="single" w:sz="4" w:space="1" w:color="auto"/>
        <w:left w:val="single" w:sz="4" w:space="4" w:color="auto"/>
      </w:pBdr>
    </w:pPr>
    <w:rPr>
      <w:rFonts w:eastAsia="+mn-ea"/>
    </w:rPr>
  </w:style>
  <w:style w:type="paragraph" w:customStyle="1" w:styleId="LogoActivated">
    <w:name w:val="Logo Activated"/>
    <w:basedOn w:val="Normal"/>
    <w:rsid w:val="00993DBB"/>
    <w:pPr>
      <w:framePr w:w="3119" w:h="1412" w:hRule="exact" w:wrap="around" w:vAnchor="page" w:hAnchor="page" w:x="1543" w:y="15299"/>
      <w:tabs>
        <w:tab w:val="center" w:pos="2551"/>
        <w:tab w:val="right" w:pos="7682"/>
      </w:tabs>
      <w:spacing w:line="0" w:lineRule="atLeast"/>
    </w:pPr>
    <w:rPr>
      <w:rFonts w:asciiTheme="majorHAnsi" w:hAnsiTheme="majorHAnsi"/>
      <w:noProof/>
      <w:snapToGrid/>
      <w:sz w:val="18"/>
      <w:szCs w:val="32"/>
      <w:lang w:eastAsia="en-AU"/>
    </w:rPr>
  </w:style>
  <w:style w:type="paragraph" w:customStyle="1" w:styleId="FirstPagePanelFrame">
    <w:name w:val="First Page Panel Frame"/>
    <w:basedOn w:val="CoverPanelFrame"/>
    <w:rsid w:val="00C151DD"/>
    <w:pPr>
      <w:framePr w:w="8334" w:h="227" w:hRule="exact" w:wrap="notBeside" w:y="-169"/>
      <w:pBdr>
        <w:top w:val="single" w:sz="6" w:space="1" w:color="A32020" w:themeColor="text2"/>
        <w:left w:val="single" w:sz="6" w:space="4" w:color="A32020" w:themeColor="text2"/>
      </w:pBdr>
    </w:pPr>
  </w:style>
  <w:style w:type="paragraph" w:customStyle="1" w:styleId="URLCover">
    <w:name w:val="URL Cover"/>
    <w:basedOn w:val="Normal"/>
    <w:rsid w:val="00270144"/>
    <w:rPr>
      <w:color w:val="000000" w:themeColor="text1"/>
      <w:sz w:val="19"/>
    </w:rPr>
  </w:style>
  <w:style w:type="paragraph" w:customStyle="1" w:styleId="Coverpulloutframe">
    <w:name w:val="Cover pull out frame"/>
    <w:basedOn w:val="KeySentenceInside"/>
    <w:rsid w:val="007625E6"/>
    <w:pPr>
      <w:framePr w:w="2189" w:h="227" w:wrap="notBeside" w:vAnchor="page" w:hAnchor="page" w:x="908" w:y="8415"/>
      <w:pBdr>
        <w:top w:val="dotted" w:sz="8" w:space="1" w:color="A32020" w:themeColor="text2"/>
        <w:left w:val="dotted" w:sz="8" w:space="4" w:color="A32020" w:themeColor="text2"/>
      </w:pBdr>
      <w:spacing w:after="0" w:line="0" w:lineRule="atLeast"/>
    </w:pPr>
    <w:rPr>
      <w:color w:val="auto"/>
      <w:sz w:val="8"/>
      <w:lang w:val="en-GB"/>
    </w:rPr>
  </w:style>
  <w:style w:type="paragraph" w:customStyle="1" w:styleId="CoverOutcomeHeadline">
    <w:name w:val="Cover Outcome Headline"/>
    <w:basedOn w:val="PwCNormal"/>
    <w:rsid w:val="00617CBF"/>
    <w:pPr>
      <w:spacing w:after="0" w:line="960" w:lineRule="atLeast"/>
      <w:ind w:right="1701"/>
    </w:pPr>
    <w:rPr>
      <w:b/>
      <w:i/>
      <w:color w:val="FFFFFF" w:themeColor="background1"/>
      <w:sz w:val="88"/>
      <w:szCs w:val="88"/>
      <w:lang w:val="en-GB"/>
    </w:rPr>
  </w:style>
  <w:style w:type="paragraph" w:customStyle="1" w:styleId="CoverOutcomeSubtitle">
    <w:name w:val="Cover Outcome Subtitle"/>
    <w:basedOn w:val="CoverOutcomeHeadline"/>
    <w:rsid w:val="00A93A63"/>
    <w:rPr>
      <w:b w:val="0"/>
      <w:i w:val="0"/>
    </w:rPr>
  </w:style>
  <w:style w:type="paragraph" w:customStyle="1" w:styleId="LogoFixed">
    <w:name w:val="Logo Fixed"/>
    <w:basedOn w:val="LogoActivated"/>
    <w:rsid w:val="003D28AE"/>
    <w:pPr>
      <w:framePr w:h="2733" w:hRule="exact" w:wrap="around" w:x="1322" w:y="14125"/>
    </w:pPr>
  </w:style>
  <w:style w:type="paragraph" w:customStyle="1" w:styleId="NumericCaption">
    <w:name w:val="Numeric Caption"/>
    <w:basedOn w:val="Caption"/>
    <w:rsid w:val="00053B82"/>
    <w:rPr>
      <w:rFonts w:ascii="Arial" w:hAnsi="Arial"/>
    </w:rPr>
  </w:style>
  <w:style w:type="paragraph" w:customStyle="1" w:styleId="NumericTableColumnHeadingNormal">
    <w:name w:val="Numeric Table Column Heading Normal"/>
    <w:basedOn w:val="TableColumnHeadingNormal"/>
    <w:rsid w:val="00053B82"/>
    <w:rPr>
      <w:rFonts w:ascii="Arial" w:hAnsi="Arial"/>
    </w:rPr>
  </w:style>
  <w:style w:type="paragraph" w:customStyle="1" w:styleId="NumericTableTextNormal">
    <w:name w:val="Numeric Table Text Normal"/>
    <w:basedOn w:val="TableTextNormal"/>
    <w:rsid w:val="00053B82"/>
    <w:rPr>
      <w:rFonts w:ascii="Arial" w:hAnsi="Arial"/>
    </w:rPr>
  </w:style>
  <w:style w:type="paragraph" w:customStyle="1" w:styleId="NumericSources">
    <w:name w:val="Numeric Sources"/>
    <w:basedOn w:val="Sources"/>
    <w:rsid w:val="00053B82"/>
    <w:rPr>
      <w:rFonts w:ascii="Arial" w:hAnsi="Arial"/>
    </w:rPr>
  </w:style>
  <w:style w:type="paragraph" w:customStyle="1" w:styleId="NumericTableColumnHeadingSmall">
    <w:name w:val="Numeric Table Column Heading Small"/>
    <w:basedOn w:val="NumericTableColumnHeadingNormal"/>
    <w:rsid w:val="0052509C"/>
    <w:rPr>
      <w:sz w:val="16"/>
      <w:szCs w:val="16"/>
    </w:rPr>
  </w:style>
  <w:style w:type="paragraph" w:customStyle="1" w:styleId="NumericTableTextSmall">
    <w:name w:val="Numeric Table Text Small"/>
    <w:basedOn w:val="NumericTableTextNormal"/>
    <w:rsid w:val="0052509C"/>
    <w:rPr>
      <w:sz w:val="16"/>
      <w:szCs w:val="16"/>
    </w:rPr>
  </w:style>
  <w:style w:type="paragraph" w:customStyle="1" w:styleId="NumericTableTextDecimalNormal">
    <w:name w:val="Numeric Table Text Decimal Normal"/>
    <w:basedOn w:val="NumericTableTextNormal"/>
    <w:rsid w:val="006304C7"/>
    <w:pPr>
      <w:tabs>
        <w:tab w:val="decimal" w:pos="1004"/>
      </w:tabs>
    </w:pPr>
  </w:style>
  <w:style w:type="paragraph" w:customStyle="1" w:styleId="NumericTableTextDecimalSmall">
    <w:name w:val="Numeric Table Text Decimal Small"/>
    <w:basedOn w:val="NumericTableTextDecimalNormal"/>
    <w:rsid w:val="006304C7"/>
    <w:rPr>
      <w:sz w:val="16"/>
      <w:szCs w:val="16"/>
    </w:rPr>
  </w:style>
  <w:style w:type="paragraph" w:customStyle="1" w:styleId="Heading2Nospacing">
    <w:name w:val="Heading 2 No spacing"/>
    <w:basedOn w:val="Heading2"/>
    <w:rsid w:val="00F8314A"/>
    <w:pPr>
      <w:spacing w:after="0" w:line="0" w:lineRule="atLeast"/>
      <w:ind w:left="851" w:hanging="851"/>
    </w:pPr>
  </w:style>
  <w:style w:type="paragraph" w:customStyle="1" w:styleId="TableNumberedList1">
    <w:name w:val="Table Numbered List 1"/>
    <w:basedOn w:val="TableTextNormal"/>
    <w:rsid w:val="00EA47AB"/>
    <w:pPr>
      <w:numPr>
        <w:numId w:val="13"/>
      </w:numPr>
    </w:pPr>
  </w:style>
  <w:style w:type="paragraph" w:customStyle="1" w:styleId="TableNumberedList2">
    <w:name w:val="Table Numbered List 2"/>
    <w:basedOn w:val="TableNumberedList1"/>
    <w:rsid w:val="00EA47AB"/>
    <w:pPr>
      <w:numPr>
        <w:ilvl w:val="1"/>
      </w:numPr>
      <w:spacing w:before="40" w:after="40"/>
    </w:pPr>
  </w:style>
  <w:style w:type="paragraph" w:customStyle="1" w:styleId="TableNumberedList3">
    <w:name w:val="Table Numbered List 3"/>
    <w:basedOn w:val="TableNumberedList2"/>
    <w:rsid w:val="00EA47AB"/>
    <w:pPr>
      <w:numPr>
        <w:ilvl w:val="2"/>
      </w:numPr>
    </w:pPr>
  </w:style>
  <w:style w:type="paragraph" w:customStyle="1" w:styleId="TableNumberedListSmall1">
    <w:name w:val="Table Numbered List Small 1"/>
    <w:basedOn w:val="TableTextSmall"/>
    <w:rsid w:val="00EA47AB"/>
    <w:pPr>
      <w:numPr>
        <w:numId w:val="15"/>
      </w:numPr>
    </w:pPr>
  </w:style>
  <w:style w:type="paragraph" w:customStyle="1" w:styleId="TableNumberedListSmall2">
    <w:name w:val="Table Numbered List Small 2"/>
    <w:basedOn w:val="TableNumberedListSmall1"/>
    <w:rsid w:val="00EA47AB"/>
    <w:pPr>
      <w:numPr>
        <w:ilvl w:val="1"/>
      </w:numPr>
    </w:pPr>
    <w:rPr>
      <w:szCs w:val="21"/>
    </w:rPr>
  </w:style>
  <w:style w:type="paragraph" w:customStyle="1" w:styleId="TableNumberedListSmall3">
    <w:name w:val="Table Numbered List Small 3"/>
    <w:basedOn w:val="TableNumberedListSmall2"/>
    <w:rsid w:val="00EA47AB"/>
    <w:pPr>
      <w:numPr>
        <w:ilvl w:val="2"/>
      </w:numPr>
    </w:pPr>
  </w:style>
  <w:style w:type="numbering" w:customStyle="1" w:styleId="ListNumberList">
    <w:name w:val="List Number List"/>
    <w:uiPriority w:val="99"/>
    <w:rsid w:val="00083500"/>
    <w:pPr>
      <w:numPr>
        <w:numId w:val="16"/>
      </w:numPr>
    </w:pPr>
  </w:style>
  <w:style w:type="numbering" w:styleId="111111">
    <w:name w:val="Outline List 2"/>
    <w:basedOn w:val="NoList"/>
    <w:rsid w:val="00070164"/>
    <w:pPr>
      <w:numPr>
        <w:numId w:val="17"/>
      </w:numPr>
    </w:pPr>
  </w:style>
  <w:style w:type="numbering" w:styleId="1ai">
    <w:name w:val="Outline List 1"/>
    <w:basedOn w:val="NoList"/>
    <w:rsid w:val="00070164"/>
    <w:pPr>
      <w:numPr>
        <w:numId w:val="18"/>
      </w:numPr>
    </w:pPr>
  </w:style>
  <w:style w:type="numbering" w:styleId="ArticleSection">
    <w:name w:val="Outline List 3"/>
    <w:basedOn w:val="NoList"/>
    <w:rsid w:val="00070164"/>
    <w:pPr>
      <w:numPr>
        <w:numId w:val="19"/>
      </w:numPr>
    </w:pPr>
  </w:style>
  <w:style w:type="paragraph" w:customStyle="1" w:styleId="Minorheading3">
    <w:name w:val="Minor heading 3"/>
    <w:basedOn w:val="Minorheading2"/>
    <w:rsid w:val="00D657FC"/>
    <w:rPr>
      <w:b w:val="0"/>
      <w:i/>
    </w:rPr>
  </w:style>
  <w:style w:type="table" w:customStyle="1" w:styleId="Tables-APLines">
    <w:name w:val="Tables - AP Lines"/>
    <w:basedOn w:val="TableNormal"/>
    <w:rsid w:val="00127829"/>
    <w:tblPr>
      <w:tblStyleRowBandSize w:val="1"/>
      <w:tblStyleColBandSize w:val="1"/>
      <w:tblInd w:w="0" w:type="dxa"/>
      <w:tblBorders>
        <w:insideH w:val="single" w:sz="4" w:space="0" w:color="A32020" w:themeColor="text2"/>
        <w:insideV w:val="single" w:sz="4" w:space="0" w:color="A32020" w:themeColor="text2"/>
      </w:tblBorders>
      <w:tblCellMar>
        <w:top w:w="0" w:type="dxa"/>
        <w:left w:w="108" w:type="dxa"/>
        <w:bottom w:w="0" w:type="dxa"/>
        <w:right w:w="108" w:type="dxa"/>
      </w:tblCellMar>
    </w:tblPr>
    <w:tcPr>
      <w:shd w:val="clear" w:color="auto" w:fill="auto"/>
    </w:tcPr>
    <w:tblStylePr w:type="firstRow">
      <w:pPr>
        <w:jc w:val="center"/>
      </w:pPr>
      <w:rPr>
        <w:rFonts w:asciiTheme="minorHAnsi" w:hAnsiTheme="minorHAnsi"/>
        <w:color w:val="auto"/>
      </w:rPr>
      <w:tblPr/>
      <w:tcPr>
        <w:vAlign w:val="bottom"/>
      </w:tcPr>
    </w:tblStylePr>
    <w:tblStylePr w:type="lastRow">
      <w:rPr>
        <w:color w:val="FFFFFF" w:themeColor="background1"/>
      </w:rPr>
    </w:tblStylePr>
    <w:tblStylePr w:type="nwCell">
      <w:pPr>
        <w:jc w:val="left"/>
      </w:pPr>
      <w:tblPr/>
      <w:tcPr>
        <w:vAlign w:val="bottom"/>
      </w:tcPr>
    </w:tblStylePr>
  </w:style>
  <w:style w:type="table" w:customStyle="1" w:styleId="PwCPanelframe">
    <w:name w:val="PwC Panel frame"/>
    <w:basedOn w:val="TableNormal"/>
    <w:uiPriority w:val="99"/>
    <w:qFormat/>
    <w:rsid w:val="004B1E27"/>
    <w:pPr>
      <w:spacing w:line="227" w:lineRule="exact"/>
    </w:pPr>
    <w:rPr>
      <w:sz w:val="8"/>
    </w:rPr>
    <w:tblPr>
      <w:tblInd w:w="0" w:type="dxa"/>
      <w:tblBorders>
        <w:top w:val="single" w:sz="8" w:space="0" w:color="A32020" w:themeColor="text2"/>
        <w:left w:val="single" w:sz="8" w:space="0" w:color="A32020" w:themeColor="text2"/>
      </w:tblBorders>
      <w:tblCellMar>
        <w:top w:w="0" w:type="dxa"/>
        <w:left w:w="227" w:type="dxa"/>
        <w:bottom w:w="0" w:type="dxa"/>
        <w:right w:w="0" w:type="dxa"/>
      </w:tblCellMar>
    </w:tblPr>
    <w:tcPr>
      <w:shd w:val="clear" w:color="auto" w:fill="auto"/>
    </w:tcPr>
  </w:style>
  <w:style w:type="table" w:customStyle="1" w:styleId="PwCpull-outframe">
    <w:name w:val="PwC pull-out frame"/>
    <w:basedOn w:val="PwCPanelframe"/>
    <w:uiPriority w:val="99"/>
    <w:rsid w:val="007167DF"/>
    <w:tblPr>
      <w:tblInd w:w="0" w:type="dxa"/>
      <w:tblBorders>
        <w:top w:val="dotted" w:sz="8" w:space="0" w:color="A32020" w:themeColor="text2"/>
        <w:left w:val="dotted" w:sz="8" w:space="0" w:color="A32020" w:themeColor="text2"/>
      </w:tblBorders>
      <w:tblCellMar>
        <w:top w:w="0" w:type="dxa"/>
        <w:left w:w="227" w:type="dxa"/>
        <w:bottom w:w="0" w:type="dxa"/>
        <w:right w:w="0" w:type="dxa"/>
      </w:tblCellMar>
    </w:tblPr>
    <w:tcPr>
      <w:shd w:val="clear" w:color="auto" w:fill="auto"/>
    </w:tcPr>
  </w:style>
  <w:style w:type="paragraph" w:customStyle="1" w:styleId="Bullet1">
    <w:name w:val="Bullet 1"/>
    <w:basedOn w:val="PwCNormal"/>
    <w:rsid w:val="00BE4F03"/>
    <w:pPr>
      <w:numPr>
        <w:numId w:val="23"/>
      </w:numPr>
      <w:spacing w:after="80"/>
    </w:pPr>
  </w:style>
  <w:style w:type="paragraph" w:customStyle="1" w:styleId="Bullet2">
    <w:name w:val="Bullet 2"/>
    <w:basedOn w:val="Bullet1"/>
    <w:rsid w:val="003522D8"/>
    <w:pPr>
      <w:numPr>
        <w:ilvl w:val="1"/>
      </w:numPr>
    </w:pPr>
  </w:style>
  <w:style w:type="paragraph" w:customStyle="1" w:styleId="Bullet3">
    <w:name w:val="Bullet 3"/>
    <w:basedOn w:val="Bullet2"/>
    <w:rsid w:val="003522D8"/>
    <w:pPr>
      <w:numPr>
        <w:ilvl w:val="2"/>
      </w:numPr>
    </w:pPr>
  </w:style>
  <w:style w:type="paragraph" w:customStyle="1" w:styleId="Bullet4">
    <w:name w:val="Bullet 4"/>
    <w:basedOn w:val="Bullet3"/>
    <w:rsid w:val="003522D8"/>
    <w:pPr>
      <w:numPr>
        <w:ilvl w:val="3"/>
      </w:numPr>
    </w:pPr>
  </w:style>
  <w:style w:type="numbering" w:customStyle="1" w:styleId="Bullets">
    <w:name w:val="Bullets"/>
    <w:uiPriority w:val="99"/>
    <w:rsid w:val="00BE4F03"/>
    <w:pPr>
      <w:numPr>
        <w:numId w:val="20"/>
      </w:numPr>
    </w:pPr>
  </w:style>
  <w:style w:type="paragraph" w:customStyle="1" w:styleId="FirstPagePanelFrame-Contents">
    <w:name w:val="First Page Panel Frame - Contents"/>
    <w:basedOn w:val="FirstPagePanelFrame"/>
    <w:rsid w:val="00C151DD"/>
    <w:pPr>
      <w:framePr w:wrap="notBeside"/>
    </w:pPr>
  </w:style>
  <w:style w:type="numbering" w:customStyle="1" w:styleId="ChapterNumberingList">
    <w:name w:val="Chapter Numbering List"/>
    <w:uiPriority w:val="99"/>
    <w:rsid w:val="00BE4F03"/>
    <w:pPr>
      <w:numPr>
        <w:numId w:val="22"/>
      </w:numPr>
    </w:pPr>
  </w:style>
  <w:style w:type="paragraph" w:styleId="Revision">
    <w:name w:val="Revision"/>
    <w:hidden/>
    <w:uiPriority w:val="99"/>
    <w:semiHidden/>
    <w:rsid w:val="009D0E2C"/>
    <w:rPr>
      <w:rFonts w:cs="Arial"/>
      <w:snapToGrid w:val="0"/>
      <w:lang w:eastAsia="en-US"/>
    </w:rPr>
  </w:style>
  <w:style w:type="table" w:styleId="LightList-Accent1">
    <w:name w:val="Light List Accent 1"/>
    <w:basedOn w:val="TableNormal"/>
    <w:uiPriority w:val="61"/>
    <w:locked/>
    <w:rsid w:val="00D27529"/>
    <w:tblPr>
      <w:tblStyleRowBandSize w:val="1"/>
      <w:tblStyleColBandSize w:val="1"/>
      <w:tblInd w:w="0" w:type="dxa"/>
      <w:tblBorders>
        <w:top w:val="single" w:sz="8" w:space="0" w:color="A32020" w:themeColor="accent1"/>
        <w:left w:val="single" w:sz="8" w:space="0" w:color="A32020" w:themeColor="accent1"/>
        <w:bottom w:val="single" w:sz="8" w:space="0" w:color="A32020" w:themeColor="accent1"/>
        <w:right w:val="single" w:sz="8" w:space="0" w:color="A32020"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32020" w:themeFill="accent1"/>
      </w:tcPr>
    </w:tblStylePr>
    <w:tblStylePr w:type="lastRow">
      <w:pPr>
        <w:spacing w:before="0" w:after="0" w:line="240" w:lineRule="auto"/>
      </w:pPr>
      <w:rPr>
        <w:b/>
        <w:bCs/>
      </w:rPr>
      <w:tblPr/>
      <w:tcPr>
        <w:tcBorders>
          <w:top w:val="double" w:sz="6" w:space="0" w:color="A32020" w:themeColor="accent1"/>
          <w:left w:val="single" w:sz="8" w:space="0" w:color="A32020" w:themeColor="accent1"/>
          <w:bottom w:val="single" w:sz="8" w:space="0" w:color="A32020" w:themeColor="accent1"/>
          <w:right w:val="single" w:sz="8" w:space="0" w:color="A32020" w:themeColor="accent1"/>
        </w:tcBorders>
      </w:tcPr>
    </w:tblStylePr>
    <w:tblStylePr w:type="firstCol">
      <w:rPr>
        <w:b/>
        <w:bCs/>
      </w:rPr>
    </w:tblStylePr>
    <w:tblStylePr w:type="lastCol">
      <w:rPr>
        <w:b/>
        <w:bCs/>
      </w:rPr>
    </w:tblStylePr>
    <w:tblStylePr w:type="band1Vert">
      <w:tblPr/>
      <w:tcPr>
        <w:tcBorders>
          <w:top w:val="single" w:sz="8" w:space="0" w:color="A32020" w:themeColor="accent1"/>
          <w:left w:val="single" w:sz="8" w:space="0" w:color="A32020" w:themeColor="accent1"/>
          <w:bottom w:val="single" w:sz="8" w:space="0" w:color="A32020" w:themeColor="accent1"/>
          <w:right w:val="single" w:sz="8" w:space="0" w:color="A32020" w:themeColor="accent1"/>
        </w:tcBorders>
      </w:tcPr>
    </w:tblStylePr>
    <w:tblStylePr w:type="band1Horz">
      <w:tblPr/>
      <w:tcPr>
        <w:tcBorders>
          <w:top w:val="single" w:sz="8" w:space="0" w:color="A32020" w:themeColor="accent1"/>
          <w:left w:val="single" w:sz="8" w:space="0" w:color="A32020" w:themeColor="accent1"/>
          <w:bottom w:val="single" w:sz="8" w:space="0" w:color="A32020" w:themeColor="accent1"/>
          <w:right w:val="single" w:sz="8" w:space="0" w:color="A32020" w:themeColor="accent1"/>
        </w:tcBorders>
      </w:tcPr>
    </w:tblStylePr>
  </w:style>
  <w:style w:type="table" w:styleId="LightList-Accent4">
    <w:name w:val="Light List Accent 4"/>
    <w:basedOn w:val="TableNormal"/>
    <w:uiPriority w:val="61"/>
    <w:locked/>
    <w:rsid w:val="000865D1"/>
    <w:tblPr>
      <w:tblStyleRowBandSize w:val="1"/>
      <w:tblStyleColBandSize w:val="1"/>
      <w:tblInd w:w="0" w:type="dxa"/>
      <w:tblBorders>
        <w:top w:val="single" w:sz="8" w:space="0" w:color="DB536A" w:themeColor="accent4"/>
        <w:left w:val="single" w:sz="8" w:space="0" w:color="DB536A" w:themeColor="accent4"/>
        <w:bottom w:val="single" w:sz="8" w:space="0" w:color="DB536A" w:themeColor="accent4"/>
        <w:right w:val="single" w:sz="8" w:space="0" w:color="DB536A"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B536A" w:themeFill="accent4"/>
      </w:tcPr>
    </w:tblStylePr>
    <w:tblStylePr w:type="lastRow">
      <w:pPr>
        <w:spacing w:before="0" w:after="0" w:line="240" w:lineRule="auto"/>
      </w:pPr>
      <w:rPr>
        <w:b/>
        <w:bCs/>
      </w:rPr>
      <w:tblPr/>
      <w:tcPr>
        <w:tcBorders>
          <w:top w:val="double" w:sz="6" w:space="0" w:color="DB536A" w:themeColor="accent4"/>
          <w:left w:val="single" w:sz="8" w:space="0" w:color="DB536A" w:themeColor="accent4"/>
          <w:bottom w:val="single" w:sz="8" w:space="0" w:color="DB536A" w:themeColor="accent4"/>
          <w:right w:val="single" w:sz="8" w:space="0" w:color="DB536A" w:themeColor="accent4"/>
        </w:tcBorders>
      </w:tcPr>
    </w:tblStylePr>
    <w:tblStylePr w:type="firstCol">
      <w:rPr>
        <w:b/>
        <w:bCs/>
      </w:rPr>
    </w:tblStylePr>
    <w:tblStylePr w:type="lastCol">
      <w:rPr>
        <w:b/>
        <w:bCs/>
      </w:rPr>
    </w:tblStylePr>
    <w:tblStylePr w:type="band1Vert">
      <w:tblPr/>
      <w:tcPr>
        <w:tcBorders>
          <w:top w:val="single" w:sz="8" w:space="0" w:color="DB536A" w:themeColor="accent4"/>
          <w:left w:val="single" w:sz="8" w:space="0" w:color="DB536A" w:themeColor="accent4"/>
          <w:bottom w:val="single" w:sz="8" w:space="0" w:color="DB536A" w:themeColor="accent4"/>
          <w:right w:val="single" w:sz="8" w:space="0" w:color="DB536A" w:themeColor="accent4"/>
        </w:tcBorders>
      </w:tcPr>
    </w:tblStylePr>
    <w:tblStylePr w:type="band1Horz">
      <w:tblPr/>
      <w:tcPr>
        <w:tcBorders>
          <w:top w:val="single" w:sz="8" w:space="0" w:color="DB536A" w:themeColor="accent4"/>
          <w:left w:val="single" w:sz="8" w:space="0" w:color="DB536A" w:themeColor="accent4"/>
          <w:bottom w:val="single" w:sz="8" w:space="0" w:color="DB536A" w:themeColor="accent4"/>
          <w:right w:val="single" w:sz="8" w:space="0" w:color="DB536A" w:themeColor="accent4"/>
        </w:tcBorders>
      </w:tcPr>
    </w:tblStylePr>
  </w:style>
  <w:style w:type="paragraph" w:customStyle="1" w:styleId="StyleHeading7After12pt">
    <w:name w:val="Style Heading 7 + After:  12 pt"/>
    <w:basedOn w:val="Heading7"/>
    <w:rsid w:val="003469A7"/>
    <w:rPr>
      <w:rFonts w:cs="Times New Roman"/>
      <w:szCs w:val="20"/>
    </w:rPr>
  </w:style>
  <w:style w:type="paragraph" w:customStyle="1" w:styleId="DescriptorI">
    <w:name w:val="Descriptor I"/>
    <w:basedOn w:val="Normal"/>
    <w:next w:val="DescriptorII"/>
    <w:unhideWhenUsed/>
    <w:rsid w:val="00587C69"/>
    <w:pPr>
      <w:spacing w:line="360" w:lineRule="atLeast"/>
    </w:pPr>
    <w:rPr>
      <w:rFonts w:asciiTheme="majorHAnsi" w:hAnsiTheme="majorHAnsi"/>
      <w:color w:val="FFFFFF"/>
      <w:sz w:val="36"/>
    </w:rPr>
  </w:style>
  <w:style w:type="paragraph" w:customStyle="1" w:styleId="DescriptorII">
    <w:name w:val="Descriptor II"/>
    <w:basedOn w:val="DescriptorI"/>
    <w:next w:val="PwCNormal"/>
    <w:unhideWhenUsed/>
    <w:rsid w:val="00587C69"/>
    <w:rPr>
      <w:szCs w:val="24"/>
    </w:rPr>
  </w:style>
  <w:style w:type="paragraph" w:customStyle="1" w:styleId="connectedthinking">
    <w:name w:val="connectedthinking"/>
    <w:basedOn w:val="DescriptorI"/>
    <w:rsid w:val="00587C69"/>
    <w:pPr>
      <w:spacing w:line="240" w:lineRule="auto"/>
    </w:pPr>
    <w:rPr>
      <w:rFonts w:asciiTheme="minorHAnsi" w:hAnsiTheme="minorHAnsi"/>
    </w:rPr>
  </w:style>
  <w:style w:type="numbering" w:customStyle="1" w:styleId="List51">
    <w:name w:val="List 51"/>
    <w:basedOn w:val="NoList"/>
    <w:rsid w:val="00F444AE"/>
    <w:pPr>
      <w:numPr>
        <w:numId w:val="69"/>
      </w:numPr>
    </w:pPr>
  </w:style>
  <w:style w:type="paragraph" w:customStyle="1" w:styleId="Default">
    <w:name w:val="Default"/>
    <w:rsid w:val="00F444AE"/>
    <w:pPr>
      <w:pBdr>
        <w:top w:val="nil"/>
        <w:left w:val="nil"/>
        <w:bottom w:val="nil"/>
        <w:right w:val="nil"/>
        <w:between w:val="nil"/>
        <w:bar w:val="nil"/>
      </w:pBdr>
    </w:pPr>
    <w:rPr>
      <w:rFonts w:ascii="Helvetica" w:eastAsia="Helvetica" w:hAnsi="Helvetica" w:cs="Helvetica"/>
      <w:color w:val="000000"/>
      <w:sz w:val="22"/>
      <w:szCs w:val="22"/>
      <w:bdr w:val="nil"/>
    </w:rPr>
  </w:style>
  <w:style w:type="character" w:customStyle="1" w:styleId="Hyperlink0">
    <w:name w:val="Hyperlink.0"/>
    <w:basedOn w:val="DefaultParagraphFont"/>
    <w:rsid w:val="00275394"/>
  </w:style>
  <w:style w:type="character" w:customStyle="1" w:styleId="FootnoteTextChar">
    <w:name w:val="Footnote Text Char"/>
    <w:basedOn w:val="DefaultParagraphFont"/>
    <w:link w:val="FootnoteText"/>
    <w:uiPriority w:val="99"/>
    <w:rsid w:val="00C507AA"/>
    <w:rPr>
      <w:rFonts w:cs="Arial"/>
      <w:snapToGrid w:val="0"/>
      <w:sz w:val="14"/>
      <w:lang w:eastAsia="en-US"/>
    </w:rPr>
  </w:style>
  <w:style w:type="paragraph" w:styleId="NormalWeb">
    <w:name w:val="Normal (Web)"/>
    <w:basedOn w:val="Normal"/>
    <w:uiPriority w:val="99"/>
    <w:unhideWhenUsed/>
    <w:rsid w:val="009E483B"/>
    <w:pPr>
      <w:kinsoku/>
      <w:overflowPunct/>
      <w:autoSpaceDE/>
      <w:autoSpaceDN/>
      <w:adjustRightInd/>
      <w:snapToGrid/>
      <w:spacing w:before="180" w:after="180" w:line="255" w:lineRule="atLeast"/>
    </w:pPr>
    <w:rPr>
      <w:rFonts w:ascii="Times New Roman" w:hAnsi="Times New Roman" w:cs="Times New Roman"/>
      <w:snapToGrid/>
      <w:sz w:val="24"/>
      <w:szCs w:val="24"/>
      <w:lang w:eastAsia="en-AU"/>
    </w:rPr>
  </w:style>
  <w:style w:type="character" w:styleId="Strong">
    <w:name w:val="Strong"/>
    <w:basedOn w:val="DefaultParagraphFont"/>
    <w:uiPriority w:val="22"/>
    <w:qFormat/>
    <w:rsid w:val="009E483B"/>
    <w:rPr>
      <w:b/>
      <w:bCs/>
    </w:rPr>
  </w:style>
  <w:style w:type="paragraph" w:customStyle="1" w:styleId="Sourcv">
    <w:name w:val="Sourcv"/>
    <w:basedOn w:val="PwCNormal"/>
    <w:rsid w:val="001B356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imes New Roman" w:hAnsi="Georgia" w:cs="Times New Roman"/>
        <w:lang w:val="en-AU" w:eastAsia="en-AU" w:bidi="ar-SA"/>
      </w:rPr>
    </w:rPrDefault>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semiHidden="1"/>
    <w:lsdException w:name="index 2" w:locked="0" w:semiHidden="1"/>
    <w:lsdException w:name="index 3" w:locked="0" w:semiHidden="1"/>
    <w:lsdException w:name="index 4" w:locked="0" w:semiHidden="1"/>
    <w:lsdException w:name="index 5" w:locked="0" w:semiHidden="1"/>
    <w:lsdException w:name="index 6" w:locked="0" w:semiHidden="1"/>
    <w:lsdException w:name="index 7" w:locked="0" w:semiHidden="1"/>
    <w:lsdException w:name="index 8" w:locked="0" w:semiHidden="1"/>
    <w:lsdException w:name="index 9" w:locked="0" w:semiHidden="1"/>
    <w:lsdException w:name="toc 1" w:locked="0" w:uiPriority="39"/>
    <w:lsdException w:name="toc 2" w:locked="0" w:uiPriority="39"/>
    <w:lsdException w:name="toc 3" w:locked="0" w:uiPriority="39"/>
    <w:lsdException w:name="toc 4" w:locked="0" w:uiPriority="39"/>
    <w:lsdException w:name="toc 5" w:locked="0"/>
    <w:lsdException w:name="toc 6" w:locked="0" w:uiPriority="39"/>
    <w:lsdException w:name="toc 7" w:locked="0" w:uiPriority="39"/>
    <w:lsdException w:name="toc 8" w:locked="0"/>
    <w:lsdException w:name="toc 9" w:locked="0" w:uiPriority="39"/>
    <w:lsdException w:name="Normal Indent" w:locked="0" w:semiHidden="1"/>
    <w:lsdException w:name="footnote text" w:locked="0" w:uiPriority="99"/>
    <w:lsdException w:name="annotation text" w:locked="0" w:semiHidden="1" w:uiPriority="99"/>
    <w:lsdException w:name="header" w:locked="0"/>
    <w:lsdException w:name="footer" w:locked="0"/>
    <w:lsdException w:name="index heading" w:locked="0" w:semiHidden="1"/>
    <w:lsdException w:name="caption" w:locked="0" w:qFormat="1"/>
    <w:lsdException w:name="table of figures" w:locked="0" w:semiHidden="1" w:unhideWhenUsed="1"/>
    <w:lsdException w:name="envelope address" w:semiHidden="1" w:unhideWhenUsed="1"/>
    <w:lsdException w:name="envelope return" w:semiHidden="1"/>
    <w:lsdException w:name="footnote reference" w:locked="0" w:uiPriority="99"/>
    <w:lsdException w:name="annotation reference" w:locked="0" w:semiHidden="1" w:uiPriority="99"/>
    <w:lsdException w:name="line number" w:locked="0" w:semiHidden="1"/>
    <w:lsdException w:name="page number" w:locked="0"/>
    <w:lsdException w:name="endnote reference" w:locked="0"/>
    <w:lsdException w:name="endnote text" w:locked="0"/>
    <w:lsdException w:name="table of authorities" w:locked="0" w:semiHidden="1" w:unhideWhenUsed="1"/>
    <w:lsdException w:name="macro" w:semiHidden="1" w:unhideWhenUsed="1"/>
    <w:lsdException w:name="toa heading" w:locked="0" w:semiHidden="1" w:unhideWhenUsed="1"/>
    <w:lsdException w:name="List" w:semiHidden="1"/>
    <w:lsdException w:name="List Bullet" w:semiHidden="1" w:qFormat="1"/>
    <w:lsdException w:name="List Number" w:semiHidden="1" w:uiPriority="13" w:qFormat="1"/>
    <w:lsdException w:name="List 2" w:semiHidden="1"/>
    <w:lsdException w:name="List 3" w:semiHidden="1"/>
    <w:lsdException w:name="List 4" w:semiHidden="1"/>
    <w:lsdException w:name="List 5" w:semiHidden="1"/>
    <w:lsdException w:name="List Bullet 2" w:qFormat="1"/>
    <w:lsdException w:name="List Bullet 3" w:qFormat="1"/>
    <w:lsdException w:name="List Bullet 5" w:semiHidden="1"/>
    <w:lsdException w:name="List Number 2" w:semiHidden="1" w:uiPriority="13" w:qFormat="1"/>
    <w:lsdException w:name="List Number 3" w:semiHidden="1" w:uiPriority="13" w:qFormat="1"/>
    <w:lsdException w:name="List Number 4" w:semiHidden="1" w:uiPriority="13"/>
    <w:lsdException w:name="List Number 5" w:semiHidden="1" w:uiPriority="13"/>
    <w:lsdException w:name="Title" w:locked="0" w:qFormat="1"/>
    <w:lsdException w:name="Closing" w:locked="0" w:semiHidden="1" w:unhideWhenUsed="1"/>
    <w:lsdException w:name="Signature" w:locked="0" w:semiHidden="1"/>
    <w:lsdException w:name="Default Paragraph Font" w:locked="0" w:uiPriority="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locked="0" w:semiHidden="1"/>
    <w:lsdException w:name="Subtitle" w:locked="0" w:semiHidden="1" w:qFormat="1"/>
    <w:lsdException w:name="Salutation" w:locked="0" w:semiHidden="1" w:unhideWhenUsed="1"/>
    <w:lsdException w:name="Date" w:locked="0"/>
    <w:lsdException w:name="Body Text First Indent" w:semiHidden="1"/>
    <w:lsdException w:name="Body Text First Indent 2" w:semiHidden="1"/>
    <w:lsdException w:name="Note Heading" w:locked="0" w:semiHidden="1" w:unhideWhenUsed="1"/>
    <w:lsdException w:name="Body Text 2" w:semiHidden="1"/>
    <w:lsdException w:name="Body Text 3" w:semiHidden="1"/>
    <w:lsdException w:name="Body Text Indent 2" w:semiHidden="1"/>
    <w:lsdException w:name="Body Text Indent 3" w:semiHidden="1"/>
    <w:lsdException w:name="Block Text" w:locked="0" w:semiHidden="1" w:qFormat="1"/>
    <w:lsdException w:name="Hyperlink" w:locked="0" w:semiHidden="1" w:uiPriority="99"/>
    <w:lsdException w:name="FollowedHyperlink" w:locked="0" w:semiHidden="1"/>
    <w:lsdException w:name="Strong" w:locked="0" w:semiHidden="1" w:uiPriority="22" w:qFormat="1"/>
    <w:lsdException w:name="Emphasis" w:semiHidden="1" w:qFormat="1"/>
    <w:lsdException w:name="Document Map" w:locked="0" w:semiHidden="1"/>
    <w:lsdException w:name="Plain Text" w:locked="0" w:semiHidden="1"/>
    <w:lsdException w:name="E-mail Signature" w:semiHidden="1"/>
    <w:lsdException w:name="HTML Top of Form" w:locked="0"/>
    <w:lsdException w:name="HTML Bottom of Form" w:locked="0"/>
    <w:lsdException w:name="Normal (Web)" w:locked="0" w:semiHidden="1" w:uiPriority="99"/>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locked="0"/>
    <w:lsdException w:name="annotation subject" w:locked="0" w:semiHidden="1"/>
    <w:lsdException w:name="No List" w:locked="0" w:uiPriority="99"/>
    <w:lsdException w:name="Outline List 1" w:locked="0"/>
    <w:lsdException w:name="Outline List 2" w:locked="0"/>
    <w:lsdException w:name="Outline List 3" w:locked="0"/>
    <w:lsdException w:name="Table Theme" w:locked="0"/>
    <w:lsdException w:name="Placeholder Text" w:locked="0" w:semiHidden="1" w:uiPriority="99"/>
    <w:lsdException w:name="No Spacing" w:locked="0"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semiHidden="1" w:uiPriority="34" w:qFormat="1"/>
    <w:lsdException w:name="Quote" w:locked="0"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locked="0" w:semiHidden="1" w:uiPriority="39" w:unhideWhenUsed="1" w:qFormat="1"/>
  </w:latentStyles>
  <w:style w:type="paragraph" w:default="1" w:styleId="Normal">
    <w:name w:val="Normal"/>
    <w:next w:val="PwCNormal"/>
    <w:qFormat/>
    <w:rsid w:val="00245C02"/>
    <w:pPr>
      <w:kinsoku w:val="0"/>
      <w:overflowPunct w:val="0"/>
      <w:autoSpaceDE w:val="0"/>
      <w:autoSpaceDN w:val="0"/>
      <w:adjustRightInd w:val="0"/>
      <w:snapToGrid w:val="0"/>
    </w:pPr>
    <w:rPr>
      <w:rFonts w:cs="Arial"/>
      <w:snapToGrid w:val="0"/>
      <w:lang w:eastAsia="en-US"/>
    </w:rPr>
  </w:style>
  <w:style w:type="paragraph" w:styleId="Heading1">
    <w:name w:val="heading 1"/>
    <w:aliases w:val="Chapter Heading (Long)"/>
    <w:basedOn w:val="Normal"/>
    <w:next w:val="PwCNormal"/>
    <w:qFormat/>
    <w:rsid w:val="00BC0A43"/>
    <w:pPr>
      <w:spacing w:line="720" w:lineRule="atLeast"/>
      <w:outlineLvl w:val="0"/>
    </w:pPr>
    <w:rPr>
      <w:rFonts w:asciiTheme="majorHAnsi" w:hAnsiTheme="majorHAnsi"/>
      <w:b/>
      <w:bCs/>
      <w:i/>
      <w:sz w:val="56"/>
      <w:szCs w:val="72"/>
    </w:rPr>
  </w:style>
  <w:style w:type="paragraph" w:styleId="Heading2">
    <w:name w:val="heading 2"/>
    <w:aliases w:val="Chapter Heading (Short)"/>
    <w:basedOn w:val="Normal"/>
    <w:next w:val="PwCNormal"/>
    <w:qFormat/>
    <w:rsid w:val="00BE4F03"/>
    <w:pPr>
      <w:keepNext/>
      <w:keepLines/>
      <w:pageBreakBefore/>
      <w:numPr>
        <w:ilvl w:val="1"/>
        <w:numId w:val="25"/>
      </w:numPr>
      <w:spacing w:after="480" w:line="600" w:lineRule="atLeast"/>
      <w:outlineLvl w:val="1"/>
    </w:pPr>
    <w:rPr>
      <w:rFonts w:asciiTheme="majorHAnsi" w:hAnsiTheme="majorHAnsi"/>
      <w:b/>
      <w:bCs/>
      <w:i/>
      <w:iCs/>
      <w:color w:val="000000" w:themeColor="text1"/>
      <w:sz w:val="56"/>
      <w:szCs w:val="36"/>
    </w:rPr>
  </w:style>
  <w:style w:type="paragraph" w:styleId="Heading3">
    <w:name w:val="heading 3"/>
    <w:aliases w:val="Appendix Heading (Long)"/>
    <w:basedOn w:val="Heading1"/>
    <w:next w:val="PwCNormal"/>
    <w:qFormat/>
    <w:rsid w:val="008D4477"/>
    <w:pPr>
      <w:outlineLvl w:val="2"/>
    </w:pPr>
    <w:rPr>
      <w:bCs w:val="0"/>
    </w:rPr>
  </w:style>
  <w:style w:type="paragraph" w:styleId="Heading4">
    <w:name w:val="heading 4"/>
    <w:aliases w:val="Appendix Heading (Short)"/>
    <w:basedOn w:val="Heading2"/>
    <w:next w:val="PwCNormal"/>
    <w:qFormat/>
    <w:rsid w:val="00AE506B"/>
    <w:pPr>
      <w:pageBreakBefore w:val="0"/>
      <w:numPr>
        <w:ilvl w:val="4"/>
      </w:numPr>
      <w:tabs>
        <w:tab w:val="clear" w:pos="4393"/>
        <w:tab w:val="num" w:pos="3685"/>
      </w:tabs>
      <w:ind w:left="0"/>
      <w:outlineLvl w:val="3"/>
    </w:pPr>
    <w:rPr>
      <w:bCs w:val="0"/>
    </w:rPr>
  </w:style>
  <w:style w:type="paragraph" w:styleId="Heading5">
    <w:name w:val="heading 5"/>
    <w:basedOn w:val="Heading2"/>
    <w:next w:val="PwCNormal"/>
    <w:qFormat/>
    <w:rsid w:val="00E65100"/>
    <w:pPr>
      <w:pageBreakBefore w:val="0"/>
      <w:numPr>
        <w:ilvl w:val="0"/>
        <w:numId w:val="0"/>
      </w:numPr>
      <w:spacing w:before="360" w:line="240" w:lineRule="auto"/>
      <w:outlineLvl w:val="4"/>
    </w:pPr>
    <w:rPr>
      <w:bCs w:val="0"/>
      <w:iCs w:val="0"/>
      <w:sz w:val="32"/>
      <w:szCs w:val="32"/>
    </w:rPr>
  </w:style>
  <w:style w:type="paragraph" w:styleId="Heading6">
    <w:name w:val="heading 6"/>
    <w:basedOn w:val="Heading2"/>
    <w:next w:val="PwCNormal"/>
    <w:qFormat/>
    <w:rsid w:val="00E65100"/>
    <w:pPr>
      <w:pageBreakBefore w:val="0"/>
      <w:numPr>
        <w:ilvl w:val="2"/>
      </w:numPr>
      <w:spacing w:before="240" w:after="120" w:line="240" w:lineRule="auto"/>
      <w:outlineLvl w:val="5"/>
    </w:pPr>
    <w:rPr>
      <w:bCs w:val="0"/>
      <w:color w:val="A32020" w:themeColor="text2"/>
      <w:sz w:val="32"/>
    </w:rPr>
  </w:style>
  <w:style w:type="paragraph" w:styleId="Heading7">
    <w:name w:val="heading 7"/>
    <w:basedOn w:val="Heading6"/>
    <w:next w:val="PwCNormal"/>
    <w:qFormat/>
    <w:rsid w:val="00E65100"/>
    <w:pPr>
      <w:numPr>
        <w:ilvl w:val="3"/>
      </w:numPr>
      <w:outlineLvl w:val="6"/>
    </w:pPr>
    <w:rPr>
      <w:b w:val="0"/>
      <w:sz w:val="28"/>
      <w:szCs w:val="28"/>
    </w:rPr>
  </w:style>
  <w:style w:type="paragraph" w:styleId="Heading8">
    <w:name w:val="heading 8"/>
    <w:basedOn w:val="Majorheading"/>
    <w:next w:val="PwCNormal"/>
    <w:qFormat/>
    <w:rsid w:val="00E65100"/>
    <w:pPr>
      <w:numPr>
        <w:ilvl w:val="6"/>
        <w:numId w:val="25"/>
      </w:numPr>
      <w:spacing w:after="120"/>
      <w:outlineLvl w:val="7"/>
    </w:pPr>
    <w:rPr>
      <w:sz w:val="32"/>
      <w:szCs w:val="21"/>
    </w:rPr>
  </w:style>
  <w:style w:type="paragraph" w:styleId="Heading9">
    <w:name w:val="heading 9"/>
    <w:basedOn w:val="Heading8"/>
    <w:next w:val="PwCNormal"/>
    <w:qFormat/>
    <w:rsid w:val="00E65100"/>
    <w:pPr>
      <w:numPr>
        <w:ilvl w:val="0"/>
        <w:numId w:val="0"/>
      </w:numPr>
      <w:outlineLvl w:val="8"/>
    </w:pPr>
    <w:rPr>
      <w:b w:val="0"/>
      <w:i w:val="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376A6"/>
    <w:pPr>
      <w:tabs>
        <w:tab w:val="right" w:pos="8220"/>
      </w:tabs>
    </w:pPr>
    <w:rPr>
      <w:rFonts w:ascii="Arial" w:hAnsi="Arial"/>
      <w:color w:val="000000" w:themeColor="text1"/>
      <w:sz w:val="19"/>
      <w:szCs w:val="18"/>
    </w:rPr>
  </w:style>
  <w:style w:type="paragraph" w:styleId="Footer">
    <w:name w:val="footer"/>
    <w:basedOn w:val="Normal"/>
    <w:link w:val="FooterChar"/>
    <w:rsid w:val="00B376A6"/>
    <w:pPr>
      <w:tabs>
        <w:tab w:val="right" w:pos="8220"/>
      </w:tabs>
      <w:spacing w:line="0" w:lineRule="atLeast"/>
    </w:pPr>
    <w:rPr>
      <w:rFonts w:ascii="Arial" w:hAnsi="Arial"/>
      <w:color w:val="000000" w:themeColor="text1"/>
      <w:sz w:val="19"/>
      <w:szCs w:val="18"/>
    </w:rPr>
  </w:style>
  <w:style w:type="paragraph" w:customStyle="1" w:styleId="TOCtitle">
    <w:name w:val="TOC title"/>
    <w:basedOn w:val="Heading2"/>
    <w:next w:val="PwCNormal"/>
    <w:unhideWhenUsed/>
    <w:rsid w:val="005E2460"/>
    <w:pPr>
      <w:numPr>
        <w:ilvl w:val="0"/>
        <w:numId w:val="0"/>
      </w:numPr>
      <w:spacing w:after="600"/>
    </w:pPr>
    <w:rPr>
      <w:color w:val="auto"/>
    </w:rPr>
  </w:style>
  <w:style w:type="paragraph" w:customStyle="1" w:styleId="Covertitle">
    <w:name w:val="Cover title"/>
    <w:basedOn w:val="KeySentenceInside"/>
    <w:next w:val="Coversubtitle"/>
    <w:rsid w:val="00F323DC"/>
    <w:pPr>
      <w:framePr w:w="2154" w:wrap="notBeside" w:vAnchor="page" w:hAnchor="page" w:x="928" w:y="8427"/>
      <w:spacing w:before="200"/>
      <w:ind w:left="113"/>
    </w:pPr>
    <w:rPr>
      <w:rFonts w:asciiTheme="majorHAnsi" w:hAnsiTheme="majorHAnsi"/>
      <w:color w:val="auto"/>
      <w:sz w:val="19"/>
      <w:lang w:val="en-GB"/>
    </w:rPr>
  </w:style>
  <w:style w:type="paragraph" w:customStyle="1" w:styleId="Coversubtitle">
    <w:name w:val="Cover subtitle"/>
    <w:basedOn w:val="Covertitle"/>
    <w:rsid w:val="006C1EC2"/>
    <w:pPr>
      <w:framePr w:wrap="notBeside"/>
      <w:spacing w:before="180"/>
    </w:pPr>
    <w:rPr>
      <w:bCs/>
      <w:szCs w:val="64"/>
    </w:rPr>
  </w:style>
  <w:style w:type="paragraph" w:customStyle="1" w:styleId="AppendixNumberLong">
    <w:name w:val="Appendix Number (Long)"/>
    <w:basedOn w:val="Heading3"/>
    <w:next w:val="Heading3"/>
    <w:rsid w:val="00BE4F03"/>
    <w:pPr>
      <w:keepNext/>
      <w:keepLines/>
      <w:pageBreakBefore/>
      <w:numPr>
        <w:ilvl w:val="5"/>
        <w:numId w:val="25"/>
      </w:numPr>
    </w:pPr>
    <w:rPr>
      <w:color w:val="000000" w:themeColor="text1"/>
    </w:rPr>
  </w:style>
  <w:style w:type="paragraph" w:customStyle="1" w:styleId="ChapterNumberLong">
    <w:name w:val="Chapter Number (Long)"/>
    <w:basedOn w:val="Heading1"/>
    <w:next w:val="Heading1"/>
    <w:rsid w:val="00BE4F03"/>
    <w:pPr>
      <w:pageBreakBefore/>
      <w:numPr>
        <w:numId w:val="25"/>
      </w:numPr>
    </w:pPr>
  </w:style>
  <w:style w:type="paragraph" w:customStyle="1" w:styleId="Footer-Even">
    <w:name w:val="Footer - Even"/>
    <w:basedOn w:val="Footer"/>
    <w:rsid w:val="00B51CCB"/>
  </w:style>
  <w:style w:type="paragraph" w:customStyle="1" w:styleId="URL">
    <w:name w:val="URL"/>
    <w:basedOn w:val="PwCNormal"/>
    <w:next w:val="PwCNormal"/>
    <w:rsid w:val="00BF2CD7"/>
    <w:pPr>
      <w:framePr w:wrap="around" w:vAnchor="page" w:hAnchor="page" w:x="1022" w:y="568"/>
      <w:spacing w:after="0"/>
    </w:pPr>
    <w:rPr>
      <w:rFonts w:eastAsia="+mn-ea"/>
      <w:snapToGrid/>
      <w:color w:val="FFFFFF"/>
      <w:sz w:val="36"/>
    </w:rPr>
  </w:style>
  <w:style w:type="paragraph" w:customStyle="1" w:styleId="Indent1">
    <w:name w:val="Indent 1"/>
    <w:basedOn w:val="Normal"/>
    <w:rsid w:val="006C1EC2"/>
    <w:pPr>
      <w:numPr>
        <w:ilvl w:val="1"/>
        <w:numId w:val="24"/>
      </w:numPr>
      <w:spacing w:before="100" w:after="100"/>
    </w:pPr>
    <w:rPr>
      <w:rFonts w:cs="Times New Roman"/>
    </w:rPr>
  </w:style>
  <w:style w:type="paragraph" w:customStyle="1" w:styleId="Indent2">
    <w:name w:val="Indent 2"/>
    <w:basedOn w:val="Indent1"/>
    <w:rsid w:val="00931F8A"/>
    <w:pPr>
      <w:numPr>
        <w:ilvl w:val="2"/>
      </w:numPr>
    </w:pPr>
  </w:style>
  <w:style w:type="paragraph" w:customStyle="1" w:styleId="Indent3">
    <w:name w:val="Indent 3"/>
    <w:basedOn w:val="Indent2"/>
    <w:rsid w:val="00931F8A"/>
    <w:pPr>
      <w:numPr>
        <w:ilvl w:val="3"/>
      </w:numPr>
    </w:pPr>
  </w:style>
  <w:style w:type="paragraph" w:customStyle="1" w:styleId="Indent5">
    <w:name w:val="Indent 5"/>
    <w:basedOn w:val="Indent4"/>
    <w:rsid w:val="00931F8A"/>
    <w:pPr>
      <w:numPr>
        <w:ilvl w:val="5"/>
      </w:numPr>
    </w:pPr>
  </w:style>
  <w:style w:type="paragraph" w:customStyle="1" w:styleId="Indent6">
    <w:name w:val="Indent 6"/>
    <w:basedOn w:val="Indent5"/>
    <w:rsid w:val="00931F8A"/>
    <w:pPr>
      <w:numPr>
        <w:ilvl w:val="6"/>
      </w:numPr>
    </w:pPr>
  </w:style>
  <w:style w:type="paragraph" w:customStyle="1" w:styleId="Indent7">
    <w:name w:val="Indent 7"/>
    <w:basedOn w:val="Indent6"/>
    <w:rsid w:val="00931F8A"/>
    <w:pPr>
      <w:numPr>
        <w:ilvl w:val="7"/>
      </w:numPr>
    </w:pPr>
  </w:style>
  <w:style w:type="numbering" w:customStyle="1" w:styleId="Indents">
    <w:name w:val="Indents"/>
    <w:rsid w:val="00931F8A"/>
    <w:pPr>
      <w:numPr>
        <w:numId w:val="2"/>
      </w:numPr>
    </w:pPr>
  </w:style>
  <w:style w:type="paragraph" w:customStyle="1" w:styleId="Copyright">
    <w:name w:val="Copyright"/>
    <w:basedOn w:val="Normal"/>
    <w:rsid w:val="00483E95"/>
    <w:pPr>
      <w:framePr w:w="7938" w:wrap="around" w:vAnchor="page" w:hAnchor="page" w:x="1022" w:y="15196"/>
      <w:spacing w:before="150" w:after="150" w:line="150" w:lineRule="atLeast"/>
      <w:ind w:right="816"/>
    </w:pPr>
    <w:rPr>
      <w:rFonts w:ascii="Arial" w:hAnsi="Arial"/>
      <w:color w:val="FFFFFF"/>
      <w:sz w:val="16"/>
      <w:lang w:val="en-US"/>
    </w:rPr>
  </w:style>
  <w:style w:type="paragraph" w:customStyle="1" w:styleId="Header-Even">
    <w:name w:val="Header - Even"/>
    <w:basedOn w:val="Header"/>
    <w:rsid w:val="00B51CCB"/>
  </w:style>
  <w:style w:type="paragraph" w:customStyle="1" w:styleId="PleaseNote">
    <w:name w:val="Please Note"/>
    <w:basedOn w:val="PrefaceTitle"/>
    <w:next w:val="PwCNormal"/>
    <w:rsid w:val="008D4477"/>
    <w:rPr>
      <w:iCs w:val="0"/>
    </w:rPr>
  </w:style>
  <w:style w:type="paragraph" w:customStyle="1" w:styleId="Indent4">
    <w:name w:val="Indent 4"/>
    <w:basedOn w:val="Indent3"/>
    <w:rsid w:val="00931F8A"/>
    <w:pPr>
      <w:numPr>
        <w:ilvl w:val="4"/>
      </w:numPr>
    </w:pPr>
  </w:style>
  <w:style w:type="paragraph" w:styleId="TOC2">
    <w:name w:val="toc 2"/>
    <w:basedOn w:val="TOC1"/>
    <w:next w:val="PwCNormal"/>
    <w:uiPriority w:val="39"/>
    <w:rsid w:val="008D4477"/>
    <w:pPr>
      <w:numPr>
        <w:numId w:val="0"/>
      </w:numPr>
      <w:tabs>
        <w:tab w:val="left" w:pos="567"/>
      </w:tabs>
      <w:ind w:left="567" w:hanging="567"/>
    </w:pPr>
  </w:style>
  <w:style w:type="paragraph" w:styleId="TOC4">
    <w:name w:val="toc 4"/>
    <w:basedOn w:val="TOC2"/>
    <w:next w:val="PwCNormal"/>
    <w:uiPriority w:val="39"/>
    <w:rsid w:val="00A14944"/>
    <w:pPr>
      <w:tabs>
        <w:tab w:val="clear" w:pos="567"/>
        <w:tab w:val="left" w:pos="1134"/>
      </w:tabs>
      <w:ind w:left="1134" w:hanging="1134"/>
    </w:pPr>
  </w:style>
  <w:style w:type="paragraph" w:styleId="TOC7">
    <w:name w:val="toc 7"/>
    <w:basedOn w:val="TOC6"/>
    <w:next w:val="PwCNormal"/>
    <w:uiPriority w:val="39"/>
    <w:rsid w:val="008D4477"/>
    <w:pPr>
      <w:tabs>
        <w:tab w:val="clear" w:pos="1134"/>
        <w:tab w:val="left" w:pos="1985"/>
      </w:tabs>
      <w:ind w:left="1985" w:hanging="851"/>
    </w:pPr>
  </w:style>
  <w:style w:type="paragraph" w:customStyle="1" w:styleId="KeySentenceInside">
    <w:name w:val="Key Sentence Inside"/>
    <w:basedOn w:val="KeySentence"/>
    <w:rsid w:val="006650EF"/>
    <w:pPr>
      <w:framePr w:w="2296" w:wrap="notBeside" w:vAnchor="text" w:hAnchor="margin" w:x="-2521" w:y="1" w:anchorLock="1"/>
    </w:pPr>
  </w:style>
  <w:style w:type="paragraph" w:customStyle="1" w:styleId="ChapterNumberedList1">
    <w:name w:val="Chapter Numbered List 1"/>
    <w:basedOn w:val="PwCNormal"/>
    <w:rsid w:val="00BE4F03"/>
    <w:pPr>
      <w:numPr>
        <w:ilvl w:val="7"/>
        <w:numId w:val="25"/>
      </w:numPr>
    </w:pPr>
  </w:style>
  <w:style w:type="paragraph" w:customStyle="1" w:styleId="ChapterNumberedList2">
    <w:name w:val="Chapter Numbered List 2"/>
    <w:basedOn w:val="ChapterNumberedList1"/>
    <w:rsid w:val="00F614AA"/>
    <w:pPr>
      <w:numPr>
        <w:ilvl w:val="8"/>
      </w:numPr>
    </w:pPr>
  </w:style>
  <w:style w:type="paragraph" w:styleId="TOC6">
    <w:name w:val="toc 6"/>
    <w:basedOn w:val="TOC2"/>
    <w:next w:val="PwCNormal"/>
    <w:uiPriority w:val="39"/>
    <w:rsid w:val="008D4477"/>
    <w:pPr>
      <w:tabs>
        <w:tab w:val="clear" w:pos="567"/>
        <w:tab w:val="left" w:pos="1134"/>
      </w:tabs>
      <w:ind w:left="1134"/>
    </w:pPr>
  </w:style>
  <w:style w:type="paragraph" w:customStyle="1" w:styleId="PwCNormal">
    <w:name w:val="PwC Normal"/>
    <w:basedOn w:val="Normal"/>
    <w:link w:val="PwCNormalChar"/>
    <w:rsid w:val="000B7EC4"/>
    <w:pPr>
      <w:numPr>
        <w:numId w:val="24"/>
      </w:numPr>
      <w:spacing w:before="120" w:after="120"/>
    </w:pPr>
  </w:style>
  <w:style w:type="paragraph" w:customStyle="1" w:styleId="CoverDate">
    <w:name w:val="Cover Date"/>
    <w:basedOn w:val="Coversubtitle"/>
    <w:rsid w:val="002D5CE4"/>
    <w:pPr>
      <w:framePr w:wrap="notBeside"/>
    </w:pPr>
  </w:style>
  <w:style w:type="paragraph" w:customStyle="1" w:styleId="KeySentenceOutside">
    <w:name w:val="Key Sentence Outside"/>
    <w:basedOn w:val="KeySentence"/>
    <w:rsid w:val="002627A5"/>
    <w:pPr>
      <w:framePr w:w="2410" w:wrap="around" w:vAnchor="text" w:hAnchor="margin" w:x="7909" w:y="1" w:anchorLock="1"/>
    </w:pPr>
  </w:style>
  <w:style w:type="character" w:customStyle="1" w:styleId="PwCNormalChar">
    <w:name w:val="PwC Normal Char"/>
    <w:basedOn w:val="DefaultParagraphFont"/>
    <w:link w:val="PwCNormal"/>
    <w:rsid w:val="000B7EC4"/>
    <w:rPr>
      <w:rFonts w:cs="Arial"/>
      <w:snapToGrid w:val="0"/>
      <w:lang w:eastAsia="en-US"/>
    </w:rPr>
  </w:style>
  <w:style w:type="paragraph" w:styleId="TOC1">
    <w:name w:val="toc 1"/>
    <w:basedOn w:val="Normal"/>
    <w:next w:val="PwCNormal"/>
    <w:uiPriority w:val="39"/>
    <w:rsid w:val="001D29AE"/>
    <w:pPr>
      <w:numPr>
        <w:numId w:val="21"/>
      </w:numPr>
      <w:tabs>
        <w:tab w:val="left" w:pos="567"/>
        <w:tab w:val="right" w:pos="8220"/>
      </w:tabs>
      <w:spacing w:before="240" w:after="240" w:line="240" w:lineRule="atLeast"/>
      <w:ind w:right="851"/>
    </w:pPr>
  </w:style>
  <w:style w:type="paragraph" w:customStyle="1" w:styleId="CREATISID">
    <w:name w:val="CREATISID"/>
    <w:basedOn w:val="PwCNormal"/>
    <w:unhideWhenUsed/>
    <w:rsid w:val="008D4477"/>
    <w:pPr>
      <w:framePr w:w="227" w:h="539" w:wrap="notBeside" w:vAnchor="page" w:hAnchor="page" w:x="511" w:y="15594"/>
      <w:numPr>
        <w:numId w:val="0"/>
      </w:numPr>
      <w:spacing w:after="0"/>
      <w:textDirection w:val="btLr"/>
    </w:pPr>
    <w:rPr>
      <w:rFonts w:eastAsia="MS Mincho"/>
      <w:sz w:val="10"/>
      <w:szCs w:val="12"/>
      <w:lang w:eastAsia="ja-JP"/>
    </w:rPr>
  </w:style>
  <w:style w:type="numbering" w:customStyle="1" w:styleId="BulletList">
    <w:name w:val="Bullet List"/>
    <w:rsid w:val="0021094E"/>
    <w:pPr>
      <w:numPr>
        <w:numId w:val="1"/>
      </w:numPr>
    </w:pPr>
  </w:style>
  <w:style w:type="paragraph" w:customStyle="1" w:styleId="Footer-Landscape">
    <w:name w:val="Footer - Landscape"/>
    <w:basedOn w:val="Footer"/>
    <w:rsid w:val="008D4477"/>
    <w:pPr>
      <w:tabs>
        <w:tab w:val="clear" w:pos="8220"/>
        <w:tab w:val="right" w:pos="14797"/>
      </w:tabs>
    </w:pPr>
  </w:style>
  <w:style w:type="paragraph" w:customStyle="1" w:styleId="TableBullet1Normal">
    <w:name w:val="Table Bullet 1 Normal"/>
    <w:basedOn w:val="TableTextNormal"/>
    <w:rsid w:val="00317710"/>
    <w:pPr>
      <w:numPr>
        <w:numId w:val="5"/>
      </w:numPr>
      <w:spacing w:before="40" w:after="40"/>
    </w:pPr>
  </w:style>
  <w:style w:type="paragraph" w:customStyle="1" w:styleId="TableTextNormal">
    <w:name w:val="Table Text Normal"/>
    <w:basedOn w:val="Normal"/>
    <w:rsid w:val="00053B82"/>
    <w:pPr>
      <w:spacing w:before="80" w:after="80"/>
    </w:pPr>
  </w:style>
  <w:style w:type="paragraph" w:customStyle="1" w:styleId="TableBullet1Small">
    <w:name w:val="Table Bullet 1 Small"/>
    <w:basedOn w:val="TableTextSmall"/>
    <w:rsid w:val="00317710"/>
    <w:pPr>
      <w:numPr>
        <w:numId w:val="6"/>
      </w:numPr>
      <w:spacing w:before="20" w:after="20"/>
    </w:pPr>
  </w:style>
  <w:style w:type="paragraph" w:customStyle="1" w:styleId="TableTextSmall">
    <w:name w:val="Table Text Small"/>
    <w:basedOn w:val="Normal"/>
    <w:rsid w:val="00020F7F"/>
    <w:pPr>
      <w:spacing w:before="40" w:after="40"/>
    </w:pPr>
    <w:rPr>
      <w:rFonts w:ascii="Arial" w:hAnsi="Arial"/>
      <w:sz w:val="16"/>
      <w:szCs w:val="18"/>
    </w:rPr>
  </w:style>
  <w:style w:type="paragraph" w:customStyle="1" w:styleId="TableBullet3Normal">
    <w:name w:val="Table Bullet 3 Normal"/>
    <w:basedOn w:val="TableBullet2Normal"/>
    <w:rsid w:val="008D4477"/>
    <w:pPr>
      <w:numPr>
        <w:ilvl w:val="2"/>
      </w:numPr>
    </w:pPr>
  </w:style>
  <w:style w:type="paragraph" w:customStyle="1" w:styleId="TableBullet3Small">
    <w:name w:val="Table Bullet 3 Small"/>
    <w:basedOn w:val="TableBullet2Small"/>
    <w:rsid w:val="008D4477"/>
    <w:pPr>
      <w:numPr>
        <w:ilvl w:val="2"/>
      </w:numPr>
    </w:pPr>
    <w:rPr>
      <w:szCs w:val="16"/>
    </w:rPr>
  </w:style>
  <w:style w:type="paragraph" w:customStyle="1" w:styleId="BlockText2">
    <w:name w:val="Block Text 2"/>
    <w:basedOn w:val="Normal"/>
    <w:qFormat/>
    <w:rsid w:val="0071186F"/>
    <w:pPr>
      <w:pBdr>
        <w:top w:val="single" w:sz="2" w:space="10" w:color="A32020" w:themeColor="text2"/>
        <w:left w:val="single" w:sz="2" w:space="10" w:color="A32020" w:themeColor="text2"/>
        <w:bottom w:val="single" w:sz="2" w:space="10" w:color="A32020" w:themeColor="text2"/>
        <w:right w:val="single" w:sz="2" w:space="10" w:color="A32020" w:themeColor="text2"/>
      </w:pBdr>
      <w:shd w:val="clear" w:color="auto" w:fill="A32020" w:themeFill="text2"/>
      <w:kinsoku/>
      <w:overflowPunct/>
      <w:autoSpaceDE/>
      <w:autoSpaceDN/>
      <w:adjustRightInd/>
      <w:snapToGrid/>
      <w:spacing w:after="240"/>
      <w:ind w:left="227" w:right="227"/>
    </w:pPr>
    <w:rPr>
      <w:rFonts w:eastAsiaTheme="minorHAnsi" w:cstheme="minorBidi"/>
      <w:i/>
      <w:snapToGrid/>
      <w:color w:val="FFFFFF" w:themeColor="background2"/>
      <w:sz w:val="48"/>
      <w:szCs w:val="48"/>
      <w:lang w:val="en-GB"/>
    </w:rPr>
  </w:style>
  <w:style w:type="paragraph" w:customStyle="1" w:styleId="Appendix">
    <w:name w:val="Appendix"/>
    <w:basedOn w:val="Heading1"/>
    <w:next w:val="Normal"/>
    <w:uiPriority w:val="99"/>
    <w:qFormat/>
    <w:rsid w:val="0071186F"/>
    <w:pPr>
      <w:keepNext/>
      <w:keepLines/>
      <w:numPr>
        <w:numId w:val="10"/>
      </w:numPr>
      <w:kinsoku/>
      <w:overflowPunct/>
      <w:autoSpaceDE/>
      <w:autoSpaceDN/>
      <w:adjustRightInd/>
      <w:snapToGrid/>
      <w:spacing w:after="480" w:line="600" w:lineRule="atLeast"/>
    </w:pPr>
    <w:rPr>
      <w:rFonts w:eastAsiaTheme="majorEastAsia" w:cstheme="majorBidi"/>
      <w:snapToGrid/>
      <w:szCs w:val="28"/>
      <w:lang w:val="en-GB"/>
    </w:rPr>
  </w:style>
  <w:style w:type="numbering" w:customStyle="1" w:styleId="PwCAppendixList1">
    <w:name w:val="PwC Appendix List 1"/>
    <w:uiPriority w:val="99"/>
    <w:rsid w:val="0071186F"/>
    <w:pPr>
      <w:numPr>
        <w:numId w:val="9"/>
      </w:numPr>
    </w:pPr>
  </w:style>
  <w:style w:type="paragraph" w:styleId="Caption">
    <w:name w:val="caption"/>
    <w:basedOn w:val="Normal"/>
    <w:next w:val="Normal"/>
    <w:unhideWhenUsed/>
    <w:qFormat/>
    <w:rsid w:val="004C7A29"/>
    <w:pPr>
      <w:keepNext/>
      <w:keepLines/>
      <w:tabs>
        <w:tab w:val="left" w:pos="992"/>
      </w:tabs>
      <w:spacing w:before="240" w:after="120"/>
      <w:ind w:left="992" w:hanging="992"/>
    </w:pPr>
    <w:rPr>
      <w:rFonts w:asciiTheme="majorHAnsi" w:hAnsiTheme="majorHAnsi"/>
      <w:b/>
      <w:bCs/>
      <w:color w:val="A32020" w:themeColor="text2"/>
      <w:szCs w:val="18"/>
    </w:rPr>
  </w:style>
  <w:style w:type="paragraph" w:customStyle="1" w:styleId="Majorheading">
    <w:name w:val="Major heading"/>
    <w:basedOn w:val="Normal"/>
    <w:next w:val="PwCNormal"/>
    <w:rsid w:val="0095290F"/>
    <w:pPr>
      <w:keepNext/>
      <w:keepLines/>
      <w:spacing w:before="240" w:after="40"/>
    </w:pPr>
    <w:rPr>
      <w:rFonts w:asciiTheme="majorHAnsi" w:hAnsiTheme="majorHAnsi"/>
      <w:b/>
      <w:i/>
      <w:color w:val="A32020" w:themeColor="text2"/>
      <w:sz w:val="28"/>
      <w:szCs w:val="24"/>
    </w:rPr>
  </w:style>
  <w:style w:type="numbering" w:customStyle="1" w:styleId="TableBulletNormalList">
    <w:name w:val="Table Bullet Normal List"/>
    <w:rsid w:val="0021094E"/>
    <w:pPr>
      <w:numPr>
        <w:numId w:val="4"/>
      </w:numPr>
    </w:pPr>
  </w:style>
  <w:style w:type="paragraph" w:customStyle="1" w:styleId="Disclaimer">
    <w:name w:val="Disclaimer"/>
    <w:basedOn w:val="Normal"/>
    <w:unhideWhenUsed/>
    <w:rsid w:val="00F03ACC"/>
    <w:pPr>
      <w:spacing w:after="140"/>
    </w:pPr>
    <w:rPr>
      <w:rFonts w:ascii="Arial" w:hAnsi="Arial"/>
      <w:sz w:val="15"/>
    </w:rPr>
  </w:style>
  <w:style w:type="paragraph" w:customStyle="1" w:styleId="Footer-LandscapeEven">
    <w:name w:val="Footer - Landscape Even"/>
    <w:basedOn w:val="Footer-Landscape"/>
    <w:rsid w:val="008D4477"/>
  </w:style>
  <w:style w:type="paragraph" w:customStyle="1" w:styleId="PwCNormal-Single">
    <w:name w:val="PwC Normal - Single"/>
    <w:basedOn w:val="PwCNormal"/>
    <w:rsid w:val="00126AFF"/>
    <w:pPr>
      <w:numPr>
        <w:numId w:val="0"/>
      </w:numPr>
      <w:spacing w:after="0"/>
    </w:pPr>
  </w:style>
  <w:style w:type="numbering" w:customStyle="1" w:styleId="TableNumberdListNormal">
    <w:name w:val="Table Numberd List Normal"/>
    <w:uiPriority w:val="99"/>
    <w:rsid w:val="00EA47AB"/>
    <w:pPr>
      <w:numPr>
        <w:numId w:val="12"/>
      </w:numPr>
    </w:pPr>
  </w:style>
  <w:style w:type="numbering" w:customStyle="1" w:styleId="TableNumberedListSmall">
    <w:name w:val="Table Numbered List Small"/>
    <w:uiPriority w:val="99"/>
    <w:rsid w:val="00EA47AB"/>
    <w:pPr>
      <w:numPr>
        <w:numId w:val="14"/>
      </w:numPr>
    </w:pPr>
  </w:style>
  <w:style w:type="paragraph" w:customStyle="1" w:styleId="TableIndent2Normal">
    <w:name w:val="Table Indent 2 Normal"/>
    <w:basedOn w:val="TableIndent1Normal"/>
    <w:rsid w:val="008D4477"/>
    <w:pPr>
      <w:ind w:left="567"/>
    </w:pPr>
  </w:style>
  <w:style w:type="paragraph" w:customStyle="1" w:styleId="TableIndent2Small">
    <w:name w:val="Table Indent 2 Small"/>
    <w:basedOn w:val="TableIndent1Small"/>
    <w:rsid w:val="00461AF8"/>
    <w:pPr>
      <w:ind w:left="567"/>
    </w:pPr>
    <w:rPr>
      <w:szCs w:val="16"/>
    </w:rPr>
  </w:style>
  <w:style w:type="paragraph" w:customStyle="1" w:styleId="KeySentence">
    <w:name w:val="Key Sentence"/>
    <w:basedOn w:val="Normal"/>
    <w:rsid w:val="00A86844"/>
    <w:pPr>
      <w:spacing w:after="160" w:line="260" w:lineRule="atLeast"/>
    </w:pPr>
    <w:rPr>
      <w:i/>
      <w:color w:val="A32020" w:themeColor="text2"/>
      <w:sz w:val="16"/>
      <w:szCs w:val="18"/>
    </w:rPr>
  </w:style>
  <w:style w:type="numbering" w:customStyle="1" w:styleId="TableNumberedListS">
    <w:name w:val="Table Numbered List S"/>
    <w:rsid w:val="008D4477"/>
  </w:style>
  <w:style w:type="paragraph" w:customStyle="1" w:styleId="PrefaceTitle">
    <w:name w:val="Preface Title"/>
    <w:basedOn w:val="Heading2"/>
    <w:next w:val="PwCNormal"/>
    <w:rsid w:val="00C75673"/>
    <w:pPr>
      <w:numPr>
        <w:ilvl w:val="0"/>
        <w:numId w:val="0"/>
      </w:numPr>
    </w:pPr>
  </w:style>
  <w:style w:type="paragraph" w:customStyle="1" w:styleId="Sources">
    <w:name w:val="Sources"/>
    <w:basedOn w:val="Normal"/>
    <w:next w:val="PwCNormal"/>
    <w:rsid w:val="006742E0"/>
    <w:pPr>
      <w:spacing w:before="80" w:after="240" w:line="180" w:lineRule="atLeast"/>
    </w:pPr>
    <w:rPr>
      <w:color w:val="A32020" w:themeColor="text2"/>
      <w:sz w:val="16"/>
    </w:rPr>
  </w:style>
  <w:style w:type="paragraph" w:customStyle="1" w:styleId="Minorheading">
    <w:name w:val="Minor heading"/>
    <w:basedOn w:val="Majorheading"/>
    <w:next w:val="PwCNormal"/>
    <w:rsid w:val="003C52DC"/>
    <w:pPr>
      <w:spacing w:line="180" w:lineRule="atLeast"/>
    </w:pPr>
    <w:rPr>
      <w:b w:val="0"/>
      <w:sz w:val="26"/>
    </w:rPr>
  </w:style>
  <w:style w:type="paragraph" w:customStyle="1" w:styleId="Minorheading2">
    <w:name w:val="Minor heading 2"/>
    <w:basedOn w:val="Minorheading"/>
    <w:next w:val="PwCNormal"/>
    <w:rsid w:val="00D657FC"/>
    <w:pPr>
      <w:spacing w:line="240" w:lineRule="atLeast"/>
    </w:pPr>
    <w:rPr>
      <w:b/>
      <w:i w:val="0"/>
      <w:sz w:val="20"/>
    </w:rPr>
  </w:style>
  <w:style w:type="numbering" w:customStyle="1" w:styleId="PwCListNumbers1">
    <w:name w:val="PwC List Numbers 1"/>
    <w:uiPriority w:val="99"/>
    <w:rsid w:val="0071186F"/>
    <w:pPr>
      <w:numPr>
        <w:numId w:val="11"/>
      </w:numPr>
    </w:pPr>
  </w:style>
  <w:style w:type="paragraph" w:customStyle="1" w:styleId="BlockText3">
    <w:name w:val="Block Text 3"/>
    <w:basedOn w:val="BlockText"/>
    <w:qFormat/>
    <w:rsid w:val="0071186F"/>
    <w:pPr>
      <w:pBdr>
        <w:top w:val="single" w:sz="8" w:space="10" w:color="F2F2F2" w:themeColor="background2" w:themeShade="F2"/>
        <w:left w:val="single" w:sz="8" w:space="10" w:color="F2F2F2" w:themeColor="background2" w:themeShade="F2"/>
        <w:bottom w:val="single" w:sz="8" w:space="10" w:color="F2F2F2" w:themeColor="background2" w:themeShade="F2"/>
        <w:right w:val="single" w:sz="8" w:space="10" w:color="F2F2F2" w:themeColor="background2" w:themeShade="F2"/>
      </w:pBdr>
      <w:shd w:val="clear" w:color="auto" w:fill="F2F2F2" w:themeFill="background2" w:themeFillShade="F2"/>
      <w:kinsoku/>
      <w:overflowPunct/>
      <w:autoSpaceDE/>
      <w:autoSpaceDN/>
      <w:adjustRightInd/>
      <w:snapToGrid/>
      <w:ind w:left="227" w:right="227"/>
    </w:pPr>
    <w:rPr>
      <w:snapToGrid/>
      <w:sz w:val="96"/>
      <w:lang w:val="en-GB"/>
    </w:rPr>
  </w:style>
  <w:style w:type="paragraph" w:customStyle="1" w:styleId="TableBullet2Normal">
    <w:name w:val="Table Bullet 2 Normal"/>
    <w:basedOn w:val="TableBullet1Normal"/>
    <w:rsid w:val="008D4477"/>
    <w:pPr>
      <w:numPr>
        <w:ilvl w:val="1"/>
      </w:numPr>
    </w:pPr>
  </w:style>
  <w:style w:type="paragraph" w:customStyle="1" w:styleId="TableBullet2Small">
    <w:name w:val="Table Bullet 2 Small"/>
    <w:basedOn w:val="TableBullet1Small"/>
    <w:rsid w:val="008D4477"/>
    <w:pPr>
      <w:numPr>
        <w:ilvl w:val="1"/>
      </w:numPr>
    </w:pPr>
  </w:style>
  <w:style w:type="paragraph" w:customStyle="1" w:styleId="TableIndent1Normal">
    <w:name w:val="Table Indent 1 Normal"/>
    <w:basedOn w:val="TableBullet1Normal"/>
    <w:rsid w:val="008D4477"/>
    <w:pPr>
      <w:numPr>
        <w:numId w:val="0"/>
      </w:numPr>
      <w:ind w:left="284"/>
    </w:pPr>
  </w:style>
  <w:style w:type="paragraph" w:customStyle="1" w:styleId="TableIndent1Small">
    <w:name w:val="Table Indent 1 Small"/>
    <w:basedOn w:val="TableBullet1Small"/>
    <w:rsid w:val="00461AF8"/>
    <w:pPr>
      <w:numPr>
        <w:numId w:val="0"/>
      </w:numPr>
      <w:ind w:left="284"/>
    </w:pPr>
  </w:style>
  <w:style w:type="paragraph" w:customStyle="1" w:styleId="SubHeading">
    <w:name w:val="Sub Heading"/>
    <w:basedOn w:val="PwCNormal"/>
    <w:rsid w:val="00930AB8"/>
    <w:pPr>
      <w:spacing w:after="480" w:line="600" w:lineRule="atLeast"/>
    </w:pPr>
    <w:rPr>
      <w:sz w:val="56"/>
    </w:rPr>
  </w:style>
  <w:style w:type="paragraph" w:styleId="FootnoteText">
    <w:name w:val="footnote text"/>
    <w:basedOn w:val="Normal"/>
    <w:link w:val="FootnoteTextChar"/>
    <w:uiPriority w:val="99"/>
    <w:rsid w:val="005F07CE"/>
    <w:pPr>
      <w:tabs>
        <w:tab w:val="left" w:pos="284"/>
      </w:tabs>
      <w:spacing w:before="80" w:after="80"/>
      <w:ind w:left="227" w:hanging="227"/>
    </w:pPr>
    <w:rPr>
      <w:sz w:val="14"/>
    </w:rPr>
  </w:style>
  <w:style w:type="character" w:styleId="FootnoteReference">
    <w:name w:val="footnote reference"/>
    <w:basedOn w:val="DefaultParagraphFont"/>
    <w:uiPriority w:val="99"/>
    <w:rsid w:val="00317710"/>
    <w:rPr>
      <w:rFonts w:cs="Arial"/>
      <w:sz w:val="21"/>
      <w:vertAlign w:val="superscript"/>
    </w:rPr>
  </w:style>
  <w:style w:type="character" w:styleId="EndnoteReference">
    <w:name w:val="endnote reference"/>
    <w:basedOn w:val="DefaultParagraphFont"/>
    <w:semiHidden/>
    <w:unhideWhenUsed/>
    <w:rsid w:val="008D4477"/>
    <w:rPr>
      <w:rFonts w:ascii="Arial" w:hAnsi="Arial" w:cs="Arial"/>
      <w:sz w:val="21"/>
      <w:vertAlign w:val="superscript"/>
    </w:rPr>
  </w:style>
  <w:style w:type="paragraph" w:styleId="EndnoteText">
    <w:name w:val="endnote text"/>
    <w:basedOn w:val="FootnoteText"/>
    <w:semiHidden/>
    <w:unhideWhenUsed/>
    <w:rsid w:val="008D4477"/>
  </w:style>
  <w:style w:type="paragraph" w:customStyle="1" w:styleId="Address">
    <w:name w:val="Address"/>
    <w:basedOn w:val="Normal"/>
    <w:qFormat/>
    <w:rsid w:val="009231BC"/>
    <w:pPr>
      <w:kinsoku/>
      <w:overflowPunct/>
      <w:autoSpaceDE/>
      <w:autoSpaceDN/>
      <w:adjustRightInd/>
      <w:snapToGrid/>
      <w:spacing w:line="200" w:lineRule="atLeast"/>
    </w:pPr>
    <w:rPr>
      <w:rFonts w:eastAsiaTheme="minorHAnsi" w:cstheme="minorBidi"/>
      <w:i/>
      <w:noProof/>
      <w:snapToGrid/>
      <w:sz w:val="18"/>
      <w:szCs w:val="22"/>
      <w:lang w:val="en-GB" w:eastAsia="en-GB"/>
    </w:rPr>
  </w:style>
  <w:style w:type="table" w:styleId="TableGrid">
    <w:name w:val="Table Grid"/>
    <w:basedOn w:val="TableNormal"/>
    <w:semiHidden/>
    <w:locked/>
    <w:rsid w:val="008D4477"/>
    <w:pPr>
      <w:kinsoku w:val="0"/>
      <w:overflowPunct w:val="0"/>
      <w:autoSpaceDE w:val="0"/>
      <w:autoSpaceDN w:val="0"/>
      <w:adjustRightInd w:val="0"/>
      <w:snapToGri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TOC1"/>
    <w:next w:val="PwCNormal"/>
    <w:uiPriority w:val="39"/>
    <w:rsid w:val="008D4477"/>
    <w:pPr>
      <w:numPr>
        <w:ilvl w:val="2"/>
      </w:numPr>
    </w:pPr>
  </w:style>
  <w:style w:type="paragraph" w:styleId="TOC5">
    <w:name w:val="toc 5"/>
    <w:basedOn w:val="TOC2"/>
    <w:next w:val="PwCNormal"/>
    <w:rsid w:val="008D4477"/>
  </w:style>
  <w:style w:type="paragraph" w:styleId="TOC8">
    <w:name w:val="toc 8"/>
    <w:basedOn w:val="TOC7"/>
    <w:next w:val="PwCNormal"/>
    <w:rsid w:val="008D4477"/>
    <w:pPr>
      <w:tabs>
        <w:tab w:val="clear" w:pos="1985"/>
        <w:tab w:val="left" w:pos="3402"/>
      </w:tabs>
      <w:ind w:left="3403"/>
    </w:pPr>
  </w:style>
  <w:style w:type="paragraph" w:styleId="TOC9">
    <w:name w:val="toc 9"/>
    <w:basedOn w:val="TOC8"/>
    <w:next w:val="PwCNormal"/>
    <w:uiPriority w:val="39"/>
    <w:rsid w:val="008D4477"/>
    <w:pPr>
      <w:tabs>
        <w:tab w:val="clear" w:pos="3402"/>
        <w:tab w:val="left" w:pos="4253"/>
      </w:tabs>
      <w:ind w:left="4253"/>
    </w:pPr>
  </w:style>
  <w:style w:type="paragraph" w:customStyle="1" w:styleId="Separator">
    <w:name w:val="Separator"/>
    <w:basedOn w:val="Normal"/>
    <w:semiHidden/>
    <w:rsid w:val="008D4477"/>
    <w:pPr>
      <w:spacing w:before="240" w:after="120"/>
    </w:pPr>
    <w:rPr>
      <w:sz w:val="16"/>
    </w:rPr>
  </w:style>
  <w:style w:type="numbering" w:customStyle="1" w:styleId="TableNumberedListN">
    <w:name w:val="Table Numbered List N"/>
    <w:rsid w:val="008D4477"/>
  </w:style>
  <w:style w:type="paragraph" w:customStyle="1" w:styleId="TableColumnHeadingNormal">
    <w:name w:val="Table Column Heading Normal"/>
    <w:basedOn w:val="TableTextNormal"/>
    <w:rsid w:val="000B319E"/>
    <w:pPr>
      <w:keepNext/>
      <w:keepLines/>
    </w:pPr>
    <w:rPr>
      <w:b/>
      <w:color w:val="A32020" w:themeColor="text2"/>
    </w:rPr>
  </w:style>
  <w:style w:type="paragraph" w:customStyle="1" w:styleId="TableColumnHeadingSmall">
    <w:name w:val="Table Column Heading Small"/>
    <w:basedOn w:val="TableTextSmall"/>
    <w:next w:val="TableTextSmall"/>
    <w:rsid w:val="00053B82"/>
    <w:pPr>
      <w:keepNext/>
      <w:keepLines/>
    </w:pPr>
    <w:rPr>
      <w:b/>
      <w:color w:val="A32020" w:themeColor="text2"/>
      <w:szCs w:val="16"/>
    </w:rPr>
  </w:style>
  <w:style w:type="numbering" w:customStyle="1" w:styleId="TableBulletSmallList">
    <w:name w:val="Table Bullet Small List"/>
    <w:rsid w:val="0021094E"/>
    <w:pPr>
      <w:numPr>
        <w:numId w:val="3"/>
      </w:numPr>
    </w:pPr>
  </w:style>
  <w:style w:type="paragraph" w:customStyle="1" w:styleId="Header-Landscape">
    <w:name w:val="Header - Landscape"/>
    <w:basedOn w:val="Header"/>
    <w:rsid w:val="008D4477"/>
  </w:style>
  <w:style w:type="character" w:styleId="PageNumber">
    <w:name w:val="page number"/>
    <w:semiHidden/>
    <w:unhideWhenUsed/>
    <w:rsid w:val="008D4477"/>
  </w:style>
  <w:style w:type="paragraph" w:styleId="Date">
    <w:name w:val="Date"/>
    <w:basedOn w:val="Normal"/>
    <w:next w:val="PwCNormal"/>
    <w:semiHidden/>
    <w:rsid w:val="008D4477"/>
  </w:style>
  <w:style w:type="paragraph" w:customStyle="1" w:styleId="Indent8">
    <w:name w:val="Indent 8"/>
    <w:basedOn w:val="Indent7"/>
    <w:rsid w:val="00931F8A"/>
    <w:pPr>
      <w:numPr>
        <w:ilvl w:val="8"/>
      </w:numPr>
    </w:pPr>
  </w:style>
  <w:style w:type="paragraph" w:customStyle="1" w:styleId="Header-LandscapeEven">
    <w:name w:val="Header - Landscape Even"/>
    <w:basedOn w:val="Header-Landscape"/>
    <w:rsid w:val="008D4477"/>
    <w:pPr>
      <w:tabs>
        <w:tab w:val="right" w:pos="14661"/>
      </w:tabs>
    </w:pPr>
  </w:style>
  <w:style w:type="paragraph" w:customStyle="1" w:styleId="Footer-ToC">
    <w:name w:val="Footer - ToC"/>
    <w:basedOn w:val="Footer"/>
    <w:rsid w:val="0064358E"/>
  </w:style>
  <w:style w:type="paragraph" w:customStyle="1" w:styleId="Footer-ToCEven">
    <w:name w:val="Footer - ToC Even"/>
    <w:basedOn w:val="Footer-ToC"/>
    <w:rsid w:val="00BB4286"/>
  </w:style>
  <w:style w:type="table" w:customStyle="1" w:styleId="Tables-APBase">
    <w:name w:val="Tables - AP Base"/>
    <w:basedOn w:val="TableNormal"/>
    <w:rsid w:val="00A87947"/>
    <w:tblPr>
      <w:tblStyleRowBandSize w:val="1"/>
      <w:tblStyleColBandSize w:val="1"/>
      <w:tblInd w:w="0" w:type="dxa"/>
      <w:tblBorders>
        <w:top w:val="single" w:sz="4" w:space="0" w:color="FFFFFF"/>
        <w:left w:val="single" w:sz="4" w:space="0" w:color="FFFFFF"/>
        <w:bottom w:val="single" w:sz="6" w:space="0" w:color="A32020" w:themeColor="text2"/>
        <w:right w:val="single" w:sz="4" w:space="0" w:color="FFFFFF"/>
        <w:insideH w:val="dotted" w:sz="8" w:space="0" w:color="A32020" w:themeColor="text2"/>
        <w:insideV w:val="single" w:sz="4" w:space="0" w:color="FFFFFF"/>
      </w:tblBorders>
      <w:tblCellMar>
        <w:top w:w="0" w:type="dxa"/>
        <w:left w:w="108" w:type="dxa"/>
        <w:bottom w:w="0" w:type="dxa"/>
        <w:right w:w="108" w:type="dxa"/>
      </w:tblCellMar>
    </w:tblPr>
    <w:tcPr>
      <w:shd w:val="clear" w:color="auto" w:fill="auto"/>
      <w:tcMar>
        <w:top w:w="0" w:type="dxa"/>
        <w:left w:w="108" w:type="dxa"/>
        <w:bottom w:w="0" w:type="dxa"/>
        <w:right w:w="108" w:type="dxa"/>
      </w:tcMar>
    </w:tcPr>
    <w:tblStylePr w:type="firstRow">
      <w:pPr>
        <w:jc w:val="center"/>
      </w:pPr>
      <w:rPr>
        <w:rFonts w:ascii="Georgia" w:hAnsi="Georgia"/>
        <w:b w:val="0"/>
        <w:color w:val="auto"/>
      </w:rPr>
      <w:tblPr/>
      <w:trPr>
        <w:tblHeader/>
      </w:trPr>
      <w:tcPr>
        <w:tcBorders>
          <w:top w:val="single" w:sz="4" w:space="0" w:color="A32020" w:themeColor="text2"/>
          <w:bottom w:val="single" w:sz="4" w:space="0" w:color="A32020" w:themeColor="text2"/>
        </w:tcBorders>
      </w:tcPr>
    </w:tblStylePr>
    <w:tblStylePr w:type="lastRow">
      <w:rPr>
        <w:color w:val="auto"/>
      </w:rPr>
      <w:tblPr/>
      <w:tcPr>
        <w:tcBorders>
          <w:top w:val="single" w:sz="4" w:space="0" w:color="A32020" w:themeColor="text2"/>
        </w:tcBorders>
        <w:shd w:val="clear" w:color="auto" w:fill="auto"/>
      </w:tcPr>
    </w:tblStylePr>
    <w:tblStylePr w:type="nwCell">
      <w:pPr>
        <w:jc w:val="left"/>
      </w:pPr>
      <w:tblPr/>
      <w:tcPr>
        <w:vAlign w:val="bottom"/>
      </w:tcPr>
    </w:tblStylePr>
  </w:style>
  <w:style w:type="paragraph" w:customStyle="1" w:styleId="CVRoleTitle">
    <w:name w:val="CV Role Title"/>
    <w:basedOn w:val="CVText"/>
    <w:rsid w:val="00C70AB2"/>
    <w:pPr>
      <w:pBdr>
        <w:bottom w:val="none" w:sz="0" w:space="0" w:color="00457C"/>
      </w:pBdr>
    </w:pPr>
    <w:rPr>
      <w:i/>
      <w:color w:val="A32020" w:themeColor="text2"/>
      <w:sz w:val="24"/>
      <w:szCs w:val="24"/>
    </w:rPr>
  </w:style>
  <w:style w:type="paragraph" w:customStyle="1" w:styleId="ListBullet1">
    <w:name w:val="List Bullet 1"/>
    <w:basedOn w:val="Normal"/>
    <w:semiHidden/>
    <w:locked/>
    <w:rsid w:val="00083500"/>
    <w:pPr>
      <w:tabs>
        <w:tab w:val="num" w:pos="720"/>
      </w:tabs>
      <w:spacing w:before="100" w:after="100"/>
      <w:ind w:left="720" w:hanging="720"/>
    </w:pPr>
  </w:style>
  <w:style w:type="paragraph" w:styleId="ListBullet2">
    <w:name w:val="List Bullet 2"/>
    <w:basedOn w:val="ListBullet1"/>
    <w:qFormat/>
    <w:locked/>
    <w:rsid w:val="00083500"/>
    <w:pPr>
      <w:numPr>
        <w:ilvl w:val="1"/>
        <w:numId w:val="29"/>
      </w:numPr>
      <w:spacing w:before="120" w:after="120"/>
    </w:pPr>
  </w:style>
  <w:style w:type="paragraph" w:styleId="ListBullet4">
    <w:name w:val="List Bullet 4"/>
    <w:basedOn w:val="ListBullet3"/>
    <w:unhideWhenUsed/>
    <w:locked/>
    <w:rsid w:val="00083500"/>
    <w:pPr>
      <w:numPr>
        <w:ilvl w:val="3"/>
      </w:numPr>
    </w:pPr>
  </w:style>
  <w:style w:type="paragraph" w:customStyle="1" w:styleId="CVBullet1">
    <w:name w:val="CV Bullet 1"/>
    <w:basedOn w:val="CVText"/>
    <w:rsid w:val="00C72147"/>
    <w:pPr>
      <w:numPr>
        <w:numId w:val="8"/>
      </w:numPr>
      <w:spacing w:before="40" w:after="40"/>
    </w:pPr>
  </w:style>
  <w:style w:type="paragraph" w:customStyle="1" w:styleId="CVDetails">
    <w:name w:val="CV Details"/>
    <w:basedOn w:val="CVRoleTitle"/>
    <w:rsid w:val="001226BE"/>
    <w:pPr>
      <w:spacing w:before="120" w:after="40"/>
    </w:pPr>
    <w:rPr>
      <w:sz w:val="14"/>
    </w:rPr>
  </w:style>
  <w:style w:type="paragraph" w:customStyle="1" w:styleId="CVHeading2">
    <w:name w:val="CV Heading 2"/>
    <w:basedOn w:val="CVHeading1"/>
    <w:next w:val="CVText"/>
    <w:rsid w:val="00EF71C9"/>
    <w:pPr>
      <w:pBdr>
        <w:bottom w:val="none" w:sz="0" w:space="0" w:color="00457C"/>
      </w:pBdr>
    </w:pPr>
    <w:rPr>
      <w:b w:val="0"/>
      <w:sz w:val="18"/>
      <w:szCs w:val="24"/>
    </w:rPr>
  </w:style>
  <w:style w:type="paragraph" w:styleId="ListBullet3">
    <w:name w:val="List Bullet 3"/>
    <w:basedOn w:val="ListBullet2"/>
    <w:qFormat/>
    <w:locked/>
    <w:rsid w:val="00083500"/>
    <w:pPr>
      <w:numPr>
        <w:ilvl w:val="2"/>
      </w:numPr>
    </w:pPr>
  </w:style>
  <w:style w:type="paragraph" w:customStyle="1" w:styleId="CVHeading1">
    <w:name w:val="CV Heading 1"/>
    <w:basedOn w:val="CVText"/>
    <w:next w:val="CVText"/>
    <w:rsid w:val="00C70AB2"/>
    <w:pPr>
      <w:keepNext/>
      <w:keepLines/>
      <w:spacing w:before="120"/>
    </w:pPr>
    <w:rPr>
      <w:b/>
      <w:i/>
      <w:color w:val="A32020" w:themeColor="text2"/>
    </w:rPr>
  </w:style>
  <w:style w:type="paragraph" w:customStyle="1" w:styleId="CVPhoto">
    <w:name w:val="CV Photo"/>
    <w:basedOn w:val="CVHeading2"/>
    <w:rsid w:val="00C70AB2"/>
    <w:rPr>
      <w:sz w:val="21"/>
    </w:rPr>
  </w:style>
  <w:style w:type="paragraph" w:customStyle="1" w:styleId="CVText">
    <w:name w:val="CV Text"/>
    <w:basedOn w:val="PwCNormal"/>
    <w:rsid w:val="00C72147"/>
    <w:pPr>
      <w:numPr>
        <w:numId w:val="0"/>
      </w:numPr>
      <w:spacing w:before="80" w:after="80"/>
    </w:pPr>
  </w:style>
  <w:style w:type="paragraph" w:customStyle="1" w:styleId="CVNamelarge">
    <w:name w:val="CV Name large"/>
    <w:basedOn w:val="CVText"/>
    <w:next w:val="CVRoleTitle"/>
    <w:rsid w:val="00C70AB2"/>
    <w:pPr>
      <w:spacing w:before="0"/>
    </w:pPr>
    <w:rPr>
      <w:b/>
      <w:i/>
      <w:color w:val="A32020" w:themeColor="text2"/>
      <w:sz w:val="36"/>
      <w:szCs w:val="24"/>
    </w:rPr>
  </w:style>
  <w:style w:type="paragraph" w:customStyle="1" w:styleId="CVBullet2">
    <w:name w:val="CV Bullet 2"/>
    <w:basedOn w:val="CVBullet1"/>
    <w:rsid w:val="008D4477"/>
    <w:pPr>
      <w:numPr>
        <w:ilvl w:val="1"/>
      </w:numPr>
    </w:pPr>
  </w:style>
  <w:style w:type="paragraph" w:styleId="Title">
    <w:name w:val="Title"/>
    <w:basedOn w:val="Normal"/>
    <w:semiHidden/>
    <w:qFormat/>
    <w:rsid w:val="008D4477"/>
    <w:pPr>
      <w:spacing w:before="240" w:after="60"/>
      <w:jc w:val="center"/>
      <w:outlineLvl w:val="0"/>
    </w:pPr>
    <w:rPr>
      <w:b/>
      <w:bCs/>
      <w:color w:val="A32020" w:themeColor="text2"/>
      <w:kern w:val="28"/>
      <w:sz w:val="32"/>
      <w:szCs w:val="32"/>
    </w:rPr>
  </w:style>
  <w:style w:type="paragraph" w:styleId="BalloonText">
    <w:name w:val="Balloon Text"/>
    <w:basedOn w:val="Normal"/>
    <w:semiHidden/>
    <w:locked/>
    <w:rsid w:val="008D4477"/>
    <w:rPr>
      <w:rFonts w:ascii="Tahoma" w:hAnsi="Tahoma"/>
      <w:sz w:val="16"/>
      <w:szCs w:val="16"/>
    </w:rPr>
  </w:style>
  <w:style w:type="numbering" w:customStyle="1" w:styleId="Style1">
    <w:name w:val="Style1"/>
    <w:uiPriority w:val="99"/>
    <w:rsid w:val="00D424C7"/>
    <w:pPr>
      <w:numPr>
        <w:numId w:val="21"/>
      </w:numPr>
    </w:pPr>
  </w:style>
  <w:style w:type="numbering" w:customStyle="1" w:styleId="IndentList">
    <w:name w:val="IndentList"/>
    <w:basedOn w:val="NoList"/>
    <w:rsid w:val="008D4477"/>
  </w:style>
  <w:style w:type="paragraph" w:customStyle="1" w:styleId="VersionControl">
    <w:name w:val="Version Control"/>
    <w:basedOn w:val="TOCtitle"/>
    <w:unhideWhenUsed/>
    <w:rsid w:val="007D1C0E"/>
    <w:pPr>
      <w:pageBreakBefore w:val="0"/>
      <w:framePr w:w="9923" w:wrap="around" w:vAnchor="text" w:hAnchor="page" w:x="1498" w:y="1"/>
      <w:spacing w:before="360" w:after="240"/>
    </w:pPr>
    <w:rPr>
      <w:sz w:val="28"/>
    </w:rPr>
  </w:style>
  <w:style w:type="paragraph" w:customStyle="1" w:styleId="VersionTableHeading">
    <w:name w:val="Version Table Heading"/>
    <w:basedOn w:val="VersionTableText"/>
    <w:unhideWhenUsed/>
    <w:rsid w:val="003779E0"/>
    <w:pPr>
      <w:framePr w:wrap="around"/>
    </w:pPr>
  </w:style>
  <w:style w:type="paragraph" w:customStyle="1" w:styleId="VersionTableText">
    <w:name w:val="Version Table Text"/>
    <w:basedOn w:val="VersionControl"/>
    <w:unhideWhenUsed/>
    <w:rsid w:val="003779E0"/>
    <w:pPr>
      <w:framePr w:wrap="around"/>
      <w:spacing w:before="80" w:after="80" w:line="240" w:lineRule="auto"/>
      <w:outlineLvl w:val="9"/>
    </w:pPr>
    <w:rPr>
      <w:rFonts w:ascii="Georgia" w:hAnsi="Georgia"/>
      <w:sz w:val="21"/>
      <w:szCs w:val="20"/>
    </w:rPr>
  </w:style>
  <w:style w:type="table" w:customStyle="1" w:styleId="Tables-APBase2">
    <w:name w:val="Tables - AP Base 2"/>
    <w:basedOn w:val="Tables-APBase"/>
    <w:uiPriority w:val="99"/>
    <w:qFormat/>
    <w:rsid w:val="003779E0"/>
    <w:tblPr>
      <w:tblStyleRowBandSize w:val="1"/>
      <w:tblStyleColBandSize w:val="1"/>
      <w:tblInd w:w="0" w:type="dxa"/>
      <w:tblBorders>
        <w:top w:val="single" w:sz="4" w:space="0" w:color="FFFFFF"/>
        <w:left w:val="single" w:sz="4" w:space="0" w:color="FFFFFF"/>
        <w:bottom w:val="single" w:sz="6" w:space="0" w:color="A32020" w:themeColor="text2"/>
        <w:right w:val="single" w:sz="4" w:space="0" w:color="FFFFFF"/>
        <w:insideH w:val="dotted" w:sz="8" w:space="0" w:color="A32020" w:themeColor="text2"/>
        <w:insideV w:val="single" w:sz="4" w:space="0" w:color="FFFFFF"/>
      </w:tblBorders>
      <w:tblCellMar>
        <w:top w:w="0" w:type="dxa"/>
        <w:left w:w="108" w:type="dxa"/>
        <w:bottom w:w="0" w:type="dxa"/>
        <w:right w:w="108" w:type="dxa"/>
      </w:tblCellMar>
    </w:tblPr>
    <w:tcPr>
      <w:shd w:val="clear" w:color="auto" w:fill="auto"/>
      <w:tcMar>
        <w:top w:w="0" w:type="dxa"/>
        <w:left w:w="108" w:type="dxa"/>
        <w:bottom w:w="0" w:type="dxa"/>
        <w:right w:w="108" w:type="dxa"/>
      </w:tcMar>
    </w:tcPr>
    <w:tblStylePr w:type="firstRow">
      <w:pPr>
        <w:jc w:val="center"/>
      </w:pPr>
      <w:rPr>
        <w:rFonts w:asciiTheme="minorHAnsi" w:hAnsiTheme="minorHAnsi"/>
        <w:b/>
        <w:color w:val="FFFFFF" w:themeColor="background2"/>
      </w:rPr>
      <w:tblPr/>
      <w:trPr>
        <w:tblHeader/>
      </w:trPr>
      <w:tcPr>
        <w:tcBorders>
          <w:top w:val="single" w:sz="4" w:space="0" w:color="A32020" w:themeColor="text2"/>
          <w:bottom w:val="single" w:sz="4" w:space="0" w:color="A32020" w:themeColor="text2"/>
        </w:tcBorders>
        <w:shd w:val="clear" w:color="auto" w:fill="A32020" w:themeFill="text2"/>
        <w:vAlign w:val="bottom"/>
      </w:tcPr>
    </w:tblStylePr>
    <w:tblStylePr w:type="lastRow">
      <w:rPr>
        <w:color w:val="FFFFFF" w:themeColor="background1"/>
      </w:rPr>
      <w:tblPr/>
      <w:tcPr>
        <w:tcBorders>
          <w:top w:val="single" w:sz="4" w:space="0" w:color="A32020" w:themeColor="text2"/>
        </w:tcBorders>
        <w:shd w:val="clear" w:color="auto" w:fill="A32020" w:themeFill="text2"/>
      </w:tcPr>
    </w:tblStylePr>
    <w:tblStylePr w:type="firstCol">
      <w:tblPr/>
      <w:tcPr>
        <w:shd w:val="clear" w:color="auto" w:fill="FFFFFF" w:themeFill="background2"/>
      </w:tcPr>
    </w:tblStylePr>
    <w:tblStylePr w:type="lastCol">
      <w:tblPr/>
      <w:tcPr>
        <w:shd w:val="clear" w:color="auto" w:fill="FFFFFF" w:themeFill="background2"/>
      </w:tcPr>
    </w:tblStylePr>
    <w:tblStylePr w:type="band2Vert">
      <w:tblPr/>
      <w:tcPr>
        <w:shd w:val="clear" w:color="auto" w:fill="F4CACA" w:themeFill="text2" w:themeFillTint="33"/>
      </w:tcPr>
    </w:tblStylePr>
    <w:tblStylePr w:type="band2Horz">
      <w:tblPr/>
      <w:tcPr>
        <w:shd w:val="clear" w:color="auto" w:fill="F4CACA" w:themeFill="text2" w:themeFillTint="33"/>
      </w:tcPr>
    </w:tblStylePr>
    <w:tblStylePr w:type="nwCell">
      <w:pPr>
        <w:jc w:val="left"/>
      </w:pPr>
      <w:tblPr/>
      <w:tcPr>
        <w:shd w:val="clear" w:color="auto" w:fill="FFFFFF" w:themeFill="background1"/>
        <w:vAlign w:val="bottom"/>
      </w:tcPr>
    </w:tblStylePr>
  </w:style>
  <w:style w:type="character" w:customStyle="1" w:styleId="HeaderChar">
    <w:name w:val="Header Char"/>
    <w:basedOn w:val="DefaultParagraphFont"/>
    <w:link w:val="Header"/>
    <w:locked/>
    <w:rsid w:val="00B376A6"/>
    <w:rPr>
      <w:rFonts w:ascii="Arial" w:hAnsi="Arial" w:cs="Arial"/>
      <w:snapToGrid w:val="0"/>
      <w:color w:val="000000" w:themeColor="text1"/>
      <w:sz w:val="19"/>
      <w:szCs w:val="18"/>
      <w:lang w:eastAsia="en-US"/>
    </w:rPr>
  </w:style>
  <w:style w:type="character" w:customStyle="1" w:styleId="FooterChar">
    <w:name w:val="Footer Char"/>
    <w:basedOn w:val="DefaultParagraphFont"/>
    <w:link w:val="Footer"/>
    <w:locked/>
    <w:rsid w:val="00B376A6"/>
    <w:rPr>
      <w:rFonts w:ascii="Arial" w:hAnsi="Arial" w:cs="Arial"/>
      <w:snapToGrid w:val="0"/>
      <w:color w:val="000000" w:themeColor="text1"/>
      <w:sz w:val="19"/>
      <w:szCs w:val="18"/>
      <w:lang w:eastAsia="en-US"/>
    </w:rPr>
  </w:style>
  <w:style w:type="paragraph" w:customStyle="1" w:styleId="Header-FirstPage">
    <w:name w:val="Header - First Page"/>
    <w:basedOn w:val="Header"/>
    <w:rsid w:val="008D4477"/>
  </w:style>
  <w:style w:type="paragraph" w:customStyle="1" w:styleId="Appendicestitle">
    <w:name w:val="Appendices title"/>
    <w:basedOn w:val="TOCtitle"/>
    <w:qFormat/>
    <w:rsid w:val="00D424C7"/>
    <w:pPr>
      <w:pageBreakBefore w:val="0"/>
      <w:numPr>
        <w:ilvl w:val="1"/>
        <w:numId w:val="21"/>
      </w:numPr>
    </w:pPr>
  </w:style>
  <w:style w:type="numbering" w:customStyle="1" w:styleId="CVBullets">
    <w:name w:val="CV Bullets"/>
    <w:uiPriority w:val="99"/>
    <w:rsid w:val="0021094E"/>
    <w:pPr>
      <w:numPr>
        <w:numId w:val="7"/>
      </w:numPr>
    </w:pPr>
  </w:style>
  <w:style w:type="paragraph" w:styleId="DocumentMap">
    <w:name w:val="Document Map"/>
    <w:basedOn w:val="Normal"/>
    <w:link w:val="DocumentMapChar"/>
    <w:semiHidden/>
    <w:rsid w:val="00235653"/>
    <w:rPr>
      <w:rFonts w:ascii="Tahoma" w:hAnsi="Tahoma" w:cs="Tahoma"/>
      <w:sz w:val="16"/>
      <w:szCs w:val="16"/>
    </w:rPr>
  </w:style>
  <w:style w:type="character" w:customStyle="1" w:styleId="DocumentMapChar">
    <w:name w:val="Document Map Char"/>
    <w:basedOn w:val="DefaultParagraphFont"/>
    <w:link w:val="DocumentMap"/>
    <w:semiHidden/>
    <w:rsid w:val="00235653"/>
    <w:rPr>
      <w:rFonts w:ascii="Tahoma" w:hAnsi="Tahoma" w:cs="Tahoma"/>
      <w:snapToGrid w:val="0"/>
      <w:sz w:val="16"/>
      <w:szCs w:val="16"/>
      <w:lang w:eastAsia="en-US"/>
    </w:rPr>
  </w:style>
  <w:style w:type="table" w:styleId="TableGrid1">
    <w:name w:val="Table Grid 1"/>
    <w:basedOn w:val="TableNormal"/>
    <w:semiHidden/>
    <w:locked/>
    <w:rsid w:val="00CC1D52"/>
    <w:pPr>
      <w:kinsoku w:val="0"/>
      <w:overflowPunct w:val="0"/>
      <w:autoSpaceDE w:val="0"/>
      <w:autoSpaceDN w:val="0"/>
      <w:adjustRightInd w:val="0"/>
      <w:snapToGrid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CC1D52"/>
    <w:pPr>
      <w:kinsoku w:val="0"/>
      <w:overflowPunct w:val="0"/>
      <w:autoSpaceDE w:val="0"/>
      <w:autoSpaceDN w:val="0"/>
      <w:adjustRightInd w:val="0"/>
      <w:snapToGrid w:val="0"/>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CC1D52"/>
    <w:pPr>
      <w:kinsoku w:val="0"/>
      <w:overflowPunct w:val="0"/>
      <w:autoSpaceDE w:val="0"/>
      <w:autoSpaceDN w:val="0"/>
      <w:adjustRightInd w:val="0"/>
      <w:snapToGrid w:val="0"/>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CC1D52"/>
    <w:pPr>
      <w:kinsoku w:val="0"/>
      <w:overflowPunct w:val="0"/>
      <w:autoSpaceDE w:val="0"/>
      <w:autoSpaceDN w:val="0"/>
      <w:adjustRightInd w:val="0"/>
      <w:snapToGrid w:val="0"/>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CC1D52"/>
    <w:pPr>
      <w:kinsoku w:val="0"/>
      <w:overflowPunct w:val="0"/>
      <w:autoSpaceDE w:val="0"/>
      <w:autoSpaceDN w:val="0"/>
      <w:adjustRightInd w:val="0"/>
      <w:snapToGrid w:val="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CC1D52"/>
    <w:pPr>
      <w:kinsoku w:val="0"/>
      <w:overflowPunct w:val="0"/>
      <w:autoSpaceDE w:val="0"/>
      <w:autoSpaceDN w:val="0"/>
      <w:adjustRightInd w:val="0"/>
      <w:snapToGrid w:val="0"/>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CC1D52"/>
    <w:pPr>
      <w:kinsoku w:val="0"/>
      <w:overflowPunct w:val="0"/>
      <w:autoSpaceDE w:val="0"/>
      <w:autoSpaceDN w:val="0"/>
      <w:adjustRightInd w:val="0"/>
      <w:snapToGrid w:val="0"/>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CC1D52"/>
    <w:pPr>
      <w:kinsoku w:val="0"/>
      <w:overflowPunct w:val="0"/>
      <w:autoSpaceDE w:val="0"/>
      <w:autoSpaceDN w:val="0"/>
      <w:adjustRightInd w:val="0"/>
      <w:snapToGrid w:val="0"/>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3Deffects1">
    <w:name w:val="Table 3D effects 1"/>
    <w:basedOn w:val="TableNormal"/>
    <w:locked/>
    <w:rsid w:val="00020F7F"/>
    <w:pPr>
      <w:kinsoku w:val="0"/>
      <w:overflowPunct w:val="0"/>
      <w:autoSpaceDE w:val="0"/>
      <w:autoSpaceDN w:val="0"/>
      <w:adjustRightInd w:val="0"/>
      <w:snapToGrid w:val="0"/>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Theme">
    <w:name w:val="Table Theme"/>
    <w:basedOn w:val="TableNormal"/>
    <w:semiHidden/>
    <w:rsid w:val="00CC1D52"/>
    <w:pPr>
      <w:kinsoku w:val="0"/>
      <w:overflowPunct w:val="0"/>
      <w:autoSpaceDE w:val="0"/>
      <w:autoSpaceDN w:val="0"/>
      <w:adjustRightInd w:val="0"/>
      <w:snapToGri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croText">
    <w:name w:val="macro"/>
    <w:link w:val="MacroTextChar"/>
    <w:unhideWhenUsed/>
    <w:locked/>
    <w:rsid w:val="001E6A5E"/>
    <w:pPr>
      <w:tabs>
        <w:tab w:val="left" w:pos="567"/>
        <w:tab w:val="left" w:pos="1134"/>
        <w:tab w:val="left" w:pos="1701"/>
        <w:tab w:val="left" w:pos="2268"/>
        <w:tab w:val="left" w:pos="2835"/>
        <w:tab w:val="left" w:pos="3402"/>
        <w:tab w:val="left" w:pos="3969"/>
      </w:tabs>
      <w:kinsoku w:val="0"/>
      <w:overflowPunct w:val="0"/>
      <w:autoSpaceDE w:val="0"/>
      <w:autoSpaceDN w:val="0"/>
      <w:adjustRightInd w:val="0"/>
      <w:snapToGrid w:val="0"/>
    </w:pPr>
    <w:rPr>
      <w:rFonts w:ascii="Consolas" w:hAnsi="Consolas" w:cs="Arial"/>
      <w:snapToGrid w:val="0"/>
      <w:lang w:eastAsia="en-US"/>
    </w:rPr>
  </w:style>
  <w:style w:type="character" w:customStyle="1" w:styleId="MacroTextChar">
    <w:name w:val="Macro Text Char"/>
    <w:basedOn w:val="DefaultParagraphFont"/>
    <w:link w:val="MacroText"/>
    <w:rsid w:val="001E6A5E"/>
    <w:rPr>
      <w:rFonts w:ascii="Consolas" w:hAnsi="Consolas" w:cs="Arial"/>
      <w:snapToGrid w:val="0"/>
      <w:sz w:val="20"/>
      <w:szCs w:val="20"/>
      <w:lang w:eastAsia="en-US"/>
    </w:rPr>
  </w:style>
  <w:style w:type="paragraph" w:styleId="Bibliography">
    <w:name w:val="Bibliography"/>
    <w:basedOn w:val="Normal"/>
    <w:next w:val="Normal"/>
    <w:uiPriority w:val="37"/>
    <w:semiHidden/>
    <w:locked/>
    <w:rsid w:val="007D1C0E"/>
  </w:style>
  <w:style w:type="paragraph" w:styleId="BlockText">
    <w:name w:val="Block Text"/>
    <w:basedOn w:val="Normal"/>
    <w:qFormat/>
    <w:rsid w:val="0071186F"/>
    <w:pPr>
      <w:spacing w:after="240"/>
    </w:pPr>
    <w:rPr>
      <w:rFonts w:eastAsiaTheme="minorEastAsia" w:cstheme="minorBidi"/>
      <w:b/>
      <w:i/>
      <w:iCs/>
      <w:color w:val="A32020" w:themeColor="accent1"/>
      <w:sz w:val="48"/>
    </w:rPr>
  </w:style>
  <w:style w:type="paragraph" w:styleId="BodyText">
    <w:name w:val="Body Text"/>
    <w:basedOn w:val="Normal"/>
    <w:link w:val="BodyTextChar"/>
    <w:semiHidden/>
    <w:locked/>
    <w:rsid w:val="007D1C0E"/>
    <w:pPr>
      <w:spacing w:after="120"/>
    </w:pPr>
  </w:style>
  <w:style w:type="character" w:customStyle="1" w:styleId="BodyTextChar">
    <w:name w:val="Body Text Char"/>
    <w:basedOn w:val="DefaultParagraphFont"/>
    <w:link w:val="BodyText"/>
    <w:semiHidden/>
    <w:rsid w:val="007D1C0E"/>
    <w:rPr>
      <w:rFonts w:ascii="Georgia" w:hAnsi="Georgia" w:cs="Arial"/>
      <w:snapToGrid w:val="0"/>
      <w:sz w:val="20"/>
      <w:lang w:eastAsia="en-US"/>
    </w:rPr>
  </w:style>
  <w:style w:type="paragraph" w:styleId="BodyText2">
    <w:name w:val="Body Text 2"/>
    <w:basedOn w:val="Normal"/>
    <w:link w:val="BodyText2Char"/>
    <w:semiHidden/>
    <w:locked/>
    <w:rsid w:val="007D1C0E"/>
    <w:pPr>
      <w:spacing w:after="120" w:line="480" w:lineRule="auto"/>
    </w:pPr>
  </w:style>
  <w:style w:type="character" w:customStyle="1" w:styleId="BodyText2Char">
    <w:name w:val="Body Text 2 Char"/>
    <w:basedOn w:val="DefaultParagraphFont"/>
    <w:link w:val="BodyText2"/>
    <w:semiHidden/>
    <w:rsid w:val="007D1C0E"/>
    <w:rPr>
      <w:rFonts w:ascii="Georgia" w:hAnsi="Georgia" w:cs="Arial"/>
      <w:snapToGrid w:val="0"/>
      <w:sz w:val="20"/>
      <w:lang w:eastAsia="en-US"/>
    </w:rPr>
  </w:style>
  <w:style w:type="paragraph" w:styleId="BodyText3">
    <w:name w:val="Body Text 3"/>
    <w:basedOn w:val="Normal"/>
    <w:link w:val="BodyText3Char"/>
    <w:semiHidden/>
    <w:locked/>
    <w:rsid w:val="007D1C0E"/>
    <w:pPr>
      <w:spacing w:after="120"/>
    </w:pPr>
    <w:rPr>
      <w:sz w:val="16"/>
      <w:szCs w:val="16"/>
    </w:rPr>
  </w:style>
  <w:style w:type="character" w:customStyle="1" w:styleId="BodyText3Char">
    <w:name w:val="Body Text 3 Char"/>
    <w:basedOn w:val="DefaultParagraphFont"/>
    <w:link w:val="BodyText3"/>
    <w:semiHidden/>
    <w:rsid w:val="007D1C0E"/>
    <w:rPr>
      <w:rFonts w:ascii="Georgia" w:hAnsi="Georgia" w:cs="Arial"/>
      <w:snapToGrid w:val="0"/>
      <w:sz w:val="16"/>
      <w:szCs w:val="16"/>
      <w:lang w:eastAsia="en-US"/>
    </w:rPr>
  </w:style>
  <w:style w:type="paragraph" w:styleId="BodyTextFirstIndent">
    <w:name w:val="Body Text First Indent"/>
    <w:basedOn w:val="BodyText"/>
    <w:link w:val="BodyTextFirstIndentChar"/>
    <w:semiHidden/>
    <w:locked/>
    <w:rsid w:val="007D1C0E"/>
    <w:pPr>
      <w:spacing w:after="0"/>
      <w:ind w:firstLine="360"/>
    </w:pPr>
  </w:style>
  <w:style w:type="character" w:customStyle="1" w:styleId="BodyTextFirstIndentChar">
    <w:name w:val="Body Text First Indent Char"/>
    <w:basedOn w:val="BodyTextChar"/>
    <w:link w:val="BodyTextFirstIndent"/>
    <w:semiHidden/>
    <w:rsid w:val="007D1C0E"/>
    <w:rPr>
      <w:rFonts w:ascii="Georgia" w:hAnsi="Georgia" w:cs="Arial"/>
      <w:snapToGrid w:val="0"/>
      <w:sz w:val="20"/>
      <w:lang w:eastAsia="en-US"/>
    </w:rPr>
  </w:style>
  <w:style w:type="paragraph" w:styleId="BodyTextIndent">
    <w:name w:val="Body Text Indent"/>
    <w:basedOn w:val="Normal"/>
    <w:link w:val="BodyTextIndentChar"/>
    <w:semiHidden/>
    <w:locked/>
    <w:rsid w:val="007D1C0E"/>
    <w:pPr>
      <w:spacing w:after="120"/>
      <w:ind w:left="283"/>
    </w:pPr>
  </w:style>
  <w:style w:type="character" w:customStyle="1" w:styleId="BodyTextIndentChar">
    <w:name w:val="Body Text Indent Char"/>
    <w:basedOn w:val="DefaultParagraphFont"/>
    <w:link w:val="BodyTextIndent"/>
    <w:semiHidden/>
    <w:rsid w:val="007D1C0E"/>
    <w:rPr>
      <w:rFonts w:ascii="Georgia" w:hAnsi="Georgia" w:cs="Arial"/>
      <w:snapToGrid w:val="0"/>
      <w:sz w:val="20"/>
      <w:lang w:eastAsia="en-US"/>
    </w:rPr>
  </w:style>
  <w:style w:type="paragraph" w:styleId="BodyTextFirstIndent2">
    <w:name w:val="Body Text First Indent 2"/>
    <w:basedOn w:val="BodyTextIndent"/>
    <w:link w:val="BodyTextFirstIndent2Char"/>
    <w:semiHidden/>
    <w:locked/>
    <w:rsid w:val="007D1C0E"/>
    <w:pPr>
      <w:spacing w:after="0"/>
      <w:ind w:left="360" w:firstLine="360"/>
    </w:pPr>
  </w:style>
  <w:style w:type="character" w:customStyle="1" w:styleId="BodyTextFirstIndent2Char">
    <w:name w:val="Body Text First Indent 2 Char"/>
    <w:basedOn w:val="BodyTextIndentChar"/>
    <w:link w:val="BodyTextFirstIndent2"/>
    <w:semiHidden/>
    <w:rsid w:val="007D1C0E"/>
    <w:rPr>
      <w:rFonts w:ascii="Georgia" w:hAnsi="Georgia" w:cs="Arial"/>
      <w:snapToGrid w:val="0"/>
      <w:sz w:val="20"/>
      <w:lang w:eastAsia="en-US"/>
    </w:rPr>
  </w:style>
  <w:style w:type="paragraph" w:styleId="BodyTextIndent2">
    <w:name w:val="Body Text Indent 2"/>
    <w:basedOn w:val="Normal"/>
    <w:link w:val="BodyTextIndent2Char"/>
    <w:semiHidden/>
    <w:locked/>
    <w:rsid w:val="007D1C0E"/>
    <w:pPr>
      <w:spacing w:after="120" w:line="480" w:lineRule="auto"/>
      <w:ind w:left="283"/>
    </w:pPr>
  </w:style>
  <w:style w:type="character" w:customStyle="1" w:styleId="BodyTextIndent2Char">
    <w:name w:val="Body Text Indent 2 Char"/>
    <w:basedOn w:val="DefaultParagraphFont"/>
    <w:link w:val="BodyTextIndent2"/>
    <w:semiHidden/>
    <w:rsid w:val="007D1C0E"/>
    <w:rPr>
      <w:rFonts w:ascii="Georgia" w:hAnsi="Georgia" w:cs="Arial"/>
      <w:snapToGrid w:val="0"/>
      <w:sz w:val="20"/>
      <w:lang w:eastAsia="en-US"/>
    </w:rPr>
  </w:style>
  <w:style w:type="paragraph" w:styleId="BodyTextIndent3">
    <w:name w:val="Body Text Indent 3"/>
    <w:basedOn w:val="Normal"/>
    <w:link w:val="BodyTextIndent3Char"/>
    <w:semiHidden/>
    <w:locked/>
    <w:rsid w:val="007D1C0E"/>
    <w:pPr>
      <w:spacing w:after="120"/>
      <w:ind w:left="283"/>
    </w:pPr>
    <w:rPr>
      <w:sz w:val="16"/>
      <w:szCs w:val="16"/>
    </w:rPr>
  </w:style>
  <w:style w:type="character" w:customStyle="1" w:styleId="BodyTextIndent3Char">
    <w:name w:val="Body Text Indent 3 Char"/>
    <w:basedOn w:val="DefaultParagraphFont"/>
    <w:link w:val="BodyTextIndent3"/>
    <w:semiHidden/>
    <w:rsid w:val="007D1C0E"/>
    <w:rPr>
      <w:rFonts w:ascii="Georgia" w:hAnsi="Georgia" w:cs="Arial"/>
      <w:snapToGrid w:val="0"/>
      <w:sz w:val="16"/>
      <w:szCs w:val="16"/>
      <w:lang w:eastAsia="en-US"/>
    </w:rPr>
  </w:style>
  <w:style w:type="character" w:styleId="BookTitle">
    <w:name w:val="Book Title"/>
    <w:basedOn w:val="DefaultParagraphFont"/>
    <w:uiPriority w:val="33"/>
    <w:semiHidden/>
    <w:qFormat/>
    <w:locked/>
    <w:rsid w:val="007D1C0E"/>
    <w:rPr>
      <w:rFonts w:ascii="Georgia" w:hAnsi="Georgia"/>
      <w:b/>
      <w:bCs/>
      <w:smallCaps/>
      <w:spacing w:val="5"/>
    </w:rPr>
  </w:style>
  <w:style w:type="paragraph" w:styleId="Closing">
    <w:name w:val="Closing"/>
    <w:basedOn w:val="Normal"/>
    <w:link w:val="ClosingChar"/>
    <w:semiHidden/>
    <w:unhideWhenUsed/>
    <w:rsid w:val="007D1C0E"/>
    <w:pPr>
      <w:ind w:left="4252"/>
    </w:pPr>
  </w:style>
  <w:style w:type="character" w:customStyle="1" w:styleId="ClosingChar">
    <w:name w:val="Closing Char"/>
    <w:basedOn w:val="DefaultParagraphFont"/>
    <w:link w:val="Closing"/>
    <w:semiHidden/>
    <w:rsid w:val="007D1C0E"/>
    <w:rPr>
      <w:rFonts w:ascii="Georgia" w:hAnsi="Georgia" w:cs="Arial"/>
      <w:snapToGrid w:val="0"/>
      <w:sz w:val="20"/>
      <w:lang w:eastAsia="en-US"/>
    </w:rPr>
  </w:style>
  <w:style w:type="character" w:styleId="CommentReference">
    <w:name w:val="annotation reference"/>
    <w:basedOn w:val="DefaultParagraphFont"/>
    <w:uiPriority w:val="99"/>
    <w:semiHidden/>
    <w:rsid w:val="007D1C0E"/>
    <w:rPr>
      <w:rFonts w:ascii="Georgia" w:hAnsi="Georgia"/>
      <w:sz w:val="16"/>
      <w:szCs w:val="16"/>
    </w:rPr>
  </w:style>
  <w:style w:type="paragraph" w:styleId="CommentText">
    <w:name w:val="annotation text"/>
    <w:basedOn w:val="Normal"/>
    <w:link w:val="CommentTextChar"/>
    <w:uiPriority w:val="99"/>
    <w:semiHidden/>
    <w:rsid w:val="007D1C0E"/>
  </w:style>
  <w:style w:type="character" w:customStyle="1" w:styleId="CommentTextChar">
    <w:name w:val="Comment Text Char"/>
    <w:basedOn w:val="DefaultParagraphFont"/>
    <w:link w:val="CommentText"/>
    <w:uiPriority w:val="99"/>
    <w:semiHidden/>
    <w:rsid w:val="007D1C0E"/>
    <w:rPr>
      <w:rFonts w:ascii="Georgia" w:hAnsi="Georgia" w:cs="Arial"/>
      <w:snapToGrid w:val="0"/>
      <w:sz w:val="20"/>
      <w:szCs w:val="20"/>
      <w:lang w:eastAsia="en-US"/>
    </w:rPr>
  </w:style>
  <w:style w:type="paragraph" w:styleId="CommentSubject">
    <w:name w:val="annotation subject"/>
    <w:basedOn w:val="CommentText"/>
    <w:next w:val="CommentText"/>
    <w:link w:val="CommentSubjectChar"/>
    <w:semiHidden/>
    <w:rsid w:val="007D1C0E"/>
    <w:rPr>
      <w:b/>
      <w:bCs/>
    </w:rPr>
  </w:style>
  <w:style w:type="character" w:customStyle="1" w:styleId="CommentSubjectChar">
    <w:name w:val="Comment Subject Char"/>
    <w:basedOn w:val="CommentTextChar"/>
    <w:link w:val="CommentSubject"/>
    <w:semiHidden/>
    <w:rsid w:val="007D1C0E"/>
    <w:rPr>
      <w:rFonts w:ascii="Georgia" w:hAnsi="Georgia" w:cs="Arial"/>
      <w:b/>
      <w:bCs/>
      <w:snapToGrid w:val="0"/>
      <w:sz w:val="20"/>
      <w:szCs w:val="20"/>
      <w:lang w:eastAsia="en-US"/>
    </w:rPr>
  </w:style>
  <w:style w:type="paragraph" w:styleId="EnvelopeAddress">
    <w:name w:val="envelope address"/>
    <w:basedOn w:val="Normal"/>
    <w:semiHidden/>
    <w:unhideWhenUsed/>
    <w:locked/>
    <w:rsid w:val="007D1C0E"/>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semiHidden/>
    <w:locked/>
    <w:rsid w:val="007D1C0E"/>
    <w:rPr>
      <w:rFonts w:asciiTheme="majorHAnsi" w:eastAsiaTheme="majorEastAsia" w:hAnsiTheme="majorHAnsi" w:cstheme="majorBidi"/>
    </w:rPr>
  </w:style>
  <w:style w:type="character" w:styleId="FollowedHyperlink">
    <w:name w:val="FollowedHyperlink"/>
    <w:basedOn w:val="DefaultParagraphFont"/>
    <w:semiHidden/>
    <w:rsid w:val="007D1C0E"/>
    <w:rPr>
      <w:color w:val="A32020" w:themeColor="followedHyperlink"/>
      <w:u w:val="single"/>
    </w:rPr>
  </w:style>
  <w:style w:type="character" w:styleId="Hyperlink">
    <w:name w:val="Hyperlink"/>
    <w:basedOn w:val="DefaultParagraphFont"/>
    <w:uiPriority w:val="99"/>
    <w:rsid w:val="00185720"/>
    <w:rPr>
      <w:color w:val="A32020" w:themeColor="text2"/>
      <w:u w:val="single"/>
    </w:rPr>
  </w:style>
  <w:style w:type="paragraph" w:styleId="IndexHeading">
    <w:name w:val="index heading"/>
    <w:basedOn w:val="Normal"/>
    <w:next w:val="Normal"/>
    <w:semiHidden/>
    <w:rsid w:val="007D1C0E"/>
    <w:rPr>
      <w:rFonts w:asciiTheme="majorHAnsi" w:eastAsiaTheme="majorEastAsia" w:hAnsiTheme="majorHAnsi" w:cstheme="majorBidi"/>
      <w:b/>
      <w:bCs/>
    </w:rPr>
  </w:style>
  <w:style w:type="paragraph" w:customStyle="1" w:styleId="BlockTextClient">
    <w:name w:val="Block Text Client"/>
    <w:basedOn w:val="BlockText"/>
    <w:rsid w:val="004138E6"/>
    <w:pPr>
      <w:spacing w:after="0"/>
    </w:pPr>
    <w:rPr>
      <w:b w:val="0"/>
      <w:sz w:val="20"/>
    </w:rPr>
  </w:style>
  <w:style w:type="paragraph" w:customStyle="1" w:styleId="BlockTextPosition">
    <w:name w:val="Block Text Position"/>
    <w:basedOn w:val="BlockText"/>
    <w:rsid w:val="004138E6"/>
    <w:rPr>
      <w:b w:val="0"/>
      <w:i w:val="0"/>
      <w:sz w:val="20"/>
    </w:rPr>
  </w:style>
  <w:style w:type="paragraph" w:customStyle="1" w:styleId="BlockText2Client">
    <w:name w:val="Block Text 2 Client"/>
    <w:basedOn w:val="BlockText2"/>
    <w:rsid w:val="004138E6"/>
    <w:pPr>
      <w:spacing w:after="0"/>
    </w:pPr>
    <w:rPr>
      <w:sz w:val="20"/>
      <w:szCs w:val="20"/>
    </w:rPr>
  </w:style>
  <w:style w:type="paragraph" w:customStyle="1" w:styleId="BlockText2Position">
    <w:name w:val="Block Text 2 Position"/>
    <w:basedOn w:val="BlockText2"/>
    <w:rsid w:val="004138E6"/>
    <w:rPr>
      <w:i w:val="0"/>
      <w:sz w:val="20"/>
      <w:szCs w:val="20"/>
    </w:rPr>
  </w:style>
  <w:style w:type="character" w:styleId="LineNumber">
    <w:name w:val="line number"/>
    <w:basedOn w:val="DefaultParagraphFont"/>
    <w:semiHidden/>
    <w:rsid w:val="007D1C0E"/>
  </w:style>
  <w:style w:type="paragraph" w:styleId="ListBullet">
    <w:name w:val="List Bullet"/>
    <w:basedOn w:val="Normal"/>
    <w:qFormat/>
    <w:locked/>
    <w:rsid w:val="00083500"/>
    <w:pPr>
      <w:numPr>
        <w:numId w:val="29"/>
      </w:numPr>
      <w:spacing w:before="120" w:after="120"/>
    </w:pPr>
  </w:style>
  <w:style w:type="paragraph" w:styleId="ListBullet5">
    <w:name w:val="List Bullet 5"/>
    <w:basedOn w:val="ListBullet4"/>
    <w:unhideWhenUsed/>
    <w:locked/>
    <w:rsid w:val="00083500"/>
    <w:pPr>
      <w:numPr>
        <w:ilvl w:val="4"/>
      </w:numPr>
      <w:contextualSpacing/>
    </w:pPr>
  </w:style>
  <w:style w:type="paragraph" w:styleId="ListNumber">
    <w:name w:val="List Number"/>
    <w:basedOn w:val="Normal"/>
    <w:uiPriority w:val="13"/>
    <w:unhideWhenUsed/>
    <w:qFormat/>
    <w:locked/>
    <w:rsid w:val="00083500"/>
    <w:pPr>
      <w:numPr>
        <w:numId w:val="30"/>
      </w:numPr>
      <w:contextualSpacing/>
    </w:pPr>
  </w:style>
  <w:style w:type="paragraph" w:styleId="ListNumber2">
    <w:name w:val="List Number 2"/>
    <w:basedOn w:val="ListNumber"/>
    <w:uiPriority w:val="13"/>
    <w:unhideWhenUsed/>
    <w:qFormat/>
    <w:locked/>
    <w:rsid w:val="00083500"/>
    <w:pPr>
      <w:numPr>
        <w:ilvl w:val="1"/>
      </w:numPr>
    </w:pPr>
  </w:style>
  <w:style w:type="paragraph" w:styleId="ListNumber3">
    <w:name w:val="List Number 3"/>
    <w:basedOn w:val="ListNumber2"/>
    <w:uiPriority w:val="13"/>
    <w:unhideWhenUsed/>
    <w:qFormat/>
    <w:locked/>
    <w:rsid w:val="00083500"/>
    <w:pPr>
      <w:numPr>
        <w:ilvl w:val="2"/>
      </w:numPr>
    </w:pPr>
  </w:style>
  <w:style w:type="paragraph" w:styleId="ListNumber4">
    <w:name w:val="List Number 4"/>
    <w:basedOn w:val="ListNumber3"/>
    <w:uiPriority w:val="13"/>
    <w:unhideWhenUsed/>
    <w:locked/>
    <w:rsid w:val="00083500"/>
    <w:pPr>
      <w:numPr>
        <w:ilvl w:val="3"/>
      </w:numPr>
    </w:pPr>
  </w:style>
  <w:style w:type="paragraph" w:styleId="ListNumber5">
    <w:name w:val="List Number 5"/>
    <w:basedOn w:val="ListNumber4"/>
    <w:uiPriority w:val="13"/>
    <w:unhideWhenUsed/>
    <w:locked/>
    <w:rsid w:val="00083500"/>
    <w:pPr>
      <w:numPr>
        <w:ilvl w:val="4"/>
      </w:numPr>
    </w:pPr>
  </w:style>
  <w:style w:type="paragraph" w:styleId="ListParagraph">
    <w:name w:val="List Paragraph"/>
    <w:basedOn w:val="Normal"/>
    <w:uiPriority w:val="34"/>
    <w:qFormat/>
    <w:locked/>
    <w:rsid w:val="00083500"/>
    <w:pPr>
      <w:ind w:left="720"/>
      <w:contextualSpacing/>
    </w:pPr>
  </w:style>
  <w:style w:type="paragraph" w:styleId="MessageHeader">
    <w:name w:val="Message Header"/>
    <w:basedOn w:val="Normal"/>
    <w:link w:val="MessageHeaderChar"/>
    <w:semiHidden/>
    <w:rsid w:val="007D1C0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7D1C0E"/>
    <w:rPr>
      <w:rFonts w:asciiTheme="majorHAnsi" w:eastAsiaTheme="majorEastAsia" w:hAnsiTheme="majorHAnsi" w:cstheme="majorBidi"/>
      <w:snapToGrid w:val="0"/>
      <w:sz w:val="24"/>
      <w:szCs w:val="24"/>
      <w:shd w:val="pct20" w:color="auto" w:fill="auto"/>
      <w:lang w:eastAsia="en-US"/>
    </w:rPr>
  </w:style>
  <w:style w:type="paragraph" w:styleId="NoSpacing">
    <w:name w:val="No Spacing"/>
    <w:uiPriority w:val="1"/>
    <w:semiHidden/>
    <w:qFormat/>
    <w:rsid w:val="007D1C0E"/>
    <w:pPr>
      <w:kinsoku w:val="0"/>
      <w:overflowPunct w:val="0"/>
      <w:autoSpaceDE w:val="0"/>
      <w:autoSpaceDN w:val="0"/>
      <w:adjustRightInd w:val="0"/>
      <w:snapToGrid w:val="0"/>
    </w:pPr>
    <w:rPr>
      <w:rFonts w:cs="Arial"/>
      <w:snapToGrid w:val="0"/>
      <w:lang w:eastAsia="en-US"/>
    </w:rPr>
  </w:style>
  <w:style w:type="paragraph" w:styleId="NormalIndent">
    <w:name w:val="Normal Indent"/>
    <w:basedOn w:val="Normal"/>
    <w:semiHidden/>
    <w:rsid w:val="007D1C0E"/>
    <w:pPr>
      <w:ind w:left="720"/>
    </w:pPr>
  </w:style>
  <w:style w:type="paragraph" w:styleId="NoteHeading">
    <w:name w:val="Note Heading"/>
    <w:basedOn w:val="Normal"/>
    <w:next w:val="Normal"/>
    <w:link w:val="NoteHeadingChar"/>
    <w:semiHidden/>
    <w:unhideWhenUsed/>
    <w:rsid w:val="007D1C0E"/>
  </w:style>
  <w:style w:type="character" w:customStyle="1" w:styleId="NoteHeadingChar">
    <w:name w:val="Note Heading Char"/>
    <w:basedOn w:val="DefaultParagraphFont"/>
    <w:link w:val="NoteHeading"/>
    <w:semiHidden/>
    <w:rsid w:val="007D1C0E"/>
    <w:rPr>
      <w:rFonts w:cs="Arial"/>
      <w:snapToGrid w:val="0"/>
      <w:lang w:eastAsia="en-US"/>
    </w:rPr>
  </w:style>
  <w:style w:type="character" w:styleId="PlaceholderText">
    <w:name w:val="Placeholder Text"/>
    <w:basedOn w:val="DefaultParagraphFont"/>
    <w:uiPriority w:val="99"/>
    <w:semiHidden/>
    <w:rsid w:val="007D1C0E"/>
    <w:rPr>
      <w:color w:val="808080"/>
    </w:rPr>
  </w:style>
  <w:style w:type="paragraph" w:styleId="PlainText">
    <w:name w:val="Plain Text"/>
    <w:basedOn w:val="Normal"/>
    <w:link w:val="PlainTextChar"/>
    <w:semiHidden/>
    <w:rsid w:val="007D1C0E"/>
    <w:rPr>
      <w:rFonts w:ascii="Consolas" w:hAnsi="Consolas"/>
    </w:rPr>
  </w:style>
  <w:style w:type="character" w:customStyle="1" w:styleId="PlainTextChar">
    <w:name w:val="Plain Text Char"/>
    <w:basedOn w:val="DefaultParagraphFont"/>
    <w:link w:val="PlainText"/>
    <w:semiHidden/>
    <w:rsid w:val="007D1C0E"/>
    <w:rPr>
      <w:rFonts w:ascii="Consolas" w:hAnsi="Consolas" w:cs="Arial"/>
      <w:snapToGrid w:val="0"/>
      <w:lang w:eastAsia="en-US"/>
    </w:rPr>
  </w:style>
  <w:style w:type="paragraph" w:styleId="Quote">
    <w:name w:val="Quote"/>
    <w:basedOn w:val="Normal"/>
    <w:next w:val="Normal"/>
    <w:link w:val="QuoteChar"/>
    <w:uiPriority w:val="29"/>
    <w:semiHidden/>
    <w:qFormat/>
    <w:rsid w:val="007D1C0E"/>
    <w:rPr>
      <w:i/>
      <w:iCs/>
      <w:color w:val="000000" w:themeColor="text1"/>
    </w:rPr>
  </w:style>
  <w:style w:type="character" w:customStyle="1" w:styleId="QuoteChar">
    <w:name w:val="Quote Char"/>
    <w:basedOn w:val="DefaultParagraphFont"/>
    <w:link w:val="Quote"/>
    <w:uiPriority w:val="29"/>
    <w:semiHidden/>
    <w:rsid w:val="007D1C0E"/>
    <w:rPr>
      <w:rFonts w:cs="Arial"/>
      <w:i/>
      <w:iCs/>
      <w:snapToGrid w:val="0"/>
      <w:color w:val="000000" w:themeColor="text1"/>
      <w:lang w:eastAsia="en-US"/>
    </w:rPr>
  </w:style>
  <w:style w:type="paragraph" w:styleId="Salutation">
    <w:name w:val="Salutation"/>
    <w:basedOn w:val="Normal"/>
    <w:next w:val="Normal"/>
    <w:link w:val="SalutationChar"/>
    <w:semiHidden/>
    <w:unhideWhenUsed/>
    <w:rsid w:val="007D1C0E"/>
  </w:style>
  <w:style w:type="character" w:customStyle="1" w:styleId="SalutationChar">
    <w:name w:val="Salutation Char"/>
    <w:basedOn w:val="DefaultParagraphFont"/>
    <w:link w:val="Salutation"/>
    <w:semiHidden/>
    <w:rsid w:val="007D1C0E"/>
    <w:rPr>
      <w:rFonts w:cs="Arial"/>
      <w:snapToGrid w:val="0"/>
      <w:lang w:eastAsia="en-US"/>
    </w:rPr>
  </w:style>
  <w:style w:type="paragraph" w:styleId="Signature">
    <w:name w:val="Signature"/>
    <w:basedOn w:val="Normal"/>
    <w:link w:val="SignatureChar"/>
    <w:semiHidden/>
    <w:rsid w:val="007D1C0E"/>
    <w:pPr>
      <w:ind w:left="4252"/>
    </w:pPr>
  </w:style>
  <w:style w:type="character" w:customStyle="1" w:styleId="SignatureChar">
    <w:name w:val="Signature Char"/>
    <w:basedOn w:val="DefaultParagraphFont"/>
    <w:link w:val="Signature"/>
    <w:semiHidden/>
    <w:rsid w:val="007D1C0E"/>
    <w:rPr>
      <w:rFonts w:cs="Arial"/>
      <w:snapToGrid w:val="0"/>
      <w:lang w:eastAsia="en-US"/>
    </w:rPr>
  </w:style>
  <w:style w:type="paragraph" w:styleId="TableofAuthorities">
    <w:name w:val="table of authorities"/>
    <w:basedOn w:val="Normal"/>
    <w:next w:val="Normal"/>
    <w:semiHidden/>
    <w:unhideWhenUsed/>
    <w:rsid w:val="007D1C0E"/>
    <w:pPr>
      <w:ind w:left="210" w:hanging="210"/>
    </w:pPr>
  </w:style>
  <w:style w:type="paragraph" w:styleId="TableofFigures">
    <w:name w:val="table of figures"/>
    <w:basedOn w:val="Normal"/>
    <w:next w:val="Normal"/>
    <w:semiHidden/>
    <w:unhideWhenUsed/>
    <w:rsid w:val="007D1C0E"/>
  </w:style>
  <w:style w:type="paragraph" w:styleId="TOAHeading">
    <w:name w:val="toa heading"/>
    <w:basedOn w:val="Normal"/>
    <w:next w:val="Normal"/>
    <w:semiHidden/>
    <w:unhideWhenUsed/>
    <w:rsid w:val="007D1C0E"/>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7D1C0E"/>
    <w:pPr>
      <w:keepNext/>
      <w:keepLines/>
      <w:spacing w:before="480" w:line="240" w:lineRule="auto"/>
      <w:outlineLvl w:val="9"/>
    </w:pPr>
    <w:rPr>
      <w:rFonts w:eastAsiaTheme="majorEastAsia" w:cstheme="majorBidi"/>
      <w:color w:val="7A1818" w:themeColor="accent1" w:themeShade="BF"/>
      <w:sz w:val="28"/>
      <w:szCs w:val="28"/>
    </w:rPr>
  </w:style>
  <w:style w:type="paragraph" w:customStyle="1" w:styleId="CoverPanelFrame">
    <w:name w:val="Cover Panel Frame"/>
    <w:basedOn w:val="Coverpulloutframe"/>
    <w:rsid w:val="0059630D"/>
    <w:pPr>
      <w:framePr w:w="7441" w:wrap="notBeside" w:vAnchor="margin" w:hAnchor="text" w:x="-112" w:y="1"/>
      <w:pBdr>
        <w:top w:val="single" w:sz="4" w:space="1" w:color="auto"/>
        <w:left w:val="single" w:sz="4" w:space="4" w:color="auto"/>
      </w:pBdr>
    </w:pPr>
    <w:rPr>
      <w:rFonts w:eastAsia="+mn-ea"/>
    </w:rPr>
  </w:style>
  <w:style w:type="paragraph" w:customStyle="1" w:styleId="LogoActivated">
    <w:name w:val="Logo Activated"/>
    <w:basedOn w:val="Normal"/>
    <w:rsid w:val="00993DBB"/>
    <w:pPr>
      <w:framePr w:w="3119" w:h="1412" w:hRule="exact" w:wrap="around" w:vAnchor="page" w:hAnchor="page" w:x="1543" w:y="15299"/>
      <w:tabs>
        <w:tab w:val="center" w:pos="2551"/>
        <w:tab w:val="right" w:pos="7682"/>
      </w:tabs>
      <w:spacing w:line="0" w:lineRule="atLeast"/>
    </w:pPr>
    <w:rPr>
      <w:rFonts w:asciiTheme="majorHAnsi" w:hAnsiTheme="majorHAnsi"/>
      <w:noProof/>
      <w:snapToGrid/>
      <w:sz w:val="18"/>
      <w:szCs w:val="32"/>
      <w:lang w:eastAsia="en-AU"/>
    </w:rPr>
  </w:style>
  <w:style w:type="paragraph" w:customStyle="1" w:styleId="FirstPagePanelFrame">
    <w:name w:val="First Page Panel Frame"/>
    <w:basedOn w:val="CoverPanelFrame"/>
    <w:rsid w:val="00C151DD"/>
    <w:pPr>
      <w:framePr w:w="8334" w:h="227" w:hRule="exact" w:wrap="notBeside" w:y="-169"/>
      <w:pBdr>
        <w:top w:val="single" w:sz="6" w:space="1" w:color="A32020" w:themeColor="text2"/>
        <w:left w:val="single" w:sz="6" w:space="4" w:color="A32020" w:themeColor="text2"/>
      </w:pBdr>
    </w:pPr>
  </w:style>
  <w:style w:type="paragraph" w:customStyle="1" w:styleId="URLCover">
    <w:name w:val="URL Cover"/>
    <w:basedOn w:val="Normal"/>
    <w:rsid w:val="00270144"/>
    <w:rPr>
      <w:color w:val="000000" w:themeColor="text1"/>
      <w:sz w:val="19"/>
    </w:rPr>
  </w:style>
  <w:style w:type="paragraph" w:customStyle="1" w:styleId="Coverpulloutframe">
    <w:name w:val="Cover pull out frame"/>
    <w:basedOn w:val="KeySentenceInside"/>
    <w:rsid w:val="007625E6"/>
    <w:pPr>
      <w:framePr w:w="2189" w:h="227" w:wrap="notBeside" w:vAnchor="page" w:hAnchor="page" w:x="908" w:y="8415"/>
      <w:pBdr>
        <w:top w:val="dotted" w:sz="8" w:space="1" w:color="A32020" w:themeColor="text2"/>
        <w:left w:val="dotted" w:sz="8" w:space="4" w:color="A32020" w:themeColor="text2"/>
      </w:pBdr>
      <w:spacing w:after="0" w:line="0" w:lineRule="atLeast"/>
    </w:pPr>
    <w:rPr>
      <w:color w:val="auto"/>
      <w:sz w:val="8"/>
      <w:lang w:val="en-GB"/>
    </w:rPr>
  </w:style>
  <w:style w:type="paragraph" w:customStyle="1" w:styleId="CoverOutcomeHeadline">
    <w:name w:val="Cover Outcome Headline"/>
    <w:basedOn w:val="PwCNormal"/>
    <w:rsid w:val="00617CBF"/>
    <w:pPr>
      <w:spacing w:after="0" w:line="960" w:lineRule="atLeast"/>
      <w:ind w:right="1701"/>
    </w:pPr>
    <w:rPr>
      <w:b/>
      <w:i/>
      <w:color w:val="FFFFFF" w:themeColor="background1"/>
      <w:sz w:val="88"/>
      <w:szCs w:val="88"/>
      <w:lang w:val="en-GB"/>
    </w:rPr>
  </w:style>
  <w:style w:type="paragraph" w:customStyle="1" w:styleId="CoverOutcomeSubtitle">
    <w:name w:val="Cover Outcome Subtitle"/>
    <w:basedOn w:val="CoverOutcomeHeadline"/>
    <w:rsid w:val="00A93A63"/>
    <w:rPr>
      <w:b w:val="0"/>
      <w:i w:val="0"/>
    </w:rPr>
  </w:style>
  <w:style w:type="paragraph" w:customStyle="1" w:styleId="LogoFixed">
    <w:name w:val="Logo Fixed"/>
    <w:basedOn w:val="LogoActivated"/>
    <w:rsid w:val="003D28AE"/>
    <w:pPr>
      <w:framePr w:h="2733" w:hRule="exact" w:wrap="around" w:x="1322" w:y="14125"/>
    </w:pPr>
  </w:style>
  <w:style w:type="paragraph" w:customStyle="1" w:styleId="NumericCaption">
    <w:name w:val="Numeric Caption"/>
    <w:basedOn w:val="Caption"/>
    <w:rsid w:val="00053B82"/>
    <w:rPr>
      <w:rFonts w:ascii="Arial" w:hAnsi="Arial"/>
    </w:rPr>
  </w:style>
  <w:style w:type="paragraph" w:customStyle="1" w:styleId="NumericTableColumnHeadingNormal">
    <w:name w:val="Numeric Table Column Heading Normal"/>
    <w:basedOn w:val="TableColumnHeadingNormal"/>
    <w:rsid w:val="00053B82"/>
    <w:rPr>
      <w:rFonts w:ascii="Arial" w:hAnsi="Arial"/>
    </w:rPr>
  </w:style>
  <w:style w:type="paragraph" w:customStyle="1" w:styleId="NumericTableTextNormal">
    <w:name w:val="Numeric Table Text Normal"/>
    <w:basedOn w:val="TableTextNormal"/>
    <w:rsid w:val="00053B82"/>
    <w:rPr>
      <w:rFonts w:ascii="Arial" w:hAnsi="Arial"/>
    </w:rPr>
  </w:style>
  <w:style w:type="paragraph" w:customStyle="1" w:styleId="NumericSources">
    <w:name w:val="Numeric Sources"/>
    <w:basedOn w:val="Sources"/>
    <w:rsid w:val="00053B82"/>
    <w:rPr>
      <w:rFonts w:ascii="Arial" w:hAnsi="Arial"/>
    </w:rPr>
  </w:style>
  <w:style w:type="paragraph" w:customStyle="1" w:styleId="NumericTableColumnHeadingSmall">
    <w:name w:val="Numeric Table Column Heading Small"/>
    <w:basedOn w:val="NumericTableColumnHeadingNormal"/>
    <w:rsid w:val="0052509C"/>
    <w:rPr>
      <w:sz w:val="16"/>
      <w:szCs w:val="16"/>
    </w:rPr>
  </w:style>
  <w:style w:type="paragraph" w:customStyle="1" w:styleId="NumericTableTextSmall">
    <w:name w:val="Numeric Table Text Small"/>
    <w:basedOn w:val="NumericTableTextNormal"/>
    <w:rsid w:val="0052509C"/>
    <w:rPr>
      <w:sz w:val="16"/>
      <w:szCs w:val="16"/>
    </w:rPr>
  </w:style>
  <w:style w:type="paragraph" w:customStyle="1" w:styleId="NumericTableTextDecimalNormal">
    <w:name w:val="Numeric Table Text Decimal Normal"/>
    <w:basedOn w:val="NumericTableTextNormal"/>
    <w:rsid w:val="006304C7"/>
    <w:pPr>
      <w:tabs>
        <w:tab w:val="decimal" w:pos="1004"/>
      </w:tabs>
    </w:pPr>
  </w:style>
  <w:style w:type="paragraph" w:customStyle="1" w:styleId="NumericTableTextDecimalSmall">
    <w:name w:val="Numeric Table Text Decimal Small"/>
    <w:basedOn w:val="NumericTableTextDecimalNormal"/>
    <w:rsid w:val="006304C7"/>
    <w:rPr>
      <w:sz w:val="16"/>
      <w:szCs w:val="16"/>
    </w:rPr>
  </w:style>
  <w:style w:type="paragraph" w:customStyle="1" w:styleId="Heading2Nospacing">
    <w:name w:val="Heading 2 No spacing"/>
    <w:basedOn w:val="Heading2"/>
    <w:rsid w:val="00F8314A"/>
    <w:pPr>
      <w:spacing w:after="0" w:line="0" w:lineRule="atLeast"/>
      <w:ind w:left="851" w:hanging="851"/>
    </w:pPr>
  </w:style>
  <w:style w:type="paragraph" w:customStyle="1" w:styleId="TableNumberedList1">
    <w:name w:val="Table Numbered List 1"/>
    <w:basedOn w:val="TableTextNormal"/>
    <w:rsid w:val="00EA47AB"/>
    <w:pPr>
      <w:numPr>
        <w:numId w:val="13"/>
      </w:numPr>
    </w:pPr>
  </w:style>
  <w:style w:type="paragraph" w:customStyle="1" w:styleId="TableNumberedList2">
    <w:name w:val="Table Numbered List 2"/>
    <w:basedOn w:val="TableNumberedList1"/>
    <w:rsid w:val="00EA47AB"/>
    <w:pPr>
      <w:numPr>
        <w:ilvl w:val="1"/>
      </w:numPr>
      <w:spacing w:before="40" w:after="40"/>
    </w:pPr>
  </w:style>
  <w:style w:type="paragraph" w:customStyle="1" w:styleId="TableNumberedList3">
    <w:name w:val="Table Numbered List 3"/>
    <w:basedOn w:val="TableNumberedList2"/>
    <w:rsid w:val="00EA47AB"/>
    <w:pPr>
      <w:numPr>
        <w:ilvl w:val="2"/>
      </w:numPr>
    </w:pPr>
  </w:style>
  <w:style w:type="paragraph" w:customStyle="1" w:styleId="TableNumberedListSmall1">
    <w:name w:val="Table Numbered List Small 1"/>
    <w:basedOn w:val="TableTextSmall"/>
    <w:rsid w:val="00EA47AB"/>
    <w:pPr>
      <w:numPr>
        <w:numId w:val="15"/>
      </w:numPr>
    </w:pPr>
  </w:style>
  <w:style w:type="paragraph" w:customStyle="1" w:styleId="TableNumberedListSmall2">
    <w:name w:val="Table Numbered List Small 2"/>
    <w:basedOn w:val="TableNumberedListSmall1"/>
    <w:rsid w:val="00EA47AB"/>
    <w:pPr>
      <w:numPr>
        <w:ilvl w:val="1"/>
      </w:numPr>
    </w:pPr>
    <w:rPr>
      <w:szCs w:val="21"/>
    </w:rPr>
  </w:style>
  <w:style w:type="paragraph" w:customStyle="1" w:styleId="TableNumberedListSmall3">
    <w:name w:val="Table Numbered List Small 3"/>
    <w:basedOn w:val="TableNumberedListSmall2"/>
    <w:rsid w:val="00EA47AB"/>
    <w:pPr>
      <w:numPr>
        <w:ilvl w:val="2"/>
      </w:numPr>
    </w:pPr>
  </w:style>
  <w:style w:type="numbering" w:customStyle="1" w:styleId="ListNumberList">
    <w:name w:val="List Number List"/>
    <w:uiPriority w:val="99"/>
    <w:rsid w:val="00083500"/>
    <w:pPr>
      <w:numPr>
        <w:numId w:val="16"/>
      </w:numPr>
    </w:pPr>
  </w:style>
  <w:style w:type="numbering" w:styleId="111111">
    <w:name w:val="Outline List 2"/>
    <w:basedOn w:val="NoList"/>
    <w:rsid w:val="00070164"/>
    <w:pPr>
      <w:numPr>
        <w:numId w:val="17"/>
      </w:numPr>
    </w:pPr>
  </w:style>
  <w:style w:type="numbering" w:styleId="1ai">
    <w:name w:val="Outline List 1"/>
    <w:basedOn w:val="NoList"/>
    <w:rsid w:val="00070164"/>
    <w:pPr>
      <w:numPr>
        <w:numId w:val="18"/>
      </w:numPr>
    </w:pPr>
  </w:style>
  <w:style w:type="numbering" w:styleId="ArticleSection">
    <w:name w:val="Outline List 3"/>
    <w:basedOn w:val="NoList"/>
    <w:rsid w:val="00070164"/>
    <w:pPr>
      <w:numPr>
        <w:numId w:val="19"/>
      </w:numPr>
    </w:pPr>
  </w:style>
  <w:style w:type="paragraph" w:customStyle="1" w:styleId="Minorheading3">
    <w:name w:val="Minor heading 3"/>
    <w:basedOn w:val="Minorheading2"/>
    <w:rsid w:val="00D657FC"/>
    <w:rPr>
      <w:b w:val="0"/>
      <w:i/>
    </w:rPr>
  </w:style>
  <w:style w:type="table" w:customStyle="1" w:styleId="Tables-APLines">
    <w:name w:val="Tables - AP Lines"/>
    <w:basedOn w:val="TableNormal"/>
    <w:rsid w:val="00127829"/>
    <w:tblPr>
      <w:tblStyleRowBandSize w:val="1"/>
      <w:tblStyleColBandSize w:val="1"/>
      <w:tblInd w:w="0" w:type="dxa"/>
      <w:tblBorders>
        <w:insideH w:val="single" w:sz="4" w:space="0" w:color="A32020" w:themeColor="text2"/>
        <w:insideV w:val="single" w:sz="4" w:space="0" w:color="A32020" w:themeColor="text2"/>
      </w:tblBorders>
      <w:tblCellMar>
        <w:top w:w="0" w:type="dxa"/>
        <w:left w:w="108" w:type="dxa"/>
        <w:bottom w:w="0" w:type="dxa"/>
        <w:right w:w="108" w:type="dxa"/>
      </w:tblCellMar>
    </w:tblPr>
    <w:tcPr>
      <w:shd w:val="clear" w:color="auto" w:fill="auto"/>
    </w:tcPr>
    <w:tblStylePr w:type="firstRow">
      <w:pPr>
        <w:jc w:val="center"/>
      </w:pPr>
      <w:rPr>
        <w:rFonts w:asciiTheme="minorHAnsi" w:hAnsiTheme="minorHAnsi"/>
        <w:color w:val="auto"/>
      </w:rPr>
      <w:tblPr/>
      <w:tcPr>
        <w:vAlign w:val="bottom"/>
      </w:tcPr>
    </w:tblStylePr>
    <w:tblStylePr w:type="lastRow">
      <w:rPr>
        <w:color w:val="FFFFFF" w:themeColor="background1"/>
      </w:rPr>
    </w:tblStylePr>
    <w:tblStylePr w:type="nwCell">
      <w:pPr>
        <w:jc w:val="left"/>
      </w:pPr>
      <w:tblPr/>
      <w:tcPr>
        <w:vAlign w:val="bottom"/>
      </w:tcPr>
    </w:tblStylePr>
  </w:style>
  <w:style w:type="table" w:customStyle="1" w:styleId="PwCPanelframe">
    <w:name w:val="PwC Panel frame"/>
    <w:basedOn w:val="TableNormal"/>
    <w:uiPriority w:val="99"/>
    <w:qFormat/>
    <w:rsid w:val="004B1E27"/>
    <w:pPr>
      <w:spacing w:line="227" w:lineRule="exact"/>
    </w:pPr>
    <w:rPr>
      <w:sz w:val="8"/>
    </w:rPr>
    <w:tblPr>
      <w:tblInd w:w="0" w:type="dxa"/>
      <w:tblBorders>
        <w:top w:val="single" w:sz="8" w:space="0" w:color="A32020" w:themeColor="text2"/>
        <w:left w:val="single" w:sz="8" w:space="0" w:color="A32020" w:themeColor="text2"/>
      </w:tblBorders>
      <w:tblCellMar>
        <w:top w:w="0" w:type="dxa"/>
        <w:left w:w="227" w:type="dxa"/>
        <w:bottom w:w="0" w:type="dxa"/>
        <w:right w:w="0" w:type="dxa"/>
      </w:tblCellMar>
    </w:tblPr>
    <w:tcPr>
      <w:shd w:val="clear" w:color="auto" w:fill="auto"/>
    </w:tcPr>
  </w:style>
  <w:style w:type="table" w:customStyle="1" w:styleId="PwCpull-outframe">
    <w:name w:val="PwC pull-out frame"/>
    <w:basedOn w:val="PwCPanelframe"/>
    <w:uiPriority w:val="99"/>
    <w:rsid w:val="007167DF"/>
    <w:tblPr>
      <w:tblInd w:w="0" w:type="dxa"/>
      <w:tblBorders>
        <w:top w:val="dotted" w:sz="8" w:space="0" w:color="A32020" w:themeColor="text2"/>
        <w:left w:val="dotted" w:sz="8" w:space="0" w:color="A32020" w:themeColor="text2"/>
      </w:tblBorders>
      <w:tblCellMar>
        <w:top w:w="0" w:type="dxa"/>
        <w:left w:w="227" w:type="dxa"/>
        <w:bottom w:w="0" w:type="dxa"/>
        <w:right w:w="0" w:type="dxa"/>
      </w:tblCellMar>
    </w:tblPr>
    <w:tcPr>
      <w:shd w:val="clear" w:color="auto" w:fill="auto"/>
    </w:tcPr>
  </w:style>
  <w:style w:type="paragraph" w:customStyle="1" w:styleId="Bullet1">
    <w:name w:val="Bullet 1"/>
    <w:basedOn w:val="PwCNormal"/>
    <w:rsid w:val="00BE4F03"/>
    <w:pPr>
      <w:numPr>
        <w:numId w:val="23"/>
      </w:numPr>
      <w:spacing w:after="80"/>
    </w:pPr>
  </w:style>
  <w:style w:type="paragraph" w:customStyle="1" w:styleId="Bullet2">
    <w:name w:val="Bullet 2"/>
    <w:basedOn w:val="Bullet1"/>
    <w:rsid w:val="003522D8"/>
    <w:pPr>
      <w:numPr>
        <w:ilvl w:val="1"/>
      </w:numPr>
    </w:pPr>
  </w:style>
  <w:style w:type="paragraph" w:customStyle="1" w:styleId="Bullet3">
    <w:name w:val="Bullet 3"/>
    <w:basedOn w:val="Bullet2"/>
    <w:rsid w:val="003522D8"/>
    <w:pPr>
      <w:numPr>
        <w:ilvl w:val="2"/>
      </w:numPr>
    </w:pPr>
  </w:style>
  <w:style w:type="paragraph" w:customStyle="1" w:styleId="Bullet4">
    <w:name w:val="Bullet 4"/>
    <w:basedOn w:val="Bullet3"/>
    <w:rsid w:val="003522D8"/>
    <w:pPr>
      <w:numPr>
        <w:ilvl w:val="3"/>
      </w:numPr>
    </w:pPr>
  </w:style>
  <w:style w:type="numbering" w:customStyle="1" w:styleId="Bullets">
    <w:name w:val="Bullets"/>
    <w:uiPriority w:val="99"/>
    <w:rsid w:val="00BE4F03"/>
    <w:pPr>
      <w:numPr>
        <w:numId w:val="20"/>
      </w:numPr>
    </w:pPr>
  </w:style>
  <w:style w:type="paragraph" w:customStyle="1" w:styleId="FirstPagePanelFrame-Contents">
    <w:name w:val="First Page Panel Frame - Contents"/>
    <w:basedOn w:val="FirstPagePanelFrame"/>
    <w:rsid w:val="00C151DD"/>
    <w:pPr>
      <w:framePr w:wrap="notBeside"/>
    </w:pPr>
  </w:style>
  <w:style w:type="numbering" w:customStyle="1" w:styleId="ChapterNumberingList">
    <w:name w:val="Chapter Numbering List"/>
    <w:uiPriority w:val="99"/>
    <w:rsid w:val="00BE4F03"/>
    <w:pPr>
      <w:numPr>
        <w:numId w:val="22"/>
      </w:numPr>
    </w:pPr>
  </w:style>
  <w:style w:type="paragraph" w:styleId="Revision">
    <w:name w:val="Revision"/>
    <w:hidden/>
    <w:uiPriority w:val="99"/>
    <w:semiHidden/>
    <w:rsid w:val="009D0E2C"/>
    <w:rPr>
      <w:rFonts w:cs="Arial"/>
      <w:snapToGrid w:val="0"/>
      <w:lang w:eastAsia="en-US"/>
    </w:rPr>
  </w:style>
  <w:style w:type="table" w:styleId="LightList-Accent1">
    <w:name w:val="Light List Accent 1"/>
    <w:basedOn w:val="TableNormal"/>
    <w:uiPriority w:val="61"/>
    <w:locked/>
    <w:rsid w:val="00D27529"/>
    <w:tblPr>
      <w:tblStyleRowBandSize w:val="1"/>
      <w:tblStyleColBandSize w:val="1"/>
      <w:tblInd w:w="0" w:type="dxa"/>
      <w:tblBorders>
        <w:top w:val="single" w:sz="8" w:space="0" w:color="A32020" w:themeColor="accent1"/>
        <w:left w:val="single" w:sz="8" w:space="0" w:color="A32020" w:themeColor="accent1"/>
        <w:bottom w:val="single" w:sz="8" w:space="0" w:color="A32020" w:themeColor="accent1"/>
        <w:right w:val="single" w:sz="8" w:space="0" w:color="A32020"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32020" w:themeFill="accent1"/>
      </w:tcPr>
    </w:tblStylePr>
    <w:tblStylePr w:type="lastRow">
      <w:pPr>
        <w:spacing w:before="0" w:after="0" w:line="240" w:lineRule="auto"/>
      </w:pPr>
      <w:rPr>
        <w:b/>
        <w:bCs/>
      </w:rPr>
      <w:tblPr/>
      <w:tcPr>
        <w:tcBorders>
          <w:top w:val="double" w:sz="6" w:space="0" w:color="A32020" w:themeColor="accent1"/>
          <w:left w:val="single" w:sz="8" w:space="0" w:color="A32020" w:themeColor="accent1"/>
          <w:bottom w:val="single" w:sz="8" w:space="0" w:color="A32020" w:themeColor="accent1"/>
          <w:right w:val="single" w:sz="8" w:space="0" w:color="A32020" w:themeColor="accent1"/>
        </w:tcBorders>
      </w:tcPr>
    </w:tblStylePr>
    <w:tblStylePr w:type="firstCol">
      <w:rPr>
        <w:b/>
        <w:bCs/>
      </w:rPr>
    </w:tblStylePr>
    <w:tblStylePr w:type="lastCol">
      <w:rPr>
        <w:b/>
        <w:bCs/>
      </w:rPr>
    </w:tblStylePr>
    <w:tblStylePr w:type="band1Vert">
      <w:tblPr/>
      <w:tcPr>
        <w:tcBorders>
          <w:top w:val="single" w:sz="8" w:space="0" w:color="A32020" w:themeColor="accent1"/>
          <w:left w:val="single" w:sz="8" w:space="0" w:color="A32020" w:themeColor="accent1"/>
          <w:bottom w:val="single" w:sz="8" w:space="0" w:color="A32020" w:themeColor="accent1"/>
          <w:right w:val="single" w:sz="8" w:space="0" w:color="A32020" w:themeColor="accent1"/>
        </w:tcBorders>
      </w:tcPr>
    </w:tblStylePr>
    <w:tblStylePr w:type="band1Horz">
      <w:tblPr/>
      <w:tcPr>
        <w:tcBorders>
          <w:top w:val="single" w:sz="8" w:space="0" w:color="A32020" w:themeColor="accent1"/>
          <w:left w:val="single" w:sz="8" w:space="0" w:color="A32020" w:themeColor="accent1"/>
          <w:bottom w:val="single" w:sz="8" w:space="0" w:color="A32020" w:themeColor="accent1"/>
          <w:right w:val="single" w:sz="8" w:space="0" w:color="A32020" w:themeColor="accent1"/>
        </w:tcBorders>
      </w:tcPr>
    </w:tblStylePr>
  </w:style>
  <w:style w:type="table" w:styleId="LightList-Accent4">
    <w:name w:val="Light List Accent 4"/>
    <w:basedOn w:val="TableNormal"/>
    <w:uiPriority w:val="61"/>
    <w:locked/>
    <w:rsid w:val="000865D1"/>
    <w:tblPr>
      <w:tblStyleRowBandSize w:val="1"/>
      <w:tblStyleColBandSize w:val="1"/>
      <w:tblInd w:w="0" w:type="dxa"/>
      <w:tblBorders>
        <w:top w:val="single" w:sz="8" w:space="0" w:color="DB536A" w:themeColor="accent4"/>
        <w:left w:val="single" w:sz="8" w:space="0" w:color="DB536A" w:themeColor="accent4"/>
        <w:bottom w:val="single" w:sz="8" w:space="0" w:color="DB536A" w:themeColor="accent4"/>
        <w:right w:val="single" w:sz="8" w:space="0" w:color="DB536A"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B536A" w:themeFill="accent4"/>
      </w:tcPr>
    </w:tblStylePr>
    <w:tblStylePr w:type="lastRow">
      <w:pPr>
        <w:spacing w:before="0" w:after="0" w:line="240" w:lineRule="auto"/>
      </w:pPr>
      <w:rPr>
        <w:b/>
        <w:bCs/>
      </w:rPr>
      <w:tblPr/>
      <w:tcPr>
        <w:tcBorders>
          <w:top w:val="double" w:sz="6" w:space="0" w:color="DB536A" w:themeColor="accent4"/>
          <w:left w:val="single" w:sz="8" w:space="0" w:color="DB536A" w:themeColor="accent4"/>
          <w:bottom w:val="single" w:sz="8" w:space="0" w:color="DB536A" w:themeColor="accent4"/>
          <w:right w:val="single" w:sz="8" w:space="0" w:color="DB536A" w:themeColor="accent4"/>
        </w:tcBorders>
      </w:tcPr>
    </w:tblStylePr>
    <w:tblStylePr w:type="firstCol">
      <w:rPr>
        <w:b/>
        <w:bCs/>
      </w:rPr>
    </w:tblStylePr>
    <w:tblStylePr w:type="lastCol">
      <w:rPr>
        <w:b/>
        <w:bCs/>
      </w:rPr>
    </w:tblStylePr>
    <w:tblStylePr w:type="band1Vert">
      <w:tblPr/>
      <w:tcPr>
        <w:tcBorders>
          <w:top w:val="single" w:sz="8" w:space="0" w:color="DB536A" w:themeColor="accent4"/>
          <w:left w:val="single" w:sz="8" w:space="0" w:color="DB536A" w:themeColor="accent4"/>
          <w:bottom w:val="single" w:sz="8" w:space="0" w:color="DB536A" w:themeColor="accent4"/>
          <w:right w:val="single" w:sz="8" w:space="0" w:color="DB536A" w:themeColor="accent4"/>
        </w:tcBorders>
      </w:tcPr>
    </w:tblStylePr>
    <w:tblStylePr w:type="band1Horz">
      <w:tblPr/>
      <w:tcPr>
        <w:tcBorders>
          <w:top w:val="single" w:sz="8" w:space="0" w:color="DB536A" w:themeColor="accent4"/>
          <w:left w:val="single" w:sz="8" w:space="0" w:color="DB536A" w:themeColor="accent4"/>
          <w:bottom w:val="single" w:sz="8" w:space="0" w:color="DB536A" w:themeColor="accent4"/>
          <w:right w:val="single" w:sz="8" w:space="0" w:color="DB536A" w:themeColor="accent4"/>
        </w:tcBorders>
      </w:tcPr>
    </w:tblStylePr>
  </w:style>
  <w:style w:type="paragraph" w:customStyle="1" w:styleId="StyleHeading7After12pt">
    <w:name w:val="Style Heading 7 + After:  12 pt"/>
    <w:basedOn w:val="Heading7"/>
    <w:rsid w:val="003469A7"/>
    <w:rPr>
      <w:rFonts w:cs="Times New Roman"/>
      <w:szCs w:val="20"/>
    </w:rPr>
  </w:style>
  <w:style w:type="paragraph" w:customStyle="1" w:styleId="DescriptorI">
    <w:name w:val="Descriptor I"/>
    <w:basedOn w:val="Normal"/>
    <w:next w:val="DescriptorII"/>
    <w:unhideWhenUsed/>
    <w:rsid w:val="00587C69"/>
    <w:pPr>
      <w:spacing w:line="360" w:lineRule="atLeast"/>
    </w:pPr>
    <w:rPr>
      <w:rFonts w:asciiTheme="majorHAnsi" w:hAnsiTheme="majorHAnsi"/>
      <w:color w:val="FFFFFF"/>
      <w:sz w:val="36"/>
    </w:rPr>
  </w:style>
  <w:style w:type="paragraph" w:customStyle="1" w:styleId="DescriptorII">
    <w:name w:val="Descriptor II"/>
    <w:basedOn w:val="DescriptorI"/>
    <w:next w:val="PwCNormal"/>
    <w:unhideWhenUsed/>
    <w:rsid w:val="00587C69"/>
    <w:rPr>
      <w:szCs w:val="24"/>
    </w:rPr>
  </w:style>
  <w:style w:type="paragraph" w:customStyle="1" w:styleId="connectedthinking">
    <w:name w:val="connectedthinking"/>
    <w:basedOn w:val="DescriptorI"/>
    <w:rsid w:val="00587C69"/>
    <w:pPr>
      <w:spacing w:line="240" w:lineRule="auto"/>
    </w:pPr>
    <w:rPr>
      <w:rFonts w:asciiTheme="minorHAnsi" w:hAnsiTheme="minorHAnsi"/>
    </w:rPr>
  </w:style>
  <w:style w:type="numbering" w:customStyle="1" w:styleId="List51">
    <w:name w:val="List 51"/>
    <w:basedOn w:val="NoList"/>
    <w:rsid w:val="00F444AE"/>
    <w:pPr>
      <w:numPr>
        <w:numId w:val="69"/>
      </w:numPr>
    </w:pPr>
  </w:style>
  <w:style w:type="paragraph" w:customStyle="1" w:styleId="Default">
    <w:name w:val="Default"/>
    <w:rsid w:val="00F444AE"/>
    <w:pPr>
      <w:pBdr>
        <w:top w:val="nil"/>
        <w:left w:val="nil"/>
        <w:bottom w:val="nil"/>
        <w:right w:val="nil"/>
        <w:between w:val="nil"/>
        <w:bar w:val="nil"/>
      </w:pBdr>
    </w:pPr>
    <w:rPr>
      <w:rFonts w:ascii="Helvetica" w:eastAsia="Helvetica" w:hAnsi="Helvetica" w:cs="Helvetica"/>
      <w:color w:val="000000"/>
      <w:sz w:val="22"/>
      <w:szCs w:val="22"/>
      <w:bdr w:val="nil"/>
    </w:rPr>
  </w:style>
  <w:style w:type="character" w:customStyle="1" w:styleId="Hyperlink0">
    <w:name w:val="Hyperlink.0"/>
    <w:basedOn w:val="DefaultParagraphFont"/>
    <w:rsid w:val="00275394"/>
  </w:style>
  <w:style w:type="character" w:customStyle="1" w:styleId="FootnoteTextChar">
    <w:name w:val="Footnote Text Char"/>
    <w:basedOn w:val="DefaultParagraphFont"/>
    <w:link w:val="FootnoteText"/>
    <w:uiPriority w:val="99"/>
    <w:rsid w:val="00C507AA"/>
    <w:rPr>
      <w:rFonts w:cs="Arial"/>
      <w:snapToGrid w:val="0"/>
      <w:sz w:val="14"/>
      <w:lang w:eastAsia="en-US"/>
    </w:rPr>
  </w:style>
  <w:style w:type="paragraph" w:styleId="NormalWeb">
    <w:name w:val="Normal (Web)"/>
    <w:basedOn w:val="Normal"/>
    <w:uiPriority w:val="99"/>
    <w:unhideWhenUsed/>
    <w:rsid w:val="009E483B"/>
    <w:pPr>
      <w:kinsoku/>
      <w:overflowPunct/>
      <w:autoSpaceDE/>
      <w:autoSpaceDN/>
      <w:adjustRightInd/>
      <w:snapToGrid/>
      <w:spacing w:before="180" w:after="180" w:line="255" w:lineRule="atLeast"/>
    </w:pPr>
    <w:rPr>
      <w:rFonts w:ascii="Times New Roman" w:hAnsi="Times New Roman" w:cs="Times New Roman"/>
      <w:snapToGrid/>
      <w:sz w:val="24"/>
      <w:szCs w:val="24"/>
      <w:lang w:eastAsia="en-AU"/>
    </w:rPr>
  </w:style>
  <w:style w:type="character" w:styleId="Strong">
    <w:name w:val="Strong"/>
    <w:basedOn w:val="DefaultParagraphFont"/>
    <w:uiPriority w:val="22"/>
    <w:qFormat/>
    <w:rsid w:val="009E483B"/>
    <w:rPr>
      <w:b/>
      <w:bCs/>
    </w:rPr>
  </w:style>
  <w:style w:type="paragraph" w:customStyle="1" w:styleId="Sourcv">
    <w:name w:val="Sourcv"/>
    <w:basedOn w:val="PwCNormal"/>
    <w:rsid w:val="001B35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456948">
      <w:bodyDiv w:val="1"/>
      <w:marLeft w:val="0"/>
      <w:marRight w:val="0"/>
      <w:marTop w:val="0"/>
      <w:marBottom w:val="0"/>
      <w:divBdr>
        <w:top w:val="none" w:sz="0" w:space="0" w:color="auto"/>
        <w:left w:val="none" w:sz="0" w:space="0" w:color="auto"/>
        <w:bottom w:val="none" w:sz="0" w:space="0" w:color="auto"/>
        <w:right w:val="none" w:sz="0" w:space="0" w:color="auto"/>
      </w:divBdr>
    </w:div>
    <w:div w:id="138503856">
      <w:bodyDiv w:val="1"/>
      <w:marLeft w:val="0"/>
      <w:marRight w:val="0"/>
      <w:marTop w:val="0"/>
      <w:marBottom w:val="0"/>
      <w:divBdr>
        <w:top w:val="none" w:sz="0" w:space="0" w:color="auto"/>
        <w:left w:val="none" w:sz="0" w:space="0" w:color="auto"/>
        <w:bottom w:val="none" w:sz="0" w:space="0" w:color="auto"/>
        <w:right w:val="none" w:sz="0" w:space="0" w:color="auto"/>
      </w:divBdr>
    </w:div>
    <w:div w:id="308900060">
      <w:bodyDiv w:val="1"/>
      <w:marLeft w:val="0"/>
      <w:marRight w:val="0"/>
      <w:marTop w:val="0"/>
      <w:marBottom w:val="0"/>
      <w:divBdr>
        <w:top w:val="none" w:sz="0" w:space="0" w:color="auto"/>
        <w:left w:val="none" w:sz="0" w:space="0" w:color="auto"/>
        <w:bottom w:val="none" w:sz="0" w:space="0" w:color="auto"/>
        <w:right w:val="none" w:sz="0" w:space="0" w:color="auto"/>
      </w:divBdr>
    </w:div>
    <w:div w:id="312680204">
      <w:bodyDiv w:val="1"/>
      <w:marLeft w:val="0"/>
      <w:marRight w:val="0"/>
      <w:marTop w:val="0"/>
      <w:marBottom w:val="0"/>
      <w:divBdr>
        <w:top w:val="none" w:sz="0" w:space="0" w:color="auto"/>
        <w:left w:val="none" w:sz="0" w:space="0" w:color="auto"/>
        <w:bottom w:val="none" w:sz="0" w:space="0" w:color="auto"/>
        <w:right w:val="none" w:sz="0" w:space="0" w:color="auto"/>
      </w:divBdr>
    </w:div>
    <w:div w:id="647133293">
      <w:bodyDiv w:val="1"/>
      <w:marLeft w:val="0"/>
      <w:marRight w:val="0"/>
      <w:marTop w:val="0"/>
      <w:marBottom w:val="0"/>
      <w:divBdr>
        <w:top w:val="none" w:sz="0" w:space="0" w:color="auto"/>
        <w:left w:val="none" w:sz="0" w:space="0" w:color="auto"/>
        <w:bottom w:val="none" w:sz="0" w:space="0" w:color="auto"/>
        <w:right w:val="none" w:sz="0" w:space="0" w:color="auto"/>
      </w:divBdr>
    </w:div>
    <w:div w:id="876162434">
      <w:bodyDiv w:val="1"/>
      <w:marLeft w:val="0"/>
      <w:marRight w:val="0"/>
      <w:marTop w:val="0"/>
      <w:marBottom w:val="0"/>
      <w:divBdr>
        <w:top w:val="none" w:sz="0" w:space="0" w:color="auto"/>
        <w:left w:val="none" w:sz="0" w:space="0" w:color="auto"/>
        <w:bottom w:val="none" w:sz="0" w:space="0" w:color="auto"/>
        <w:right w:val="none" w:sz="0" w:space="0" w:color="auto"/>
      </w:divBdr>
    </w:div>
    <w:div w:id="1186753992">
      <w:bodyDiv w:val="1"/>
      <w:marLeft w:val="0"/>
      <w:marRight w:val="0"/>
      <w:marTop w:val="0"/>
      <w:marBottom w:val="0"/>
      <w:divBdr>
        <w:top w:val="none" w:sz="0" w:space="0" w:color="auto"/>
        <w:left w:val="none" w:sz="0" w:space="0" w:color="auto"/>
        <w:bottom w:val="none" w:sz="0" w:space="0" w:color="auto"/>
        <w:right w:val="none" w:sz="0" w:space="0" w:color="auto"/>
      </w:divBdr>
    </w:div>
    <w:div w:id="1362046259">
      <w:bodyDiv w:val="1"/>
      <w:marLeft w:val="0"/>
      <w:marRight w:val="0"/>
      <w:marTop w:val="0"/>
      <w:marBottom w:val="0"/>
      <w:divBdr>
        <w:top w:val="none" w:sz="0" w:space="0" w:color="auto"/>
        <w:left w:val="none" w:sz="0" w:space="0" w:color="auto"/>
        <w:bottom w:val="none" w:sz="0" w:space="0" w:color="auto"/>
        <w:right w:val="none" w:sz="0" w:space="0" w:color="auto"/>
      </w:divBdr>
    </w:div>
    <w:div w:id="1817841896">
      <w:bodyDiv w:val="1"/>
      <w:marLeft w:val="0"/>
      <w:marRight w:val="0"/>
      <w:marTop w:val="0"/>
      <w:marBottom w:val="0"/>
      <w:divBdr>
        <w:top w:val="none" w:sz="0" w:space="0" w:color="auto"/>
        <w:left w:val="none" w:sz="0" w:space="0" w:color="auto"/>
        <w:bottom w:val="none" w:sz="0" w:space="0" w:color="auto"/>
        <w:right w:val="none" w:sz="0" w:space="0" w:color="auto"/>
      </w:divBdr>
    </w:div>
    <w:div w:id="1865554383">
      <w:bodyDiv w:val="1"/>
      <w:marLeft w:val="0"/>
      <w:marRight w:val="0"/>
      <w:marTop w:val="0"/>
      <w:marBottom w:val="0"/>
      <w:divBdr>
        <w:top w:val="none" w:sz="0" w:space="0" w:color="auto"/>
        <w:left w:val="none" w:sz="0" w:space="0" w:color="auto"/>
        <w:bottom w:val="none" w:sz="0" w:space="0" w:color="auto"/>
        <w:right w:val="none" w:sz="0" w:space="0" w:color="auto"/>
      </w:divBdr>
    </w:div>
    <w:div w:id="2113931946">
      <w:bodyDiv w:val="1"/>
      <w:marLeft w:val="0"/>
      <w:marRight w:val="0"/>
      <w:marTop w:val="0"/>
      <w:marBottom w:val="0"/>
      <w:divBdr>
        <w:top w:val="none" w:sz="0" w:space="0" w:color="auto"/>
        <w:left w:val="none" w:sz="0" w:space="0" w:color="auto"/>
        <w:bottom w:val="none" w:sz="0" w:space="0" w:color="auto"/>
        <w:right w:val="none" w:sz="0" w:space="0" w:color="auto"/>
      </w:divBdr>
    </w:div>
    <w:div w:id="2122529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image" Target="media/image2.jpg"/><Relationship Id="rId26" Type="http://schemas.openxmlformats.org/officeDocument/2006/relationships/header" Target="header11.xml"/><Relationship Id="rId39" Type="http://schemas.openxmlformats.org/officeDocument/2006/relationships/header" Target="header16.xml"/><Relationship Id="rId21" Type="http://schemas.openxmlformats.org/officeDocument/2006/relationships/footer" Target="footer4.xml"/><Relationship Id="rId34" Type="http://schemas.openxmlformats.org/officeDocument/2006/relationships/header" Target="header14.xml"/><Relationship Id="rId42" Type="http://schemas.openxmlformats.org/officeDocument/2006/relationships/footer" Target="footer14.xml"/><Relationship Id="rId47" Type="http://schemas.openxmlformats.org/officeDocument/2006/relationships/footer" Target="footer16.xml"/><Relationship Id="rId50" Type="http://schemas.openxmlformats.org/officeDocument/2006/relationships/footer" Target="footer18.xml"/><Relationship Id="rId55" Type="http://schemas.openxmlformats.org/officeDocument/2006/relationships/image" Target="media/image8.png"/><Relationship Id="rId63" Type="http://schemas.openxmlformats.org/officeDocument/2006/relationships/image" Target="media/image16.png"/><Relationship Id="rId68" Type="http://schemas.openxmlformats.org/officeDocument/2006/relationships/image" Target="media/image21.png"/><Relationship Id="rId76" Type="http://schemas.openxmlformats.org/officeDocument/2006/relationships/image" Target="media/image24.png"/><Relationship Id="rId84" Type="http://schemas.openxmlformats.org/officeDocument/2006/relationships/image" Target="media/image32.emf"/><Relationship Id="rId89" Type="http://schemas.openxmlformats.org/officeDocument/2006/relationships/header" Target="header27.xml"/><Relationship Id="rId7" Type="http://schemas.openxmlformats.org/officeDocument/2006/relationships/footnotes" Target="footnotes.xml"/><Relationship Id="rId71" Type="http://schemas.openxmlformats.org/officeDocument/2006/relationships/header" Target="header22.xm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header" Target="header12.xml"/><Relationship Id="rId11" Type="http://schemas.openxmlformats.org/officeDocument/2006/relationships/header" Target="header3.xml"/><Relationship Id="rId24" Type="http://schemas.openxmlformats.org/officeDocument/2006/relationships/footer" Target="footer6.xml"/><Relationship Id="rId32" Type="http://schemas.openxmlformats.org/officeDocument/2006/relationships/oleObject" Target="embeddings/oleObject1.bin"/><Relationship Id="rId37" Type="http://schemas.openxmlformats.org/officeDocument/2006/relationships/header" Target="header15.xml"/><Relationship Id="rId40" Type="http://schemas.openxmlformats.org/officeDocument/2006/relationships/header" Target="header17.xml"/><Relationship Id="rId45" Type="http://schemas.openxmlformats.org/officeDocument/2006/relationships/header" Target="header19.xml"/><Relationship Id="rId53" Type="http://schemas.openxmlformats.org/officeDocument/2006/relationships/image" Target="media/image6.png"/><Relationship Id="rId58" Type="http://schemas.openxmlformats.org/officeDocument/2006/relationships/image" Target="media/image11.png"/><Relationship Id="rId66" Type="http://schemas.openxmlformats.org/officeDocument/2006/relationships/image" Target="media/image19.png"/><Relationship Id="rId74" Type="http://schemas.openxmlformats.org/officeDocument/2006/relationships/footer" Target="footer20.xml"/><Relationship Id="rId79" Type="http://schemas.openxmlformats.org/officeDocument/2006/relationships/image" Target="media/image27.png"/><Relationship Id="rId87" Type="http://schemas.openxmlformats.org/officeDocument/2006/relationships/footer" Target="footer21.xml"/><Relationship Id="rId5" Type="http://schemas.openxmlformats.org/officeDocument/2006/relationships/settings" Target="settings.xml"/><Relationship Id="rId61" Type="http://schemas.openxmlformats.org/officeDocument/2006/relationships/image" Target="media/image14.png"/><Relationship Id="rId82" Type="http://schemas.openxmlformats.org/officeDocument/2006/relationships/image" Target="media/image30.emf"/><Relationship Id="rId90" Type="http://schemas.openxmlformats.org/officeDocument/2006/relationships/footer" Target="footer23.xml"/><Relationship Id="rId19" Type="http://schemas.openxmlformats.org/officeDocument/2006/relationships/header" Target="header7.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footer" Target="footer10.xml"/><Relationship Id="rId43" Type="http://schemas.openxmlformats.org/officeDocument/2006/relationships/header" Target="header18.xml"/><Relationship Id="rId48" Type="http://schemas.openxmlformats.org/officeDocument/2006/relationships/footer" Target="footer17.xml"/><Relationship Id="rId56" Type="http://schemas.openxmlformats.org/officeDocument/2006/relationships/image" Target="media/image9.png"/><Relationship Id="rId64" Type="http://schemas.openxmlformats.org/officeDocument/2006/relationships/image" Target="media/image17.png"/><Relationship Id="rId69" Type="http://schemas.openxmlformats.org/officeDocument/2006/relationships/image" Target="media/image22.png"/><Relationship Id="rId77" Type="http://schemas.openxmlformats.org/officeDocument/2006/relationships/image" Target="media/image25.png"/><Relationship Id="rId8" Type="http://schemas.openxmlformats.org/officeDocument/2006/relationships/endnotes" Target="endnotes.xml"/><Relationship Id="rId51" Type="http://schemas.openxmlformats.org/officeDocument/2006/relationships/image" Target="media/image4.png"/><Relationship Id="rId72" Type="http://schemas.openxmlformats.org/officeDocument/2006/relationships/header" Target="header23.xml"/><Relationship Id="rId80" Type="http://schemas.openxmlformats.org/officeDocument/2006/relationships/image" Target="media/image28.png"/><Relationship Id="rId85" Type="http://schemas.openxmlformats.org/officeDocument/2006/relationships/header" Target="header25.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footer" Target="footer3.xml"/><Relationship Id="rId25" Type="http://schemas.openxmlformats.org/officeDocument/2006/relationships/header" Target="header10.xml"/><Relationship Id="rId33" Type="http://schemas.openxmlformats.org/officeDocument/2006/relationships/header" Target="header13.xml"/><Relationship Id="rId38" Type="http://schemas.openxmlformats.org/officeDocument/2006/relationships/footer" Target="footer12.xml"/><Relationship Id="rId46" Type="http://schemas.openxmlformats.org/officeDocument/2006/relationships/header" Target="header20.xml"/><Relationship Id="rId59" Type="http://schemas.openxmlformats.org/officeDocument/2006/relationships/image" Target="media/image12.png"/><Relationship Id="rId67" Type="http://schemas.openxmlformats.org/officeDocument/2006/relationships/image" Target="media/image20.png"/><Relationship Id="rId20" Type="http://schemas.openxmlformats.org/officeDocument/2006/relationships/header" Target="header8.xml"/><Relationship Id="rId41" Type="http://schemas.openxmlformats.org/officeDocument/2006/relationships/footer" Target="footer13.xml"/><Relationship Id="rId54" Type="http://schemas.openxmlformats.org/officeDocument/2006/relationships/image" Target="media/image7.png"/><Relationship Id="rId62" Type="http://schemas.openxmlformats.org/officeDocument/2006/relationships/image" Target="media/image15.png"/><Relationship Id="rId70" Type="http://schemas.openxmlformats.org/officeDocument/2006/relationships/image" Target="media/image23.png"/><Relationship Id="rId75" Type="http://schemas.openxmlformats.org/officeDocument/2006/relationships/header" Target="header24.xml"/><Relationship Id="rId83" Type="http://schemas.openxmlformats.org/officeDocument/2006/relationships/image" Target="media/image31.emf"/><Relationship Id="rId88" Type="http://schemas.openxmlformats.org/officeDocument/2006/relationships/footer" Target="footer22.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9.xml"/><Relationship Id="rId28" Type="http://schemas.openxmlformats.org/officeDocument/2006/relationships/footer" Target="footer8.xml"/><Relationship Id="rId36" Type="http://schemas.openxmlformats.org/officeDocument/2006/relationships/footer" Target="footer11.xml"/><Relationship Id="rId49" Type="http://schemas.openxmlformats.org/officeDocument/2006/relationships/header" Target="header21.xml"/><Relationship Id="rId57" Type="http://schemas.openxmlformats.org/officeDocument/2006/relationships/image" Target="media/image10.png"/><Relationship Id="rId10" Type="http://schemas.openxmlformats.org/officeDocument/2006/relationships/header" Target="header2.xml"/><Relationship Id="rId31" Type="http://schemas.openxmlformats.org/officeDocument/2006/relationships/image" Target="media/image3.emf"/><Relationship Id="rId44" Type="http://schemas.openxmlformats.org/officeDocument/2006/relationships/footer" Target="footer15.xml"/><Relationship Id="rId52" Type="http://schemas.openxmlformats.org/officeDocument/2006/relationships/image" Target="media/image5.png"/><Relationship Id="rId60" Type="http://schemas.openxmlformats.org/officeDocument/2006/relationships/image" Target="media/image13.png"/><Relationship Id="rId65" Type="http://schemas.openxmlformats.org/officeDocument/2006/relationships/image" Target="media/image18.png"/><Relationship Id="rId73" Type="http://schemas.openxmlformats.org/officeDocument/2006/relationships/footer" Target="footer19.xml"/><Relationship Id="rId78" Type="http://schemas.openxmlformats.org/officeDocument/2006/relationships/image" Target="media/image26.png"/><Relationship Id="rId81" Type="http://schemas.openxmlformats.org/officeDocument/2006/relationships/image" Target="media/image29.emf"/><Relationship Id="rId86" Type="http://schemas.openxmlformats.org/officeDocument/2006/relationships/header" Target="header26.xml"/><Relationship Id="rId4" Type="http://schemas.microsoft.com/office/2007/relationships/stylesWithEffects" Target="stylesWithEffect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www.nlm.nih.gov/medlineplus/ency/article/002968.ht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an%20Bedi\AppData\Roaming\Microsoft\Templates\PwCWL_Report%20Georgia.dotm" TargetMode="External"/></Relationships>
</file>

<file path=word/theme/theme1.xml><?xml version="1.0" encoding="utf-8"?>
<a:theme xmlns:a="http://schemas.openxmlformats.org/drawingml/2006/main" name="PwC">
  <a:themeElements>
    <a:clrScheme name="PwC Burgundy">
      <a:dk1>
        <a:srgbClr val="000000"/>
      </a:dk1>
      <a:lt1>
        <a:srgbClr val="FFFFFF"/>
      </a:lt1>
      <a:dk2>
        <a:srgbClr val="A32020"/>
      </a:dk2>
      <a:lt2>
        <a:srgbClr val="FFFFFF"/>
      </a:lt2>
      <a:accent1>
        <a:srgbClr val="A32020"/>
      </a:accent1>
      <a:accent2>
        <a:srgbClr val="E0301E"/>
      </a:accent2>
      <a:accent3>
        <a:srgbClr val="602320"/>
      </a:accent3>
      <a:accent4>
        <a:srgbClr val="DB536A"/>
      </a:accent4>
      <a:accent5>
        <a:srgbClr val="DC6900"/>
      </a:accent5>
      <a:accent6>
        <a:srgbClr val="FFB600"/>
      </a:accent6>
      <a:hlink>
        <a:srgbClr val="A32020"/>
      </a:hlink>
      <a:folHlink>
        <a:srgbClr val="A32020"/>
      </a:folHlink>
    </a:clrScheme>
    <a:fontScheme name="PwC">
      <a:majorFont>
        <a:latin typeface="Georgia"/>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ltGray">
        <a:solidFill>
          <a:schemeClr val="tx2"/>
        </a:solidFill>
        <a:ln w="3175"/>
      </a:spPr>
      <a:bodyPr rtlCol="0" anchor="ctr"/>
      <a:lstStyle>
        <a:defPPr algn="ctr">
          <a:defRPr dirty="0" err="1" smtClean="0">
            <a:solidFill>
              <a:schemeClr val="bg1"/>
            </a:solidFill>
            <a:latin typeface="Georgia" pitchFamily="18" charset="0"/>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a:lnSpc>
            <a:spcPts val="2400"/>
          </a:lnSpc>
          <a:defRPr sz="2000" dirty="0" err="1" smtClean="0">
            <a:latin typeface="Georgia" pitchFamily="18" charset="0"/>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F16A6D-562D-4ABA-9E70-B8B8A4739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PwCWL_Report Georgia</Template>
  <TotalTime>8</TotalTime>
  <Pages>80</Pages>
  <Words>15259</Words>
  <Characters>84629</Characters>
  <Application>Microsoft Office Word</Application>
  <DocSecurity>0</DocSecurity>
  <Lines>705</Lines>
  <Paragraphs>199</Paragraphs>
  <ScaleCrop>false</ScaleCrop>
  <HeadingPairs>
    <vt:vector size="2" baseType="variant">
      <vt:variant>
        <vt:lpstr>Title</vt:lpstr>
      </vt:variant>
      <vt:variant>
        <vt:i4>1</vt:i4>
      </vt:variant>
    </vt:vector>
  </HeadingPairs>
  <TitlesOfParts>
    <vt:vector size="1" baseType="lpstr">
      <vt:lpstr>PwC Report</vt:lpstr>
    </vt:vector>
  </TitlesOfParts>
  <Company>PricewaterhouseCoopers</Company>
  <LinksUpToDate>false</LinksUpToDate>
  <CharactersWithSpaces>99689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PwC Report</dc:title>
  <dc:creator>Matt Dresser</dc:creator>
  <cp:lastModifiedBy>Alicia Semple</cp:lastModifiedBy>
  <cp:revision>4</cp:revision>
  <cp:lastPrinted>2014-07-01T00:27:00Z</cp:lastPrinted>
  <dcterms:created xsi:type="dcterms:W3CDTF">2014-07-01T02:16:00Z</dcterms:created>
  <dcterms:modified xsi:type="dcterms:W3CDTF">2014-07-01T02:56:00Z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face included">
    <vt:bool>false</vt:bool>
  </property>
  <property fmtid="{D5CDD505-2E9C-101B-9397-08002B2CF9AE}" pid="3" name="ToC levels">
    <vt:i4>1</vt:i4>
  </property>
  <property fmtid="{D5CDD505-2E9C-101B-9397-08002B2CF9AE}" pid="4" name="Document format">
    <vt:lpwstr>SHORT</vt:lpwstr>
  </property>
  <property fmtid="{D5CDD505-2E9C-101B-9397-08002B2CF9AE}" pid="5" name="Chapter number">
    <vt:i4>1</vt:i4>
  </property>
  <property fmtid="{D5CDD505-2E9C-101B-9397-08002B2CF9AE}" pid="6" name="Appendix format">
    <vt:lpwstr>SHORT</vt:lpwstr>
  </property>
  <property fmtid="{D5CDD505-2E9C-101B-9397-08002B2CF9AE}" pid="7" name="Appendix number">
    <vt:i4>9</vt:i4>
  </property>
  <property fmtid="{D5CDD505-2E9C-101B-9397-08002B2CF9AE}" pid="8" name="Letterhead included">
    <vt:bool>false</vt:bool>
  </property>
  <property fmtid="{D5CDD505-2E9C-101B-9397-08002B2CF9AE}" pid="9" name="Color">
    <vt:lpwstr>sBurgundy</vt:lpwstr>
  </property>
  <property fmtid="{D5CDD505-2E9C-101B-9397-08002B2CF9AE}" pid="10" name="Numbering Style">
    <vt:bool>true</vt:bool>
  </property>
  <property fmtid="{D5CDD505-2E9C-101B-9397-08002B2CF9AE}" pid="11" name="TOC Color">
    <vt:bool>true</vt:bool>
  </property>
  <property fmtid="{D5CDD505-2E9C-101B-9397-08002B2CF9AE}" pid="12" name="Point Size">
    <vt:lpwstr>10</vt:lpwstr>
  </property>
  <property fmtid="{D5CDD505-2E9C-101B-9397-08002B2CF9AE}" pid="13" name="Font">
    <vt:lpwstr>Georgia</vt:lpwstr>
  </property>
  <property fmtid="{D5CDD505-2E9C-101B-9397-08002B2CF9AE}" pid="14" name="Portrait Document">
    <vt:bool>true</vt:bool>
  </property>
  <property fmtid="{D5CDD505-2E9C-101B-9397-08002B2CF9AE}" pid="15" name="Key Sentences">
    <vt:bool>false</vt:bool>
  </property>
  <property fmtid="{D5CDD505-2E9C-101B-9397-08002B2CF9AE}" pid="16" name="KeySentenceFormat">
    <vt:lpwstr>N1A</vt:lpwstr>
  </property>
  <property fmtid="{D5CDD505-2E9C-101B-9397-08002B2CF9AE}" pid="17" name="New Report">
    <vt:bool>false</vt:bool>
  </property>
  <property fmtid="{D5CDD505-2E9C-101B-9397-08002B2CF9AE}" pid="18" name="Mirror Margins">
    <vt:bool>false</vt:bool>
  </property>
  <property fmtid="{D5CDD505-2E9C-101B-9397-08002B2CF9AE}" pid="19" name="Number of Columns">
    <vt:i4>1</vt:i4>
  </property>
  <property fmtid="{D5CDD505-2E9C-101B-9397-08002B2CF9AE}" pid="20" name="Double">
    <vt:bool>false</vt:bool>
  </property>
  <property fmtid="{D5CDD505-2E9C-101B-9397-08002B2CF9AE}" pid="21" name="Version">
    <vt:lpwstr>2013_08_08</vt:lpwstr>
  </property>
  <property fmtid="{D5CDD505-2E9C-101B-9397-08002B2CF9AE}" pid="22" name="AP report or proposal">
    <vt:bool>true</vt:bool>
  </property>
  <property fmtid="{D5CDD505-2E9C-101B-9397-08002B2CF9AE}" pid="23" name="VersionNo">
    <vt:lpwstr>9</vt:lpwstr>
  </property>
  <property fmtid="{D5CDD505-2E9C-101B-9397-08002B2CF9AE}" pid="24" name="TopBinding">
    <vt:bool>false</vt:bool>
  </property>
  <property fmtid="{D5CDD505-2E9C-101B-9397-08002B2CF9AE}" pid="25" name="TableProperties">
    <vt:lpwstr>B1|R0.2|R0.4|R1|R1|</vt:lpwstr>
  </property>
  <property fmtid="{D5CDD505-2E9C-101B-9397-08002B2CF9AE}" pid="26" name="NotPrinted">
    <vt:bool>false</vt:bool>
  </property>
  <property fmtid="{D5CDD505-2E9C-101B-9397-08002B2CF9AE}" pid="27" name="Grid">
    <vt:bool>false</vt:bool>
  </property>
</Properties>
</file>