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80F5" w14:textId="2D698ED2" w:rsidR="00624A55" w:rsidRPr="008F3D35" w:rsidRDefault="001D367A" w:rsidP="008F3D35">
      <w:pPr>
        <w:pStyle w:val="Heading1"/>
      </w:pPr>
      <w:r>
        <w:rPr>
          <w:lang w:val="en-AU"/>
        </w:rPr>
        <w:t>Victorian Autism Education Strategy</w:t>
      </w:r>
    </w:p>
    <w:p w14:paraId="7D101E54" w14:textId="12F9EAC2" w:rsidR="00624A55" w:rsidRPr="00624A55" w:rsidRDefault="00624A55" w:rsidP="00624A55">
      <w:pPr>
        <w:pStyle w:val="Intro"/>
      </w:pPr>
    </w:p>
    <w:p w14:paraId="6E6868DC" w14:textId="17DA4898" w:rsidR="00624A55" w:rsidRDefault="001D367A" w:rsidP="00624A55">
      <w:pPr>
        <w:pStyle w:val="Heading2"/>
        <w:rPr>
          <w:lang w:val="en-AU"/>
        </w:rPr>
      </w:pPr>
      <w:r>
        <w:rPr>
          <w:lang w:val="en-AU"/>
        </w:rPr>
        <w:t>Our Context</w:t>
      </w:r>
    </w:p>
    <w:p w14:paraId="3D8CD60B" w14:textId="6799D296" w:rsidR="001D367A" w:rsidRDefault="001D367A" w:rsidP="001D367A">
      <w:pPr>
        <w:rPr>
          <w:rFonts w:ascii="VIC-Regular" w:hAnsi="VIC-Regular" w:cs="VIC-Regular"/>
          <w:sz w:val="20"/>
          <w:szCs w:val="20"/>
          <w:lang w:val="en-AU"/>
        </w:rPr>
      </w:pPr>
      <w:r w:rsidRPr="001D367A">
        <w:rPr>
          <w:lang w:val="en-AU"/>
        </w:rPr>
        <w:t>The Government recognises that autistic children have strengths,</w:t>
      </w:r>
      <w:r>
        <w:rPr>
          <w:lang w:val="en-AU"/>
        </w:rPr>
        <w:t xml:space="preserve"> </w:t>
      </w:r>
      <w:r w:rsidRPr="001D367A">
        <w:rPr>
          <w:lang w:val="en-AU"/>
        </w:rPr>
        <w:t>interests and abilities and make a valuable contribution to an educational</w:t>
      </w:r>
      <w:r>
        <w:rPr>
          <w:lang w:val="en-AU"/>
        </w:rPr>
        <w:t xml:space="preserve"> </w:t>
      </w:r>
      <w:r w:rsidRPr="001D367A">
        <w:rPr>
          <w:lang w:val="en-AU"/>
        </w:rPr>
        <w:t>community. This Strategy celebrates the diversity that autistic students</w:t>
      </w:r>
      <w:r>
        <w:rPr>
          <w:lang w:val="en-AU"/>
        </w:rPr>
        <w:t xml:space="preserve"> </w:t>
      </w:r>
      <w:r w:rsidRPr="001D367A">
        <w:rPr>
          <w:lang w:val="en-AU"/>
        </w:rPr>
        <w:t>bring to schools and recognises that they have different lived experiences</w:t>
      </w:r>
      <w:r>
        <w:rPr>
          <w:rFonts w:ascii="VIC-Regular" w:hAnsi="VIC-Regular" w:cs="VIC-Regular"/>
          <w:sz w:val="20"/>
          <w:szCs w:val="20"/>
          <w:lang w:val="en-AU"/>
        </w:rPr>
        <w:t>.</w:t>
      </w:r>
    </w:p>
    <w:p w14:paraId="67C2D73B" w14:textId="77777777" w:rsidR="001D367A" w:rsidRDefault="001D367A" w:rsidP="001D367A">
      <w:pPr>
        <w:rPr>
          <w:lang w:val="en-AU"/>
        </w:rPr>
      </w:pPr>
      <w:r w:rsidRPr="001D367A">
        <w:rPr>
          <w:lang w:val="en-AU"/>
        </w:rPr>
        <w:t>We know autistic</w:t>
      </w:r>
      <w:r>
        <w:rPr>
          <w:lang w:val="en-AU"/>
        </w:rPr>
        <w:t xml:space="preserve"> </w:t>
      </w:r>
      <w:r w:rsidRPr="001D367A">
        <w:rPr>
          <w:lang w:val="en-AU"/>
        </w:rPr>
        <w:t>students face</w:t>
      </w:r>
      <w:r>
        <w:rPr>
          <w:lang w:val="en-AU"/>
        </w:rPr>
        <w:t xml:space="preserve"> </w:t>
      </w:r>
      <w:r w:rsidRPr="001D367A">
        <w:rPr>
          <w:lang w:val="en-AU"/>
        </w:rPr>
        <w:t>barriers to their</w:t>
      </w:r>
      <w:r>
        <w:rPr>
          <w:lang w:val="en-AU"/>
        </w:rPr>
        <w:t xml:space="preserve"> </w:t>
      </w:r>
      <w:r w:rsidRPr="001D367A">
        <w:rPr>
          <w:lang w:val="en-AU"/>
        </w:rPr>
        <w:t>education and</w:t>
      </w:r>
      <w:r>
        <w:rPr>
          <w:lang w:val="en-AU"/>
        </w:rPr>
        <w:t xml:space="preserve"> </w:t>
      </w:r>
      <w:r w:rsidRPr="001D367A">
        <w:rPr>
          <w:lang w:val="en-AU"/>
        </w:rPr>
        <w:t>that they:</w:t>
      </w:r>
    </w:p>
    <w:p w14:paraId="67246B24" w14:textId="1085EC8A" w:rsidR="001D367A" w:rsidRPr="001D367A" w:rsidRDefault="001D367A" w:rsidP="001D367A">
      <w:pPr>
        <w:pStyle w:val="ListParagraph"/>
        <w:numPr>
          <w:ilvl w:val="0"/>
          <w:numId w:val="18"/>
        </w:numPr>
        <w:rPr>
          <w:lang w:val="en-AU"/>
        </w:rPr>
      </w:pPr>
      <w:r w:rsidRPr="001D367A">
        <w:rPr>
          <w:lang w:val="en-AU"/>
        </w:rPr>
        <w:t>Are less likely to finish year 12 than other students</w:t>
      </w:r>
    </w:p>
    <w:p w14:paraId="2D8C0A7F" w14:textId="5AE3CF1D" w:rsidR="001D367A" w:rsidRPr="001D367A" w:rsidRDefault="001D367A" w:rsidP="001D367A">
      <w:pPr>
        <w:pStyle w:val="ListParagraph"/>
        <w:numPr>
          <w:ilvl w:val="0"/>
          <w:numId w:val="18"/>
        </w:numPr>
        <w:rPr>
          <w:lang w:val="en-AU"/>
        </w:rPr>
      </w:pPr>
      <w:r w:rsidRPr="001D367A">
        <w:rPr>
          <w:lang w:val="en-AU"/>
        </w:rPr>
        <w:t>Often change schools to get their needs met</w:t>
      </w:r>
    </w:p>
    <w:p w14:paraId="2B99C2A3" w14:textId="7CE6D4FD" w:rsidR="001D367A" w:rsidRPr="001D367A" w:rsidRDefault="001D367A" w:rsidP="001D367A">
      <w:pPr>
        <w:pStyle w:val="ListParagraph"/>
        <w:numPr>
          <w:ilvl w:val="0"/>
          <w:numId w:val="18"/>
        </w:numPr>
        <w:rPr>
          <w:lang w:val="en-AU"/>
        </w:rPr>
      </w:pPr>
      <w:r w:rsidRPr="001D367A">
        <w:rPr>
          <w:lang w:val="en-AU"/>
        </w:rPr>
        <w:t>Can be more likely to disengage from school</w:t>
      </w:r>
    </w:p>
    <w:p w14:paraId="26402068" w14:textId="0527EE22" w:rsidR="001D367A" w:rsidRPr="001D367A" w:rsidRDefault="001D367A" w:rsidP="001D367A">
      <w:pPr>
        <w:rPr>
          <w:lang w:val="en-AU"/>
        </w:rPr>
      </w:pPr>
    </w:p>
    <w:p w14:paraId="1E899B48" w14:textId="16D214A5" w:rsidR="001D367A" w:rsidRPr="001D367A" w:rsidRDefault="001D367A" w:rsidP="001D367A">
      <w:pPr>
        <w:rPr>
          <w:lang w:val="en-AU"/>
        </w:rPr>
      </w:pPr>
      <w:r w:rsidRPr="001D367A">
        <w:rPr>
          <w:lang w:val="en-AU"/>
        </w:rPr>
        <w:t>Autistic students are</w:t>
      </w:r>
      <w:r>
        <w:rPr>
          <w:lang w:val="en-AU"/>
        </w:rPr>
        <w:t xml:space="preserve"> </w:t>
      </w:r>
      <w:r w:rsidRPr="001D367A">
        <w:rPr>
          <w:lang w:val="en-AU"/>
        </w:rPr>
        <w:t>also more likely than</w:t>
      </w:r>
      <w:r>
        <w:rPr>
          <w:lang w:val="en-AU"/>
        </w:rPr>
        <w:t xml:space="preserve"> </w:t>
      </w:r>
      <w:r w:rsidRPr="001D367A">
        <w:rPr>
          <w:lang w:val="en-AU"/>
        </w:rPr>
        <w:t>other students to</w:t>
      </w:r>
      <w:r>
        <w:rPr>
          <w:lang w:val="en-AU"/>
        </w:rPr>
        <w:t xml:space="preserve"> </w:t>
      </w:r>
      <w:r w:rsidRPr="001D367A">
        <w:rPr>
          <w:lang w:val="en-AU"/>
        </w:rPr>
        <w:t>experience:</w:t>
      </w:r>
    </w:p>
    <w:p w14:paraId="77D27AB1" w14:textId="3471103F" w:rsidR="001D367A" w:rsidRPr="001D367A" w:rsidRDefault="001D367A" w:rsidP="001D367A">
      <w:pPr>
        <w:rPr>
          <w:lang w:val="en-AU"/>
        </w:rPr>
      </w:pPr>
      <w:r w:rsidRPr="001D367A">
        <w:rPr>
          <w:lang w:val="en-AU"/>
        </w:rPr>
        <w:t>Communication</w:t>
      </w:r>
      <w:r>
        <w:rPr>
          <w:lang w:val="en-AU"/>
        </w:rPr>
        <w:t xml:space="preserve"> </w:t>
      </w:r>
      <w:r w:rsidRPr="001D367A">
        <w:rPr>
          <w:lang w:val="en-AU"/>
        </w:rPr>
        <w:t>and socialisation</w:t>
      </w:r>
      <w:r>
        <w:rPr>
          <w:lang w:val="en-AU"/>
        </w:rPr>
        <w:t xml:space="preserve"> </w:t>
      </w:r>
      <w:r w:rsidRPr="001D367A">
        <w:rPr>
          <w:lang w:val="en-AU"/>
        </w:rPr>
        <w:t>differences</w:t>
      </w:r>
    </w:p>
    <w:p w14:paraId="5343AF2A" w14:textId="55F5CD33" w:rsidR="001D367A" w:rsidRPr="001D367A" w:rsidRDefault="001D367A" w:rsidP="001D367A">
      <w:pPr>
        <w:pStyle w:val="ListParagraph"/>
        <w:numPr>
          <w:ilvl w:val="0"/>
          <w:numId w:val="19"/>
        </w:numPr>
        <w:rPr>
          <w:lang w:val="en-AU"/>
        </w:rPr>
      </w:pPr>
      <w:r w:rsidRPr="001D367A">
        <w:rPr>
          <w:lang w:val="en-AU"/>
        </w:rPr>
        <w:t>Mental health challenges</w:t>
      </w:r>
    </w:p>
    <w:p w14:paraId="31648E0F" w14:textId="6718D17D" w:rsidR="001D367A" w:rsidRPr="001D367A" w:rsidRDefault="001D367A" w:rsidP="001D367A">
      <w:pPr>
        <w:pStyle w:val="ListParagraph"/>
        <w:numPr>
          <w:ilvl w:val="0"/>
          <w:numId w:val="19"/>
        </w:numPr>
        <w:rPr>
          <w:lang w:val="en-AU"/>
        </w:rPr>
      </w:pPr>
      <w:r w:rsidRPr="001D367A">
        <w:rPr>
          <w:lang w:val="en-AU"/>
        </w:rPr>
        <w:t>Learning difficulties</w:t>
      </w:r>
    </w:p>
    <w:p w14:paraId="67E7323D" w14:textId="5CE07B9B" w:rsidR="001D367A" w:rsidRPr="001D367A" w:rsidRDefault="001D367A" w:rsidP="001D367A">
      <w:pPr>
        <w:pStyle w:val="ListParagraph"/>
        <w:numPr>
          <w:ilvl w:val="0"/>
          <w:numId w:val="19"/>
        </w:numPr>
        <w:rPr>
          <w:lang w:val="en-AU"/>
        </w:rPr>
      </w:pPr>
      <w:r w:rsidRPr="001D367A">
        <w:rPr>
          <w:lang w:val="en-AU"/>
        </w:rPr>
        <w:t>Other conditions (</w:t>
      </w:r>
      <w:proofErr w:type="gramStart"/>
      <w:r w:rsidRPr="001D367A">
        <w:rPr>
          <w:lang w:val="en-AU"/>
        </w:rPr>
        <w:t>e.g.</w:t>
      </w:r>
      <w:proofErr w:type="gramEnd"/>
      <w:r w:rsidRPr="001D367A">
        <w:rPr>
          <w:lang w:val="en-AU"/>
        </w:rPr>
        <w:t xml:space="preserve"> intellectual disability, motor difficulties, epilepsy)</w:t>
      </w:r>
    </w:p>
    <w:p w14:paraId="05CEBDC5" w14:textId="77777777" w:rsidR="001D367A" w:rsidRDefault="001D367A" w:rsidP="001D367A">
      <w:pPr>
        <w:rPr>
          <w:lang w:val="en-AU"/>
        </w:rPr>
      </w:pPr>
    </w:p>
    <w:p w14:paraId="7CB854B4" w14:textId="0BF66008" w:rsidR="001D367A" w:rsidRPr="001D367A" w:rsidRDefault="001D367A" w:rsidP="001D367A">
      <w:pPr>
        <w:rPr>
          <w:lang w:val="en-AU"/>
        </w:rPr>
      </w:pPr>
      <w:r w:rsidRPr="001D367A">
        <w:rPr>
          <w:lang w:val="en-AU"/>
        </w:rPr>
        <w:t>They may also:</w:t>
      </w:r>
    </w:p>
    <w:p w14:paraId="46967AAC" w14:textId="401E047E" w:rsidR="001D367A" w:rsidRPr="001D367A" w:rsidRDefault="001D367A" w:rsidP="001D367A">
      <w:pPr>
        <w:pStyle w:val="ListParagraph"/>
        <w:numPr>
          <w:ilvl w:val="0"/>
          <w:numId w:val="20"/>
        </w:numPr>
        <w:rPr>
          <w:lang w:val="en-AU"/>
        </w:rPr>
      </w:pPr>
      <w:r w:rsidRPr="001D367A">
        <w:rPr>
          <w:lang w:val="en-AU"/>
        </w:rPr>
        <w:t>Be female</w:t>
      </w:r>
    </w:p>
    <w:p w14:paraId="6CE437A9" w14:textId="265FFDD1" w:rsidR="001D367A" w:rsidRPr="001D367A" w:rsidRDefault="001D367A" w:rsidP="001D367A">
      <w:pPr>
        <w:pStyle w:val="ListParagraph"/>
        <w:numPr>
          <w:ilvl w:val="0"/>
          <w:numId w:val="20"/>
        </w:numPr>
        <w:rPr>
          <w:lang w:val="en-AU"/>
        </w:rPr>
      </w:pPr>
      <w:r w:rsidRPr="001D367A">
        <w:rPr>
          <w:lang w:val="en-AU"/>
        </w:rPr>
        <w:t>Be Aboriginal and/or Torres Strait Islander</w:t>
      </w:r>
    </w:p>
    <w:p w14:paraId="765F8610" w14:textId="4526F547" w:rsidR="001D367A" w:rsidRPr="001D367A" w:rsidRDefault="001D367A" w:rsidP="001D367A">
      <w:pPr>
        <w:pStyle w:val="ListParagraph"/>
        <w:numPr>
          <w:ilvl w:val="0"/>
          <w:numId w:val="20"/>
        </w:numPr>
        <w:rPr>
          <w:lang w:val="en-AU"/>
        </w:rPr>
      </w:pPr>
      <w:r w:rsidRPr="001D367A">
        <w:rPr>
          <w:lang w:val="en-AU"/>
        </w:rPr>
        <w:t>Be culturally and linguistically diverse</w:t>
      </w:r>
    </w:p>
    <w:p w14:paraId="2858FEFB" w14:textId="4B7BBE73" w:rsidR="001D367A" w:rsidRPr="001D367A" w:rsidRDefault="001D367A" w:rsidP="001D367A">
      <w:pPr>
        <w:pStyle w:val="ListParagraph"/>
        <w:numPr>
          <w:ilvl w:val="0"/>
          <w:numId w:val="20"/>
        </w:numPr>
        <w:rPr>
          <w:lang w:val="en-AU"/>
        </w:rPr>
      </w:pPr>
      <w:r w:rsidRPr="001D367A">
        <w:rPr>
          <w:lang w:val="en-AU"/>
        </w:rPr>
        <w:t>Live in a regional or remote area</w:t>
      </w:r>
    </w:p>
    <w:p w14:paraId="44B13E5E" w14:textId="638C5E32" w:rsidR="001D367A" w:rsidRPr="001D367A" w:rsidRDefault="001D367A" w:rsidP="001D367A">
      <w:pPr>
        <w:pStyle w:val="ListParagraph"/>
        <w:numPr>
          <w:ilvl w:val="0"/>
          <w:numId w:val="20"/>
        </w:numPr>
        <w:rPr>
          <w:lang w:val="en-AU"/>
        </w:rPr>
      </w:pPr>
      <w:r w:rsidRPr="001D367A">
        <w:rPr>
          <w:lang w:val="en-AU"/>
        </w:rPr>
        <w:t>Be LGBTIQ</w:t>
      </w:r>
      <w:r w:rsidR="000953B2">
        <w:rPr>
          <w:lang w:val="en-AU"/>
        </w:rPr>
        <w:t>+</w:t>
      </w:r>
    </w:p>
    <w:p w14:paraId="3175A56D" w14:textId="77777777" w:rsidR="001D367A" w:rsidRDefault="001D367A" w:rsidP="001D367A">
      <w:pPr>
        <w:pStyle w:val="Heading3"/>
        <w:rPr>
          <w:lang w:val="en-AU"/>
        </w:rPr>
      </w:pPr>
    </w:p>
    <w:p w14:paraId="42445697" w14:textId="282BC01B" w:rsidR="001D367A" w:rsidRDefault="001D367A" w:rsidP="001D367A">
      <w:pPr>
        <w:pStyle w:val="Heading3"/>
        <w:rPr>
          <w:lang w:val="en-AU"/>
        </w:rPr>
      </w:pPr>
      <w:r>
        <w:rPr>
          <w:lang w:val="en-AU"/>
        </w:rPr>
        <w:t>Disability Inclusion</w:t>
      </w:r>
    </w:p>
    <w:p w14:paraId="773EC620" w14:textId="52CF3796" w:rsidR="007F24F3" w:rsidRPr="007F24F3" w:rsidRDefault="007F24F3" w:rsidP="007F24F3">
      <w:pPr>
        <w:rPr>
          <w:lang w:val="en-AU"/>
        </w:rPr>
      </w:pPr>
      <w:r w:rsidRPr="007F24F3">
        <w:rPr>
          <w:lang w:val="en-AU"/>
        </w:rPr>
        <w:t>Disability Inclusion is part of the Government’s approach to inclusive</w:t>
      </w:r>
      <w:r>
        <w:rPr>
          <w:lang w:val="en-AU"/>
        </w:rPr>
        <w:t xml:space="preserve"> </w:t>
      </w:r>
      <w:r w:rsidRPr="007F24F3">
        <w:rPr>
          <w:lang w:val="en-AU"/>
        </w:rPr>
        <w:t>education. It’ll help make sure children and young people with disability,</w:t>
      </w:r>
      <w:r>
        <w:rPr>
          <w:lang w:val="en-AU"/>
        </w:rPr>
        <w:t xml:space="preserve"> </w:t>
      </w:r>
      <w:r w:rsidRPr="007F24F3">
        <w:rPr>
          <w:lang w:val="en-AU"/>
        </w:rPr>
        <w:t>including autistic students, are welcomed and engaged so that they can</w:t>
      </w:r>
      <w:r>
        <w:rPr>
          <w:lang w:val="en-AU"/>
        </w:rPr>
        <w:t xml:space="preserve"> </w:t>
      </w:r>
      <w:r w:rsidRPr="007F24F3">
        <w:rPr>
          <w:lang w:val="en-AU"/>
        </w:rPr>
        <w:t>participate and achieve their full potential at school and in life. We will do</w:t>
      </w:r>
      <w:r>
        <w:rPr>
          <w:lang w:val="en-AU"/>
        </w:rPr>
        <w:t xml:space="preserve"> </w:t>
      </w:r>
      <w:r w:rsidRPr="007F24F3">
        <w:rPr>
          <w:lang w:val="en-AU"/>
        </w:rPr>
        <w:t>this by:</w:t>
      </w:r>
    </w:p>
    <w:p w14:paraId="3E43AAEB" w14:textId="3F6C3946" w:rsidR="007F24F3" w:rsidRPr="007F24F3" w:rsidRDefault="007F24F3" w:rsidP="007F24F3">
      <w:pPr>
        <w:pStyle w:val="ListParagraph"/>
        <w:numPr>
          <w:ilvl w:val="0"/>
          <w:numId w:val="21"/>
        </w:numPr>
        <w:rPr>
          <w:lang w:val="en-AU"/>
        </w:rPr>
      </w:pPr>
      <w:r w:rsidRPr="007F24F3">
        <w:rPr>
          <w:lang w:val="en-AU"/>
        </w:rPr>
        <w:t>Focussing on what a child can achieve, rather than what they can’t.</w:t>
      </w:r>
    </w:p>
    <w:p w14:paraId="49A2A816" w14:textId="29DBA035" w:rsidR="007F24F3" w:rsidRPr="007F24F3" w:rsidRDefault="007F24F3" w:rsidP="007F24F3">
      <w:pPr>
        <w:pStyle w:val="ListParagraph"/>
        <w:numPr>
          <w:ilvl w:val="0"/>
          <w:numId w:val="21"/>
        </w:numPr>
        <w:rPr>
          <w:lang w:val="en-AU"/>
        </w:rPr>
      </w:pPr>
      <w:r w:rsidRPr="007F24F3">
        <w:rPr>
          <w:lang w:val="en-AU"/>
        </w:rPr>
        <w:t>Providing more opportunities and supports for students to promote their own strengths, interests and learning needs.</w:t>
      </w:r>
    </w:p>
    <w:p w14:paraId="65F4E32A" w14:textId="704515C7" w:rsidR="001D367A" w:rsidRDefault="007F24F3" w:rsidP="007F24F3">
      <w:pPr>
        <w:pStyle w:val="ListParagraph"/>
        <w:numPr>
          <w:ilvl w:val="0"/>
          <w:numId w:val="21"/>
        </w:numPr>
        <w:rPr>
          <w:lang w:val="en-AU"/>
        </w:rPr>
      </w:pPr>
      <w:r w:rsidRPr="007F24F3">
        <w:rPr>
          <w:lang w:val="en-AU"/>
        </w:rPr>
        <w:t>Providing more targeted funding and resources to schools so they can better plan and adjust for the learning needs of all students.</w:t>
      </w:r>
    </w:p>
    <w:p w14:paraId="288A71D2" w14:textId="2794AC0D" w:rsidR="007F24F3" w:rsidRDefault="007F24F3" w:rsidP="007F24F3">
      <w:pPr>
        <w:rPr>
          <w:lang w:val="en-AU"/>
        </w:rPr>
      </w:pPr>
      <w:r>
        <w:rPr>
          <w:lang w:val="en-AU"/>
        </w:rPr>
        <w:t xml:space="preserve">We want every student to succeed and reach their goals and aspirations. </w:t>
      </w:r>
    </w:p>
    <w:p w14:paraId="0D992A38" w14:textId="47F5625C" w:rsidR="007F24F3" w:rsidRDefault="007F24F3" w:rsidP="007F24F3">
      <w:pPr>
        <w:rPr>
          <w:lang w:val="en-AU"/>
        </w:rPr>
      </w:pPr>
    </w:p>
    <w:p w14:paraId="2BCB5038" w14:textId="09351D76" w:rsidR="007F24F3" w:rsidRDefault="007F24F3" w:rsidP="007F24F3">
      <w:pPr>
        <w:pStyle w:val="Heading3"/>
        <w:rPr>
          <w:lang w:val="en-AU"/>
        </w:rPr>
      </w:pPr>
      <w:r>
        <w:rPr>
          <w:lang w:val="en-AU"/>
        </w:rPr>
        <w:t xml:space="preserve">Framework for Improving Student Outcomes </w:t>
      </w:r>
    </w:p>
    <w:p w14:paraId="5F2E2979" w14:textId="496F8F28" w:rsidR="007F24F3" w:rsidRDefault="007F24F3" w:rsidP="007F24F3">
      <w:pPr>
        <w:rPr>
          <w:lang w:val="en-AU"/>
        </w:rPr>
      </w:pPr>
      <w:r w:rsidRPr="007F24F3">
        <w:rPr>
          <w:lang w:val="en-AU"/>
        </w:rPr>
        <w:t xml:space="preserve">The strategy complements and aligns with the revised </w:t>
      </w:r>
      <w:hyperlink r:id="rId11" w:history="1">
        <w:r w:rsidRPr="000953B2">
          <w:rPr>
            <w:rStyle w:val="Hyperlink"/>
            <w:lang w:val="en-AU"/>
          </w:rPr>
          <w:t>Framework for Improving Student Outcomes</w:t>
        </w:r>
      </w:hyperlink>
      <w:r w:rsidRPr="007F24F3">
        <w:rPr>
          <w:lang w:val="en-AU"/>
        </w:rPr>
        <w:t xml:space="preserve"> (FISO 2.0) which is </w:t>
      </w:r>
      <w:r w:rsidR="00783C07">
        <w:rPr>
          <w:lang w:val="en-AU"/>
        </w:rPr>
        <w:t>the</w:t>
      </w:r>
      <w:r w:rsidRPr="007F24F3">
        <w:rPr>
          <w:lang w:val="en-AU"/>
        </w:rPr>
        <w:t xml:space="preserve"> framework for all Victorian government schools to focus on student learning and wellbeing outcomes.</w:t>
      </w:r>
      <w:r w:rsidR="00783C07">
        <w:rPr>
          <w:lang w:val="en-AU"/>
        </w:rPr>
        <w:t xml:space="preserve"> The strategy pillars and supporting initiatives each support one or more of the FISO 2.0 core elements of Leadership, Teaching and learning, Assessment, Engagement, and Support and resources.</w:t>
      </w:r>
    </w:p>
    <w:p w14:paraId="0E3F0473" w14:textId="229A7922" w:rsidR="007F24F3" w:rsidRDefault="007F24F3" w:rsidP="007F24F3">
      <w:pPr>
        <w:rPr>
          <w:lang w:val="en-AU"/>
        </w:rPr>
      </w:pPr>
    </w:p>
    <w:p w14:paraId="1B25E086" w14:textId="2C543878" w:rsidR="007F24F3" w:rsidRDefault="007F24F3" w:rsidP="007F24F3">
      <w:pPr>
        <w:pStyle w:val="Heading2"/>
        <w:rPr>
          <w:lang w:val="en-AU"/>
        </w:rPr>
      </w:pPr>
      <w:r>
        <w:rPr>
          <w:lang w:val="en-AU"/>
        </w:rPr>
        <w:t>Our vision</w:t>
      </w:r>
    </w:p>
    <w:p w14:paraId="3D0E207B" w14:textId="2CD01422" w:rsidR="007F24F3" w:rsidRDefault="007F24F3" w:rsidP="007F24F3">
      <w:pPr>
        <w:rPr>
          <w:lang w:val="en-AU"/>
        </w:rPr>
      </w:pPr>
      <w:r w:rsidRPr="007F24F3">
        <w:rPr>
          <w:lang w:val="en-AU"/>
        </w:rPr>
        <w:t>To improve learning and wellbeing outcomes for autistic students</w:t>
      </w:r>
      <w:r>
        <w:rPr>
          <w:lang w:val="en-AU"/>
        </w:rPr>
        <w:t xml:space="preserve"> </w:t>
      </w:r>
      <w:r w:rsidRPr="007F24F3">
        <w:rPr>
          <w:lang w:val="en-AU"/>
        </w:rPr>
        <w:t>and foster inclusive school communities that welcome them and their</w:t>
      </w:r>
      <w:r>
        <w:rPr>
          <w:lang w:val="en-AU"/>
        </w:rPr>
        <w:t xml:space="preserve"> </w:t>
      </w:r>
      <w:r w:rsidRPr="007F24F3">
        <w:rPr>
          <w:lang w:val="en-AU"/>
        </w:rPr>
        <w:t>families, and value their contribution.</w:t>
      </w:r>
    </w:p>
    <w:p w14:paraId="5B69F2BD" w14:textId="4AA84F52" w:rsidR="000953B2" w:rsidRPr="009675E1" w:rsidRDefault="000953B2" w:rsidP="007F24F3">
      <w:pPr>
        <w:rPr>
          <w:lang w:val="en-AU"/>
        </w:rPr>
      </w:pPr>
      <w:r w:rsidRPr="009675E1">
        <w:rPr>
          <w:lang w:val="en-AU"/>
        </w:rPr>
        <w:t xml:space="preserve">Image: diagram with four coloured circles connected by a circle of continuous arrows to indicate connection between all four elements. The four circles include an icon and heading and represent the following elements: families, schools, education system and </w:t>
      </w:r>
      <w:r w:rsidR="00783C07">
        <w:rPr>
          <w:lang w:val="en-AU"/>
        </w:rPr>
        <w:t xml:space="preserve">other </w:t>
      </w:r>
      <w:r w:rsidRPr="009675E1">
        <w:rPr>
          <w:lang w:val="en-AU"/>
        </w:rPr>
        <w:t xml:space="preserve">experts. In the centre is an icon of a person holding books. The diagram is designed to show the student at the centre, with families, schools, the education system, and </w:t>
      </w:r>
      <w:r w:rsidR="00783C07">
        <w:rPr>
          <w:lang w:val="en-AU"/>
        </w:rPr>
        <w:t xml:space="preserve">other </w:t>
      </w:r>
      <w:r w:rsidRPr="009675E1">
        <w:rPr>
          <w:lang w:val="en-AU"/>
        </w:rPr>
        <w:t>experts all working together to improve learning and wellbeing outcomes for autistic students.</w:t>
      </w:r>
    </w:p>
    <w:p w14:paraId="4EF2A8E6" w14:textId="718DC599" w:rsidR="007F24F3" w:rsidRPr="007F24F3" w:rsidRDefault="007F24F3" w:rsidP="007F24F3">
      <w:pPr>
        <w:rPr>
          <w:lang w:val="en-AU"/>
        </w:rPr>
      </w:pPr>
      <w:r w:rsidRPr="007F24F3">
        <w:rPr>
          <w:lang w:val="en-AU"/>
        </w:rPr>
        <w:t>This means placing autistic students at the centre of decisions,</w:t>
      </w:r>
      <w:r>
        <w:rPr>
          <w:lang w:val="en-AU"/>
        </w:rPr>
        <w:t xml:space="preserve"> </w:t>
      </w:r>
      <w:r w:rsidRPr="007F24F3">
        <w:rPr>
          <w:lang w:val="en-AU"/>
        </w:rPr>
        <w:t>celebrating autism inclusion and fostering awareness of the diverse</w:t>
      </w:r>
      <w:r>
        <w:rPr>
          <w:lang w:val="en-AU"/>
        </w:rPr>
        <w:t xml:space="preserve"> </w:t>
      </w:r>
      <w:r w:rsidRPr="007F24F3">
        <w:rPr>
          <w:lang w:val="en-AU"/>
        </w:rPr>
        <w:t>learning and wellbeing needs of autistic students.</w:t>
      </w:r>
    </w:p>
    <w:p w14:paraId="4E464D7B" w14:textId="77777777" w:rsidR="007F24F3" w:rsidRPr="007F24F3" w:rsidRDefault="007F24F3" w:rsidP="007F24F3">
      <w:pPr>
        <w:rPr>
          <w:lang w:val="en-AU"/>
        </w:rPr>
      </w:pPr>
      <w:r w:rsidRPr="007F24F3">
        <w:rPr>
          <w:lang w:val="en-AU"/>
        </w:rPr>
        <w:t>It also means embedding autism inclusion at all levels so that:</w:t>
      </w:r>
    </w:p>
    <w:p w14:paraId="313D127C" w14:textId="7D6CDF23" w:rsidR="007F24F3" w:rsidRPr="007F24F3" w:rsidRDefault="007F24F3" w:rsidP="007F24F3">
      <w:pPr>
        <w:pStyle w:val="ListParagraph"/>
        <w:numPr>
          <w:ilvl w:val="0"/>
          <w:numId w:val="22"/>
        </w:numPr>
        <w:rPr>
          <w:lang w:val="en-AU"/>
        </w:rPr>
      </w:pPr>
      <w:r w:rsidRPr="007F24F3">
        <w:rPr>
          <w:lang w:val="en-AU"/>
        </w:rPr>
        <w:t>Autistic students feel connected with and valued by their teachers and school community, and receive tailored educational support to meet their own needs and aspirations</w:t>
      </w:r>
    </w:p>
    <w:p w14:paraId="7B821AF4" w14:textId="618A4D0C" w:rsidR="007F24F3" w:rsidRPr="007F24F3" w:rsidRDefault="007F24F3" w:rsidP="007F24F3">
      <w:pPr>
        <w:pStyle w:val="ListParagraph"/>
        <w:numPr>
          <w:ilvl w:val="0"/>
          <w:numId w:val="22"/>
        </w:numPr>
        <w:rPr>
          <w:lang w:val="en-AU"/>
        </w:rPr>
      </w:pPr>
      <w:r w:rsidRPr="007F24F3">
        <w:rPr>
          <w:lang w:val="en-AU"/>
        </w:rPr>
        <w:lastRenderedPageBreak/>
        <w:t>Families feel confident in the educational support being provided by their child’s school, and are actively engaged and involved in important decisions about their education</w:t>
      </w:r>
    </w:p>
    <w:p w14:paraId="3C4B5395" w14:textId="3FBC563A" w:rsidR="007F24F3" w:rsidRPr="007F24F3" w:rsidRDefault="007F24F3" w:rsidP="007F24F3">
      <w:pPr>
        <w:pStyle w:val="ListParagraph"/>
        <w:numPr>
          <w:ilvl w:val="0"/>
          <w:numId w:val="22"/>
        </w:numPr>
        <w:rPr>
          <w:lang w:val="en-AU"/>
        </w:rPr>
      </w:pPr>
      <w:r w:rsidRPr="007F24F3">
        <w:rPr>
          <w:lang w:val="en-AU"/>
        </w:rPr>
        <w:t>Teachers and school staff feel supported to provide tailored teaching and support to autistic students and foster an inclusive and positive environment at school</w:t>
      </w:r>
    </w:p>
    <w:p w14:paraId="445C6CE7" w14:textId="05C08CFB" w:rsidR="007F24F3" w:rsidRDefault="007F24F3" w:rsidP="007F24F3">
      <w:pPr>
        <w:pStyle w:val="ListParagraph"/>
        <w:numPr>
          <w:ilvl w:val="0"/>
          <w:numId w:val="22"/>
        </w:numPr>
        <w:rPr>
          <w:lang w:val="en-AU"/>
        </w:rPr>
      </w:pPr>
      <w:r w:rsidRPr="007F24F3">
        <w:rPr>
          <w:lang w:val="en-AU"/>
        </w:rPr>
        <w:t>The education system is accountable for improving learning and wellbeing outcomes for autistic students by supporting schools to provide differentiated teaching and learning supports.</w:t>
      </w:r>
    </w:p>
    <w:p w14:paraId="46ED2C22" w14:textId="63522271" w:rsidR="007F24F3" w:rsidRDefault="007F24F3" w:rsidP="007F24F3">
      <w:pPr>
        <w:pStyle w:val="Heading2"/>
        <w:rPr>
          <w:lang w:val="en-AU"/>
        </w:rPr>
      </w:pPr>
      <w:r>
        <w:rPr>
          <w:lang w:val="en-AU"/>
        </w:rPr>
        <w:t>Pillars of our strategy</w:t>
      </w:r>
    </w:p>
    <w:p w14:paraId="61002E47" w14:textId="277CE94E" w:rsidR="007F24F3" w:rsidRDefault="007F24F3" w:rsidP="007F24F3">
      <w:pPr>
        <w:rPr>
          <w:lang w:val="en-AU"/>
        </w:rPr>
      </w:pPr>
      <w:r w:rsidRPr="007F24F3">
        <w:rPr>
          <w:lang w:val="en-AU"/>
        </w:rPr>
        <w:t>The strategic pillars represent priority areas of focus for schools and the</w:t>
      </w:r>
      <w:r>
        <w:rPr>
          <w:lang w:val="en-AU"/>
        </w:rPr>
        <w:t xml:space="preserve"> </w:t>
      </w:r>
      <w:r w:rsidRPr="007F24F3">
        <w:rPr>
          <w:lang w:val="en-AU"/>
        </w:rPr>
        <w:t>education system to direct effort to address the issues facing autistic</w:t>
      </w:r>
      <w:r>
        <w:rPr>
          <w:lang w:val="en-AU"/>
        </w:rPr>
        <w:t xml:space="preserve"> </w:t>
      </w:r>
      <w:r w:rsidRPr="007F24F3">
        <w:rPr>
          <w:lang w:val="en-AU"/>
        </w:rPr>
        <w:t>students and meet their educational aspirations.</w:t>
      </w:r>
    </w:p>
    <w:p w14:paraId="7E0F0FDA" w14:textId="12524FB2" w:rsidR="007F24F3" w:rsidRDefault="007F24F3" w:rsidP="007F24F3">
      <w:pPr>
        <w:rPr>
          <w:lang w:val="en-AU"/>
        </w:rPr>
      </w:pPr>
      <w:r>
        <w:rPr>
          <w:lang w:val="en-AU"/>
        </w:rPr>
        <w:t xml:space="preserve">Pillar one: </w:t>
      </w:r>
      <w:r w:rsidR="000953B2">
        <w:rPr>
          <w:lang w:val="en-AU"/>
        </w:rPr>
        <w:t>Promote and celebrate autism inclusion and diversity at the whole school level. This aligns with FISO 2.0 core element</w:t>
      </w:r>
      <w:r w:rsidR="00783C07">
        <w:rPr>
          <w:lang w:val="en-AU"/>
        </w:rPr>
        <w:t xml:space="preserve">s of Support and resources and </w:t>
      </w:r>
      <w:r w:rsidR="000953B2">
        <w:rPr>
          <w:lang w:val="en-AU"/>
        </w:rPr>
        <w:t>Leadership.</w:t>
      </w:r>
    </w:p>
    <w:p w14:paraId="6E933683" w14:textId="6A211417" w:rsidR="00775A4B" w:rsidRDefault="000953B2" w:rsidP="00775A4B">
      <w:pPr>
        <w:rPr>
          <w:lang w:val="en-AU"/>
        </w:rPr>
      </w:pPr>
      <w:r>
        <w:rPr>
          <w:lang w:val="en-AU"/>
        </w:rPr>
        <w:t xml:space="preserve">Pillar two: </w:t>
      </w:r>
      <w:r>
        <w:t>Build the capability of school leaders and staff to meet the educational needs of autistic students</w:t>
      </w:r>
      <w:r w:rsidR="00775A4B">
        <w:t xml:space="preserve">. </w:t>
      </w:r>
      <w:r w:rsidR="00775A4B">
        <w:rPr>
          <w:lang w:val="en-AU"/>
        </w:rPr>
        <w:t>This aligns with FISO 2.0 core elements of Leadership and Teaching and learning.</w:t>
      </w:r>
    </w:p>
    <w:p w14:paraId="7F9ECF97" w14:textId="326BAAD4" w:rsidR="000953B2" w:rsidRDefault="000953B2" w:rsidP="007F24F3">
      <w:pPr>
        <w:rPr>
          <w:lang w:val="en-AU"/>
        </w:rPr>
      </w:pPr>
      <w:r>
        <w:rPr>
          <w:lang w:val="en-AU"/>
        </w:rPr>
        <w:t xml:space="preserve">Pillar three: </w:t>
      </w:r>
      <w:r>
        <w:t>Involve the student, families and experts in collaboratively planning for students’ education</w:t>
      </w:r>
      <w:r w:rsidR="00775A4B">
        <w:t xml:space="preserve">. </w:t>
      </w:r>
      <w:r w:rsidR="00775A4B">
        <w:rPr>
          <w:lang w:val="en-AU"/>
        </w:rPr>
        <w:t>This aligns with FISO 2.0 core elements of Engagement, and Support and resources.</w:t>
      </w:r>
    </w:p>
    <w:p w14:paraId="6A8F4540" w14:textId="5B365731" w:rsidR="000953B2" w:rsidRDefault="000953B2" w:rsidP="007F24F3">
      <w:pPr>
        <w:rPr>
          <w:lang w:val="en-AU"/>
        </w:rPr>
      </w:pPr>
      <w:r>
        <w:rPr>
          <w:lang w:val="en-AU"/>
        </w:rPr>
        <w:t xml:space="preserve">Pillar four: </w:t>
      </w:r>
      <w:r>
        <w:t>Support autistic students’ health and wellbeing</w:t>
      </w:r>
      <w:r w:rsidR="00775A4B">
        <w:t xml:space="preserve">. </w:t>
      </w:r>
      <w:r w:rsidR="00775A4B">
        <w:rPr>
          <w:lang w:val="en-AU"/>
        </w:rPr>
        <w:t>This aligns with FISO 2.0 core element</w:t>
      </w:r>
      <w:r w:rsidR="00783C07">
        <w:rPr>
          <w:lang w:val="en-AU"/>
        </w:rPr>
        <w:t>s</w:t>
      </w:r>
      <w:r w:rsidR="00775A4B">
        <w:rPr>
          <w:lang w:val="en-AU"/>
        </w:rPr>
        <w:t xml:space="preserve"> of </w:t>
      </w:r>
      <w:r w:rsidR="00783C07">
        <w:rPr>
          <w:lang w:val="en-AU"/>
        </w:rPr>
        <w:t xml:space="preserve">Engagement and </w:t>
      </w:r>
      <w:r w:rsidR="00775A4B">
        <w:rPr>
          <w:lang w:val="en-AU"/>
        </w:rPr>
        <w:t>Support and resources.</w:t>
      </w:r>
    </w:p>
    <w:p w14:paraId="5E3A94C2" w14:textId="1A2670A3" w:rsidR="00775A4B" w:rsidRDefault="000953B2" w:rsidP="00775A4B">
      <w:pPr>
        <w:rPr>
          <w:lang w:val="en-AU"/>
        </w:rPr>
      </w:pPr>
      <w:r>
        <w:rPr>
          <w:lang w:val="en-AU"/>
        </w:rPr>
        <w:t xml:space="preserve">Pillar five: </w:t>
      </w:r>
      <w:r>
        <w:t>Support autistic students’ individual education needs</w:t>
      </w:r>
      <w:r w:rsidR="00775A4B">
        <w:t xml:space="preserve">. </w:t>
      </w:r>
      <w:r w:rsidR="00775A4B">
        <w:rPr>
          <w:lang w:val="en-AU"/>
        </w:rPr>
        <w:t>This aligns with FISO 2.0 core element</w:t>
      </w:r>
      <w:r w:rsidR="00783C07">
        <w:rPr>
          <w:lang w:val="en-AU"/>
        </w:rPr>
        <w:t>s</w:t>
      </w:r>
      <w:r w:rsidR="00775A4B">
        <w:rPr>
          <w:lang w:val="en-AU"/>
        </w:rPr>
        <w:t xml:space="preserve"> of Teaching and learning</w:t>
      </w:r>
      <w:r w:rsidR="00783C07">
        <w:rPr>
          <w:lang w:val="en-AU"/>
        </w:rPr>
        <w:t>, Engagement and Support and resources.</w:t>
      </w:r>
    </w:p>
    <w:p w14:paraId="5AEEA58B" w14:textId="7EEDFE77" w:rsidR="00775A4B" w:rsidRDefault="000953B2" w:rsidP="00775A4B">
      <w:pPr>
        <w:rPr>
          <w:lang w:val="en-AU"/>
        </w:rPr>
      </w:pPr>
      <w:r>
        <w:rPr>
          <w:lang w:val="en-AU"/>
        </w:rPr>
        <w:t xml:space="preserve">Pillar six: </w:t>
      </w:r>
      <w:r>
        <w:t>Strengthen accountability and transparency for students with disability</w:t>
      </w:r>
      <w:r w:rsidR="00775A4B">
        <w:t xml:space="preserve">. </w:t>
      </w:r>
      <w:r w:rsidR="00775A4B">
        <w:rPr>
          <w:lang w:val="en-AU"/>
        </w:rPr>
        <w:t>This aligns with FISO 2.0 core element of Assessment.</w:t>
      </w:r>
    </w:p>
    <w:p w14:paraId="77D1F312" w14:textId="1051AD6D" w:rsidR="000953B2" w:rsidRPr="007F24F3" w:rsidRDefault="000953B2" w:rsidP="007F24F3">
      <w:pPr>
        <w:rPr>
          <w:lang w:val="en-AU"/>
        </w:rPr>
      </w:pPr>
    </w:p>
    <w:p w14:paraId="60AD00CD" w14:textId="11AB5206" w:rsidR="00624A55" w:rsidRDefault="00E97155" w:rsidP="00E97155">
      <w:pPr>
        <w:pStyle w:val="Heading2"/>
        <w:rPr>
          <w:lang w:val="en-AU"/>
        </w:rPr>
      </w:pPr>
      <w:r>
        <w:rPr>
          <w:lang w:val="en-AU"/>
        </w:rPr>
        <w:t>Strategic pillars and outcomes</w:t>
      </w:r>
    </w:p>
    <w:p w14:paraId="6E264B92" w14:textId="6DEFE011" w:rsidR="00E97155" w:rsidRDefault="00E97155" w:rsidP="00624A55">
      <w:r>
        <w:t>The Autism Education Strategy aims to address issues facing autistic students through six strategic pillars. The Diverse Learners’ Hub and supporting programs provide resources and professional learning to schools to support them to deliver the strategy.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rategic pillars and outcomes"/>
      </w:tblPr>
      <w:tblGrid>
        <w:gridCol w:w="1944"/>
        <w:gridCol w:w="1793"/>
        <w:gridCol w:w="1782"/>
        <w:gridCol w:w="1874"/>
        <w:gridCol w:w="1929"/>
        <w:gridCol w:w="1862"/>
        <w:gridCol w:w="1790"/>
      </w:tblGrid>
      <w:tr w:rsidR="00783C07" w14:paraId="03825750" w14:textId="77777777" w:rsidTr="004E387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44" w:type="dxa"/>
          </w:tcPr>
          <w:p w14:paraId="144BED17" w14:textId="2BB28A50" w:rsidR="00E97155" w:rsidRDefault="00E97155" w:rsidP="007B556E">
            <w:pPr>
              <w:pStyle w:val="TableHead"/>
            </w:pPr>
          </w:p>
        </w:tc>
        <w:tc>
          <w:tcPr>
            <w:tcW w:w="1793" w:type="dxa"/>
          </w:tcPr>
          <w:p w14:paraId="2C122BA9" w14:textId="61AEB629" w:rsidR="00E97155" w:rsidRDefault="00E97155" w:rsidP="007B556E">
            <w:pPr>
              <w:pStyle w:val="TableHead"/>
              <w:cnfStyle w:val="100000000000" w:firstRow="1" w:lastRow="0" w:firstColumn="0" w:lastColumn="0" w:oddVBand="0" w:evenVBand="0" w:oddHBand="0" w:evenHBand="0" w:firstRowFirstColumn="0" w:firstRowLastColumn="0" w:lastRowFirstColumn="0" w:lastRowLastColumn="0"/>
            </w:pPr>
            <w:r>
              <w:t>Promote and celebrate autism inclusion and diversity at the whole school level</w:t>
            </w:r>
          </w:p>
        </w:tc>
        <w:tc>
          <w:tcPr>
            <w:tcW w:w="1782" w:type="dxa"/>
          </w:tcPr>
          <w:p w14:paraId="5021B5FB" w14:textId="26C7972D" w:rsidR="00E97155" w:rsidRDefault="00E97155" w:rsidP="007B556E">
            <w:pPr>
              <w:pStyle w:val="TableHead"/>
              <w:cnfStyle w:val="100000000000" w:firstRow="1" w:lastRow="0" w:firstColumn="0" w:lastColumn="0" w:oddVBand="0" w:evenVBand="0" w:oddHBand="0" w:evenHBand="0" w:firstRowFirstColumn="0" w:firstRowLastColumn="0" w:lastRowFirstColumn="0" w:lastRowLastColumn="0"/>
            </w:pPr>
            <w:r>
              <w:t>Build the capability of school leaders and staff to meet the educational needs of autistic students</w:t>
            </w:r>
          </w:p>
        </w:tc>
        <w:tc>
          <w:tcPr>
            <w:tcW w:w="1874" w:type="dxa"/>
          </w:tcPr>
          <w:p w14:paraId="384F31E1" w14:textId="328A7E4E" w:rsidR="00E97155" w:rsidRDefault="00E97155" w:rsidP="007B556E">
            <w:pPr>
              <w:pStyle w:val="TableHead"/>
              <w:cnfStyle w:val="100000000000" w:firstRow="1" w:lastRow="0" w:firstColumn="0" w:lastColumn="0" w:oddVBand="0" w:evenVBand="0" w:oddHBand="0" w:evenHBand="0" w:firstRowFirstColumn="0" w:firstRowLastColumn="0" w:lastRowFirstColumn="0" w:lastRowLastColumn="0"/>
            </w:pPr>
            <w:r>
              <w:t>Involve the student, families and experts in collaboratively planning for students’ education</w:t>
            </w:r>
          </w:p>
        </w:tc>
        <w:tc>
          <w:tcPr>
            <w:tcW w:w="1929" w:type="dxa"/>
          </w:tcPr>
          <w:p w14:paraId="3FD34846" w14:textId="38B70E6E" w:rsidR="00E97155" w:rsidRDefault="00E97155" w:rsidP="007B556E">
            <w:pPr>
              <w:pStyle w:val="TableHead"/>
              <w:cnfStyle w:val="100000000000" w:firstRow="1" w:lastRow="0" w:firstColumn="0" w:lastColumn="0" w:oddVBand="0" w:evenVBand="0" w:oddHBand="0" w:evenHBand="0" w:firstRowFirstColumn="0" w:firstRowLastColumn="0" w:lastRowFirstColumn="0" w:lastRowLastColumn="0"/>
            </w:pPr>
            <w:r>
              <w:t>Support autistic students’ health and wellbeing</w:t>
            </w:r>
          </w:p>
        </w:tc>
        <w:tc>
          <w:tcPr>
            <w:tcW w:w="1862" w:type="dxa"/>
          </w:tcPr>
          <w:p w14:paraId="278872C2" w14:textId="1445A355" w:rsidR="00E97155" w:rsidRDefault="00E97155" w:rsidP="007B556E">
            <w:pPr>
              <w:pStyle w:val="TableHead"/>
              <w:cnfStyle w:val="100000000000" w:firstRow="1" w:lastRow="0" w:firstColumn="0" w:lastColumn="0" w:oddVBand="0" w:evenVBand="0" w:oddHBand="0" w:evenHBand="0" w:firstRowFirstColumn="0" w:firstRowLastColumn="0" w:lastRowFirstColumn="0" w:lastRowLastColumn="0"/>
            </w:pPr>
            <w:r>
              <w:t>Support autistic students’ individual education needs</w:t>
            </w:r>
          </w:p>
        </w:tc>
        <w:tc>
          <w:tcPr>
            <w:tcW w:w="1790" w:type="dxa"/>
          </w:tcPr>
          <w:p w14:paraId="38A74156" w14:textId="703FD8C0" w:rsidR="00E97155" w:rsidRDefault="00E97155" w:rsidP="007B556E">
            <w:pPr>
              <w:pStyle w:val="TableHead"/>
              <w:cnfStyle w:val="100000000000" w:firstRow="1" w:lastRow="0" w:firstColumn="0" w:lastColumn="0" w:oddVBand="0" w:evenVBand="0" w:oddHBand="0" w:evenHBand="0" w:firstRowFirstColumn="0" w:firstRowLastColumn="0" w:lastRowFirstColumn="0" w:lastRowLastColumn="0"/>
            </w:pPr>
            <w:r>
              <w:t>Strengthen accountability and transparency for students with disability</w:t>
            </w:r>
          </w:p>
        </w:tc>
      </w:tr>
      <w:tr w:rsidR="00783C07" w14:paraId="6FAF31FC" w14:textId="77777777" w:rsidTr="004E387D">
        <w:trPr>
          <w:cantSplit/>
        </w:trPr>
        <w:tc>
          <w:tcPr>
            <w:cnfStyle w:val="001000000000" w:firstRow="0" w:lastRow="0" w:firstColumn="1" w:lastColumn="0" w:oddVBand="0" w:evenVBand="0" w:oddHBand="0" w:evenHBand="0" w:firstRowFirstColumn="0" w:firstRowLastColumn="0" w:lastRowFirstColumn="0" w:lastRowLastColumn="0"/>
            <w:tcW w:w="1944" w:type="dxa"/>
          </w:tcPr>
          <w:p w14:paraId="3A5C4E16" w14:textId="27870756" w:rsidR="00E97155" w:rsidRPr="00312720" w:rsidRDefault="00E97155" w:rsidP="004E387D">
            <w:pPr>
              <w:rPr>
                <w:color w:val="004C96" w:themeColor="accent1"/>
              </w:rPr>
            </w:pPr>
            <w:r w:rsidRPr="004E387D">
              <w:rPr>
                <w:lang w:val="en-AU"/>
              </w:rPr>
              <w:t>FISO 2.0 core element</w:t>
            </w:r>
          </w:p>
        </w:tc>
        <w:tc>
          <w:tcPr>
            <w:tcW w:w="1793" w:type="dxa"/>
          </w:tcPr>
          <w:p w14:paraId="20500C8D" w14:textId="4DEE89ED" w:rsidR="00E97155" w:rsidRDefault="00783C07"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Support and resources, </w:t>
            </w:r>
            <w:r w:rsidR="00E97155">
              <w:rPr>
                <w:lang w:val="en-AU"/>
              </w:rPr>
              <w:t>Leadership</w:t>
            </w:r>
          </w:p>
        </w:tc>
        <w:tc>
          <w:tcPr>
            <w:tcW w:w="1782" w:type="dxa"/>
          </w:tcPr>
          <w:p w14:paraId="39FE5317" w14:textId="72E6F45C" w:rsidR="00E97155" w:rsidRDefault="00E97155"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Leadership, Teaching and learning</w:t>
            </w:r>
          </w:p>
        </w:tc>
        <w:tc>
          <w:tcPr>
            <w:tcW w:w="1874" w:type="dxa"/>
          </w:tcPr>
          <w:p w14:paraId="6CC67956" w14:textId="265D6442" w:rsidR="00E97155" w:rsidRDefault="00E97155"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Engagement, Support and resources</w:t>
            </w:r>
          </w:p>
        </w:tc>
        <w:tc>
          <w:tcPr>
            <w:tcW w:w="1929" w:type="dxa"/>
          </w:tcPr>
          <w:p w14:paraId="022C7A69" w14:textId="114F4A5B" w:rsidR="00E97155" w:rsidRDefault="00783C07"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Engagement, </w:t>
            </w:r>
            <w:r w:rsidR="00E97155">
              <w:rPr>
                <w:lang w:val="en-AU"/>
              </w:rPr>
              <w:t>Support and resources</w:t>
            </w:r>
          </w:p>
        </w:tc>
        <w:tc>
          <w:tcPr>
            <w:tcW w:w="1862" w:type="dxa"/>
          </w:tcPr>
          <w:p w14:paraId="7F60CE81" w14:textId="3DD58C15" w:rsidR="00E97155" w:rsidRDefault="00E97155"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Teaching and learning</w:t>
            </w:r>
            <w:r w:rsidR="00783C07">
              <w:rPr>
                <w:lang w:val="en-AU"/>
              </w:rPr>
              <w:t>, Engagement, Support and resources</w:t>
            </w:r>
          </w:p>
        </w:tc>
        <w:tc>
          <w:tcPr>
            <w:tcW w:w="1790" w:type="dxa"/>
          </w:tcPr>
          <w:p w14:paraId="3FDF2C31" w14:textId="058AFBC4" w:rsidR="00E97155" w:rsidRDefault="00E97155"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Assessment</w:t>
            </w:r>
          </w:p>
        </w:tc>
      </w:tr>
      <w:tr w:rsidR="00783C07" w14:paraId="78B0CE7A" w14:textId="77777777" w:rsidTr="004E387D">
        <w:trPr>
          <w:cantSplit/>
        </w:trPr>
        <w:tc>
          <w:tcPr>
            <w:cnfStyle w:val="001000000000" w:firstRow="0" w:lastRow="0" w:firstColumn="1" w:lastColumn="0" w:oddVBand="0" w:evenVBand="0" w:oddHBand="0" w:evenHBand="0" w:firstRowFirstColumn="0" w:firstRowLastColumn="0" w:lastRowFirstColumn="0" w:lastRowLastColumn="0"/>
            <w:tcW w:w="1944" w:type="dxa"/>
          </w:tcPr>
          <w:p w14:paraId="2F1D76C0" w14:textId="107268CE" w:rsidR="00E97155" w:rsidRPr="00312720" w:rsidRDefault="00E97155" w:rsidP="00624A55">
            <w:pPr>
              <w:rPr>
                <w:lang w:val="en-AU"/>
              </w:rPr>
            </w:pPr>
            <w:r>
              <w:rPr>
                <w:lang w:val="en-AU"/>
              </w:rPr>
              <w:t>We will achieve this through</w:t>
            </w:r>
          </w:p>
        </w:tc>
        <w:tc>
          <w:tcPr>
            <w:tcW w:w="1793" w:type="dxa"/>
          </w:tcPr>
          <w:p w14:paraId="7F1A6C3F" w14:textId="77777777" w:rsidR="004E387D" w:rsidRPr="004E387D" w:rsidRDefault="00E97155"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rPr>
                <w:lang w:val="en-AU"/>
              </w:rPr>
            </w:pPr>
            <w:r>
              <w:t xml:space="preserve">Helping school leaders and teachers create inclusive and welcoming environments for autistic students </w:t>
            </w:r>
          </w:p>
          <w:p w14:paraId="7F8CD42A" w14:textId="17284637" w:rsidR="00E97155" w:rsidRPr="004E387D" w:rsidRDefault="00E97155"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rPr>
                <w:lang w:val="en-AU"/>
              </w:rPr>
            </w:pPr>
            <w:r>
              <w:t>Supporting school communities to increase their knowledge of, and appreciation for, autism</w:t>
            </w:r>
          </w:p>
        </w:tc>
        <w:tc>
          <w:tcPr>
            <w:tcW w:w="1782" w:type="dxa"/>
          </w:tcPr>
          <w:p w14:paraId="58B43C34" w14:textId="28C501AA" w:rsidR="00E97155" w:rsidRPr="004E387D" w:rsidRDefault="00E97155"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Delivering coordinated, system-wide capability building for school leaders and staff in inclusive education, autism inclusion and legal obligations related to autistic students</w:t>
            </w:r>
          </w:p>
        </w:tc>
        <w:tc>
          <w:tcPr>
            <w:tcW w:w="1874" w:type="dxa"/>
          </w:tcPr>
          <w:p w14:paraId="157674EE" w14:textId="16576C32" w:rsidR="00E97155" w:rsidRPr="004E387D" w:rsidRDefault="00E97155"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 xml:space="preserve">Supporting schools, students, their </w:t>
            </w:r>
            <w:proofErr w:type="gramStart"/>
            <w:r>
              <w:t>families</w:t>
            </w:r>
            <w:proofErr w:type="gramEnd"/>
            <w:r>
              <w:t xml:space="preserve"> and professionals to plan in partnership for autistic students’ education</w:t>
            </w:r>
          </w:p>
        </w:tc>
        <w:tc>
          <w:tcPr>
            <w:tcW w:w="1929" w:type="dxa"/>
          </w:tcPr>
          <w:p w14:paraId="1861744D" w14:textId="39A31DFD" w:rsidR="00E97155" w:rsidRPr="004E387D" w:rsidRDefault="00E97155"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 xml:space="preserve">Providing specialist programs and resources to support autistic students’ social and emotional development, positive </w:t>
            </w:r>
            <w:proofErr w:type="gramStart"/>
            <w:r>
              <w:t>behavio</w:t>
            </w:r>
            <w:r w:rsidR="004E387D">
              <w:t>u</w:t>
            </w:r>
            <w:r>
              <w:t>r</w:t>
            </w:r>
            <w:proofErr w:type="gramEnd"/>
            <w:r>
              <w:t xml:space="preserve"> and mental health</w:t>
            </w:r>
          </w:p>
        </w:tc>
        <w:tc>
          <w:tcPr>
            <w:tcW w:w="1862" w:type="dxa"/>
          </w:tcPr>
          <w:p w14:paraId="6DB76B90" w14:textId="73CB9649" w:rsidR="00E97155" w:rsidRPr="004E387D" w:rsidRDefault="00E97155"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Adopting a strengths-based approach to identify and meet autistic students’ needs and support their transitions</w:t>
            </w:r>
          </w:p>
        </w:tc>
        <w:tc>
          <w:tcPr>
            <w:tcW w:w="1790" w:type="dxa"/>
          </w:tcPr>
          <w:p w14:paraId="30A658FE" w14:textId="40E5095B" w:rsidR="00E97155" w:rsidRPr="004E387D" w:rsidRDefault="00E97155"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Improving data collection and information management to better understand the outcomes of students with disability, including autistic students</w:t>
            </w:r>
          </w:p>
        </w:tc>
      </w:tr>
      <w:tr w:rsidR="00783C07" w14:paraId="73381C5D" w14:textId="77777777" w:rsidTr="004E387D">
        <w:trPr>
          <w:cantSplit/>
        </w:trPr>
        <w:tc>
          <w:tcPr>
            <w:cnfStyle w:val="001000000000" w:firstRow="0" w:lastRow="0" w:firstColumn="1" w:lastColumn="0" w:oddVBand="0" w:evenVBand="0" w:oddHBand="0" w:evenHBand="0" w:firstRowFirstColumn="0" w:firstRowLastColumn="0" w:lastRowFirstColumn="0" w:lastRowLastColumn="0"/>
            <w:tcW w:w="1944" w:type="dxa"/>
          </w:tcPr>
          <w:p w14:paraId="31EE2617" w14:textId="50084C2C" w:rsidR="00E97155" w:rsidRPr="00312720" w:rsidRDefault="00E97155" w:rsidP="00624A55">
            <w:pPr>
              <w:rPr>
                <w:lang w:val="en-AU"/>
              </w:rPr>
            </w:pPr>
            <w:r>
              <w:rPr>
                <w:lang w:val="en-AU"/>
              </w:rPr>
              <w:lastRenderedPageBreak/>
              <w:t>We will know when we have succeeded when</w:t>
            </w:r>
          </w:p>
        </w:tc>
        <w:tc>
          <w:tcPr>
            <w:tcW w:w="1793" w:type="dxa"/>
          </w:tcPr>
          <w:p w14:paraId="5809BCAE" w14:textId="77777777" w:rsidR="004E387D" w:rsidRDefault="00E97155"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 xml:space="preserve">Students feel more connected with their teachers and school community </w:t>
            </w:r>
          </w:p>
          <w:p w14:paraId="0515F034" w14:textId="77777777" w:rsidR="004E387D" w:rsidRDefault="00E97155"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 xml:space="preserve">Families are more confident their child is welcome, valued and supported at school </w:t>
            </w:r>
          </w:p>
          <w:p w14:paraId="02F94894" w14:textId="35AC9DF5" w:rsidR="00E97155" w:rsidRPr="004E387D" w:rsidRDefault="004E387D"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S</w:t>
            </w:r>
            <w:r w:rsidR="00E97155">
              <w:t>chools are better equipped to provide an inclusive and positive environment for autistic students</w:t>
            </w:r>
          </w:p>
        </w:tc>
        <w:tc>
          <w:tcPr>
            <w:tcW w:w="1782" w:type="dxa"/>
          </w:tcPr>
          <w:p w14:paraId="64CBFA64" w14:textId="17364C19" w:rsidR="004E387D" w:rsidRDefault="004E387D"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Students</w:t>
            </w:r>
            <w:r w:rsidR="00783C07">
              <w:t xml:space="preserve"> have improved learning outcomes through </w:t>
            </w:r>
            <w:r>
              <w:t xml:space="preserve">better educational support that suits their needs </w:t>
            </w:r>
          </w:p>
          <w:p w14:paraId="79F4BA45" w14:textId="77777777" w:rsidR="004E387D" w:rsidRDefault="004E387D"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Families are more confident that school leaders and staff are meeting their child’s needs and aspirations</w:t>
            </w:r>
          </w:p>
          <w:p w14:paraId="306212AF" w14:textId="62033C9C" w:rsidR="00E97155" w:rsidRPr="004E387D" w:rsidRDefault="00E97155"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 xml:space="preserve">School staff are more capable of providing inclusive education for autistic students </w:t>
            </w:r>
          </w:p>
        </w:tc>
        <w:tc>
          <w:tcPr>
            <w:tcW w:w="1874" w:type="dxa"/>
          </w:tcPr>
          <w:p w14:paraId="2A6DB055" w14:textId="77777777" w:rsidR="004E387D" w:rsidRDefault="004E387D"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 xml:space="preserve">Students and families are more engaged in planning decisions about education and support </w:t>
            </w:r>
          </w:p>
          <w:p w14:paraId="2489DED2" w14:textId="77777777" w:rsidR="004E387D" w:rsidRDefault="004E387D"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 xml:space="preserve">There is increased connectedness between schools, students, </w:t>
            </w:r>
            <w:proofErr w:type="gramStart"/>
            <w:r>
              <w:t>families</w:t>
            </w:r>
            <w:proofErr w:type="gramEnd"/>
            <w:r>
              <w:t xml:space="preserve"> and experts</w:t>
            </w:r>
          </w:p>
          <w:p w14:paraId="3D7390E7" w14:textId="0A05359A" w:rsidR="00E97155" w:rsidRPr="004E387D" w:rsidRDefault="00E97155"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 xml:space="preserve">School staff have increased knowledge and resources to undertake education and support planning </w:t>
            </w:r>
          </w:p>
        </w:tc>
        <w:tc>
          <w:tcPr>
            <w:tcW w:w="1929" w:type="dxa"/>
          </w:tcPr>
          <w:p w14:paraId="02B17EB9" w14:textId="77777777" w:rsidR="004E387D" w:rsidRDefault="00E97155"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 xml:space="preserve">Students are engaged and feel a stronger sense of belonging at school  </w:t>
            </w:r>
          </w:p>
          <w:p w14:paraId="485D69AD" w14:textId="77777777" w:rsidR="004E387D" w:rsidRDefault="00E97155"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Families are more confident that their child’s health and wellbeing needs are being met</w:t>
            </w:r>
            <w:r w:rsidR="004E387D">
              <w:t xml:space="preserve"> </w:t>
            </w:r>
          </w:p>
          <w:p w14:paraId="18381F4B" w14:textId="55A5E50E" w:rsidR="00E97155" w:rsidRPr="004E387D" w:rsidRDefault="004E387D"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School staff are more capable and confident in tailoring teaching methods and support to meet student needs</w:t>
            </w:r>
          </w:p>
        </w:tc>
        <w:tc>
          <w:tcPr>
            <w:tcW w:w="1862" w:type="dxa"/>
          </w:tcPr>
          <w:p w14:paraId="0BD2614C" w14:textId="77777777" w:rsidR="004E387D" w:rsidRDefault="004E387D"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S</w:t>
            </w:r>
            <w:r w:rsidR="00E97155">
              <w:t xml:space="preserve">tudents receive better tailored programs and supports </w:t>
            </w:r>
          </w:p>
          <w:p w14:paraId="4E09E1F5" w14:textId="77777777" w:rsidR="00E97155" w:rsidRDefault="00E97155"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Families are more involved in strengths-based discussions with teachers</w:t>
            </w:r>
          </w:p>
          <w:p w14:paraId="3C15390B" w14:textId="419B717E" w:rsidR="004E387D" w:rsidRPr="004E387D" w:rsidRDefault="004E387D"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 xml:space="preserve">School staff are more knowledgeable and supported to meet the educational needs of students </w:t>
            </w:r>
          </w:p>
        </w:tc>
        <w:tc>
          <w:tcPr>
            <w:tcW w:w="1790" w:type="dxa"/>
          </w:tcPr>
          <w:p w14:paraId="1ABBB700" w14:textId="77777777" w:rsidR="004E387D" w:rsidRDefault="00E97155"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 xml:space="preserve">Students have improved learning outcomes through educational programs informed by data and evidence </w:t>
            </w:r>
          </w:p>
          <w:p w14:paraId="71C84214" w14:textId="77777777" w:rsidR="004E387D" w:rsidRDefault="00E97155"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 xml:space="preserve">Families feel more confident that evidence informs planning for their children </w:t>
            </w:r>
          </w:p>
          <w:p w14:paraId="153A28B3" w14:textId="3BE6ABF7" w:rsidR="00E97155" w:rsidRPr="004E387D" w:rsidRDefault="00E97155" w:rsidP="004E387D">
            <w:pPr>
              <w:pStyle w:val="ListParagraph"/>
              <w:numPr>
                <w:ilvl w:val="0"/>
                <w:numId w:val="23"/>
              </w:numPr>
              <w:ind w:left="178" w:hanging="178"/>
              <w:cnfStyle w:val="000000000000" w:firstRow="0" w:lastRow="0" w:firstColumn="0" w:lastColumn="0" w:oddVBand="0" w:evenVBand="0" w:oddHBand="0" w:evenHBand="0" w:firstRowFirstColumn="0" w:firstRowLastColumn="0" w:lastRowFirstColumn="0" w:lastRowLastColumn="0"/>
            </w:pPr>
            <w:r>
              <w:t>School staff are more informed through better collection and tracking of data and outcomes for autistic students</w:t>
            </w:r>
          </w:p>
        </w:tc>
      </w:tr>
    </w:tbl>
    <w:p w14:paraId="3950F060" w14:textId="20FE1ED7" w:rsidR="00122369" w:rsidRDefault="00122369" w:rsidP="004E387D">
      <w:pPr>
        <w:spacing w:after="40"/>
        <w:rPr>
          <w:rFonts w:cstheme="minorHAnsi"/>
          <w:sz w:val="12"/>
          <w:szCs w:val="12"/>
        </w:rPr>
      </w:pPr>
    </w:p>
    <w:p w14:paraId="4FF1E759" w14:textId="6EC33641" w:rsidR="008878A0" w:rsidRDefault="008878A0" w:rsidP="008878A0">
      <w:pPr>
        <w:pStyle w:val="Heading2"/>
        <w:rPr>
          <w:lang w:val="en-AU"/>
        </w:rPr>
      </w:pPr>
      <w:r>
        <w:rPr>
          <w:lang w:val="en-AU"/>
        </w:rPr>
        <w:t>The Diverse Learners’ Hub</w:t>
      </w:r>
    </w:p>
    <w:p w14:paraId="0A325F3D" w14:textId="77777777" w:rsidR="008878A0" w:rsidRDefault="008878A0" w:rsidP="008878A0">
      <w:r>
        <w:t xml:space="preserve">The Diverse Learners’ Hub (DLH) is a major part of the strategy. It supports all six of the strategy’s areas of focus. The DLH is a centre of excellence that supports schools to better support and teach diverse learners, with a focus on autistic students. The DLH will: </w:t>
      </w:r>
    </w:p>
    <w:p w14:paraId="23AE4C7F" w14:textId="77777777" w:rsidR="008878A0" w:rsidRDefault="008878A0" w:rsidP="008878A0">
      <w:pPr>
        <w:pStyle w:val="ListParagraph"/>
        <w:numPr>
          <w:ilvl w:val="0"/>
          <w:numId w:val="24"/>
        </w:numPr>
      </w:pPr>
      <w:r>
        <w:t xml:space="preserve">provide evidence-based advice, </w:t>
      </w:r>
      <w:proofErr w:type="gramStart"/>
      <w:r>
        <w:t>resources</w:t>
      </w:r>
      <w:proofErr w:type="gramEnd"/>
      <w:r>
        <w:t xml:space="preserve"> and guidance to meet the learning and wellbeing needs and aspirations of diverse learners </w:t>
      </w:r>
    </w:p>
    <w:p w14:paraId="6AFB40A2" w14:textId="77777777" w:rsidR="008878A0" w:rsidRDefault="008878A0" w:rsidP="008878A0">
      <w:pPr>
        <w:pStyle w:val="ListParagraph"/>
        <w:numPr>
          <w:ilvl w:val="0"/>
          <w:numId w:val="24"/>
        </w:numPr>
      </w:pPr>
      <w:r>
        <w:t xml:space="preserve">partner with experts in learning diversity to access and share up-to-date and reliable research on learning diversity </w:t>
      </w:r>
    </w:p>
    <w:p w14:paraId="4C62A543" w14:textId="77777777" w:rsidR="008878A0" w:rsidRDefault="008878A0" w:rsidP="008878A0">
      <w:pPr>
        <w:pStyle w:val="ListParagraph"/>
        <w:numPr>
          <w:ilvl w:val="0"/>
          <w:numId w:val="24"/>
        </w:numPr>
      </w:pPr>
      <w:r>
        <w:t xml:space="preserve">coach and support school leaders and middle leaders on whole-school changes to better support, welcome and include diverse learners </w:t>
      </w:r>
    </w:p>
    <w:p w14:paraId="52054244" w14:textId="2C0EBC83" w:rsidR="008878A0" w:rsidRDefault="008878A0" w:rsidP="008878A0">
      <w:pPr>
        <w:pStyle w:val="ListParagraph"/>
        <w:numPr>
          <w:ilvl w:val="0"/>
          <w:numId w:val="24"/>
        </w:numPr>
      </w:pPr>
      <w:r>
        <w:t xml:space="preserve">develop resources, </w:t>
      </w:r>
      <w:proofErr w:type="gramStart"/>
      <w:r>
        <w:t>tools</w:t>
      </w:r>
      <w:proofErr w:type="gramEnd"/>
      <w:r>
        <w:t xml:space="preserve"> and guidance on diverse learning for schools, parents and families</w:t>
      </w:r>
    </w:p>
    <w:p w14:paraId="33B7640D" w14:textId="77777777" w:rsidR="008878A0" w:rsidRDefault="008878A0" w:rsidP="008878A0">
      <w:pPr>
        <w:pStyle w:val="Heading2"/>
      </w:pPr>
      <w:r w:rsidRPr="008878A0">
        <w:rPr>
          <w:lang w:val="en-AU"/>
        </w:rPr>
        <w:t>Monitoring</w:t>
      </w:r>
    </w:p>
    <w:p w14:paraId="77CFB9C0" w14:textId="77777777" w:rsidR="008878A0" w:rsidRDefault="008878A0" w:rsidP="008878A0">
      <w:r>
        <w:t xml:space="preserve">We’re committed to measuring success. The delivery of the strategy will be monitored to make sure it continues to meet the learning and wellbeing needs and aspirations of autistic students. The strategy will continually evolve to include new initiatives to support its strategic pillars. </w:t>
      </w:r>
    </w:p>
    <w:p w14:paraId="703AEB25" w14:textId="1F5BCB1A" w:rsidR="008878A0" w:rsidRDefault="008878A0" w:rsidP="008878A0">
      <w:r>
        <w:t xml:space="preserve">We will monitor progress against each of the pillars and continuously improve by: </w:t>
      </w:r>
    </w:p>
    <w:p w14:paraId="1075A788" w14:textId="77777777" w:rsidR="008878A0" w:rsidRPr="008878A0" w:rsidRDefault="008878A0" w:rsidP="008878A0">
      <w:pPr>
        <w:pStyle w:val="ListParagraph"/>
        <w:numPr>
          <w:ilvl w:val="0"/>
          <w:numId w:val="25"/>
        </w:numPr>
        <w:rPr>
          <w:lang w:val="en-AU"/>
        </w:rPr>
      </w:pPr>
      <w:r>
        <w:t xml:space="preserve">building and tracking key datasets to measure progress for students with disability </w:t>
      </w:r>
    </w:p>
    <w:p w14:paraId="41BDBC6F" w14:textId="77777777" w:rsidR="008878A0" w:rsidRPr="008878A0" w:rsidRDefault="008878A0" w:rsidP="008878A0">
      <w:pPr>
        <w:pStyle w:val="ListParagraph"/>
        <w:numPr>
          <w:ilvl w:val="0"/>
          <w:numId w:val="25"/>
        </w:numPr>
        <w:rPr>
          <w:lang w:val="en-AU"/>
        </w:rPr>
      </w:pPr>
      <w:r>
        <w:t xml:space="preserve">regularly reviewing the impact of the supporting initiatives, including how the Diverse Learners’ Hub is delivering against the objectives of the strategy </w:t>
      </w:r>
    </w:p>
    <w:p w14:paraId="2AB8B39C" w14:textId="77777777" w:rsidR="008878A0" w:rsidRPr="008878A0" w:rsidRDefault="008878A0" w:rsidP="008878A0">
      <w:pPr>
        <w:pStyle w:val="ListParagraph"/>
        <w:numPr>
          <w:ilvl w:val="0"/>
          <w:numId w:val="25"/>
        </w:numPr>
        <w:rPr>
          <w:lang w:val="en-AU"/>
        </w:rPr>
      </w:pPr>
      <w:r>
        <w:t xml:space="preserve">staying </w:t>
      </w:r>
      <w:proofErr w:type="gramStart"/>
      <w:r>
        <w:t>up-to-date</w:t>
      </w:r>
      <w:proofErr w:type="gramEnd"/>
      <w:r>
        <w:t xml:space="preserve"> with the latest research and best practice </w:t>
      </w:r>
    </w:p>
    <w:p w14:paraId="0811D47F" w14:textId="19121EBF" w:rsidR="008878A0" w:rsidRPr="008878A0" w:rsidRDefault="008878A0" w:rsidP="008878A0">
      <w:pPr>
        <w:pStyle w:val="ListParagraph"/>
        <w:numPr>
          <w:ilvl w:val="0"/>
          <w:numId w:val="25"/>
        </w:numPr>
        <w:rPr>
          <w:lang w:val="en-AU"/>
        </w:rPr>
      </w:pPr>
      <w:r>
        <w:t>listening to autistic students and their families to ensure the strategy implementation meets their needs</w:t>
      </w:r>
      <w:r w:rsidR="00783C07">
        <w:t>.</w:t>
      </w:r>
    </w:p>
    <w:sectPr w:rsidR="008878A0" w:rsidRPr="008878A0" w:rsidSect="00E97155">
      <w:footerReference w:type="even" r:id="rId12"/>
      <w:footerReference w:type="default" r:id="rId13"/>
      <w:pgSz w:w="16840" w:h="11900" w:orient="landscape"/>
      <w:pgMar w:top="1134" w:right="2155"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65D51" w14:textId="77777777" w:rsidR="00701DF4" w:rsidRDefault="00701DF4" w:rsidP="003967DD">
      <w:pPr>
        <w:spacing w:after="0"/>
      </w:pPr>
      <w:r>
        <w:separator/>
      </w:r>
    </w:p>
  </w:endnote>
  <w:endnote w:type="continuationSeparator" w:id="0">
    <w:p w14:paraId="3F5BE2ED" w14:textId="77777777" w:rsidR="00701DF4" w:rsidRDefault="00701DF4"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VIC-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12992" w14:textId="77777777" w:rsidR="00701DF4" w:rsidRDefault="00701DF4" w:rsidP="003967DD">
      <w:pPr>
        <w:spacing w:after="0"/>
      </w:pPr>
      <w:r>
        <w:separator/>
      </w:r>
    </w:p>
  </w:footnote>
  <w:footnote w:type="continuationSeparator" w:id="0">
    <w:p w14:paraId="5EB5D008" w14:textId="77777777" w:rsidR="00701DF4" w:rsidRDefault="00701DF4" w:rsidP="003967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117CE3"/>
    <w:multiLevelType w:val="hybridMultilevel"/>
    <w:tmpl w:val="E182D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3C3F26"/>
    <w:multiLevelType w:val="hybridMultilevel"/>
    <w:tmpl w:val="95D463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8B418F"/>
    <w:multiLevelType w:val="hybridMultilevel"/>
    <w:tmpl w:val="A8A8E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4A36E6"/>
    <w:multiLevelType w:val="hybridMultilevel"/>
    <w:tmpl w:val="8BBAE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7B4096"/>
    <w:multiLevelType w:val="hybridMultilevel"/>
    <w:tmpl w:val="0DACB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F715C4"/>
    <w:multiLevelType w:val="hybridMultilevel"/>
    <w:tmpl w:val="45D43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9C666A"/>
    <w:multiLevelType w:val="hybridMultilevel"/>
    <w:tmpl w:val="7DB06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8C4AD9"/>
    <w:multiLevelType w:val="hybridMultilevel"/>
    <w:tmpl w:val="4D8E9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7"/>
  </w:num>
  <w:num w:numId="13">
    <w:abstractNumId w:val="21"/>
  </w:num>
  <w:num w:numId="14">
    <w:abstractNumId w:val="22"/>
  </w:num>
  <w:num w:numId="15">
    <w:abstractNumId w:val="14"/>
  </w:num>
  <w:num w:numId="16">
    <w:abstractNumId w:val="18"/>
  </w:num>
  <w:num w:numId="17">
    <w:abstractNumId w:val="16"/>
  </w:num>
  <w:num w:numId="18">
    <w:abstractNumId w:val="24"/>
  </w:num>
  <w:num w:numId="19">
    <w:abstractNumId w:val="20"/>
  </w:num>
  <w:num w:numId="20">
    <w:abstractNumId w:val="15"/>
  </w:num>
  <w:num w:numId="21">
    <w:abstractNumId w:val="23"/>
  </w:num>
  <w:num w:numId="22">
    <w:abstractNumId w:val="11"/>
  </w:num>
  <w:num w:numId="23">
    <w:abstractNumId w:val="12"/>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953B2"/>
    <w:rsid w:val="00095D41"/>
    <w:rsid w:val="000A47D4"/>
    <w:rsid w:val="000C600E"/>
    <w:rsid w:val="00122369"/>
    <w:rsid w:val="00150E0F"/>
    <w:rsid w:val="00157212"/>
    <w:rsid w:val="0016287D"/>
    <w:rsid w:val="00163408"/>
    <w:rsid w:val="001D0D94"/>
    <w:rsid w:val="001D13F9"/>
    <w:rsid w:val="001D367A"/>
    <w:rsid w:val="001F39DD"/>
    <w:rsid w:val="001F5D25"/>
    <w:rsid w:val="002512BE"/>
    <w:rsid w:val="00275FB8"/>
    <w:rsid w:val="002A4A96"/>
    <w:rsid w:val="002D38AD"/>
    <w:rsid w:val="002E3BED"/>
    <w:rsid w:val="002F6115"/>
    <w:rsid w:val="00312720"/>
    <w:rsid w:val="00343AFC"/>
    <w:rsid w:val="0034745C"/>
    <w:rsid w:val="003967DD"/>
    <w:rsid w:val="003A4C39"/>
    <w:rsid w:val="0042333B"/>
    <w:rsid w:val="004B2ED6"/>
    <w:rsid w:val="004E387D"/>
    <w:rsid w:val="004F231E"/>
    <w:rsid w:val="00512BBA"/>
    <w:rsid w:val="005478A0"/>
    <w:rsid w:val="00555277"/>
    <w:rsid w:val="00567CF0"/>
    <w:rsid w:val="00584366"/>
    <w:rsid w:val="005A4F12"/>
    <w:rsid w:val="00610C59"/>
    <w:rsid w:val="00624A55"/>
    <w:rsid w:val="006671CE"/>
    <w:rsid w:val="006A1F8A"/>
    <w:rsid w:val="006A25AC"/>
    <w:rsid w:val="006C45C0"/>
    <w:rsid w:val="006E2B9A"/>
    <w:rsid w:val="00701DF4"/>
    <w:rsid w:val="00710CED"/>
    <w:rsid w:val="00735566"/>
    <w:rsid w:val="00767573"/>
    <w:rsid w:val="00775A4B"/>
    <w:rsid w:val="00783C07"/>
    <w:rsid w:val="007B2483"/>
    <w:rsid w:val="007B556E"/>
    <w:rsid w:val="007D3E38"/>
    <w:rsid w:val="007F24F3"/>
    <w:rsid w:val="00805881"/>
    <w:rsid w:val="008065DA"/>
    <w:rsid w:val="008878A0"/>
    <w:rsid w:val="00890680"/>
    <w:rsid w:val="00892E24"/>
    <w:rsid w:val="008B1737"/>
    <w:rsid w:val="008F3D35"/>
    <w:rsid w:val="00952690"/>
    <w:rsid w:val="009675E1"/>
    <w:rsid w:val="009926F4"/>
    <w:rsid w:val="009B0A07"/>
    <w:rsid w:val="009F6A77"/>
    <w:rsid w:val="00A31926"/>
    <w:rsid w:val="00A710DF"/>
    <w:rsid w:val="00B21562"/>
    <w:rsid w:val="00C539BB"/>
    <w:rsid w:val="00CC5AA8"/>
    <w:rsid w:val="00CD5993"/>
    <w:rsid w:val="00D9777A"/>
    <w:rsid w:val="00DC4D0D"/>
    <w:rsid w:val="00E34263"/>
    <w:rsid w:val="00E34721"/>
    <w:rsid w:val="00E4317E"/>
    <w:rsid w:val="00E5030B"/>
    <w:rsid w:val="00E64758"/>
    <w:rsid w:val="00E77EB9"/>
    <w:rsid w:val="00E97155"/>
    <w:rsid w:val="00EA3D54"/>
    <w:rsid w:val="00F5271F"/>
    <w:rsid w:val="00F94715"/>
    <w:rsid w:val="00FA0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9926F4"/>
    <w:pPr>
      <w:keepNext/>
      <w:keepLines/>
      <w:spacing w:before="240"/>
      <w:outlineLvl w:val="0"/>
    </w:pPr>
    <w:rPr>
      <w:rFonts w:asciiTheme="majorHAnsi" w:eastAsiaTheme="majorEastAsia" w:hAnsiTheme="majorHAnsi" w:cs="Times New Roman (Headings CS)"/>
      <w:b/>
      <w:color w:val="004C96" w:themeColor="accent1"/>
      <w:sz w:val="48"/>
      <w:szCs w:val="32"/>
    </w:rPr>
  </w:style>
  <w:style w:type="paragraph" w:styleId="Heading2">
    <w:name w:val="heading 2"/>
    <w:basedOn w:val="Normal"/>
    <w:next w:val="Normal"/>
    <w:link w:val="Heading2Char"/>
    <w:uiPriority w:val="9"/>
    <w:unhideWhenUsed/>
    <w:qFormat/>
    <w:rsid w:val="009926F4"/>
    <w:pPr>
      <w:keepNext/>
      <w:keepLines/>
      <w:spacing w:before="40"/>
      <w:outlineLvl w:val="1"/>
    </w:pPr>
    <w:rPr>
      <w:rFonts w:asciiTheme="majorHAnsi" w:eastAsiaTheme="majorEastAsia" w:hAnsiTheme="majorHAnsi" w:cs="Times New Roman (Headings CS)"/>
      <w:b/>
      <w:color w:val="201547" w:themeColor="accent2"/>
      <w:sz w:val="32"/>
      <w:szCs w:val="26"/>
    </w:rPr>
  </w:style>
  <w:style w:type="paragraph" w:styleId="Heading3">
    <w:name w:val="heading 3"/>
    <w:basedOn w:val="Normal"/>
    <w:next w:val="Normal"/>
    <w:link w:val="Heading3Char"/>
    <w:uiPriority w:val="9"/>
    <w:unhideWhenUsed/>
    <w:qFormat/>
    <w:rsid w:val="009926F4"/>
    <w:pPr>
      <w:keepNext/>
      <w:keepLines/>
      <w:spacing w:before="40"/>
      <w:outlineLvl w:val="2"/>
    </w:pPr>
    <w:rPr>
      <w:rFonts w:asciiTheme="majorHAnsi" w:eastAsiaTheme="majorEastAsia" w:hAnsiTheme="majorHAnsi" w:cstheme="majorBidi"/>
      <w:b/>
      <w:color w:val="004C96"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9926F4"/>
    <w:rPr>
      <w:rFonts w:asciiTheme="majorHAnsi" w:eastAsiaTheme="majorEastAsia" w:hAnsiTheme="majorHAnsi" w:cs="Times New Roman (Headings CS)"/>
      <w:b/>
      <w:color w:val="004C96" w:themeColor="accent1"/>
      <w:sz w:val="48"/>
      <w:szCs w:val="32"/>
    </w:rPr>
  </w:style>
  <w:style w:type="paragraph" w:customStyle="1" w:styleId="Intro">
    <w:name w:val="Intro"/>
    <w:basedOn w:val="Normal"/>
    <w:qFormat/>
    <w:rsid w:val="00805881"/>
    <w:pPr>
      <w:pBdr>
        <w:top w:val="single" w:sz="4" w:space="1" w:color="004C96" w:themeColor="accent1"/>
      </w:pBdr>
    </w:pPr>
    <w:rPr>
      <w:b/>
      <w:color w:val="004C96" w:themeColor="accent1"/>
      <w:sz w:val="24"/>
      <w:lang w:val="en-AU"/>
    </w:rPr>
  </w:style>
  <w:style w:type="character" w:customStyle="1" w:styleId="Heading2Char">
    <w:name w:val="Heading 2 Char"/>
    <w:basedOn w:val="DefaultParagraphFont"/>
    <w:link w:val="Heading2"/>
    <w:uiPriority w:val="9"/>
    <w:rsid w:val="009926F4"/>
    <w:rPr>
      <w:rFonts w:asciiTheme="majorHAnsi" w:eastAsiaTheme="majorEastAsia" w:hAnsiTheme="majorHAnsi" w:cs="Times New Roman (Headings CS)"/>
      <w:b/>
      <w:color w:val="201547" w:themeColor="accent2"/>
      <w:sz w:val="32"/>
      <w:szCs w:val="26"/>
    </w:rPr>
  </w:style>
  <w:style w:type="character" w:customStyle="1" w:styleId="Heading3Char">
    <w:name w:val="Heading 3 Char"/>
    <w:basedOn w:val="DefaultParagraphFont"/>
    <w:link w:val="Heading3"/>
    <w:uiPriority w:val="9"/>
    <w:rsid w:val="009926F4"/>
    <w:rPr>
      <w:rFonts w:asciiTheme="majorHAnsi" w:eastAsiaTheme="majorEastAsia" w:hAnsiTheme="majorHAnsi" w:cstheme="majorBidi"/>
      <w:b/>
      <w:color w:val="004C96"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735566"/>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201547"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71CE"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201547" w:themeColor="accent2"/>
        <w:bottom w:val="single" w:sz="4" w:space="10" w:color="201547" w:themeColor="accent2"/>
      </w:pBdr>
      <w:spacing w:before="360" w:after="360"/>
    </w:pPr>
    <w:rPr>
      <w:b/>
      <w:iCs/>
      <w:color w:val="201547" w:themeColor="accent2"/>
    </w:rPr>
  </w:style>
  <w:style w:type="character" w:customStyle="1" w:styleId="IntenseQuoteChar">
    <w:name w:val="Intense Quote Char"/>
    <w:basedOn w:val="DefaultParagraphFont"/>
    <w:link w:val="IntenseQuote"/>
    <w:uiPriority w:val="30"/>
    <w:rsid w:val="00D9777A"/>
    <w:rPr>
      <w:b/>
      <w:iCs/>
      <w:color w:val="201547" w:themeColor="accent2"/>
      <w:sz w:val="22"/>
    </w:rPr>
  </w:style>
  <w:style w:type="paragraph" w:styleId="ListParagraph">
    <w:name w:val="List Paragraph"/>
    <w:basedOn w:val="Normal"/>
    <w:uiPriority w:val="34"/>
    <w:qFormat/>
    <w:rsid w:val="001D367A"/>
    <w:pPr>
      <w:ind w:left="720"/>
      <w:contextualSpacing/>
    </w:pPr>
  </w:style>
  <w:style w:type="character" w:styleId="CommentReference">
    <w:name w:val="annotation reference"/>
    <w:basedOn w:val="DefaultParagraphFont"/>
    <w:uiPriority w:val="99"/>
    <w:semiHidden/>
    <w:unhideWhenUsed/>
    <w:rsid w:val="000953B2"/>
    <w:rPr>
      <w:sz w:val="16"/>
      <w:szCs w:val="16"/>
    </w:rPr>
  </w:style>
  <w:style w:type="paragraph" w:styleId="CommentText">
    <w:name w:val="annotation text"/>
    <w:basedOn w:val="Normal"/>
    <w:link w:val="CommentTextChar"/>
    <w:uiPriority w:val="99"/>
    <w:semiHidden/>
    <w:unhideWhenUsed/>
    <w:rsid w:val="000953B2"/>
    <w:rPr>
      <w:sz w:val="20"/>
      <w:szCs w:val="20"/>
    </w:rPr>
  </w:style>
  <w:style w:type="character" w:customStyle="1" w:styleId="CommentTextChar">
    <w:name w:val="Comment Text Char"/>
    <w:basedOn w:val="DefaultParagraphFont"/>
    <w:link w:val="CommentText"/>
    <w:uiPriority w:val="99"/>
    <w:semiHidden/>
    <w:rsid w:val="000953B2"/>
    <w:rPr>
      <w:sz w:val="20"/>
      <w:szCs w:val="20"/>
    </w:rPr>
  </w:style>
  <w:style w:type="paragraph" w:styleId="CommentSubject">
    <w:name w:val="annotation subject"/>
    <w:basedOn w:val="CommentText"/>
    <w:next w:val="CommentText"/>
    <w:link w:val="CommentSubjectChar"/>
    <w:uiPriority w:val="99"/>
    <w:semiHidden/>
    <w:unhideWhenUsed/>
    <w:rsid w:val="000953B2"/>
    <w:rPr>
      <w:b/>
      <w:bCs/>
    </w:rPr>
  </w:style>
  <w:style w:type="character" w:customStyle="1" w:styleId="CommentSubjectChar">
    <w:name w:val="Comment Subject Char"/>
    <w:basedOn w:val="CommentTextChar"/>
    <w:link w:val="CommentSubject"/>
    <w:uiPriority w:val="99"/>
    <w:semiHidden/>
    <w:rsid w:val="000953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fiso/poli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T Corporat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D9D9D6"/>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76b566cd-adb9-46c2-964b-22eba181fd0b" xsi:nil="true"/>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DEECD_Description xmlns="http://schemas.microsoft.com/sharepoint/v3">Austim Education Strategy summary</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6452d86b7e234aaffd749d9bdc2805d9">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3c1b91d790e1c7b32e6039a4e5fb926c"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2.xml><?xml version="1.0" encoding="utf-8"?>
<ds:datastoreItem xmlns:ds="http://schemas.openxmlformats.org/officeDocument/2006/customXml" ds:itemID="{86DAC0CB-F3EE-4F00-9C2F-93DEA53E4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Lia Castorina</cp:lastModifiedBy>
  <cp:revision>3</cp:revision>
  <dcterms:created xsi:type="dcterms:W3CDTF">2022-03-28T02:17:00Z</dcterms:created>
  <dcterms:modified xsi:type="dcterms:W3CDTF">2022-03-28T03:19:00Z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RecordPoint_WorkflowType">
    <vt:lpwstr>ActiveSubmitStub</vt:lpwstr>
  </property>
  <property fmtid="{D5CDD505-2E9C-101B-9397-08002B2CF9AE}" pid="4" name="RecordPoint_ActiveItemSiteId">
    <vt:lpwstr>{4c673cbb-74e3-4627-b61d-18a1d390bb0c}</vt:lpwstr>
  </property>
  <property fmtid="{D5CDD505-2E9C-101B-9397-08002B2CF9AE}" pid="5" name="RecordPoint_ActiveItemListId">
    <vt:lpwstr>{5b0359f3-11d4-4d3a-b269-e7a6c5d66e01}</vt:lpwstr>
  </property>
  <property fmtid="{D5CDD505-2E9C-101B-9397-08002B2CF9AE}" pid="6" name="RecordPoint_ActiveItemUniqueId">
    <vt:lpwstr>{77eee0c0-bc89-4c0a-a910-826ebd6797d2}</vt:lpwstr>
  </property>
  <property fmtid="{D5CDD505-2E9C-101B-9397-08002B2CF9AE}" pid="7" name="RecordPoint_ActiveItemWebId">
    <vt:lpwstr>{fe4f9958-04f5-4a84-a47c-4623f1d1d67a}</vt:lpwstr>
  </property>
  <property fmtid="{D5CDD505-2E9C-101B-9397-08002B2CF9AE}" pid="8" name="RecordPoint_RecordNumberSubmitted">
    <vt:lpwstr>R20211424083</vt:lpwstr>
  </property>
  <property fmtid="{D5CDD505-2E9C-101B-9397-08002B2CF9AE}" pid="9" name="RecordPoint_SubmissionCompleted">
    <vt:lpwstr>2021-02-09T13:07:13.8555022+11:00</vt:lpwstr>
  </property>
  <property fmtid="{D5CDD505-2E9C-101B-9397-08002B2CF9AE}" pid="10" name="DEECD_Author">
    <vt:lpwstr>94;#Education|5232e41c-5101-41fe-b638-7d41d1371531</vt:lpwstr>
  </property>
  <property fmtid="{D5CDD505-2E9C-101B-9397-08002B2CF9AE}" pid="11" name="DEECD_ItemType">
    <vt:lpwstr>101;#Page|eb523acf-a821-456c-a76b-7607578309d7</vt:lpwstr>
  </property>
  <property fmtid="{D5CDD505-2E9C-101B-9397-08002B2CF9AE}" pid="12" name="DEECD_SubjectCategory">
    <vt:lpwstr/>
  </property>
  <property fmtid="{D5CDD505-2E9C-101B-9397-08002B2CF9AE}" pid="13" name="DEECD_Audience">
    <vt:lpwstr/>
  </property>
</Properties>
</file>