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10085EA5" w:rsidR="00AD784C" w:rsidRPr="0009050A" w:rsidRDefault="00591BAA" w:rsidP="0016037B">
            <w:pPr>
              <w:pStyle w:val="Documenttitle"/>
            </w:pPr>
            <w:r>
              <w:t>Regulatory approach statement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739D3AD7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77047C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6A2B7796" w14:textId="77777777" w:rsidR="00FB02F3" w:rsidRDefault="00FB02F3" w:rsidP="00FB02F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8314410" w:history="1">
        <w:r w:rsidRPr="005434AA">
          <w:rPr>
            <w:rStyle w:val="Hyperlink"/>
          </w:rPr>
          <w:t>Foreword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_Toc168314410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0979973" w14:textId="77777777" w:rsidR="00FB02F3" w:rsidRDefault="002D6330" w:rsidP="00FB02F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8314411" w:history="1">
        <w:r w:rsidR="00FB02F3" w:rsidRPr="005434AA">
          <w:rPr>
            <w:rStyle w:val="Hyperlink"/>
          </w:rPr>
          <w:t>About the Regulator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_Toc168314411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3</w:t>
        </w:r>
        <w:r w:rsidR="00FB02F3">
          <w:rPr>
            <w:webHidden/>
          </w:rPr>
          <w:fldChar w:fldCharType="end"/>
        </w:r>
      </w:hyperlink>
    </w:p>
    <w:p w14:paraId="72E69017" w14:textId="77777777" w:rsidR="00FB02F3" w:rsidRDefault="002D6330" w:rsidP="00FB02F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314412" w:history="1">
        <w:r w:rsidR="00FB02F3" w:rsidRPr="005434AA">
          <w:rPr>
            <w:rStyle w:val="Hyperlink"/>
          </w:rPr>
          <w:t>Our objectives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_Toc168314412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3</w:t>
        </w:r>
        <w:r w:rsidR="00FB02F3">
          <w:rPr>
            <w:webHidden/>
          </w:rPr>
          <w:fldChar w:fldCharType="end"/>
        </w:r>
      </w:hyperlink>
    </w:p>
    <w:p w14:paraId="1232AEDB" w14:textId="77777777" w:rsidR="00FB02F3" w:rsidRDefault="002D6330" w:rsidP="00FB02F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8314413" w:history="1">
        <w:r w:rsidR="00FB02F3" w:rsidRPr="005434AA">
          <w:rPr>
            <w:rStyle w:val="Hyperlink"/>
          </w:rPr>
          <w:t>Our approach to regulation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_Toc168314413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3</w:t>
        </w:r>
        <w:r w:rsidR="00FB02F3">
          <w:rPr>
            <w:webHidden/>
          </w:rPr>
          <w:fldChar w:fldCharType="end"/>
        </w:r>
      </w:hyperlink>
    </w:p>
    <w:p w14:paraId="3D6ABBA2" w14:textId="77777777" w:rsidR="00FB02F3" w:rsidRDefault="002D6330" w:rsidP="00FB02F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314414" w:history="1">
        <w:r w:rsidR="00FB02F3" w:rsidRPr="005434AA">
          <w:rPr>
            <w:rStyle w:val="Hyperlink"/>
          </w:rPr>
          <w:t>Our regulatory principles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_Toc168314414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4</w:t>
        </w:r>
        <w:r w:rsidR="00FB02F3">
          <w:rPr>
            <w:webHidden/>
          </w:rPr>
          <w:fldChar w:fldCharType="end"/>
        </w:r>
      </w:hyperlink>
    </w:p>
    <w:p w14:paraId="42AD18E8" w14:textId="77777777" w:rsidR="00FB02F3" w:rsidRDefault="002D6330" w:rsidP="00FB02F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314415" w:history="1">
        <w:r w:rsidR="00FB02F3" w:rsidRPr="005434AA">
          <w:rPr>
            <w:rStyle w:val="Hyperlink"/>
          </w:rPr>
          <w:t>How we regulate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_Toc168314415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5</w:t>
        </w:r>
        <w:r w:rsidR="00FB02F3">
          <w:rPr>
            <w:webHidden/>
          </w:rPr>
          <w:fldChar w:fldCharType="end"/>
        </w:r>
      </w:hyperlink>
    </w:p>
    <w:p w14:paraId="05A15B12" w14:textId="77777777" w:rsidR="00FB02F3" w:rsidRDefault="002D6330" w:rsidP="00FB02F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314416" w:history="1">
        <w:r w:rsidR="00FB02F3" w:rsidRPr="005434AA">
          <w:rPr>
            <w:rStyle w:val="Hyperlink"/>
          </w:rPr>
          <w:t>Reasonably practicable: an important factor in our decisions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_Toc168314416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5</w:t>
        </w:r>
        <w:r w:rsidR="00FB02F3">
          <w:rPr>
            <w:webHidden/>
          </w:rPr>
          <w:fldChar w:fldCharType="end"/>
        </w:r>
      </w:hyperlink>
    </w:p>
    <w:p w14:paraId="1A2F6C67" w14:textId="77777777" w:rsidR="00FB02F3" w:rsidRDefault="002D6330" w:rsidP="00FB02F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314417" w:history="1">
        <w:r w:rsidR="00FB02F3" w:rsidRPr="005434AA">
          <w:rPr>
            <w:rStyle w:val="Hyperlink"/>
          </w:rPr>
          <w:t>Background: who we regulate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_Toc168314417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6</w:t>
        </w:r>
        <w:r w:rsidR="00FB02F3">
          <w:rPr>
            <w:webHidden/>
          </w:rPr>
          <w:fldChar w:fldCharType="end"/>
        </w:r>
      </w:hyperlink>
    </w:p>
    <w:p w14:paraId="285E5B00" w14:textId="77777777" w:rsidR="00FB02F3" w:rsidRDefault="002D6330" w:rsidP="00FB02F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8314418" w:history="1">
        <w:r w:rsidR="00FB02F3">
          <w:rPr>
            <w:rStyle w:val="Hyperlink"/>
          </w:rPr>
          <w:t>R</w:t>
        </w:r>
        <w:r w:rsidR="00FB02F3" w:rsidRPr="005434AA">
          <w:rPr>
            <w:rStyle w:val="Hyperlink"/>
          </w:rPr>
          <w:t>esources and contacts</w:t>
        </w:r>
        <w:r w:rsidR="00FB02F3">
          <w:rPr>
            <w:webHidden/>
          </w:rPr>
          <w:tab/>
        </w:r>
        <w:r w:rsidR="00FB02F3">
          <w:rPr>
            <w:webHidden/>
          </w:rPr>
          <w:fldChar w:fldCharType="begin"/>
        </w:r>
        <w:r w:rsidR="00FB02F3">
          <w:rPr>
            <w:webHidden/>
          </w:rPr>
          <w:instrText xml:space="preserve"> PAGEREF _Toc168314418 \h </w:instrText>
        </w:r>
        <w:r w:rsidR="00FB02F3">
          <w:rPr>
            <w:webHidden/>
          </w:rPr>
        </w:r>
        <w:r w:rsidR="00FB02F3">
          <w:rPr>
            <w:webHidden/>
          </w:rPr>
          <w:fldChar w:fldCharType="separate"/>
        </w:r>
        <w:r w:rsidR="00FB02F3">
          <w:rPr>
            <w:webHidden/>
          </w:rPr>
          <w:t>6</w:t>
        </w:r>
        <w:r w:rsidR="00FB02F3">
          <w:rPr>
            <w:webHidden/>
          </w:rPr>
          <w:fldChar w:fldCharType="end"/>
        </w:r>
      </w:hyperlink>
    </w:p>
    <w:p w14:paraId="46D5CF97" w14:textId="77777777" w:rsidR="00FB02F3" w:rsidRPr="00B519CD" w:rsidRDefault="00FB02F3" w:rsidP="00FB02F3">
      <w:pPr>
        <w:pStyle w:val="Body"/>
        <w:sectPr w:rsidR="00FB02F3" w:rsidRPr="00B519CD" w:rsidSect="00FB02F3">
          <w:headerReference w:type="even" r:id="rId14"/>
          <w:headerReference w:type="default" r:id="rId15"/>
          <w:head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13899D5D" w14:textId="77777777" w:rsidR="00FB02F3" w:rsidRPr="00097DD6" w:rsidRDefault="00FB02F3" w:rsidP="00FB02F3">
      <w:pPr>
        <w:pStyle w:val="Heading1"/>
      </w:pPr>
      <w:bookmarkStart w:id="0" w:name="_Toc168314410"/>
      <w:bookmarkStart w:id="1" w:name="_Toc66794859"/>
      <w:bookmarkStart w:id="2" w:name="_Toc74929898"/>
      <w:r>
        <w:t>Foreword</w:t>
      </w:r>
      <w:bookmarkEnd w:id="0"/>
    </w:p>
    <w:p w14:paraId="2166B388" w14:textId="77777777" w:rsidR="00FB02F3" w:rsidRDefault="00FB02F3" w:rsidP="00FB02F3">
      <w:pPr>
        <w:pStyle w:val="Body"/>
      </w:pPr>
      <w:r w:rsidRPr="7BEFEEB9">
        <w:t>As Victoria’s first Social Services Regulator (the Regulator), I am pleased to present the Regulator’s first regulatory approach statement.</w:t>
      </w:r>
    </w:p>
    <w:p w14:paraId="7C022B77" w14:textId="77777777" w:rsidR="00FB02F3" w:rsidRPr="00615B2F" w:rsidRDefault="00FB02F3" w:rsidP="00FB02F3">
      <w:pPr>
        <w:pStyle w:val="Body"/>
      </w:pPr>
      <w:r w:rsidRPr="7BEFEEB9">
        <w:t>The establishment of the Regulator is the result of the Victorian Government’s commitment to strengthening protections for vulnerable Victorians accessing social services.</w:t>
      </w:r>
    </w:p>
    <w:p w14:paraId="7A4A63DF" w14:textId="77777777" w:rsidR="00FB02F3" w:rsidRDefault="00FB02F3" w:rsidP="00FB02F3">
      <w:pPr>
        <w:pStyle w:val="Body"/>
      </w:pPr>
      <w:r w:rsidRPr="7BEFEEB9">
        <w:t xml:space="preserve">As the Regulator, I acknowledge the challenges involved in </w:t>
      </w:r>
      <w:r>
        <w:t>providing</w:t>
      </w:r>
      <w:r w:rsidRPr="7BEFEEB9">
        <w:t xml:space="preserve"> safe</w:t>
      </w:r>
      <w:r>
        <w:t xml:space="preserve"> and</w:t>
      </w:r>
      <w:r w:rsidRPr="7BEFEEB9">
        <w:t xml:space="preserve"> high</w:t>
      </w:r>
      <w:r>
        <w:t>-</w:t>
      </w:r>
      <w:r w:rsidRPr="7BEFEEB9">
        <w:t xml:space="preserve">quality social services. </w:t>
      </w:r>
    </w:p>
    <w:p w14:paraId="12E654BB" w14:textId="77777777" w:rsidR="00FB02F3" w:rsidRDefault="00FB02F3" w:rsidP="00FB02F3">
      <w:pPr>
        <w:pStyle w:val="Body"/>
      </w:pPr>
      <w:r w:rsidRPr="7BEFEEB9">
        <w:t>S</w:t>
      </w:r>
      <w:r>
        <w:t>ocial s</w:t>
      </w:r>
      <w:r w:rsidRPr="7BEFEEB9">
        <w:t>ervice providers often work with people at the most difficult time in their lives</w:t>
      </w:r>
      <w:r>
        <w:t>.</w:t>
      </w:r>
      <w:r w:rsidRPr="7BEFEEB9">
        <w:t xml:space="preserve"> </w:t>
      </w:r>
      <w:r>
        <w:t xml:space="preserve">Through their </w:t>
      </w:r>
      <w:r w:rsidRPr="7BEFEEB9">
        <w:t>services</w:t>
      </w:r>
      <w:r>
        <w:t>,</w:t>
      </w:r>
      <w:r w:rsidRPr="7BEFEEB9">
        <w:t xml:space="preserve"> </w:t>
      </w:r>
      <w:r>
        <w:t xml:space="preserve">they aim to help </w:t>
      </w:r>
      <w:r w:rsidRPr="7BEFEEB9">
        <w:t xml:space="preserve">people </w:t>
      </w:r>
      <w:r>
        <w:t xml:space="preserve">avoid </w:t>
      </w:r>
      <w:r w:rsidRPr="7BEFEEB9">
        <w:t xml:space="preserve">further risks to their safety and wellbeing. The complex and changing nature of issues service users face </w:t>
      </w:r>
      <w:r w:rsidRPr="7BEFEEB9">
        <w:rPr>
          <w:rFonts w:cs="Arial"/>
        </w:rPr>
        <w:t xml:space="preserve">present significant challenges </w:t>
      </w:r>
      <w:r w:rsidRPr="7BEFEEB9">
        <w:t xml:space="preserve">for service providers to consistently achieve </w:t>
      </w:r>
      <w:r>
        <w:t>this</w:t>
      </w:r>
      <w:r w:rsidRPr="7BEFEEB9">
        <w:t>.</w:t>
      </w:r>
    </w:p>
    <w:p w14:paraId="294D4102" w14:textId="77777777" w:rsidR="00FB02F3" w:rsidRDefault="00FB02F3" w:rsidP="00FB02F3">
      <w:pPr>
        <w:pStyle w:val="Body"/>
      </w:pPr>
      <w:proofErr w:type="gramStart"/>
      <w:r w:rsidRPr="7BEFEEB9">
        <w:t>With this in mind, all</w:t>
      </w:r>
      <w:proofErr w:type="gramEnd"/>
      <w:r>
        <w:t xml:space="preserve"> of us</w:t>
      </w:r>
      <w:r w:rsidRPr="7BEFEEB9">
        <w:t xml:space="preserve"> working </w:t>
      </w:r>
      <w:r>
        <w:t xml:space="preserve">with and </w:t>
      </w:r>
      <w:r w:rsidRPr="7BEFEEB9">
        <w:t xml:space="preserve">in the social services sector </w:t>
      </w:r>
      <w:r>
        <w:t xml:space="preserve">must </w:t>
      </w:r>
      <w:r w:rsidRPr="7BEFEEB9">
        <w:t xml:space="preserve">recognise and respect each other’s roles </w:t>
      </w:r>
      <w:r>
        <w:t xml:space="preserve">and </w:t>
      </w:r>
      <w:r w:rsidRPr="7BEFEEB9">
        <w:t xml:space="preserve">do everything reasonably possible to fulfil our respective responsibilities. </w:t>
      </w:r>
      <w:r>
        <w:t xml:space="preserve">This </w:t>
      </w:r>
      <w:r w:rsidRPr="7BEFEEB9">
        <w:t xml:space="preserve">is </w:t>
      </w:r>
      <w:r>
        <w:t>vital</w:t>
      </w:r>
      <w:r w:rsidRPr="7BEFEEB9">
        <w:t xml:space="preserve"> to </w:t>
      </w:r>
      <w:r>
        <w:t xml:space="preserve">ensuring </w:t>
      </w:r>
      <w:r w:rsidRPr="7BEFEEB9">
        <w:t xml:space="preserve">the rights, </w:t>
      </w:r>
      <w:proofErr w:type="gramStart"/>
      <w:r w:rsidRPr="7BEFEEB9">
        <w:t>safety</w:t>
      </w:r>
      <w:proofErr w:type="gramEnd"/>
      <w:r w:rsidRPr="7BEFEEB9">
        <w:t xml:space="preserve"> and wellbeing of social service users</w:t>
      </w:r>
      <w:r>
        <w:t>.</w:t>
      </w:r>
    </w:p>
    <w:p w14:paraId="13C3B09D" w14:textId="77777777" w:rsidR="00FB02F3" w:rsidRDefault="00FB02F3" w:rsidP="00FB02F3">
      <w:pPr>
        <w:pStyle w:val="Body"/>
      </w:pPr>
      <w:r w:rsidRPr="7BEFEEB9">
        <w:t xml:space="preserve">The new regulatory scheme </w:t>
      </w:r>
      <w:r>
        <w:t>ha</w:t>
      </w:r>
      <w:r w:rsidRPr="7BEFEEB9">
        <w:t xml:space="preserve">s an important </w:t>
      </w:r>
      <w:r>
        <w:t>role in</w:t>
      </w:r>
      <w:r w:rsidRPr="7BEFEEB9">
        <w:t xml:space="preserve"> the social services sector’s ability to achieve its aims</w:t>
      </w:r>
      <w:r>
        <w:t xml:space="preserve"> and help people through safe and high-quality services</w:t>
      </w:r>
      <w:r w:rsidRPr="7BEFEEB9">
        <w:t>.</w:t>
      </w:r>
    </w:p>
    <w:p w14:paraId="555B2411" w14:textId="77777777" w:rsidR="00FB02F3" w:rsidRDefault="00FB02F3" w:rsidP="00FB02F3">
      <w:pPr>
        <w:pStyle w:val="Body"/>
      </w:pPr>
      <w:r w:rsidRPr="7BEFEEB9">
        <w:t xml:space="preserve">The next two years will be critical in embedding the new scheme as an integral part of social services </w:t>
      </w:r>
      <w:r>
        <w:t xml:space="preserve">delivery </w:t>
      </w:r>
      <w:r w:rsidRPr="7BEFEEB9">
        <w:t>in Victoria.</w:t>
      </w:r>
    </w:p>
    <w:p w14:paraId="24838063" w14:textId="77777777" w:rsidR="00FB02F3" w:rsidRDefault="00FB02F3" w:rsidP="00FB02F3">
      <w:pPr>
        <w:spacing w:after="0" w:line="240" w:lineRule="auto"/>
        <w:rPr>
          <w:rFonts w:eastAsia="Times"/>
        </w:rPr>
      </w:pPr>
      <w:r>
        <w:br w:type="page"/>
      </w:r>
    </w:p>
    <w:p w14:paraId="63E11221" w14:textId="77777777" w:rsidR="00FB02F3" w:rsidRDefault="00FB02F3" w:rsidP="00FB02F3">
      <w:pPr>
        <w:pStyle w:val="Body"/>
      </w:pPr>
      <w:r>
        <w:lastRenderedPageBreak/>
        <w:t xml:space="preserve">My </w:t>
      </w:r>
      <w:r w:rsidRPr="7BEFEEB9">
        <w:t xml:space="preserve">primary focus </w:t>
      </w:r>
      <w:r>
        <w:t xml:space="preserve">for </w:t>
      </w:r>
      <w:r w:rsidRPr="7BEFEEB9">
        <w:t xml:space="preserve">this period </w:t>
      </w:r>
      <w:r>
        <w:t xml:space="preserve">is to ensure </w:t>
      </w:r>
      <w:r w:rsidRPr="7BEFEEB9">
        <w:t>all service providers understand</w:t>
      </w:r>
      <w:r>
        <w:t>:</w:t>
      </w:r>
    </w:p>
    <w:p w14:paraId="4C8176B8" w14:textId="77777777" w:rsidR="00FB02F3" w:rsidRPr="00DC58F0" w:rsidRDefault="00FB02F3" w:rsidP="00FB02F3">
      <w:pPr>
        <w:pStyle w:val="Bullet1"/>
      </w:pPr>
      <w:r w:rsidRPr="00DC58F0">
        <w:t>the scheme</w:t>
      </w:r>
    </w:p>
    <w:p w14:paraId="1DB45EEA" w14:textId="77777777" w:rsidR="00FB02F3" w:rsidRPr="00DC58F0" w:rsidRDefault="00FB02F3" w:rsidP="00FB02F3">
      <w:pPr>
        <w:pStyle w:val="Bullet1"/>
      </w:pPr>
      <w:r w:rsidRPr="00DC58F0">
        <w:t>the new legal requirements</w:t>
      </w:r>
    </w:p>
    <w:p w14:paraId="2BAA0A54" w14:textId="77777777" w:rsidR="00FB02F3" w:rsidRPr="00DC58F0" w:rsidRDefault="00FB02F3" w:rsidP="00FB02F3">
      <w:pPr>
        <w:pStyle w:val="Bullet1"/>
      </w:pPr>
      <w:r w:rsidRPr="00DC58F0">
        <w:t>the benefits and protections the scheme provides for service users.</w:t>
      </w:r>
    </w:p>
    <w:p w14:paraId="355B11C2" w14:textId="6356567C" w:rsidR="00FB02F3" w:rsidRDefault="00FB02F3" w:rsidP="00FB02F3">
      <w:pPr>
        <w:pStyle w:val="Bodyafterbullets"/>
      </w:pPr>
    </w:p>
    <w:p w14:paraId="01C4FFC5" w14:textId="77777777" w:rsidR="00FB02F3" w:rsidRDefault="00FB02F3" w:rsidP="00FB02F3">
      <w:pPr>
        <w:pStyle w:val="Body"/>
      </w:pPr>
      <w:r w:rsidRPr="7BEFEEB9">
        <w:t>This regulatory approach statement sets out</w:t>
      </w:r>
      <w:r>
        <w:t>:</w:t>
      </w:r>
    </w:p>
    <w:p w14:paraId="7D94D632" w14:textId="77777777" w:rsidR="00FB02F3" w:rsidRDefault="00FB02F3" w:rsidP="00FB02F3">
      <w:pPr>
        <w:pStyle w:val="Bullet1"/>
      </w:pPr>
      <w:r w:rsidRPr="7BEFEEB9">
        <w:t xml:space="preserve">the scope of the </w:t>
      </w:r>
      <w:r>
        <w:t>scheme</w:t>
      </w:r>
    </w:p>
    <w:p w14:paraId="51EA2DC2" w14:textId="77777777" w:rsidR="00FB02F3" w:rsidRDefault="00FB02F3" w:rsidP="00FB02F3">
      <w:pPr>
        <w:pStyle w:val="Bullet1"/>
      </w:pPr>
      <w:r w:rsidRPr="7BEFEEB9">
        <w:t>its purpose</w:t>
      </w:r>
    </w:p>
    <w:p w14:paraId="1FEA441E" w14:textId="77777777" w:rsidR="00FB02F3" w:rsidRDefault="00FB02F3" w:rsidP="00FB02F3">
      <w:pPr>
        <w:pStyle w:val="Bullet1"/>
      </w:pPr>
      <w:r w:rsidRPr="7BEFEEB9">
        <w:t>the Regulator’s role</w:t>
      </w:r>
    </w:p>
    <w:p w14:paraId="7944082A" w14:textId="77777777" w:rsidR="00FB02F3" w:rsidRDefault="00FB02F3" w:rsidP="00FB02F3">
      <w:pPr>
        <w:pStyle w:val="Bullet1"/>
      </w:pPr>
      <w:r w:rsidRPr="7BEFEEB9">
        <w:t>the principles that underpin the regulatory approach</w:t>
      </w:r>
      <w:r>
        <w:t>.</w:t>
      </w:r>
    </w:p>
    <w:p w14:paraId="41FA2839" w14:textId="77777777" w:rsidR="00FB02F3" w:rsidRDefault="00FB02F3" w:rsidP="00FB02F3">
      <w:pPr>
        <w:pStyle w:val="Body"/>
      </w:pPr>
    </w:p>
    <w:p w14:paraId="710FE6CA" w14:textId="21E2C988" w:rsidR="00FB02F3" w:rsidRDefault="00FB02F3" w:rsidP="00FB02F3">
      <w:pPr>
        <w:pStyle w:val="Body"/>
      </w:pPr>
      <w:r w:rsidRPr="7BEFEEB9">
        <w:t xml:space="preserve">I </w:t>
      </w:r>
      <w:r w:rsidRPr="006D10D7">
        <w:t>look</w:t>
      </w:r>
      <w:r w:rsidRPr="7BEFEEB9">
        <w:t xml:space="preserve"> forward to working with duty holders and stakeholders to support the safe delivery of social services and to transition into the new regulatory scheme.</w:t>
      </w:r>
    </w:p>
    <w:p w14:paraId="0A15D862" w14:textId="77777777" w:rsidR="00FB02F3" w:rsidRDefault="00FB02F3" w:rsidP="00FB02F3">
      <w:pPr>
        <w:pStyle w:val="Bodyaftertablefigure"/>
      </w:pPr>
      <w:r>
        <w:t>Jonathan Kaplan</w:t>
      </w:r>
      <w:r>
        <w:br/>
        <w:t>Social Services Regulator</w:t>
      </w:r>
    </w:p>
    <w:p w14:paraId="031AEAF7" w14:textId="77777777" w:rsidR="00FB02F3" w:rsidRDefault="00FB02F3" w:rsidP="00FB02F3">
      <w:pPr>
        <w:spacing w:after="0" w:line="240" w:lineRule="auto"/>
        <w:rPr>
          <w:rFonts w:eastAsia="Times"/>
        </w:rPr>
      </w:pPr>
      <w:r>
        <w:br w:type="page"/>
      </w:r>
    </w:p>
    <w:p w14:paraId="3AB4C485" w14:textId="77777777" w:rsidR="00FB02F3" w:rsidRPr="00C93394" w:rsidRDefault="00FB02F3" w:rsidP="00FB02F3">
      <w:pPr>
        <w:pStyle w:val="Heading1"/>
      </w:pPr>
      <w:bookmarkStart w:id="3" w:name="_Toc168314411"/>
      <w:r>
        <w:lastRenderedPageBreak/>
        <w:t>Abou</w:t>
      </w:r>
      <w:r w:rsidRPr="00C93394">
        <w:t>t</w:t>
      </w:r>
      <w:r>
        <w:t xml:space="preserve"> the </w:t>
      </w:r>
      <w:r w:rsidRPr="00C93394">
        <w:t>Regulator</w:t>
      </w:r>
      <w:bookmarkEnd w:id="3"/>
    </w:p>
    <w:p w14:paraId="43E40466" w14:textId="77777777" w:rsidR="00FB02F3" w:rsidRPr="00145474" w:rsidRDefault="00FB02F3" w:rsidP="00FB02F3">
      <w:pPr>
        <w:pStyle w:val="Body"/>
        <w:rPr>
          <w:rStyle w:val="BodyChar"/>
        </w:rPr>
      </w:pPr>
      <w:r w:rsidRPr="00145474">
        <w:t xml:space="preserve">The </w:t>
      </w:r>
      <w:r w:rsidRPr="00145474">
        <w:rPr>
          <w:i/>
          <w:iCs/>
        </w:rPr>
        <w:t>Social Services Regulation Act 2021</w:t>
      </w:r>
      <w:r w:rsidRPr="00145474">
        <w:t xml:space="preserve"> (Vic) and the </w:t>
      </w:r>
      <w:r w:rsidRPr="00145474">
        <w:rPr>
          <w:i/>
          <w:iCs/>
        </w:rPr>
        <w:t xml:space="preserve">Social Services Regulations 2023 </w:t>
      </w:r>
      <w:r w:rsidRPr="00145474">
        <w:t xml:space="preserve">(Vic) create a new regulatory </w:t>
      </w:r>
      <w:r>
        <w:t>scheme</w:t>
      </w:r>
      <w:r w:rsidRPr="00145474">
        <w:t xml:space="preserve"> for social services in Victoria. This framework puts the protection and safety of social services users at the centre </w:t>
      </w:r>
      <w:r w:rsidRPr="00145474">
        <w:rPr>
          <w:rStyle w:val="BodyChar"/>
        </w:rPr>
        <w:t>of social services delivery.</w:t>
      </w:r>
    </w:p>
    <w:p w14:paraId="1D89A4FC" w14:textId="77777777" w:rsidR="00FB02F3" w:rsidRDefault="00FB02F3" w:rsidP="00FB02F3">
      <w:pPr>
        <w:pStyle w:val="Bodyafterbullets"/>
        <w:rPr>
          <w:rStyle w:val="BodyChar"/>
        </w:rPr>
      </w:pPr>
      <w:r w:rsidRPr="00145474">
        <w:t xml:space="preserve">The Social Services Regulator (the Regulator) is the new statutory authority that oversees social services in Victoria. </w:t>
      </w:r>
      <w:r w:rsidRPr="00145474">
        <w:rPr>
          <w:rStyle w:val="BodyChar"/>
        </w:rPr>
        <w:t>It replaces the framework previously overseen by the Human Services Regulator.</w:t>
      </w:r>
    </w:p>
    <w:p w14:paraId="448B088D" w14:textId="77777777" w:rsidR="00FB02F3" w:rsidRPr="00145474" w:rsidRDefault="00FB02F3" w:rsidP="00FB02F3">
      <w:pPr>
        <w:pStyle w:val="Bodyafterbullets"/>
      </w:pPr>
      <w:r>
        <w:t xml:space="preserve">Previously, social service providers </w:t>
      </w:r>
      <w:r w:rsidRPr="007221F3">
        <w:t>in Victoria</w:t>
      </w:r>
      <w:r>
        <w:t xml:space="preserve"> had to meet a range of requirements under different laws.</w:t>
      </w:r>
    </w:p>
    <w:p w14:paraId="24D3DB1F" w14:textId="77777777" w:rsidR="00FB02F3" w:rsidRPr="00145474" w:rsidRDefault="00FB02F3" w:rsidP="00FB02F3">
      <w:pPr>
        <w:pStyle w:val="Heading2"/>
      </w:pPr>
      <w:bookmarkStart w:id="4" w:name="_Toc168314412"/>
      <w:r w:rsidRPr="00145474">
        <w:t xml:space="preserve">Our </w:t>
      </w:r>
      <w:bookmarkEnd w:id="4"/>
      <w:r>
        <w:t>objectives</w:t>
      </w:r>
    </w:p>
    <w:p w14:paraId="6E89FC31" w14:textId="77777777" w:rsidR="00FB02F3" w:rsidRPr="00145474" w:rsidRDefault="00FB02F3" w:rsidP="00FB02F3">
      <w:pPr>
        <w:pStyle w:val="Bodyafterbullets"/>
      </w:pPr>
      <w:r w:rsidRPr="00145474">
        <w:t>The Regulator aims to:</w:t>
      </w:r>
    </w:p>
    <w:p w14:paraId="3E9CCC07" w14:textId="77777777" w:rsidR="00FB02F3" w:rsidRPr="00145474" w:rsidRDefault="00FB02F3" w:rsidP="00FB02F3">
      <w:pPr>
        <w:pStyle w:val="Bullet1"/>
      </w:pPr>
      <w:r w:rsidRPr="00145474">
        <w:t xml:space="preserve">strengthen protections for social services users to prevent harm, abuse and </w:t>
      </w:r>
      <w:proofErr w:type="gramStart"/>
      <w:r w:rsidRPr="00145474">
        <w:t>neglect</w:t>
      </w:r>
      <w:proofErr w:type="gramEnd"/>
    </w:p>
    <w:p w14:paraId="204BF57F" w14:textId="77777777" w:rsidR="00FB02F3" w:rsidRPr="00145474" w:rsidRDefault="00FB02F3" w:rsidP="00FB02F3">
      <w:pPr>
        <w:pStyle w:val="Bullet1"/>
      </w:pPr>
      <w:r w:rsidRPr="00145474">
        <w:t xml:space="preserve">make sure service users have safety, agency and </w:t>
      </w:r>
      <w:proofErr w:type="gramStart"/>
      <w:r w:rsidRPr="00145474">
        <w:t>dignity</w:t>
      </w:r>
      <w:proofErr w:type="gramEnd"/>
    </w:p>
    <w:p w14:paraId="1D15D185" w14:textId="77777777" w:rsidR="00FB02F3" w:rsidRPr="00145474" w:rsidRDefault="00FB02F3" w:rsidP="00FB02F3">
      <w:pPr>
        <w:pStyle w:val="Bullet1"/>
      </w:pPr>
      <w:r w:rsidRPr="00145474">
        <w:t xml:space="preserve">support safe and effective social services </w:t>
      </w:r>
      <w:proofErr w:type="gramStart"/>
      <w:r w:rsidRPr="00145474">
        <w:t>delivery</w:t>
      </w:r>
      <w:proofErr w:type="gramEnd"/>
    </w:p>
    <w:p w14:paraId="6913A09F" w14:textId="77777777" w:rsidR="00FB02F3" w:rsidRPr="00145474" w:rsidRDefault="00FB02F3" w:rsidP="00FB02F3">
      <w:pPr>
        <w:pStyle w:val="Bullet1"/>
      </w:pPr>
      <w:r w:rsidRPr="00145474">
        <w:t>help providers build a culture of continuous quality improvement.</w:t>
      </w:r>
    </w:p>
    <w:p w14:paraId="3105F4A4" w14:textId="77777777" w:rsidR="00FB02F3" w:rsidRDefault="00FB02F3" w:rsidP="00FB02F3">
      <w:pPr>
        <w:pStyle w:val="Bodyafterbullets"/>
      </w:pPr>
      <w:r w:rsidRPr="000515C8">
        <w:t xml:space="preserve">To support these aims, </w:t>
      </w:r>
      <w:r w:rsidRPr="00BA107D">
        <w:t>the framework</w:t>
      </w:r>
      <w:r w:rsidRPr="000515C8">
        <w:t xml:space="preserve"> includes </w:t>
      </w:r>
      <w:r>
        <w:t>six</w:t>
      </w:r>
      <w:r w:rsidRPr="000515C8">
        <w:t xml:space="preserve"> Social Service Standards </w:t>
      </w:r>
      <w:r>
        <w:t>that</w:t>
      </w:r>
      <w:r w:rsidRPr="000515C8">
        <w:t xml:space="preserve"> all registered social service providers</w:t>
      </w:r>
      <w:r>
        <w:t xml:space="preserve"> must meet (see </w:t>
      </w:r>
      <w:r w:rsidRPr="009669DE">
        <w:rPr>
          <w:b/>
          <w:bCs/>
          <w:u w:val="dotted"/>
        </w:rPr>
        <w:fldChar w:fldCharType="begin"/>
      </w:r>
      <w:r w:rsidRPr="009669DE">
        <w:rPr>
          <w:b/>
          <w:bCs/>
          <w:u w:val="dotted"/>
        </w:rPr>
        <w:instrText xml:space="preserve"> REF _Ref165635642 \h  \* MERGEFORMAT </w:instrText>
      </w:r>
      <w:r w:rsidRPr="009669DE">
        <w:rPr>
          <w:b/>
          <w:bCs/>
          <w:u w:val="dotted"/>
        </w:rPr>
      </w:r>
      <w:r w:rsidRPr="009669DE">
        <w:rPr>
          <w:b/>
          <w:bCs/>
          <w:u w:val="dotted"/>
        </w:rPr>
        <w:fldChar w:fldCharType="separate"/>
      </w:r>
      <w:r w:rsidRPr="001C3B2F">
        <w:rPr>
          <w:b/>
          <w:bCs/>
          <w:u w:val="dotted"/>
        </w:rPr>
        <w:t xml:space="preserve">Table </w:t>
      </w:r>
      <w:r w:rsidRPr="001C3B2F">
        <w:rPr>
          <w:b/>
          <w:bCs/>
          <w:noProof/>
          <w:u w:val="dotted"/>
        </w:rPr>
        <w:t>1</w:t>
      </w:r>
      <w:r w:rsidRPr="009669DE">
        <w:rPr>
          <w:b/>
          <w:bCs/>
          <w:u w:val="dotted"/>
        </w:rPr>
        <w:fldChar w:fldCharType="end"/>
      </w:r>
      <w:r>
        <w:t>).</w:t>
      </w:r>
    </w:p>
    <w:p w14:paraId="4C86FB3D" w14:textId="77777777" w:rsidR="00FB02F3" w:rsidRDefault="00FB02F3" w:rsidP="00FB02F3">
      <w:pPr>
        <w:pStyle w:val="Tablecaption"/>
      </w:pPr>
      <w:bookmarkStart w:id="5" w:name="_Ref1656356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5"/>
      <w:r>
        <w:t xml:space="preserve">: </w:t>
      </w:r>
      <w:r w:rsidRPr="001B6283">
        <w:t>Social Service Standards under the</w:t>
      </w:r>
      <w:r w:rsidRPr="00E62341">
        <w:t xml:space="preserve"> Social Services Regulation Act 2021</w:t>
      </w:r>
    </w:p>
    <w:tbl>
      <w:tblPr>
        <w:tblStyle w:val="Purpletable"/>
        <w:tblW w:w="0" w:type="auto"/>
        <w:tblInd w:w="10" w:type="dxa"/>
        <w:tblLook w:val="04A0" w:firstRow="1" w:lastRow="0" w:firstColumn="1" w:lastColumn="0" w:noHBand="0" w:noVBand="1"/>
      </w:tblPr>
      <w:tblGrid>
        <w:gridCol w:w="3392"/>
        <w:gridCol w:w="6797"/>
      </w:tblGrid>
      <w:tr w:rsidR="00FB02F3" w:rsidRPr="00A07E55" w14:paraId="69606EBE" w14:textId="77777777" w:rsidTr="00876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1612DD2" w14:textId="77777777" w:rsidR="00FB02F3" w:rsidRPr="00A07E55" w:rsidRDefault="00FB02F3" w:rsidP="0087613E">
            <w:pPr>
              <w:pStyle w:val="Tablecolhead"/>
              <w:rPr>
                <w:lang w:val="en-AU"/>
              </w:rPr>
            </w:pPr>
            <w:r w:rsidRPr="001202BE">
              <w:rPr>
                <w:lang w:val="en-AU"/>
              </w:rPr>
              <w:t>Standard</w:t>
            </w:r>
          </w:p>
        </w:tc>
        <w:tc>
          <w:tcPr>
            <w:tcW w:w="6797" w:type="dxa"/>
          </w:tcPr>
          <w:p w14:paraId="3827C940" w14:textId="77777777" w:rsidR="00FB02F3" w:rsidRPr="00A07E55" w:rsidRDefault="00FB02F3" w:rsidP="0087613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>Description</w:t>
            </w:r>
          </w:p>
        </w:tc>
      </w:tr>
      <w:tr w:rsidR="00FB02F3" w:rsidRPr="00A07E55" w14:paraId="670FCE2D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3856EB4" w14:textId="77777777" w:rsidR="00FB02F3" w:rsidRPr="007A3FBD" w:rsidRDefault="00FB02F3" w:rsidP="0087613E">
            <w:pPr>
              <w:pStyle w:val="Tabletext"/>
              <w:rPr>
                <w:lang w:val="en-AU"/>
              </w:rPr>
            </w:pPr>
            <w:r w:rsidRPr="001C3B2F">
              <w:t>Standard 1: Safe service delivery</w:t>
            </w:r>
          </w:p>
        </w:tc>
        <w:tc>
          <w:tcPr>
            <w:tcW w:w="6797" w:type="dxa"/>
          </w:tcPr>
          <w:p w14:paraId="20F4B6A6" w14:textId="77777777" w:rsidR="00FB02F3" w:rsidRPr="00A07E55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>Social services are safely delivered based on assessed needs</w:t>
            </w:r>
          </w:p>
        </w:tc>
      </w:tr>
      <w:tr w:rsidR="00FB02F3" w:rsidRPr="00A07E55" w14:paraId="6632B15A" w14:textId="77777777" w:rsidTr="00876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64658650" w14:textId="77777777" w:rsidR="00FB02F3" w:rsidRPr="007A3FBD" w:rsidRDefault="00FB02F3" w:rsidP="0087613E">
            <w:pPr>
              <w:pStyle w:val="Tabletext"/>
              <w:rPr>
                <w:lang w:val="en-AU"/>
              </w:rPr>
            </w:pPr>
            <w:r w:rsidRPr="001C3B2F">
              <w:t>Standard 2: Service user agency and dignity</w:t>
            </w:r>
          </w:p>
        </w:tc>
        <w:tc>
          <w:tcPr>
            <w:tcW w:w="6797" w:type="dxa"/>
          </w:tcPr>
          <w:p w14:paraId="25DE8F78" w14:textId="77777777" w:rsidR="00FB02F3" w:rsidRPr="00A07E55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>Social services are person-centred</w:t>
            </w:r>
            <w:r>
              <w:rPr>
                <w:lang w:val="en-AU"/>
              </w:rPr>
              <w:t>,</w:t>
            </w:r>
            <w:r w:rsidRPr="001202BE">
              <w:rPr>
                <w:lang w:val="en-AU"/>
              </w:rPr>
              <w:t xml:space="preserve"> and respect and uphold service user rights and agency</w:t>
            </w:r>
          </w:p>
        </w:tc>
      </w:tr>
      <w:tr w:rsidR="00FB02F3" w:rsidRPr="00A07E55" w14:paraId="716E5F50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1CAC3D4" w14:textId="77777777" w:rsidR="00FB02F3" w:rsidRPr="007A3FBD" w:rsidRDefault="00FB02F3" w:rsidP="0087613E">
            <w:pPr>
              <w:pStyle w:val="Tabletext"/>
              <w:rPr>
                <w:lang w:val="en-AU"/>
              </w:rPr>
            </w:pPr>
            <w:r w:rsidRPr="001C3B2F">
              <w:t>Standard 3: Safe service environments</w:t>
            </w:r>
          </w:p>
        </w:tc>
        <w:tc>
          <w:tcPr>
            <w:tcW w:w="6797" w:type="dxa"/>
          </w:tcPr>
          <w:p w14:paraId="1AC778B4" w14:textId="77777777" w:rsidR="00FB02F3" w:rsidRPr="00A07E55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 xml:space="preserve">Social services are provided in a safe, </w:t>
            </w:r>
            <w:proofErr w:type="gramStart"/>
            <w:r w:rsidRPr="001202BE">
              <w:rPr>
                <w:lang w:val="en-AU"/>
              </w:rPr>
              <w:t>secure</w:t>
            </w:r>
            <w:proofErr w:type="gramEnd"/>
            <w:r w:rsidRPr="001202BE">
              <w:rPr>
                <w:lang w:val="en-AU"/>
              </w:rPr>
              <w:t xml:space="preserve"> and fit-for-purpose environment</w:t>
            </w:r>
          </w:p>
        </w:tc>
      </w:tr>
      <w:tr w:rsidR="00FB02F3" w:rsidRPr="00A07E55" w14:paraId="6A597B62" w14:textId="77777777" w:rsidTr="00876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24B7CAB" w14:textId="77777777" w:rsidR="00FB02F3" w:rsidRPr="007A3FBD" w:rsidRDefault="00FB02F3" w:rsidP="0087613E">
            <w:pPr>
              <w:pStyle w:val="Tabletext"/>
              <w:rPr>
                <w:lang w:val="en-AU"/>
              </w:rPr>
            </w:pPr>
            <w:r w:rsidRPr="001C3B2F">
              <w:t>Standard 4: Feedback and complaints</w:t>
            </w:r>
          </w:p>
        </w:tc>
        <w:tc>
          <w:tcPr>
            <w:tcW w:w="6797" w:type="dxa"/>
          </w:tcPr>
          <w:p w14:paraId="14FA88A9" w14:textId="77777777" w:rsidR="00FB02F3" w:rsidRPr="00A07E55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 xml:space="preserve">Service users are supported to provide feedback, </w:t>
            </w:r>
            <w:proofErr w:type="gramStart"/>
            <w:r w:rsidRPr="001202BE">
              <w:rPr>
                <w:lang w:val="en-AU"/>
              </w:rPr>
              <w:t>complaints</w:t>
            </w:r>
            <w:proofErr w:type="gramEnd"/>
            <w:r w:rsidRPr="001202BE">
              <w:rPr>
                <w:lang w:val="en-AU"/>
              </w:rPr>
              <w:t xml:space="preserve"> or concerns about service safety</w:t>
            </w:r>
          </w:p>
        </w:tc>
      </w:tr>
      <w:tr w:rsidR="00FB02F3" w:rsidRPr="00A07E55" w14:paraId="451FEFD1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5DF3D17" w14:textId="77777777" w:rsidR="00FB02F3" w:rsidRPr="007A3FBD" w:rsidRDefault="00FB02F3" w:rsidP="0087613E">
            <w:pPr>
              <w:pStyle w:val="Tabletext"/>
              <w:rPr>
                <w:lang w:val="en-AU"/>
              </w:rPr>
            </w:pPr>
            <w:r w:rsidRPr="001C3B2F">
              <w:t xml:space="preserve">Standard 5: Accountable </w:t>
            </w:r>
            <w:proofErr w:type="spellStart"/>
            <w:r w:rsidRPr="001C3B2F">
              <w:t>organisational</w:t>
            </w:r>
            <w:proofErr w:type="spellEnd"/>
            <w:r w:rsidRPr="001C3B2F">
              <w:t xml:space="preserve"> governance</w:t>
            </w:r>
          </w:p>
        </w:tc>
        <w:tc>
          <w:tcPr>
            <w:tcW w:w="6797" w:type="dxa"/>
          </w:tcPr>
          <w:p w14:paraId="603750B4" w14:textId="77777777" w:rsidR="00FB02F3" w:rsidRPr="00A07E55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>Effective governance and organisational systems support safe delivery of social services</w:t>
            </w:r>
          </w:p>
        </w:tc>
      </w:tr>
      <w:tr w:rsidR="00FB02F3" w:rsidRPr="00A07E55" w14:paraId="510865E4" w14:textId="77777777" w:rsidTr="00876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5400A60" w14:textId="77777777" w:rsidR="00FB02F3" w:rsidRPr="007A3FBD" w:rsidRDefault="00FB02F3" w:rsidP="0087613E">
            <w:pPr>
              <w:pStyle w:val="Tabletext"/>
              <w:rPr>
                <w:lang w:val="en-AU"/>
              </w:rPr>
            </w:pPr>
            <w:r w:rsidRPr="001C3B2F">
              <w:t>Standard 6: Safe workforce</w:t>
            </w:r>
          </w:p>
        </w:tc>
        <w:tc>
          <w:tcPr>
            <w:tcW w:w="6797" w:type="dxa"/>
          </w:tcPr>
          <w:p w14:paraId="34DB02D5" w14:textId="77777777" w:rsidR="00FB02F3" w:rsidRPr="00A07E55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1202BE">
              <w:rPr>
                <w:lang w:val="en-AU"/>
              </w:rPr>
              <w:t xml:space="preserve">Social services are delivered by a workforce that has the knowledge, </w:t>
            </w:r>
            <w:proofErr w:type="gramStart"/>
            <w:r w:rsidRPr="001202BE">
              <w:rPr>
                <w:lang w:val="en-AU"/>
              </w:rPr>
              <w:t>capability</w:t>
            </w:r>
            <w:proofErr w:type="gramEnd"/>
            <w:r w:rsidRPr="001202BE">
              <w:rPr>
                <w:lang w:val="en-AU"/>
              </w:rPr>
              <w:t xml:space="preserve"> and support to </w:t>
            </w:r>
            <w:r>
              <w:rPr>
                <w:lang w:val="en-AU"/>
              </w:rPr>
              <w:t xml:space="preserve">provide </w:t>
            </w:r>
            <w:r w:rsidRPr="001202BE">
              <w:rPr>
                <w:lang w:val="en-AU"/>
              </w:rPr>
              <w:t>safe social services with care and skill</w:t>
            </w:r>
          </w:p>
        </w:tc>
      </w:tr>
    </w:tbl>
    <w:p w14:paraId="4A39C4BA" w14:textId="04E597C9" w:rsidR="00FB02F3" w:rsidRPr="00A07E55" w:rsidRDefault="00FB02F3" w:rsidP="008B0D9A">
      <w:pPr>
        <w:pStyle w:val="Imprint"/>
      </w:pPr>
      <w:r>
        <w:t xml:space="preserve">More information on the Social Services Standards is available on the </w:t>
      </w:r>
      <w:hyperlink r:id="rId17" w:history="1">
        <w:r w:rsidR="008B0D9A" w:rsidRPr="003F355F">
          <w:rPr>
            <w:rStyle w:val="Hyperlink"/>
            <w:lang w:eastAsia="en-AU"/>
          </w:rPr>
          <w:t>https://www.vic.gov.au/social-services-regulator-social-services-standards</w:t>
        </w:r>
      </w:hyperlink>
      <w:r>
        <w:rPr>
          <w:lang w:eastAsia="en-AU"/>
        </w:rPr>
        <w:t xml:space="preserve"> </w:t>
      </w:r>
    </w:p>
    <w:p w14:paraId="253CF8CD" w14:textId="77777777" w:rsidR="00FB02F3" w:rsidRDefault="00FB02F3" w:rsidP="00FB02F3">
      <w:pPr>
        <w:pStyle w:val="Heading1"/>
      </w:pPr>
      <w:bookmarkStart w:id="6" w:name="_Toc168314413"/>
      <w:r>
        <w:t>Our approach to regulation</w:t>
      </w:r>
      <w:bookmarkEnd w:id="6"/>
    </w:p>
    <w:p w14:paraId="2F219329" w14:textId="77777777" w:rsidR="00FB02F3" w:rsidRDefault="00FB02F3" w:rsidP="00FB02F3">
      <w:pPr>
        <w:pStyle w:val="Body"/>
      </w:pPr>
      <w:r w:rsidRPr="7BEFEEB9">
        <w:t>We take a blended and graduated approach to regulating the new Social Services Standards and other requirements under the new scheme.</w:t>
      </w:r>
    </w:p>
    <w:p w14:paraId="361758B2" w14:textId="77777777" w:rsidR="00FB02F3" w:rsidRDefault="00FB02F3" w:rsidP="00FB02F3">
      <w:pPr>
        <w:pStyle w:val="Body"/>
        <w:numPr>
          <w:ilvl w:val="0"/>
          <w:numId w:val="44"/>
        </w:numPr>
      </w:pPr>
      <w:r>
        <w:t xml:space="preserve">Our approach recognises many new requirements are </w:t>
      </w:r>
      <w:proofErr w:type="gramStart"/>
      <w:r>
        <w:t>similar to</w:t>
      </w:r>
      <w:proofErr w:type="gramEnd"/>
      <w:r>
        <w:t xml:space="preserve"> previous schemes, as:</w:t>
      </w:r>
    </w:p>
    <w:p w14:paraId="38B28579" w14:textId="5AA0330B" w:rsidR="00FB02F3" w:rsidRDefault="00FB02F3" w:rsidP="00FB02F3">
      <w:pPr>
        <w:pStyle w:val="Body"/>
        <w:numPr>
          <w:ilvl w:val="0"/>
          <w:numId w:val="45"/>
        </w:numPr>
      </w:pPr>
      <w:r>
        <w:lastRenderedPageBreak/>
        <w:t xml:space="preserve">Many providers had to meet the Human Services Standards. As the new Social Services Standards have similar requirements, these providers </w:t>
      </w:r>
      <w:r w:rsidR="006E3517">
        <w:t xml:space="preserve">should </w:t>
      </w:r>
      <w:r>
        <w:t>already have well developed systems in place that meet the new Standards.</w:t>
      </w:r>
    </w:p>
    <w:p w14:paraId="33B74082" w14:textId="3381E4A3" w:rsidR="00FB02F3" w:rsidRDefault="00FB02F3" w:rsidP="00FB02F3">
      <w:pPr>
        <w:pStyle w:val="Body"/>
        <w:numPr>
          <w:ilvl w:val="0"/>
          <w:numId w:val="45"/>
        </w:numPr>
      </w:pPr>
      <w:r>
        <w:t xml:space="preserve">For </w:t>
      </w:r>
      <w:r w:rsidRPr="7BEFEEB9">
        <w:t xml:space="preserve">service providers </w:t>
      </w:r>
      <w:r>
        <w:t xml:space="preserve">who must meet </w:t>
      </w:r>
      <w:r w:rsidRPr="7BEFEEB9">
        <w:t>the Child Safe Standards</w:t>
      </w:r>
      <w:r>
        <w:t xml:space="preserve">, as those standards have been </w:t>
      </w:r>
      <w:r w:rsidRPr="7BEFEEB9">
        <w:t>in place for two years</w:t>
      </w:r>
      <w:r>
        <w:t xml:space="preserve"> these providers </w:t>
      </w:r>
      <w:r w:rsidR="00544739">
        <w:t xml:space="preserve">should </w:t>
      </w:r>
      <w:r>
        <w:t xml:space="preserve">also </w:t>
      </w:r>
      <w:r w:rsidRPr="7BEFEEB9">
        <w:t xml:space="preserve">have well developed systems </w:t>
      </w:r>
      <w:r>
        <w:t>in place</w:t>
      </w:r>
      <w:r w:rsidRPr="7BEFEEB9">
        <w:t xml:space="preserve">. </w:t>
      </w:r>
    </w:p>
    <w:p w14:paraId="183294FE" w14:textId="77777777" w:rsidR="00FB02F3" w:rsidRDefault="00FB02F3" w:rsidP="00FB02F3">
      <w:pPr>
        <w:pStyle w:val="Body"/>
        <w:numPr>
          <w:ilvl w:val="0"/>
          <w:numId w:val="45"/>
        </w:numPr>
      </w:pPr>
      <w:r>
        <w:t xml:space="preserve">Providers of supported residential services are in a similar situation. These providers must already meet the </w:t>
      </w:r>
      <w:r w:rsidRPr="000D0E77">
        <w:rPr>
          <w:i/>
          <w:iCs/>
        </w:rPr>
        <w:t>Supported Residential Services (Private Proprietors) Act 2010</w:t>
      </w:r>
      <w:r>
        <w:t xml:space="preserve"> and regulations. As the new requirements are broadly similar, these providers should already have systems and practices in place that will help them meet these requirements.</w:t>
      </w:r>
    </w:p>
    <w:p w14:paraId="678A9EFA" w14:textId="77777777" w:rsidR="00FB02F3" w:rsidRDefault="00FB02F3" w:rsidP="00FB02F3">
      <w:pPr>
        <w:pStyle w:val="Body"/>
        <w:ind w:left="360"/>
      </w:pPr>
    </w:p>
    <w:p w14:paraId="4C01BA55" w14:textId="77777777" w:rsidR="00FB02F3" w:rsidRDefault="00FB02F3" w:rsidP="00FB02F3">
      <w:pPr>
        <w:pStyle w:val="Body"/>
        <w:numPr>
          <w:ilvl w:val="0"/>
          <w:numId w:val="44"/>
        </w:numPr>
      </w:pPr>
      <w:r>
        <w:t xml:space="preserve">Our initial focus is to provide guidance and </w:t>
      </w:r>
      <w:proofErr w:type="gramStart"/>
      <w:r>
        <w:t>education</w:t>
      </w:r>
      <w:proofErr w:type="gramEnd"/>
    </w:p>
    <w:p w14:paraId="79561CBA" w14:textId="77777777" w:rsidR="00FB02F3" w:rsidRDefault="00FB02F3" w:rsidP="00FB02F3">
      <w:pPr>
        <w:pStyle w:val="Body"/>
      </w:pPr>
      <w:r w:rsidRPr="00D50AAE">
        <w:t>In some cases, the new scheme introduces new requirements for providers.</w:t>
      </w:r>
    </w:p>
    <w:p w14:paraId="77990134" w14:textId="77777777" w:rsidR="00FB02F3" w:rsidRDefault="00FB02F3" w:rsidP="00FB02F3">
      <w:pPr>
        <w:pStyle w:val="Body"/>
      </w:pPr>
      <w:r>
        <w:t>At the outset of the new scheme, t</w:t>
      </w:r>
      <w:r w:rsidRPr="00883BD0">
        <w:t>he Regulator’s focus is on giving providers guidance and support to help them understand and meet their obligations.</w:t>
      </w:r>
    </w:p>
    <w:p w14:paraId="43D02EFD" w14:textId="77777777" w:rsidR="00FB02F3" w:rsidRPr="00525720" w:rsidRDefault="00FB02F3" w:rsidP="00FB02F3">
      <w:pPr>
        <w:pStyle w:val="Body"/>
      </w:pPr>
      <w:r>
        <w:t xml:space="preserve">Over time, the Regulator </w:t>
      </w:r>
      <w:r w:rsidRPr="00525720">
        <w:t>will expect organisations to have comprehensively implemented the new Standards.</w:t>
      </w:r>
    </w:p>
    <w:p w14:paraId="24A76692" w14:textId="77777777" w:rsidR="00FB02F3" w:rsidRDefault="00FB02F3" w:rsidP="00FB02F3">
      <w:pPr>
        <w:pStyle w:val="Body"/>
      </w:pPr>
    </w:p>
    <w:p w14:paraId="4516AD87" w14:textId="77777777" w:rsidR="00FB02F3" w:rsidRDefault="00FB02F3" w:rsidP="00FB02F3">
      <w:pPr>
        <w:pStyle w:val="Body"/>
        <w:numPr>
          <w:ilvl w:val="0"/>
          <w:numId w:val="44"/>
        </w:numPr>
      </w:pPr>
      <w:r>
        <w:t xml:space="preserve">The Regulator is also </w:t>
      </w:r>
      <w:r w:rsidRPr="00D50AAE">
        <w:t>committed to our duty to</w:t>
      </w:r>
      <w:r w:rsidRPr="7BEFEEB9">
        <w:t xml:space="preserve"> </w:t>
      </w:r>
      <w:r>
        <w:t xml:space="preserve">protect service users and </w:t>
      </w:r>
      <w:r w:rsidRPr="7BEFEEB9">
        <w:t xml:space="preserve">will not hesitate to act to </w:t>
      </w:r>
      <w:r>
        <w:t xml:space="preserve">protect </w:t>
      </w:r>
      <w:r w:rsidRPr="7BEFEEB9">
        <w:t xml:space="preserve">service users from harm, </w:t>
      </w:r>
      <w:proofErr w:type="gramStart"/>
      <w:r w:rsidRPr="7BEFEEB9">
        <w:t>abuse</w:t>
      </w:r>
      <w:proofErr w:type="gramEnd"/>
      <w:r w:rsidRPr="7BEFEEB9">
        <w:t xml:space="preserve"> and neglect. This includes taking enforcement action</w:t>
      </w:r>
      <w:r>
        <w:t>:</w:t>
      </w:r>
    </w:p>
    <w:p w14:paraId="120C009E" w14:textId="77777777" w:rsidR="00FB02F3" w:rsidRDefault="00FB02F3" w:rsidP="00FB02F3">
      <w:pPr>
        <w:pStyle w:val="Bullet1"/>
      </w:pPr>
      <w:r w:rsidRPr="7BEFEEB9">
        <w:t xml:space="preserve">to prevent or respond to significant harm or risk of harm to service </w:t>
      </w:r>
      <w:proofErr w:type="gramStart"/>
      <w:r w:rsidRPr="7BEFEEB9">
        <w:t>users</w:t>
      </w:r>
      <w:proofErr w:type="gramEnd"/>
    </w:p>
    <w:p w14:paraId="71806870" w14:textId="77777777" w:rsidR="00FB02F3" w:rsidRDefault="00FB02F3" w:rsidP="00FB02F3">
      <w:pPr>
        <w:pStyle w:val="Bullet1"/>
      </w:pPr>
      <w:r w:rsidRPr="7BEFEEB9">
        <w:t xml:space="preserve">against providers </w:t>
      </w:r>
      <w:r>
        <w:t xml:space="preserve">that </w:t>
      </w:r>
      <w:r w:rsidRPr="7BEFEEB9">
        <w:t>serious</w:t>
      </w:r>
      <w:r>
        <w:t>ly</w:t>
      </w:r>
      <w:r w:rsidRPr="7BEFEEB9">
        <w:t xml:space="preserve"> or repeated</w:t>
      </w:r>
      <w:r>
        <w:t>ly</w:t>
      </w:r>
      <w:r w:rsidRPr="7BEFEEB9">
        <w:t xml:space="preserve"> fail </w:t>
      </w:r>
      <w:r>
        <w:t>to meet their obligations</w:t>
      </w:r>
      <w:r w:rsidRPr="7BEFEEB9">
        <w:t>.</w:t>
      </w:r>
    </w:p>
    <w:p w14:paraId="663395FC" w14:textId="77777777" w:rsidR="00FB02F3" w:rsidRDefault="00FB02F3" w:rsidP="00FB02F3">
      <w:pPr>
        <w:pStyle w:val="Bullet1"/>
        <w:numPr>
          <w:ilvl w:val="0"/>
          <w:numId w:val="0"/>
        </w:numPr>
        <w:ind w:left="284" w:hanging="284"/>
      </w:pPr>
    </w:p>
    <w:p w14:paraId="640DC3C7" w14:textId="77777777" w:rsidR="00FB02F3" w:rsidRDefault="00FB02F3" w:rsidP="00FB02F3">
      <w:pPr>
        <w:pStyle w:val="Heading2"/>
      </w:pPr>
      <w:bookmarkStart w:id="7" w:name="_Toc168314414"/>
      <w:r w:rsidRPr="005F5C76">
        <w:t xml:space="preserve">Our </w:t>
      </w:r>
      <w:r w:rsidRPr="00A07E55">
        <w:t>regulatory</w:t>
      </w:r>
      <w:r w:rsidRPr="005F5C76">
        <w:t xml:space="preserve"> principles</w:t>
      </w:r>
      <w:bookmarkEnd w:id="7"/>
    </w:p>
    <w:p w14:paraId="7F1CA452" w14:textId="77777777" w:rsidR="00FB02F3" w:rsidRPr="00AA30B0" w:rsidRDefault="00FB02F3" w:rsidP="00FB02F3">
      <w:pPr>
        <w:pStyle w:val="Body"/>
      </w:pPr>
      <w:r>
        <w:t xml:space="preserve">Our regulatory approach is guided by seven principles (see </w:t>
      </w:r>
      <w:r w:rsidRPr="00031691">
        <w:rPr>
          <w:b/>
          <w:bCs/>
          <w:u w:val="dotted"/>
        </w:rPr>
        <w:fldChar w:fldCharType="begin"/>
      </w:r>
      <w:r w:rsidRPr="00031691">
        <w:rPr>
          <w:b/>
          <w:bCs/>
          <w:u w:val="dotted"/>
        </w:rPr>
        <w:instrText xml:space="preserve"> REF _Ref167198414 \h  \* MERGEFORMAT </w:instrText>
      </w:r>
      <w:r w:rsidRPr="00031691">
        <w:rPr>
          <w:b/>
          <w:bCs/>
          <w:u w:val="dotted"/>
        </w:rPr>
      </w:r>
      <w:r w:rsidRPr="00031691">
        <w:rPr>
          <w:b/>
          <w:bCs/>
          <w:u w:val="dotted"/>
        </w:rPr>
        <w:fldChar w:fldCharType="separate"/>
      </w:r>
      <w:r w:rsidRPr="00D0154D">
        <w:rPr>
          <w:b/>
          <w:bCs/>
          <w:u w:val="dotted"/>
        </w:rPr>
        <w:t xml:space="preserve">Table </w:t>
      </w:r>
      <w:r w:rsidRPr="00D0154D">
        <w:rPr>
          <w:b/>
          <w:bCs/>
          <w:noProof/>
          <w:u w:val="dotted"/>
        </w:rPr>
        <w:t>2</w:t>
      </w:r>
      <w:r w:rsidRPr="00031691">
        <w:rPr>
          <w:b/>
          <w:bCs/>
          <w:u w:val="dotted"/>
        </w:rPr>
        <w:fldChar w:fldCharType="end"/>
      </w:r>
      <w:r>
        <w:t>).</w:t>
      </w:r>
    </w:p>
    <w:p w14:paraId="08D8E7BC" w14:textId="77777777" w:rsidR="00FB02F3" w:rsidRDefault="00FB02F3" w:rsidP="00FB02F3">
      <w:pPr>
        <w:pStyle w:val="Tablecaption"/>
      </w:pPr>
      <w:bookmarkStart w:id="8" w:name="_Ref16719841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8"/>
      <w:r>
        <w:t>: Regulatory principles</w:t>
      </w:r>
    </w:p>
    <w:tbl>
      <w:tblPr>
        <w:tblStyle w:val="Purpletable"/>
        <w:tblW w:w="5000" w:type="pct"/>
        <w:tblInd w:w="-5" w:type="dxa"/>
        <w:tblLook w:val="04A0" w:firstRow="1" w:lastRow="0" w:firstColumn="1" w:lastColumn="0" w:noHBand="0" w:noVBand="1"/>
      </w:tblPr>
      <w:tblGrid>
        <w:gridCol w:w="1986"/>
        <w:gridCol w:w="8218"/>
      </w:tblGrid>
      <w:tr w:rsidR="00FB02F3" w:rsidRPr="009669DE" w14:paraId="6B3925CF" w14:textId="77777777" w:rsidTr="00876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043EDA36" w14:textId="77777777" w:rsidR="00FB02F3" w:rsidRPr="009669DE" w:rsidRDefault="00FB02F3" w:rsidP="0087613E">
            <w:pPr>
              <w:pStyle w:val="Tablecolhead"/>
              <w:rPr>
                <w:lang w:val="en-AU"/>
              </w:rPr>
            </w:pPr>
            <w:r w:rsidRPr="009669DE">
              <w:rPr>
                <w:lang w:val="en-AU"/>
              </w:rPr>
              <w:t>Principle</w:t>
            </w:r>
          </w:p>
        </w:tc>
        <w:tc>
          <w:tcPr>
            <w:tcW w:w="4027" w:type="pct"/>
          </w:tcPr>
          <w:p w14:paraId="7A4604F5" w14:textId="77777777" w:rsidR="00FB02F3" w:rsidRPr="009669DE" w:rsidRDefault="00FB02F3" w:rsidP="0087613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Description</w:t>
            </w:r>
          </w:p>
        </w:tc>
      </w:tr>
      <w:tr w:rsidR="00FB02F3" w:rsidRPr="009669DE" w14:paraId="03262322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0A6C6B51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t>Collaborative</w:t>
            </w:r>
          </w:p>
        </w:tc>
        <w:tc>
          <w:tcPr>
            <w:tcW w:w="4027" w:type="pct"/>
          </w:tcPr>
          <w:p w14:paraId="7C5DB24D" w14:textId="77777777" w:rsidR="00FB02F3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</w:t>
            </w:r>
            <w:r w:rsidRPr="009669DE">
              <w:rPr>
                <w:lang w:val="en-AU"/>
              </w:rPr>
              <w:t xml:space="preserve">o </w:t>
            </w:r>
            <w:r>
              <w:rPr>
                <w:lang w:val="en-AU"/>
              </w:rPr>
              <w:t xml:space="preserve">make </w:t>
            </w:r>
            <w:r w:rsidRPr="009669DE">
              <w:rPr>
                <w:lang w:val="en-AU"/>
              </w:rPr>
              <w:t xml:space="preserve">sure social services </w:t>
            </w:r>
            <w:r>
              <w:rPr>
                <w:lang w:val="en-AU"/>
              </w:rPr>
              <w:t>are safe, w</w:t>
            </w:r>
            <w:r w:rsidRPr="009669DE">
              <w:rPr>
                <w:lang w:val="en-AU"/>
              </w:rPr>
              <w:t>e work with</w:t>
            </w:r>
            <w:r>
              <w:rPr>
                <w:lang w:val="en-AU"/>
              </w:rPr>
              <w:t>:</w:t>
            </w:r>
          </w:p>
          <w:p w14:paraId="318E36CC" w14:textId="77777777" w:rsidR="00FB02F3" w:rsidRPr="00031691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lang w:val="en-AU"/>
                <w14:ligatures w14:val="standardContextual"/>
              </w:rPr>
            </w:pPr>
            <w:r w:rsidRPr="009669DE">
              <w:rPr>
                <w:lang w:val="en-AU"/>
              </w:rPr>
              <w:t>other relevant agencies</w:t>
            </w:r>
          </w:p>
          <w:p w14:paraId="37D90FA5" w14:textId="77777777" w:rsidR="00FB02F3" w:rsidRPr="00031691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lang w:val="en-AU"/>
                <w14:ligatures w14:val="standardContextual"/>
              </w:rPr>
            </w:pPr>
            <w:r w:rsidRPr="009669DE">
              <w:rPr>
                <w:lang w:val="en-AU"/>
              </w:rPr>
              <w:t>regulators</w:t>
            </w:r>
          </w:p>
          <w:p w14:paraId="1D39F71F" w14:textId="77777777" w:rsidR="00FB02F3" w:rsidRPr="00031691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lang w:val="en-AU"/>
                <w14:ligatures w14:val="standardContextual"/>
              </w:rPr>
            </w:pPr>
            <w:r w:rsidRPr="009669DE">
              <w:rPr>
                <w:lang w:val="en-AU"/>
              </w:rPr>
              <w:t xml:space="preserve">service </w:t>
            </w:r>
            <w:proofErr w:type="gramStart"/>
            <w:r w:rsidRPr="009669DE">
              <w:rPr>
                <w:lang w:val="en-AU"/>
              </w:rPr>
              <w:t>users</w:t>
            </w:r>
            <w:proofErr w:type="gramEnd"/>
          </w:p>
          <w:p w14:paraId="53CA335B" w14:textId="77777777" w:rsidR="00FB02F3" w:rsidRPr="00031691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lang w:val="en-AU"/>
                <w14:ligatures w14:val="standardContextual"/>
              </w:rPr>
            </w:pPr>
            <w:r w:rsidRPr="009669DE">
              <w:rPr>
                <w:lang w:val="en-AU"/>
              </w:rPr>
              <w:t xml:space="preserve">registered social service </w:t>
            </w:r>
            <w:proofErr w:type="gramStart"/>
            <w:r w:rsidRPr="009669DE">
              <w:rPr>
                <w:lang w:val="en-AU"/>
              </w:rPr>
              <w:t>providers</w:t>
            </w:r>
            <w:proofErr w:type="gramEnd"/>
          </w:p>
          <w:p w14:paraId="0F2114C3" w14:textId="77777777" w:rsidR="00FB02F3" w:rsidRPr="009669DE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lang w:val="en-AU"/>
                <w14:ligatures w14:val="standardContextual"/>
              </w:rPr>
            </w:pPr>
            <w:r w:rsidRPr="009669DE">
              <w:rPr>
                <w:lang w:val="en-AU"/>
              </w:rPr>
              <w:t>the community.</w:t>
            </w:r>
          </w:p>
        </w:tc>
      </w:tr>
      <w:tr w:rsidR="00FB02F3" w:rsidRPr="009669DE" w14:paraId="4F70BF2E" w14:textId="77777777" w:rsidTr="00876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691E7BDB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t>Accountable</w:t>
            </w:r>
          </w:p>
        </w:tc>
        <w:tc>
          <w:tcPr>
            <w:tcW w:w="4027" w:type="pct"/>
          </w:tcPr>
          <w:p w14:paraId="51827CB7" w14:textId="77777777" w:rsidR="00FB02F3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lang w:val="en-AU"/>
              </w:rPr>
            </w:pPr>
            <w:r w:rsidRPr="009669DE">
              <w:rPr>
                <w:rFonts w:eastAsia="Arial"/>
                <w:lang w:val="en-AU"/>
              </w:rPr>
              <w:t>We are objective and open in our decision making and processes.</w:t>
            </w:r>
          </w:p>
          <w:p w14:paraId="15F76880" w14:textId="77777777" w:rsidR="00FB02F3" w:rsidRPr="009669DE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lang w:val="en-AU"/>
              </w:rPr>
            </w:pPr>
            <w:r w:rsidRPr="009669DE">
              <w:rPr>
                <w:rFonts w:eastAsia="Arial"/>
                <w:lang w:val="en-AU"/>
              </w:rPr>
              <w:t xml:space="preserve">We </w:t>
            </w:r>
            <w:r>
              <w:rPr>
                <w:rFonts w:eastAsia="Arial"/>
                <w:lang w:val="en-AU"/>
              </w:rPr>
              <w:t xml:space="preserve">help </w:t>
            </w:r>
            <w:r w:rsidRPr="009669DE">
              <w:rPr>
                <w:rFonts w:eastAsia="Arial"/>
                <w:lang w:val="en-AU"/>
              </w:rPr>
              <w:t xml:space="preserve">duty holders to understand our regulatory approach and </w:t>
            </w:r>
            <w:r>
              <w:rPr>
                <w:rFonts w:eastAsia="Arial"/>
                <w:lang w:val="en-AU"/>
              </w:rPr>
              <w:t xml:space="preserve">focus </w:t>
            </w:r>
            <w:r w:rsidRPr="009669DE">
              <w:rPr>
                <w:rFonts w:eastAsia="Arial"/>
                <w:lang w:val="en-AU"/>
              </w:rPr>
              <w:t>areas.</w:t>
            </w:r>
          </w:p>
        </w:tc>
      </w:tr>
      <w:tr w:rsidR="00FB02F3" w:rsidRPr="009669DE" w14:paraId="5E9686DD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336328E5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t>Fair</w:t>
            </w:r>
          </w:p>
        </w:tc>
        <w:tc>
          <w:tcPr>
            <w:tcW w:w="4027" w:type="pct"/>
          </w:tcPr>
          <w:p w14:paraId="7E24A338" w14:textId="77777777" w:rsidR="00FB02F3" w:rsidRPr="009669DE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>We treat all social service providers equally, without favouritism or prejudice</w:t>
            </w:r>
            <w:r>
              <w:rPr>
                <w:lang w:val="en-AU"/>
              </w:rPr>
              <w:t>.</w:t>
            </w:r>
            <w:r w:rsidRPr="009669DE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We </w:t>
            </w:r>
            <w:r w:rsidRPr="009669DE">
              <w:rPr>
                <w:lang w:val="en-AU"/>
              </w:rPr>
              <w:t>focus on procedural fairness.</w:t>
            </w:r>
          </w:p>
        </w:tc>
      </w:tr>
      <w:tr w:rsidR="00FB02F3" w:rsidRPr="009669DE" w14:paraId="7D079742" w14:textId="77777777" w:rsidTr="00876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4FC0BF4D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t>Proportionate</w:t>
            </w:r>
          </w:p>
        </w:tc>
        <w:tc>
          <w:tcPr>
            <w:tcW w:w="4027" w:type="pct"/>
          </w:tcPr>
          <w:p w14:paraId="3077BFD8" w14:textId="77777777" w:rsidR="00FB02F3" w:rsidRPr="009669DE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>We make decisions using an intelligence-led and integrated approach that is proportionate to risk and minimises regulatory burden.</w:t>
            </w:r>
          </w:p>
        </w:tc>
      </w:tr>
      <w:tr w:rsidR="00FB02F3" w:rsidRPr="009669DE" w14:paraId="0C94A432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2742BE5B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lastRenderedPageBreak/>
              <w:t>Effective</w:t>
            </w:r>
          </w:p>
        </w:tc>
        <w:tc>
          <w:tcPr>
            <w:tcW w:w="4027" w:type="pct"/>
          </w:tcPr>
          <w:p w14:paraId="468D7ACE" w14:textId="77777777" w:rsidR="00FB02F3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 xml:space="preserve">We </w:t>
            </w:r>
            <w:r>
              <w:rPr>
                <w:lang w:val="en-AU"/>
              </w:rPr>
              <w:t>use our</w:t>
            </w:r>
            <w:r w:rsidRPr="009669DE">
              <w:rPr>
                <w:lang w:val="en-AU"/>
              </w:rPr>
              <w:t xml:space="preserve"> resources where they</w:t>
            </w:r>
            <w:r>
              <w:rPr>
                <w:lang w:val="en-AU"/>
              </w:rPr>
              <w:t xml:space="preserve"> will:</w:t>
            </w:r>
          </w:p>
          <w:p w14:paraId="3CAD1132" w14:textId="77777777" w:rsidR="00FB02F3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 xml:space="preserve">have the greatest positive </w:t>
            </w:r>
            <w:proofErr w:type="gramStart"/>
            <w:r w:rsidRPr="009669DE">
              <w:rPr>
                <w:lang w:val="en-AU"/>
              </w:rPr>
              <w:t>effect</w:t>
            </w:r>
            <w:proofErr w:type="gramEnd"/>
          </w:p>
          <w:p w14:paraId="56797544" w14:textId="77777777" w:rsidR="00FB02F3" w:rsidRPr="009669DE" w:rsidRDefault="00FB02F3" w:rsidP="0087613E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>protect the safety, wellbeing and rights of people accessing social services.</w:t>
            </w:r>
          </w:p>
        </w:tc>
      </w:tr>
      <w:tr w:rsidR="00FB02F3" w:rsidRPr="009669DE" w14:paraId="6D53F0A6" w14:textId="77777777" w:rsidTr="00876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3D6BDA9F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t xml:space="preserve">Clear </w:t>
            </w:r>
          </w:p>
        </w:tc>
        <w:tc>
          <w:tcPr>
            <w:tcW w:w="4027" w:type="pct"/>
          </w:tcPr>
          <w:p w14:paraId="6DAED209" w14:textId="77777777" w:rsidR="00FB02F3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 xml:space="preserve">We communicate our messages, </w:t>
            </w:r>
            <w:proofErr w:type="gramStart"/>
            <w:r w:rsidRPr="009669DE">
              <w:rPr>
                <w:lang w:val="en-AU"/>
              </w:rPr>
              <w:t>advice</w:t>
            </w:r>
            <w:proofErr w:type="gramEnd"/>
            <w:r w:rsidRPr="009669DE">
              <w:rPr>
                <w:lang w:val="en-AU"/>
              </w:rPr>
              <w:t xml:space="preserve"> and enforcement actions in a clear, accessible and concise </w:t>
            </w:r>
            <w:r>
              <w:rPr>
                <w:lang w:val="en-AU"/>
              </w:rPr>
              <w:t>way.</w:t>
            </w:r>
          </w:p>
          <w:p w14:paraId="66BCA006" w14:textId="77777777" w:rsidR="00FB02F3" w:rsidRPr="009669DE" w:rsidRDefault="00FB02F3" w:rsidP="0087613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We </w:t>
            </w:r>
            <w:r w:rsidRPr="009669DE">
              <w:rPr>
                <w:lang w:val="en-AU"/>
              </w:rPr>
              <w:t>us</w:t>
            </w:r>
            <w:r>
              <w:rPr>
                <w:lang w:val="en-AU"/>
              </w:rPr>
              <w:t>e</w:t>
            </w:r>
            <w:r w:rsidRPr="009669DE">
              <w:rPr>
                <w:lang w:val="en-AU"/>
              </w:rPr>
              <w:t xml:space="preserve"> communication channels </w:t>
            </w:r>
            <w:r>
              <w:rPr>
                <w:lang w:val="en-AU"/>
              </w:rPr>
              <w:t>that meet the needs of</w:t>
            </w:r>
            <w:r w:rsidRPr="009669DE">
              <w:rPr>
                <w:lang w:val="en-AU"/>
              </w:rPr>
              <w:t xml:space="preserve"> service users, </w:t>
            </w:r>
            <w:proofErr w:type="gramStart"/>
            <w:r w:rsidRPr="009669DE">
              <w:rPr>
                <w:lang w:val="en-AU"/>
              </w:rPr>
              <w:t>providers</w:t>
            </w:r>
            <w:proofErr w:type="gramEnd"/>
            <w:r w:rsidRPr="009669DE">
              <w:rPr>
                <w:lang w:val="en-AU"/>
              </w:rPr>
              <w:t xml:space="preserve"> and the community.</w:t>
            </w:r>
          </w:p>
        </w:tc>
      </w:tr>
      <w:tr w:rsidR="00FB02F3" w:rsidRPr="009669DE" w14:paraId="3C2110B6" w14:textId="77777777" w:rsidTr="00876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484414C7" w14:textId="77777777" w:rsidR="00FB02F3" w:rsidRPr="001C3B2F" w:rsidRDefault="00FB02F3" w:rsidP="0087613E">
            <w:pPr>
              <w:pStyle w:val="Tabletext"/>
              <w:rPr>
                <w:b/>
                <w:bCs/>
                <w:lang w:val="en-AU"/>
              </w:rPr>
            </w:pPr>
            <w:r w:rsidRPr="001C3B2F">
              <w:rPr>
                <w:b/>
                <w:bCs/>
                <w:lang w:val="en-AU"/>
              </w:rPr>
              <w:t xml:space="preserve">Inclusive </w:t>
            </w:r>
          </w:p>
        </w:tc>
        <w:tc>
          <w:tcPr>
            <w:tcW w:w="4027" w:type="pct"/>
          </w:tcPr>
          <w:p w14:paraId="76DDF586" w14:textId="77777777" w:rsidR="00FB02F3" w:rsidRPr="009669DE" w:rsidRDefault="00FB02F3" w:rsidP="008761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9669DE">
              <w:rPr>
                <w:lang w:val="en-AU"/>
              </w:rPr>
              <w:t xml:space="preserve">We engage with </w:t>
            </w:r>
            <w:r>
              <w:rPr>
                <w:lang w:val="en-AU"/>
              </w:rPr>
              <w:t xml:space="preserve">and </w:t>
            </w:r>
            <w:r w:rsidRPr="009669DE">
              <w:rPr>
                <w:lang w:val="en-AU"/>
              </w:rPr>
              <w:t xml:space="preserve">consider the needs </w:t>
            </w:r>
            <w:r>
              <w:rPr>
                <w:lang w:val="en-AU"/>
              </w:rPr>
              <w:t xml:space="preserve">of </w:t>
            </w:r>
            <w:r w:rsidRPr="009669DE">
              <w:rPr>
                <w:lang w:val="en-AU"/>
              </w:rPr>
              <w:t xml:space="preserve">the diverse stakeholders who access, </w:t>
            </w:r>
            <w:proofErr w:type="gramStart"/>
            <w:r w:rsidRPr="009669DE">
              <w:rPr>
                <w:lang w:val="en-AU"/>
              </w:rPr>
              <w:t>provide</w:t>
            </w:r>
            <w:proofErr w:type="gramEnd"/>
            <w:r w:rsidRPr="009669DE">
              <w:rPr>
                <w:lang w:val="en-AU"/>
              </w:rPr>
              <w:t xml:space="preserve"> and interact with the social services we regulate.</w:t>
            </w:r>
          </w:p>
        </w:tc>
      </w:tr>
    </w:tbl>
    <w:p w14:paraId="5B8AF9D8" w14:textId="77777777" w:rsidR="00FB02F3" w:rsidRDefault="00FB02F3" w:rsidP="00FB02F3">
      <w:pPr>
        <w:pStyle w:val="Body"/>
      </w:pPr>
    </w:p>
    <w:p w14:paraId="7D9FCA9A" w14:textId="77777777" w:rsidR="00FB02F3" w:rsidRDefault="00FB02F3" w:rsidP="00FB02F3">
      <w:pPr>
        <w:pStyle w:val="Heading2"/>
      </w:pPr>
      <w:bookmarkStart w:id="9" w:name="_Toc168314415"/>
      <w:r>
        <w:t>How we regulate</w:t>
      </w:r>
      <w:bookmarkEnd w:id="9"/>
    </w:p>
    <w:p w14:paraId="762C6ECD" w14:textId="51E486D8" w:rsidR="00FB02F3" w:rsidRDefault="00FB02F3" w:rsidP="00FB02F3">
      <w:pPr>
        <w:pStyle w:val="Bodyafterbullets"/>
      </w:pPr>
      <w:r>
        <w:t>In our role to limit risks of harm to service users, we put in place a robust r</w:t>
      </w:r>
      <w:r w:rsidRPr="00705F0E">
        <w:t>egist</w:t>
      </w:r>
      <w:r>
        <w:t xml:space="preserve">ration process to make sure providers </w:t>
      </w:r>
      <w:r>
        <w:rPr>
          <w:b/>
        </w:rPr>
        <w:t xml:space="preserve">can deliver </w:t>
      </w:r>
      <w:r w:rsidRPr="4D6CDC53">
        <w:rPr>
          <w:b/>
        </w:rPr>
        <w:t>safe services</w:t>
      </w:r>
      <w:r w:rsidRPr="4D6CDC53">
        <w:t xml:space="preserve"> before </w:t>
      </w:r>
      <w:r>
        <w:t>they offer those</w:t>
      </w:r>
      <w:r w:rsidRPr="4D6CDC53">
        <w:t xml:space="preserve"> services</w:t>
      </w:r>
      <w:r>
        <w:t>.</w:t>
      </w:r>
    </w:p>
    <w:p w14:paraId="21A3AE3A" w14:textId="77777777" w:rsidR="00FB02F3" w:rsidRDefault="00FB02F3" w:rsidP="00FB02F3">
      <w:pPr>
        <w:pStyle w:val="Bodyafterbullets"/>
      </w:pPr>
      <w:r>
        <w:t>W</w:t>
      </w:r>
      <w:r w:rsidRPr="00441075">
        <w:t xml:space="preserve">e provide education, </w:t>
      </w:r>
      <w:proofErr w:type="gramStart"/>
      <w:r w:rsidRPr="00441075">
        <w:t>guidance</w:t>
      </w:r>
      <w:proofErr w:type="gramEnd"/>
      <w:r w:rsidRPr="00441075">
        <w:t xml:space="preserve"> and support to help service providers understand and meet the </w:t>
      </w:r>
      <w:r>
        <w:t xml:space="preserve">six </w:t>
      </w:r>
      <w:r w:rsidRPr="00441075">
        <w:t>Social Services Standards and monitor and enforce compliance with the</w:t>
      </w:r>
      <w:r>
        <w:t>se</w:t>
      </w:r>
      <w:r w:rsidRPr="00441075">
        <w:t xml:space="preserve"> Standards and </w:t>
      </w:r>
      <w:r>
        <w:t xml:space="preserve">the </w:t>
      </w:r>
      <w:r w:rsidRPr="00441075">
        <w:t>Child Safe Standards</w:t>
      </w:r>
      <w:r>
        <w:t>.</w:t>
      </w:r>
    </w:p>
    <w:p w14:paraId="1F5FB55F" w14:textId="77777777" w:rsidR="00FB02F3" w:rsidRDefault="00FB02F3" w:rsidP="00FB02F3">
      <w:pPr>
        <w:pStyle w:val="Bodyafterbullets"/>
      </w:pPr>
      <w:r>
        <w:t>When needed, w</w:t>
      </w:r>
      <w:r w:rsidRPr="008957D4">
        <w:t>e</w:t>
      </w:r>
      <w:r w:rsidRPr="00131F17">
        <w:t xml:space="preserve"> will use the full range of regulatory powers to </w:t>
      </w:r>
      <w:r>
        <w:t xml:space="preserve">protect service users by </w:t>
      </w:r>
      <w:r w:rsidRPr="7BEFEEB9">
        <w:t>using our compliance and enforcement tools to reduce and remove risks of harm to service users</w:t>
      </w:r>
      <w:r>
        <w:t>.</w:t>
      </w:r>
    </w:p>
    <w:p w14:paraId="35BDD03C" w14:textId="77777777" w:rsidR="00FB02F3" w:rsidRDefault="00FB02F3" w:rsidP="00FB02F3">
      <w:pPr>
        <w:pStyle w:val="Bodyafterbullets"/>
      </w:pPr>
      <w:r>
        <w:t xml:space="preserve">We work with stakeholders to build confidence in the safe delivery of social services. </w:t>
      </w:r>
      <w:r w:rsidRPr="00655DCB">
        <w:t>We build confidence by</w:t>
      </w:r>
      <w:r>
        <w:t>:</w:t>
      </w:r>
    </w:p>
    <w:p w14:paraId="4DEA55A7" w14:textId="77777777" w:rsidR="00FB02F3" w:rsidRDefault="00FB02F3" w:rsidP="00FB02F3">
      <w:pPr>
        <w:pStyle w:val="Bullet1"/>
      </w:pPr>
      <w:r>
        <w:t>identifying sector trends and needs</w:t>
      </w:r>
      <w:r w:rsidRPr="004B6EA6">
        <w:t xml:space="preserve"> </w:t>
      </w:r>
      <w:r>
        <w:t xml:space="preserve">by collecting and </w:t>
      </w:r>
      <w:r w:rsidRPr="004B6EA6">
        <w:t>analys</w:t>
      </w:r>
      <w:r>
        <w:t xml:space="preserve">ing information, including through notifications and incident </w:t>
      </w:r>
      <w:proofErr w:type="gramStart"/>
      <w:r>
        <w:t>reporting</w:t>
      </w:r>
      <w:proofErr w:type="gramEnd"/>
    </w:p>
    <w:p w14:paraId="31E4C8ED" w14:textId="77777777" w:rsidR="00FB02F3" w:rsidRDefault="00FB02F3" w:rsidP="00FB02F3">
      <w:pPr>
        <w:pStyle w:val="Bullet1"/>
      </w:pPr>
      <w:r>
        <w:t xml:space="preserve">making sure our decisions are fair, data-driven and focused on reducing regulatory </w:t>
      </w:r>
      <w:proofErr w:type="gramStart"/>
      <w:r>
        <w:t>burden</w:t>
      </w:r>
      <w:proofErr w:type="gramEnd"/>
    </w:p>
    <w:p w14:paraId="30FCFD19" w14:textId="77777777" w:rsidR="00FB02F3" w:rsidRDefault="00FB02F3" w:rsidP="00FB02F3">
      <w:pPr>
        <w:pStyle w:val="Bullet1"/>
      </w:pPr>
      <w:r>
        <w:t>using issues and trends observed to contribute to the ongoing development of the social services sector.</w:t>
      </w:r>
    </w:p>
    <w:p w14:paraId="7486691E" w14:textId="77777777" w:rsidR="00FB02F3" w:rsidRDefault="00FB02F3" w:rsidP="00FB02F3">
      <w:pPr>
        <w:pStyle w:val="Bodyafterbullets"/>
      </w:pPr>
      <w:r>
        <w:t>We work with other regulators to improve information sharing and to better identify and respond to risks of harm.</w:t>
      </w:r>
    </w:p>
    <w:p w14:paraId="637B9736" w14:textId="77777777" w:rsidR="00FB02F3" w:rsidRPr="00441075" w:rsidRDefault="00FB02F3" w:rsidP="00FB02F3">
      <w:pPr>
        <w:pStyle w:val="Bodyafterbullets"/>
      </w:pPr>
      <w:r>
        <w:t>We also a</w:t>
      </w:r>
      <w:r w:rsidRPr="00705F0E">
        <w:t xml:space="preserve">dminister </w:t>
      </w:r>
      <w:r>
        <w:t>the Worker Carer Exclusion Scheme.</w:t>
      </w:r>
    </w:p>
    <w:p w14:paraId="1764E170" w14:textId="77777777" w:rsidR="00FB02F3" w:rsidRPr="00DE311C" w:rsidRDefault="00FB02F3" w:rsidP="00FB02F3">
      <w:pPr>
        <w:pStyle w:val="Heading2"/>
        <w:rPr>
          <w:bCs/>
        </w:rPr>
      </w:pPr>
      <w:bookmarkStart w:id="10" w:name="_Toc168314416"/>
      <w:r w:rsidRPr="00DE311C">
        <w:t>Reasonably practicable</w:t>
      </w:r>
      <w:r>
        <w:t>:</w:t>
      </w:r>
      <w:r w:rsidRPr="00DE311C">
        <w:t xml:space="preserve"> a</w:t>
      </w:r>
      <w:r>
        <w:t>n important</w:t>
      </w:r>
      <w:r w:rsidRPr="00DE311C">
        <w:t xml:space="preserve"> </w:t>
      </w:r>
      <w:r>
        <w:t>factor</w:t>
      </w:r>
      <w:r w:rsidRPr="00DE311C">
        <w:t xml:space="preserve"> in our decisions</w:t>
      </w:r>
      <w:bookmarkEnd w:id="10"/>
    </w:p>
    <w:p w14:paraId="142951F8" w14:textId="77777777" w:rsidR="00FB02F3" w:rsidRDefault="00FB02F3" w:rsidP="00FB02F3">
      <w:pPr>
        <w:pStyle w:val="Body"/>
      </w:pPr>
      <w:r>
        <w:t>P</w:t>
      </w:r>
      <w:r w:rsidRPr="00C41C65">
        <w:t xml:space="preserve">roviders </w:t>
      </w:r>
      <w:r>
        <w:t>must</w:t>
      </w:r>
      <w:r w:rsidRPr="00C41C65">
        <w:t xml:space="preserve"> </w:t>
      </w:r>
      <w:r>
        <w:t xml:space="preserve">make </w:t>
      </w:r>
      <w:r w:rsidRPr="00C41C65">
        <w:t xml:space="preserve">sure that their systems and processes </w:t>
      </w:r>
      <w:r>
        <w:t xml:space="preserve">meet </w:t>
      </w:r>
      <w:r w:rsidRPr="00C41C65">
        <w:t xml:space="preserve">the </w:t>
      </w:r>
      <w:r>
        <w:t>requirements of the scheme</w:t>
      </w:r>
      <w:r w:rsidRPr="00C41C65">
        <w:t xml:space="preserve"> </w:t>
      </w:r>
      <w:r>
        <w:t xml:space="preserve">for their registered services </w:t>
      </w:r>
      <w:r w:rsidRPr="00C41C65">
        <w:t>as far as is ‘</w:t>
      </w:r>
      <w:r w:rsidRPr="00D0154D">
        <w:rPr>
          <w:rStyle w:val="Strong"/>
        </w:rPr>
        <w:t>reasonably practicable</w:t>
      </w:r>
      <w:r w:rsidRPr="00C41C65">
        <w:t>’.</w:t>
      </w:r>
      <w:r>
        <w:t xml:space="preserve"> </w:t>
      </w:r>
    </w:p>
    <w:p w14:paraId="103A4720" w14:textId="77777777" w:rsidR="00FB02F3" w:rsidRDefault="00FB02F3" w:rsidP="00FB02F3">
      <w:pPr>
        <w:pStyle w:val="Body"/>
      </w:pPr>
      <w:r>
        <w:t>This means that providers need to show that they have taken reasonable steps to meet the Standards.</w:t>
      </w:r>
    </w:p>
    <w:p w14:paraId="26C75AA9" w14:textId="77777777" w:rsidR="00FB02F3" w:rsidRPr="00DE311C" w:rsidRDefault="00FB02F3" w:rsidP="00FB02F3">
      <w:pPr>
        <w:pStyle w:val="Body"/>
      </w:pPr>
      <w:r w:rsidRPr="00DE311C">
        <w:t xml:space="preserve">In deciding what is ‘reasonably practicable’ the Regulator </w:t>
      </w:r>
      <w:r>
        <w:t>considers</w:t>
      </w:r>
      <w:r w:rsidRPr="00DE311C">
        <w:t>:</w:t>
      </w:r>
    </w:p>
    <w:p w14:paraId="48EDDC89" w14:textId="77777777" w:rsidR="00FB02F3" w:rsidRPr="002A3166" w:rsidRDefault="00FB02F3" w:rsidP="00FB02F3">
      <w:pPr>
        <w:pStyle w:val="Bullet1"/>
      </w:pPr>
      <w:r w:rsidRPr="002A3166">
        <w:t xml:space="preserve">the </w:t>
      </w:r>
      <w:r w:rsidRPr="00145474">
        <w:rPr>
          <w:rStyle w:val="Strong"/>
        </w:rPr>
        <w:t>likelihood</w:t>
      </w:r>
      <w:r w:rsidRPr="002A3166">
        <w:t xml:space="preserve"> of any risks that:</w:t>
      </w:r>
    </w:p>
    <w:p w14:paraId="6832571F" w14:textId="77777777" w:rsidR="00FB02F3" w:rsidRPr="009669DE" w:rsidRDefault="00FB02F3" w:rsidP="00FB02F3">
      <w:pPr>
        <w:pStyle w:val="Bullet2"/>
      </w:pPr>
      <w:r w:rsidRPr="009669DE">
        <w:t xml:space="preserve">a service user’s rights would be </w:t>
      </w:r>
      <w:proofErr w:type="gramStart"/>
      <w:r w:rsidRPr="009669DE">
        <w:t>contravened</w:t>
      </w:r>
      <w:proofErr w:type="gramEnd"/>
    </w:p>
    <w:p w14:paraId="6E453AEB" w14:textId="77777777" w:rsidR="00FB02F3" w:rsidRPr="009669DE" w:rsidRDefault="00FB02F3" w:rsidP="00FB02F3">
      <w:pPr>
        <w:pStyle w:val="Bullet2"/>
      </w:pPr>
      <w:r w:rsidRPr="009669DE">
        <w:t xml:space="preserve">a service user would suffer avoidable harm caused by abuse or neglect in connection with social service </w:t>
      </w:r>
      <w:proofErr w:type="gramStart"/>
      <w:r w:rsidRPr="009669DE">
        <w:t>delivery</w:t>
      </w:r>
      <w:proofErr w:type="gramEnd"/>
    </w:p>
    <w:p w14:paraId="70F23078" w14:textId="77777777" w:rsidR="00FB02F3" w:rsidRPr="002A3166" w:rsidRDefault="00FB02F3" w:rsidP="00FB02F3">
      <w:pPr>
        <w:pStyle w:val="Bullet1"/>
      </w:pPr>
      <w:r w:rsidRPr="002A3166">
        <w:t xml:space="preserve">the </w:t>
      </w:r>
      <w:r w:rsidRPr="00D0154D">
        <w:rPr>
          <w:rStyle w:val="Strong"/>
        </w:rPr>
        <w:t>extent</w:t>
      </w:r>
      <w:r w:rsidRPr="002A3166">
        <w:rPr>
          <w:i/>
          <w:iCs/>
        </w:rPr>
        <w:t xml:space="preserve"> </w:t>
      </w:r>
      <w:r w:rsidRPr="002A3166">
        <w:t xml:space="preserve">of the impact on a service user if the contravention or harm </w:t>
      </w:r>
      <w:proofErr w:type="gramStart"/>
      <w:r w:rsidRPr="002A3166">
        <w:t>occurred</w:t>
      </w:r>
      <w:proofErr w:type="gramEnd"/>
    </w:p>
    <w:p w14:paraId="163A6967" w14:textId="77777777" w:rsidR="00FB02F3" w:rsidRDefault="00FB02F3" w:rsidP="00FB02F3">
      <w:pPr>
        <w:pStyle w:val="Bullet1"/>
      </w:pPr>
      <w:r w:rsidRPr="00145474">
        <w:t>what the registered social service provider knew</w:t>
      </w:r>
      <w:r w:rsidRPr="002A3166">
        <w:t xml:space="preserve"> (or ought to have known) about any</w:t>
      </w:r>
      <w:r>
        <w:t>:</w:t>
      </w:r>
    </w:p>
    <w:p w14:paraId="59EA46FE" w14:textId="77777777" w:rsidR="00FB02F3" w:rsidRDefault="00FB02F3" w:rsidP="00FB02F3">
      <w:pPr>
        <w:pStyle w:val="Bullet2"/>
      </w:pPr>
      <w:r w:rsidRPr="002A3166">
        <w:t>harms</w:t>
      </w:r>
    </w:p>
    <w:p w14:paraId="0BB26F6B" w14:textId="77777777" w:rsidR="00FB02F3" w:rsidRDefault="00FB02F3" w:rsidP="00FB02F3">
      <w:pPr>
        <w:pStyle w:val="Bullet2"/>
      </w:pPr>
      <w:r w:rsidRPr="002A3166">
        <w:t>risks of harm</w:t>
      </w:r>
    </w:p>
    <w:p w14:paraId="576919FC" w14:textId="77777777" w:rsidR="00FB02F3" w:rsidRPr="002A3166" w:rsidRDefault="00FB02F3" w:rsidP="00FB02F3">
      <w:pPr>
        <w:pStyle w:val="Bullet2"/>
      </w:pPr>
      <w:r w:rsidRPr="002A3166">
        <w:lastRenderedPageBreak/>
        <w:t>ways of eliminating or reducing risks</w:t>
      </w:r>
    </w:p>
    <w:p w14:paraId="7616C8A3" w14:textId="77777777" w:rsidR="00FB02F3" w:rsidRPr="002A3166" w:rsidRDefault="00FB02F3" w:rsidP="00FB02F3">
      <w:pPr>
        <w:pStyle w:val="Bullet1"/>
        <w:rPr>
          <w:lang w:eastAsia="zh-CN"/>
        </w:rPr>
      </w:pPr>
      <w:r w:rsidRPr="002A3166">
        <w:rPr>
          <w:lang w:eastAsia="zh-CN"/>
        </w:rPr>
        <w:t xml:space="preserve">the </w:t>
      </w:r>
      <w:r w:rsidRPr="00D0154D">
        <w:rPr>
          <w:b/>
          <w:bCs/>
          <w:lang w:eastAsia="zh-CN"/>
        </w:rPr>
        <w:t>availability, suitability and cost</w:t>
      </w:r>
      <w:r w:rsidRPr="002A3166">
        <w:rPr>
          <w:lang w:eastAsia="zh-CN"/>
        </w:rPr>
        <w:t xml:space="preserve"> of </w:t>
      </w:r>
      <w:r>
        <w:rPr>
          <w:lang w:eastAsia="zh-CN"/>
        </w:rPr>
        <w:t xml:space="preserve">risk </w:t>
      </w:r>
      <w:r w:rsidRPr="19DD262F">
        <w:rPr>
          <w:lang w:eastAsia="zh-CN"/>
        </w:rPr>
        <w:t>remov</w:t>
      </w:r>
      <w:r>
        <w:rPr>
          <w:lang w:eastAsia="zh-CN"/>
        </w:rPr>
        <w:t>al</w:t>
      </w:r>
      <w:r w:rsidRPr="19DD262F">
        <w:rPr>
          <w:lang w:eastAsia="zh-CN"/>
        </w:rPr>
        <w:t xml:space="preserve"> or reduc</w:t>
      </w:r>
      <w:r>
        <w:rPr>
          <w:lang w:eastAsia="zh-CN"/>
        </w:rPr>
        <w:t>tion</w:t>
      </w:r>
      <w:r w:rsidRPr="002A3166">
        <w:rPr>
          <w:lang w:eastAsia="zh-CN"/>
        </w:rPr>
        <w:t>.</w:t>
      </w:r>
    </w:p>
    <w:p w14:paraId="631C0B3A" w14:textId="77777777" w:rsidR="00FB02F3" w:rsidRPr="005F5C76" w:rsidRDefault="00FB02F3" w:rsidP="00FB02F3">
      <w:pPr>
        <w:pStyle w:val="Heading2"/>
      </w:pPr>
      <w:bookmarkStart w:id="11" w:name="_Toc168314417"/>
      <w:r>
        <w:t>Background: who we regulate</w:t>
      </w:r>
      <w:bookmarkEnd w:id="11"/>
    </w:p>
    <w:p w14:paraId="45E78D35" w14:textId="77777777" w:rsidR="00FB02F3" w:rsidRDefault="00FB02F3" w:rsidP="00FB02F3">
      <w:pPr>
        <w:pStyle w:val="Body"/>
      </w:pPr>
      <w:r w:rsidRPr="009669DE">
        <w:t xml:space="preserve">The scheme applies to services set out in the </w:t>
      </w:r>
      <w:r w:rsidRPr="009A08A2">
        <w:rPr>
          <w:i/>
          <w:iCs/>
        </w:rPr>
        <w:t>Social Services Regulations 2023</w:t>
      </w:r>
      <w:r w:rsidRPr="009669DE">
        <w:t>.</w:t>
      </w:r>
    </w:p>
    <w:p w14:paraId="5F20FBA0" w14:textId="77777777" w:rsidR="00FB02F3" w:rsidRPr="009669DE" w:rsidRDefault="00FB02F3" w:rsidP="00FB02F3">
      <w:pPr>
        <w:pStyle w:val="Body"/>
      </w:pPr>
      <w:r w:rsidRPr="006B09AA">
        <w:t xml:space="preserve">Social services that we regulate </w:t>
      </w:r>
      <w:r w:rsidRPr="009669DE">
        <w:t>include:</w:t>
      </w:r>
    </w:p>
    <w:p w14:paraId="0F620D02" w14:textId="77777777" w:rsidR="00FB02F3" w:rsidRPr="00705F0E" w:rsidRDefault="00FB02F3" w:rsidP="00FB02F3">
      <w:pPr>
        <w:pStyle w:val="Bullet1"/>
      </w:pPr>
      <w:r w:rsidRPr="00705F0E">
        <w:t>child protection services</w:t>
      </w:r>
    </w:p>
    <w:p w14:paraId="3F99BE13" w14:textId="77777777" w:rsidR="00FB02F3" w:rsidRPr="00705F0E" w:rsidRDefault="00FB02F3" w:rsidP="00FB02F3">
      <w:pPr>
        <w:pStyle w:val="Bullet1"/>
      </w:pPr>
      <w:r w:rsidRPr="00705F0E">
        <w:t>community</w:t>
      </w:r>
      <w:r>
        <w:t>-</w:t>
      </w:r>
      <w:r w:rsidRPr="009669DE">
        <w:t>based</w:t>
      </w:r>
      <w:r w:rsidRPr="00705F0E">
        <w:t xml:space="preserve"> child and family services</w:t>
      </w:r>
    </w:p>
    <w:p w14:paraId="081DA929" w14:textId="322FC547" w:rsidR="00FB02F3" w:rsidRPr="00705F0E" w:rsidRDefault="00FB02F3" w:rsidP="00FB02F3">
      <w:pPr>
        <w:pStyle w:val="Bullet1"/>
      </w:pPr>
      <w:r w:rsidRPr="00705F0E">
        <w:t>disability services</w:t>
      </w:r>
      <w:r>
        <w:t xml:space="preserve"> (with some exc</w:t>
      </w:r>
      <w:r w:rsidR="00FB3904">
        <w:t>lusions</w:t>
      </w:r>
      <w:r>
        <w:t>)</w:t>
      </w:r>
    </w:p>
    <w:p w14:paraId="74EF3D98" w14:textId="77777777" w:rsidR="00FB02F3" w:rsidRPr="00705F0E" w:rsidRDefault="00FB02F3" w:rsidP="00FB02F3">
      <w:pPr>
        <w:pStyle w:val="Bullet1"/>
      </w:pPr>
      <w:r w:rsidRPr="00705F0E">
        <w:t>family violence services</w:t>
      </w:r>
    </w:p>
    <w:p w14:paraId="191AD6CC" w14:textId="77777777" w:rsidR="00FB02F3" w:rsidRPr="00705F0E" w:rsidRDefault="00FB02F3" w:rsidP="00FB02F3">
      <w:pPr>
        <w:pStyle w:val="Bullet1"/>
      </w:pPr>
      <w:r w:rsidRPr="00705F0E">
        <w:t>homelessness services</w:t>
      </w:r>
    </w:p>
    <w:p w14:paraId="35AF1D36" w14:textId="77777777" w:rsidR="00FB02F3" w:rsidRPr="00705F0E" w:rsidRDefault="00FB02F3" w:rsidP="00FB02F3">
      <w:pPr>
        <w:pStyle w:val="Bullet1"/>
      </w:pPr>
      <w:r w:rsidRPr="00705F0E">
        <w:t>out</w:t>
      </w:r>
      <w:r>
        <w:t>-</w:t>
      </w:r>
      <w:r w:rsidRPr="00705F0E">
        <w:t>of</w:t>
      </w:r>
      <w:r>
        <w:t>-h</w:t>
      </w:r>
      <w:r w:rsidRPr="00705F0E">
        <w:t xml:space="preserve">ome </w:t>
      </w:r>
      <w:r>
        <w:t>c</w:t>
      </w:r>
      <w:r w:rsidRPr="00705F0E">
        <w:t>are services</w:t>
      </w:r>
    </w:p>
    <w:p w14:paraId="1A0076F0" w14:textId="77777777" w:rsidR="00FB02F3" w:rsidRPr="00705F0E" w:rsidRDefault="00FB02F3" w:rsidP="00FB02F3">
      <w:pPr>
        <w:pStyle w:val="Bullet1"/>
      </w:pPr>
      <w:r w:rsidRPr="00705F0E">
        <w:t>secure welfare services</w:t>
      </w:r>
    </w:p>
    <w:p w14:paraId="1EDF9242" w14:textId="77777777" w:rsidR="00FB02F3" w:rsidRPr="00705F0E" w:rsidRDefault="00FB02F3" w:rsidP="00FB02F3">
      <w:pPr>
        <w:pStyle w:val="Bullet1"/>
      </w:pPr>
      <w:r w:rsidRPr="00705F0E">
        <w:t>sexual assault services</w:t>
      </w:r>
    </w:p>
    <w:p w14:paraId="01FAA2E1" w14:textId="77777777" w:rsidR="00FB02F3" w:rsidRDefault="00FB02F3" w:rsidP="00FB02F3">
      <w:pPr>
        <w:pStyle w:val="Bullet1"/>
      </w:pPr>
      <w:r w:rsidRPr="00705F0E">
        <w:t>supported residential services</w:t>
      </w:r>
      <w:r>
        <w:t>.</w:t>
      </w:r>
    </w:p>
    <w:p w14:paraId="07474E5C" w14:textId="77777777" w:rsidR="00FB02F3" w:rsidRDefault="00FB02F3" w:rsidP="00FB02F3">
      <w:pPr>
        <w:pStyle w:val="Bodyafterbullets"/>
      </w:pPr>
      <w:r>
        <w:t>In-scope providers of social services in Victoria need to:</w:t>
      </w:r>
    </w:p>
    <w:p w14:paraId="5595D0E0" w14:textId="77777777" w:rsidR="00FB02F3" w:rsidRDefault="00FB02F3" w:rsidP="00FB02F3">
      <w:pPr>
        <w:pStyle w:val="Bullet1"/>
      </w:pPr>
      <w:r w:rsidRPr="00883BD0">
        <w:t xml:space="preserve">register </w:t>
      </w:r>
      <w:r>
        <w:t>with the Social Services Regulator</w:t>
      </w:r>
    </w:p>
    <w:p w14:paraId="6F7B0DB6" w14:textId="77777777" w:rsidR="00FB02F3" w:rsidRDefault="00FB02F3" w:rsidP="00FB02F3">
      <w:pPr>
        <w:pStyle w:val="Bullet1"/>
      </w:pPr>
      <w:r>
        <w:t xml:space="preserve">meet </w:t>
      </w:r>
      <w:r w:rsidRPr="00CA03FD">
        <w:t xml:space="preserve">the Standards </w:t>
      </w:r>
      <w:r>
        <w:t xml:space="preserve">when providing </w:t>
      </w:r>
      <w:r w:rsidRPr="00CA03FD">
        <w:t xml:space="preserve">services that they are registered </w:t>
      </w:r>
      <w:r>
        <w:t>for</w:t>
      </w:r>
      <w:r w:rsidRPr="00CA03FD">
        <w:t>.</w:t>
      </w:r>
    </w:p>
    <w:p w14:paraId="5EC9E2B2" w14:textId="77777777" w:rsidR="00FB02F3" w:rsidRDefault="00FB02F3" w:rsidP="00FB02F3">
      <w:pPr>
        <w:pStyle w:val="Heading1"/>
      </w:pPr>
      <w:bookmarkStart w:id="12" w:name="_Toc168314418"/>
      <w:r>
        <w:t>Resources and contacts</w:t>
      </w:r>
      <w:bookmarkEnd w:id="12"/>
    </w:p>
    <w:p w14:paraId="020AAFF1" w14:textId="77777777" w:rsidR="00FB02F3" w:rsidRPr="009669DE" w:rsidRDefault="00FB02F3" w:rsidP="00FB02F3">
      <w:pPr>
        <w:pStyle w:val="Bodyafterbullets"/>
        <w:rPr>
          <w:b/>
          <w:bCs/>
        </w:rPr>
      </w:pPr>
      <w:r w:rsidRPr="009669DE">
        <w:rPr>
          <w:b/>
          <w:bCs/>
        </w:rPr>
        <w:t xml:space="preserve">Information sheets </w:t>
      </w:r>
      <w:r>
        <w:rPr>
          <w:b/>
          <w:bCs/>
        </w:rPr>
        <w:t>on</w:t>
      </w:r>
      <w:r w:rsidRPr="009669DE">
        <w:rPr>
          <w:b/>
          <w:bCs/>
        </w:rPr>
        <w:t xml:space="preserve"> each Standard:</w:t>
      </w:r>
    </w:p>
    <w:p w14:paraId="6F0C6BE4" w14:textId="77777777" w:rsidR="00FB02F3" w:rsidRDefault="00FB02F3" w:rsidP="00FB02F3">
      <w:pPr>
        <w:pStyle w:val="Bullet1"/>
      </w:pPr>
      <w:r>
        <w:t>A good starting point for providers to prepare to meet each Standard’s service requirements.</w:t>
      </w:r>
    </w:p>
    <w:p w14:paraId="4A9404A3" w14:textId="77777777" w:rsidR="008B0D9A" w:rsidRDefault="00FB02F3" w:rsidP="008B0D9A">
      <w:pPr>
        <w:pStyle w:val="Bullet1"/>
      </w:pPr>
      <w:r>
        <w:t>The tables in each Appendix suggest documents, other evidence and indicators of success that will help you meet the service requirements.</w:t>
      </w:r>
    </w:p>
    <w:p w14:paraId="44421A9F" w14:textId="6A4A7742" w:rsidR="008B0D9A" w:rsidRDefault="00FB02F3" w:rsidP="008B0D9A">
      <w:pPr>
        <w:pStyle w:val="Bullet1"/>
      </w:pPr>
      <w:r>
        <w:t xml:space="preserve">Available </w:t>
      </w:r>
      <w:r w:rsidR="008B0D9A">
        <w:t>at &lt;</w:t>
      </w:r>
      <w:r w:rsidR="008B0D9A" w:rsidRPr="008B0D9A">
        <w:rPr>
          <w:lang w:val="en-GB"/>
        </w:rPr>
        <w:t>https://www.vic.gov.au/social-services-regulator-social-services-standards</w:t>
      </w:r>
      <w:r w:rsidR="008B0D9A">
        <w:rPr>
          <w:lang w:val="en-GB"/>
        </w:rPr>
        <w:t>&gt;</w:t>
      </w:r>
    </w:p>
    <w:p w14:paraId="2B82C6E5" w14:textId="37041111" w:rsidR="00FB02F3" w:rsidRDefault="00FB02F3" w:rsidP="008B0D9A">
      <w:pPr>
        <w:pStyle w:val="Bullet1"/>
        <w:numPr>
          <w:ilvl w:val="0"/>
          <w:numId w:val="0"/>
        </w:numPr>
        <w:ind w:left="284"/>
      </w:pPr>
    </w:p>
    <w:p w14:paraId="53150553" w14:textId="77777777" w:rsidR="00FB02F3" w:rsidRDefault="00FB02F3" w:rsidP="00FB02F3">
      <w:pPr>
        <w:pStyle w:val="Bodyafterbullets"/>
      </w:pPr>
      <w:r w:rsidRPr="00B37B0B">
        <w:rPr>
          <w:b/>
          <w:bCs/>
        </w:rPr>
        <w:t>Guidance on the registration process</w:t>
      </w:r>
      <w:r>
        <w:t>:</w:t>
      </w:r>
    </w:p>
    <w:p w14:paraId="687A1B97" w14:textId="77777777" w:rsidR="00FB02F3" w:rsidRDefault="00FB02F3" w:rsidP="00FB02F3">
      <w:pPr>
        <w:pStyle w:val="Bullet1"/>
      </w:pPr>
      <w:r>
        <w:t xml:space="preserve">service provider groups for </w:t>
      </w:r>
      <w:proofErr w:type="gramStart"/>
      <w:r>
        <w:t>registration</w:t>
      </w:r>
      <w:proofErr w:type="gramEnd"/>
    </w:p>
    <w:p w14:paraId="2F8152E9" w14:textId="77777777" w:rsidR="00FB02F3" w:rsidRDefault="00FB02F3" w:rsidP="00FB02F3">
      <w:pPr>
        <w:pStyle w:val="Bullet1"/>
      </w:pPr>
      <w:r>
        <w:t>registration timeframes</w:t>
      </w:r>
    </w:p>
    <w:p w14:paraId="0F56936F" w14:textId="77777777" w:rsidR="00FB02F3" w:rsidRDefault="00FB02F3" w:rsidP="00FB02F3">
      <w:pPr>
        <w:pStyle w:val="Bullet1"/>
      </w:pPr>
      <w:r>
        <w:t>how to register</w:t>
      </w:r>
    </w:p>
    <w:p w14:paraId="0762B430" w14:textId="77777777" w:rsidR="00FB02F3" w:rsidRDefault="00FB02F3" w:rsidP="00FB02F3">
      <w:pPr>
        <w:pStyle w:val="Bullet1"/>
      </w:pPr>
      <w:r>
        <w:t xml:space="preserve">see the </w:t>
      </w:r>
      <w:hyperlink r:id="rId18" w:history="1">
        <w:r w:rsidRPr="00313AC6">
          <w:rPr>
            <w:rStyle w:val="Hyperlink"/>
          </w:rPr>
          <w:t>Victorian Government website’s Social Services Regulator registration page</w:t>
        </w:r>
      </w:hyperlink>
      <w:r>
        <w:t xml:space="preserve"> &lt;</w:t>
      </w:r>
      <w:r w:rsidRPr="00313AC6">
        <w:t>https://www.vic.gov.au/social-services-regulator-registration</w:t>
      </w:r>
      <w:r>
        <w:t>&gt;.</w:t>
      </w:r>
    </w:p>
    <w:p w14:paraId="70A74504" w14:textId="77777777" w:rsidR="00FB02F3" w:rsidRDefault="00FB02F3" w:rsidP="00FB02F3">
      <w:pPr>
        <w:pStyle w:val="Bodyafterbullets"/>
      </w:pPr>
      <w:r>
        <w:rPr>
          <w:b/>
          <w:bCs/>
        </w:rPr>
        <w:t>Contact us:</w:t>
      </w:r>
    </w:p>
    <w:p w14:paraId="5C0F9167" w14:textId="77777777" w:rsidR="00FB02F3" w:rsidRDefault="00FB02F3" w:rsidP="00FB02F3">
      <w:pPr>
        <w:pStyle w:val="Bullet1"/>
      </w:pPr>
      <w:r>
        <w:t>For further information not covered by our guidance materials, contact the Social Services Regulator for more information on meeting the scheme’s requirements.</w:t>
      </w:r>
    </w:p>
    <w:p w14:paraId="5C4A0C6F" w14:textId="77777777" w:rsidR="00FB02F3" w:rsidRPr="00313AC6" w:rsidRDefault="002D6330" w:rsidP="00FB02F3">
      <w:pPr>
        <w:pStyle w:val="Bullet1"/>
      </w:pPr>
      <w:hyperlink r:id="rId19" w:history="1">
        <w:r w:rsidR="00FB02F3" w:rsidRPr="00BF1F39">
          <w:rPr>
            <w:rStyle w:val="Hyperlink"/>
          </w:rPr>
          <w:t>Email the Social Services Regulator</w:t>
        </w:r>
      </w:hyperlink>
      <w:r w:rsidR="00FB02F3">
        <w:t xml:space="preserve"> &lt;enquiries@ssr.vic.gov.au&gt;.</w:t>
      </w:r>
    </w:p>
    <w:p w14:paraId="1FCBED5F" w14:textId="77777777" w:rsidR="00FB02F3" w:rsidRPr="0010457E" w:rsidRDefault="00FB02F3" w:rsidP="00FB02F3">
      <w:pPr>
        <w:pStyle w:val="Body"/>
      </w:pPr>
      <w:r>
        <w:br w:type="page"/>
      </w:r>
    </w:p>
    <w:p w14:paraId="6D5E1054" w14:textId="77777777" w:rsidR="00FB02F3" w:rsidRPr="0055119B" w:rsidRDefault="00FB02F3" w:rsidP="00FB02F3">
      <w:pPr>
        <w:pStyle w:val="Accessibilitypara"/>
      </w:pPr>
      <w:r w:rsidRPr="0055119B">
        <w:lastRenderedPageBreak/>
        <w:t>To receive this document in another format</w:t>
      </w:r>
      <w:r>
        <w:t>,</w:t>
      </w:r>
      <w:r w:rsidRPr="0055119B">
        <w:t xml:space="preserve"> </w:t>
      </w:r>
      <w:hyperlink r:id="rId20" w:history="1">
        <w:r w:rsidRPr="00C825CA">
          <w:rPr>
            <w:rStyle w:val="Hyperlink"/>
          </w:rPr>
          <w:t>email the Social Services Regulator</w:t>
        </w:r>
      </w:hyperlink>
      <w:r w:rsidRPr="0055119B">
        <w:rPr>
          <w:color w:val="004C97"/>
        </w:rPr>
        <w:t xml:space="preserve"> </w:t>
      </w:r>
      <w:r w:rsidRPr="0055119B">
        <w:t>&lt;</w:t>
      </w:r>
      <w:r>
        <w:t>enquiries@ssr.vic.gov.au</w:t>
      </w:r>
      <w:r w:rsidRPr="0055119B">
        <w:t>&gt;.</w:t>
      </w:r>
    </w:p>
    <w:p w14:paraId="4CA556E8" w14:textId="77777777" w:rsidR="00FB02F3" w:rsidRPr="0055119B" w:rsidRDefault="00FB02F3" w:rsidP="00FB02F3">
      <w:pPr>
        <w:pStyle w:val="Imprint"/>
      </w:pPr>
      <w:r w:rsidRPr="0055119B">
        <w:t>Authorised and published by the Victorian Government, 1 Treasury Place, Melbourne.</w:t>
      </w:r>
    </w:p>
    <w:p w14:paraId="7E03EDCD" w14:textId="77777777" w:rsidR="00FB02F3" w:rsidRPr="0055119B" w:rsidRDefault="00FB02F3" w:rsidP="00FB02F3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>
        <w:t>June</w:t>
      </w:r>
      <w:r w:rsidRPr="00E33237">
        <w:rPr>
          <w:color w:val="004C97"/>
        </w:rPr>
        <w:t xml:space="preserve"> </w:t>
      </w:r>
      <w:r w:rsidRPr="0010457E">
        <w:t>2024</w:t>
      </w:r>
      <w:r w:rsidRPr="0055119B">
        <w:t>.</w:t>
      </w:r>
    </w:p>
    <w:p w14:paraId="77C6C469" w14:textId="36650219" w:rsidR="00FB02F3" w:rsidRPr="00855A25" w:rsidRDefault="00FB02F3" w:rsidP="00FB02F3">
      <w:pPr>
        <w:pStyle w:val="Imprint"/>
      </w:pPr>
      <w:r w:rsidRPr="00855A25">
        <w:t xml:space="preserve">This guidance is general in nature and not exhaustive. </w:t>
      </w:r>
    </w:p>
    <w:p w14:paraId="1F69E290" w14:textId="77777777" w:rsidR="00FB02F3" w:rsidRDefault="00FB02F3" w:rsidP="00FB02F3">
      <w:pPr>
        <w:pStyle w:val="Imprint"/>
      </w:pPr>
      <w:r w:rsidRPr="00855A25">
        <w:t>This information sheet provides</w:t>
      </w:r>
      <w:r>
        <w:t xml:space="preserve"> an overview of</w:t>
      </w:r>
      <w:r w:rsidRPr="00855A25">
        <w:t xml:space="preserve"> the </w:t>
      </w:r>
      <w:r>
        <w:t>Social Services Regulator’s approach to regulation</w:t>
      </w:r>
      <w:r w:rsidRPr="00855A25">
        <w:t>.</w:t>
      </w:r>
    </w:p>
    <w:p w14:paraId="3C256FE0" w14:textId="0D88C0C7" w:rsidR="00FB02F3" w:rsidRPr="0010457E" w:rsidRDefault="00FB02F3" w:rsidP="00FB02F3">
      <w:pPr>
        <w:pStyle w:val="Imprint"/>
      </w:pPr>
      <w:r w:rsidRPr="00855A25">
        <w:t>In this document</w:t>
      </w:r>
      <w:r>
        <w:t xml:space="preserve">, </w:t>
      </w:r>
      <w:r w:rsidRPr="0010457E">
        <w:t xml:space="preserve">‘Aboriginal’ refers to both Aboriginal and Torres Strait Islander people. ‘Indigenous’ or ‘Koori/Koorie’ is retained when part of the title of a report, </w:t>
      </w:r>
      <w:proofErr w:type="gramStart"/>
      <w:r w:rsidRPr="0010457E">
        <w:t>program</w:t>
      </w:r>
      <w:proofErr w:type="gramEnd"/>
      <w:r w:rsidRPr="0010457E">
        <w:t xml:space="preserve"> or quotation.</w:t>
      </w:r>
    </w:p>
    <w:p w14:paraId="0341BBBF" w14:textId="072C80A4" w:rsidR="00FB02F3" w:rsidRPr="006C17B9" w:rsidRDefault="00FB02F3" w:rsidP="00FB02F3">
      <w:pPr>
        <w:pStyle w:val="Imprint"/>
        <w:rPr>
          <w:sz w:val="22"/>
          <w:szCs w:val="22"/>
        </w:rPr>
      </w:pPr>
      <w:r w:rsidRPr="006C17B9">
        <w:rPr>
          <w:b/>
          <w:bCs/>
          <w:sz w:val="22"/>
          <w:szCs w:val="22"/>
        </w:rPr>
        <w:t>ISBN</w:t>
      </w:r>
      <w:r w:rsidRPr="006C17B9">
        <w:rPr>
          <w:sz w:val="22"/>
          <w:szCs w:val="22"/>
        </w:rPr>
        <w:t xml:space="preserve"> </w:t>
      </w:r>
      <w:r w:rsidR="00E81E8F" w:rsidRPr="006C17B9">
        <w:rPr>
          <w:sz w:val="22"/>
          <w:szCs w:val="22"/>
        </w:rPr>
        <w:t>978-1-76130-542-9</w:t>
      </w:r>
      <w:r w:rsidRPr="006C17B9">
        <w:rPr>
          <w:color w:val="004C97"/>
          <w:sz w:val="22"/>
          <w:szCs w:val="22"/>
        </w:rPr>
        <w:t xml:space="preserve"> </w:t>
      </w:r>
      <w:r w:rsidRPr="006C17B9">
        <w:rPr>
          <w:b/>
          <w:bCs/>
          <w:sz w:val="22"/>
          <w:szCs w:val="22"/>
        </w:rPr>
        <w:t>(</w:t>
      </w:r>
      <w:r w:rsidR="00B51B14" w:rsidRPr="006C17B9">
        <w:rPr>
          <w:b/>
          <w:bCs/>
          <w:sz w:val="22"/>
          <w:szCs w:val="22"/>
        </w:rPr>
        <w:t>pdf/</w:t>
      </w:r>
      <w:r w:rsidRPr="006C17B9">
        <w:rPr>
          <w:b/>
          <w:bCs/>
          <w:sz w:val="22"/>
          <w:szCs w:val="22"/>
        </w:rPr>
        <w:t>online/</w:t>
      </w:r>
      <w:r w:rsidR="00D04076" w:rsidRPr="006C17B9">
        <w:rPr>
          <w:b/>
          <w:bCs/>
          <w:sz w:val="22"/>
          <w:szCs w:val="22"/>
        </w:rPr>
        <w:t>MS</w:t>
      </w:r>
      <w:r w:rsidRPr="006C17B9">
        <w:rPr>
          <w:b/>
          <w:bCs/>
          <w:sz w:val="22"/>
          <w:szCs w:val="22"/>
        </w:rPr>
        <w:t>Word)</w:t>
      </w:r>
    </w:p>
    <w:p w14:paraId="6B840E83" w14:textId="09FFE957" w:rsidR="008A5D60" w:rsidRDefault="00FB02F3" w:rsidP="007E66E1">
      <w:pPr>
        <w:pStyle w:val="Imprint"/>
      </w:pPr>
      <w:r w:rsidRPr="0055119B">
        <w:t>Available at</w:t>
      </w:r>
      <w:r>
        <w:t xml:space="preserve"> </w:t>
      </w:r>
      <w:bookmarkEnd w:id="1"/>
      <w:bookmarkEnd w:id="2"/>
      <w:r w:rsidR="00D32510" w:rsidRPr="00D32510">
        <w:rPr>
          <w:rFonts w:eastAsia="Times New Roman"/>
          <w:sz w:val="21"/>
        </w:rPr>
        <w:fldChar w:fldCharType="begin"/>
      </w:r>
      <w:r w:rsidR="00D32510" w:rsidRPr="00D32510">
        <w:rPr>
          <w:rFonts w:eastAsia="Times New Roman"/>
          <w:sz w:val="21"/>
        </w:rPr>
        <w:instrText>HYPERLINK "https://www.vic.gov.au/about-social-services-regulator"</w:instrText>
      </w:r>
      <w:r w:rsidR="00D32510" w:rsidRPr="00D32510">
        <w:rPr>
          <w:rFonts w:eastAsia="Times New Roman"/>
          <w:sz w:val="21"/>
        </w:rPr>
      </w:r>
      <w:r w:rsidR="00D32510" w:rsidRPr="00D32510">
        <w:rPr>
          <w:rFonts w:eastAsia="Times New Roman"/>
          <w:sz w:val="21"/>
        </w:rPr>
        <w:fldChar w:fldCharType="separate"/>
      </w:r>
      <w:r w:rsidR="00D32510" w:rsidRPr="00D32510">
        <w:rPr>
          <w:rFonts w:eastAsia="Times New Roman"/>
          <w:color w:val="0000FF"/>
          <w:sz w:val="21"/>
          <w:u w:val="single"/>
        </w:rPr>
        <w:t>About the Social Services Regulator | vic.gov.au (www.vic.gov.au)</w:t>
      </w:r>
      <w:r w:rsidR="00D32510" w:rsidRPr="00D32510">
        <w:rPr>
          <w:rFonts w:eastAsia="Times New Roman"/>
          <w:sz w:val="21"/>
        </w:rPr>
        <w:fldChar w:fldCharType="end"/>
      </w:r>
      <w:r w:rsidR="00D32510">
        <w:rPr>
          <w:rFonts w:eastAsia="Times New Roman"/>
          <w:sz w:val="21"/>
        </w:rPr>
        <w:t xml:space="preserve"> https</w:t>
      </w:r>
      <w:r w:rsidR="006C5D91">
        <w:rPr>
          <w:rFonts w:eastAsia="Times New Roman"/>
          <w:sz w:val="21"/>
        </w:rPr>
        <w:t>://www.vic.gov.au/about-social-services-regulator</w:t>
      </w:r>
    </w:p>
    <w:p w14:paraId="2EDACCAB" w14:textId="77777777" w:rsidR="003B1BDC" w:rsidRPr="003B1BDC" w:rsidRDefault="003B1BDC" w:rsidP="003B1BDC">
      <w:pPr>
        <w:pStyle w:val="Body"/>
      </w:pPr>
    </w:p>
    <w:p w14:paraId="312DEA78" w14:textId="77777777" w:rsidR="00162CA9" w:rsidRDefault="00162CA9" w:rsidP="00162CA9">
      <w:pPr>
        <w:pStyle w:val="Body"/>
      </w:pPr>
    </w:p>
    <w:sectPr w:rsidR="00162CA9" w:rsidSect="00A9710C">
      <w:headerReference w:type="default" r:id="rId21"/>
      <w:footerReference w:type="default" r:id="rId22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77DC" w14:textId="77777777" w:rsidR="009C0A22" w:rsidRDefault="009C0A22">
      <w:r>
        <w:separator/>
      </w:r>
    </w:p>
    <w:p w14:paraId="2A270A4A" w14:textId="77777777" w:rsidR="009C0A22" w:rsidRDefault="009C0A22"/>
  </w:endnote>
  <w:endnote w:type="continuationSeparator" w:id="0">
    <w:p w14:paraId="6052E296" w14:textId="77777777" w:rsidR="009C0A22" w:rsidRDefault="009C0A22">
      <w:r>
        <w:continuationSeparator/>
      </w:r>
    </w:p>
    <w:p w14:paraId="66CB7CB7" w14:textId="77777777" w:rsidR="009C0A22" w:rsidRDefault="009C0A22"/>
  </w:endnote>
  <w:endnote w:type="continuationNotice" w:id="1">
    <w:p w14:paraId="6B3D599E" w14:textId="77777777" w:rsidR="007F42FA" w:rsidRDefault="007F4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287C" w14:textId="77777777" w:rsidR="009C0A22" w:rsidRDefault="009C0A22" w:rsidP="00207717">
      <w:pPr>
        <w:spacing w:before="120"/>
      </w:pPr>
      <w:r>
        <w:separator/>
      </w:r>
    </w:p>
  </w:footnote>
  <w:footnote w:type="continuationSeparator" w:id="0">
    <w:p w14:paraId="2D987686" w14:textId="77777777" w:rsidR="009C0A22" w:rsidRDefault="009C0A22">
      <w:r>
        <w:continuationSeparator/>
      </w:r>
    </w:p>
    <w:p w14:paraId="4D07B511" w14:textId="77777777" w:rsidR="009C0A22" w:rsidRDefault="009C0A22"/>
  </w:footnote>
  <w:footnote w:type="continuationNotice" w:id="1">
    <w:p w14:paraId="6F15DA85" w14:textId="77777777" w:rsidR="007F42FA" w:rsidRDefault="007F4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99E8" w14:textId="77777777" w:rsidR="00FB02F3" w:rsidRDefault="002D6330">
    <w:pPr>
      <w:pStyle w:val="Header"/>
    </w:pPr>
    <w:r>
      <w:rPr>
        <w:noProof/>
      </w:rPr>
      <w:pict w14:anchorId="6294F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32566" o:spid="_x0000_s1026" type="#_x0000_t136" alt="" style="position:absolute;margin-left:0;margin-top:0;width:513.8pt;height:205.5pt;rotation:315;z-index:-251658235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8C16" w14:textId="77777777" w:rsidR="00FB02F3" w:rsidRPr="0051568D" w:rsidRDefault="002D6330" w:rsidP="0017674D">
    <w:pPr>
      <w:pStyle w:val="Header"/>
    </w:pPr>
    <w:r>
      <w:rPr>
        <w:noProof/>
      </w:rPr>
      <w:pict w14:anchorId="07FE7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32567" o:spid="_x0000_s1027" type="#_x0000_t136" alt="" style="position:absolute;margin-left:0;margin-top:0;width:513.8pt;height:205.5pt;rotation:315;z-index:-25165823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CB5C" w14:textId="77777777" w:rsidR="00FB02F3" w:rsidRDefault="002D6330">
    <w:pPr>
      <w:pStyle w:val="Header"/>
    </w:pPr>
    <w:r>
      <w:rPr>
        <w:noProof/>
      </w:rPr>
      <w:pict w14:anchorId="48DA5B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32565" o:spid="_x0000_s1025" type="#_x0000_t136" alt="" style="position:absolute;margin-left:0;margin-top:0;width:513.8pt;height:205.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04780AD6" w:rsidR="00E261B3" w:rsidRPr="0051568D" w:rsidRDefault="00B562A7" w:rsidP="0017674D">
    <w:pPr>
      <w:pStyle w:val="Header"/>
    </w:pPr>
    <w:r>
      <w:t>Regulatory approach statement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5E624E"/>
    <w:multiLevelType w:val="hybridMultilevel"/>
    <w:tmpl w:val="C45209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67698"/>
    <w:multiLevelType w:val="hybridMultilevel"/>
    <w:tmpl w:val="EB1C317E"/>
    <w:lvl w:ilvl="0" w:tplc="F89651B6">
      <w:start w:val="1"/>
      <w:numFmt w:val="decimal"/>
      <w:lvlText w:val="%1."/>
      <w:lvlJc w:val="left"/>
      <w:pPr>
        <w:ind w:left="360" w:hanging="360"/>
      </w:pPr>
      <w:rPr>
        <w:rFonts w:ascii="Arial" w:eastAsia="Times" w:hAnsi="Arial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862043">
    <w:abstractNumId w:val="10"/>
  </w:num>
  <w:num w:numId="2" w16cid:durableId="606499732">
    <w:abstractNumId w:val="17"/>
  </w:num>
  <w:num w:numId="3" w16cid:durableId="766997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812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701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076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889137">
    <w:abstractNumId w:val="21"/>
  </w:num>
  <w:num w:numId="8" w16cid:durableId="1971086778">
    <w:abstractNumId w:val="16"/>
  </w:num>
  <w:num w:numId="9" w16cid:durableId="1586377817">
    <w:abstractNumId w:val="20"/>
  </w:num>
  <w:num w:numId="10" w16cid:durableId="182086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9498">
    <w:abstractNumId w:val="22"/>
  </w:num>
  <w:num w:numId="12" w16cid:durableId="257756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576029">
    <w:abstractNumId w:val="18"/>
  </w:num>
  <w:num w:numId="14" w16cid:durableId="516430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6719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0876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702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00738">
    <w:abstractNumId w:val="25"/>
  </w:num>
  <w:num w:numId="19" w16cid:durableId="14678975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681164">
    <w:abstractNumId w:val="14"/>
  </w:num>
  <w:num w:numId="21" w16cid:durableId="541482176">
    <w:abstractNumId w:val="12"/>
  </w:num>
  <w:num w:numId="22" w16cid:durableId="775515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909980">
    <w:abstractNumId w:val="15"/>
  </w:num>
  <w:num w:numId="24" w16cid:durableId="1094790342">
    <w:abstractNumId w:val="26"/>
  </w:num>
  <w:num w:numId="25" w16cid:durableId="895168954">
    <w:abstractNumId w:val="24"/>
  </w:num>
  <w:num w:numId="26" w16cid:durableId="123157883">
    <w:abstractNumId w:val="19"/>
  </w:num>
  <w:num w:numId="27" w16cid:durableId="1937714732">
    <w:abstractNumId w:val="11"/>
  </w:num>
  <w:num w:numId="28" w16cid:durableId="1108085816">
    <w:abstractNumId w:val="28"/>
  </w:num>
  <w:num w:numId="29" w16cid:durableId="1005354597">
    <w:abstractNumId w:val="9"/>
  </w:num>
  <w:num w:numId="30" w16cid:durableId="904073994">
    <w:abstractNumId w:val="7"/>
  </w:num>
  <w:num w:numId="31" w16cid:durableId="718821706">
    <w:abstractNumId w:val="6"/>
  </w:num>
  <w:num w:numId="32" w16cid:durableId="844052111">
    <w:abstractNumId w:val="5"/>
  </w:num>
  <w:num w:numId="33" w16cid:durableId="1223835300">
    <w:abstractNumId w:val="4"/>
  </w:num>
  <w:num w:numId="34" w16cid:durableId="1992637983">
    <w:abstractNumId w:val="8"/>
  </w:num>
  <w:num w:numId="35" w16cid:durableId="2072383628">
    <w:abstractNumId w:val="3"/>
  </w:num>
  <w:num w:numId="36" w16cid:durableId="594438720">
    <w:abstractNumId w:val="2"/>
  </w:num>
  <w:num w:numId="37" w16cid:durableId="2113430176">
    <w:abstractNumId w:val="1"/>
  </w:num>
  <w:num w:numId="38" w16cid:durableId="2046101577">
    <w:abstractNumId w:val="0"/>
  </w:num>
  <w:num w:numId="39" w16cid:durableId="1915578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800499">
    <w:abstractNumId w:val="21"/>
  </w:num>
  <w:num w:numId="41" w16cid:durableId="562331335">
    <w:abstractNumId w:val="21"/>
  </w:num>
  <w:num w:numId="42" w16cid:durableId="1953442103">
    <w:abstractNumId w:val="21"/>
  </w:num>
  <w:num w:numId="43" w16cid:durableId="1523737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666165">
    <w:abstractNumId w:val="27"/>
  </w:num>
  <w:num w:numId="45" w16cid:durableId="42842887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6E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3ADC"/>
    <w:rsid w:val="00024D89"/>
    <w:rsid w:val="000250B6"/>
    <w:rsid w:val="000301B7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60D3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A00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280C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9D2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58D9"/>
    <w:rsid w:val="00186B33"/>
    <w:rsid w:val="00192F9D"/>
    <w:rsid w:val="00196EB8"/>
    <w:rsid w:val="00196EFB"/>
    <w:rsid w:val="00197938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2ADD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6D5B"/>
    <w:rsid w:val="002B77C1"/>
    <w:rsid w:val="002C0ED7"/>
    <w:rsid w:val="002C21DF"/>
    <w:rsid w:val="002C2728"/>
    <w:rsid w:val="002C6B92"/>
    <w:rsid w:val="002D1E0D"/>
    <w:rsid w:val="002D5006"/>
    <w:rsid w:val="002D6330"/>
    <w:rsid w:val="002E01D0"/>
    <w:rsid w:val="002E161D"/>
    <w:rsid w:val="002E3100"/>
    <w:rsid w:val="002E38EC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47D45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04D0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22E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4739"/>
    <w:rsid w:val="00546305"/>
    <w:rsid w:val="00547A95"/>
    <w:rsid w:val="0055119B"/>
    <w:rsid w:val="00557BFC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1BAA"/>
    <w:rsid w:val="00593A99"/>
    <w:rsid w:val="00593BA8"/>
    <w:rsid w:val="00596A4B"/>
    <w:rsid w:val="00597507"/>
    <w:rsid w:val="005A2AF8"/>
    <w:rsid w:val="005A479D"/>
    <w:rsid w:val="005A4AE0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194A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17B9"/>
    <w:rsid w:val="006C5D91"/>
    <w:rsid w:val="006D0F16"/>
    <w:rsid w:val="006D2A3F"/>
    <w:rsid w:val="006D2FBC"/>
    <w:rsid w:val="006E138B"/>
    <w:rsid w:val="006E1867"/>
    <w:rsid w:val="006E3517"/>
    <w:rsid w:val="006F0330"/>
    <w:rsid w:val="006F1FDC"/>
    <w:rsid w:val="006F4DB9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240A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F12"/>
    <w:rsid w:val="00763139"/>
    <w:rsid w:val="00766429"/>
    <w:rsid w:val="00766F80"/>
    <w:rsid w:val="0077047C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66E1"/>
    <w:rsid w:val="007F31B6"/>
    <w:rsid w:val="007F42FA"/>
    <w:rsid w:val="007F546C"/>
    <w:rsid w:val="007F5B3A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414"/>
    <w:rsid w:val="0082366F"/>
    <w:rsid w:val="00823F36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0D9A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870"/>
    <w:rsid w:val="00913BF4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0EE"/>
    <w:rsid w:val="00951D50"/>
    <w:rsid w:val="009525EB"/>
    <w:rsid w:val="0095470B"/>
    <w:rsid w:val="00954874"/>
    <w:rsid w:val="00954D01"/>
    <w:rsid w:val="0095615A"/>
    <w:rsid w:val="009610FD"/>
    <w:rsid w:val="00961400"/>
    <w:rsid w:val="00963646"/>
    <w:rsid w:val="0096632D"/>
    <w:rsid w:val="00967124"/>
    <w:rsid w:val="00967335"/>
    <w:rsid w:val="009718C7"/>
    <w:rsid w:val="0097451A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81C"/>
    <w:rsid w:val="00994349"/>
    <w:rsid w:val="00994386"/>
    <w:rsid w:val="00994791"/>
    <w:rsid w:val="009A13D8"/>
    <w:rsid w:val="009A279E"/>
    <w:rsid w:val="009A3015"/>
    <w:rsid w:val="009A3490"/>
    <w:rsid w:val="009B0A6F"/>
    <w:rsid w:val="009B0A94"/>
    <w:rsid w:val="009B14ED"/>
    <w:rsid w:val="009B2AE8"/>
    <w:rsid w:val="009B5622"/>
    <w:rsid w:val="009B59E9"/>
    <w:rsid w:val="009B70AA"/>
    <w:rsid w:val="009C0A22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0EE4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7B2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037D"/>
    <w:rsid w:val="00A91406"/>
    <w:rsid w:val="00A96AF3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0787C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1B14"/>
    <w:rsid w:val="00B5273A"/>
    <w:rsid w:val="00B562A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0CBB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116C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2D4A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CF6FE5"/>
    <w:rsid w:val="00D02919"/>
    <w:rsid w:val="00D04076"/>
    <w:rsid w:val="00D04C61"/>
    <w:rsid w:val="00D05B8D"/>
    <w:rsid w:val="00D05B9B"/>
    <w:rsid w:val="00D065A2"/>
    <w:rsid w:val="00D079AA"/>
    <w:rsid w:val="00D07F00"/>
    <w:rsid w:val="00D1130F"/>
    <w:rsid w:val="00D1413D"/>
    <w:rsid w:val="00D16940"/>
    <w:rsid w:val="00D17B72"/>
    <w:rsid w:val="00D17DA7"/>
    <w:rsid w:val="00D3185C"/>
    <w:rsid w:val="00D3205F"/>
    <w:rsid w:val="00D32510"/>
    <w:rsid w:val="00D3318E"/>
    <w:rsid w:val="00D33E72"/>
    <w:rsid w:val="00D35BD6"/>
    <w:rsid w:val="00D35CEC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6FD3"/>
    <w:rsid w:val="00DC013B"/>
    <w:rsid w:val="00DC090B"/>
    <w:rsid w:val="00DC1679"/>
    <w:rsid w:val="00DC219B"/>
    <w:rsid w:val="00DC2CF1"/>
    <w:rsid w:val="00DC3A7C"/>
    <w:rsid w:val="00DC4FB8"/>
    <w:rsid w:val="00DC4FCF"/>
    <w:rsid w:val="00DC50E0"/>
    <w:rsid w:val="00DC6386"/>
    <w:rsid w:val="00DD1130"/>
    <w:rsid w:val="00DD1951"/>
    <w:rsid w:val="00DD487D"/>
    <w:rsid w:val="00DD4E83"/>
    <w:rsid w:val="00DD62A0"/>
    <w:rsid w:val="00DD6628"/>
    <w:rsid w:val="00DD6945"/>
    <w:rsid w:val="00DE2D04"/>
    <w:rsid w:val="00DE3250"/>
    <w:rsid w:val="00DE6028"/>
    <w:rsid w:val="00DE6C85"/>
    <w:rsid w:val="00DE7731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1949"/>
    <w:rsid w:val="00E81E8F"/>
    <w:rsid w:val="00E82C55"/>
    <w:rsid w:val="00E8787E"/>
    <w:rsid w:val="00E92AC3"/>
    <w:rsid w:val="00EA2F6A"/>
    <w:rsid w:val="00EB00E0"/>
    <w:rsid w:val="00EB05D5"/>
    <w:rsid w:val="00EB1931"/>
    <w:rsid w:val="00EC059F"/>
    <w:rsid w:val="00EC11A8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8F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59A"/>
    <w:rsid w:val="00F4641B"/>
    <w:rsid w:val="00F46EB8"/>
    <w:rsid w:val="00F476B8"/>
    <w:rsid w:val="00F50CD1"/>
    <w:rsid w:val="00F511E4"/>
    <w:rsid w:val="00F52D09"/>
    <w:rsid w:val="00F52E08"/>
    <w:rsid w:val="00F53400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02F3"/>
    <w:rsid w:val="00FB3501"/>
    <w:rsid w:val="00FB3904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Purpletable">
    <w:name w:val="Purple table"/>
    <w:basedOn w:val="TableNormal"/>
    <w:next w:val="TableGrid"/>
    <w:uiPriority w:val="39"/>
    <w:rsid w:val="00823414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left w:val="single" w:sz="4" w:space="0" w:color="E5E5D6"/>
        <w:bottom w:val="single" w:sz="24" w:space="0" w:color="87189D"/>
        <w:right w:val="single" w:sz="4" w:space="0" w:color="E6E6E1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00264D"/>
        <w:sz w:val="18"/>
        <w:szCs w:val="18"/>
      </w:rPr>
      <w:tblPr/>
      <w:tcPr>
        <w:tcBorders>
          <w:top w:val="single" w:sz="24" w:space="0" w:color="87189D"/>
          <w:left w:val="nil"/>
          <w:bottom w:val="single" w:sz="4" w:space="0" w:color="87189D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</w:rPr>
      <w:tblPr/>
      <w:tcPr>
        <w:tcBorders>
          <w:top w:val="single" w:sz="8" w:space="0" w:color="87189D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FB02F3"/>
    <w:rPr>
      <w:rFonts w:ascii="Arial" w:hAnsi="Arial" w:cs="Arial"/>
      <w:b/>
      <w:color w:val="201547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vic.gov.au/social-services-regulator-registrati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vic.gov.au/social-services-regulator-social-services-standard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nquiries@ssr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mail%20the%20Social%20Services%20Regulato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61B8B7FE02B4B99B12081E1F05910" ma:contentTypeVersion="12" ma:contentTypeDescription="Create a new document." ma:contentTypeScope="" ma:versionID="ba2111093aad6cdc6298330de071d5e2">
  <xsd:schema xmlns:xsd="http://www.w3.org/2001/XMLSchema" xmlns:xs="http://www.w3.org/2001/XMLSchema" xmlns:p="http://schemas.microsoft.com/office/2006/metadata/properties" xmlns:ns2="649d9f18-ce79-4e31-90d1-9bf2a5835ccb" xmlns:ns3="036b347f-a104-4f3d-bb15-c7b4207e732b" targetNamespace="http://schemas.microsoft.com/office/2006/metadata/properties" ma:root="true" ma:fieldsID="c9cdd20f6c9bae08fea6d8e9bcd2c934" ns2:_="" ns3:_="">
    <xsd:import namespace="649d9f18-ce79-4e31-90d1-9bf2a5835ccb"/>
    <xsd:import namespace="036b347f-a104-4f3d-bb15-c7b4207e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9f18-ce79-4e31-90d1-9bf2a5835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347f-a104-4f3d-bb15-c7b4207e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d9f18-ce79-4e31-90d1-9bf2a5835ccb">
      <Terms xmlns="http://schemas.microsoft.com/office/infopath/2007/PartnerControls"/>
    </lcf76f155ced4ddcb4097134ff3c332f>
    <SharedWithUsers xmlns="036b347f-a104-4f3d-bb15-c7b4207e732b">
      <UserInfo>
        <DisplayName>Dil Adihetty (DFFH)</DisplayName>
        <AccountId>34</AccountId>
        <AccountType/>
      </UserInfo>
      <UserInfo>
        <DisplayName>Braden Hegedus (DFFH)</DisplayName>
        <AccountId>262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1681F-33F3-4C5E-844D-26D4480D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d9f18-ce79-4e31-90d1-9bf2a5835ccb"/>
    <ds:schemaRef ds:uri="036b347f-a104-4f3d-bb15-c7b4207e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6b347f-a104-4f3d-bb15-c7b4207e732b"/>
    <ds:schemaRef ds:uri="649d9f18-ce79-4e31-90d1-9bf2a5835c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1681</Words>
  <Characters>9946</Characters>
  <Application>Microsoft Office Word</Application>
  <DocSecurity>0</DocSecurity>
  <Lines>224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Regulator - regulatory approach statement</vt:lpstr>
    </vt:vector>
  </TitlesOfParts>
  <Manager/>
  <Company>Victoria State Government, Social Services Regulator</Company>
  <LinksUpToDate>false</LinksUpToDate>
  <CharactersWithSpaces>11529</CharactersWithSpaces>
  <SharedDoc>false</SharedDoc>
  <HyperlinkBase/>
  <HLinks>
    <vt:vector size="84" baseType="variant">
      <vt:variant>
        <vt:i4>6357092</vt:i4>
      </vt:variant>
      <vt:variant>
        <vt:i4>84</vt:i4>
      </vt:variant>
      <vt:variant>
        <vt:i4>0</vt:i4>
      </vt:variant>
      <vt:variant>
        <vt:i4>5</vt:i4>
      </vt:variant>
      <vt:variant>
        <vt:lpwstr>https://www.vic.gov.au/about-social-services-regulator</vt:lpwstr>
      </vt:variant>
      <vt:variant>
        <vt:lpwstr/>
      </vt:variant>
      <vt:variant>
        <vt:i4>6357085</vt:i4>
      </vt:variant>
      <vt:variant>
        <vt:i4>81</vt:i4>
      </vt:variant>
      <vt:variant>
        <vt:i4>0</vt:i4>
      </vt:variant>
      <vt:variant>
        <vt:i4>5</vt:i4>
      </vt:variant>
      <vt:variant>
        <vt:lpwstr>mailto:enquiries@ssr.vic.gov.au</vt:lpwstr>
      </vt:variant>
      <vt:variant>
        <vt:lpwstr/>
      </vt:variant>
      <vt:variant>
        <vt:i4>3211384</vt:i4>
      </vt:variant>
      <vt:variant>
        <vt:i4>78</vt:i4>
      </vt:variant>
      <vt:variant>
        <vt:i4>0</vt:i4>
      </vt:variant>
      <vt:variant>
        <vt:i4>5</vt:i4>
      </vt:variant>
      <vt:variant>
        <vt:lpwstr>mailto:Email%20the%20Social%20Services%20Regulator</vt:lpwstr>
      </vt:variant>
      <vt:variant>
        <vt:lpwstr/>
      </vt:variant>
      <vt:variant>
        <vt:i4>1310723</vt:i4>
      </vt:variant>
      <vt:variant>
        <vt:i4>75</vt:i4>
      </vt:variant>
      <vt:variant>
        <vt:i4>0</vt:i4>
      </vt:variant>
      <vt:variant>
        <vt:i4>5</vt:i4>
      </vt:variant>
      <vt:variant>
        <vt:lpwstr>https://www.vic.gov.au/social-services-regulator-registration</vt:lpwstr>
      </vt:variant>
      <vt:variant>
        <vt:lpwstr/>
      </vt:variant>
      <vt:variant>
        <vt:i4>3342374</vt:i4>
      </vt:variant>
      <vt:variant>
        <vt:i4>66</vt:i4>
      </vt:variant>
      <vt:variant>
        <vt:i4>0</vt:i4>
      </vt:variant>
      <vt:variant>
        <vt:i4>5</vt:i4>
      </vt:variant>
      <vt:variant>
        <vt:lpwstr>https://www.vic.gov.au/social-services-regulator-social-services-standards</vt:lpwstr>
      </vt:variant>
      <vt:variant>
        <vt:lpwstr/>
      </vt:variant>
      <vt:variant>
        <vt:i4>1507388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_Toc168314418</vt:lpwstr>
      </vt:variant>
      <vt:variant>
        <vt:i4>1507388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_Toc168314417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_Toc168314416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_Toc168314415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_Toc168314414</vt:lpwstr>
      </vt:variant>
      <vt:variant>
        <vt:i4>1507388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_Toc168314413</vt:lpwstr>
      </vt:variant>
      <vt:variant>
        <vt:i4>1507388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_Toc168314412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_Toc168314411</vt:lpwstr>
      </vt:variant>
      <vt:variant>
        <vt:i4>1507388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_Toc168314410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 - regulatory approach statement</dc:title>
  <dc:subject>Regulatory approach statement</dc:subject>
  <dc:creator> Social Services Regulator</dc:creator>
  <cp:keywords/>
  <dc:description/>
  <cp:revision>3</cp:revision>
  <cp:lastPrinted>2021-01-29T05:27:00Z</cp:lastPrinted>
  <dcterms:created xsi:type="dcterms:W3CDTF">2024-06-24T05:37:00Z</dcterms:created>
  <dcterms:modified xsi:type="dcterms:W3CDTF">2024-06-24T05:39:00Z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0x0101008B261B8B7FE02B4B99B12081E1F05910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  <property fmtid="{D5CDD505-2E9C-101B-9397-08002B2CF9AE}" pid="25" name="GrammarlyDocumentId">
    <vt:lpwstr>564e7552ef3880ee26a1698f60b9237b94f5f897ae67b3534bdab50baf3bf217</vt:lpwstr>
  </property>
</Properties>
</file>