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384C855" w14:textId="70BE8782" w:rsidR="002B10E0" w:rsidRPr="008C63F4" w:rsidRDefault="002B10E0" w:rsidP="008C63F4">
      <w:pPr>
        <w:spacing w:after="180"/>
        <w:rPr>
          <w:rFonts w:cs="Calibri Light"/>
          <w:color w:val="FFFFFF" w:themeColor="background1"/>
          <w:szCs w:val="20"/>
        </w:rPr>
      </w:pPr>
    </w:p>
    <w:p w14:paraId="38063A99" w14:textId="17A22101" w:rsidR="002B10E0" w:rsidRPr="008C63F4" w:rsidRDefault="00BD48FF" w:rsidP="008C63F4">
      <w:pPr>
        <w:spacing w:after="180"/>
        <w:rPr>
          <w:rFonts w:cs="Calibri Light"/>
          <w:color w:val="FFFFFF" w:themeColor="background1"/>
          <w:szCs w:val="20"/>
        </w:rPr>
      </w:pPr>
      <w:r w:rsidRPr="008C63F4">
        <w:rPr>
          <w:rFonts w:cs="Calibri Light"/>
          <w:color w:val="FFFFFF" w:themeColor="background1"/>
          <w:szCs w:val="20"/>
        </w:rPr>
        <w:tab/>
      </w:r>
    </w:p>
    <w:p w14:paraId="6202D1A0" w14:textId="77777777" w:rsidR="002B10E0" w:rsidRPr="008C63F4" w:rsidRDefault="002B10E0" w:rsidP="008C63F4">
      <w:pPr>
        <w:spacing w:after="180"/>
        <w:rPr>
          <w:rFonts w:cs="Calibri Light"/>
          <w:color w:val="FFFFFF" w:themeColor="background1"/>
          <w:szCs w:val="20"/>
        </w:rPr>
      </w:pPr>
    </w:p>
    <w:p w14:paraId="2130E35C" w14:textId="77777777" w:rsidR="002B10E0" w:rsidRPr="008C63F4" w:rsidRDefault="002B10E0" w:rsidP="008C63F4">
      <w:pPr>
        <w:spacing w:after="180"/>
        <w:rPr>
          <w:rFonts w:cs="Calibri Light"/>
          <w:color w:val="FFFFFF" w:themeColor="background1"/>
          <w:szCs w:val="20"/>
        </w:rPr>
      </w:pPr>
    </w:p>
    <w:p w14:paraId="6B8EFA0A" w14:textId="77777777" w:rsidR="002B10E0" w:rsidRPr="008C63F4" w:rsidRDefault="002B10E0" w:rsidP="008C63F4">
      <w:pPr>
        <w:spacing w:after="180"/>
        <w:rPr>
          <w:rFonts w:cs="Calibri Light"/>
          <w:color w:val="FFFFFF" w:themeColor="background1"/>
          <w:szCs w:val="20"/>
        </w:rPr>
      </w:pPr>
    </w:p>
    <w:p w14:paraId="671B459F" w14:textId="77777777" w:rsidR="002B10E0" w:rsidRPr="008C63F4" w:rsidRDefault="002B10E0" w:rsidP="00387877">
      <w:pPr>
        <w:spacing w:after="180"/>
        <w:rPr>
          <w:rFonts w:cs="Calibri Light"/>
          <w:color w:val="FFFFFF" w:themeColor="background1"/>
          <w:szCs w:val="20"/>
        </w:rPr>
      </w:pPr>
    </w:p>
    <w:p w14:paraId="136FF3BB" w14:textId="0B97289E" w:rsidR="002B10E0" w:rsidRPr="008048D3" w:rsidRDefault="00F2536E" w:rsidP="00D55A99">
      <w:pPr>
        <w:ind w:left="-426" w:right="701"/>
        <w:jc w:val="left"/>
        <w:outlineLvl w:val="0"/>
        <w:rPr>
          <w:rFonts w:asciiTheme="minorHAnsi" w:hAnsiTheme="minorHAnsi" w:cs="@MS PMincho"/>
          <w:color w:val="26664E" w:themeColor="accent1"/>
          <w:sz w:val="68"/>
          <w:szCs w:val="68"/>
        </w:rPr>
      </w:pPr>
      <w:bookmarkStart w:id="0" w:name="_Hlk97559626"/>
      <w:bookmarkStart w:id="1" w:name="_Toc170391799"/>
      <w:bookmarkStart w:id="2" w:name="_Toc170396201"/>
      <w:bookmarkStart w:id="3" w:name="_Toc185012344"/>
      <w:r w:rsidRPr="008048D3">
        <w:rPr>
          <w:rFonts w:asciiTheme="minorHAnsi" w:hAnsiTheme="minorHAnsi" w:cs="@MS PMincho"/>
          <w:color w:val="26664E" w:themeColor="accent1"/>
          <w:sz w:val="68"/>
          <w:szCs w:val="68"/>
        </w:rPr>
        <w:t>Remuneration Bands for Executives Employed in P</w:t>
      </w:r>
      <w:r w:rsidR="00FF54A2" w:rsidRPr="008048D3">
        <w:rPr>
          <w:rFonts w:asciiTheme="minorHAnsi" w:hAnsiTheme="minorHAnsi" w:cs="@MS PMincho"/>
          <w:color w:val="26664E" w:themeColor="accent1"/>
          <w:sz w:val="68"/>
          <w:szCs w:val="68"/>
        </w:rPr>
        <w:t>rescribed Public Entities</w:t>
      </w:r>
      <w:r w:rsidRPr="008048D3">
        <w:rPr>
          <w:rFonts w:asciiTheme="minorHAnsi" w:hAnsiTheme="minorHAnsi" w:cs="@MS PMincho"/>
          <w:color w:val="26664E" w:themeColor="accent1"/>
          <w:sz w:val="68"/>
          <w:szCs w:val="68"/>
        </w:rPr>
        <w:t xml:space="preserve"> (Victoria) Determination No. 01/</w:t>
      </w:r>
      <w:bookmarkEnd w:id="0"/>
      <w:r w:rsidR="00ED47C0" w:rsidRPr="008048D3">
        <w:rPr>
          <w:rFonts w:asciiTheme="minorHAnsi" w:hAnsiTheme="minorHAnsi" w:cs="@MS PMincho"/>
          <w:color w:val="26664E" w:themeColor="accent1"/>
          <w:sz w:val="68"/>
          <w:szCs w:val="68"/>
        </w:rPr>
        <w:t>2024</w:t>
      </w:r>
      <w:bookmarkEnd w:id="1"/>
      <w:bookmarkEnd w:id="2"/>
      <w:bookmarkEnd w:id="3"/>
    </w:p>
    <w:p w14:paraId="48E61756" w14:textId="77777777" w:rsidR="002B10E0" w:rsidRPr="00BD24F3" w:rsidRDefault="002B10E0" w:rsidP="002B10E0"/>
    <w:p w14:paraId="3E1A263E" w14:textId="77777777" w:rsidR="002B10E0" w:rsidRDefault="002B10E0" w:rsidP="002B10E0"/>
    <w:p w14:paraId="67A8496B" w14:textId="386DC4AC" w:rsidR="002B10E0" w:rsidRDefault="002B10E0" w:rsidP="002B10E0">
      <w:pPr>
        <w:tabs>
          <w:tab w:val="right" w:pos="8498"/>
        </w:tabs>
        <w:spacing w:after="80"/>
        <w:rPr>
          <w:b/>
          <w:bCs/>
        </w:rPr>
      </w:pPr>
      <w:r>
        <w:rPr>
          <w:b/>
          <w:bCs/>
        </w:rPr>
        <w:br w:type="page"/>
      </w:r>
    </w:p>
    <w:p w14:paraId="3E1584C8" w14:textId="77777777" w:rsidR="002B10E0" w:rsidRDefault="002B10E0" w:rsidP="00F2536E">
      <w:pPr>
        <w:pStyle w:val="05Paragraph"/>
      </w:pPr>
    </w:p>
    <w:p w14:paraId="5A93D09C" w14:textId="77777777" w:rsidR="002B10E0" w:rsidRDefault="002B10E0" w:rsidP="00F2536E">
      <w:pPr>
        <w:pStyle w:val="05Paragraph"/>
      </w:pPr>
    </w:p>
    <w:p w14:paraId="73B6D659" w14:textId="77777777" w:rsidR="002B10E0" w:rsidRDefault="002B10E0" w:rsidP="00F2536E">
      <w:pPr>
        <w:pStyle w:val="05Paragraph"/>
      </w:pPr>
    </w:p>
    <w:p w14:paraId="484A00D4" w14:textId="77777777" w:rsidR="002B10E0" w:rsidRDefault="002B10E0" w:rsidP="00F2536E">
      <w:pPr>
        <w:pStyle w:val="05Paragraph"/>
      </w:pPr>
    </w:p>
    <w:p w14:paraId="6264BD60" w14:textId="77777777" w:rsidR="002B10E0" w:rsidRDefault="002B10E0" w:rsidP="002B10E0">
      <w:pPr>
        <w:pStyle w:val="05Paragraph"/>
      </w:pPr>
    </w:p>
    <w:p w14:paraId="4DC1F84C" w14:textId="77777777" w:rsidR="002B10E0" w:rsidRDefault="002B10E0" w:rsidP="002B10E0">
      <w:pPr>
        <w:pStyle w:val="05Paragraph"/>
      </w:pPr>
    </w:p>
    <w:p w14:paraId="255F4F15" w14:textId="77777777" w:rsidR="002B10E0" w:rsidRDefault="002B10E0" w:rsidP="002B10E0">
      <w:pPr>
        <w:pStyle w:val="05Paragraph"/>
      </w:pPr>
    </w:p>
    <w:p w14:paraId="54699971" w14:textId="77777777" w:rsidR="002B10E0" w:rsidRDefault="002B10E0" w:rsidP="002B10E0">
      <w:pPr>
        <w:pStyle w:val="05Paragraph"/>
      </w:pPr>
    </w:p>
    <w:p w14:paraId="3B0EE4E4" w14:textId="77777777" w:rsidR="002B10E0" w:rsidRDefault="002B10E0" w:rsidP="002B10E0">
      <w:pPr>
        <w:pStyle w:val="05Paragraph"/>
      </w:pPr>
    </w:p>
    <w:p w14:paraId="70283AA9" w14:textId="77777777" w:rsidR="002B10E0" w:rsidRDefault="002B10E0" w:rsidP="002B10E0">
      <w:pPr>
        <w:pStyle w:val="05Paragraph"/>
      </w:pPr>
    </w:p>
    <w:p w14:paraId="2D73B6D1" w14:textId="77777777" w:rsidR="002B10E0" w:rsidRDefault="002B10E0" w:rsidP="002B10E0">
      <w:pPr>
        <w:pStyle w:val="05Paragraph"/>
      </w:pPr>
    </w:p>
    <w:p w14:paraId="6B888725" w14:textId="77777777" w:rsidR="002B10E0" w:rsidRDefault="002B10E0" w:rsidP="002B10E0">
      <w:pPr>
        <w:pStyle w:val="05Paragraph"/>
      </w:pPr>
    </w:p>
    <w:p w14:paraId="23E56F2D" w14:textId="77777777" w:rsidR="002B10E0" w:rsidRDefault="002B10E0" w:rsidP="002B10E0">
      <w:pPr>
        <w:pStyle w:val="05Paragraph"/>
      </w:pPr>
    </w:p>
    <w:p w14:paraId="3A9A7BFA" w14:textId="77777777" w:rsidR="002B10E0" w:rsidRDefault="002B10E0" w:rsidP="002B10E0">
      <w:pPr>
        <w:pStyle w:val="05Paragraph"/>
      </w:pPr>
    </w:p>
    <w:p w14:paraId="465EAAFC" w14:textId="77777777" w:rsidR="002B10E0" w:rsidRDefault="002B10E0" w:rsidP="002B10E0">
      <w:pPr>
        <w:pStyle w:val="05Paragraph"/>
      </w:pPr>
    </w:p>
    <w:p w14:paraId="7996AB27" w14:textId="77777777" w:rsidR="002B10E0" w:rsidRDefault="002B10E0" w:rsidP="002B10E0">
      <w:pPr>
        <w:pStyle w:val="05Paragraph"/>
      </w:pPr>
    </w:p>
    <w:p w14:paraId="02362FCD" w14:textId="77777777" w:rsidR="002B10E0" w:rsidRDefault="002B10E0" w:rsidP="002B10E0">
      <w:pPr>
        <w:pStyle w:val="05Paragraph"/>
      </w:pPr>
    </w:p>
    <w:p w14:paraId="76A6B371" w14:textId="77777777" w:rsidR="00F2536E" w:rsidRDefault="00F2536E" w:rsidP="002B10E0">
      <w:pPr>
        <w:pStyle w:val="05Paragraph"/>
      </w:pPr>
    </w:p>
    <w:p w14:paraId="2E406FF3" w14:textId="77777777" w:rsidR="00F2536E" w:rsidRDefault="00F2536E" w:rsidP="002B10E0">
      <w:pPr>
        <w:pStyle w:val="05Paragraph"/>
      </w:pPr>
    </w:p>
    <w:p w14:paraId="72306275" w14:textId="77777777" w:rsidR="002B10E0" w:rsidRDefault="002B10E0" w:rsidP="002B10E0">
      <w:pPr>
        <w:pStyle w:val="05Paragraph"/>
      </w:pPr>
    </w:p>
    <w:p w14:paraId="453E1D9C" w14:textId="3C21B4C6" w:rsidR="002B10E0" w:rsidRDefault="0064496F" w:rsidP="002B10E0">
      <w:pPr>
        <w:pStyle w:val="05Paragraph"/>
      </w:pPr>
      <w:r w:rsidRPr="0064496F">
        <w:rPr>
          <w:b/>
          <w:bCs/>
        </w:rPr>
        <w:t>ISBN</w:t>
      </w:r>
      <w:r w:rsidRPr="0064496F">
        <w:t xml:space="preserve"> 978-1-923295-05-6 </w:t>
      </w:r>
      <w:r w:rsidRPr="0064496F">
        <w:rPr>
          <w:b/>
          <w:bCs/>
        </w:rPr>
        <w:t>(pdf/online/MS word)</w:t>
      </w:r>
    </w:p>
    <w:p w14:paraId="7B02D44B" w14:textId="0DE0000A" w:rsidR="002B10E0" w:rsidRDefault="002B10E0" w:rsidP="002B10E0">
      <w:pPr>
        <w:pStyle w:val="05Paragraph"/>
        <w:rPr>
          <w:b/>
          <w:bCs/>
        </w:rPr>
      </w:pPr>
    </w:p>
    <w:p w14:paraId="1D15BC93" w14:textId="32A3B54F" w:rsidR="00422BA7" w:rsidRDefault="00422BA7" w:rsidP="002B10E0">
      <w:pPr>
        <w:spacing w:after="80"/>
        <w:rPr>
          <w:b/>
          <w:bCs/>
        </w:rPr>
        <w:sectPr w:rsidR="00422BA7" w:rsidSect="00422BA7">
          <w:headerReference w:type="even" r:id="rId9"/>
          <w:footerReference w:type="even" r:id="rId10"/>
          <w:footerReference w:type="first" r:id="rId11"/>
          <w:pgSz w:w="11906" w:h="16838"/>
          <w:pgMar w:top="1701" w:right="1701" w:bottom="1559" w:left="1701" w:header="425" w:footer="709" w:gutter="0"/>
          <w:cols w:space="282"/>
          <w:docGrid w:linePitch="360"/>
        </w:sectPr>
      </w:pPr>
    </w:p>
    <w:tbl>
      <w:tblPr>
        <w:tblStyle w:val="ListTable3-Accent2"/>
        <w:tblW w:w="0" w:type="auto"/>
        <w:tblLook w:val="04A0" w:firstRow="1" w:lastRow="0" w:firstColumn="1" w:lastColumn="0" w:noHBand="0" w:noVBand="1"/>
      </w:tblPr>
      <w:tblGrid>
        <w:gridCol w:w="4292"/>
        <w:gridCol w:w="4206"/>
      </w:tblGrid>
      <w:tr w:rsidR="00B62251" w14:paraId="240FE24B" w14:textId="77777777" w:rsidTr="007A6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92" w:type="dxa"/>
            <w:shd w:val="clear" w:color="auto" w:fill="auto"/>
            <w:tcMar>
              <w:left w:w="0" w:type="dxa"/>
            </w:tcMar>
          </w:tcPr>
          <w:p w14:paraId="65E1C3A2" w14:textId="3C44BB3B" w:rsidR="00B62251" w:rsidRDefault="00B62251" w:rsidP="007A19EF">
            <w:pPr>
              <w:pStyle w:val="VIRTHeading3"/>
            </w:pPr>
            <w:bookmarkStart w:id="4" w:name="_Toc169878453"/>
            <w:bookmarkStart w:id="5" w:name="_Hlk17960469"/>
            <w:r w:rsidRPr="00B62251">
              <w:lastRenderedPageBreak/>
              <w:t>DETERMINATION</w:t>
            </w:r>
            <w:bookmarkEnd w:id="4"/>
          </w:p>
        </w:tc>
        <w:tc>
          <w:tcPr>
            <w:tcW w:w="4206" w:type="dxa"/>
            <w:shd w:val="clear" w:color="auto" w:fill="auto"/>
          </w:tcPr>
          <w:p w14:paraId="211B015C" w14:textId="16359722" w:rsidR="00B62251" w:rsidRPr="00B62251" w:rsidRDefault="00B62251" w:rsidP="00B62251">
            <w:pPr>
              <w:spacing w:before="0" w:after="0"/>
              <w:jc w:val="right"/>
              <w:cnfStyle w:val="100000000000" w:firstRow="1" w:lastRow="0" w:firstColumn="0" w:lastColumn="0" w:oddVBand="0" w:evenVBand="0" w:oddHBand="0" w:evenHBand="0" w:firstRowFirstColumn="0" w:firstRowLastColumn="0" w:lastRowFirstColumn="0" w:lastRowLastColumn="0"/>
              <w:rPr>
                <w:b w:val="0"/>
              </w:rPr>
            </w:pPr>
            <w:r w:rsidRPr="00E00273">
              <w:rPr>
                <w:b w:val="0"/>
                <w:color w:val="auto"/>
              </w:rPr>
              <w:t>[20</w:t>
            </w:r>
            <w:r w:rsidR="005E4F8A" w:rsidRPr="00E00273">
              <w:rPr>
                <w:b w:val="0"/>
                <w:color w:val="auto"/>
              </w:rPr>
              <w:t>2</w:t>
            </w:r>
            <w:r w:rsidR="00E00273" w:rsidRPr="00E00273">
              <w:rPr>
                <w:b w:val="0"/>
                <w:color w:val="auto"/>
              </w:rPr>
              <w:t>4</w:t>
            </w:r>
            <w:r w:rsidRPr="00E00273">
              <w:rPr>
                <w:b w:val="0"/>
                <w:color w:val="auto"/>
              </w:rPr>
              <w:t>] D</w:t>
            </w:r>
            <w:r w:rsidR="00C0497F">
              <w:rPr>
                <w:b w:val="0"/>
                <w:color w:val="auto"/>
              </w:rPr>
              <w:t>PPE</w:t>
            </w:r>
            <w:r w:rsidRPr="00E00273">
              <w:rPr>
                <w:b w:val="0"/>
                <w:color w:val="auto"/>
              </w:rPr>
              <w:t xml:space="preserve"> 01</w:t>
            </w:r>
          </w:p>
        </w:tc>
      </w:tr>
    </w:tbl>
    <w:p w14:paraId="47E51B7A" w14:textId="589C2ABA" w:rsidR="00EA197F" w:rsidRPr="003C3D2A" w:rsidRDefault="00EA197F" w:rsidP="00B62251">
      <w:pPr>
        <w:contextualSpacing/>
        <w:jc w:val="left"/>
        <w:rPr>
          <w:color w:val="auto"/>
        </w:rPr>
      </w:pPr>
      <w:r w:rsidRPr="003C3D2A">
        <w:rPr>
          <w:i/>
          <w:color w:val="auto"/>
        </w:rPr>
        <w:t>Victorian Independent Remuneration Tribunal and Improving Parliamentary Standards Act 2019</w:t>
      </w:r>
      <w:r w:rsidRPr="003C3D2A">
        <w:rPr>
          <w:color w:val="auto"/>
        </w:rPr>
        <w:t xml:space="preserve"> (Vic)</w:t>
      </w:r>
    </w:p>
    <w:p w14:paraId="1FC34E9D" w14:textId="6B8D835B" w:rsidR="00B62251" w:rsidRPr="003C3D2A" w:rsidRDefault="00E374B7" w:rsidP="00433B91">
      <w:pPr>
        <w:jc w:val="left"/>
        <w:rPr>
          <w:color w:val="auto"/>
        </w:rPr>
      </w:pPr>
      <w:r w:rsidRPr="003C3D2A">
        <w:rPr>
          <w:color w:val="auto"/>
        </w:rPr>
        <w:t>Part 3</w:t>
      </w:r>
      <w:r w:rsidR="00EA197F" w:rsidRPr="003C3D2A">
        <w:rPr>
          <w:color w:val="auto"/>
        </w:rPr>
        <w:t xml:space="preserve">—Determination </w:t>
      </w:r>
      <w:r w:rsidR="005E4F8A" w:rsidRPr="003C3D2A">
        <w:rPr>
          <w:color w:val="auto"/>
        </w:rPr>
        <w:t xml:space="preserve">of the remuneration bands for executives employed in </w:t>
      </w:r>
      <w:r w:rsidR="00FF54A2">
        <w:rPr>
          <w:color w:val="auto"/>
        </w:rPr>
        <w:t>prescribed public entities</w:t>
      </w:r>
      <w:r w:rsidR="00CB1397" w:rsidRPr="003C3D2A">
        <w:rPr>
          <w:color w:val="auto"/>
        </w:rPr>
        <w:t>.</w:t>
      </w:r>
    </w:p>
    <w:p w14:paraId="482A30FC" w14:textId="309A19D8" w:rsidR="00630EDC" w:rsidRDefault="00244229" w:rsidP="007A19EF">
      <w:pPr>
        <w:pStyle w:val="VIRTHeading3"/>
      </w:pPr>
      <w:bookmarkStart w:id="6" w:name="_Toc169878454"/>
      <w:r w:rsidRPr="00AD341C">
        <w:rPr>
          <w:sz w:val="44"/>
          <w:szCs w:val="44"/>
        </w:rPr>
        <w:t xml:space="preserve">Remuneration Bands for Executives Employed in </w:t>
      </w:r>
      <w:r w:rsidR="00FF54A2">
        <w:rPr>
          <w:sz w:val="44"/>
          <w:szCs w:val="44"/>
        </w:rPr>
        <w:t xml:space="preserve">Prescribed </w:t>
      </w:r>
      <w:r w:rsidR="00CA494E" w:rsidRPr="00AD341C">
        <w:rPr>
          <w:sz w:val="44"/>
          <w:szCs w:val="44"/>
        </w:rPr>
        <w:t xml:space="preserve">Public </w:t>
      </w:r>
      <w:r w:rsidR="00FF54A2">
        <w:rPr>
          <w:sz w:val="44"/>
          <w:szCs w:val="44"/>
        </w:rPr>
        <w:t>Entities</w:t>
      </w:r>
      <w:r w:rsidR="00B62251" w:rsidRPr="00AD341C">
        <w:rPr>
          <w:sz w:val="44"/>
          <w:szCs w:val="44"/>
        </w:rPr>
        <w:t xml:space="preserve"> Determination </w:t>
      </w:r>
      <w:r w:rsidR="00225D03" w:rsidRPr="00AD341C">
        <w:rPr>
          <w:rFonts w:cs="Calibri Light"/>
          <w:sz w:val="44"/>
          <w:szCs w:val="44"/>
        </w:rPr>
        <w:t>No</w:t>
      </w:r>
      <w:r w:rsidR="00235B52" w:rsidRPr="00AD341C">
        <w:rPr>
          <w:rFonts w:cs="Calibri Light"/>
          <w:sz w:val="44"/>
          <w:szCs w:val="44"/>
        </w:rPr>
        <w:t>.</w:t>
      </w:r>
      <w:r w:rsidR="00B62251" w:rsidRPr="00AD341C">
        <w:rPr>
          <w:sz w:val="44"/>
          <w:szCs w:val="44"/>
        </w:rPr>
        <w:t xml:space="preserve"> 01</w:t>
      </w:r>
      <w:r w:rsidR="00235B52" w:rsidRPr="00AD341C">
        <w:rPr>
          <w:sz w:val="44"/>
          <w:szCs w:val="44"/>
        </w:rPr>
        <w:t>/</w:t>
      </w:r>
      <w:r w:rsidR="00B62251" w:rsidRPr="00AD341C">
        <w:rPr>
          <w:sz w:val="44"/>
          <w:szCs w:val="44"/>
        </w:rPr>
        <w:t>20</w:t>
      </w:r>
      <w:r w:rsidR="00CA494E" w:rsidRPr="00AD341C">
        <w:rPr>
          <w:sz w:val="44"/>
          <w:szCs w:val="44"/>
        </w:rPr>
        <w:t>2</w:t>
      </w:r>
      <w:r w:rsidR="00E00273" w:rsidRPr="00AD341C">
        <w:rPr>
          <w:sz w:val="44"/>
          <w:szCs w:val="44"/>
        </w:rPr>
        <w:t>4</w:t>
      </w:r>
      <w:bookmarkEnd w:id="6"/>
      <w:r w:rsidR="00012DBA">
        <w:br/>
      </w:r>
    </w:p>
    <w:p w14:paraId="77D8EDCF" w14:textId="60982757" w:rsidR="00240367" w:rsidRDefault="00192523" w:rsidP="007A19EF">
      <w:pPr>
        <w:pStyle w:val="VIRTHeading3"/>
      </w:pPr>
      <w:bookmarkStart w:id="7" w:name="_Toc169878456"/>
      <w:r>
        <w:t>Table of contents</w:t>
      </w:r>
      <w:bookmarkEnd w:id="7"/>
      <w:r>
        <w:t xml:space="preserve"> </w:t>
      </w:r>
    </w:p>
    <w:p w14:paraId="1320C9D4" w14:textId="55D7AC8E" w:rsidR="00240367" w:rsidRPr="00D132A3" w:rsidRDefault="00433B91" w:rsidP="00D9606D">
      <w:pPr>
        <w:pStyle w:val="Instrumenttableofcontents"/>
        <w:spacing w:before="60" w:after="60"/>
        <w:rPr>
          <w:rFonts w:cs="Calibri Light"/>
          <w:b/>
          <w:bCs w:val="0"/>
        </w:rPr>
      </w:pPr>
      <w:r w:rsidRPr="00D132A3">
        <w:rPr>
          <w:rFonts w:cs="Calibri Light"/>
          <w:b/>
          <w:bCs w:val="0"/>
        </w:rPr>
        <w:t>Part 1 – Legal matters and definitions</w:t>
      </w:r>
    </w:p>
    <w:p w14:paraId="4E03AC56" w14:textId="577F4DFB" w:rsidR="00433B91" w:rsidRPr="00D132A3" w:rsidRDefault="00433B91" w:rsidP="00052D06">
      <w:pPr>
        <w:pStyle w:val="Instrumenttableofcontents"/>
        <w:numPr>
          <w:ilvl w:val="0"/>
          <w:numId w:val="7"/>
        </w:numPr>
        <w:spacing w:before="60" w:after="60"/>
        <w:rPr>
          <w:rFonts w:cs="Calibri Light"/>
        </w:rPr>
      </w:pPr>
      <w:r w:rsidRPr="00D132A3">
        <w:rPr>
          <w:rFonts w:cs="Calibri Light"/>
        </w:rPr>
        <w:t>Title</w:t>
      </w:r>
    </w:p>
    <w:p w14:paraId="49DF74BE" w14:textId="239E115E" w:rsidR="00433B91" w:rsidRPr="00D132A3" w:rsidRDefault="00433B91" w:rsidP="00052D06">
      <w:pPr>
        <w:pStyle w:val="Instrumenttableofcontents"/>
        <w:numPr>
          <w:ilvl w:val="0"/>
          <w:numId w:val="7"/>
        </w:numPr>
        <w:spacing w:before="60" w:after="60"/>
        <w:rPr>
          <w:rFonts w:cs="Calibri Light"/>
        </w:rPr>
      </w:pPr>
      <w:r w:rsidRPr="00D132A3">
        <w:rPr>
          <w:rFonts w:cs="Calibri Light"/>
        </w:rPr>
        <w:t xml:space="preserve">Effective </w:t>
      </w:r>
      <w:r w:rsidR="004510B4" w:rsidRPr="00D132A3">
        <w:rPr>
          <w:rFonts w:cs="Calibri Light"/>
        </w:rPr>
        <w:t>d</w:t>
      </w:r>
      <w:r w:rsidRPr="00D132A3">
        <w:rPr>
          <w:rFonts w:cs="Calibri Light"/>
        </w:rPr>
        <w:t>ate</w:t>
      </w:r>
    </w:p>
    <w:p w14:paraId="1540DC84" w14:textId="770E5C98" w:rsidR="00433B91" w:rsidRPr="00D132A3" w:rsidRDefault="00433B91" w:rsidP="00052D06">
      <w:pPr>
        <w:pStyle w:val="Instrumenttableofcontents"/>
        <w:numPr>
          <w:ilvl w:val="0"/>
          <w:numId w:val="7"/>
        </w:numPr>
        <w:spacing w:before="60" w:after="60"/>
        <w:rPr>
          <w:rFonts w:cs="Calibri Light"/>
        </w:rPr>
      </w:pPr>
      <w:r w:rsidRPr="00D132A3">
        <w:rPr>
          <w:rFonts w:cs="Calibri Light"/>
        </w:rPr>
        <w:t>Definitions</w:t>
      </w:r>
    </w:p>
    <w:p w14:paraId="7D032242" w14:textId="77CD9293" w:rsidR="00433B91" w:rsidRPr="00A4193C" w:rsidRDefault="00433B91" w:rsidP="00052D06">
      <w:pPr>
        <w:pStyle w:val="Instrumenttableofcontents"/>
        <w:numPr>
          <w:ilvl w:val="0"/>
          <w:numId w:val="7"/>
        </w:numPr>
        <w:spacing w:before="60" w:after="60"/>
        <w:rPr>
          <w:rFonts w:cs="Calibri Light"/>
        </w:rPr>
      </w:pPr>
      <w:r w:rsidRPr="00A4193C">
        <w:rPr>
          <w:rFonts w:cs="Calibri Light"/>
        </w:rPr>
        <w:t>Coverage and application</w:t>
      </w:r>
    </w:p>
    <w:p w14:paraId="247CF97B" w14:textId="34FF860E" w:rsidR="00433B91" w:rsidRPr="00A4193C" w:rsidRDefault="00433B91" w:rsidP="00D9606D">
      <w:pPr>
        <w:pStyle w:val="Instrumenttableofcontents"/>
        <w:spacing w:before="60" w:after="60"/>
        <w:rPr>
          <w:rFonts w:cs="Calibri Light"/>
          <w:b/>
          <w:bCs w:val="0"/>
        </w:rPr>
      </w:pPr>
      <w:r w:rsidRPr="00A4193C">
        <w:rPr>
          <w:rFonts w:cs="Calibri Light"/>
          <w:b/>
          <w:bCs w:val="0"/>
        </w:rPr>
        <w:t xml:space="preserve">Part 2 – </w:t>
      </w:r>
      <w:r w:rsidR="003062E5" w:rsidRPr="00A4193C">
        <w:rPr>
          <w:rFonts w:cs="Calibri Light"/>
          <w:b/>
          <w:bCs w:val="0"/>
        </w:rPr>
        <w:t>Remuneration bands</w:t>
      </w:r>
      <w:r w:rsidR="00210E02" w:rsidRPr="00A4193C">
        <w:rPr>
          <w:rFonts w:cs="Calibri Light"/>
          <w:b/>
          <w:bCs w:val="0"/>
        </w:rPr>
        <w:t xml:space="preserve"> for </w:t>
      </w:r>
      <w:r w:rsidR="0098624B" w:rsidRPr="00A4193C">
        <w:rPr>
          <w:rFonts w:cs="Calibri Light"/>
          <w:b/>
          <w:bCs w:val="0"/>
        </w:rPr>
        <w:t xml:space="preserve">executives </w:t>
      </w:r>
    </w:p>
    <w:p w14:paraId="20D5C0B7" w14:textId="77777777" w:rsidR="00A4193C" w:rsidRPr="00A4193C" w:rsidRDefault="0098624B" w:rsidP="00052D06">
      <w:pPr>
        <w:pStyle w:val="Instrumenttableofcontents"/>
        <w:numPr>
          <w:ilvl w:val="0"/>
          <w:numId w:val="7"/>
        </w:numPr>
        <w:spacing w:before="60" w:after="60"/>
        <w:rPr>
          <w:rFonts w:cs="Calibri Light"/>
        </w:rPr>
      </w:pPr>
      <w:r w:rsidRPr="00A4193C">
        <w:rPr>
          <w:rFonts w:cs="Calibri Light"/>
        </w:rPr>
        <w:t>Values of the remuneration bands</w:t>
      </w:r>
    </w:p>
    <w:p w14:paraId="350FC0D6" w14:textId="6CF163A7" w:rsidR="00433B91" w:rsidRPr="00A4193C" w:rsidRDefault="00A4193C" w:rsidP="00052D06">
      <w:pPr>
        <w:pStyle w:val="Instrumenttableofcontents"/>
        <w:numPr>
          <w:ilvl w:val="0"/>
          <w:numId w:val="7"/>
        </w:numPr>
        <w:spacing w:before="60" w:after="60"/>
        <w:rPr>
          <w:rFonts w:cs="Calibri Light"/>
        </w:rPr>
      </w:pPr>
      <w:r w:rsidRPr="00A4193C">
        <w:rPr>
          <w:rFonts w:cs="Calibri Light"/>
        </w:rPr>
        <w:t>Remuneration band for Chief Executive Officer positions that do not</w:t>
      </w:r>
      <w:r w:rsidR="007842D9">
        <w:rPr>
          <w:rFonts w:cs="Calibri Light"/>
        </w:rPr>
        <w:t xml:space="preserve"> meet</w:t>
      </w:r>
      <w:r w:rsidRPr="00A4193C">
        <w:rPr>
          <w:rFonts w:cs="Calibri Light"/>
        </w:rPr>
        <w:t xml:space="preserve"> the minimum work value score required to be classified</w:t>
      </w:r>
      <w:r w:rsidR="00B3007C" w:rsidRPr="00A4193C">
        <w:rPr>
          <w:rFonts w:cs="Calibri Light"/>
        </w:rPr>
        <w:t xml:space="preserve"> </w:t>
      </w:r>
    </w:p>
    <w:p w14:paraId="58BFEF03" w14:textId="1987DF0F" w:rsidR="001B50A7" w:rsidRPr="00D132A3" w:rsidRDefault="00102816" w:rsidP="00D9606D">
      <w:pPr>
        <w:pStyle w:val="Instrumenttableofcontents"/>
        <w:spacing w:before="60" w:after="60"/>
        <w:rPr>
          <w:rFonts w:cs="Calibri Light"/>
          <w:b/>
          <w:bCs w:val="0"/>
        </w:rPr>
      </w:pPr>
      <w:r w:rsidRPr="00A4193C">
        <w:rPr>
          <w:rFonts w:cs="Calibri Light"/>
          <w:b/>
          <w:bCs w:val="0"/>
        </w:rPr>
        <w:t>Statement of Reasons</w:t>
      </w:r>
    </w:p>
    <w:p w14:paraId="0C850464" w14:textId="77777777" w:rsidR="001B50A7" w:rsidRDefault="001B50A7">
      <w:pPr>
        <w:spacing w:before="0" w:after="80" w:line="240" w:lineRule="auto"/>
        <w:jc w:val="left"/>
        <w:rPr>
          <w:b/>
        </w:rPr>
      </w:pPr>
      <w:r>
        <w:rPr>
          <w:b/>
        </w:rPr>
        <w:br w:type="page"/>
      </w:r>
    </w:p>
    <w:p w14:paraId="2992F33C" w14:textId="77777777" w:rsidR="00192523" w:rsidRPr="005422DA" w:rsidRDefault="00192523" w:rsidP="007A19EF">
      <w:pPr>
        <w:pStyle w:val="VIRTHeading3"/>
      </w:pPr>
      <w:bookmarkStart w:id="8" w:name="_Toc169878457"/>
      <w:r w:rsidRPr="00620E77">
        <w:lastRenderedPageBreak/>
        <w:t>Part</w:t>
      </w:r>
      <w:r w:rsidRPr="005422DA">
        <w:t xml:space="preserve"> 1 – </w:t>
      </w:r>
      <w:r w:rsidRPr="00156E39">
        <w:t>Legal</w:t>
      </w:r>
      <w:r w:rsidRPr="005422DA">
        <w:t xml:space="preserve"> matters and definitions</w:t>
      </w:r>
      <w:bookmarkEnd w:id="8"/>
    </w:p>
    <w:p w14:paraId="263A3C91" w14:textId="688915FA" w:rsidR="00192523" w:rsidRPr="00E00273" w:rsidRDefault="00192523" w:rsidP="00052D06">
      <w:pPr>
        <w:pStyle w:val="ListParagraph"/>
        <w:numPr>
          <w:ilvl w:val="0"/>
          <w:numId w:val="6"/>
        </w:numPr>
        <w:ind w:left="357" w:hanging="357"/>
        <w:contextualSpacing w:val="0"/>
        <w:rPr>
          <w:color w:val="auto"/>
        </w:rPr>
      </w:pPr>
      <w:r w:rsidRPr="00E00273">
        <w:rPr>
          <w:b/>
          <w:color w:val="auto"/>
        </w:rPr>
        <w:t>Title:</w:t>
      </w:r>
      <w:r w:rsidRPr="00E00273">
        <w:rPr>
          <w:color w:val="auto"/>
        </w:rPr>
        <w:t xml:space="preserve"> This Determination is the </w:t>
      </w:r>
      <w:r w:rsidR="00540652" w:rsidRPr="00B606CF">
        <w:rPr>
          <w:i/>
          <w:iCs/>
          <w:color w:val="auto"/>
        </w:rPr>
        <w:t xml:space="preserve">Remuneration Bands for Executives Employed in </w:t>
      </w:r>
      <w:r w:rsidR="00FF54A2" w:rsidRPr="00B606CF">
        <w:rPr>
          <w:i/>
          <w:iCs/>
          <w:color w:val="auto"/>
        </w:rPr>
        <w:t xml:space="preserve">Prescribed </w:t>
      </w:r>
      <w:r w:rsidR="00540652" w:rsidRPr="00B606CF">
        <w:rPr>
          <w:i/>
          <w:iCs/>
          <w:color w:val="auto"/>
        </w:rPr>
        <w:t xml:space="preserve">Public </w:t>
      </w:r>
      <w:r w:rsidR="00FF54A2" w:rsidRPr="00B606CF">
        <w:rPr>
          <w:i/>
          <w:iCs/>
          <w:color w:val="auto"/>
        </w:rPr>
        <w:t>Entities</w:t>
      </w:r>
      <w:r w:rsidR="00540652" w:rsidRPr="00B606CF">
        <w:rPr>
          <w:i/>
          <w:iCs/>
          <w:color w:val="auto"/>
        </w:rPr>
        <w:t xml:space="preserve"> (Victoria) Determination No. 01/202</w:t>
      </w:r>
      <w:r w:rsidR="004C51D4" w:rsidRPr="00B606CF">
        <w:rPr>
          <w:i/>
          <w:iCs/>
          <w:color w:val="auto"/>
        </w:rPr>
        <w:t>4</w:t>
      </w:r>
      <w:r w:rsidR="00540652" w:rsidRPr="00E00273">
        <w:rPr>
          <w:color w:val="auto"/>
        </w:rPr>
        <w:t xml:space="preserve"> </w:t>
      </w:r>
      <w:r w:rsidRPr="00E00273">
        <w:rPr>
          <w:color w:val="auto"/>
        </w:rPr>
        <w:t xml:space="preserve">and is made under Part 3 of the </w:t>
      </w:r>
      <w:r w:rsidRPr="00E00273">
        <w:rPr>
          <w:i/>
          <w:color w:val="auto"/>
        </w:rPr>
        <w:t xml:space="preserve">Victorian Independent Remuneration Tribunal and Improving Parliamentary Standards Act 2019 </w:t>
      </w:r>
      <w:r w:rsidRPr="00E00273">
        <w:rPr>
          <w:color w:val="auto"/>
        </w:rPr>
        <w:t xml:space="preserve">(Vic) by the Victorian Independent Remuneration Tribunal. </w:t>
      </w:r>
    </w:p>
    <w:p w14:paraId="765F3064" w14:textId="19C8BD31" w:rsidR="00996812" w:rsidRPr="00E00273" w:rsidRDefault="00192523" w:rsidP="00052D06">
      <w:pPr>
        <w:pStyle w:val="ListParagraph"/>
        <w:numPr>
          <w:ilvl w:val="0"/>
          <w:numId w:val="6"/>
        </w:numPr>
        <w:ind w:left="357" w:hanging="357"/>
        <w:contextualSpacing w:val="0"/>
        <w:rPr>
          <w:color w:val="auto"/>
        </w:rPr>
      </w:pPr>
      <w:r w:rsidRPr="00E00273">
        <w:rPr>
          <w:b/>
          <w:color w:val="auto"/>
        </w:rPr>
        <w:t xml:space="preserve">Effective </w:t>
      </w:r>
      <w:r w:rsidR="004510B4" w:rsidRPr="00E00273">
        <w:rPr>
          <w:b/>
          <w:color w:val="auto"/>
        </w:rPr>
        <w:t>d</w:t>
      </w:r>
      <w:r w:rsidRPr="00E00273">
        <w:rPr>
          <w:b/>
          <w:color w:val="auto"/>
        </w:rPr>
        <w:t>ate:</w:t>
      </w:r>
      <w:r w:rsidRPr="00E00273">
        <w:rPr>
          <w:color w:val="auto"/>
        </w:rPr>
        <w:t xml:space="preserve"> This Determination takes effec</w:t>
      </w:r>
      <w:r w:rsidRPr="00A4193C">
        <w:rPr>
          <w:color w:val="auto"/>
        </w:rPr>
        <w:t xml:space="preserve">t on </w:t>
      </w:r>
      <w:r w:rsidR="004C51D4" w:rsidRPr="00A4193C">
        <w:rPr>
          <w:color w:val="auto"/>
        </w:rPr>
        <w:t>1 July 2024</w:t>
      </w:r>
      <w:r w:rsidRPr="00A4193C">
        <w:rPr>
          <w:color w:val="auto"/>
        </w:rPr>
        <w:t>.</w:t>
      </w:r>
    </w:p>
    <w:p w14:paraId="0A53DB60" w14:textId="3A08FF5F" w:rsidR="00192523" w:rsidRPr="00E00273" w:rsidRDefault="00192523" w:rsidP="00A408EB">
      <w:pPr>
        <w:pStyle w:val="Instrumentlevel1numberedparagraphs"/>
      </w:pPr>
      <w:r w:rsidRPr="00E00273">
        <w:t>Definitions</w:t>
      </w:r>
    </w:p>
    <w:p w14:paraId="1C5D7C3D" w14:textId="30EAB6B7" w:rsidR="006147D9" w:rsidRPr="00E00273" w:rsidRDefault="006147D9" w:rsidP="00260C01">
      <w:pPr>
        <w:pStyle w:val="Instrumentlevel2numberedparagraphs"/>
      </w:pPr>
      <w:r w:rsidRPr="00E00273">
        <w:t xml:space="preserve">Terms not defined in this Determination have the same meaning as in the </w:t>
      </w:r>
      <w:r w:rsidR="00CA494E" w:rsidRPr="00E00273">
        <w:rPr>
          <w:i/>
        </w:rPr>
        <w:t>Public Administration Act 2004</w:t>
      </w:r>
      <w:r w:rsidR="00CA494E" w:rsidRPr="00E00273">
        <w:t xml:space="preserve"> (Vic)</w:t>
      </w:r>
      <w:r w:rsidRPr="00E00273">
        <w:t xml:space="preserve">, unless the contrary intention appears. </w:t>
      </w:r>
    </w:p>
    <w:p w14:paraId="61A96885" w14:textId="0B4D01EC" w:rsidR="009A6C87" w:rsidRPr="00E00273" w:rsidRDefault="00192523" w:rsidP="00260C01">
      <w:pPr>
        <w:pStyle w:val="Instrumentlevel2numberedparagraphs"/>
      </w:pPr>
      <w:r w:rsidRPr="00E00273">
        <w:t xml:space="preserve">In </w:t>
      </w:r>
      <w:r w:rsidR="005E18E1" w:rsidRPr="00E00273">
        <w:t>t</w:t>
      </w:r>
      <w:r w:rsidRPr="00E00273">
        <w:t>his Determination, unless the contrary intention appears</w:t>
      </w:r>
      <w:r w:rsidR="000A76BB" w:rsidRPr="00E00273">
        <w:t>:</w:t>
      </w:r>
    </w:p>
    <w:p w14:paraId="6D632D85" w14:textId="4CF3FD24" w:rsidR="00FF54A2" w:rsidRDefault="00FF54A2" w:rsidP="00260C01">
      <w:pPr>
        <w:pStyle w:val="Instrumentlevel2numberedparagraphs"/>
        <w:numPr>
          <w:ilvl w:val="0"/>
          <w:numId w:val="0"/>
        </w:numPr>
        <w:ind w:left="907"/>
        <w:rPr>
          <w:b/>
          <w:bCs/>
        </w:rPr>
      </w:pPr>
      <w:r w:rsidRPr="00FF54A2">
        <w:rPr>
          <w:b/>
          <w:bCs/>
        </w:rPr>
        <w:t>Executive</w:t>
      </w:r>
      <w:r w:rsidRPr="00FF54A2">
        <w:t xml:space="preserve"> means an individual to whom the PEER Policy applies under paragraphs 4.1 and 4.2 of the PEER </w:t>
      </w:r>
      <w:proofErr w:type="gramStart"/>
      <w:r w:rsidRPr="00FF54A2">
        <w:t>Policy;</w:t>
      </w:r>
      <w:proofErr w:type="gramEnd"/>
    </w:p>
    <w:p w14:paraId="27BA7AB1" w14:textId="6E1D195E" w:rsidR="00BE04D4" w:rsidRPr="00E00273" w:rsidRDefault="00BE04D4" w:rsidP="00260C01">
      <w:pPr>
        <w:pStyle w:val="Instrumentlevel2numberedparagraphs"/>
        <w:numPr>
          <w:ilvl w:val="0"/>
          <w:numId w:val="0"/>
        </w:numPr>
        <w:ind w:left="907"/>
        <w:rPr>
          <w:b/>
          <w:bCs/>
        </w:rPr>
      </w:pPr>
      <w:r w:rsidRPr="00E00273">
        <w:rPr>
          <w:b/>
          <w:bCs/>
        </w:rPr>
        <w:t xml:space="preserve">FTE </w:t>
      </w:r>
      <w:r w:rsidRPr="00E00273">
        <w:t xml:space="preserve">means Full Time </w:t>
      </w:r>
      <w:proofErr w:type="gramStart"/>
      <w:r w:rsidRPr="00E00273">
        <w:t>Equivalent</w:t>
      </w:r>
      <w:r w:rsidR="00C82B35" w:rsidRPr="00E00273">
        <w:t>;</w:t>
      </w:r>
      <w:proofErr w:type="gramEnd"/>
    </w:p>
    <w:p w14:paraId="67AAE4C3" w14:textId="77777777" w:rsidR="00343F5B" w:rsidRDefault="00343F5B" w:rsidP="00343F5B">
      <w:pPr>
        <w:pStyle w:val="Instrumentlevel2numberedparagraphs"/>
        <w:numPr>
          <w:ilvl w:val="0"/>
          <w:numId w:val="0"/>
        </w:numPr>
        <w:ind w:left="907"/>
      </w:pPr>
      <w:r w:rsidRPr="00343F5B">
        <w:rPr>
          <w:b/>
          <w:bCs/>
        </w:rPr>
        <w:t>PAA</w:t>
      </w:r>
      <w:r>
        <w:t xml:space="preserve"> means the </w:t>
      </w:r>
      <w:r w:rsidRPr="003575D5">
        <w:rPr>
          <w:i/>
        </w:rPr>
        <w:t>Public Administration Act 2004</w:t>
      </w:r>
      <w:r>
        <w:t xml:space="preserve"> (Vic</w:t>
      </w:r>
      <w:proofErr w:type="gramStart"/>
      <w:r>
        <w:t>);</w:t>
      </w:r>
      <w:proofErr w:type="gramEnd"/>
    </w:p>
    <w:p w14:paraId="2216F285" w14:textId="3ECB2DF3" w:rsidR="00343F5B" w:rsidRDefault="00343F5B" w:rsidP="00343F5B">
      <w:pPr>
        <w:pStyle w:val="Instrumentlevel2numberedparagraphs"/>
        <w:numPr>
          <w:ilvl w:val="0"/>
          <w:numId w:val="0"/>
        </w:numPr>
        <w:ind w:left="907"/>
      </w:pPr>
      <w:r w:rsidRPr="00343F5B">
        <w:rPr>
          <w:b/>
          <w:bCs/>
        </w:rPr>
        <w:t>PEECF</w:t>
      </w:r>
      <w:r>
        <w:t xml:space="preserve"> means the Public Entity Executive Classification Framework in relation to Public Entity Senior Executive Service classifications issued by the Victorian Public Sector Commission and available on its website, as amended from time to </w:t>
      </w:r>
      <w:proofErr w:type="gramStart"/>
      <w:r>
        <w:t>time;</w:t>
      </w:r>
      <w:proofErr w:type="gramEnd"/>
    </w:p>
    <w:p w14:paraId="74AC3B07" w14:textId="65629E73" w:rsidR="004C2ADC" w:rsidRPr="00E00273" w:rsidRDefault="00343F5B" w:rsidP="00343F5B">
      <w:pPr>
        <w:pStyle w:val="Instrumentlevel2numberedparagraphs"/>
        <w:numPr>
          <w:ilvl w:val="0"/>
          <w:numId w:val="0"/>
        </w:numPr>
        <w:ind w:left="907"/>
      </w:pPr>
      <w:r w:rsidRPr="00343F5B">
        <w:rPr>
          <w:b/>
          <w:bCs/>
        </w:rPr>
        <w:t>PEER Policy</w:t>
      </w:r>
      <w:r>
        <w:t xml:space="preserve"> means the Victorian Government Public Entity Executive Remuneration Policy (which is a Schedule to an Order made by the Governor in Council under section 92 of the PAA) as amended from time to </w:t>
      </w:r>
      <w:proofErr w:type="gramStart"/>
      <w:r>
        <w:t>time;</w:t>
      </w:r>
      <w:proofErr w:type="gramEnd"/>
    </w:p>
    <w:p w14:paraId="3A6D63D3" w14:textId="421C43EA" w:rsidR="003062E5" w:rsidRPr="00E00273" w:rsidRDefault="003062E5" w:rsidP="00260C01">
      <w:pPr>
        <w:pStyle w:val="Instrumentlevel2numberedparagraphs"/>
        <w:numPr>
          <w:ilvl w:val="0"/>
          <w:numId w:val="0"/>
        </w:numPr>
        <w:ind w:left="907"/>
      </w:pPr>
      <w:r w:rsidRPr="00E00273">
        <w:rPr>
          <w:b/>
        </w:rPr>
        <w:t xml:space="preserve">TRP </w:t>
      </w:r>
      <w:r w:rsidRPr="00E00273">
        <w:t>means Total Remuneration Package</w:t>
      </w:r>
      <w:r w:rsidR="00B11390" w:rsidRPr="00E00273">
        <w:t xml:space="preserve">, and </w:t>
      </w:r>
      <w:r w:rsidR="00540652" w:rsidRPr="00E00273">
        <w:t>is the sum of</w:t>
      </w:r>
      <w:r w:rsidR="00B11390" w:rsidRPr="00E00273">
        <w:t>:</w:t>
      </w:r>
    </w:p>
    <w:p w14:paraId="79352BE5" w14:textId="3378D4E4" w:rsidR="00B11390" w:rsidRPr="00E00273" w:rsidRDefault="00B11390" w:rsidP="0098624B">
      <w:pPr>
        <w:pStyle w:val="Instrumentlevel3alphanumericallist"/>
        <w:numPr>
          <w:ilvl w:val="0"/>
          <w:numId w:val="9"/>
        </w:numPr>
      </w:pPr>
      <w:r w:rsidRPr="00E00273">
        <w:t xml:space="preserve">base salary; </w:t>
      </w:r>
    </w:p>
    <w:p w14:paraId="03629256" w14:textId="1AF4B133" w:rsidR="00B11390" w:rsidRPr="00E00273" w:rsidRDefault="00B11390" w:rsidP="00DB0D2B">
      <w:pPr>
        <w:pStyle w:val="Instrumentlevel3alphanumericallist"/>
      </w:pPr>
      <w:r w:rsidRPr="00E00273">
        <w:t xml:space="preserve">superannuation contributions; </w:t>
      </w:r>
    </w:p>
    <w:p w14:paraId="3E083AAA" w14:textId="65180D4B" w:rsidR="001B6A11" w:rsidRPr="00E00273" w:rsidRDefault="00B11390" w:rsidP="00DB0D2B">
      <w:pPr>
        <w:pStyle w:val="Instrumentlevel3alphanumericallist"/>
      </w:pPr>
      <w:r w:rsidRPr="00E00273">
        <w:t>employment benefits</w:t>
      </w:r>
      <w:r w:rsidR="00A653DA" w:rsidRPr="00E00273">
        <w:t xml:space="preserve"> (i.e. non-salary) specified in the executive’s contract of employment</w:t>
      </w:r>
      <w:r w:rsidRPr="00E00273">
        <w:t xml:space="preserve">; and </w:t>
      </w:r>
    </w:p>
    <w:p w14:paraId="3C83AF78" w14:textId="77777777" w:rsidR="00FF54A2" w:rsidRDefault="00B11390" w:rsidP="00FF54A2">
      <w:pPr>
        <w:pStyle w:val="Instrumentlevel3alphanumericallist"/>
        <w:ind w:left="1264" w:hanging="357"/>
        <w:contextualSpacing w:val="0"/>
      </w:pPr>
      <w:r w:rsidRPr="00E00273">
        <w:lastRenderedPageBreak/>
        <w:t xml:space="preserve">the annual cost to the </w:t>
      </w:r>
      <w:r w:rsidR="00A653DA" w:rsidRPr="00E00273">
        <w:t>e</w:t>
      </w:r>
      <w:r w:rsidRPr="00E00273">
        <w:t>mployer of providing the non-monetary benefits, including any fringe benefits tax payable</w:t>
      </w:r>
      <w:r w:rsidR="00E33125" w:rsidRPr="00E00273">
        <w:t>;</w:t>
      </w:r>
      <w:r w:rsidR="00FF54A2">
        <w:t xml:space="preserve"> —</w:t>
      </w:r>
    </w:p>
    <w:p w14:paraId="29549508" w14:textId="4DD4D3EA" w:rsidR="00D81417" w:rsidRDefault="00FF54A2" w:rsidP="00FF54A2">
      <w:pPr>
        <w:pStyle w:val="Instrumentlevel3alphanumericallist"/>
        <w:numPr>
          <w:ilvl w:val="0"/>
          <w:numId w:val="0"/>
        </w:numPr>
        <w:ind w:left="907"/>
      </w:pPr>
      <w:r>
        <w:t>but for the avoidance of doubt, TRP excludes any bonus opportunity specified in the contract of employment;</w:t>
      </w:r>
    </w:p>
    <w:p w14:paraId="0770AE7F" w14:textId="3E7A82B4" w:rsidR="00FF54A2" w:rsidRPr="00E00273" w:rsidRDefault="00FF54A2" w:rsidP="00356778">
      <w:pPr>
        <w:pStyle w:val="Instrumenttablenotes"/>
        <w:ind w:left="993"/>
      </w:pPr>
      <w:r w:rsidRPr="00FF54A2">
        <w:t xml:space="preserve">Note: the PEER Policy requires that all new or renewed executive contracts </w:t>
      </w:r>
      <w:proofErr w:type="gramStart"/>
      <w:r w:rsidRPr="00FF54A2">
        <w:t>entered into</w:t>
      </w:r>
      <w:proofErr w:type="gramEnd"/>
      <w:r w:rsidRPr="00FF54A2">
        <w:t xml:space="preserve"> from 4 February 2020 must not include a bonus opportunity, subject to an exception for specific roles at Treasury Corporation of Victoria and the Victorian Funds Management Corporation. Refer to the PEER Policy for further information.</w:t>
      </w:r>
    </w:p>
    <w:p w14:paraId="36E74732" w14:textId="21ECAE07" w:rsidR="00343F5B" w:rsidRDefault="00FF54A2" w:rsidP="00FF54A2">
      <w:pPr>
        <w:pStyle w:val="Instrumentlevel2numberedparagraphs"/>
        <w:numPr>
          <w:ilvl w:val="0"/>
          <w:numId w:val="0"/>
        </w:numPr>
        <w:ind w:left="907"/>
      </w:pPr>
      <w:r w:rsidRPr="00FF54A2">
        <w:rPr>
          <w:b/>
          <w:bCs/>
        </w:rPr>
        <w:t xml:space="preserve">VIRTIPS Act </w:t>
      </w:r>
      <w:r w:rsidRPr="00FF54A2">
        <w:t xml:space="preserve">means the </w:t>
      </w:r>
      <w:r w:rsidRPr="00FF54A2">
        <w:rPr>
          <w:i/>
          <w:iCs/>
        </w:rPr>
        <w:t xml:space="preserve">Victorian Independent Remuneration Tribunal and Improving Parliamentary Standards Act 2019 </w:t>
      </w:r>
      <w:r w:rsidRPr="00FF54A2">
        <w:t>(Vic</w:t>
      </w:r>
      <w:proofErr w:type="gramStart"/>
      <w:r w:rsidRPr="00FF54A2">
        <w:t>)</w:t>
      </w:r>
      <w:r w:rsidR="0065507F">
        <w:t>;</w:t>
      </w:r>
      <w:proofErr w:type="gramEnd"/>
    </w:p>
    <w:p w14:paraId="2D88E84C" w14:textId="014CED17" w:rsidR="003D3B4E" w:rsidRPr="00E00273" w:rsidRDefault="00343F5B" w:rsidP="00FF54A2">
      <w:pPr>
        <w:pStyle w:val="Instrumentlevel2numberedparagraphs"/>
        <w:numPr>
          <w:ilvl w:val="0"/>
          <w:numId w:val="0"/>
        </w:numPr>
        <w:ind w:left="907"/>
      </w:pPr>
      <w:r>
        <w:rPr>
          <w:b/>
          <w:bCs/>
        </w:rPr>
        <w:t xml:space="preserve">VPSECF </w:t>
      </w:r>
      <w:r w:rsidRPr="00343F5B">
        <w:t>means the Victorian Public Service Executive Classification Framework in relat</w:t>
      </w:r>
      <w:r>
        <w:t>ion to Senior Executive Service classifications issued by the Victorian Public Sector Commission and available on its website, as amended from time to time</w:t>
      </w:r>
      <w:r w:rsidR="00FF54A2" w:rsidRPr="00FF54A2">
        <w:t>.</w:t>
      </w:r>
    </w:p>
    <w:p w14:paraId="116D523E" w14:textId="4FC3ED22" w:rsidR="00192523" w:rsidRPr="00B17DA9" w:rsidRDefault="00192523" w:rsidP="00163DCD">
      <w:pPr>
        <w:pStyle w:val="Instrumentlevel1numberedparagraphs"/>
        <w:rPr>
          <w:b w:val="0"/>
          <w:iCs/>
        </w:rPr>
      </w:pPr>
      <w:r w:rsidRPr="00E00273">
        <w:t>Coverage and application</w:t>
      </w:r>
    </w:p>
    <w:p w14:paraId="2A6D215F" w14:textId="557ED457" w:rsidR="00192523" w:rsidRPr="00B17DA9" w:rsidRDefault="00192523" w:rsidP="00260C01">
      <w:pPr>
        <w:pStyle w:val="Instrumentlevel2numberedparagraphs"/>
        <w:rPr>
          <w:iCs/>
        </w:rPr>
      </w:pPr>
      <w:r w:rsidRPr="00E00273">
        <w:t>This Determination sets the value</w:t>
      </w:r>
      <w:r w:rsidR="00CA494E" w:rsidRPr="00E00273">
        <w:t>s</w:t>
      </w:r>
      <w:r w:rsidRPr="00E00273">
        <w:t xml:space="preserve"> </w:t>
      </w:r>
      <w:r w:rsidR="00CA494E" w:rsidRPr="00E00273">
        <w:t>of the remuneration bands for executives</w:t>
      </w:r>
      <w:r w:rsidR="00F65528" w:rsidRPr="00E00273">
        <w:t xml:space="preserve"> </w:t>
      </w:r>
      <w:r w:rsidR="00CA494E" w:rsidRPr="00E00273">
        <w:t xml:space="preserve">employed in </w:t>
      </w:r>
      <w:r w:rsidR="00343F5B">
        <w:t>prescribed public entities</w:t>
      </w:r>
      <w:r w:rsidR="004A6ADF" w:rsidRPr="00E00273">
        <w:t>.</w:t>
      </w:r>
    </w:p>
    <w:p w14:paraId="3C81FB29" w14:textId="55598749" w:rsidR="00E84EFF" w:rsidRDefault="00E84EFF" w:rsidP="007A19EF">
      <w:pPr>
        <w:pStyle w:val="VIRTHeading3"/>
      </w:pPr>
      <w:bookmarkStart w:id="9" w:name="_Toc169878458"/>
      <w:r>
        <w:t xml:space="preserve">Part 2 – </w:t>
      </w:r>
      <w:r w:rsidR="003062E5">
        <w:t>Remuneration bands</w:t>
      </w:r>
      <w:r w:rsidR="00210E02">
        <w:t xml:space="preserve"> for executives</w:t>
      </w:r>
      <w:bookmarkEnd w:id="9"/>
    </w:p>
    <w:p w14:paraId="4F3783E3" w14:textId="4D518EE0" w:rsidR="00CA494E" w:rsidRPr="00E00273" w:rsidRDefault="00343F5B" w:rsidP="00163DCD">
      <w:pPr>
        <w:pStyle w:val="Instrumentlevel1numberedparagraphs"/>
      </w:pPr>
      <w:r>
        <w:t>Values of the remuneration bands</w:t>
      </w:r>
      <w:r w:rsidR="00CA494E" w:rsidRPr="00E00273">
        <w:t xml:space="preserve"> </w:t>
      </w:r>
    </w:p>
    <w:p w14:paraId="0B850291" w14:textId="38ED1CE9" w:rsidR="00452086" w:rsidRPr="00452086" w:rsidRDefault="00D44BAF" w:rsidP="00260C01">
      <w:pPr>
        <w:pStyle w:val="Instrumentlevel2numberedparagraphs"/>
      </w:pPr>
      <w:r w:rsidRPr="00D44BAF">
        <w:t xml:space="preserve">Subject to clause 6, </w:t>
      </w:r>
      <w:r>
        <w:t>t</w:t>
      </w:r>
      <w:r w:rsidR="00864479" w:rsidRPr="00452086">
        <w:t xml:space="preserve">he </w:t>
      </w:r>
      <w:r w:rsidR="001D179F" w:rsidRPr="00452086">
        <w:t xml:space="preserve">values of the </w:t>
      </w:r>
      <w:r w:rsidR="00864479" w:rsidRPr="00452086">
        <w:t>remuneration bands</w:t>
      </w:r>
      <w:r w:rsidR="00CA494E" w:rsidRPr="00452086">
        <w:t xml:space="preserve"> for executives employed in </w:t>
      </w:r>
      <w:r w:rsidR="00343F5B">
        <w:t xml:space="preserve">prescribed public entities </w:t>
      </w:r>
      <w:r w:rsidR="00A53A39" w:rsidRPr="00452086">
        <w:t xml:space="preserve">are set </w:t>
      </w:r>
      <w:r w:rsidR="001D179F" w:rsidRPr="00452086">
        <w:t xml:space="preserve">out </w:t>
      </w:r>
      <w:r w:rsidR="00A53A39" w:rsidRPr="00452086">
        <w:t>in</w:t>
      </w:r>
      <w:r w:rsidR="00386B4A" w:rsidRPr="00452086">
        <w:t xml:space="preserve"> </w:t>
      </w:r>
      <w:r w:rsidR="00B3007C">
        <w:t>T</w:t>
      </w:r>
      <w:r w:rsidR="00386B4A" w:rsidRPr="00452086">
        <w:t xml:space="preserve">able </w:t>
      </w:r>
      <w:r w:rsidR="00A53A39" w:rsidRPr="00452086">
        <w:t>1</w:t>
      </w:r>
      <w:r w:rsidR="00CA494E" w:rsidRPr="00452086">
        <w:t>.</w:t>
      </w:r>
    </w:p>
    <w:p w14:paraId="2E663DAB" w14:textId="7A9715E6" w:rsidR="00CA494E" w:rsidRPr="00452086" w:rsidRDefault="00E33125" w:rsidP="00260C01">
      <w:pPr>
        <w:pStyle w:val="Instrumentlevel2numberedparagraphs"/>
      </w:pPr>
      <w:r w:rsidRPr="00452086">
        <w:t xml:space="preserve">The relevant remuneration band for </w:t>
      </w:r>
      <w:r w:rsidR="008807F7" w:rsidRPr="00452086">
        <w:t>each</w:t>
      </w:r>
      <w:r w:rsidRPr="00452086">
        <w:t xml:space="preserve"> executive corresponds to the </w:t>
      </w:r>
      <w:r w:rsidR="00343F5B">
        <w:t xml:space="preserve">Public Entity Senior Executive Service, or </w:t>
      </w:r>
      <w:r w:rsidRPr="00452086">
        <w:t>Senior Executive Service classifi</w:t>
      </w:r>
      <w:r w:rsidR="008807F7" w:rsidRPr="00452086">
        <w:t>cation</w:t>
      </w:r>
      <w:r w:rsidR="00343F5B">
        <w:t>,</w:t>
      </w:r>
      <w:r w:rsidR="00A92F7D" w:rsidRPr="00452086">
        <w:t xml:space="preserve"> of that position determined under </w:t>
      </w:r>
      <w:r w:rsidR="00452086" w:rsidRPr="00452086">
        <w:t xml:space="preserve">the </w:t>
      </w:r>
      <w:r w:rsidR="00343F5B">
        <w:t>PEECF or VPSECF</w:t>
      </w:r>
      <w:r w:rsidR="008807F7" w:rsidRPr="00452086">
        <w:t>.</w:t>
      </w:r>
    </w:p>
    <w:p w14:paraId="636227E4" w14:textId="04BF3220" w:rsidR="00A53A39" w:rsidRPr="00D479B8" w:rsidRDefault="00A53A39" w:rsidP="0098624B">
      <w:pPr>
        <w:pStyle w:val="Tableheading"/>
      </w:pPr>
      <w:r w:rsidRPr="00D479B8">
        <w:lastRenderedPageBreak/>
        <w:t xml:space="preserve">Table 1: </w:t>
      </w:r>
      <w:r w:rsidR="00144BE8">
        <w:t>V</w:t>
      </w:r>
      <w:r w:rsidR="001D179F" w:rsidRPr="00D479B8">
        <w:t xml:space="preserve">alues of </w:t>
      </w:r>
      <w:r w:rsidRPr="00D479B8">
        <w:t xml:space="preserve">remuneration bands for </w:t>
      </w:r>
      <w:r w:rsidR="00144BE8">
        <w:t xml:space="preserve">the </w:t>
      </w:r>
      <w:r w:rsidR="00157AC2">
        <w:t>S</w:t>
      </w:r>
      <w:r w:rsidR="00B3007C" w:rsidRPr="00B3007C">
        <w:t xml:space="preserve">enior </w:t>
      </w:r>
      <w:r w:rsidR="00157AC2">
        <w:t>E</w:t>
      </w:r>
      <w:r w:rsidR="00B3007C" w:rsidRPr="00B3007C">
        <w:t xml:space="preserve">xecutive </w:t>
      </w:r>
      <w:r w:rsidR="00157AC2">
        <w:t>S</w:t>
      </w:r>
      <w:r w:rsidR="00B3007C" w:rsidRPr="00B3007C">
        <w:t>ervice</w:t>
      </w:r>
    </w:p>
    <w:tbl>
      <w:tblPr>
        <w:tblStyle w:val="ListTable3-Accent2"/>
        <w:tblW w:w="4857" w:type="pct"/>
        <w:tblInd w:w="250" w:type="dxa"/>
        <w:tblLook w:val="04A0" w:firstRow="1" w:lastRow="0" w:firstColumn="1" w:lastColumn="0" w:noHBand="0" w:noVBand="1"/>
      </w:tblPr>
      <w:tblGrid>
        <w:gridCol w:w="3861"/>
        <w:gridCol w:w="1842"/>
        <w:gridCol w:w="2558"/>
      </w:tblGrid>
      <w:tr w:rsidR="00BB1556" w:rsidRPr="004E25A2" w14:paraId="1B585B8F" w14:textId="77777777" w:rsidTr="00E80A8A">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337" w:type="pct"/>
            <w:shd w:val="clear" w:color="auto" w:fill="26664E" w:themeFill="accent1"/>
            <w:vAlign w:val="top"/>
          </w:tcPr>
          <w:p w14:paraId="00DFDD95" w14:textId="24D09ECE" w:rsidR="00BB1556" w:rsidRPr="004B28E7" w:rsidRDefault="001D179F" w:rsidP="0098624B">
            <w:pPr>
              <w:keepNext/>
              <w:spacing w:before="0" w:after="0"/>
              <w:jc w:val="left"/>
              <w:rPr>
                <w:color w:val="FFFFFF" w:themeColor="background1"/>
                <w:sz w:val="22"/>
              </w:rPr>
            </w:pPr>
            <w:r>
              <w:rPr>
                <w:color w:val="FFFFFF" w:themeColor="background1"/>
                <w:sz w:val="22"/>
              </w:rPr>
              <w:t>Classification</w:t>
            </w:r>
          </w:p>
        </w:tc>
        <w:tc>
          <w:tcPr>
            <w:tcW w:w="1115" w:type="pct"/>
            <w:shd w:val="clear" w:color="auto" w:fill="26664E" w:themeFill="accent1"/>
            <w:vAlign w:val="top"/>
          </w:tcPr>
          <w:p w14:paraId="27444D89" w14:textId="174F34FE" w:rsidR="00BB1556" w:rsidRPr="004B28E7" w:rsidRDefault="00BB1556" w:rsidP="0098624B">
            <w:pPr>
              <w:keepNext/>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rPr>
            </w:pPr>
            <w:r w:rsidRPr="004B28E7">
              <w:rPr>
                <w:color w:val="FFFFFF" w:themeColor="background1"/>
                <w:sz w:val="22"/>
              </w:rPr>
              <w:t>Base of band TRP</w:t>
            </w:r>
            <w:r w:rsidRPr="004B28E7">
              <w:rPr>
                <w:color w:val="FFFFFF" w:themeColor="background1"/>
                <w:sz w:val="22"/>
              </w:rPr>
              <w:br/>
              <w:t>$</w:t>
            </w:r>
            <w:r w:rsidR="00567E2B" w:rsidRPr="004B28E7">
              <w:rPr>
                <w:color w:val="FFFFFF" w:themeColor="background1"/>
                <w:sz w:val="22"/>
              </w:rPr>
              <w:t xml:space="preserve"> per </w:t>
            </w:r>
            <w:r w:rsidR="00540652">
              <w:rPr>
                <w:color w:val="FFFFFF" w:themeColor="background1"/>
                <w:sz w:val="22"/>
              </w:rPr>
              <w:t>annum</w:t>
            </w:r>
          </w:p>
        </w:tc>
        <w:tc>
          <w:tcPr>
            <w:tcW w:w="1548" w:type="pct"/>
            <w:shd w:val="clear" w:color="auto" w:fill="26664E" w:themeFill="accent1"/>
            <w:vAlign w:val="top"/>
          </w:tcPr>
          <w:p w14:paraId="025F414A" w14:textId="1683E3B1" w:rsidR="00BB1556" w:rsidRPr="004B28E7" w:rsidRDefault="00BB1556" w:rsidP="0098624B">
            <w:pPr>
              <w:keepNext/>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rPr>
            </w:pPr>
            <w:r w:rsidRPr="004B28E7">
              <w:rPr>
                <w:bCs w:val="0"/>
                <w:color w:val="FFFFFF" w:themeColor="background1"/>
                <w:sz w:val="22"/>
              </w:rPr>
              <w:t>Top of band TRP</w:t>
            </w:r>
            <w:r w:rsidRPr="004B28E7">
              <w:rPr>
                <w:bCs w:val="0"/>
                <w:color w:val="FFFFFF" w:themeColor="background1"/>
                <w:sz w:val="22"/>
              </w:rPr>
              <w:br/>
            </w:r>
            <w:r w:rsidRPr="004B28E7">
              <w:rPr>
                <w:color w:val="FFFFFF" w:themeColor="background1"/>
                <w:sz w:val="22"/>
              </w:rPr>
              <w:t>$</w:t>
            </w:r>
            <w:r w:rsidR="00567E2B" w:rsidRPr="004B28E7">
              <w:rPr>
                <w:color w:val="FFFFFF" w:themeColor="background1"/>
                <w:sz w:val="22"/>
              </w:rPr>
              <w:t xml:space="preserve"> per </w:t>
            </w:r>
            <w:r w:rsidR="00540652">
              <w:rPr>
                <w:color w:val="FFFFFF" w:themeColor="background1"/>
                <w:sz w:val="22"/>
              </w:rPr>
              <w:t>annum</w:t>
            </w:r>
          </w:p>
        </w:tc>
      </w:tr>
      <w:tr w:rsidR="00E00273" w:rsidRPr="00E00273" w14:paraId="7F5DB660" w14:textId="77777777" w:rsidTr="00E80A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pct"/>
            <w:tcBorders>
              <w:bottom w:val="single" w:sz="4" w:space="0" w:color="26664E" w:themeColor="accent1"/>
            </w:tcBorders>
          </w:tcPr>
          <w:p w14:paraId="1804B03F" w14:textId="6EC42EE7" w:rsidR="009C0600" w:rsidRPr="00FF7D46" w:rsidRDefault="00343F5B" w:rsidP="0098624B">
            <w:pPr>
              <w:pStyle w:val="10Tabletext"/>
              <w:keepNext/>
              <w:rPr>
                <w:b w:val="0"/>
                <w:color w:val="auto"/>
              </w:rPr>
            </w:pPr>
            <w:r w:rsidRPr="00FF7D46">
              <w:rPr>
                <w:b w:val="0"/>
                <w:color w:val="auto"/>
              </w:rPr>
              <w:t xml:space="preserve">Public Entity Senior Executive Service-1 </w:t>
            </w:r>
            <w:proofErr w:type="gramStart"/>
            <w:r w:rsidRPr="00FF7D46">
              <w:rPr>
                <w:b w:val="0"/>
                <w:color w:val="auto"/>
              </w:rPr>
              <w:t xml:space="preserve">/  </w:t>
            </w:r>
            <w:r w:rsidR="009C0600" w:rsidRPr="00FF7D46">
              <w:rPr>
                <w:b w:val="0"/>
                <w:color w:val="auto"/>
              </w:rPr>
              <w:t>Senior</w:t>
            </w:r>
            <w:proofErr w:type="gramEnd"/>
            <w:r w:rsidR="009C0600" w:rsidRPr="00FF7D46">
              <w:rPr>
                <w:b w:val="0"/>
                <w:color w:val="auto"/>
              </w:rPr>
              <w:t xml:space="preserve"> Executive Service-</w:t>
            </w:r>
            <w:r w:rsidR="005918F9" w:rsidRPr="00FF7D46">
              <w:rPr>
                <w:b w:val="0"/>
                <w:color w:val="auto"/>
              </w:rPr>
              <w:t>1</w:t>
            </w:r>
            <w:r w:rsidRPr="00FF7D46">
              <w:rPr>
                <w:b w:val="0"/>
                <w:color w:val="auto"/>
              </w:rPr>
              <w:t xml:space="preserve"> </w:t>
            </w:r>
          </w:p>
        </w:tc>
        <w:tc>
          <w:tcPr>
            <w:tcW w:w="1115" w:type="pct"/>
            <w:tcBorders>
              <w:bottom w:val="single" w:sz="4" w:space="0" w:color="26664E" w:themeColor="accent1"/>
            </w:tcBorders>
          </w:tcPr>
          <w:p w14:paraId="06EA1617" w14:textId="396823C8" w:rsidR="009C0600" w:rsidRPr="00FF7D46" w:rsidRDefault="00DF6AC5" w:rsidP="0098624B">
            <w:pPr>
              <w:pStyle w:val="10Tabletext"/>
              <w:keepNext/>
              <w:jc w:val="right"/>
              <w:cnfStyle w:val="000000100000" w:firstRow="0" w:lastRow="0" w:firstColumn="0" w:lastColumn="0" w:oddVBand="0" w:evenVBand="0" w:oddHBand="1" w:evenHBand="0" w:firstRowFirstColumn="0" w:firstRowLastColumn="0" w:lastRowFirstColumn="0" w:lastRowLastColumn="0"/>
              <w:rPr>
                <w:color w:val="auto"/>
              </w:rPr>
            </w:pPr>
            <w:r w:rsidRPr="00FF7D46">
              <w:rPr>
                <w:color w:val="auto"/>
              </w:rPr>
              <w:t>22</w:t>
            </w:r>
            <w:r w:rsidR="00415B2E" w:rsidRPr="00FF7D46">
              <w:rPr>
                <w:color w:val="auto"/>
              </w:rPr>
              <w:t>5</w:t>
            </w:r>
            <w:r w:rsidRPr="00FF7D46">
              <w:rPr>
                <w:color w:val="auto"/>
              </w:rPr>
              <w:t>,000</w:t>
            </w:r>
          </w:p>
        </w:tc>
        <w:tc>
          <w:tcPr>
            <w:tcW w:w="1548" w:type="pct"/>
            <w:tcBorders>
              <w:bottom w:val="single" w:sz="4" w:space="0" w:color="26664E" w:themeColor="accent1"/>
            </w:tcBorders>
          </w:tcPr>
          <w:p w14:paraId="5D5E227B" w14:textId="1D59AADF" w:rsidR="009C0600" w:rsidRPr="00FF7D46" w:rsidRDefault="00DF6AC5" w:rsidP="0098624B">
            <w:pPr>
              <w:pStyle w:val="10Tabletext"/>
              <w:keepNext/>
              <w:jc w:val="right"/>
              <w:cnfStyle w:val="000000100000" w:firstRow="0" w:lastRow="0" w:firstColumn="0" w:lastColumn="0" w:oddVBand="0" w:evenVBand="0" w:oddHBand="1" w:evenHBand="0" w:firstRowFirstColumn="0" w:firstRowLastColumn="0" w:lastRowFirstColumn="0" w:lastRowLastColumn="0"/>
              <w:rPr>
                <w:color w:val="auto"/>
              </w:rPr>
            </w:pPr>
            <w:r w:rsidRPr="00FF7D46">
              <w:rPr>
                <w:color w:val="auto"/>
              </w:rPr>
              <w:t>290,600</w:t>
            </w:r>
          </w:p>
        </w:tc>
      </w:tr>
      <w:tr w:rsidR="00E00273" w:rsidRPr="00E00273" w14:paraId="3726A117" w14:textId="77777777" w:rsidTr="00E80A8A">
        <w:trPr>
          <w:cantSplit/>
        </w:trPr>
        <w:tc>
          <w:tcPr>
            <w:cnfStyle w:val="001000000000" w:firstRow="0" w:lastRow="0" w:firstColumn="1" w:lastColumn="0" w:oddVBand="0" w:evenVBand="0" w:oddHBand="0" w:evenHBand="0" w:firstRowFirstColumn="0" w:firstRowLastColumn="0" w:lastRowFirstColumn="0" w:lastRowLastColumn="0"/>
            <w:tcW w:w="2337" w:type="pct"/>
            <w:tcBorders>
              <w:top w:val="single" w:sz="4" w:space="0" w:color="26664E" w:themeColor="accent1"/>
              <w:bottom w:val="single" w:sz="4" w:space="0" w:color="26664E" w:themeColor="accent1"/>
            </w:tcBorders>
          </w:tcPr>
          <w:p w14:paraId="1C49C363" w14:textId="67ABC993" w:rsidR="009C0600" w:rsidRPr="00FF7D46" w:rsidRDefault="00343F5B" w:rsidP="0098624B">
            <w:pPr>
              <w:pStyle w:val="10Tabletext"/>
              <w:keepNext/>
              <w:rPr>
                <w:b w:val="0"/>
                <w:color w:val="auto"/>
              </w:rPr>
            </w:pPr>
            <w:r w:rsidRPr="00FF7D46">
              <w:rPr>
                <w:b w:val="0"/>
                <w:color w:val="auto"/>
              </w:rPr>
              <w:t xml:space="preserve">Public Entity Senior Executive Service-2 / </w:t>
            </w:r>
            <w:r w:rsidR="009C0600" w:rsidRPr="00FF7D46">
              <w:rPr>
                <w:b w:val="0"/>
                <w:color w:val="auto"/>
              </w:rPr>
              <w:t>Senior Executive Service-2</w:t>
            </w:r>
          </w:p>
        </w:tc>
        <w:tc>
          <w:tcPr>
            <w:tcW w:w="1115" w:type="pct"/>
            <w:tcBorders>
              <w:top w:val="single" w:sz="4" w:space="0" w:color="26664E" w:themeColor="accent1"/>
              <w:bottom w:val="single" w:sz="4" w:space="0" w:color="26664E" w:themeColor="accent1"/>
            </w:tcBorders>
          </w:tcPr>
          <w:p w14:paraId="54D9708D" w14:textId="7933EFA5" w:rsidR="009C0600" w:rsidRPr="00FF7D46" w:rsidRDefault="00DF6AC5" w:rsidP="0098624B">
            <w:pPr>
              <w:pStyle w:val="10Tabletext"/>
              <w:keepNext/>
              <w:jc w:val="right"/>
              <w:cnfStyle w:val="000000000000" w:firstRow="0" w:lastRow="0" w:firstColumn="0" w:lastColumn="0" w:oddVBand="0" w:evenVBand="0" w:oddHBand="0" w:evenHBand="0" w:firstRowFirstColumn="0" w:firstRowLastColumn="0" w:lastRowFirstColumn="0" w:lastRowLastColumn="0"/>
              <w:rPr>
                <w:color w:val="auto"/>
              </w:rPr>
            </w:pPr>
            <w:r w:rsidRPr="00FF7D46">
              <w:rPr>
                <w:color w:val="auto"/>
              </w:rPr>
              <w:t>290,601</w:t>
            </w:r>
          </w:p>
        </w:tc>
        <w:tc>
          <w:tcPr>
            <w:tcW w:w="1548" w:type="pct"/>
            <w:tcBorders>
              <w:top w:val="single" w:sz="4" w:space="0" w:color="26664E" w:themeColor="accent1"/>
              <w:bottom w:val="single" w:sz="4" w:space="0" w:color="26664E" w:themeColor="accent1"/>
            </w:tcBorders>
          </w:tcPr>
          <w:p w14:paraId="34BFA4EB" w14:textId="5010B5AD" w:rsidR="009C0600" w:rsidRPr="00FF7D46" w:rsidRDefault="00DF6AC5" w:rsidP="0098624B">
            <w:pPr>
              <w:pStyle w:val="10Tabletext"/>
              <w:keepNext/>
              <w:jc w:val="right"/>
              <w:cnfStyle w:val="000000000000" w:firstRow="0" w:lastRow="0" w:firstColumn="0" w:lastColumn="0" w:oddVBand="0" w:evenVBand="0" w:oddHBand="0" w:evenHBand="0" w:firstRowFirstColumn="0" w:firstRowLastColumn="0" w:lastRowFirstColumn="0" w:lastRowLastColumn="0"/>
              <w:rPr>
                <w:color w:val="auto"/>
              </w:rPr>
            </w:pPr>
            <w:r w:rsidRPr="00FF7D46">
              <w:rPr>
                <w:color w:val="auto"/>
              </w:rPr>
              <w:t>419,000</w:t>
            </w:r>
          </w:p>
        </w:tc>
      </w:tr>
      <w:tr w:rsidR="00E00273" w:rsidRPr="00E00273" w14:paraId="6913309F" w14:textId="77777777" w:rsidTr="00E80A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pct"/>
            <w:tcBorders>
              <w:top w:val="single" w:sz="4" w:space="0" w:color="26664E" w:themeColor="accent1"/>
              <w:bottom w:val="single" w:sz="4" w:space="0" w:color="26664E" w:themeColor="accent1"/>
            </w:tcBorders>
          </w:tcPr>
          <w:p w14:paraId="27BD4A77" w14:textId="4CF90CF1" w:rsidR="009C0600" w:rsidRPr="00FF7D46" w:rsidRDefault="00343F5B" w:rsidP="0098624B">
            <w:pPr>
              <w:pStyle w:val="10Tabletext"/>
              <w:keepNext/>
              <w:rPr>
                <w:b w:val="0"/>
                <w:color w:val="auto"/>
              </w:rPr>
            </w:pPr>
            <w:r w:rsidRPr="00FF7D46">
              <w:rPr>
                <w:b w:val="0"/>
                <w:color w:val="auto"/>
              </w:rPr>
              <w:t xml:space="preserve">Public Entity Senior Executive Service-3 / </w:t>
            </w:r>
            <w:r w:rsidR="009C0600" w:rsidRPr="00FF7D46">
              <w:rPr>
                <w:b w:val="0"/>
                <w:color w:val="auto"/>
              </w:rPr>
              <w:t>Senior Executive Service-</w:t>
            </w:r>
            <w:r w:rsidR="005918F9" w:rsidRPr="00FF7D46">
              <w:rPr>
                <w:b w:val="0"/>
                <w:color w:val="auto"/>
              </w:rPr>
              <w:t>3</w:t>
            </w:r>
          </w:p>
        </w:tc>
        <w:tc>
          <w:tcPr>
            <w:tcW w:w="1115" w:type="pct"/>
            <w:tcBorders>
              <w:top w:val="single" w:sz="4" w:space="0" w:color="26664E" w:themeColor="accent1"/>
              <w:bottom w:val="single" w:sz="4" w:space="0" w:color="26664E" w:themeColor="accent1"/>
            </w:tcBorders>
          </w:tcPr>
          <w:p w14:paraId="23DE9155" w14:textId="7DA0A252" w:rsidR="009C0600" w:rsidRPr="00FF7D46" w:rsidRDefault="00E93805" w:rsidP="0098624B">
            <w:pPr>
              <w:pStyle w:val="10Tabletext"/>
              <w:keepNext/>
              <w:jc w:val="right"/>
              <w:cnfStyle w:val="000000100000" w:firstRow="0" w:lastRow="0" w:firstColumn="0" w:lastColumn="0" w:oddVBand="0" w:evenVBand="0" w:oddHBand="1" w:evenHBand="0" w:firstRowFirstColumn="0" w:firstRowLastColumn="0" w:lastRowFirstColumn="0" w:lastRowLastColumn="0"/>
              <w:rPr>
                <w:color w:val="auto"/>
              </w:rPr>
            </w:pPr>
            <w:r w:rsidRPr="00FF7D46">
              <w:rPr>
                <w:color w:val="auto"/>
              </w:rPr>
              <w:t>419,001</w:t>
            </w:r>
          </w:p>
        </w:tc>
        <w:tc>
          <w:tcPr>
            <w:tcW w:w="1548" w:type="pct"/>
            <w:tcBorders>
              <w:top w:val="single" w:sz="4" w:space="0" w:color="26664E" w:themeColor="accent1"/>
              <w:bottom w:val="single" w:sz="4" w:space="0" w:color="26664E" w:themeColor="accent1"/>
            </w:tcBorders>
          </w:tcPr>
          <w:p w14:paraId="2C7A40C3" w14:textId="15802C12" w:rsidR="009C0600" w:rsidRPr="00FF7D46" w:rsidRDefault="00E93805" w:rsidP="0098624B">
            <w:pPr>
              <w:pStyle w:val="10Tabletext"/>
              <w:keepNext/>
              <w:jc w:val="right"/>
              <w:cnfStyle w:val="000000100000" w:firstRow="0" w:lastRow="0" w:firstColumn="0" w:lastColumn="0" w:oddVBand="0" w:evenVBand="0" w:oddHBand="1" w:evenHBand="0" w:firstRowFirstColumn="0" w:firstRowLastColumn="0" w:lastRowFirstColumn="0" w:lastRowLastColumn="0"/>
              <w:rPr>
                <w:color w:val="auto"/>
              </w:rPr>
            </w:pPr>
            <w:r w:rsidRPr="00FF7D46">
              <w:rPr>
                <w:color w:val="auto"/>
              </w:rPr>
              <w:t>557,435</w:t>
            </w:r>
          </w:p>
        </w:tc>
      </w:tr>
    </w:tbl>
    <w:p w14:paraId="65BA840D" w14:textId="504858A4" w:rsidR="00BE04D4" w:rsidRPr="00E00273" w:rsidRDefault="00BE04D4" w:rsidP="008538B3">
      <w:pPr>
        <w:pStyle w:val="Instrumenttablenotes"/>
      </w:pPr>
      <w:r w:rsidRPr="00E00273">
        <w:t>Note: the above values are for executives</w:t>
      </w:r>
      <w:r w:rsidR="0020668C" w:rsidRPr="00E00273">
        <w:t xml:space="preserve"> </w:t>
      </w:r>
      <w:r w:rsidRPr="00E00273">
        <w:t xml:space="preserve">employed on a 1.0 FTE </w:t>
      </w:r>
      <w:proofErr w:type="gramStart"/>
      <w:r w:rsidRPr="00E00273">
        <w:t>basis, and</w:t>
      </w:r>
      <w:proofErr w:type="gramEnd"/>
      <w:r w:rsidRPr="00E00273">
        <w:t xml:space="preserve"> apply pro rata to executives employed on a part-time basis. </w:t>
      </w:r>
    </w:p>
    <w:p w14:paraId="03447AA6" w14:textId="1EC088BF" w:rsidR="00462D94" w:rsidRDefault="00462D94" w:rsidP="00462D94">
      <w:pPr>
        <w:pStyle w:val="Instrumentlevel1numberedparagraphs"/>
      </w:pPr>
      <w:r>
        <w:t xml:space="preserve">Remuneration band for Chief Executive Officer positions that do not </w:t>
      </w:r>
      <w:r w:rsidR="001338AC">
        <w:t xml:space="preserve">meet </w:t>
      </w:r>
      <w:r>
        <w:t xml:space="preserve">the minimum work value score required to be classified </w:t>
      </w:r>
    </w:p>
    <w:p w14:paraId="7521E674" w14:textId="10EAF785" w:rsidR="00462D94" w:rsidRDefault="00462D94" w:rsidP="00462D94">
      <w:pPr>
        <w:pStyle w:val="Instrumentlevel2numberedparagraphs"/>
      </w:pPr>
      <w:r>
        <w:t xml:space="preserve">This clause applies to Chief Executive Officers (or </w:t>
      </w:r>
      <w:r w:rsidR="00FA0903">
        <w:t>similar</w:t>
      </w:r>
      <w:r>
        <w:t xml:space="preserve"> </w:t>
      </w:r>
      <w:r w:rsidR="00E4498B">
        <w:t>positions</w:t>
      </w:r>
      <w:r>
        <w:t xml:space="preserve"> if not titled as such) whose positions have been assessed using the PEECF and do not meet the minimum work value score required for their classification to be determined (21 points). The values of the remuneration band for those executives are set out in Table 2.</w:t>
      </w:r>
    </w:p>
    <w:p w14:paraId="0CC86EED" w14:textId="75CF2B89" w:rsidR="00462D94" w:rsidRPr="00D479B8" w:rsidRDefault="00462D94" w:rsidP="00462D94">
      <w:pPr>
        <w:pStyle w:val="Tableheading"/>
      </w:pPr>
      <w:r w:rsidRPr="00D479B8">
        <w:t xml:space="preserve">Table </w:t>
      </w:r>
      <w:r>
        <w:t>2</w:t>
      </w:r>
      <w:r w:rsidRPr="00D479B8">
        <w:t xml:space="preserve">: </w:t>
      </w:r>
      <w:r>
        <w:t>V</w:t>
      </w:r>
      <w:r w:rsidRPr="00D479B8">
        <w:t xml:space="preserve">alues of remuneration band for </w:t>
      </w:r>
      <w:r>
        <w:t xml:space="preserve">Chief Executive Officers or </w:t>
      </w:r>
      <w:r w:rsidR="002F32F5">
        <w:t>similar</w:t>
      </w:r>
      <w:r>
        <w:t xml:space="preserve"> with a work value score of less than 21 points</w:t>
      </w:r>
    </w:p>
    <w:tbl>
      <w:tblPr>
        <w:tblStyle w:val="ListTable3-Accent2"/>
        <w:tblW w:w="0" w:type="auto"/>
        <w:tblLook w:val="04A0" w:firstRow="1" w:lastRow="0" w:firstColumn="1" w:lastColumn="0" w:noHBand="0" w:noVBand="1"/>
      </w:tblPr>
      <w:tblGrid>
        <w:gridCol w:w="3686"/>
        <w:gridCol w:w="2409"/>
        <w:gridCol w:w="2409"/>
      </w:tblGrid>
      <w:tr w:rsidR="00462D94" w:rsidRPr="004E25A2" w14:paraId="28891792" w14:textId="77777777" w:rsidTr="00E80A8A">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686" w:type="dxa"/>
            <w:shd w:val="clear" w:color="auto" w:fill="26664E" w:themeFill="accent1"/>
          </w:tcPr>
          <w:p w14:paraId="79A26826" w14:textId="25856E78" w:rsidR="00020AB1" w:rsidRDefault="00020AB1" w:rsidP="00020AB1">
            <w:pPr>
              <w:keepNext/>
              <w:spacing w:before="0" w:after="0"/>
              <w:jc w:val="left"/>
              <w:rPr>
                <w:color w:val="FFFFFF" w:themeColor="background1"/>
                <w:sz w:val="22"/>
              </w:rPr>
            </w:pPr>
            <w:r>
              <w:rPr>
                <w:color w:val="FFFFFF" w:themeColor="background1"/>
                <w:sz w:val="22"/>
              </w:rPr>
              <w:t>Classification</w:t>
            </w:r>
          </w:p>
        </w:tc>
        <w:tc>
          <w:tcPr>
            <w:tcW w:w="2409" w:type="dxa"/>
            <w:shd w:val="clear" w:color="auto" w:fill="26664E" w:themeFill="accent1"/>
            <w:vAlign w:val="top"/>
          </w:tcPr>
          <w:p w14:paraId="005442A2" w14:textId="6024AA34" w:rsidR="00462D94" w:rsidRPr="004B28E7" w:rsidRDefault="00462D94" w:rsidP="00011360">
            <w:pPr>
              <w:keepNext/>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rPr>
            </w:pPr>
            <w:r w:rsidRPr="004B28E7">
              <w:rPr>
                <w:color w:val="FFFFFF" w:themeColor="background1"/>
                <w:sz w:val="22"/>
              </w:rPr>
              <w:t>Base of band TRP</w:t>
            </w:r>
            <w:r w:rsidRPr="004B28E7">
              <w:rPr>
                <w:color w:val="FFFFFF" w:themeColor="background1"/>
                <w:sz w:val="22"/>
              </w:rPr>
              <w:br/>
              <w:t xml:space="preserve">$ per </w:t>
            </w:r>
            <w:r>
              <w:rPr>
                <w:color w:val="FFFFFF" w:themeColor="background1"/>
                <w:sz w:val="22"/>
              </w:rPr>
              <w:t>annum</w:t>
            </w:r>
          </w:p>
        </w:tc>
        <w:tc>
          <w:tcPr>
            <w:tcW w:w="2409" w:type="dxa"/>
            <w:shd w:val="clear" w:color="auto" w:fill="26664E" w:themeFill="accent1"/>
            <w:vAlign w:val="top"/>
          </w:tcPr>
          <w:p w14:paraId="3B8CEDBC" w14:textId="77777777" w:rsidR="00462D94" w:rsidRPr="004B28E7" w:rsidRDefault="00462D94" w:rsidP="00011360">
            <w:pPr>
              <w:keepNext/>
              <w:spacing w:before="0" w:after="0"/>
              <w:jc w:val="righ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2"/>
              </w:rPr>
            </w:pPr>
            <w:r w:rsidRPr="004B28E7">
              <w:rPr>
                <w:bCs w:val="0"/>
                <w:color w:val="FFFFFF" w:themeColor="background1"/>
                <w:sz w:val="22"/>
              </w:rPr>
              <w:t>Top of band TRP</w:t>
            </w:r>
            <w:r w:rsidRPr="004B28E7">
              <w:rPr>
                <w:bCs w:val="0"/>
                <w:color w:val="FFFFFF" w:themeColor="background1"/>
                <w:sz w:val="22"/>
              </w:rPr>
              <w:br/>
            </w:r>
            <w:r w:rsidRPr="004B28E7">
              <w:rPr>
                <w:color w:val="FFFFFF" w:themeColor="background1"/>
                <w:sz w:val="22"/>
              </w:rPr>
              <w:t xml:space="preserve">$ per </w:t>
            </w:r>
            <w:r>
              <w:rPr>
                <w:color w:val="FFFFFF" w:themeColor="background1"/>
                <w:sz w:val="22"/>
              </w:rPr>
              <w:t>annum</w:t>
            </w:r>
          </w:p>
        </w:tc>
      </w:tr>
      <w:tr w:rsidR="00462D94" w:rsidRPr="00E00273" w14:paraId="76BAF5CF" w14:textId="77777777" w:rsidTr="00E80A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26664E" w:themeColor="accent1"/>
            </w:tcBorders>
          </w:tcPr>
          <w:p w14:paraId="6E55D044" w14:textId="0E521951" w:rsidR="001A7FE0" w:rsidRPr="001A7FE0" w:rsidRDefault="001A7FE0" w:rsidP="00020AB1">
            <w:pPr>
              <w:pStyle w:val="10Tabletext"/>
              <w:keepNext/>
              <w:rPr>
                <w:b w:val="0"/>
                <w:bCs/>
              </w:rPr>
            </w:pPr>
            <w:r w:rsidRPr="001A7FE0">
              <w:rPr>
                <w:b w:val="0"/>
                <w:bCs/>
                <w:color w:val="auto"/>
              </w:rPr>
              <w:t>C</w:t>
            </w:r>
            <w:r>
              <w:rPr>
                <w:b w:val="0"/>
                <w:bCs/>
                <w:color w:val="auto"/>
              </w:rPr>
              <w:t>hief executive officer with a work value</w:t>
            </w:r>
            <w:r w:rsidR="001D5057">
              <w:rPr>
                <w:b w:val="0"/>
                <w:bCs/>
                <w:color w:val="auto"/>
              </w:rPr>
              <w:t xml:space="preserve"> score</w:t>
            </w:r>
            <w:r>
              <w:rPr>
                <w:b w:val="0"/>
                <w:bCs/>
                <w:color w:val="auto"/>
              </w:rPr>
              <w:t xml:space="preserve"> below 21 points</w:t>
            </w:r>
            <w:r w:rsidRPr="001A7FE0">
              <w:rPr>
                <w:b w:val="0"/>
                <w:bCs/>
                <w:color w:val="auto"/>
              </w:rPr>
              <w:t xml:space="preserve"> </w:t>
            </w:r>
          </w:p>
        </w:tc>
        <w:tc>
          <w:tcPr>
            <w:tcW w:w="2409" w:type="dxa"/>
            <w:tcBorders>
              <w:bottom w:val="single" w:sz="4" w:space="0" w:color="26664E" w:themeColor="accent1"/>
            </w:tcBorders>
          </w:tcPr>
          <w:p w14:paraId="2E5A0ED6" w14:textId="456928FA" w:rsidR="00462D94" w:rsidRPr="00BC0E2F" w:rsidRDefault="005612AC" w:rsidP="00011360">
            <w:pPr>
              <w:pStyle w:val="10Tabletext"/>
              <w:keepNext/>
              <w:jc w:val="right"/>
              <w:cnfStyle w:val="000000100000" w:firstRow="0" w:lastRow="0" w:firstColumn="0" w:lastColumn="0" w:oddVBand="0" w:evenVBand="0" w:oddHBand="1" w:evenHBand="0" w:firstRowFirstColumn="0" w:firstRowLastColumn="0" w:lastRowFirstColumn="0" w:lastRowLastColumn="0"/>
              <w:rPr>
                <w:b/>
                <w:color w:val="auto"/>
              </w:rPr>
            </w:pPr>
            <w:r w:rsidRPr="005612AC">
              <w:rPr>
                <w:color w:val="auto"/>
              </w:rPr>
              <w:t>157,158</w:t>
            </w:r>
          </w:p>
        </w:tc>
        <w:tc>
          <w:tcPr>
            <w:tcW w:w="2409" w:type="dxa"/>
            <w:tcBorders>
              <w:bottom w:val="single" w:sz="4" w:space="0" w:color="26664E" w:themeColor="accent1"/>
            </w:tcBorders>
          </w:tcPr>
          <w:p w14:paraId="4FF7F691" w14:textId="77777777" w:rsidR="00462D94" w:rsidRPr="0010203C" w:rsidRDefault="00462D94" w:rsidP="00011360">
            <w:pPr>
              <w:pStyle w:val="10Tabletext"/>
              <w:keepNext/>
              <w:jc w:val="right"/>
              <w:cnfStyle w:val="000000100000" w:firstRow="0" w:lastRow="0" w:firstColumn="0" w:lastColumn="0" w:oddVBand="0" w:evenVBand="0" w:oddHBand="1" w:evenHBand="0" w:firstRowFirstColumn="0" w:firstRowLastColumn="0" w:lastRowFirstColumn="0" w:lastRowLastColumn="0"/>
              <w:rPr>
                <w:color w:val="auto"/>
              </w:rPr>
            </w:pPr>
            <w:r w:rsidRPr="0010203C">
              <w:rPr>
                <w:color w:val="auto"/>
              </w:rPr>
              <w:t>290,600</w:t>
            </w:r>
          </w:p>
        </w:tc>
      </w:tr>
    </w:tbl>
    <w:p w14:paraId="7D74FDEE" w14:textId="3B789950" w:rsidR="00462D94" w:rsidRDefault="00462D94" w:rsidP="00462D94">
      <w:pPr>
        <w:pStyle w:val="Instrumenttablenotes"/>
      </w:pPr>
      <w:r w:rsidRPr="00E00273">
        <w:t xml:space="preserve">Note: the above values are for executives employed on a 1.0 FTE </w:t>
      </w:r>
      <w:proofErr w:type="gramStart"/>
      <w:r w:rsidRPr="00E00273">
        <w:t>basis, and</w:t>
      </w:r>
      <w:proofErr w:type="gramEnd"/>
      <w:r w:rsidRPr="00E00273">
        <w:t xml:space="preserve"> apply pro rata to executives employed on a part-time basis.</w:t>
      </w:r>
    </w:p>
    <w:p w14:paraId="370768BF" w14:textId="77777777" w:rsidR="00957AFE" w:rsidRDefault="00957AFE" w:rsidP="00462D94">
      <w:pPr>
        <w:pStyle w:val="Instrumenttablenot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gridCol w:w="2835"/>
        <w:gridCol w:w="2835"/>
      </w:tblGrid>
      <w:tr w:rsidR="00343F5B" w:rsidRPr="006F1B2E" w14:paraId="3F96514D" w14:textId="2D8CC4B4" w:rsidTr="0099704B">
        <w:trPr>
          <w:trHeight w:val="1136"/>
        </w:trPr>
        <w:tc>
          <w:tcPr>
            <w:tcW w:w="2834" w:type="dxa"/>
            <w:vAlign w:val="center"/>
          </w:tcPr>
          <w:p w14:paraId="3FF50F89" w14:textId="621122DD" w:rsidR="008041E3" w:rsidRPr="006F1B2E" w:rsidRDefault="001B66C8" w:rsidP="001B66C8">
            <w:pPr>
              <w:spacing w:after="0"/>
              <w:jc w:val="center"/>
              <w:rPr>
                <w:rFonts w:cs="Calibri Light"/>
                <w:color w:val="auto"/>
                <w:szCs w:val="26"/>
              </w:rPr>
            </w:pPr>
            <w:r>
              <w:rPr>
                <w:rFonts w:cs="Calibri Light"/>
                <w:noProof/>
                <w:color w:val="auto"/>
                <w:szCs w:val="26"/>
              </w:rPr>
              <w:drawing>
                <wp:inline distT="0" distB="0" distL="0" distR="0" wp14:anchorId="127902C3" wp14:editId="43CE8F71">
                  <wp:extent cx="1838582" cy="638264"/>
                  <wp:effectExtent l="0" t="0" r="9525" b="9525"/>
                  <wp:docPr id="962265457" name="Picture 2"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65457" name="Picture 2" descr="Warren McCann's signature"/>
                          <pic:cNvPicPr/>
                        </pic:nvPicPr>
                        <pic:blipFill>
                          <a:blip r:embed="rId12">
                            <a:extLst>
                              <a:ext uri="{28A0092B-C50C-407E-A947-70E740481C1C}">
                                <a14:useLocalDpi xmlns:a14="http://schemas.microsoft.com/office/drawing/2010/main" val="0"/>
                              </a:ext>
                            </a:extLst>
                          </a:blip>
                          <a:stretch>
                            <a:fillRect/>
                          </a:stretch>
                        </pic:blipFill>
                        <pic:spPr>
                          <a:xfrm>
                            <a:off x="0" y="0"/>
                            <a:ext cx="1838582" cy="638264"/>
                          </a:xfrm>
                          <a:prstGeom prst="rect">
                            <a:avLst/>
                          </a:prstGeom>
                        </pic:spPr>
                      </pic:pic>
                    </a:graphicData>
                  </a:graphic>
                </wp:inline>
              </w:drawing>
            </w:r>
          </w:p>
        </w:tc>
        <w:tc>
          <w:tcPr>
            <w:tcW w:w="2835" w:type="dxa"/>
            <w:vAlign w:val="center"/>
          </w:tcPr>
          <w:p w14:paraId="3761D788" w14:textId="3F0427CA" w:rsidR="00343F5B" w:rsidRPr="006F1B2E" w:rsidRDefault="001B66C8" w:rsidP="001B66C8">
            <w:pPr>
              <w:spacing w:after="0"/>
              <w:jc w:val="center"/>
              <w:rPr>
                <w:rFonts w:cs="Calibri Light"/>
                <w:color w:val="auto"/>
                <w:szCs w:val="26"/>
              </w:rPr>
            </w:pPr>
            <w:r>
              <w:rPr>
                <w:rFonts w:cs="Calibri Light"/>
                <w:noProof/>
                <w:color w:val="auto"/>
                <w:szCs w:val="26"/>
              </w:rPr>
              <w:drawing>
                <wp:inline distT="0" distB="0" distL="0" distR="0" wp14:anchorId="1D7752C4" wp14:editId="6380C895">
                  <wp:extent cx="1657581" cy="295316"/>
                  <wp:effectExtent l="0" t="0" r="0" b="9525"/>
                  <wp:docPr id="153242025" name="Picture 3"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2025" name="Picture 3" descr="Laurinda Gardner's signature"/>
                          <pic:cNvPicPr/>
                        </pic:nvPicPr>
                        <pic:blipFill>
                          <a:blip r:embed="rId13">
                            <a:extLst>
                              <a:ext uri="{28A0092B-C50C-407E-A947-70E740481C1C}">
                                <a14:useLocalDpi xmlns:a14="http://schemas.microsoft.com/office/drawing/2010/main" val="0"/>
                              </a:ext>
                            </a:extLst>
                          </a:blip>
                          <a:stretch>
                            <a:fillRect/>
                          </a:stretch>
                        </pic:blipFill>
                        <pic:spPr>
                          <a:xfrm>
                            <a:off x="0" y="0"/>
                            <a:ext cx="1657581" cy="295316"/>
                          </a:xfrm>
                          <a:prstGeom prst="rect">
                            <a:avLst/>
                          </a:prstGeom>
                        </pic:spPr>
                      </pic:pic>
                    </a:graphicData>
                  </a:graphic>
                </wp:inline>
              </w:drawing>
            </w:r>
          </w:p>
        </w:tc>
        <w:tc>
          <w:tcPr>
            <w:tcW w:w="2835" w:type="dxa"/>
            <w:vAlign w:val="center"/>
          </w:tcPr>
          <w:p w14:paraId="0C630895" w14:textId="4EB26BF4" w:rsidR="00343F5B" w:rsidRPr="006F1B2E" w:rsidRDefault="001B66C8" w:rsidP="001B66C8">
            <w:pPr>
              <w:spacing w:after="0"/>
              <w:jc w:val="center"/>
              <w:rPr>
                <w:rFonts w:cs="Calibri Light"/>
                <w:color w:val="auto"/>
                <w:szCs w:val="26"/>
              </w:rPr>
            </w:pPr>
            <w:r>
              <w:rPr>
                <w:rFonts w:cs="Calibri Light"/>
                <w:noProof/>
                <w:color w:val="auto"/>
                <w:szCs w:val="26"/>
              </w:rPr>
              <w:drawing>
                <wp:inline distT="0" distB="0" distL="0" distR="0" wp14:anchorId="2DE45A91" wp14:editId="213073CC">
                  <wp:extent cx="1409700" cy="572500"/>
                  <wp:effectExtent l="0" t="0" r="0" b="0"/>
                  <wp:docPr id="694775146" name="Picture 4" descr="Gregory Wils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75146" name="Picture 4" descr="Gregory Wilson's signatur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410075" cy="572652"/>
                          </a:xfrm>
                          <a:prstGeom prst="rect">
                            <a:avLst/>
                          </a:prstGeom>
                          <a:ln>
                            <a:noFill/>
                          </a:ln>
                          <a:extLst>
                            <a:ext uri="{53640926-AAD7-44D8-BBD7-CCE9431645EC}">
                              <a14:shadowObscured xmlns:a14="http://schemas.microsoft.com/office/drawing/2010/main"/>
                            </a:ext>
                          </a:extLst>
                        </pic:spPr>
                      </pic:pic>
                    </a:graphicData>
                  </a:graphic>
                </wp:inline>
              </w:drawing>
            </w:r>
          </w:p>
        </w:tc>
      </w:tr>
      <w:tr w:rsidR="00343F5B" w:rsidRPr="006F1B2E" w14:paraId="37BE7573" w14:textId="4E4CF1C7" w:rsidTr="0099704B">
        <w:trPr>
          <w:trHeight w:val="577"/>
        </w:trPr>
        <w:tc>
          <w:tcPr>
            <w:tcW w:w="2834" w:type="dxa"/>
          </w:tcPr>
          <w:p w14:paraId="04B9C919" w14:textId="77777777" w:rsidR="00343F5B" w:rsidRPr="006F1B2E" w:rsidRDefault="00343F5B" w:rsidP="00011360">
            <w:pPr>
              <w:spacing w:after="0"/>
              <w:rPr>
                <w:rFonts w:cs="Calibri Light"/>
                <w:color w:val="auto"/>
                <w:szCs w:val="26"/>
              </w:rPr>
            </w:pPr>
          </w:p>
        </w:tc>
        <w:tc>
          <w:tcPr>
            <w:tcW w:w="2835" w:type="dxa"/>
          </w:tcPr>
          <w:p w14:paraId="66647A8E" w14:textId="77777777" w:rsidR="00343F5B" w:rsidRPr="006F1B2E" w:rsidRDefault="00343F5B" w:rsidP="00011360">
            <w:pPr>
              <w:spacing w:after="0"/>
              <w:rPr>
                <w:rFonts w:cs="Calibri Light"/>
                <w:color w:val="auto"/>
                <w:szCs w:val="26"/>
              </w:rPr>
            </w:pPr>
          </w:p>
        </w:tc>
        <w:tc>
          <w:tcPr>
            <w:tcW w:w="2835" w:type="dxa"/>
          </w:tcPr>
          <w:p w14:paraId="78E43B3A" w14:textId="77777777" w:rsidR="00343F5B" w:rsidRPr="006F1B2E" w:rsidRDefault="00343F5B" w:rsidP="00011360">
            <w:pPr>
              <w:spacing w:after="0"/>
              <w:rPr>
                <w:rFonts w:cs="Calibri Light"/>
                <w:color w:val="auto"/>
                <w:szCs w:val="26"/>
              </w:rPr>
            </w:pPr>
          </w:p>
        </w:tc>
      </w:tr>
      <w:tr w:rsidR="00343F5B" w:rsidRPr="006F1B2E" w14:paraId="48558545" w14:textId="66C11B66" w:rsidTr="0099704B">
        <w:tc>
          <w:tcPr>
            <w:tcW w:w="2834" w:type="dxa"/>
            <w:hideMark/>
          </w:tcPr>
          <w:p w14:paraId="20AC8AC8" w14:textId="77777777" w:rsidR="00343F5B" w:rsidRDefault="00343F5B" w:rsidP="00011360">
            <w:pPr>
              <w:spacing w:before="120" w:after="120"/>
              <w:rPr>
                <w:rFonts w:cs="Calibri Light"/>
                <w:color w:val="auto"/>
                <w:szCs w:val="26"/>
              </w:rPr>
            </w:pPr>
            <w:r w:rsidRPr="006F1B2E">
              <w:rPr>
                <w:rFonts w:cs="Calibri Light"/>
                <w:color w:val="auto"/>
                <w:szCs w:val="26"/>
              </w:rPr>
              <w:t>Warren McCann</w:t>
            </w:r>
          </w:p>
          <w:p w14:paraId="1654D182" w14:textId="77777777" w:rsidR="00343F5B" w:rsidRDefault="00343F5B" w:rsidP="00011360">
            <w:pPr>
              <w:spacing w:before="120" w:after="120"/>
              <w:rPr>
                <w:rFonts w:cs="Calibri Light"/>
                <w:i/>
                <w:color w:val="auto"/>
                <w:szCs w:val="26"/>
              </w:rPr>
            </w:pPr>
            <w:r w:rsidRPr="006F1B2E">
              <w:rPr>
                <w:rFonts w:cs="Calibri Light"/>
                <w:i/>
                <w:color w:val="auto"/>
                <w:szCs w:val="26"/>
              </w:rPr>
              <w:t>Chair</w:t>
            </w:r>
          </w:p>
          <w:p w14:paraId="4EF61A34" w14:textId="77777777" w:rsidR="00343F5B" w:rsidRPr="00893FF3" w:rsidRDefault="00343F5B" w:rsidP="00A829EE">
            <w:pPr>
              <w:spacing w:before="120" w:after="120"/>
              <w:jc w:val="left"/>
              <w:rPr>
                <w:rFonts w:cs="Calibri Light"/>
                <w:color w:val="auto"/>
                <w:szCs w:val="26"/>
              </w:rPr>
            </w:pPr>
            <w:r w:rsidRPr="006F1B2E">
              <w:rPr>
                <w:rFonts w:cs="Calibri Light"/>
                <w:color w:val="auto"/>
                <w:szCs w:val="26"/>
              </w:rPr>
              <w:t>Victorian Independent Remuneration Tribunal</w:t>
            </w:r>
          </w:p>
        </w:tc>
        <w:tc>
          <w:tcPr>
            <w:tcW w:w="2835" w:type="dxa"/>
          </w:tcPr>
          <w:p w14:paraId="52581CA6" w14:textId="77777777" w:rsidR="00343F5B" w:rsidRDefault="00343F5B" w:rsidP="00011360">
            <w:pPr>
              <w:spacing w:before="120" w:after="120"/>
              <w:rPr>
                <w:rFonts w:cs="Calibri Light"/>
                <w:color w:val="auto"/>
                <w:szCs w:val="26"/>
              </w:rPr>
            </w:pPr>
            <w:r w:rsidRPr="006F1B2E">
              <w:rPr>
                <w:rFonts w:cs="Calibri Light"/>
                <w:color w:val="auto"/>
                <w:szCs w:val="26"/>
              </w:rPr>
              <w:t>Laurinda Gardner</w:t>
            </w:r>
          </w:p>
          <w:p w14:paraId="194FEB64" w14:textId="77777777" w:rsidR="00343F5B" w:rsidRDefault="00343F5B" w:rsidP="00011360">
            <w:pPr>
              <w:spacing w:before="120" w:after="120"/>
              <w:rPr>
                <w:rFonts w:cs="Calibri Light"/>
                <w:color w:val="auto"/>
                <w:szCs w:val="26"/>
              </w:rPr>
            </w:pPr>
            <w:r w:rsidRPr="006F1B2E">
              <w:rPr>
                <w:rFonts w:cs="Calibri Light"/>
                <w:i/>
                <w:color w:val="auto"/>
                <w:szCs w:val="26"/>
              </w:rPr>
              <w:t>Member</w:t>
            </w:r>
            <w:r w:rsidRPr="006F1B2E">
              <w:rPr>
                <w:rFonts w:cs="Calibri Light"/>
                <w:color w:val="auto"/>
                <w:szCs w:val="26"/>
              </w:rPr>
              <w:t xml:space="preserve"> </w:t>
            </w:r>
          </w:p>
          <w:p w14:paraId="2A062210" w14:textId="77777777" w:rsidR="00343F5B" w:rsidRPr="006F1B2E" w:rsidRDefault="00343F5B" w:rsidP="00A829EE">
            <w:pPr>
              <w:spacing w:before="120" w:after="120"/>
              <w:jc w:val="left"/>
              <w:rPr>
                <w:rFonts w:cs="Calibri Light"/>
                <w:color w:val="auto"/>
                <w:szCs w:val="26"/>
              </w:rPr>
            </w:pPr>
            <w:r w:rsidRPr="006F1B2E">
              <w:rPr>
                <w:rFonts w:cs="Calibri Light"/>
                <w:color w:val="auto"/>
                <w:szCs w:val="26"/>
              </w:rPr>
              <w:t>Victorian Independent Remuneration Tribunal</w:t>
            </w:r>
          </w:p>
        </w:tc>
        <w:tc>
          <w:tcPr>
            <w:tcW w:w="2835" w:type="dxa"/>
          </w:tcPr>
          <w:p w14:paraId="5BE47F63" w14:textId="77777777" w:rsidR="00343F5B" w:rsidRDefault="00343F5B" w:rsidP="00011360">
            <w:pPr>
              <w:spacing w:before="120" w:after="120"/>
              <w:rPr>
                <w:rFonts w:cs="Calibri Light"/>
                <w:color w:val="auto"/>
                <w:szCs w:val="26"/>
              </w:rPr>
            </w:pPr>
            <w:r>
              <w:rPr>
                <w:rFonts w:cs="Calibri Light"/>
                <w:color w:val="auto"/>
                <w:szCs w:val="26"/>
              </w:rPr>
              <w:t>Gregory Wilson</w:t>
            </w:r>
          </w:p>
          <w:p w14:paraId="67F7D43A" w14:textId="77777777" w:rsidR="00343F5B" w:rsidRDefault="00343F5B" w:rsidP="00343F5B">
            <w:pPr>
              <w:spacing w:before="120" w:after="120"/>
              <w:rPr>
                <w:rFonts w:cs="Calibri Light"/>
                <w:color w:val="auto"/>
                <w:szCs w:val="26"/>
              </w:rPr>
            </w:pPr>
            <w:r w:rsidRPr="006F1B2E">
              <w:rPr>
                <w:rFonts w:cs="Calibri Light"/>
                <w:i/>
                <w:color w:val="auto"/>
                <w:szCs w:val="26"/>
              </w:rPr>
              <w:t>Member</w:t>
            </w:r>
            <w:r w:rsidRPr="006F1B2E">
              <w:rPr>
                <w:rFonts w:cs="Calibri Light"/>
                <w:color w:val="auto"/>
                <w:szCs w:val="26"/>
              </w:rPr>
              <w:t xml:space="preserve"> </w:t>
            </w:r>
          </w:p>
          <w:p w14:paraId="194517A9" w14:textId="2995980D" w:rsidR="00343F5B" w:rsidRPr="006F1B2E" w:rsidRDefault="00343F5B" w:rsidP="0098624B">
            <w:pPr>
              <w:spacing w:before="120" w:after="120"/>
              <w:jc w:val="left"/>
              <w:rPr>
                <w:rFonts w:cs="Calibri Light"/>
                <w:color w:val="auto"/>
                <w:szCs w:val="26"/>
              </w:rPr>
            </w:pPr>
            <w:r w:rsidRPr="006F1B2E">
              <w:rPr>
                <w:rFonts w:cs="Calibri Light"/>
                <w:color w:val="auto"/>
                <w:szCs w:val="26"/>
              </w:rPr>
              <w:t>Victorian Independent Remuneration Tribunal</w:t>
            </w:r>
          </w:p>
        </w:tc>
      </w:tr>
      <w:tr w:rsidR="00343F5B" w:rsidRPr="006F1B2E" w14:paraId="17737CB6" w14:textId="0AA96EB0" w:rsidTr="0099704B">
        <w:tc>
          <w:tcPr>
            <w:tcW w:w="2834" w:type="dxa"/>
            <w:hideMark/>
          </w:tcPr>
          <w:p w14:paraId="13E69085" w14:textId="2B75B5C3" w:rsidR="00343F5B" w:rsidRPr="00341958" w:rsidRDefault="00343F5B" w:rsidP="00011360">
            <w:pPr>
              <w:spacing w:before="120" w:after="120"/>
              <w:rPr>
                <w:rFonts w:cs="Calibri Light"/>
                <w:color w:val="auto"/>
                <w:szCs w:val="26"/>
              </w:rPr>
            </w:pPr>
            <w:r w:rsidRPr="00341958">
              <w:rPr>
                <w:rFonts w:cs="Calibri Light"/>
                <w:color w:val="auto"/>
                <w:szCs w:val="26"/>
              </w:rPr>
              <w:t xml:space="preserve">Date: </w:t>
            </w:r>
            <w:r w:rsidR="00341958" w:rsidRPr="00341958">
              <w:rPr>
                <w:rFonts w:cs="Calibri Light"/>
                <w:color w:val="auto"/>
                <w:szCs w:val="26"/>
              </w:rPr>
              <w:t>19</w:t>
            </w:r>
            <w:r w:rsidRPr="00341958">
              <w:rPr>
                <w:rFonts w:cs="Calibri Light"/>
                <w:color w:val="auto"/>
                <w:szCs w:val="26"/>
              </w:rPr>
              <w:t xml:space="preserve"> </w:t>
            </w:r>
            <w:r w:rsidR="0098624B" w:rsidRPr="00341958">
              <w:rPr>
                <w:rFonts w:cs="Calibri Light"/>
                <w:color w:val="auto"/>
                <w:szCs w:val="26"/>
              </w:rPr>
              <w:t>December</w:t>
            </w:r>
            <w:r w:rsidRPr="00341958">
              <w:rPr>
                <w:rFonts w:cs="Calibri Light"/>
                <w:color w:val="auto"/>
                <w:szCs w:val="26"/>
              </w:rPr>
              <w:t xml:space="preserve"> 2024</w:t>
            </w:r>
          </w:p>
        </w:tc>
        <w:tc>
          <w:tcPr>
            <w:tcW w:w="2835" w:type="dxa"/>
          </w:tcPr>
          <w:p w14:paraId="0F42F9BD" w14:textId="77777777" w:rsidR="00343F5B" w:rsidRPr="00341958" w:rsidRDefault="00343F5B" w:rsidP="00011360">
            <w:pPr>
              <w:spacing w:before="120" w:after="120"/>
              <w:rPr>
                <w:rFonts w:cs="Calibri Light"/>
                <w:color w:val="auto"/>
                <w:szCs w:val="26"/>
              </w:rPr>
            </w:pPr>
          </w:p>
        </w:tc>
        <w:tc>
          <w:tcPr>
            <w:tcW w:w="2835" w:type="dxa"/>
          </w:tcPr>
          <w:p w14:paraId="21080392" w14:textId="77777777" w:rsidR="00343F5B" w:rsidRPr="006F1B2E" w:rsidRDefault="00343F5B" w:rsidP="00011360">
            <w:pPr>
              <w:spacing w:before="120" w:after="120"/>
              <w:rPr>
                <w:rFonts w:cs="Calibri Light"/>
                <w:color w:val="auto"/>
                <w:szCs w:val="26"/>
              </w:rPr>
            </w:pPr>
          </w:p>
        </w:tc>
      </w:tr>
    </w:tbl>
    <w:p w14:paraId="68F4087E" w14:textId="77777777" w:rsidR="00BF5220" w:rsidRDefault="00F25E64" w:rsidP="002F7028">
      <w:pPr>
        <w:pStyle w:val="05Paragraph"/>
        <w:rPr>
          <w:rStyle w:val="01ChapterheadingChar"/>
        </w:rPr>
      </w:pPr>
      <w:bookmarkStart w:id="10" w:name="_Toc169878460"/>
      <w:bookmarkStart w:id="11" w:name="_Toc170396202"/>
      <w:bookmarkStart w:id="12" w:name="_Toc185012345"/>
      <w:bookmarkEnd w:id="5"/>
      <w:r w:rsidRPr="006F4A8B">
        <w:rPr>
          <w:rStyle w:val="01ChapterheadingChar"/>
        </w:rPr>
        <w:lastRenderedPageBreak/>
        <w:t>Contents</w:t>
      </w:r>
      <w:bookmarkEnd w:id="10"/>
      <w:bookmarkEnd w:id="11"/>
      <w:bookmarkEnd w:id="12"/>
    </w:p>
    <w:p w14:paraId="33123B42" w14:textId="7604C104" w:rsidR="00A15208" w:rsidRPr="00BF5220" w:rsidRDefault="00A15208" w:rsidP="002F7028">
      <w:pPr>
        <w:pStyle w:val="05Paragraph"/>
        <w:spacing w:after="180"/>
        <w:rPr>
          <w:rStyle w:val="01ChapterheadingChar"/>
          <w:rFonts w:ascii="Calibri Light" w:hAnsi="Calibri Light"/>
          <w:color w:val="auto"/>
          <w:sz w:val="26"/>
        </w:rPr>
      </w:pPr>
    </w:p>
    <w:p w14:paraId="6CB3ED88" w14:textId="11241960" w:rsidR="00EB2A31" w:rsidRDefault="006D68F3">
      <w:pPr>
        <w:pStyle w:val="TOC1"/>
        <w:rPr>
          <w:rFonts w:asciiTheme="minorHAnsi" w:eastAsiaTheme="minorEastAsia" w:hAnsiTheme="minorHAnsi"/>
          <w:b w:val="0"/>
          <w:bCs w:val="0"/>
          <w:noProof/>
          <w:kern w:val="2"/>
          <w:sz w:val="24"/>
          <w:szCs w:val="24"/>
          <w:lang w:eastAsia="en-AU"/>
          <w14:ligatures w14:val="standardContextual"/>
        </w:rPr>
      </w:pPr>
      <w:r>
        <w:fldChar w:fldCharType="begin"/>
      </w:r>
      <w:r>
        <w:instrText xml:space="preserve"> TOC \o "1-2" \h \z \u </w:instrText>
      </w:r>
      <w:r>
        <w:fldChar w:fldCharType="separate"/>
      </w:r>
      <w:hyperlink w:anchor="_Toc185012344" w:history="1">
        <w:r w:rsidR="00EB2A31" w:rsidRPr="00AA0A5F">
          <w:rPr>
            <w:rStyle w:val="Hyperlink"/>
            <w:rFonts w:cs="@MS PMincho"/>
            <w:noProof/>
          </w:rPr>
          <w:t>Remuneration Bands for Executives Employed in Prescribed Public Entities (Victoria) Determination No. 01/2024</w:t>
        </w:r>
        <w:r w:rsidR="00EB2A31">
          <w:rPr>
            <w:noProof/>
            <w:webHidden/>
          </w:rPr>
          <w:tab/>
        </w:r>
        <w:r w:rsidR="00EB2A31">
          <w:rPr>
            <w:noProof/>
            <w:webHidden/>
          </w:rPr>
          <w:fldChar w:fldCharType="begin"/>
        </w:r>
        <w:r w:rsidR="00EB2A31">
          <w:rPr>
            <w:noProof/>
            <w:webHidden/>
          </w:rPr>
          <w:instrText xml:space="preserve"> PAGEREF _Toc185012344 \h </w:instrText>
        </w:r>
        <w:r w:rsidR="00EB2A31">
          <w:rPr>
            <w:noProof/>
            <w:webHidden/>
          </w:rPr>
        </w:r>
        <w:r w:rsidR="00EB2A31">
          <w:rPr>
            <w:noProof/>
            <w:webHidden/>
          </w:rPr>
          <w:fldChar w:fldCharType="separate"/>
        </w:r>
        <w:r w:rsidR="00EB2A31">
          <w:rPr>
            <w:noProof/>
            <w:webHidden/>
          </w:rPr>
          <w:t>1</w:t>
        </w:r>
        <w:r w:rsidR="00EB2A31">
          <w:rPr>
            <w:noProof/>
            <w:webHidden/>
          </w:rPr>
          <w:fldChar w:fldCharType="end"/>
        </w:r>
      </w:hyperlink>
    </w:p>
    <w:p w14:paraId="4DAC5D29" w14:textId="589A5434"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45" w:history="1">
        <w:r w:rsidRPr="00AA0A5F">
          <w:rPr>
            <w:rStyle w:val="Hyperlink"/>
            <w:noProof/>
          </w:rPr>
          <w:t>Contents</w:t>
        </w:r>
        <w:r>
          <w:rPr>
            <w:noProof/>
            <w:webHidden/>
          </w:rPr>
          <w:tab/>
        </w:r>
        <w:r>
          <w:rPr>
            <w:noProof/>
            <w:webHidden/>
          </w:rPr>
          <w:fldChar w:fldCharType="begin"/>
        </w:r>
        <w:r>
          <w:rPr>
            <w:noProof/>
            <w:webHidden/>
          </w:rPr>
          <w:instrText xml:space="preserve"> PAGEREF _Toc185012345 \h </w:instrText>
        </w:r>
        <w:r>
          <w:rPr>
            <w:noProof/>
            <w:webHidden/>
          </w:rPr>
        </w:r>
        <w:r>
          <w:rPr>
            <w:noProof/>
            <w:webHidden/>
          </w:rPr>
          <w:fldChar w:fldCharType="separate"/>
        </w:r>
        <w:r>
          <w:rPr>
            <w:noProof/>
            <w:webHidden/>
          </w:rPr>
          <w:t>5</w:t>
        </w:r>
        <w:r>
          <w:rPr>
            <w:noProof/>
            <w:webHidden/>
          </w:rPr>
          <w:fldChar w:fldCharType="end"/>
        </w:r>
      </w:hyperlink>
    </w:p>
    <w:p w14:paraId="687ED751" w14:textId="08ED8406"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46" w:history="1">
        <w:r w:rsidRPr="00AA0A5F">
          <w:rPr>
            <w:rStyle w:val="Hyperlink"/>
            <w:noProof/>
          </w:rPr>
          <w:t>Abbreviations and glossary</w:t>
        </w:r>
        <w:r>
          <w:rPr>
            <w:noProof/>
            <w:webHidden/>
          </w:rPr>
          <w:tab/>
        </w:r>
        <w:r>
          <w:rPr>
            <w:noProof/>
            <w:webHidden/>
          </w:rPr>
          <w:fldChar w:fldCharType="begin"/>
        </w:r>
        <w:r>
          <w:rPr>
            <w:noProof/>
            <w:webHidden/>
          </w:rPr>
          <w:instrText xml:space="preserve"> PAGEREF _Toc185012346 \h </w:instrText>
        </w:r>
        <w:r>
          <w:rPr>
            <w:noProof/>
            <w:webHidden/>
          </w:rPr>
        </w:r>
        <w:r>
          <w:rPr>
            <w:noProof/>
            <w:webHidden/>
          </w:rPr>
          <w:fldChar w:fldCharType="separate"/>
        </w:r>
        <w:r>
          <w:rPr>
            <w:noProof/>
            <w:webHidden/>
          </w:rPr>
          <w:t>7</w:t>
        </w:r>
        <w:r>
          <w:rPr>
            <w:noProof/>
            <w:webHidden/>
          </w:rPr>
          <w:fldChar w:fldCharType="end"/>
        </w:r>
      </w:hyperlink>
    </w:p>
    <w:p w14:paraId="65172E11" w14:textId="3B55C34C"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47" w:history="1">
        <w:r w:rsidRPr="00AA0A5F">
          <w:rPr>
            <w:rStyle w:val="Hyperlink"/>
            <w:noProof/>
          </w:rPr>
          <w:t>Executive summary</w:t>
        </w:r>
        <w:r>
          <w:rPr>
            <w:noProof/>
            <w:webHidden/>
          </w:rPr>
          <w:tab/>
        </w:r>
        <w:r>
          <w:rPr>
            <w:noProof/>
            <w:webHidden/>
          </w:rPr>
          <w:fldChar w:fldCharType="begin"/>
        </w:r>
        <w:r>
          <w:rPr>
            <w:noProof/>
            <w:webHidden/>
          </w:rPr>
          <w:instrText xml:space="preserve"> PAGEREF _Toc185012347 \h </w:instrText>
        </w:r>
        <w:r>
          <w:rPr>
            <w:noProof/>
            <w:webHidden/>
          </w:rPr>
        </w:r>
        <w:r>
          <w:rPr>
            <w:noProof/>
            <w:webHidden/>
          </w:rPr>
          <w:fldChar w:fldCharType="separate"/>
        </w:r>
        <w:r>
          <w:rPr>
            <w:noProof/>
            <w:webHidden/>
          </w:rPr>
          <w:t>10</w:t>
        </w:r>
        <w:r>
          <w:rPr>
            <w:noProof/>
            <w:webHidden/>
          </w:rPr>
          <w:fldChar w:fldCharType="end"/>
        </w:r>
      </w:hyperlink>
    </w:p>
    <w:p w14:paraId="454F34BE" w14:textId="04CD30B4"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48" w:history="1">
        <w:r w:rsidRPr="00AA0A5F">
          <w:rPr>
            <w:rStyle w:val="Hyperlink"/>
            <w:noProof/>
          </w:rPr>
          <w:t>1</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About this Determination</w:t>
        </w:r>
        <w:r>
          <w:rPr>
            <w:noProof/>
            <w:webHidden/>
          </w:rPr>
          <w:tab/>
        </w:r>
        <w:r>
          <w:rPr>
            <w:noProof/>
            <w:webHidden/>
          </w:rPr>
          <w:fldChar w:fldCharType="begin"/>
        </w:r>
        <w:r>
          <w:rPr>
            <w:noProof/>
            <w:webHidden/>
          </w:rPr>
          <w:instrText xml:space="preserve"> PAGEREF _Toc185012348 \h </w:instrText>
        </w:r>
        <w:r>
          <w:rPr>
            <w:noProof/>
            <w:webHidden/>
          </w:rPr>
        </w:r>
        <w:r>
          <w:rPr>
            <w:noProof/>
            <w:webHidden/>
          </w:rPr>
          <w:fldChar w:fldCharType="separate"/>
        </w:r>
        <w:r>
          <w:rPr>
            <w:noProof/>
            <w:webHidden/>
          </w:rPr>
          <w:t>20</w:t>
        </w:r>
        <w:r>
          <w:rPr>
            <w:noProof/>
            <w:webHidden/>
          </w:rPr>
          <w:fldChar w:fldCharType="end"/>
        </w:r>
      </w:hyperlink>
    </w:p>
    <w:p w14:paraId="0AA72C73" w14:textId="1226D2AF"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49" w:history="1">
        <w:r w:rsidRPr="00AA0A5F">
          <w:rPr>
            <w:rStyle w:val="Hyperlink"/>
          </w:rPr>
          <w:t>1.1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Determination applies to executives employed in prescribed public entities</w:t>
        </w:r>
        <w:r>
          <w:rPr>
            <w:webHidden/>
          </w:rPr>
          <w:tab/>
        </w:r>
        <w:r>
          <w:rPr>
            <w:webHidden/>
          </w:rPr>
          <w:fldChar w:fldCharType="begin"/>
        </w:r>
        <w:r>
          <w:rPr>
            <w:webHidden/>
          </w:rPr>
          <w:instrText xml:space="preserve"> PAGEREF _Toc185012349 \h </w:instrText>
        </w:r>
        <w:r>
          <w:rPr>
            <w:webHidden/>
          </w:rPr>
        </w:r>
        <w:r>
          <w:rPr>
            <w:webHidden/>
          </w:rPr>
          <w:fldChar w:fldCharType="separate"/>
        </w:r>
        <w:r>
          <w:rPr>
            <w:webHidden/>
          </w:rPr>
          <w:t>21</w:t>
        </w:r>
        <w:r>
          <w:rPr>
            <w:webHidden/>
          </w:rPr>
          <w:fldChar w:fldCharType="end"/>
        </w:r>
      </w:hyperlink>
    </w:p>
    <w:p w14:paraId="4A60FFEF" w14:textId="34973770"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0" w:history="1">
        <w:r w:rsidRPr="00AA0A5F">
          <w:rPr>
            <w:rStyle w:val="Hyperlink"/>
          </w:rPr>
          <w:t>1.2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executive remuneration guidelines have been updated</w:t>
        </w:r>
        <w:r>
          <w:rPr>
            <w:webHidden/>
          </w:rPr>
          <w:tab/>
        </w:r>
        <w:r>
          <w:rPr>
            <w:webHidden/>
          </w:rPr>
          <w:fldChar w:fldCharType="begin"/>
        </w:r>
        <w:r>
          <w:rPr>
            <w:webHidden/>
          </w:rPr>
          <w:instrText xml:space="preserve"> PAGEREF _Toc185012350 \h </w:instrText>
        </w:r>
        <w:r>
          <w:rPr>
            <w:webHidden/>
          </w:rPr>
        </w:r>
        <w:r>
          <w:rPr>
            <w:webHidden/>
          </w:rPr>
          <w:fldChar w:fldCharType="separate"/>
        </w:r>
        <w:r>
          <w:rPr>
            <w:webHidden/>
          </w:rPr>
          <w:t>22</w:t>
        </w:r>
        <w:r>
          <w:rPr>
            <w:webHidden/>
          </w:rPr>
          <w:fldChar w:fldCharType="end"/>
        </w:r>
      </w:hyperlink>
    </w:p>
    <w:p w14:paraId="06474A98" w14:textId="1EF4AB8B"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1" w:history="1">
        <w:r w:rsidRPr="00AA0A5F">
          <w:rPr>
            <w:rStyle w:val="Hyperlink"/>
          </w:rPr>
          <w:t>1.3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Legislative requirements</w:t>
        </w:r>
        <w:r>
          <w:rPr>
            <w:webHidden/>
          </w:rPr>
          <w:tab/>
        </w:r>
        <w:r>
          <w:rPr>
            <w:webHidden/>
          </w:rPr>
          <w:fldChar w:fldCharType="begin"/>
        </w:r>
        <w:r>
          <w:rPr>
            <w:webHidden/>
          </w:rPr>
          <w:instrText xml:space="preserve"> PAGEREF _Toc185012351 \h </w:instrText>
        </w:r>
        <w:r>
          <w:rPr>
            <w:webHidden/>
          </w:rPr>
        </w:r>
        <w:r>
          <w:rPr>
            <w:webHidden/>
          </w:rPr>
          <w:fldChar w:fldCharType="separate"/>
        </w:r>
        <w:r>
          <w:rPr>
            <w:webHidden/>
          </w:rPr>
          <w:t>22</w:t>
        </w:r>
        <w:r>
          <w:rPr>
            <w:webHidden/>
          </w:rPr>
          <w:fldChar w:fldCharType="end"/>
        </w:r>
      </w:hyperlink>
    </w:p>
    <w:p w14:paraId="780569BB" w14:textId="4BFEFDB1"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2" w:history="1">
        <w:r w:rsidRPr="00AA0A5F">
          <w:rPr>
            <w:rStyle w:val="Hyperlink"/>
          </w:rPr>
          <w:t>1.4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Stakeholder consultation</w:t>
        </w:r>
        <w:r>
          <w:rPr>
            <w:webHidden/>
          </w:rPr>
          <w:tab/>
        </w:r>
        <w:r>
          <w:rPr>
            <w:webHidden/>
          </w:rPr>
          <w:fldChar w:fldCharType="begin"/>
        </w:r>
        <w:r>
          <w:rPr>
            <w:webHidden/>
          </w:rPr>
          <w:instrText xml:space="preserve"> PAGEREF _Toc185012352 \h </w:instrText>
        </w:r>
        <w:r>
          <w:rPr>
            <w:webHidden/>
          </w:rPr>
        </w:r>
        <w:r>
          <w:rPr>
            <w:webHidden/>
          </w:rPr>
          <w:fldChar w:fldCharType="separate"/>
        </w:r>
        <w:r>
          <w:rPr>
            <w:webHidden/>
          </w:rPr>
          <w:t>23</w:t>
        </w:r>
        <w:r>
          <w:rPr>
            <w:webHidden/>
          </w:rPr>
          <w:fldChar w:fldCharType="end"/>
        </w:r>
      </w:hyperlink>
    </w:p>
    <w:p w14:paraId="02B613D6" w14:textId="0A60668E"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3" w:history="1">
        <w:r w:rsidRPr="00AA0A5F">
          <w:rPr>
            <w:rStyle w:val="Hyperlink"/>
          </w:rPr>
          <w:t>1.5</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Structure of this Statement of Reasons</w:t>
        </w:r>
        <w:r>
          <w:rPr>
            <w:webHidden/>
          </w:rPr>
          <w:tab/>
        </w:r>
        <w:r>
          <w:rPr>
            <w:webHidden/>
          </w:rPr>
          <w:fldChar w:fldCharType="begin"/>
        </w:r>
        <w:r>
          <w:rPr>
            <w:webHidden/>
          </w:rPr>
          <w:instrText xml:space="preserve"> PAGEREF _Toc185012353 \h </w:instrText>
        </w:r>
        <w:r>
          <w:rPr>
            <w:webHidden/>
          </w:rPr>
        </w:r>
        <w:r>
          <w:rPr>
            <w:webHidden/>
          </w:rPr>
          <w:fldChar w:fldCharType="separate"/>
        </w:r>
        <w:r>
          <w:rPr>
            <w:webHidden/>
          </w:rPr>
          <w:t>25</w:t>
        </w:r>
        <w:r>
          <w:rPr>
            <w:webHidden/>
          </w:rPr>
          <w:fldChar w:fldCharType="end"/>
        </w:r>
      </w:hyperlink>
    </w:p>
    <w:p w14:paraId="1E23B79C" w14:textId="6E6A0B90"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54" w:history="1">
        <w:r w:rsidRPr="00AA0A5F">
          <w:rPr>
            <w:rStyle w:val="Hyperlink"/>
            <w:noProof/>
          </w:rPr>
          <w:t>2</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Nature and scope of public entities</w:t>
        </w:r>
        <w:r>
          <w:rPr>
            <w:noProof/>
            <w:webHidden/>
          </w:rPr>
          <w:tab/>
        </w:r>
        <w:r>
          <w:rPr>
            <w:noProof/>
            <w:webHidden/>
          </w:rPr>
          <w:fldChar w:fldCharType="begin"/>
        </w:r>
        <w:r>
          <w:rPr>
            <w:noProof/>
            <w:webHidden/>
          </w:rPr>
          <w:instrText xml:space="preserve"> PAGEREF _Toc185012354 \h </w:instrText>
        </w:r>
        <w:r>
          <w:rPr>
            <w:noProof/>
            <w:webHidden/>
          </w:rPr>
        </w:r>
        <w:r>
          <w:rPr>
            <w:noProof/>
            <w:webHidden/>
          </w:rPr>
          <w:fldChar w:fldCharType="separate"/>
        </w:r>
        <w:r>
          <w:rPr>
            <w:noProof/>
            <w:webHidden/>
          </w:rPr>
          <w:t>26</w:t>
        </w:r>
        <w:r>
          <w:rPr>
            <w:noProof/>
            <w:webHidden/>
          </w:rPr>
          <w:fldChar w:fldCharType="end"/>
        </w:r>
      </w:hyperlink>
    </w:p>
    <w:p w14:paraId="5B479E5C" w14:textId="6B3882AA"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5" w:history="1">
        <w:r w:rsidRPr="00AA0A5F">
          <w:rPr>
            <w:rStyle w:val="Hyperlink"/>
          </w:rPr>
          <w:t>2.1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VPS provides advice, delivers programs and implements government decisions</w:t>
        </w:r>
        <w:r>
          <w:rPr>
            <w:webHidden/>
          </w:rPr>
          <w:tab/>
        </w:r>
        <w:r>
          <w:rPr>
            <w:webHidden/>
          </w:rPr>
          <w:fldChar w:fldCharType="begin"/>
        </w:r>
        <w:r>
          <w:rPr>
            <w:webHidden/>
          </w:rPr>
          <w:instrText xml:space="preserve"> PAGEREF _Toc185012355 \h </w:instrText>
        </w:r>
        <w:r>
          <w:rPr>
            <w:webHidden/>
          </w:rPr>
        </w:r>
        <w:r>
          <w:rPr>
            <w:webHidden/>
          </w:rPr>
          <w:fldChar w:fldCharType="separate"/>
        </w:r>
        <w:r>
          <w:rPr>
            <w:webHidden/>
          </w:rPr>
          <w:t>26</w:t>
        </w:r>
        <w:r>
          <w:rPr>
            <w:webHidden/>
          </w:rPr>
          <w:fldChar w:fldCharType="end"/>
        </w:r>
      </w:hyperlink>
    </w:p>
    <w:p w14:paraId="65931339" w14:textId="78C075FA"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6" w:history="1">
        <w:r w:rsidRPr="00AA0A5F">
          <w:rPr>
            <w:rStyle w:val="Hyperlink"/>
          </w:rPr>
          <w:t>2.2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Public entities undertake a range of functions with greater autonomy</w:t>
        </w:r>
        <w:r>
          <w:rPr>
            <w:webHidden/>
          </w:rPr>
          <w:tab/>
        </w:r>
        <w:r>
          <w:rPr>
            <w:webHidden/>
          </w:rPr>
          <w:fldChar w:fldCharType="begin"/>
        </w:r>
        <w:r>
          <w:rPr>
            <w:webHidden/>
          </w:rPr>
          <w:instrText xml:space="preserve"> PAGEREF _Toc185012356 \h </w:instrText>
        </w:r>
        <w:r>
          <w:rPr>
            <w:webHidden/>
          </w:rPr>
        </w:r>
        <w:r>
          <w:rPr>
            <w:webHidden/>
          </w:rPr>
          <w:fldChar w:fldCharType="separate"/>
        </w:r>
        <w:r>
          <w:rPr>
            <w:webHidden/>
          </w:rPr>
          <w:t>28</w:t>
        </w:r>
        <w:r>
          <w:rPr>
            <w:webHidden/>
          </w:rPr>
          <w:fldChar w:fldCharType="end"/>
        </w:r>
      </w:hyperlink>
    </w:p>
    <w:p w14:paraId="56556FCF" w14:textId="07EA5C91"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7" w:history="1">
        <w:r w:rsidRPr="00AA0A5F">
          <w:rPr>
            <w:rStyle w:val="Hyperlink"/>
          </w:rPr>
          <w:t>2.3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Tribunal sets remuneration bands for ‘prescribed public entities’</w:t>
        </w:r>
        <w:r>
          <w:rPr>
            <w:webHidden/>
          </w:rPr>
          <w:tab/>
        </w:r>
        <w:r>
          <w:rPr>
            <w:webHidden/>
          </w:rPr>
          <w:fldChar w:fldCharType="begin"/>
        </w:r>
        <w:r>
          <w:rPr>
            <w:webHidden/>
          </w:rPr>
          <w:instrText xml:space="preserve"> PAGEREF _Toc185012357 \h </w:instrText>
        </w:r>
        <w:r>
          <w:rPr>
            <w:webHidden/>
          </w:rPr>
        </w:r>
        <w:r>
          <w:rPr>
            <w:webHidden/>
          </w:rPr>
          <w:fldChar w:fldCharType="separate"/>
        </w:r>
        <w:r>
          <w:rPr>
            <w:webHidden/>
          </w:rPr>
          <w:t>32</w:t>
        </w:r>
        <w:r>
          <w:rPr>
            <w:webHidden/>
          </w:rPr>
          <w:fldChar w:fldCharType="end"/>
        </w:r>
      </w:hyperlink>
    </w:p>
    <w:p w14:paraId="26AF4CF0" w14:textId="01797DA6"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58" w:history="1">
        <w:r w:rsidRPr="00AA0A5F">
          <w:rPr>
            <w:rStyle w:val="Hyperlink"/>
          </w:rPr>
          <w:t>2.4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Summary</w:t>
        </w:r>
        <w:r>
          <w:rPr>
            <w:webHidden/>
          </w:rPr>
          <w:tab/>
        </w:r>
        <w:r>
          <w:rPr>
            <w:webHidden/>
          </w:rPr>
          <w:fldChar w:fldCharType="begin"/>
        </w:r>
        <w:r>
          <w:rPr>
            <w:webHidden/>
          </w:rPr>
          <w:instrText xml:space="preserve"> PAGEREF _Toc185012358 \h </w:instrText>
        </w:r>
        <w:r>
          <w:rPr>
            <w:webHidden/>
          </w:rPr>
        </w:r>
        <w:r>
          <w:rPr>
            <w:webHidden/>
          </w:rPr>
          <w:fldChar w:fldCharType="separate"/>
        </w:r>
        <w:r>
          <w:rPr>
            <w:webHidden/>
          </w:rPr>
          <w:t>39</w:t>
        </w:r>
        <w:r>
          <w:rPr>
            <w:webHidden/>
          </w:rPr>
          <w:fldChar w:fldCharType="end"/>
        </w:r>
      </w:hyperlink>
    </w:p>
    <w:p w14:paraId="2E276CE1" w14:textId="69ABE805"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59" w:history="1">
        <w:r w:rsidRPr="00AA0A5F">
          <w:rPr>
            <w:rStyle w:val="Hyperlink"/>
            <w:noProof/>
          </w:rPr>
          <w:t>3</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Roles of public entity executives</w:t>
        </w:r>
        <w:r>
          <w:rPr>
            <w:noProof/>
            <w:webHidden/>
          </w:rPr>
          <w:tab/>
        </w:r>
        <w:r>
          <w:rPr>
            <w:noProof/>
            <w:webHidden/>
          </w:rPr>
          <w:fldChar w:fldCharType="begin"/>
        </w:r>
        <w:r>
          <w:rPr>
            <w:noProof/>
            <w:webHidden/>
          </w:rPr>
          <w:instrText xml:space="preserve"> PAGEREF _Toc185012359 \h </w:instrText>
        </w:r>
        <w:r>
          <w:rPr>
            <w:noProof/>
            <w:webHidden/>
          </w:rPr>
        </w:r>
        <w:r>
          <w:rPr>
            <w:noProof/>
            <w:webHidden/>
          </w:rPr>
          <w:fldChar w:fldCharType="separate"/>
        </w:r>
        <w:r>
          <w:rPr>
            <w:noProof/>
            <w:webHidden/>
          </w:rPr>
          <w:t>40</w:t>
        </w:r>
        <w:r>
          <w:rPr>
            <w:noProof/>
            <w:webHidden/>
          </w:rPr>
          <w:fldChar w:fldCharType="end"/>
        </w:r>
      </w:hyperlink>
    </w:p>
    <w:p w14:paraId="3988B779" w14:textId="2771538D"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0" w:history="1">
        <w:r w:rsidRPr="00AA0A5F">
          <w:rPr>
            <w:rStyle w:val="Hyperlink"/>
          </w:rPr>
          <w:t>3.1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Classification frameworks set expectations for executive roles</w:t>
        </w:r>
        <w:r>
          <w:rPr>
            <w:webHidden/>
          </w:rPr>
          <w:tab/>
        </w:r>
        <w:r>
          <w:rPr>
            <w:webHidden/>
          </w:rPr>
          <w:fldChar w:fldCharType="begin"/>
        </w:r>
        <w:r>
          <w:rPr>
            <w:webHidden/>
          </w:rPr>
          <w:instrText xml:space="preserve"> PAGEREF _Toc185012360 \h </w:instrText>
        </w:r>
        <w:r>
          <w:rPr>
            <w:webHidden/>
          </w:rPr>
        </w:r>
        <w:r>
          <w:rPr>
            <w:webHidden/>
          </w:rPr>
          <w:fldChar w:fldCharType="separate"/>
        </w:r>
        <w:r>
          <w:rPr>
            <w:webHidden/>
          </w:rPr>
          <w:t>40</w:t>
        </w:r>
        <w:r>
          <w:rPr>
            <w:webHidden/>
          </w:rPr>
          <w:fldChar w:fldCharType="end"/>
        </w:r>
      </w:hyperlink>
    </w:p>
    <w:p w14:paraId="4CF37E97" w14:textId="29E5EF46"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1" w:history="1">
        <w:r w:rsidRPr="00AA0A5F">
          <w:rPr>
            <w:rStyle w:val="Hyperlink"/>
            <w:lang w:val="en-US"/>
          </w:rPr>
          <w:t>3.2</w:t>
        </w:r>
        <w:r>
          <w:rPr>
            <w:rFonts w:asciiTheme="minorHAnsi" w:eastAsiaTheme="minorEastAsia" w:hAnsiTheme="minorHAnsi"/>
            <w:iCs w:val="0"/>
            <w:color w:val="auto"/>
            <w:kern w:val="2"/>
            <w:sz w:val="24"/>
            <w:szCs w:val="24"/>
            <w:lang w:eastAsia="en-AU"/>
            <w14:ligatures w14:val="standardContextual"/>
          </w:rPr>
          <w:tab/>
        </w:r>
        <w:r w:rsidRPr="00AA0A5F">
          <w:rPr>
            <w:rStyle w:val="Hyperlink"/>
            <w:lang w:val="en-US"/>
          </w:rPr>
          <w:t>Each public entity is headed by a Chief Executive Officer (or similar)</w:t>
        </w:r>
        <w:r>
          <w:rPr>
            <w:webHidden/>
          </w:rPr>
          <w:tab/>
        </w:r>
        <w:r>
          <w:rPr>
            <w:webHidden/>
          </w:rPr>
          <w:fldChar w:fldCharType="begin"/>
        </w:r>
        <w:r>
          <w:rPr>
            <w:webHidden/>
          </w:rPr>
          <w:instrText xml:space="preserve"> PAGEREF _Toc185012361 \h </w:instrText>
        </w:r>
        <w:r>
          <w:rPr>
            <w:webHidden/>
          </w:rPr>
        </w:r>
        <w:r>
          <w:rPr>
            <w:webHidden/>
          </w:rPr>
          <w:fldChar w:fldCharType="separate"/>
        </w:r>
        <w:r>
          <w:rPr>
            <w:webHidden/>
          </w:rPr>
          <w:t>44</w:t>
        </w:r>
        <w:r>
          <w:rPr>
            <w:webHidden/>
          </w:rPr>
          <w:fldChar w:fldCharType="end"/>
        </w:r>
      </w:hyperlink>
    </w:p>
    <w:p w14:paraId="344C3455" w14:textId="0A7D444B"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2" w:history="1">
        <w:r w:rsidRPr="00AA0A5F">
          <w:rPr>
            <w:rStyle w:val="Hyperlink"/>
          </w:rPr>
          <w:t>3.3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Other public entity executives support the CEO</w:t>
        </w:r>
        <w:r>
          <w:rPr>
            <w:webHidden/>
          </w:rPr>
          <w:tab/>
        </w:r>
        <w:r>
          <w:rPr>
            <w:webHidden/>
          </w:rPr>
          <w:fldChar w:fldCharType="begin"/>
        </w:r>
        <w:r>
          <w:rPr>
            <w:webHidden/>
          </w:rPr>
          <w:instrText xml:space="preserve"> PAGEREF _Toc185012362 \h </w:instrText>
        </w:r>
        <w:r>
          <w:rPr>
            <w:webHidden/>
          </w:rPr>
        </w:r>
        <w:r>
          <w:rPr>
            <w:webHidden/>
          </w:rPr>
          <w:fldChar w:fldCharType="separate"/>
        </w:r>
        <w:r>
          <w:rPr>
            <w:webHidden/>
          </w:rPr>
          <w:t>48</w:t>
        </w:r>
        <w:r>
          <w:rPr>
            <w:webHidden/>
          </w:rPr>
          <w:fldChar w:fldCharType="end"/>
        </w:r>
      </w:hyperlink>
    </w:p>
    <w:p w14:paraId="6A8073AC" w14:textId="039D50C5"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3" w:history="1">
        <w:r w:rsidRPr="00AA0A5F">
          <w:rPr>
            <w:rStyle w:val="Hyperlink"/>
          </w:rPr>
          <w:t>3.4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public sector operating environment has changed over the past four years</w:t>
        </w:r>
        <w:r>
          <w:rPr>
            <w:webHidden/>
          </w:rPr>
          <w:tab/>
        </w:r>
        <w:r>
          <w:rPr>
            <w:webHidden/>
          </w:rPr>
          <w:fldChar w:fldCharType="begin"/>
        </w:r>
        <w:r>
          <w:rPr>
            <w:webHidden/>
          </w:rPr>
          <w:instrText xml:space="preserve"> PAGEREF _Toc185012363 \h </w:instrText>
        </w:r>
        <w:r>
          <w:rPr>
            <w:webHidden/>
          </w:rPr>
        </w:r>
        <w:r>
          <w:rPr>
            <w:webHidden/>
          </w:rPr>
          <w:fldChar w:fldCharType="separate"/>
        </w:r>
        <w:r>
          <w:rPr>
            <w:webHidden/>
          </w:rPr>
          <w:t>49</w:t>
        </w:r>
        <w:r>
          <w:rPr>
            <w:webHidden/>
          </w:rPr>
          <w:fldChar w:fldCharType="end"/>
        </w:r>
      </w:hyperlink>
    </w:p>
    <w:p w14:paraId="5CE282AC" w14:textId="7B1F56F9"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4" w:history="1">
        <w:r w:rsidRPr="00AA0A5F">
          <w:rPr>
            <w:rStyle w:val="Hyperlink"/>
          </w:rPr>
          <w:t>3.5</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Executives reported that most aspects of their roles had grown in the last four years</w:t>
        </w:r>
        <w:r>
          <w:rPr>
            <w:webHidden/>
          </w:rPr>
          <w:tab/>
        </w:r>
        <w:r>
          <w:rPr>
            <w:webHidden/>
          </w:rPr>
          <w:fldChar w:fldCharType="begin"/>
        </w:r>
        <w:r>
          <w:rPr>
            <w:webHidden/>
          </w:rPr>
          <w:instrText xml:space="preserve"> PAGEREF _Toc185012364 \h </w:instrText>
        </w:r>
        <w:r>
          <w:rPr>
            <w:webHidden/>
          </w:rPr>
        </w:r>
        <w:r>
          <w:rPr>
            <w:webHidden/>
          </w:rPr>
          <w:fldChar w:fldCharType="separate"/>
        </w:r>
        <w:r>
          <w:rPr>
            <w:webHidden/>
          </w:rPr>
          <w:t>52</w:t>
        </w:r>
        <w:r>
          <w:rPr>
            <w:webHidden/>
          </w:rPr>
          <w:fldChar w:fldCharType="end"/>
        </w:r>
      </w:hyperlink>
    </w:p>
    <w:p w14:paraId="78BBDD9E" w14:textId="50CFAA1E" w:rsidR="00EB2A31" w:rsidRDefault="00EB2A31">
      <w:pPr>
        <w:pStyle w:val="TOC2"/>
        <w:rPr>
          <w:rStyle w:val="Hyperlink"/>
        </w:rPr>
      </w:pPr>
      <w:hyperlink w:anchor="_Toc185012365" w:history="1">
        <w:r w:rsidRPr="00AA0A5F">
          <w:rPr>
            <w:rStyle w:val="Hyperlink"/>
          </w:rPr>
          <w:t>3.6</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Summary</w:t>
        </w:r>
        <w:r>
          <w:rPr>
            <w:webHidden/>
          </w:rPr>
          <w:tab/>
        </w:r>
        <w:r>
          <w:rPr>
            <w:webHidden/>
          </w:rPr>
          <w:fldChar w:fldCharType="begin"/>
        </w:r>
        <w:r>
          <w:rPr>
            <w:webHidden/>
          </w:rPr>
          <w:instrText xml:space="preserve"> PAGEREF _Toc185012365 \h </w:instrText>
        </w:r>
        <w:r>
          <w:rPr>
            <w:webHidden/>
          </w:rPr>
        </w:r>
        <w:r>
          <w:rPr>
            <w:webHidden/>
          </w:rPr>
          <w:fldChar w:fldCharType="separate"/>
        </w:r>
        <w:r>
          <w:rPr>
            <w:webHidden/>
          </w:rPr>
          <w:t>58</w:t>
        </w:r>
        <w:r>
          <w:rPr>
            <w:webHidden/>
          </w:rPr>
          <w:fldChar w:fldCharType="end"/>
        </w:r>
      </w:hyperlink>
    </w:p>
    <w:p w14:paraId="49BE2AD9" w14:textId="77777777" w:rsidR="00EB2A31" w:rsidRDefault="00EB2A31">
      <w:pPr>
        <w:spacing w:before="0" w:after="80" w:line="240" w:lineRule="auto"/>
        <w:jc w:val="left"/>
        <w:rPr>
          <w:rStyle w:val="Hyperlink"/>
          <w:iCs/>
          <w:noProof/>
          <w:szCs w:val="20"/>
        </w:rPr>
      </w:pPr>
      <w:r>
        <w:rPr>
          <w:rStyle w:val="Hyperlink"/>
        </w:rPr>
        <w:br w:type="page"/>
      </w:r>
    </w:p>
    <w:p w14:paraId="5A31EE22" w14:textId="258C8349"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66" w:history="1">
        <w:r w:rsidRPr="00AA0A5F">
          <w:rPr>
            <w:rStyle w:val="Hyperlink"/>
            <w:noProof/>
          </w:rPr>
          <w:t>4</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Existing employment and remuneration arrangements</w:t>
        </w:r>
        <w:r>
          <w:rPr>
            <w:noProof/>
            <w:webHidden/>
          </w:rPr>
          <w:tab/>
        </w:r>
        <w:r>
          <w:rPr>
            <w:noProof/>
            <w:webHidden/>
          </w:rPr>
          <w:fldChar w:fldCharType="begin"/>
        </w:r>
        <w:r>
          <w:rPr>
            <w:noProof/>
            <w:webHidden/>
          </w:rPr>
          <w:instrText xml:space="preserve"> PAGEREF _Toc185012366 \h </w:instrText>
        </w:r>
        <w:r>
          <w:rPr>
            <w:noProof/>
            <w:webHidden/>
          </w:rPr>
        </w:r>
        <w:r>
          <w:rPr>
            <w:noProof/>
            <w:webHidden/>
          </w:rPr>
          <w:fldChar w:fldCharType="separate"/>
        </w:r>
        <w:r>
          <w:rPr>
            <w:noProof/>
            <w:webHidden/>
          </w:rPr>
          <w:t>60</w:t>
        </w:r>
        <w:r>
          <w:rPr>
            <w:noProof/>
            <w:webHidden/>
          </w:rPr>
          <w:fldChar w:fldCharType="end"/>
        </w:r>
      </w:hyperlink>
    </w:p>
    <w:p w14:paraId="48897261" w14:textId="75BCF647"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7" w:history="1">
        <w:r w:rsidRPr="00AA0A5F">
          <w:rPr>
            <w:rStyle w:val="Hyperlink"/>
          </w:rPr>
          <w:t>4.1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Several whole of government policies guide executive employment</w:t>
        </w:r>
        <w:r>
          <w:rPr>
            <w:webHidden/>
          </w:rPr>
          <w:tab/>
        </w:r>
        <w:r>
          <w:rPr>
            <w:webHidden/>
          </w:rPr>
          <w:fldChar w:fldCharType="begin"/>
        </w:r>
        <w:r>
          <w:rPr>
            <w:webHidden/>
          </w:rPr>
          <w:instrText xml:space="preserve"> PAGEREF _Toc185012367 \h </w:instrText>
        </w:r>
        <w:r>
          <w:rPr>
            <w:webHidden/>
          </w:rPr>
        </w:r>
        <w:r>
          <w:rPr>
            <w:webHidden/>
          </w:rPr>
          <w:fldChar w:fldCharType="separate"/>
        </w:r>
        <w:r>
          <w:rPr>
            <w:webHidden/>
          </w:rPr>
          <w:t>60</w:t>
        </w:r>
        <w:r>
          <w:rPr>
            <w:webHidden/>
          </w:rPr>
          <w:fldChar w:fldCharType="end"/>
        </w:r>
      </w:hyperlink>
    </w:p>
    <w:p w14:paraId="5BF5DFE2" w14:textId="45DC1E21"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8" w:history="1">
        <w:r w:rsidRPr="00AA0A5F">
          <w:rPr>
            <w:rStyle w:val="Hyperlink"/>
          </w:rPr>
          <w:t>4.2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Tribunal sets the value of the executive remuneration bands</w:t>
        </w:r>
        <w:r>
          <w:rPr>
            <w:webHidden/>
          </w:rPr>
          <w:tab/>
        </w:r>
        <w:r>
          <w:rPr>
            <w:webHidden/>
          </w:rPr>
          <w:fldChar w:fldCharType="begin"/>
        </w:r>
        <w:r>
          <w:rPr>
            <w:webHidden/>
          </w:rPr>
          <w:instrText xml:space="preserve"> PAGEREF _Toc185012368 \h </w:instrText>
        </w:r>
        <w:r>
          <w:rPr>
            <w:webHidden/>
          </w:rPr>
        </w:r>
        <w:r>
          <w:rPr>
            <w:webHidden/>
          </w:rPr>
          <w:fldChar w:fldCharType="separate"/>
        </w:r>
        <w:r>
          <w:rPr>
            <w:webHidden/>
          </w:rPr>
          <w:t>64</w:t>
        </w:r>
        <w:r>
          <w:rPr>
            <w:webHidden/>
          </w:rPr>
          <w:fldChar w:fldCharType="end"/>
        </w:r>
      </w:hyperlink>
    </w:p>
    <w:p w14:paraId="029AC97B" w14:textId="7E890679"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69" w:history="1">
        <w:r w:rsidRPr="00AA0A5F">
          <w:rPr>
            <w:rStyle w:val="Hyperlink"/>
          </w:rPr>
          <w:t>4.3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Bespoke remuneration frameworks apply to some public entities</w:t>
        </w:r>
        <w:r>
          <w:rPr>
            <w:webHidden/>
          </w:rPr>
          <w:tab/>
        </w:r>
        <w:r>
          <w:rPr>
            <w:webHidden/>
          </w:rPr>
          <w:fldChar w:fldCharType="begin"/>
        </w:r>
        <w:r>
          <w:rPr>
            <w:webHidden/>
          </w:rPr>
          <w:instrText xml:space="preserve"> PAGEREF _Toc185012369 \h </w:instrText>
        </w:r>
        <w:r>
          <w:rPr>
            <w:webHidden/>
          </w:rPr>
        </w:r>
        <w:r>
          <w:rPr>
            <w:webHidden/>
          </w:rPr>
          <w:fldChar w:fldCharType="separate"/>
        </w:r>
        <w:r>
          <w:rPr>
            <w:webHidden/>
          </w:rPr>
          <w:t>68</w:t>
        </w:r>
        <w:r>
          <w:rPr>
            <w:webHidden/>
          </w:rPr>
          <w:fldChar w:fldCharType="end"/>
        </w:r>
      </w:hyperlink>
    </w:p>
    <w:p w14:paraId="07302823" w14:textId="2B32A38B"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0" w:history="1">
        <w:r w:rsidRPr="00AA0A5F">
          <w:rPr>
            <w:rStyle w:val="Hyperlink"/>
          </w:rPr>
          <w:t>4.4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Employers set the remuneration of individual executives</w:t>
        </w:r>
        <w:r>
          <w:rPr>
            <w:webHidden/>
          </w:rPr>
          <w:tab/>
        </w:r>
        <w:r>
          <w:rPr>
            <w:webHidden/>
          </w:rPr>
          <w:fldChar w:fldCharType="begin"/>
        </w:r>
        <w:r>
          <w:rPr>
            <w:webHidden/>
          </w:rPr>
          <w:instrText xml:space="preserve"> PAGEREF _Toc185012370 \h </w:instrText>
        </w:r>
        <w:r>
          <w:rPr>
            <w:webHidden/>
          </w:rPr>
        </w:r>
        <w:r>
          <w:rPr>
            <w:webHidden/>
          </w:rPr>
          <w:fldChar w:fldCharType="separate"/>
        </w:r>
        <w:r>
          <w:rPr>
            <w:webHidden/>
          </w:rPr>
          <w:t>70</w:t>
        </w:r>
        <w:r>
          <w:rPr>
            <w:webHidden/>
          </w:rPr>
          <w:fldChar w:fldCharType="end"/>
        </w:r>
      </w:hyperlink>
    </w:p>
    <w:p w14:paraId="5D807FE3" w14:textId="5A3A270D"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1" w:history="1">
        <w:r w:rsidRPr="00AA0A5F">
          <w:rPr>
            <w:rStyle w:val="Hyperlink"/>
          </w:rPr>
          <w:t>4.5</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Summary</w:t>
        </w:r>
        <w:r>
          <w:rPr>
            <w:webHidden/>
          </w:rPr>
          <w:tab/>
        </w:r>
        <w:r>
          <w:rPr>
            <w:webHidden/>
          </w:rPr>
          <w:fldChar w:fldCharType="begin"/>
        </w:r>
        <w:r>
          <w:rPr>
            <w:webHidden/>
          </w:rPr>
          <w:instrText xml:space="preserve"> PAGEREF _Toc185012371 \h </w:instrText>
        </w:r>
        <w:r>
          <w:rPr>
            <w:webHidden/>
          </w:rPr>
        </w:r>
        <w:r>
          <w:rPr>
            <w:webHidden/>
          </w:rPr>
          <w:fldChar w:fldCharType="separate"/>
        </w:r>
        <w:r>
          <w:rPr>
            <w:webHidden/>
          </w:rPr>
          <w:t>72</w:t>
        </w:r>
        <w:r>
          <w:rPr>
            <w:webHidden/>
          </w:rPr>
          <w:fldChar w:fldCharType="end"/>
        </w:r>
      </w:hyperlink>
    </w:p>
    <w:p w14:paraId="25B708A4" w14:textId="4B71222C"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72" w:history="1">
        <w:r w:rsidRPr="00AA0A5F">
          <w:rPr>
            <w:rStyle w:val="Hyperlink"/>
            <w:noProof/>
          </w:rPr>
          <w:t>5</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Labour market considerations</w:t>
        </w:r>
        <w:r>
          <w:rPr>
            <w:noProof/>
            <w:webHidden/>
          </w:rPr>
          <w:tab/>
        </w:r>
        <w:r>
          <w:rPr>
            <w:noProof/>
            <w:webHidden/>
          </w:rPr>
          <w:fldChar w:fldCharType="begin"/>
        </w:r>
        <w:r>
          <w:rPr>
            <w:noProof/>
            <w:webHidden/>
          </w:rPr>
          <w:instrText xml:space="preserve"> PAGEREF _Toc185012372 \h </w:instrText>
        </w:r>
        <w:r>
          <w:rPr>
            <w:noProof/>
            <w:webHidden/>
          </w:rPr>
        </w:r>
        <w:r>
          <w:rPr>
            <w:noProof/>
            <w:webHidden/>
          </w:rPr>
          <w:fldChar w:fldCharType="separate"/>
        </w:r>
        <w:r>
          <w:rPr>
            <w:noProof/>
            <w:webHidden/>
          </w:rPr>
          <w:t>74</w:t>
        </w:r>
        <w:r>
          <w:rPr>
            <w:noProof/>
            <w:webHidden/>
          </w:rPr>
          <w:fldChar w:fldCharType="end"/>
        </w:r>
      </w:hyperlink>
    </w:p>
    <w:p w14:paraId="79D33652" w14:textId="310A85E0"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3" w:history="1">
        <w:r w:rsidRPr="00AA0A5F">
          <w:rPr>
            <w:rStyle w:val="Hyperlink"/>
          </w:rPr>
          <w:t>5.1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Broader labour market conditions are tight, with some signs of easing</w:t>
        </w:r>
        <w:r>
          <w:rPr>
            <w:webHidden/>
          </w:rPr>
          <w:tab/>
        </w:r>
        <w:r>
          <w:rPr>
            <w:webHidden/>
          </w:rPr>
          <w:fldChar w:fldCharType="begin"/>
        </w:r>
        <w:r>
          <w:rPr>
            <w:webHidden/>
          </w:rPr>
          <w:instrText xml:space="preserve"> PAGEREF _Toc185012373 \h </w:instrText>
        </w:r>
        <w:r>
          <w:rPr>
            <w:webHidden/>
          </w:rPr>
        </w:r>
        <w:r>
          <w:rPr>
            <w:webHidden/>
          </w:rPr>
          <w:fldChar w:fldCharType="separate"/>
        </w:r>
        <w:r>
          <w:rPr>
            <w:webHidden/>
          </w:rPr>
          <w:t>74</w:t>
        </w:r>
        <w:r>
          <w:rPr>
            <w:webHidden/>
          </w:rPr>
          <w:fldChar w:fldCharType="end"/>
        </w:r>
      </w:hyperlink>
    </w:p>
    <w:p w14:paraId="36D7D137" w14:textId="7CC7C9F5"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4" w:history="1">
        <w:r w:rsidRPr="00AA0A5F">
          <w:rPr>
            <w:rStyle w:val="Hyperlink"/>
          </w:rPr>
          <w:t>5.2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demand for public entity executives can vary over time</w:t>
        </w:r>
        <w:r>
          <w:rPr>
            <w:webHidden/>
          </w:rPr>
          <w:tab/>
        </w:r>
        <w:r>
          <w:rPr>
            <w:webHidden/>
          </w:rPr>
          <w:fldChar w:fldCharType="begin"/>
        </w:r>
        <w:r>
          <w:rPr>
            <w:webHidden/>
          </w:rPr>
          <w:instrText xml:space="preserve"> PAGEREF _Toc185012374 \h </w:instrText>
        </w:r>
        <w:r>
          <w:rPr>
            <w:webHidden/>
          </w:rPr>
        </w:r>
        <w:r>
          <w:rPr>
            <w:webHidden/>
          </w:rPr>
          <w:fldChar w:fldCharType="separate"/>
        </w:r>
        <w:r>
          <w:rPr>
            <w:webHidden/>
          </w:rPr>
          <w:t>75</w:t>
        </w:r>
        <w:r>
          <w:rPr>
            <w:webHidden/>
          </w:rPr>
          <w:fldChar w:fldCharType="end"/>
        </w:r>
      </w:hyperlink>
    </w:p>
    <w:p w14:paraId="1081F457" w14:textId="7D558393"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5" w:history="1">
        <w:r w:rsidRPr="00AA0A5F">
          <w:rPr>
            <w:rStyle w:val="Hyperlink"/>
          </w:rPr>
          <w:t>5.3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There are some challenges in sourcing executives</w:t>
        </w:r>
        <w:r>
          <w:rPr>
            <w:webHidden/>
          </w:rPr>
          <w:tab/>
        </w:r>
        <w:r>
          <w:rPr>
            <w:webHidden/>
          </w:rPr>
          <w:fldChar w:fldCharType="begin"/>
        </w:r>
        <w:r>
          <w:rPr>
            <w:webHidden/>
          </w:rPr>
          <w:instrText xml:space="preserve"> PAGEREF _Toc185012375 \h </w:instrText>
        </w:r>
        <w:r>
          <w:rPr>
            <w:webHidden/>
          </w:rPr>
        </w:r>
        <w:r>
          <w:rPr>
            <w:webHidden/>
          </w:rPr>
          <w:fldChar w:fldCharType="separate"/>
        </w:r>
        <w:r>
          <w:rPr>
            <w:webHidden/>
          </w:rPr>
          <w:t>76</w:t>
        </w:r>
        <w:r>
          <w:rPr>
            <w:webHidden/>
          </w:rPr>
          <w:fldChar w:fldCharType="end"/>
        </w:r>
      </w:hyperlink>
    </w:p>
    <w:p w14:paraId="64875A69" w14:textId="5CC5B03A"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6" w:history="1">
        <w:r w:rsidRPr="00AA0A5F">
          <w:rPr>
            <w:rStyle w:val="Hyperlink"/>
          </w:rPr>
          <w:t>5.4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Remuneration is a factor in the attraction and retention of executives</w:t>
        </w:r>
        <w:r>
          <w:rPr>
            <w:webHidden/>
          </w:rPr>
          <w:tab/>
        </w:r>
        <w:r>
          <w:rPr>
            <w:webHidden/>
          </w:rPr>
          <w:fldChar w:fldCharType="begin"/>
        </w:r>
        <w:r>
          <w:rPr>
            <w:webHidden/>
          </w:rPr>
          <w:instrText xml:space="preserve"> PAGEREF _Toc185012376 \h </w:instrText>
        </w:r>
        <w:r>
          <w:rPr>
            <w:webHidden/>
          </w:rPr>
        </w:r>
        <w:r>
          <w:rPr>
            <w:webHidden/>
          </w:rPr>
          <w:fldChar w:fldCharType="separate"/>
        </w:r>
        <w:r>
          <w:rPr>
            <w:webHidden/>
          </w:rPr>
          <w:t>78</w:t>
        </w:r>
        <w:r>
          <w:rPr>
            <w:webHidden/>
          </w:rPr>
          <w:fldChar w:fldCharType="end"/>
        </w:r>
      </w:hyperlink>
    </w:p>
    <w:p w14:paraId="37A45FD0" w14:textId="3481B5B2"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7" w:history="1">
        <w:r w:rsidRPr="00AA0A5F">
          <w:rPr>
            <w:rStyle w:val="Hyperlink"/>
          </w:rPr>
          <w:t xml:space="preserve">5.5 </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Remuneration relativities between executive and non-executive staff have narrowed</w:t>
        </w:r>
        <w:r>
          <w:rPr>
            <w:webHidden/>
          </w:rPr>
          <w:tab/>
        </w:r>
        <w:r>
          <w:rPr>
            <w:webHidden/>
          </w:rPr>
          <w:fldChar w:fldCharType="begin"/>
        </w:r>
        <w:r>
          <w:rPr>
            <w:webHidden/>
          </w:rPr>
          <w:instrText xml:space="preserve"> PAGEREF _Toc185012377 \h </w:instrText>
        </w:r>
        <w:r>
          <w:rPr>
            <w:webHidden/>
          </w:rPr>
        </w:r>
        <w:r>
          <w:rPr>
            <w:webHidden/>
          </w:rPr>
          <w:fldChar w:fldCharType="separate"/>
        </w:r>
        <w:r>
          <w:rPr>
            <w:webHidden/>
          </w:rPr>
          <w:t>80</w:t>
        </w:r>
        <w:r>
          <w:rPr>
            <w:webHidden/>
          </w:rPr>
          <w:fldChar w:fldCharType="end"/>
        </w:r>
      </w:hyperlink>
    </w:p>
    <w:p w14:paraId="37FC7718" w14:textId="63EC378F"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8" w:history="1">
        <w:r w:rsidRPr="00AA0A5F">
          <w:rPr>
            <w:rStyle w:val="Hyperlink"/>
          </w:rPr>
          <w:t>5.6</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remuneration bands are positioned towards the lower end of the market</w:t>
        </w:r>
        <w:r>
          <w:rPr>
            <w:webHidden/>
          </w:rPr>
          <w:tab/>
        </w:r>
        <w:r>
          <w:rPr>
            <w:webHidden/>
          </w:rPr>
          <w:fldChar w:fldCharType="begin"/>
        </w:r>
        <w:r>
          <w:rPr>
            <w:webHidden/>
          </w:rPr>
          <w:instrText xml:space="preserve"> PAGEREF _Toc185012378 \h </w:instrText>
        </w:r>
        <w:r>
          <w:rPr>
            <w:webHidden/>
          </w:rPr>
        </w:r>
        <w:r>
          <w:rPr>
            <w:webHidden/>
          </w:rPr>
          <w:fldChar w:fldCharType="separate"/>
        </w:r>
        <w:r>
          <w:rPr>
            <w:webHidden/>
          </w:rPr>
          <w:t>82</w:t>
        </w:r>
        <w:r>
          <w:rPr>
            <w:webHidden/>
          </w:rPr>
          <w:fldChar w:fldCharType="end"/>
        </w:r>
      </w:hyperlink>
    </w:p>
    <w:p w14:paraId="6B71A6F6" w14:textId="51ABB0FA"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79" w:history="1">
        <w:r w:rsidRPr="00AA0A5F">
          <w:rPr>
            <w:rStyle w:val="Hyperlink"/>
          </w:rPr>
          <w:t>5.7</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public sector employee value proposition is changing</w:t>
        </w:r>
        <w:r>
          <w:rPr>
            <w:webHidden/>
          </w:rPr>
          <w:tab/>
        </w:r>
        <w:r>
          <w:rPr>
            <w:webHidden/>
          </w:rPr>
          <w:fldChar w:fldCharType="begin"/>
        </w:r>
        <w:r>
          <w:rPr>
            <w:webHidden/>
          </w:rPr>
          <w:instrText xml:space="preserve"> PAGEREF _Toc185012379 \h </w:instrText>
        </w:r>
        <w:r>
          <w:rPr>
            <w:webHidden/>
          </w:rPr>
        </w:r>
        <w:r>
          <w:rPr>
            <w:webHidden/>
          </w:rPr>
          <w:fldChar w:fldCharType="separate"/>
        </w:r>
        <w:r>
          <w:rPr>
            <w:webHidden/>
          </w:rPr>
          <w:t>86</w:t>
        </w:r>
        <w:r>
          <w:rPr>
            <w:webHidden/>
          </w:rPr>
          <w:fldChar w:fldCharType="end"/>
        </w:r>
      </w:hyperlink>
    </w:p>
    <w:p w14:paraId="021F2401" w14:textId="7760EA58"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0" w:history="1">
        <w:r w:rsidRPr="00AA0A5F">
          <w:rPr>
            <w:rStyle w:val="Hyperlink"/>
          </w:rPr>
          <w:t>5.8</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Summary</w:t>
        </w:r>
        <w:r>
          <w:rPr>
            <w:webHidden/>
          </w:rPr>
          <w:tab/>
        </w:r>
        <w:r>
          <w:rPr>
            <w:webHidden/>
          </w:rPr>
          <w:fldChar w:fldCharType="begin"/>
        </w:r>
        <w:r>
          <w:rPr>
            <w:webHidden/>
          </w:rPr>
          <w:instrText xml:space="preserve"> PAGEREF _Toc185012380 \h </w:instrText>
        </w:r>
        <w:r>
          <w:rPr>
            <w:webHidden/>
          </w:rPr>
        </w:r>
        <w:r>
          <w:rPr>
            <w:webHidden/>
          </w:rPr>
          <w:fldChar w:fldCharType="separate"/>
        </w:r>
        <w:r>
          <w:rPr>
            <w:webHidden/>
          </w:rPr>
          <w:t>87</w:t>
        </w:r>
        <w:r>
          <w:rPr>
            <w:webHidden/>
          </w:rPr>
          <w:fldChar w:fldCharType="end"/>
        </w:r>
      </w:hyperlink>
    </w:p>
    <w:p w14:paraId="7FB4FEEB" w14:textId="33A13304"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81" w:history="1">
        <w:r w:rsidRPr="00AA0A5F">
          <w:rPr>
            <w:rStyle w:val="Hyperlink"/>
            <w:noProof/>
          </w:rPr>
          <w:t>6</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Economic and financial considerations</w:t>
        </w:r>
        <w:r>
          <w:rPr>
            <w:noProof/>
            <w:webHidden/>
          </w:rPr>
          <w:tab/>
        </w:r>
        <w:r>
          <w:rPr>
            <w:noProof/>
            <w:webHidden/>
          </w:rPr>
          <w:fldChar w:fldCharType="begin"/>
        </w:r>
        <w:r>
          <w:rPr>
            <w:noProof/>
            <w:webHidden/>
          </w:rPr>
          <w:instrText xml:space="preserve"> PAGEREF _Toc185012381 \h </w:instrText>
        </w:r>
        <w:r>
          <w:rPr>
            <w:noProof/>
            <w:webHidden/>
          </w:rPr>
        </w:r>
        <w:r>
          <w:rPr>
            <w:noProof/>
            <w:webHidden/>
          </w:rPr>
          <w:fldChar w:fldCharType="separate"/>
        </w:r>
        <w:r>
          <w:rPr>
            <w:noProof/>
            <w:webHidden/>
          </w:rPr>
          <w:t>89</w:t>
        </w:r>
        <w:r>
          <w:rPr>
            <w:noProof/>
            <w:webHidden/>
          </w:rPr>
          <w:fldChar w:fldCharType="end"/>
        </w:r>
      </w:hyperlink>
    </w:p>
    <w:p w14:paraId="5DA4854B" w14:textId="1DCF810C"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2" w:history="1">
        <w:r w:rsidRPr="00AA0A5F">
          <w:rPr>
            <w:rStyle w:val="Hyperlink"/>
          </w:rPr>
          <w:t>6.1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Current economic conditions</w:t>
        </w:r>
        <w:r>
          <w:rPr>
            <w:webHidden/>
          </w:rPr>
          <w:tab/>
        </w:r>
        <w:r>
          <w:rPr>
            <w:webHidden/>
          </w:rPr>
          <w:fldChar w:fldCharType="begin"/>
        </w:r>
        <w:r>
          <w:rPr>
            <w:webHidden/>
          </w:rPr>
          <w:instrText xml:space="preserve"> PAGEREF _Toc185012382 \h </w:instrText>
        </w:r>
        <w:r>
          <w:rPr>
            <w:webHidden/>
          </w:rPr>
        </w:r>
        <w:r>
          <w:rPr>
            <w:webHidden/>
          </w:rPr>
          <w:fldChar w:fldCharType="separate"/>
        </w:r>
        <w:r>
          <w:rPr>
            <w:webHidden/>
          </w:rPr>
          <w:t>89</w:t>
        </w:r>
        <w:r>
          <w:rPr>
            <w:webHidden/>
          </w:rPr>
          <w:fldChar w:fldCharType="end"/>
        </w:r>
      </w:hyperlink>
    </w:p>
    <w:p w14:paraId="0B9A6BD6" w14:textId="5237A342"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3" w:history="1">
        <w:r w:rsidRPr="00AA0A5F">
          <w:rPr>
            <w:rStyle w:val="Hyperlink"/>
          </w:rPr>
          <w:t>6.2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Economic outlook</w:t>
        </w:r>
        <w:r>
          <w:rPr>
            <w:webHidden/>
          </w:rPr>
          <w:tab/>
        </w:r>
        <w:r>
          <w:rPr>
            <w:webHidden/>
          </w:rPr>
          <w:fldChar w:fldCharType="begin"/>
        </w:r>
        <w:r>
          <w:rPr>
            <w:webHidden/>
          </w:rPr>
          <w:instrText xml:space="preserve"> PAGEREF _Toc185012383 \h </w:instrText>
        </w:r>
        <w:r>
          <w:rPr>
            <w:webHidden/>
          </w:rPr>
        </w:r>
        <w:r>
          <w:rPr>
            <w:webHidden/>
          </w:rPr>
          <w:fldChar w:fldCharType="separate"/>
        </w:r>
        <w:r>
          <w:rPr>
            <w:webHidden/>
          </w:rPr>
          <w:t>97</w:t>
        </w:r>
        <w:r>
          <w:rPr>
            <w:webHidden/>
          </w:rPr>
          <w:fldChar w:fldCharType="end"/>
        </w:r>
      </w:hyperlink>
    </w:p>
    <w:p w14:paraId="3E279F33" w14:textId="0E2EFAB9"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4" w:history="1">
        <w:r w:rsidRPr="00AA0A5F">
          <w:rPr>
            <w:rStyle w:val="Hyperlink"/>
          </w:rPr>
          <w:t>6.3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Financial position and fiscal strategy of the State of Victoria</w:t>
        </w:r>
        <w:r>
          <w:rPr>
            <w:webHidden/>
          </w:rPr>
          <w:tab/>
        </w:r>
        <w:r>
          <w:rPr>
            <w:webHidden/>
          </w:rPr>
          <w:fldChar w:fldCharType="begin"/>
        </w:r>
        <w:r>
          <w:rPr>
            <w:webHidden/>
          </w:rPr>
          <w:instrText xml:space="preserve"> PAGEREF _Toc185012384 \h </w:instrText>
        </w:r>
        <w:r>
          <w:rPr>
            <w:webHidden/>
          </w:rPr>
        </w:r>
        <w:r>
          <w:rPr>
            <w:webHidden/>
          </w:rPr>
          <w:fldChar w:fldCharType="separate"/>
        </w:r>
        <w:r>
          <w:rPr>
            <w:webHidden/>
          </w:rPr>
          <w:t>101</w:t>
        </w:r>
        <w:r>
          <w:rPr>
            <w:webHidden/>
          </w:rPr>
          <w:fldChar w:fldCharType="end"/>
        </w:r>
      </w:hyperlink>
    </w:p>
    <w:p w14:paraId="111332AF" w14:textId="04C72DFB"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5" w:history="1">
        <w:r w:rsidRPr="00AA0A5F">
          <w:rPr>
            <w:rStyle w:val="Hyperlink"/>
          </w:rPr>
          <w:t>6.4</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Victorian Public Sector Wages Policy</w:t>
        </w:r>
        <w:r>
          <w:rPr>
            <w:webHidden/>
          </w:rPr>
          <w:tab/>
        </w:r>
        <w:r>
          <w:rPr>
            <w:webHidden/>
          </w:rPr>
          <w:fldChar w:fldCharType="begin"/>
        </w:r>
        <w:r>
          <w:rPr>
            <w:webHidden/>
          </w:rPr>
          <w:instrText xml:space="preserve"> PAGEREF _Toc185012385 \h </w:instrText>
        </w:r>
        <w:r>
          <w:rPr>
            <w:webHidden/>
          </w:rPr>
        </w:r>
        <w:r>
          <w:rPr>
            <w:webHidden/>
          </w:rPr>
          <w:fldChar w:fldCharType="separate"/>
        </w:r>
        <w:r>
          <w:rPr>
            <w:webHidden/>
          </w:rPr>
          <w:t>106</w:t>
        </w:r>
        <w:r>
          <w:rPr>
            <w:webHidden/>
          </w:rPr>
          <w:fldChar w:fldCharType="end"/>
        </w:r>
      </w:hyperlink>
    </w:p>
    <w:p w14:paraId="288C1E2B" w14:textId="4614440A"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86" w:history="1">
        <w:r w:rsidRPr="00AA0A5F">
          <w:rPr>
            <w:rStyle w:val="Hyperlink"/>
            <w:noProof/>
          </w:rPr>
          <w:t>7</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Tribunal’s considerations</w:t>
        </w:r>
        <w:r>
          <w:rPr>
            <w:noProof/>
            <w:webHidden/>
          </w:rPr>
          <w:tab/>
        </w:r>
        <w:r>
          <w:rPr>
            <w:noProof/>
            <w:webHidden/>
          </w:rPr>
          <w:fldChar w:fldCharType="begin"/>
        </w:r>
        <w:r>
          <w:rPr>
            <w:noProof/>
            <w:webHidden/>
          </w:rPr>
          <w:instrText xml:space="preserve"> PAGEREF _Toc185012386 \h </w:instrText>
        </w:r>
        <w:r>
          <w:rPr>
            <w:noProof/>
            <w:webHidden/>
          </w:rPr>
        </w:r>
        <w:r>
          <w:rPr>
            <w:noProof/>
            <w:webHidden/>
          </w:rPr>
          <w:fldChar w:fldCharType="separate"/>
        </w:r>
        <w:r>
          <w:rPr>
            <w:noProof/>
            <w:webHidden/>
          </w:rPr>
          <w:t>109</w:t>
        </w:r>
        <w:r>
          <w:rPr>
            <w:noProof/>
            <w:webHidden/>
          </w:rPr>
          <w:fldChar w:fldCharType="end"/>
        </w:r>
      </w:hyperlink>
    </w:p>
    <w:p w14:paraId="226E331C" w14:textId="0FC73F2E"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7" w:history="1">
        <w:r w:rsidRPr="00AA0A5F">
          <w:rPr>
            <w:rStyle w:val="Hyperlink"/>
          </w:rPr>
          <w:t>7.1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Factors supporting higher remuneration bands</w:t>
        </w:r>
        <w:r>
          <w:rPr>
            <w:webHidden/>
          </w:rPr>
          <w:tab/>
        </w:r>
        <w:r>
          <w:rPr>
            <w:webHidden/>
          </w:rPr>
          <w:fldChar w:fldCharType="begin"/>
        </w:r>
        <w:r>
          <w:rPr>
            <w:webHidden/>
          </w:rPr>
          <w:instrText xml:space="preserve"> PAGEREF _Toc185012387 \h </w:instrText>
        </w:r>
        <w:r>
          <w:rPr>
            <w:webHidden/>
          </w:rPr>
        </w:r>
        <w:r>
          <w:rPr>
            <w:webHidden/>
          </w:rPr>
          <w:fldChar w:fldCharType="separate"/>
        </w:r>
        <w:r>
          <w:rPr>
            <w:webHidden/>
          </w:rPr>
          <w:t>110</w:t>
        </w:r>
        <w:r>
          <w:rPr>
            <w:webHidden/>
          </w:rPr>
          <w:fldChar w:fldCharType="end"/>
        </w:r>
      </w:hyperlink>
    </w:p>
    <w:p w14:paraId="78AB8AB1" w14:textId="48FF8700"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8" w:history="1">
        <w:r w:rsidRPr="00AA0A5F">
          <w:rPr>
            <w:rStyle w:val="Hyperlink"/>
          </w:rPr>
          <w:t>7.2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Factors supporting restraint</w:t>
        </w:r>
        <w:r>
          <w:rPr>
            <w:webHidden/>
          </w:rPr>
          <w:tab/>
        </w:r>
        <w:r>
          <w:rPr>
            <w:webHidden/>
          </w:rPr>
          <w:fldChar w:fldCharType="begin"/>
        </w:r>
        <w:r>
          <w:rPr>
            <w:webHidden/>
          </w:rPr>
          <w:instrText xml:space="preserve"> PAGEREF _Toc185012388 \h </w:instrText>
        </w:r>
        <w:r>
          <w:rPr>
            <w:webHidden/>
          </w:rPr>
        </w:r>
        <w:r>
          <w:rPr>
            <w:webHidden/>
          </w:rPr>
          <w:fldChar w:fldCharType="separate"/>
        </w:r>
        <w:r>
          <w:rPr>
            <w:webHidden/>
          </w:rPr>
          <w:t>114</w:t>
        </w:r>
        <w:r>
          <w:rPr>
            <w:webHidden/>
          </w:rPr>
          <w:fldChar w:fldCharType="end"/>
        </w:r>
      </w:hyperlink>
    </w:p>
    <w:p w14:paraId="67F49A1D" w14:textId="137FEED5"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89" w:history="1">
        <w:r w:rsidRPr="00AA0A5F">
          <w:rPr>
            <w:rStyle w:val="Hyperlink"/>
          </w:rPr>
          <w:t>7.3</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The Tribunal’s decision</w:t>
        </w:r>
        <w:r>
          <w:rPr>
            <w:webHidden/>
          </w:rPr>
          <w:tab/>
        </w:r>
        <w:r>
          <w:rPr>
            <w:webHidden/>
          </w:rPr>
          <w:fldChar w:fldCharType="begin"/>
        </w:r>
        <w:r>
          <w:rPr>
            <w:webHidden/>
          </w:rPr>
          <w:instrText xml:space="preserve"> PAGEREF _Toc185012389 \h </w:instrText>
        </w:r>
        <w:r>
          <w:rPr>
            <w:webHidden/>
          </w:rPr>
        </w:r>
        <w:r>
          <w:rPr>
            <w:webHidden/>
          </w:rPr>
          <w:fldChar w:fldCharType="separate"/>
        </w:r>
        <w:r>
          <w:rPr>
            <w:webHidden/>
          </w:rPr>
          <w:t>116</w:t>
        </w:r>
        <w:r>
          <w:rPr>
            <w:webHidden/>
          </w:rPr>
          <w:fldChar w:fldCharType="end"/>
        </w:r>
      </w:hyperlink>
    </w:p>
    <w:p w14:paraId="2DC94771" w14:textId="62ED997B"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90" w:history="1">
        <w:r w:rsidRPr="00AA0A5F">
          <w:rPr>
            <w:rStyle w:val="Hyperlink"/>
            <w:noProof/>
          </w:rPr>
          <w:t>8</w:t>
        </w:r>
        <w:r>
          <w:rPr>
            <w:rFonts w:asciiTheme="minorHAnsi" w:eastAsiaTheme="minorEastAsia" w:hAnsiTheme="minorHAnsi"/>
            <w:b w:val="0"/>
            <w:bCs w:val="0"/>
            <w:noProof/>
            <w:kern w:val="2"/>
            <w:sz w:val="24"/>
            <w:szCs w:val="24"/>
            <w:lang w:eastAsia="en-AU"/>
            <w14:ligatures w14:val="standardContextual"/>
          </w:rPr>
          <w:tab/>
        </w:r>
        <w:r w:rsidRPr="00AA0A5F">
          <w:rPr>
            <w:rStyle w:val="Hyperlink"/>
            <w:noProof/>
          </w:rPr>
          <w:t>Public Entity Executive Remuneration Guidelines</w:t>
        </w:r>
        <w:r>
          <w:rPr>
            <w:noProof/>
            <w:webHidden/>
          </w:rPr>
          <w:tab/>
        </w:r>
        <w:r>
          <w:rPr>
            <w:noProof/>
            <w:webHidden/>
          </w:rPr>
          <w:fldChar w:fldCharType="begin"/>
        </w:r>
        <w:r>
          <w:rPr>
            <w:noProof/>
            <w:webHidden/>
          </w:rPr>
          <w:instrText xml:space="preserve"> PAGEREF _Toc185012390 \h </w:instrText>
        </w:r>
        <w:r>
          <w:rPr>
            <w:noProof/>
            <w:webHidden/>
          </w:rPr>
        </w:r>
        <w:r>
          <w:rPr>
            <w:noProof/>
            <w:webHidden/>
          </w:rPr>
          <w:fldChar w:fldCharType="separate"/>
        </w:r>
        <w:r>
          <w:rPr>
            <w:noProof/>
            <w:webHidden/>
          </w:rPr>
          <w:t>121</w:t>
        </w:r>
        <w:r>
          <w:rPr>
            <w:noProof/>
            <w:webHidden/>
          </w:rPr>
          <w:fldChar w:fldCharType="end"/>
        </w:r>
      </w:hyperlink>
    </w:p>
    <w:p w14:paraId="1DC68C06" w14:textId="327DAA37"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91" w:history="1">
        <w:r w:rsidRPr="00AA0A5F">
          <w:rPr>
            <w:rStyle w:val="Hyperlink"/>
            <w:noProof/>
          </w:rPr>
          <w:t>Appendix A — summary of executive questionnaire responses</w:t>
        </w:r>
        <w:r>
          <w:rPr>
            <w:noProof/>
            <w:webHidden/>
          </w:rPr>
          <w:tab/>
        </w:r>
        <w:r>
          <w:rPr>
            <w:noProof/>
            <w:webHidden/>
          </w:rPr>
          <w:fldChar w:fldCharType="begin"/>
        </w:r>
        <w:r>
          <w:rPr>
            <w:noProof/>
            <w:webHidden/>
          </w:rPr>
          <w:instrText xml:space="preserve"> PAGEREF _Toc185012391 \h </w:instrText>
        </w:r>
        <w:r>
          <w:rPr>
            <w:noProof/>
            <w:webHidden/>
          </w:rPr>
        </w:r>
        <w:r>
          <w:rPr>
            <w:noProof/>
            <w:webHidden/>
          </w:rPr>
          <w:fldChar w:fldCharType="separate"/>
        </w:r>
        <w:r>
          <w:rPr>
            <w:noProof/>
            <w:webHidden/>
          </w:rPr>
          <w:t>124</w:t>
        </w:r>
        <w:r>
          <w:rPr>
            <w:noProof/>
            <w:webHidden/>
          </w:rPr>
          <w:fldChar w:fldCharType="end"/>
        </w:r>
      </w:hyperlink>
    </w:p>
    <w:p w14:paraId="64F69114" w14:textId="6C7FFD55"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92" w:history="1">
        <w:r w:rsidRPr="00AA0A5F">
          <w:rPr>
            <w:rStyle w:val="Hyperlink"/>
          </w:rPr>
          <w:t>A.1</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Questionnaire responses</w:t>
        </w:r>
        <w:r>
          <w:rPr>
            <w:webHidden/>
          </w:rPr>
          <w:tab/>
        </w:r>
        <w:r>
          <w:rPr>
            <w:webHidden/>
          </w:rPr>
          <w:fldChar w:fldCharType="begin"/>
        </w:r>
        <w:r>
          <w:rPr>
            <w:webHidden/>
          </w:rPr>
          <w:instrText xml:space="preserve"> PAGEREF _Toc185012392 \h </w:instrText>
        </w:r>
        <w:r>
          <w:rPr>
            <w:webHidden/>
          </w:rPr>
        </w:r>
        <w:r>
          <w:rPr>
            <w:webHidden/>
          </w:rPr>
          <w:fldChar w:fldCharType="separate"/>
        </w:r>
        <w:r>
          <w:rPr>
            <w:webHidden/>
          </w:rPr>
          <w:t>125</w:t>
        </w:r>
        <w:r>
          <w:rPr>
            <w:webHidden/>
          </w:rPr>
          <w:fldChar w:fldCharType="end"/>
        </w:r>
      </w:hyperlink>
    </w:p>
    <w:p w14:paraId="6228905E" w14:textId="77B71A12" w:rsidR="00EB2A31" w:rsidRDefault="00EB2A31">
      <w:pPr>
        <w:pStyle w:val="TOC2"/>
        <w:rPr>
          <w:rFonts w:asciiTheme="minorHAnsi" w:eastAsiaTheme="minorEastAsia" w:hAnsiTheme="minorHAnsi"/>
          <w:iCs w:val="0"/>
          <w:color w:val="auto"/>
          <w:kern w:val="2"/>
          <w:sz w:val="24"/>
          <w:szCs w:val="24"/>
          <w:lang w:eastAsia="en-AU"/>
          <w14:ligatures w14:val="standardContextual"/>
        </w:rPr>
      </w:pPr>
      <w:hyperlink w:anchor="_Toc185012393" w:history="1">
        <w:r w:rsidRPr="00AA0A5F">
          <w:rPr>
            <w:rStyle w:val="Hyperlink"/>
          </w:rPr>
          <w:t>A.2</w:t>
        </w:r>
        <w:r>
          <w:rPr>
            <w:rFonts w:asciiTheme="minorHAnsi" w:eastAsiaTheme="minorEastAsia" w:hAnsiTheme="minorHAnsi"/>
            <w:iCs w:val="0"/>
            <w:color w:val="auto"/>
            <w:kern w:val="2"/>
            <w:sz w:val="24"/>
            <w:szCs w:val="24"/>
            <w:lang w:eastAsia="en-AU"/>
            <w14:ligatures w14:val="standardContextual"/>
          </w:rPr>
          <w:tab/>
        </w:r>
        <w:r w:rsidRPr="00AA0A5F">
          <w:rPr>
            <w:rStyle w:val="Hyperlink"/>
          </w:rPr>
          <w:t>Segment analysis</w:t>
        </w:r>
        <w:r>
          <w:rPr>
            <w:webHidden/>
          </w:rPr>
          <w:tab/>
        </w:r>
        <w:r>
          <w:rPr>
            <w:webHidden/>
          </w:rPr>
          <w:fldChar w:fldCharType="begin"/>
        </w:r>
        <w:r>
          <w:rPr>
            <w:webHidden/>
          </w:rPr>
          <w:instrText xml:space="preserve"> PAGEREF _Toc185012393 \h </w:instrText>
        </w:r>
        <w:r>
          <w:rPr>
            <w:webHidden/>
          </w:rPr>
        </w:r>
        <w:r>
          <w:rPr>
            <w:webHidden/>
          </w:rPr>
          <w:fldChar w:fldCharType="separate"/>
        </w:r>
        <w:r>
          <w:rPr>
            <w:webHidden/>
          </w:rPr>
          <w:t>140</w:t>
        </w:r>
        <w:r>
          <w:rPr>
            <w:webHidden/>
          </w:rPr>
          <w:fldChar w:fldCharType="end"/>
        </w:r>
      </w:hyperlink>
    </w:p>
    <w:p w14:paraId="493759C3" w14:textId="4E11541B" w:rsidR="00EB2A31" w:rsidRDefault="00EB2A31">
      <w:pPr>
        <w:pStyle w:val="TOC1"/>
        <w:rPr>
          <w:rFonts w:asciiTheme="minorHAnsi" w:eastAsiaTheme="minorEastAsia" w:hAnsiTheme="minorHAnsi"/>
          <w:b w:val="0"/>
          <w:bCs w:val="0"/>
          <w:noProof/>
          <w:kern w:val="2"/>
          <w:sz w:val="24"/>
          <w:szCs w:val="24"/>
          <w:lang w:eastAsia="en-AU"/>
          <w14:ligatures w14:val="standardContextual"/>
        </w:rPr>
      </w:pPr>
      <w:hyperlink w:anchor="_Toc185012394" w:history="1">
        <w:r w:rsidRPr="00AA0A5F">
          <w:rPr>
            <w:rStyle w:val="Hyperlink"/>
            <w:noProof/>
          </w:rPr>
          <w:t>References</w:t>
        </w:r>
        <w:r>
          <w:rPr>
            <w:noProof/>
            <w:webHidden/>
          </w:rPr>
          <w:tab/>
        </w:r>
        <w:r>
          <w:rPr>
            <w:noProof/>
            <w:webHidden/>
          </w:rPr>
          <w:fldChar w:fldCharType="begin"/>
        </w:r>
        <w:r>
          <w:rPr>
            <w:noProof/>
            <w:webHidden/>
          </w:rPr>
          <w:instrText xml:space="preserve"> PAGEREF _Toc185012394 \h </w:instrText>
        </w:r>
        <w:r>
          <w:rPr>
            <w:noProof/>
            <w:webHidden/>
          </w:rPr>
        </w:r>
        <w:r>
          <w:rPr>
            <w:noProof/>
            <w:webHidden/>
          </w:rPr>
          <w:fldChar w:fldCharType="separate"/>
        </w:r>
        <w:r>
          <w:rPr>
            <w:noProof/>
            <w:webHidden/>
          </w:rPr>
          <w:t>143</w:t>
        </w:r>
        <w:r>
          <w:rPr>
            <w:noProof/>
            <w:webHidden/>
          </w:rPr>
          <w:fldChar w:fldCharType="end"/>
        </w:r>
      </w:hyperlink>
    </w:p>
    <w:p w14:paraId="4D777DB0" w14:textId="6B7B7217" w:rsidR="00AC2ECD" w:rsidRDefault="006D68F3" w:rsidP="00AF54C1">
      <w:pPr>
        <w:spacing w:before="120" w:after="120" w:line="60" w:lineRule="atLeast"/>
        <w:contextualSpacing/>
        <w:sectPr w:rsidR="00AC2ECD" w:rsidSect="000401F2">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559" w:left="1701" w:header="708" w:footer="708" w:gutter="0"/>
          <w:pgNumType w:start="1"/>
          <w:cols w:space="708"/>
          <w:titlePg/>
          <w:docGrid w:linePitch="360"/>
        </w:sectPr>
      </w:pPr>
      <w:r>
        <w:fldChar w:fldCharType="end"/>
      </w:r>
    </w:p>
    <w:p w14:paraId="69903E2B" w14:textId="77777777" w:rsidR="00A658D7" w:rsidRDefault="00F25E64" w:rsidP="002F7028">
      <w:pPr>
        <w:pStyle w:val="05Paragraph"/>
        <w:spacing w:before="0"/>
        <w:jc w:val="left"/>
        <w:rPr>
          <w:rStyle w:val="01ChapterheadingChar"/>
        </w:rPr>
      </w:pPr>
      <w:bookmarkStart w:id="13" w:name="_Toc185012346"/>
      <w:r w:rsidRPr="003A0059">
        <w:rPr>
          <w:rStyle w:val="01ChapterheadingChar"/>
        </w:rPr>
        <w:lastRenderedPageBreak/>
        <w:t xml:space="preserve">Abbreviations </w:t>
      </w:r>
      <w:r w:rsidR="0040269D" w:rsidRPr="003A0059">
        <w:rPr>
          <w:rStyle w:val="01ChapterheadingChar"/>
        </w:rPr>
        <w:t>and glossary</w:t>
      </w:r>
      <w:bookmarkEnd w:id="13"/>
    </w:p>
    <w:p w14:paraId="4E10B76D" w14:textId="2F6DBF6C" w:rsidR="001C4BBD" w:rsidRPr="00A658D7" w:rsidRDefault="001C4BBD" w:rsidP="002F7028">
      <w:pPr>
        <w:pStyle w:val="05Paragraph"/>
        <w:spacing w:after="180"/>
        <w:rPr>
          <w:rStyle w:val="01ChapterheadingChar"/>
          <w:rFonts w:ascii="Calibri Light" w:hAnsi="Calibri Light"/>
          <w:color w:val="auto"/>
          <w:sz w:val="26"/>
        </w:rPr>
      </w:pPr>
    </w:p>
    <w:tbl>
      <w:tblPr>
        <w:tblStyle w:val="Style11"/>
        <w:tblW w:w="8647" w:type="dxa"/>
        <w:tblLayout w:type="fixed"/>
        <w:tblLook w:val="05A0" w:firstRow="1" w:lastRow="0" w:firstColumn="1" w:lastColumn="1" w:noHBand="0" w:noVBand="1"/>
      </w:tblPr>
      <w:tblGrid>
        <w:gridCol w:w="2977"/>
        <w:gridCol w:w="5670"/>
      </w:tblGrid>
      <w:tr w:rsidR="001C4BBD" w:rsidRPr="00DE5707" w14:paraId="1C7514BF" w14:textId="77777777" w:rsidTr="008048D3">
        <w:trPr>
          <w:cnfStyle w:val="100000000000" w:firstRow="1" w:lastRow="0" w:firstColumn="0" w:lastColumn="0" w:oddVBand="0" w:evenVBand="0" w:oddHBand="0" w:evenHBand="0" w:firstRowFirstColumn="0" w:firstRowLastColumn="0" w:lastRowFirstColumn="0" w:lastRowLastColumn="0"/>
          <w:trHeight w:val="408"/>
          <w:tblHeader/>
        </w:trPr>
        <w:tc>
          <w:tcPr>
            <w:tcW w:w="2977" w:type="dxa"/>
            <w:shd w:val="clear" w:color="auto" w:fill="26664E" w:themeFill="accent1"/>
            <w:vAlign w:val="center"/>
          </w:tcPr>
          <w:p w14:paraId="08D6C8B5" w14:textId="77777777" w:rsidR="001C4BBD" w:rsidRPr="008048D3" w:rsidRDefault="001C4BBD" w:rsidP="008048D3">
            <w:pPr>
              <w:pStyle w:val="10Tabletext"/>
              <w:rPr>
                <w:color w:val="FFFFFF" w:themeColor="background1"/>
              </w:rPr>
            </w:pPr>
            <w:r w:rsidRPr="008048D3">
              <w:rPr>
                <w:color w:val="FFFFFF" w:themeColor="background1"/>
              </w:rPr>
              <w:t xml:space="preserve">Term or abbreviation </w:t>
            </w:r>
          </w:p>
        </w:tc>
        <w:tc>
          <w:tcPr>
            <w:tcW w:w="5670" w:type="dxa"/>
            <w:shd w:val="clear" w:color="auto" w:fill="26664E" w:themeFill="accent1"/>
            <w:vAlign w:val="center"/>
          </w:tcPr>
          <w:p w14:paraId="32DE7D2E" w14:textId="77777777" w:rsidR="001C4BBD" w:rsidRPr="008048D3" w:rsidRDefault="001C4BBD" w:rsidP="008048D3">
            <w:pPr>
              <w:pStyle w:val="10Tabletext"/>
              <w:rPr>
                <w:rFonts w:eastAsia="Arial Narrow"/>
                <w:color w:val="FFFFFF" w:themeColor="background1"/>
              </w:rPr>
            </w:pPr>
            <w:r w:rsidRPr="008048D3">
              <w:rPr>
                <w:color w:val="FFFFFF" w:themeColor="background1"/>
              </w:rPr>
              <w:t xml:space="preserve">Definition </w:t>
            </w:r>
          </w:p>
        </w:tc>
      </w:tr>
      <w:tr w:rsidR="004B4490" w:rsidRPr="009E4C4A" w14:paraId="126BB07D" w14:textId="77777777" w:rsidTr="008048D3">
        <w:trPr>
          <w:trHeight w:val="408"/>
        </w:trPr>
        <w:tc>
          <w:tcPr>
            <w:tcW w:w="2977" w:type="dxa"/>
          </w:tcPr>
          <w:p w14:paraId="6B38BFB8" w14:textId="490F2A48" w:rsidR="004B4490" w:rsidRPr="008048D3" w:rsidRDefault="004B4490" w:rsidP="0084338E">
            <w:pPr>
              <w:pStyle w:val="10Tabletext"/>
            </w:pPr>
            <w:r w:rsidRPr="008048D3">
              <w:t>2020 PE Determination</w:t>
            </w:r>
          </w:p>
        </w:tc>
        <w:tc>
          <w:tcPr>
            <w:tcW w:w="5670" w:type="dxa"/>
          </w:tcPr>
          <w:p w14:paraId="7B1FEA47" w14:textId="7A8DE381" w:rsidR="004B4490" w:rsidRPr="008048D3" w:rsidRDefault="004C721E" w:rsidP="0084338E">
            <w:pPr>
              <w:pStyle w:val="10Tabletext"/>
              <w:rPr>
                <w:i/>
              </w:rPr>
            </w:pPr>
            <w:r w:rsidRPr="008048D3">
              <w:rPr>
                <w:i/>
              </w:rPr>
              <w:t>Remuneration bands for executives employed in prescribed public entities (Victoria) Determination No. 01/2020</w:t>
            </w:r>
          </w:p>
        </w:tc>
      </w:tr>
      <w:tr w:rsidR="00595FB5" w:rsidRPr="009E4C4A" w14:paraId="4B491AC3" w14:textId="77777777" w:rsidTr="008048D3">
        <w:trPr>
          <w:trHeight w:val="408"/>
        </w:trPr>
        <w:tc>
          <w:tcPr>
            <w:tcW w:w="2977" w:type="dxa"/>
          </w:tcPr>
          <w:p w14:paraId="25557444" w14:textId="295C7E53" w:rsidR="00595FB5" w:rsidRPr="008048D3" w:rsidRDefault="00595FB5" w:rsidP="0084338E">
            <w:pPr>
              <w:pStyle w:val="10Tabletext"/>
            </w:pPr>
            <w:r w:rsidRPr="008048D3">
              <w:t>2024 PE Determination</w:t>
            </w:r>
          </w:p>
        </w:tc>
        <w:tc>
          <w:tcPr>
            <w:tcW w:w="5670" w:type="dxa"/>
          </w:tcPr>
          <w:p w14:paraId="5A5A0A47" w14:textId="1584CC8E" w:rsidR="00595FB5" w:rsidRPr="008048D3" w:rsidRDefault="00595FB5" w:rsidP="0084338E">
            <w:pPr>
              <w:pStyle w:val="10Tabletext"/>
              <w:rPr>
                <w:i/>
              </w:rPr>
            </w:pPr>
            <w:r w:rsidRPr="008048D3">
              <w:rPr>
                <w:i/>
              </w:rPr>
              <w:t>Remuneration bands for executives employed in prescribed public entities (Victoria) Determination No. 01/2024</w:t>
            </w:r>
          </w:p>
        </w:tc>
      </w:tr>
      <w:tr w:rsidR="0084338E" w:rsidRPr="009E4C4A" w14:paraId="31402565" w14:textId="77777777" w:rsidTr="008048D3">
        <w:trPr>
          <w:trHeight w:val="408"/>
        </w:trPr>
        <w:tc>
          <w:tcPr>
            <w:tcW w:w="2977" w:type="dxa"/>
          </w:tcPr>
          <w:p w14:paraId="0E785043" w14:textId="62C6FAFB" w:rsidR="0084338E" w:rsidRPr="008048D3" w:rsidRDefault="0084338E" w:rsidP="0084338E">
            <w:pPr>
              <w:pStyle w:val="10Tabletext"/>
            </w:pPr>
            <w:r w:rsidRPr="008048D3">
              <w:t>2024 VPS Determination</w:t>
            </w:r>
          </w:p>
        </w:tc>
        <w:tc>
          <w:tcPr>
            <w:tcW w:w="5670" w:type="dxa"/>
          </w:tcPr>
          <w:p w14:paraId="38ABC8B9" w14:textId="7B211394" w:rsidR="0084338E" w:rsidRPr="008048D3" w:rsidRDefault="0084338E" w:rsidP="0084338E">
            <w:pPr>
              <w:pStyle w:val="10Tabletext"/>
              <w:rPr>
                <w:i/>
              </w:rPr>
            </w:pPr>
            <w:r w:rsidRPr="008048D3">
              <w:rPr>
                <w:i/>
              </w:rPr>
              <w:t>Remuneration bands for executives employed in public service bodies (Victoria) Determination No. 01/2024</w:t>
            </w:r>
          </w:p>
        </w:tc>
      </w:tr>
      <w:tr w:rsidR="000A1EF7" w:rsidRPr="009E4C4A" w14:paraId="32AE2AC6" w14:textId="77777777" w:rsidTr="008048D3">
        <w:trPr>
          <w:trHeight w:val="408"/>
        </w:trPr>
        <w:tc>
          <w:tcPr>
            <w:tcW w:w="2977" w:type="dxa"/>
          </w:tcPr>
          <w:p w14:paraId="02E4B9A6" w14:textId="77777777" w:rsidR="000A1EF7" w:rsidRPr="008048D3" w:rsidRDefault="000A1EF7">
            <w:pPr>
              <w:pStyle w:val="10Tabletext"/>
            </w:pPr>
            <w:r w:rsidRPr="008048D3">
              <w:t>2024-25 Budget</w:t>
            </w:r>
          </w:p>
        </w:tc>
        <w:tc>
          <w:tcPr>
            <w:tcW w:w="5670" w:type="dxa"/>
          </w:tcPr>
          <w:p w14:paraId="1BB2BA9F" w14:textId="63CC6138" w:rsidR="000A1EF7" w:rsidRPr="008048D3" w:rsidRDefault="00352AE8">
            <w:pPr>
              <w:pStyle w:val="10Tabletext"/>
              <w:rPr>
                <w:i/>
              </w:rPr>
            </w:pPr>
            <w:r w:rsidRPr="008048D3">
              <w:rPr>
                <w:i/>
              </w:rPr>
              <w:t xml:space="preserve">2024-25 </w:t>
            </w:r>
            <w:r w:rsidR="000A1EF7" w:rsidRPr="008048D3">
              <w:rPr>
                <w:i/>
              </w:rPr>
              <w:t>Victorian Budget</w:t>
            </w:r>
          </w:p>
        </w:tc>
      </w:tr>
      <w:tr w:rsidR="00352AE8" w:rsidRPr="009E4C4A" w14:paraId="277856D9" w14:textId="77777777" w:rsidTr="008048D3">
        <w:trPr>
          <w:trHeight w:val="408"/>
        </w:trPr>
        <w:tc>
          <w:tcPr>
            <w:tcW w:w="2977" w:type="dxa"/>
          </w:tcPr>
          <w:p w14:paraId="393B5376" w14:textId="4639A9B0" w:rsidR="00352AE8" w:rsidRPr="008048D3" w:rsidRDefault="00352AE8">
            <w:pPr>
              <w:pStyle w:val="10Tabletext"/>
            </w:pPr>
            <w:r w:rsidRPr="008048D3">
              <w:t>2024-25 Budget Update</w:t>
            </w:r>
          </w:p>
        </w:tc>
        <w:tc>
          <w:tcPr>
            <w:tcW w:w="5670" w:type="dxa"/>
          </w:tcPr>
          <w:p w14:paraId="33FDB793" w14:textId="7F748953" w:rsidR="00352AE8" w:rsidRPr="008048D3" w:rsidRDefault="00352AE8">
            <w:pPr>
              <w:pStyle w:val="10Tabletext"/>
              <w:rPr>
                <w:i/>
              </w:rPr>
            </w:pPr>
            <w:r w:rsidRPr="008048D3">
              <w:rPr>
                <w:i/>
              </w:rPr>
              <w:t>2024-25 Victorian Budget Update</w:t>
            </w:r>
          </w:p>
        </w:tc>
      </w:tr>
      <w:tr w:rsidR="00745E36" w:rsidRPr="009E4C4A" w14:paraId="52B2ED41" w14:textId="77777777" w:rsidTr="008048D3">
        <w:trPr>
          <w:trHeight w:val="408"/>
        </w:trPr>
        <w:tc>
          <w:tcPr>
            <w:tcW w:w="2977" w:type="dxa"/>
          </w:tcPr>
          <w:p w14:paraId="00F9426E" w14:textId="274F9A2C" w:rsidR="00745E36" w:rsidRPr="008048D3" w:rsidRDefault="00745E36" w:rsidP="00745E36">
            <w:pPr>
              <w:pStyle w:val="10Tabletext"/>
            </w:pPr>
            <w:r w:rsidRPr="008048D3">
              <w:t>ABS</w:t>
            </w:r>
          </w:p>
        </w:tc>
        <w:tc>
          <w:tcPr>
            <w:tcW w:w="5670" w:type="dxa"/>
          </w:tcPr>
          <w:p w14:paraId="757633EC" w14:textId="33DA475A" w:rsidR="00745E36" w:rsidRPr="008048D3" w:rsidRDefault="00745E36" w:rsidP="00745E36">
            <w:pPr>
              <w:pStyle w:val="10Tabletext"/>
            </w:pPr>
            <w:r w:rsidRPr="008048D3">
              <w:t>Australian Bureau of Statistics</w:t>
            </w:r>
          </w:p>
        </w:tc>
      </w:tr>
      <w:tr w:rsidR="00F23FCE" w:rsidRPr="009E4C4A" w14:paraId="1F5ACB4B" w14:textId="77777777" w:rsidTr="008048D3">
        <w:trPr>
          <w:trHeight w:val="408"/>
        </w:trPr>
        <w:tc>
          <w:tcPr>
            <w:tcW w:w="2977" w:type="dxa"/>
          </w:tcPr>
          <w:p w14:paraId="796CF66D" w14:textId="6CAE4327" w:rsidR="00F23FCE" w:rsidRPr="008048D3" w:rsidRDefault="00F23FCE" w:rsidP="00F23FCE">
            <w:pPr>
              <w:pStyle w:val="10Tabletext"/>
            </w:pPr>
            <w:r w:rsidRPr="008048D3">
              <w:t>AO</w:t>
            </w:r>
          </w:p>
        </w:tc>
        <w:tc>
          <w:tcPr>
            <w:tcW w:w="5670" w:type="dxa"/>
          </w:tcPr>
          <w:p w14:paraId="6436A4BD" w14:textId="74532C12" w:rsidR="00F23FCE" w:rsidRPr="008048D3" w:rsidRDefault="00F23FCE" w:rsidP="00F23FCE">
            <w:pPr>
              <w:pStyle w:val="10Tabletext"/>
            </w:pPr>
            <w:r w:rsidRPr="008048D3">
              <w:t>Administrative Office</w:t>
            </w:r>
          </w:p>
        </w:tc>
      </w:tr>
      <w:tr w:rsidR="00436463" w:rsidRPr="009E4C4A" w14:paraId="07604DD2" w14:textId="77777777" w:rsidTr="008048D3">
        <w:trPr>
          <w:trHeight w:val="408"/>
        </w:trPr>
        <w:tc>
          <w:tcPr>
            <w:tcW w:w="2977" w:type="dxa"/>
          </w:tcPr>
          <w:p w14:paraId="6D9F279C" w14:textId="7BD011FE" w:rsidR="00436463" w:rsidRPr="008048D3" w:rsidRDefault="00436463" w:rsidP="00745E36">
            <w:pPr>
              <w:pStyle w:val="10Tabletext"/>
            </w:pPr>
            <w:r w:rsidRPr="008048D3">
              <w:t>CEO</w:t>
            </w:r>
          </w:p>
        </w:tc>
        <w:tc>
          <w:tcPr>
            <w:tcW w:w="5670" w:type="dxa"/>
          </w:tcPr>
          <w:p w14:paraId="0DBF850F" w14:textId="2CD66280" w:rsidR="00436463" w:rsidRPr="008048D3" w:rsidRDefault="00436463" w:rsidP="00745E36">
            <w:pPr>
              <w:pStyle w:val="10Tabletext"/>
            </w:pPr>
            <w:r w:rsidRPr="008048D3">
              <w:t>Ch</w:t>
            </w:r>
            <w:r w:rsidR="0066574B" w:rsidRPr="008048D3">
              <w:t>ief Executive Officer</w:t>
            </w:r>
          </w:p>
        </w:tc>
      </w:tr>
      <w:tr w:rsidR="00745E36" w:rsidRPr="009E4C4A" w14:paraId="2B71106A" w14:textId="77777777" w:rsidTr="008048D3">
        <w:trPr>
          <w:trHeight w:val="408"/>
        </w:trPr>
        <w:tc>
          <w:tcPr>
            <w:tcW w:w="2977" w:type="dxa"/>
          </w:tcPr>
          <w:p w14:paraId="5BB35770" w14:textId="77777777" w:rsidR="00745E36" w:rsidRPr="008048D3" w:rsidRDefault="00745E36" w:rsidP="00745E36">
            <w:pPr>
              <w:pStyle w:val="10Tabletext"/>
            </w:pPr>
            <w:r w:rsidRPr="008048D3">
              <w:t>CPI</w:t>
            </w:r>
          </w:p>
        </w:tc>
        <w:tc>
          <w:tcPr>
            <w:tcW w:w="5670" w:type="dxa"/>
          </w:tcPr>
          <w:p w14:paraId="0A2E409A" w14:textId="1F0C2AF3" w:rsidR="00745E36" w:rsidRPr="008048D3" w:rsidRDefault="00AB780A" w:rsidP="00745E36">
            <w:pPr>
              <w:pStyle w:val="10Tabletext"/>
            </w:pPr>
            <w:r w:rsidRPr="008048D3">
              <w:t xml:space="preserve">Australian All Groups </w:t>
            </w:r>
            <w:r w:rsidR="00745E36" w:rsidRPr="008048D3">
              <w:t>Consumer Price Index</w:t>
            </w:r>
          </w:p>
        </w:tc>
      </w:tr>
      <w:tr w:rsidR="00E5429E" w:rsidRPr="00B928B5" w14:paraId="3D045140" w14:textId="77777777" w:rsidTr="008048D3">
        <w:trPr>
          <w:trHeight w:val="408"/>
        </w:trPr>
        <w:tc>
          <w:tcPr>
            <w:tcW w:w="2977" w:type="dxa"/>
          </w:tcPr>
          <w:p w14:paraId="7B416FF4" w14:textId="1BE5CBEC" w:rsidR="00E5429E" w:rsidRPr="008048D3" w:rsidRDefault="00E5429E" w:rsidP="00745E36">
            <w:pPr>
              <w:pStyle w:val="10Tabletext"/>
            </w:pPr>
            <w:proofErr w:type="spellStart"/>
            <w:r w:rsidRPr="008048D3">
              <w:t>Cth</w:t>
            </w:r>
            <w:proofErr w:type="spellEnd"/>
          </w:p>
        </w:tc>
        <w:tc>
          <w:tcPr>
            <w:tcW w:w="5670" w:type="dxa"/>
          </w:tcPr>
          <w:p w14:paraId="1870DE14" w14:textId="2B729668" w:rsidR="00E5429E" w:rsidRPr="008048D3" w:rsidRDefault="00E5429E" w:rsidP="00745E36">
            <w:pPr>
              <w:pStyle w:val="10Tabletext"/>
            </w:pPr>
            <w:r w:rsidRPr="008048D3">
              <w:t>Commonwealth</w:t>
            </w:r>
          </w:p>
        </w:tc>
      </w:tr>
      <w:tr w:rsidR="00781E17" w:rsidRPr="00B928B5" w14:paraId="5DF76D93" w14:textId="77777777" w:rsidTr="008048D3">
        <w:trPr>
          <w:trHeight w:val="408"/>
        </w:trPr>
        <w:tc>
          <w:tcPr>
            <w:tcW w:w="2977" w:type="dxa"/>
          </w:tcPr>
          <w:p w14:paraId="48872E2B" w14:textId="7D1B25A2" w:rsidR="00781E17" w:rsidRPr="008048D3" w:rsidRDefault="00781E17" w:rsidP="00745E36">
            <w:pPr>
              <w:pStyle w:val="10Tabletext"/>
            </w:pPr>
            <w:r w:rsidRPr="008048D3">
              <w:t>DTF</w:t>
            </w:r>
          </w:p>
        </w:tc>
        <w:tc>
          <w:tcPr>
            <w:tcW w:w="5670" w:type="dxa"/>
          </w:tcPr>
          <w:p w14:paraId="0502F82C" w14:textId="19856D60" w:rsidR="00781E17" w:rsidRPr="008048D3" w:rsidRDefault="00781E17" w:rsidP="00745E36">
            <w:pPr>
              <w:pStyle w:val="10Tabletext"/>
              <w:rPr>
                <w:iCs/>
              </w:rPr>
            </w:pPr>
            <w:r w:rsidRPr="008048D3">
              <w:rPr>
                <w:iCs/>
              </w:rPr>
              <w:t>Department of Treasury and Finance</w:t>
            </w:r>
          </w:p>
        </w:tc>
      </w:tr>
      <w:tr w:rsidR="00DE5487" w:rsidRPr="00B928B5" w14:paraId="0E8D8E5C" w14:textId="77777777" w:rsidTr="008048D3">
        <w:trPr>
          <w:trHeight w:val="408"/>
        </w:trPr>
        <w:tc>
          <w:tcPr>
            <w:tcW w:w="2977" w:type="dxa"/>
          </w:tcPr>
          <w:p w14:paraId="643E8853" w14:textId="42B818A9" w:rsidR="00DE5487" w:rsidRPr="008048D3" w:rsidRDefault="00DE5487" w:rsidP="00745E36">
            <w:pPr>
              <w:pStyle w:val="10Tabletext"/>
            </w:pPr>
            <w:r w:rsidRPr="008048D3">
              <w:t>ES</w:t>
            </w:r>
          </w:p>
        </w:tc>
        <w:tc>
          <w:tcPr>
            <w:tcW w:w="5670" w:type="dxa"/>
          </w:tcPr>
          <w:p w14:paraId="4E00C4DF" w14:textId="254B8666" w:rsidR="00DE5487" w:rsidRPr="008048D3" w:rsidRDefault="00DE5487" w:rsidP="00745E36">
            <w:pPr>
              <w:pStyle w:val="10Tabletext"/>
              <w:rPr>
                <w:iCs/>
              </w:rPr>
            </w:pPr>
            <w:r w:rsidRPr="008048D3">
              <w:rPr>
                <w:iCs/>
              </w:rPr>
              <w:t>Executive Summary</w:t>
            </w:r>
          </w:p>
        </w:tc>
      </w:tr>
      <w:tr w:rsidR="00D44F59" w:rsidRPr="00B928B5" w14:paraId="23DD02DF" w14:textId="77777777" w:rsidTr="008048D3">
        <w:trPr>
          <w:trHeight w:val="408"/>
        </w:trPr>
        <w:tc>
          <w:tcPr>
            <w:tcW w:w="2977" w:type="dxa"/>
          </w:tcPr>
          <w:p w14:paraId="3C832780" w14:textId="2D9B50D1" w:rsidR="00D44F59" w:rsidRPr="008048D3" w:rsidRDefault="00140B32" w:rsidP="00745E36">
            <w:pPr>
              <w:pStyle w:val="10Tabletext"/>
            </w:pPr>
            <w:r w:rsidRPr="008048D3">
              <w:t>EVP</w:t>
            </w:r>
          </w:p>
        </w:tc>
        <w:tc>
          <w:tcPr>
            <w:tcW w:w="5670" w:type="dxa"/>
          </w:tcPr>
          <w:p w14:paraId="0E8F2076" w14:textId="0484C9B5" w:rsidR="00D44F59" w:rsidRPr="008048D3" w:rsidRDefault="00140B32" w:rsidP="00745E36">
            <w:pPr>
              <w:pStyle w:val="10Tabletext"/>
              <w:rPr>
                <w:iCs/>
              </w:rPr>
            </w:pPr>
            <w:r w:rsidRPr="008048D3">
              <w:rPr>
                <w:iCs/>
              </w:rPr>
              <w:t>Employee value proposition</w:t>
            </w:r>
          </w:p>
        </w:tc>
      </w:tr>
      <w:tr w:rsidR="00745E36" w:rsidRPr="00B928B5" w14:paraId="068FA243" w14:textId="77777777" w:rsidTr="008048D3">
        <w:trPr>
          <w:trHeight w:val="408"/>
        </w:trPr>
        <w:tc>
          <w:tcPr>
            <w:tcW w:w="2977" w:type="dxa"/>
          </w:tcPr>
          <w:p w14:paraId="04D0518E" w14:textId="77777777" w:rsidR="00745E36" w:rsidRPr="008048D3" w:rsidRDefault="00745E36" w:rsidP="00745E36">
            <w:pPr>
              <w:pStyle w:val="10Tabletext"/>
            </w:pPr>
            <w:r w:rsidRPr="008048D3">
              <w:t>FWC</w:t>
            </w:r>
          </w:p>
        </w:tc>
        <w:tc>
          <w:tcPr>
            <w:tcW w:w="5670" w:type="dxa"/>
          </w:tcPr>
          <w:p w14:paraId="46D578FF" w14:textId="77777777" w:rsidR="00745E36" w:rsidRPr="008048D3" w:rsidRDefault="00745E36" w:rsidP="00745E36">
            <w:pPr>
              <w:pStyle w:val="10Tabletext"/>
            </w:pPr>
            <w:r w:rsidRPr="008048D3">
              <w:t>Fair Work Commission</w:t>
            </w:r>
          </w:p>
        </w:tc>
      </w:tr>
      <w:tr w:rsidR="00745E36" w:rsidRPr="00B928B5" w14:paraId="356AD528" w14:textId="77777777" w:rsidTr="008048D3">
        <w:trPr>
          <w:trHeight w:val="408"/>
        </w:trPr>
        <w:tc>
          <w:tcPr>
            <w:tcW w:w="2977" w:type="dxa"/>
          </w:tcPr>
          <w:p w14:paraId="4F508CBA" w14:textId="77777777" w:rsidR="00745E36" w:rsidRPr="008048D3" w:rsidRDefault="00745E36" w:rsidP="00745E36">
            <w:pPr>
              <w:pStyle w:val="10Tabletext"/>
            </w:pPr>
            <w:r w:rsidRPr="008048D3">
              <w:t>GDP</w:t>
            </w:r>
          </w:p>
        </w:tc>
        <w:tc>
          <w:tcPr>
            <w:tcW w:w="5670" w:type="dxa"/>
          </w:tcPr>
          <w:p w14:paraId="603391BC" w14:textId="77777777" w:rsidR="00745E36" w:rsidRPr="008048D3" w:rsidRDefault="00745E36" w:rsidP="00745E36">
            <w:pPr>
              <w:pStyle w:val="10Tabletext"/>
            </w:pPr>
            <w:r w:rsidRPr="008048D3">
              <w:t>Gross Domestic Product</w:t>
            </w:r>
          </w:p>
        </w:tc>
      </w:tr>
      <w:tr w:rsidR="00745E36" w:rsidRPr="00B928B5" w14:paraId="60654F57" w14:textId="77777777" w:rsidTr="008048D3">
        <w:trPr>
          <w:trHeight w:val="408"/>
        </w:trPr>
        <w:tc>
          <w:tcPr>
            <w:tcW w:w="2977" w:type="dxa"/>
          </w:tcPr>
          <w:p w14:paraId="5E801CAC" w14:textId="77777777" w:rsidR="00745E36" w:rsidRPr="008048D3" w:rsidRDefault="00745E36" w:rsidP="00745E36">
            <w:pPr>
              <w:pStyle w:val="10Tabletext"/>
            </w:pPr>
            <w:r w:rsidRPr="008048D3">
              <w:t>GGS</w:t>
            </w:r>
          </w:p>
        </w:tc>
        <w:tc>
          <w:tcPr>
            <w:tcW w:w="5670" w:type="dxa"/>
          </w:tcPr>
          <w:p w14:paraId="73D8D4B6" w14:textId="6A847760" w:rsidR="00745E36" w:rsidRPr="008048D3" w:rsidRDefault="002A2C01" w:rsidP="00745E36">
            <w:pPr>
              <w:pStyle w:val="10Tabletext"/>
            </w:pPr>
            <w:r w:rsidRPr="008048D3">
              <w:t>g</w:t>
            </w:r>
            <w:r w:rsidR="00745E36" w:rsidRPr="008048D3">
              <w:t xml:space="preserve">eneral </w:t>
            </w:r>
            <w:r w:rsidRPr="008048D3">
              <w:t>g</w:t>
            </w:r>
            <w:r w:rsidR="00745E36" w:rsidRPr="008048D3">
              <w:t xml:space="preserve">overnment </w:t>
            </w:r>
            <w:r w:rsidRPr="008048D3">
              <w:t>s</w:t>
            </w:r>
            <w:r w:rsidR="00745E36" w:rsidRPr="008048D3">
              <w:t>ector</w:t>
            </w:r>
          </w:p>
        </w:tc>
      </w:tr>
      <w:tr w:rsidR="005D0D9C" w:rsidRPr="00B928B5" w14:paraId="184C5E42" w14:textId="77777777" w:rsidTr="008048D3">
        <w:trPr>
          <w:trHeight w:val="408"/>
        </w:trPr>
        <w:tc>
          <w:tcPr>
            <w:tcW w:w="2977" w:type="dxa"/>
          </w:tcPr>
          <w:p w14:paraId="4E483956" w14:textId="572F26C4" w:rsidR="005D0D9C" w:rsidRPr="008048D3" w:rsidRDefault="006A7205" w:rsidP="00745E36">
            <w:pPr>
              <w:pStyle w:val="10Tabletext"/>
            </w:pPr>
            <w:r w:rsidRPr="008048D3">
              <w:t>GHCMA</w:t>
            </w:r>
          </w:p>
        </w:tc>
        <w:tc>
          <w:tcPr>
            <w:tcW w:w="5670" w:type="dxa"/>
          </w:tcPr>
          <w:p w14:paraId="43CC8663" w14:textId="1B66A7E9" w:rsidR="005D0D9C" w:rsidRPr="008048D3" w:rsidRDefault="00BB63ED" w:rsidP="00745E36">
            <w:pPr>
              <w:pStyle w:val="10Tabletext"/>
            </w:pPr>
            <w:r w:rsidRPr="008048D3">
              <w:t>Glenelg Hopkins Catchment Management Authority</w:t>
            </w:r>
          </w:p>
        </w:tc>
      </w:tr>
      <w:tr w:rsidR="00745E36" w:rsidRPr="00B928B5" w14:paraId="2D539092" w14:textId="77777777" w:rsidTr="008048D3">
        <w:trPr>
          <w:trHeight w:val="408"/>
        </w:trPr>
        <w:tc>
          <w:tcPr>
            <w:tcW w:w="2977" w:type="dxa"/>
          </w:tcPr>
          <w:p w14:paraId="29A194F3" w14:textId="77777777" w:rsidR="00745E36" w:rsidRPr="008048D3" w:rsidRDefault="00745E36" w:rsidP="00745E36">
            <w:pPr>
              <w:pStyle w:val="10Tabletext"/>
            </w:pPr>
            <w:r w:rsidRPr="008048D3">
              <w:t>GSP</w:t>
            </w:r>
          </w:p>
        </w:tc>
        <w:tc>
          <w:tcPr>
            <w:tcW w:w="5670" w:type="dxa"/>
          </w:tcPr>
          <w:p w14:paraId="36DBE7AC" w14:textId="77777777" w:rsidR="00745E36" w:rsidRPr="008048D3" w:rsidRDefault="00745E36" w:rsidP="00745E36">
            <w:pPr>
              <w:pStyle w:val="10Tabletext"/>
            </w:pPr>
            <w:r w:rsidRPr="008048D3">
              <w:t>Gross State Product</w:t>
            </w:r>
          </w:p>
        </w:tc>
      </w:tr>
      <w:tr w:rsidR="00BA4B38" w:rsidRPr="009E4C4A" w14:paraId="0D289ED9" w14:textId="77777777" w:rsidTr="008048D3">
        <w:trPr>
          <w:trHeight w:val="408"/>
        </w:trPr>
        <w:tc>
          <w:tcPr>
            <w:tcW w:w="2977" w:type="dxa"/>
          </w:tcPr>
          <w:p w14:paraId="67FCC541" w14:textId="383DE8A5" w:rsidR="00BA4B38" w:rsidRPr="008048D3" w:rsidRDefault="00BC67B0" w:rsidP="00745E36">
            <w:pPr>
              <w:pStyle w:val="10Tabletext"/>
            </w:pPr>
            <w:r w:rsidRPr="008048D3">
              <w:t>g</w:t>
            </w:r>
            <w:r w:rsidR="00BA4B38" w:rsidRPr="008048D3">
              <w:t>uideline rate</w:t>
            </w:r>
          </w:p>
        </w:tc>
        <w:tc>
          <w:tcPr>
            <w:tcW w:w="5670" w:type="dxa"/>
          </w:tcPr>
          <w:p w14:paraId="6728393C" w14:textId="5389D80E" w:rsidR="00BA4B38" w:rsidRPr="008048D3" w:rsidRDefault="00BA4B38" w:rsidP="00745E36">
            <w:pPr>
              <w:pStyle w:val="10Tabletext"/>
            </w:pPr>
            <w:r w:rsidRPr="008048D3">
              <w:t>Premier’s annual adjustment guideline rate</w:t>
            </w:r>
          </w:p>
        </w:tc>
      </w:tr>
      <w:tr w:rsidR="004347DA" w:rsidRPr="009E4C4A" w14:paraId="251F7A28" w14:textId="77777777" w:rsidTr="008048D3">
        <w:trPr>
          <w:trHeight w:val="408"/>
        </w:trPr>
        <w:tc>
          <w:tcPr>
            <w:tcW w:w="2977" w:type="dxa"/>
          </w:tcPr>
          <w:p w14:paraId="3E7FAEFC" w14:textId="5C476288" w:rsidR="004347DA" w:rsidRPr="008048D3" w:rsidRDefault="004347DA" w:rsidP="00745E36">
            <w:pPr>
              <w:pStyle w:val="10Tabletext"/>
            </w:pPr>
            <w:r w:rsidRPr="008048D3">
              <w:t>IBAC</w:t>
            </w:r>
          </w:p>
        </w:tc>
        <w:tc>
          <w:tcPr>
            <w:tcW w:w="5670" w:type="dxa"/>
          </w:tcPr>
          <w:p w14:paraId="4368C377" w14:textId="03A515C3" w:rsidR="004347DA" w:rsidRPr="008048D3" w:rsidRDefault="004347DA" w:rsidP="00745E36">
            <w:pPr>
              <w:pStyle w:val="10Tabletext"/>
            </w:pPr>
            <w:r w:rsidRPr="008048D3">
              <w:t>Independent Broad-based Anti-</w:t>
            </w:r>
            <w:proofErr w:type="gramStart"/>
            <w:r w:rsidRPr="008048D3">
              <w:t>corruption</w:t>
            </w:r>
            <w:proofErr w:type="gramEnd"/>
            <w:r w:rsidRPr="008048D3">
              <w:t xml:space="preserve"> Commission</w:t>
            </w:r>
          </w:p>
        </w:tc>
      </w:tr>
      <w:tr w:rsidR="002C0132" w:rsidRPr="009E4C4A" w14:paraId="03EF28DA" w14:textId="77777777" w:rsidTr="008048D3">
        <w:trPr>
          <w:trHeight w:val="408"/>
        </w:trPr>
        <w:tc>
          <w:tcPr>
            <w:tcW w:w="2977" w:type="dxa"/>
          </w:tcPr>
          <w:p w14:paraId="2CE000B5" w14:textId="6CBA60E7" w:rsidR="002C0132" w:rsidRPr="008048D3" w:rsidRDefault="002C0132" w:rsidP="00745E36">
            <w:pPr>
              <w:pStyle w:val="10Tabletext"/>
            </w:pPr>
            <w:r w:rsidRPr="008048D3">
              <w:t>I</w:t>
            </w:r>
            <w:r w:rsidR="00216A3F" w:rsidRPr="008048D3">
              <w:t>C</w:t>
            </w:r>
            <w:r w:rsidRPr="008048D3">
              <w:t>T</w:t>
            </w:r>
          </w:p>
        </w:tc>
        <w:tc>
          <w:tcPr>
            <w:tcW w:w="5670" w:type="dxa"/>
          </w:tcPr>
          <w:p w14:paraId="2887FC84" w14:textId="45D4ED20" w:rsidR="002C0132" w:rsidRPr="008048D3" w:rsidRDefault="002C0132" w:rsidP="00745E36">
            <w:pPr>
              <w:pStyle w:val="10Tabletext"/>
            </w:pPr>
            <w:r w:rsidRPr="008048D3">
              <w:t xml:space="preserve">information </w:t>
            </w:r>
            <w:r w:rsidR="00216A3F" w:rsidRPr="008048D3">
              <w:t xml:space="preserve">and communications </w:t>
            </w:r>
            <w:r w:rsidRPr="008048D3">
              <w:t>technology</w:t>
            </w:r>
          </w:p>
        </w:tc>
      </w:tr>
      <w:tr w:rsidR="00CA2306" w:rsidRPr="009E4C4A" w14:paraId="7AAB34AD" w14:textId="77777777" w:rsidTr="008048D3">
        <w:trPr>
          <w:trHeight w:val="408"/>
        </w:trPr>
        <w:tc>
          <w:tcPr>
            <w:tcW w:w="2977" w:type="dxa"/>
          </w:tcPr>
          <w:p w14:paraId="50D96A9E" w14:textId="74C7F457" w:rsidR="00CA2306" w:rsidRPr="008048D3" w:rsidRDefault="00CA2306" w:rsidP="00745E36">
            <w:pPr>
              <w:pStyle w:val="10Tabletext"/>
            </w:pPr>
            <w:r w:rsidRPr="008048D3">
              <w:t>JSA</w:t>
            </w:r>
          </w:p>
        </w:tc>
        <w:tc>
          <w:tcPr>
            <w:tcW w:w="5670" w:type="dxa"/>
          </w:tcPr>
          <w:p w14:paraId="3FDC1F57" w14:textId="7B2AF171" w:rsidR="00CA2306" w:rsidRPr="008048D3" w:rsidRDefault="00CA2306" w:rsidP="00745E36">
            <w:pPr>
              <w:pStyle w:val="10Tabletext"/>
            </w:pPr>
            <w:r w:rsidRPr="008048D3">
              <w:t>Jobs and Skills Australia</w:t>
            </w:r>
          </w:p>
        </w:tc>
      </w:tr>
      <w:tr w:rsidR="00D53E0D" w:rsidRPr="009E4C4A" w14:paraId="06F707CD" w14:textId="77777777" w:rsidTr="008048D3">
        <w:trPr>
          <w:trHeight w:val="408"/>
        </w:trPr>
        <w:tc>
          <w:tcPr>
            <w:tcW w:w="2977" w:type="dxa"/>
          </w:tcPr>
          <w:p w14:paraId="05BFFFD1" w14:textId="7C7A1FA3" w:rsidR="00D53E0D" w:rsidRPr="008048D3" w:rsidRDefault="00D53E0D" w:rsidP="00745E36">
            <w:pPr>
              <w:pStyle w:val="10Tabletext"/>
            </w:pPr>
            <w:r w:rsidRPr="008048D3">
              <w:t>MD</w:t>
            </w:r>
          </w:p>
        </w:tc>
        <w:tc>
          <w:tcPr>
            <w:tcW w:w="5670" w:type="dxa"/>
          </w:tcPr>
          <w:p w14:paraId="31C5A927" w14:textId="1A0C4C41" w:rsidR="00D53E0D" w:rsidRPr="008048D3" w:rsidRDefault="00D53E0D" w:rsidP="00745E36">
            <w:pPr>
              <w:pStyle w:val="10Tabletext"/>
            </w:pPr>
            <w:r w:rsidRPr="008048D3">
              <w:t>Managing Director</w:t>
            </w:r>
          </w:p>
        </w:tc>
      </w:tr>
      <w:tr w:rsidR="00547D1C" w:rsidRPr="009E4C4A" w14:paraId="6345263B" w14:textId="77777777" w:rsidTr="008048D3">
        <w:trPr>
          <w:trHeight w:val="408"/>
        </w:trPr>
        <w:tc>
          <w:tcPr>
            <w:tcW w:w="2977" w:type="dxa"/>
          </w:tcPr>
          <w:p w14:paraId="452A23E0" w14:textId="4625223C" w:rsidR="00547D1C" w:rsidRPr="008048D3" w:rsidRDefault="00CC55AC" w:rsidP="00745E36">
            <w:pPr>
              <w:pStyle w:val="10Tabletext"/>
            </w:pPr>
            <w:r w:rsidRPr="008048D3">
              <w:t>Melbourne CPI</w:t>
            </w:r>
          </w:p>
        </w:tc>
        <w:tc>
          <w:tcPr>
            <w:tcW w:w="5670" w:type="dxa"/>
          </w:tcPr>
          <w:p w14:paraId="7CAF11A7" w14:textId="7A395A12" w:rsidR="00547D1C" w:rsidRPr="008048D3" w:rsidRDefault="00CC55AC" w:rsidP="00745E36">
            <w:pPr>
              <w:pStyle w:val="10Tabletext"/>
            </w:pPr>
            <w:r w:rsidRPr="008048D3">
              <w:t>All Groups Consumer Price In</w:t>
            </w:r>
            <w:r w:rsidR="0056484D" w:rsidRPr="008048D3">
              <w:t>dex for Melbourne</w:t>
            </w:r>
          </w:p>
        </w:tc>
      </w:tr>
      <w:tr w:rsidR="00E90D74" w:rsidRPr="009E4C4A" w14:paraId="4987053B" w14:textId="77777777" w:rsidTr="008048D3">
        <w:trPr>
          <w:trHeight w:val="408"/>
        </w:trPr>
        <w:tc>
          <w:tcPr>
            <w:tcW w:w="2977" w:type="dxa"/>
          </w:tcPr>
          <w:p w14:paraId="58EFB03C" w14:textId="021C83F3" w:rsidR="00E90D74" w:rsidRPr="008048D3" w:rsidRDefault="00E90D74" w:rsidP="00745E36">
            <w:pPr>
              <w:pStyle w:val="10Tabletext"/>
            </w:pPr>
            <w:r w:rsidRPr="008048D3">
              <w:t>MSCB</w:t>
            </w:r>
          </w:p>
        </w:tc>
        <w:tc>
          <w:tcPr>
            <w:tcW w:w="5670" w:type="dxa"/>
          </w:tcPr>
          <w:p w14:paraId="7E48CA54" w14:textId="0C16643F" w:rsidR="00E90D74" w:rsidRPr="008048D3" w:rsidRDefault="00771B36" w:rsidP="00745E36">
            <w:pPr>
              <w:pStyle w:val="10Tabletext"/>
            </w:pPr>
            <w:r w:rsidRPr="008048D3">
              <w:t>Maximum superannuation contribution base</w:t>
            </w:r>
          </w:p>
        </w:tc>
      </w:tr>
      <w:tr w:rsidR="008E17AB" w:rsidRPr="009E4C4A" w14:paraId="4E12281F" w14:textId="77777777" w:rsidTr="008048D3">
        <w:trPr>
          <w:trHeight w:val="408"/>
        </w:trPr>
        <w:tc>
          <w:tcPr>
            <w:tcW w:w="2977" w:type="dxa"/>
          </w:tcPr>
          <w:p w14:paraId="47118A7B" w14:textId="5651408F" w:rsidR="008E17AB" w:rsidRPr="008048D3" w:rsidRDefault="008E17AB" w:rsidP="00745E36">
            <w:pPr>
              <w:pStyle w:val="10Tabletext"/>
            </w:pPr>
            <w:r w:rsidRPr="008048D3">
              <w:t>NMW</w:t>
            </w:r>
          </w:p>
        </w:tc>
        <w:tc>
          <w:tcPr>
            <w:tcW w:w="5670" w:type="dxa"/>
          </w:tcPr>
          <w:p w14:paraId="06FA5EC4" w14:textId="4C9780AF" w:rsidR="008E17AB" w:rsidRPr="008048D3" w:rsidRDefault="008E17AB" w:rsidP="00745E36">
            <w:pPr>
              <w:pStyle w:val="10Tabletext"/>
            </w:pPr>
            <w:r w:rsidRPr="008048D3">
              <w:t>National Minimum Wage</w:t>
            </w:r>
          </w:p>
        </w:tc>
      </w:tr>
      <w:tr w:rsidR="00346D35" w:rsidRPr="009E4C4A" w14:paraId="11EF6C93" w14:textId="77777777" w:rsidTr="008048D3">
        <w:trPr>
          <w:trHeight w:val="408"/>
        </w:trPr>
        <w:tc>
          <w:tcPr>
            <w:tcW w:w="2977" w:type="dxa"/>
          </w:tcPr>
          <w:p w14:paraId="1AF15FB3" w14:textId="37D051DD" w:rsidR="00346D35" w:rsidRPr="008048D3" w:rsidRDefault="00346D35" w:rsidP="002F15E3">
            <w:pPr>
              <w:pStyle w:val="10Tabletext"/>
            </w:pPr>
            <w:r w:rsidRPr="008048D3">
              <w:lastRenderedPageBreak/>
              <w:t>November 2024 Statement</w:t>
            </w:r>
          </w:p>
        </w:tc>
        <w:tc>
          <w:tcPr>
            <w:tcW w:w="5670" w:type="dxa"/>
          </w:tcPr>
          <w:p w14:paraId="38F108E8" w14:textId="3A4F0107" w:rsidR="00346D35" w:rsidRPr="008048D3" w:rsidRDefault="00346D35" w:rsidP="002F15E3">
            <w:pPr>
              <w:pStyle w:val="10Tabletext"/>
            </w:pPr>
            <w:r w:rsidRPr="008048D3">
              <w:rPr>
                <w:rFonts w:eastAsia="Aptos" w:cs="Arial"/>
                <w:i/>
                <w:iCs/>
                <w:color w:val="000000"/>
                <w:szCs w:val="20"/>
                <w:lang w:val="en-US"/>
              </w:rPr>
              <w:t>Statement on Monetary Policy — November 2024</w:t>
            </w:r>
            <w:r w:rsidR="00906DF8" w:rsidRPr="008048D3">
              <w:rPr>
                <w:rFonts w:eastAsia="Aptos" w:cs="Arial"/>
                <w:i/>
                <w:iCs/>
                <w:color w:val="000000"/>
                <w:szCs w:val="20"/>
                <w:lang w:val="en-US"/>
              </w:rPr>
              <w:t xml:space="preserve"> </w:t>
            </w:r>
            <w:r w:rsidR="00906DF8" w:rsidRPr="008048D3">
              <w:rPr>
                <w:rFonts w:eastAsia="Aptos" w:cs="Arial"/>
                <w:color w:val="000000"/>
                <w:szCs w:val="20"/>
                <w:lang w:val="en-US"/>
              </w:rPr>
              <w:t>(Reserve Bank of Australia)</w:t>
            </w:r>
          </w:p>
        </w:tc>
      </w:tr>
      <w:tr w:rsidR="002F15E3" w:rsidRPr="009E4C4A" w14:paraId="0247297A" w14:textId="77777777" w:rsidTr="008048D3">
        <w:trPr>
          <w:trHeight w:val="408"/>
        </w:trPr>
        <w:tc>
          <w:tcPr>
            <w:tcW w:w="2977" w:type="dxa"/>
          </w:tcPr>
          <w:p w14:paraId="75CCDCBE" w14:textId="0C1ED434" w:rsidR="002F15E3" w:rsidRPr="008048D3" w:rsidRDefault="002F15E3" w:rsidP="002F15E3">
            <w:pPr>
              <w:pStyle w:val="10Tabletext"/>
            </w:pPr>
            <w:r w:rsidRPr="008048D3">
              <w:t>p.a.</w:t>
            </w:r>
          </w:p>
        </w:tc>
        <w:tc>
          <w:tcPr>
            <w:tcW w:w="5670" w:type="dxa"/>
          </w:tcPr>
          <w:p w14:paraId="4F3D6B38" w14:textId="15BF7ED9" w:rsidR="002F15E3" w:rsidRPr="008048D3" w:rsidRDefault="002F15E3" w:rsidP="002F15E3">
            <w:pPr>
              <w:pStyle w:val="10Tabletext"/>
              <w:rPr>
                <w:i/>
              </w:rPr>
            </w:pPr>
            <w:r w:rsidRPr="008048D3">
              <w:t>per annum</w:t>
            </w:r>
          </w:p>
        </w:tc>
      </w:tr>
      <w:tr w:rsidR="004D214F" w:rsidRPr="009E4C4A" w14:paraId="303B485B" w14:textId="77777777" w:rsidTr="008048D3">
        <w:trPr>
          <w:trHeight w:val="408"/>
        </w:trPr>
        <w:tc>
          <w:tcPr>
            <w:tcW w:w="2977" w:type="dxa"/>
          </w:tcPr>
          <w:p w14:paraId="1B9B683D" w14:textId="28A12779" w:rsidR="004D214F" w:rsidRPr="008048D3" w:rsidRDefault="004D214F" w:rsidP="00745E36">
            <w:pPr>
              <w:pStyle w:val="10Tabletext"/>
            </w:pPr>
            <w:r w:rsidRPr="008048D3">
              <w:t>PAA</w:t>
            </w:r>
          </w:p>
        </w:tc>
        <w:tc>
          <w:tcPr>
            <w:tcW w:w="5670" w:type="dxa"/>
          </w:tcPr>
          <w:p w14:paraId="33FA9BE4" w14:textId="7A5B0268" w:rsidR="004D214F" w:rsidRPr="008048D3" w:rsidRDefault="002B7897" w:rsidP="00745E36">
            <w:pPr>
              <w:pStyle w:val="10Tabletext"/>
            </w:pPr>
            <w:r w:rsidRPr="008048D3">
              <w:rPr>
                <w:i/>
              </w:rPr>
              <w:t>Public Administration Act 2004</w:t>
            </w:r>
            <w:r w:rsidRPr="008048D3">
              <w:t xml:space="preserve"> (Vic)</w:t>
            </w:r>
          </w:p>
        </w:tc>
      </w:tr>
      <w:tr w:rsidR="00D52412" w:rsidRPr="009E4C4A" w14:paraId="70725E0D" w14:textId="77777777" w:rsidTr="008048D3">
        <w:trPr>
          <w:trHeight w:val="408"/>
        </w:trPr>
        <w:tc>
          <w:tcPr>
            <w:tcW w:w="2977" w:type="dxa"/>
          </w:tcPr>
          <w:p w14:paraId="0DE0AFBE" w14:textId="605F34E2" w:rsidR="00D52412" w:rsidRPr="008048D3" w:rsidRDefault="00D52412" w:rsidP="00745E36">
            <w:pPr>
              <w:pStyle w:val="10Tabletext"/>
            </w:pPr>
            <w:r w:rsidRPr="008048D3">
              <w:t>PAEC</w:t>
            </w:r>
          </w:p>
        </w:tc>
        <w:tc>
          <w:tcPr>
            <w:tcW w:w="5670" w:type="dxa"/>
          </w:tcPr>
          <w:p w14:paraId="7FC2D500" w14:textId="27483D07" w:rsidR="00D52412" w:rsidRPr="008048D3" w:rsidRDefault="00D52412" w:rsidP="00745E36">
            <w:pPr>
              <w:pStyle w:val="10Tabletext"/>
            </w:pPr>
            <w:r w:rsidRPr="008048D3">
              <w:t>Public Accounts and Estimates Committee</w:t>
            </w:r>
          </w:p>
        </w:tc>
      </w:tr>
      <w:tr w:rsidR="00A07E6C" w:rsidRPr="009E4C4A" w14:paraId="2A4F5E8C" w14:textId="77777777" w:rsidTr="008048D3">
        <w:trPr>
          <w:trHeight w:val="408"/>
        </w:trPr>
        <w:tc>
          <w:tcPr>
            <w:tcW w:w="2977" w:type="dxa"/>
          </w:tcPr>
          <w:p w14:paraId="37A58AC7" w14:textId="33E19470" w:rsidR="00A07E6C" w:rsidRPr="008048D3" w:rsidRDefault="00A07E6C" w:rsidP="00745E36">
            <w:pPr>
              <w:pStyle w:val="10Tabletext"/>
            </w:pPr>
            <w:r w:rsidRPr="008048D3">
              <w:t>PE Guidelines</w:t>
            </w:r>
          </w:p>
        </w:tc>
        <w:tc>
          <w:tcPr>
            <w:tcW w:w="5670" w:type="dxa"/>
          </w:tcPr>
          <w:p w14:paraId="64C9BC72" w14:textId="0D75D4E7" w:rsidR="00A07E6C" w:rsidRPr="008048D3" w:rsidRDefault="0004689D" w:rsidP="00745E36">
            <w:pPr>
              <w:pStyle w:val="10Tabletext"/>
              <w:rPr>
                <w:i/>
              </w:rPr>
            </w:pPr>
            <w:r w:rsidRPr="008048D3">
              <w:rPr>
                <w:i/>
              </w:rPr>
              <w:t>Prescribed Public Entity Executive Remuneration Guidelines</w:t>
            </w:r>
          </w:p>
        </w:tc>
      </w:tr>
      <w:tr w:rsidR="002E332D" w:rsidRPr="009E4C4A" w14:paraId="4B305974" w14:textId="77777777" w:rsidTr="008048D3">
        <w:trPr>
          <w:trHeight w:val="408"/>
        </w:trPr>
        <w:tc>
          <w:tcPr>
            <w:tcW w:w="2977" w:type="dxa"/>
          </w:tcPr>
          <w:p w14:paraId="26582A40" w14:textId="3FAC5D6A" w:rsidR="002E332D" w:rsidRPr="008048D3" w:rsidRDefault="002E332D" w:rsidP="00745E36">
            <w:pPr>
              <w:pStyle w:val="10Tabletext"/>
            </w:pPr>
            <w:r w:rsidRPr="008048D3">
              <w:t xml:space="preserve">PE Handbook </w:t>
            </w:r>
          </w:p>
        </w:tc>
        <w:tc>
          <w:tcPr>
            <w:tcW w:w="5670" w:type="dxa"/>
          </w:tcPr>
          <w:p w14:paraId="1F599831" w14:textId="06DB91FA" w:rsidR="002E332D" w:rsidRPr="008048D3" w:rsidRDefault="00CD072A" w:rsidP="00745E36">
            <w:pPr>
              <w:pStyle w:val="10Tabletext"/>
              <w:rPr>
                <w:i/>
              </w:rPr>
            </w:pPr>
            <w:r w:rsidRPr="008048D3">
              <w:rPr>
                <w:i/>
              </w:rPr>
              <w:t>Public Entity Executive Handbook</w:t>
            </w:r>
          </w:p>
        </w:tc>
      </w:tr>
      <w:tr w:rsidR="00615B92" w:rsidRPr="009E4C4A" w14:paraId="65841D86" w14:textId="77777777" w:rsidTr="008048D3">
        <w:trPr>
          <w:trHeight w:val="408"/>
        </w:trPr>
        <w:tc>
          <w:tcPr>
            <w:tcW w:w="2977" w:type="dxa"/>
          </w:tcPr>
          <w:p w14:paraId="5C5A0ACD" w14:textId="33493D8A" w:rsidR="00615B92" w:rsidRPr="008048D3" w:rsidRDefault="00615B92" w:rsidP="00745E36">
            <w:pPr>
              <w:pStyle w:val="10Tabletext"/>
            </w:pPr>
            <w:r w:rsidRPr="008048D3">
              <w:t>PEECF</w:t>
            </w:r>
          </w:p>
        </w:tc>
        <w:tc>
          <w:tcPr>
            <w:tcW w:w="5670" w:type="dxa"/>
          </w:tcPr>
          <w:p w14:paraId="055D409B" w14:textId="662FA859" w:rsidR="00615B92" w:rsidRPr="008048D3" w:rsidRDefault="00FD184E" w:rsidP="00745E36">
            <w:pPr>
              <w:pStyle w:val="10Tabletext"/>
              <w:rPr>
                <w:i/>
              </w:rPr>
            </w:pPr>
            <w:r w:rsidRPr="008048D3">
              <w:rPr>
                <w:i/>
              </w:rPr>
              <w:t>Public Entity Executive Classification Framework</w:t>
            </w:r>
          </w:p>
        </w:tc>
      </w:tr>
      <w:tr w:rsidR="00C64620" w:rsidRPr="009E4C4A" w14:paraId="6A07964D" w14:textId="77777777" w:rsidTr="008048D3">
        <w:trPr>
          <w:trHeight w:val="408"/>
        </w:trPr>
        <w:tc>
          <w:tcPr>
            <w:tcW w:w="2977" w:type="dxa"/>
          </w:tcPr>
          <w:p w14:paraId="26368F5E" w14:textId="39C24DBF" w:rsidR="00C64620" w:rsidRPr="008048D3" w:rsidRDefault="00C64620" w:rsidP="00745E36">
            <w:pPr>
              <w:pStyle w:val="10Tabletext"/>
            </w:pPr>
            <w:r w:rsidRPr="008048D3">
              <w:t>PEER</w:t>
            </w:r>
            <w:r w:rsidR="000C6CCD" w:rsidRPr="008048D3">
              <w:t xml:space="preserve"> Policy</w:t>
            </w:r>
          </w:p>
        </w:tc>
        <w:tc>
          <w:tcPr>
            <w:tcW w:w="5670" w:type="dxa"/>
          </w:tcPr>
          <w:p w14:paraId="1626D009" w14:textId="749F9F7B" w:rsidR="00C64620" w:rsidRPr="008048D3" w:rsidRDefault="00811182" w:rsidP="00745E36">
            <w:pPr>
              <w:pStyle w:val="10Tabletext"/>
            </w:pPr>
            <w:r w:rsidRPr="008048D3">
              <w:t>Public Entity Executive Remuneration</w:t>
            </w:r>
            <w:r w:rsidR="000C6CCD" w:rsidRPr="008048D3">
              <w:t xml:space="preserve"> Policy</w:t>
            </w:r>
          </w:p>
        </w:tc>
      </w:tr>
      <w:tr w:rsidR="00FD33A7" w:rsidRPr="009E4C4A" w14:paraId="1D9E2C8A" w14:textId="77777777" w:rsidTr="008048D3">
        <w:trPr>
          <w:trHeight w:val="408"/>
        </w:trPr>
        <w:tc>
          <w:tcPr>
            <w:tcW w:w="2977" w:type="dxa"/>
          </w:tcPr>
          <w:p w14:paraId="33B42D73" w14:textId="0C13441E" w:rsidR="00FD33A7" w:rsidRPr="008048D3" w:rsidRDefault="00FD33A7" w:rsidP="00745E36">
            <w:pPr>
              <w:pStyle w:val="10Tabletext"/>
            </w:pPr>
            <w:r w:rsidRPr="008048D3">
              <w:t>PESES executives</w:t>
            </w:r>
          </w:p>
        </w:tc>
        <w:tc>
          <w:tcPr>
            <w:tcW w:w="5670" w:type="dxa"/>
          </w:tcPr>
          <w:p w14:paraId="22407390" w14:textId="549FDD9D" w:rsidR="00FD33A7" w:rsidRPr="008048D3" w:rsidRDefault="00E94A71" w:rsidP="00745E36">
            <w:pPr>
              <w:pStyle w:val="10Tabletext"/>
            </w:pPr>
            <w:r w:rsidRPr="008048D3">
              <w:t>Executives employed in public entities</w:t>
            </w:r>
            <w:r w:rsidR="004960DD" w:rsidRPr="008048D3">
              <w:t xml:space="preserve">, excluding </w:t>
            </w:r>
            <w:r w:rsidR="00C165A0" w:rsidRPr="008048D3">
              <w:t xml:space="preserve">those </w:t>
            </w:r>
            <w:r w:rsidRPr="008048D3">
              <w:t>employed under Part 3 of the PAA.</w:t>
            </w:r>
          </w:p>
        </w:tc>
      </w:tr>
      <w:tr w:rsidR="002C25BD" w:rsidRPr="009E4C4A" w14:paraId="62AEFE98" w14:textId="77777777" w:rsidTr="008048D3">
        <w:trPr>
          <w:trHeight w:val="408"/>
        </w:trPr>
        <w:tc>
          <w:tcPr>
            <w:tcW w:w="2977" w:type="dxa"/>
          </w:tcPr>
          <w:p w14:paraId="316E824A" w14:textId="1CD8D923" w:rsidR="002C25BD" w:rsidRPr="008048D3" w:rsidRDefault="002C25BD" w:rsidP="00745E36">
            <w:pPr>
              <w:pStyle w:val="10Tabletext"/>
            </w:pPr>
            <w:r w:rsidRPr="008048D3">
              <w:t>prescribed public entity</w:t>
            </w:r>
          </w:p>
        </w:tc>
        <w:tc>
          <w:tcPr>
            <w:tcW w:w="5670" w:type="dxa"/>
          </w:tcPr>
          <w:p w14:paraId="77892074" w14:textId="7A6AAB13" w:rsidR="002C25BD" w:rsidRPr="008048D3" w:rsidRDefault="00930A64" w:rsidP="00745E36">
            <w:pPr>
              <w:pStyle w:val="10Tabletext"/>
            </w:pPr>
            <w:r w:rsidRPr="008048D3">
              <w:t xml:space="preserve">A public entity </w:t>
            </w:r>
            <w:r w:rsidR="00DF43F5" w:rsidRPr="008048D3">
              <w:t xml:space="preserve">to which the 2024 PE Determination applies. </w:t>
            </w:r>
            <w:r w:rsidR="008F62D6" w:rsidRPr="008048D3">
              <w:t>T</w:t>
            </w:r>
            <w:r w:rsidR="001E146B" w:rsidRPr="008048D3">
              <w:t>he Victorian Independent Remuneration Tribunal and Improving Parliamentary Standards (Prescribed Public Entities) Regulations 2019</w:t>
            </w:r>
            <w:r w:rsidR="008F62D6" w:rsidRPr="008048D3">
              <w:t xml:space="preserve"> state that all public entities are prescribed</w:t>
            </w:r>
            <w:r w:rsidR="00FD79E8" w:rsidRPr="008048D3">
              <w:t>, subject to specific exclusions</w:t>
            </w:r>
            <w:r w:rsidR="00AA6C0F" w:rsidRPr="008048D3">
              <w:t xml:space="preserve">. </w:t>
            </w:r>
          </w:p>
        </w:tc>
      </w:tr>
      <w:tr w:rsidR="00624CCB" w:rsidRPr="009E4C4A" w14:paraId="344139F3" w14:textId="77777777" w:rsidTr="008048D3">
        <w:trPr>
          <w:trHeight w:val="408"/>
        </w:trPr>
        <w:tc>
          <w:tcPr>
            <w:tcW w:w="2977" w:type="dxa"/>
          </w:tcPr>
          <w:p w14:paraId="59F6021B" w14:textId="556D3C46" w:rsidR="00624CCB" w:rsidRPr="008048D3" w:rsidRDefault="00ED3445" w:rsidP="00745E36">
            <w:pPr>
              <w:pStyle w:val="10Tabletext"/>
            </w:pPr>
            <w:r w:rsidRPr="008048D3">
              <w:t>p</w:t>
            </w:r>
            <w:r w:rsidR="00624CCB" w:rsidRPr="008048D3">
              <w:t>ublic entity</w:t>
            </w:r>
          </w:p>
        </w:tc>
        <w:tc>
          <w:tcPr>
            <w:tcW w:w="5670" w:type="dxa"/>
          </w:tcPr>
          <w:p w14:paraId="4DBBAF4F" w14:textId="2A8534A9" w:rsidR="00624CCB" w:rsidRPr="008048D3" w:rsidRDefault="00ED3445" w:rsidP="00745E36">
            <w:pPr>
              <w:pStyle w:val="10Tabletext"/>
            </w:pPr>
            <w:r w:rsidRPr="008048D3">
              <w:t>A</w:t>
            </w:r>
            <w:r w:rsidR="004F547F" w:rsidRPr="008048D3">
              <w:t xml:space="preserve"> </w:t>
            </w:r>
            <w:r w:rsidRPr="008048D3">
              <w:t>Victorian public sector organisation</w:t>
            </w:r>
            <w:r w:rsidR="004F547F" w:rsidRPr="008048D3">
              <w:t xml:space="preserve"> that </w:t>
            </w:r>
            <w:r w:rsidRPr="008048D3">
              <w:t>meets the criteria listed in section 5 of the PAA.</w:t>
            </w:r>
            <w:r w:rsidR="009845B2" w:rsidRPr="008048D3">
              <w:t xml:space="preserve"> </w:t>
            </w:r>
            <w:proofErr w:type="gramStart"/>
            <w:r w:rsidR="009845B2" w:rsidRPr="008048D3">
              <w:t>Generally</w:t>
            </w:r>
            <w:proofErr w:type="gramEnd"/>
            <w:r w:rsidR="009845B2" w:rsidRPr="008048D3">
              <w:t xml:space="preserve"> </w:t>
            </w:r>
            <w:r w:rsidR="00090179" w:rsidRPr="008048D3">
              <w:t xml:space="preserve">includes </w:t>
            </w:r>
            <w:r w:rsidR="00480385" w:rsidRPr="008048D3">
              <w:t>org</w:t>
            </w:r>
            <w:r w:rsidR="009845B2" w:rsidRPr="008048D3">
              <w:t>anisations that are wholly owned by the State or perform a public function on behalf</w:t>
            </w:r>
            <w:r w:rsidR="00784160" w:rsidRPr="008048D3">
              <w:t xml:space="preserve"> of the State.</w:t>
            </w:r>
            <w:r w:rsidR="00480385" w:rsidRPr="008048D3">
              <w:t xml:space="preserve"> </w:t>
            </w:r>
            <w:r w:rsidR="00095BA3" w:rsidRPr="008048D3">
              <w:t xml:space="preserve">For readability, the term ‘public entity’ has generally been used in this Statement when referring </w:t>
            </w:r>
            <w:r w:rsidR="00807A10" w:rsidRPr="008048D3">
              <w:t xml:space="preserve">to </w:t>
            </w:r>
            <w:r w:rsidR="00095BA3" w:rsidRPr="008048D3">
              <w:t>a prescribed public entity</w:t>
            </w:r>
            <w:r w:rsidR="00807A10" w:rsidRPr="008048D3">
              <w:t>.</w:t>
            </w:r>
          </w:p>
        </w:tc>
      </w:tr>
      <w:tr w:rsidR="00745E36" w:rsidRPr="009E4C4A" w14:paraId="2B46EE5E" w14:textId="77777777" w:rsidTr="008048D3">
        <w:trPr>
          <w:trHeight w:val="408"/>
        </w:trPr>
        <w:tc>
          <w:tcPr>
            <w:tcW w:w="2977" w:type="dxa"/>
          </w:tcPr>
          <w:p w14:paraId="6A753628" w14:textId="77777777" w:rsidR="00745E36" w:rsidRPr="008048D3" w:rsidRDefault="00745E36" w:rsidP="00745E36">
            <w:pPr>
              <w:pStyle w:val="10Tabletext"/>
            </w:pPr>
            <w:r w:rsidRPr="008048D3">
              <w:t>RBA</w:t>
            </w:r>
          </w:p>
        </w:tc>
        <w:tc>
          <w:tcPr>
            <w:tcW w:w="5670" w:type="dxa"/>
          </w:tcPr>
          <w:p w14:paraId="2DAB9A30" w14:textId="77777777" w:rsidR="00745E36" w:rsidRPr="008048D3" w:rsidRDefault="00745E36" w:rsidP="00745E36">
            <w:pPr>
              <w:pStyle w:val="10Tabletext"/>
            </w:pPr>
            <w:r w:rsidRPr="008048D3">
              <w:t>Reserve Bank of Australia</w:t>
            </w:r>
          </w:p>
        </w:tc>
      </w:tr>
      <w:tr w:rsidR="002B7897" w:rsidRPr="009E4C4A" w14:paraId="2FBD6BDE" w14:textId="77777777" w:rsidTr="008048D3">
        <w:trPr>
          <w:trHeight w:val="408"/>
        </w:trPr>
        <w:tc>
          <w:tcPr>
            <w:tcW w:w="2977" w:type="dxa"/>
          </w:tcPr>
          <w:p w14:paraId="5C28B0B8" w14:textId="7FA46B09" w:rsidR="002B7897" w:rsidRPr="008048D3" w:rsidRDefault="002B7897" w:rsidP="00745E36">
            <w:pPr>
              <w:pStyle w:val="10Tabletext"/>
            </w:pPr>
            <w:r w:rsidRPr="008048D3">
              <w:t>SES</w:t>
            </w:r>
          </w:p>
        </w:tc>
        <w:tc>
          <w:tcPr>
            <w:tcW w:w="5670" w:type="dxa"/>
          </w:tcPr>
          <w:p w14:paraId="20106347" w14:textId="3CDCD2CD" w:rsidR="002B7897" w:rsidRPr="008048D3" w:rsidRDefault="00876C85" w:rsidP="00745E36">
            <w:pPr>
              <w:pStyle w:val="10Tabletext"/>
            </w:pPr>
            <w:r w:rsidRPr="008048D3">
              <w:t xml:space="preserve">Senior </w:t>
            </w:r>
            <w:r w:rsidR="00CE7A22" w:rsidRPr="008048D3">
              <w:t>E</w:t>
            </w:r>
            <w:r w:rsidRPr="008048D3">
              <w:t xml:space="preserve">xecutive </w:t>
            </w:r>
            <w:r w:rsidR="00CE7A22" w:rsidRPr="008048D3">
              <w:t>S</w:t>
            </w:r>
            <w:r w:rsidRPr="008048D3">
              <w:t>ervice</w:t>
            </w:r>
          </w:p>
        </w:tc>
      </w:tr>
      <w:tr w:rsidR="008131CD" w:rsidRPr="009E4C4A" w14:paraId="3ABF65F1" w14:textId="77777777" w:rsidTr="008048D3">
        <w:trPr>
          <w:trHeight w:val="408"/>
        </w:trPr>
        <w:tc>
          <w:tcPr>
            <w:tcW w:w="2977" w:type="dxa"/>
          </w:tcPr>
          <w:p w14:paraId="1C0056DF" w14:textId="41AACDF6" w:rsidR="008131CD" w:rsidRPr="008048D3" w:rsidRDefault="008131CD" w:rsidP="00745E36">
            <w:pPr>
              <w:pStyle w:val="10Tabletext"/>
            </w:pPr>
            <w:r w:rsidRPr="008048D3">
              <w:t>SES executives</w:t>
            </w:r>
          </w:p>
        </w:tc>
        <w:tc>
          <w:tcPr>
            <w:tcW w:w="5670" w:type="dxa"/>
          </w:tcPr>
          <w:p w14:paraId="54116793" w14:textId="387D5EF8" w:rsidR="008131CD" w:rsidRPr="008048D3" w:rsidRDefault="008131CD" w:rsidP="00745E36">
            <w:pPr>
              <w:pStyle w:val="10Tabletext"/>
            </w:pPr>
            <w:r w:rsidRPr="008048D3">
              <w:t>Executives that are employed under Part 3 of the PAA.</w:t>
            </w:r>
          </w:p>
        </w:tc>
      </w:tr>
      <w:tr w:rsidR="00E90D74" w:rsidRPr="009E4C4A" w14:paraId="55088C4C" w14:textId="77777777" w:rsidTr="008048D3">
        <w:trPr>
          <w:trHeight w:val="408"/>
        </w:trPr>
        <w:tc>
          <w:tcPr>
            <w:tcW w:w="2977" w:type="dxa"/>
          </w:tcPr>
          <w:p w14:paraId="1A2D5BE2" w14:textId="13905C81" w:rsidR="00E90D74" w:rsidRPr="008048D3" w:rsidRDefault="00E90D74" w:rsidP="00745E36">
            <w:pPr>
              <w:pStyle w:val="10Tabletext"/>
            </w:pPr>
            <w:r w:rsidRPr="008048D3">
              <w:t>SG</w:t>
            </w:r>
          </w:p>
        </w:tc>
        <w:tc>
          <w:tcPr>
            <w:tcW w:w="5670" w:type="dxa"/>
          </w:tcPr>
          <w:p w14:paraId="592AABAA" w14:textId="1C8233D4" w:rsidR="00E90D74" w:rsidRPr="008048D3" w:rsidRDefault="00E90D74" w:rsidP="00745E36">
            <w:pPr>
              <w:pStyle w:val="10Tabletext"/>
            </w:pPr>
            <w:r w:rsidRPr="008048D3">
              <w:t>Superannuation guarantee</w:t>
            </w:r>
          </w:p>
        </w:tc>
      </w:tr>
      <w:tr w:rsidR="001E0365" w:rsidRPr="009E4C4A" w14:paraId="4A464D68" w14:textId="77777777" w:rsidTr="008048D3">
        <w:trPr>
          <w:trHeight w:val="408"/>
        </w:trPr>
        <w:tc>
          <w:tcPr>
            <w:tcW w:w="2977" w:type="dxa"/>
          </w:tcPr>
          <w:p w14:paraId="5166CC6D" w14:textId="69B831EA" w:rsidR="001E0365" w:rsidRPr="008048D3" w:rsidRDefault="001E0365" w:rsidP="00745E36">
            <w:pPr>
              <w:pStyle w:val="10Tabletext"/>
            </w:pPr>
            <w:r w:rsidRPr="008048D3">
              <w:t>Standard contract</w:t>
            </w:r>
          </w:p>
        </w:tc>
        <w:tc>
          <w:tcPr>
            <w:tcW w:w="5670" w:type="dxa"/>
          </w:tcPr>
          <w:p w14:paraId="6FBD3FD2" w14:textId="4FB19F16" w:rsidR="001E0365" w:rsidRPr="008048D3" w:rsidRDefault="00173698" w:rsidP="00745E36">
            <w:pPr>
              <w:pStyle w:val="10Tabletext"/>
            </w:pPr>
            <w:r w:rsidRPr="008048D3">
              <w:t>Standard executive contract template published by the Victorian Public Sector Commission</w:t>
            </w:r>
            <w:r w:rsidR="0050401D" w:rsidRPr="008048D3">
              <w:t>.</w:t>
            </w:r>
          </w:p>
        </w:tc>
      </w:tr>
      <w:tr w:rsidR="00EF4954" w:rsidRPr="009E4C4A" w14:paraId="5C360BF1" w14:textId="77777777" w:rsidTr="008048D3">
        <w:trPr>
          <w:trHeight w:val="408"/>
        </w:trPr>
        <w:tc>
          <w:tcPr>
            <w:tcW w:w="2977" w:type="dxa"/>
          </w:tcPr>
          <w:p w14:paraId="627194C6" w14:textId="1A88DA99" w:rsidR="00EF4954" w:rsidRPr="008048D3" w:rsidRDefault="00EF4954" w:rsidP="00745E36">
            <w:pPr>
              <w:pStyle w:val="10Tabletext"/>
            </w:pPr>
            <w:r w:rsidRPr="008048D3">
              <w:t>TAFE</w:t>
            </w:r>
          </w:p>
        </w:tc>
        <w:tc>
          <w:tcPr>
            <w:tcW w:w="5670" w:type="dxa"/>
          </w:tcPr>
          <w:p w14:paraId="3A655336" w14:textId="58385A08" w:rsidR="00EF4954" w:rsidRPr="008048D3" w:rsidRDefault="00BD6E7A" w:rsidP="00745E36">
            <w:pPr>
              <w:pStyle w:val="10Tabletext"/>
            </w:pPr>
            <w:r w:rsidRPr="008048D3">
              <w:t xml:space="preserve">Technical and Further Education </w:t>
            </w:r>
            <w:r w:rsidR="00D03163" w:rsidRPr="008048D3">
              <w:t>institute</w:t>
            </w:r>
          </w:p>
        </w:tc>
      </w:tr>
      <w:tr w:rsidR="00F71B16" w:rsidRPr="009E4C4A" w14:paraId="5255F414" w14:textId="77777777" w:rsidTr="008048D3">
        <w:trPr>
          <w:trHeight w:val="408"/>
        </w:trPr>
        <w:tc>
          <w:tcPr>
            <w:tcW w:w="2977" w:type="dxa"/>
          </w:tcPr>
          <w:p w14:paraId="1EC00DD9" w14:textId="34E782E3" w:rsidR="00F71B16" w:rsidRPr="008048D3" w:rsidRDefault="00F71B16" w:rsidP="00745E36">
            <w:pPr>
              <w:pStyle w:val="10Tabletext"/>
            </w:pPr>
            <w:r w:rsidRPr="008048D3">
              <w:t>TCV</w:t>
            </w:r>
          </w:p>
        </w:tc>
        <w:tc>
          <w:tcPr>
            <w:tcW w:w="5670" w:type="dxa"/>
          </w:tcPr>
          <w:p w14:paraId="48DFF20F" w14:textId="37C30C7C" w:rsidR="00F71B16" w:rsidRPr="008048D3" w:rsidRDefault="00F71B16" w:rsidP="00745E36">
            <w:pPr>
              <w:pStyle w:val="10Tabletext"/>
            </w:pPr>
            <w:r w:rsidRPr="008048D3">
              <w:t>Treasury Corporation of Victoria</w:t>
            </w:r>
          </w:p>
        </w:tc>
      </w:tr>
      <w:tr w:rsidR="00745E36" w:rsidRPr="009E4C4A" w14:paraId="29A24DA3" w14:textId="77777777" w:rsidTr="008048D3">
        <w:trPr>
          <w:trHeight w:val="408"/>
        </w:trPr>
        <w:tc>
          <w:tcPr>
            <w:tcW w:w="2977" w:type="dxa"/>
          </w:tcPr>
          <w:p w14:paraId="5B335833" w14:textId="77777777" w:rsidR="00745E36" w:rsidRPr="008048D3" w:rsidRDefault="00745E36" w:rsidP="00745E36">
            <w:pPr>
              <w:pStyle w:val="10Tabletext"/>
            </w:pPr>
            <w:r w:rsidRPr="008048D3">
              <w:t>Tribunal</w:t>
            </w:r>
          </w:p>
        </w:tc>
        <w:tc>
          <w:tcPr>
            <w:tcW w:w="5670" w:type="dxa"/>
          </w:tcPr>
          <w:p w14:paraId="5BCB8460" w14:textId="77777777" w:rsidR="00745E36" w:rsidRPr="008048D3" w:rsidRDefault="00745E36" w:rsidP="00745E36">
            <w:pPr>
              <w:pStyle w:val="10Tabletext"/>
            </w:pPr>
            <w:r w:rsidRPr="008048D3">
              <w:t>Victorian Independent Remuneration Tribunal</w:t>
            </w:r>
          </w:p>
        </w:tc>
      </w:tr>
      <w:tr w:rsidR="004C3860" w:rsidRPr="009E4C4A" w14:paraId="4D064039" w14:textId="77777777" w:rsidTr="008048D3">
        <w:trPr>
          <w:trHeight w:val="408"/>
        </w:trPr>
        <w:tc>
          <w:tcPr>
            <w:tcW w:w="2977" w:type="dxa"/>
          </w:tcPr>
          <w:p w14:paraId="64A4631F" w14:textId="69DC45D7" w:rsidR="004C3860" w:rsidRPr="008048D3" w:rsidRDefault="004C3860" w:rsidP="00745E36">
            <w:pPr>
              <w:pStyle w:val="10Tabletext"/>
            </w:pPr>
            <w:r w:rsidRPr="008048D3">
              <w:t>TRP</w:t>
            </w:r>
          </w:p>
        </w:tc>
        <w:tc>
          <w:tcPr>
            <w:tcW w:w="5670" w:type="dxa"/>
          </w:tcPr>
          <w:p w14:paraId="117B94C0" w14:textId="729EA6D8" w:rsidR="004C3860" w:rsidRPr="008048D3" w:rsidRDefault="00500CC1" w:rsidP="00745E36">
            <w:pPr>
              <w:pStyle w:val="10Tabletext"/>
            </w:pPr>
            <w:r w:rsidRPr="008048D3">
              <w:t>t</w:t>
            </w:r>
            <w:r w:rsidR="004C3860" w:rsidRPr="008048D3">
              <w:t xml:space="preserve">otal </w:t>
            </w:r>
            <w:r w:rsidR="00220860" w:rsidRPr="008048D3">
              <w:t>r</w:t>
            </w:r>
            <w:r w:rsidR="004C3860" w:rsidRPr="008048D3">
              <w:t xml:space="preserve">emuneration </w:t>
            </w:r>
            <w:r w:rsidR="00220860" w:rsidRPr="008048D3">
              <w:t>p</w:t>
            </w:r>
            <w:r w:rsidR="004C3860" w:rsidRPr="008048D3">
              <w:t>ackage</w:t>
            </w:r>
          </w:p>
        </w:tc>
      </w:tr>
      <w:tr w:rsidR="00745E36" w:rsidRPr="009E4C4A" w14:paraId="104D1572" w14:textId="77777777" w:rsidTr="008048D3">
        <w:trPr>
          <w:trHeight w:val="408"/>
        </w:trPr>
        <w:tc>
          <w:tcPr>
            <w:tcW w:w="2977" w:type="dxa"/>
          </w:tcPr>
          <w:p w14:paraId="52893C3B" w14:textId="77777777" w:rsidR="00745E36" w:rsidRPr="008048D3" w:rsidRDefault="00745E36" w:rsidP="00745E36">
            <w:pPr>
              <w:pStyle w:val="10Tabletext"/>
            </w:pPr>
            <w:r w:rsidRPr="008048D3">
              <w:t>VAGO</w:t>
            </w:r>
          </w:p>
        </w:tc>
        <w:tc>
          <w:tcPr>
            <w:tcW w:w="5670" w:type="dxa"/>
          </w:tcPr>
          <w:p w14:paraId="75D8915A" w14:textId="77777777" w:rsidR="00745E36" w:rsidRPr="008048D3" w:rsidRDefault="00745E36" w:rsidP="00745E36">
            <w:pPr>
              <w:pStyle w:val="10Tabletext"/>
            </w:pPr>
            <w:r w:rsidRPr="008048D3">
              <w:t>Victorian Auditor-General’s Office</w:t>
            </w:r>
          </w:p>
        </w:tc>
      </w:tr>
      <w:tr w:rsidR="00074733" w:rsidRPr="00404BF0" w14:paraId="30FA23F8" w14:textId="77777777" w:rsidTr="008048D3">
        <w:trPr>
          <w:trHeight w:val="408"/>
        </w:trPr>
        <w:tc>
          <w:tcPr>
            <w:tcW w:w="2977" w:type="dxa"/>
          </w:tcPr>
          <w:p w14:paraId="15FF431D" w14:textId="497689F9" w:rsidR="00074733" w:rsidRPr="008048D3" w:rsidRDefault="00074733" w:rsidP="00745E36">
            <w:pPr>
              <w:pStyle w:val="10Tabletext"/>
            </w:pPr>
            <w:r w:rsidRPr="008048D3">
              <w:t>VFMC</w:t>
            </w:r>
          </w:p>
        </w:tc>
        <w:tc>
          <w:tcPr>
            <w:tcW w:w="5670" w:type="dxa"/>
          </w:tcPr>
          <w:p w14:paraId="7CBE70CB" w14:textId="56DC0430" w:rsidR="00074733" w:rsidRPr="008048D3" w:rsidRDefault="00074733" w:rsidP="00745E36">
            <w:pPr>
              <w:pStyle w:val="10Tabletext"/>
            </w:pPr>
            <w:r w:rsidRPr="008048D3">
              <w:t>Victorian Funds Management Corporation</w:t>
            </w:r>
          </w:p>
        </w:tc>
      </w:tr>
      <w:tr w:rsidR="003C62FB" w:rsidRPr="00404BF0" w14:paraId="5DB81BFD" w14:textId="77777777" w:rsidTr="008048D3">
        <w:trPr>
          <w:trHeight w:val="408"/>
        </w:trPr>
        <w:tc>
          <w:tcPr>
            <w:tcW w:w="2977" w:type="dxa"/>
          </w:tcPr>
          <w:p w14:paraId="5B35D764" w14:textId="37FD9810" w:rsidR="003C62FB" w:rsidRPr="008048D3" w:rsidRDefault="003C62FB" w:rsidP="003C62FB">
            <w:pPr>
              <w:pStyle w:val="10Tabletext"/>
            </w:pPr>
            <w:r w:rsidRPr="008048D3">
              <w:t>VIRTIPS Act</w:t>
            </w:r>
          </w:p>
        </w:tc>
        <w:tc>
          <w:tcPr>
            <w:tcW w:w="5670" w:type="dxa"/>
          </w:tcPr>
          <w:p w14:paraId="3B94FCEE" w14:textId="16BF7E40" w:rsidR="003C62FB" w:rsidRPr="008048D3" w:rsidRDefault="003C62FB" w:rsidP="003C62FB">
            <w:pPr>
              <w:pStyle w:val="10Tabletext"/>
            </w:pPr>
            <w:r w:rsidRPr="008048D3">
              <w:rPr>
                <w:i/>
              </w:rPr>
              <w:t>Victorian Independent Remuneration Tribunal and Improving Parliamentary Standards Act 2019</w:t>
            </w:r>
            <w:r w:rsidRPr="008048D3">
              <w:t xml:space="preserve"> (Vic)</w:t>
            </w:r>
          </w:p>
        </w:tc>
      </w:tr>
      <w:tr w:rsidR="00A36F7B" w:rsidRPr="00404BF0" w14:paraId="106250A3" w14:textId="77777777" w:rsidTr="008048D3">
        <w:trPr>
          <w:trHeight w:val="408"/>
        </w:trPr>
        <w:tc>
          <w:tcPr>
            <w:tcW w:w="2977" w:type="dxa"/>
          </w:tcPr>
          <w:p w14:paraId="19C8A82D" w14:textId="3B5F8260" w:rsidR="00A36F7B" w:rsidRPr="008048D3" w:rsidRDefault="00A36F7B" w:rsidP="00745E36">
            <w:pPr>
              <w:pStyle w:val="10Tabletext"/>
            </w:pPr>
            <w:r w:rsidRPr="008048D3">
              <w:t>VMIA</w:t>
            </w:r>
          </w:p>
        </w:tc>
        <w:tc>
          <w:tcPr>
            <w:tcW w:w="5670" w:type="dxa"/>
          </w:tcPr>
          <w:p w14:paraId="41E885D0" w14:textId="472E7A43" w:rsidR="00A36F7B" w:rsidRPr="008048D3" w:rsidRDefault="00A36F7B" w:rsidP="00745E36">
            <w:pPr>
              <w:pStyle w:val="10Tabletext"/>
            </w:pPr>
            <w:r w:rsidRPr="008048D3">
              <w:t>Victorian Managed Insurance Authority</w:t>
            </w:r>
          </w:p>
        </w:tc>
      </w:tr>
      <w:tr w:rsidR="003C62FB" w:rsidRPr="00404BF0" w14:paraId="1B3302B0" w14:textId="77777777" w:rsidTr="008048D3">
        <w:trPr>
          <w:trHeight w:val="408"/>
        </w:trPr>
        <w:tc>
          <w:tcPr>
            <w:tcW w:w="2977" w:type="dxa"/>
          </w:tcPr>
          <w:p w14:paraId="1BC5BC63" w14:textId="0344E8FF" w:rsidR="003C62FB" w:rsidRPr="008048D3" w:rsidRDefault="003C62FB" w:rsidP="003C62FB">
            <w:pPr>
              <w:pStyle w:val="10Tabletext"/>
            </w:pPr>
            <w:r w:rsidRPr="008048D3">
              <w:t>VPS</w:t>
            </w:r>
          </w:p>
        </w:tc>
        <w:tc>
          <w:tcPr>
            <w:tcW w:w="5670" w:type="dxa"/>
          </w:tcPr>
          <w:p w14:paraId="0BD8E76D" w14:textId="05AB24A1" w:rsidR="003C62FB" w:rsidRPr="008048D3" w:rsidRDefault="003C62FB" w:rsidP="003C62FB">
            <w:pPr>
              <w:pStyle w:val="10Tabletext"/>
            </w:pPr>
            <w:r w:rsidRPr="008048D3">
              <w:t>Victorian Public Service</w:t>
            </w:r>
          </w:p>
        </w:tc>
      </w:tr>
      <w:tr w:rsidR="00876C85" w:rsidRPr="00404BF0" w14:paraId="666BEA40" w14:textId="77777777" w:rsidTr="008048D3">
        <w:trPr>
          <w:trHeight w:val="408"/>
        </w:trPr>
        <w:tc>
          <w:tcPr>
            <w:tcW w:w="2977" w:type="dxa"/>
          </w:tcPr>
          <w:p w14:paraId="0318A9AC" w14:textId="7D408087" w:rsidR="00876C85" w:rsidRPr="008048D3" w:rsidRDefault="00404BF0" w:rsidP="00745E36">
            <w:pPr>
              <w:pStyle w:val="10Tabletext"/>
            </w:pPr>
            <w:r w:rsidRPr="008048D3">
              <w:lastRenderedPageBreak/>
              <w:t>VPSC</w:t>
            </w:r>
          </w:p>
        </w:tc>
        <w:tc>
          <w:tcPr>
            <w:tcW w:w="5670" w:type="dxa"/>
          </w:tcPr>
          <w:p w14:paraId="6431D2AC" w14:textId="0A710194" w:rsidR="00876C85" w:rsidRPr="008048D3" w:rsidRDefault="00404BF0" w:rsidP="00745E36">
            <w:pPr>
              <w:pStyle w:val="10Tabletext"/>
            </w:pPr>
            <w:r w:rsidRPr="008048D3">
              <w:t>Victorian Public Sector Commissio</w:t>
            </w:r>
            <w:r w:rsidR="004D6923" w:rsidRPr="008048D3">
              <w:t>n</w:t>
            </w:r>
          </w:p>
        </w:tc>
      </w:tr>
      <w:tr w:rsidR="007B14C5" w:rsidRPr="00404BF0" w14:paraId="34969326" w14:textId="77777777" w:rsidTr="008048D3">
        <w:trPr>
          <w:trHeight w:val="408"/>
        </w:trPr>
        <w:tc>
          <w:tcPr>
            <w:tcW w:w="2977" w:type="dxa"/>
          </w:tcPr>
          <w:p w14:paraId="08613090" w14:textId="439B748C" w:rsidR="007B14C5" w:rsidRPr="008048D3" w:rsidRDefault="007B14C5" w:rsidP="00745E36">
            <w:pPr>
              <w:pStyle w:val="10Tabletext"/>
            </w:pPr>
            <w:r w:rsidRPr="008048D3">
              <w:t>VPS</w:t>
            </w:r>
            <w:r w:rsidR="00157C1E" w:rsidRPr="008048D3">
              <w:t>ECF</w:t>
            </w:r>
          </w:p>
        </w:tc>
        <w:tc>
          <w:tcPr>
            <w:tcW w:w="5670" w:type="dxa"/>
          </w:tcPr>
          <w:p w14:paraId="1390C9B3" w14:textId="03F7BE31" w:rsidR="007B14C5" w:rsidRPr="008048D3" w:rsidRDefault="007B14C5" w:rsidP="00745E36">
            <w:pPr>
              <w:pStyle w:val="10Tabletext"/>
              <w:rPr>
                <w:i/>
              </w:rPr>
            </w:pPr>
            <w:r w:rsidRPr="008048D3">
              <w:rPr>
                <w:i/>
              </w:rPr>
              <w:t>Victorian Public Service Executive Classification Framework</w:t>
            </w:r>
          </w:p>
        </w:tc>
      </w:tr>
      <w:tr w:rsidR="00F764DB" w:rsidRPr="00404BF0" w14:paraId="798EA690" w14:textId="77777777" w:rsidTr="008048D3">
        <w:trPr>
          <w:trHeight w:val="408"/>
        </w:trPr>
        <w:tc>
          <w:tcPr>
            <w:tcW w:w="2977" w:type="dxa"/>
          </w:tcPr>
          <w:p w14:paraId="3C836DD4" w14:textId="130CBB82" w:rsidR="00F764DB" w:rsidRPr="008048D3" w:rsidRDefault="00F764DB" w:rsidP="00745E36">
            <w:pPr>
              <w:pStyle w:val="10Tabletext"/>
            </w:pPr>
            <w:r w:rsidRPr="008048D3">
              <w:t>VPS Handbook</w:t>
            </w:r>
          </w:p>
        </w:tc>
        <w:tc>
          <w:tcPr>
            <w:tcW w:w="5670" w:type="dxa"/>
          </w:tcPr>
          <w:p w14:paraId="19194592" w14:textId="3A40515A" w:rsidR="00F764DB" w:rsidRPr="008048D3" w:rsidRDefault="00606E10" w:rsidP="00745E36">
            <w:pPr>
              <w:pStyle w:val="10Tabletext"/>
              <w:rPr>
                <w:i/>
              </w:rPr>
            </w:pPr>
            <w:r w:rsidRPr="008048D3">
              <w:rPr>
                <w:i/>
                <w:iCs/>
              </w:rPr>
              <w:t>VPS</w:t>
            </w:r>
            <w:r w:rsidR="00F764DB" w:rsidRPr="008048D3">
              <w:rPr>
                <w:i/>
              </w:rPr>
              <w:t xml:space="preserve"> Executive Employment Handbook</w:t>
            </w:r>
          </w:p>
        </w:tc>
      </w:tr>
      <w:tr w:rsidR="00E42280" w:rsidRPr="00404BF0" w14:paraId="22D6B870" w14:textId="77777777" w:rsidTr="008048D3">
        <w:trPr>
          <w:trHeight w:val="408"/>
        </w:trPr>
        <w:tc>
          <w:tcPr>
            <w:tcW w:w="2977" w:type="dxa"/>
          </w:tcPr>
          <w:p w14:paraId="1796A8BC" w14:textId="10DE5A79" w:rsidR="00E42280" w:rsidRPr="008048D3" w:rsidRDefault="00E42280" w:rsidP="00745E36">
            <w:pPr>
              <w:pStyle w:val="10Tabletext"/>
            </w:pPr>
            <w:r w:rsidRPr="008048D3">
              <w:t>VSB</w:t>
            </w:r>
          </w:p>
        </w:tc>
        <w:tc>
          <w:tcPr>
            <w:tcW w:w="5670" w:type="dxa"/>
          </w:tcPr>
          <w:p w14:paraId="09D3F124" w14:textId="66EC0524" w:rsidR="00E42280" w:rsidRPr="008048D3" w:rsidRDefault="00F51802" w:rsidP="00745E36">
            <w:pPr>
              <w:pStyle w:val="10Tabletext"/>
            </w:pPr>
            <w:r w:rsidRPr="008048D3">
              <w:t>Victorian Secretaries Board</w:t>
            </w:r>
          </w:p>
        </w:tc>
      </w:tr>
      <w:tr w:rsidR="00DD26E3" w:rsidRPr="009E4C4A" w14:paraId="38295BBE" w14:textId="77777777" w:rsidTr="008048D3">
        <w:trPr>
          <w:trHeight w:val="408"/>
        </w:trPr>
        <w:tc>
          <w:tcPr>
            <w:tcW w:w="2977" w:type="dxa"/>
          </w:tcPr>
          <w:p w14:paraId="74823C41" w14:textId="77777777" w:rsidR="00DD26E3" w:rsidRPr="008048D3" w:rsidRDefault="00DD26E3" w:rsidP="005023A3">
            <w:pPr>
              <w:pStyle w:val="10Tabletext"/>
            </w:pPr>
            <w:r w:rsidRPr="008048D3">
              <w:t>Wages Policy</w:t>
            </w:r>
          </w:p>
        </w:tc>
        <w:tc>
          <w:tcPr>
            <w:tcW w:w="5670" w:type="dxa"/>
          </w:tcPr>
          <w:p w14:paraId="434E914F" w14:textId="77777777" w:rsidR="00DD26E3" w:rsidRPr="008048D3" w:rsidRDefault="00DD26E3" w:rsidP="005023A3">
            <w:pPr>
              <w:pStyle w:val="10Tabletext"/>
            </w:pPr>
            <w:r w:rsidRPr="008048D3">
              <w:t>Wages Policy and the Enterprise Bargaining Framework</w:t>
            </w:r>
          </w:p>
        </w:tc>
      </w:tr>
      <w:tr w:rsidR="00745E36" w:rsidRPr="003B161C" w14:paraId="0FB66F41" w14:textId="77777777" w:rsidTr="008048D3">
        <w:trPr>
          <w:trHeight w:val="408"/>
        </w:trPr>
        <w:tc>
          <w:tcPr>
            <w:tcW w:w="2977" w:type="dxa"/>
          </w:tcPr>
          <w:p w14:paraId="25B3D44B" w14:textId="77777777" w:rsidR="00745E36" w:rsidRPr="008048D3" w:rsidRDefault="00745E36" w:rsidP="00745E36">
            <w:pPr>
              <w:pStyle w:val="10Tabletext"/>
            </w:pPr>
            <w:r w:rsidRPr="008048D3">
              <w:t>WPI</w:t>
            </w:r>
          </w:p>
        </w:tc>
        <w:tc>
          <w:tcPr>
            <w:tcW w:w="5670" w:type="dxa"/>
          </w:tcPr>
          <w:p w14:paraId="7EE41995" w14:textId="77777777" w:rsidR="00745E36" w:rsidRPr="008048D3" w:rsidRDefault="00745E36" w:rsidP="00745E36">
            <w:pPr>
              <w:pStyle w:val="10Tabletext"/>
            </w:pPr>
            <w:r w:rsidRPr="008048D3">
              <w:t>Wage Price Index</w:t>
            </w:r>
          </w:p>
        </w:tc>
      </w:tr>
    </w:tbl>
    <w:p w14:paraId="6B3A5C4D" w14:textId="77777777" w:rsidR="00E91106" w:rsidRDefault="00E91106">
      <w:pPr>
        <w:pStyle w:val="01Chapterheading"/>
      </w:pPr>
      <w:bookmarkStart w:id="14" w:name="_Toc33609441"/>
      <w:bookmarkStart w:id="15" w:name="_Toc35006355"/>
      <w:bookmarkStart w:id="16" w:name="_Toc45015310"/>
      <w:bookmarkStart w:id="17" w:name="_Toc59090121"/>
      <w:bookmarkStart w:id="18" w:name="_Toc97728587"/>
      <w:bookmarkStart w:id="19" w:name="_Toc171436840"/>
      <w:bookmarkStart w:id="20" w:name="_Hlk19784699"/>
      <w:r>
        <w:br w:type="page"/>
      </w:r>
    </w:p>
    <w:p w14:paraId="6769A180" w14:textId="4EB75B67" w:rsidR="00A658D7" w:rsidRDefault="00A658D7" w:rsidP="002F7028">
      <w:pPr>
        <w:pStyle w:val="01Chapterheading"/>
        <w:spacing w:after="0"/>
      </w:pPr>
      <w:bookmarkStart w:id="21" w:name="_Toc185012347"/>
      <w:r>
        <w:lastRenderedPageBreak/>
        <w:t>Executive summary</w:t>
      </w:r>
      <w:bookmarkEnd w:id="21"/>
    </w:p>
    <w:p w14:paraId="5A65A9AE" w14:textId="77777777" w:rsidR="00A658D7" w:rsidRDefault="00A658D7" w:rsidP="002F7028">
      <w:pPr>
        <w:pStyle w:val="05Paragraph"/>
        <w:spacing w:after="180"/>
      </w:pPr>
      <w:r>
        <w:rPr>
          <w:noProof/>
        </w:rPr>
        <w:drawing>
          <wp:inline distT="0" distB="0" distL="0" distR="0" wp14:anchorId="338A509B" wp14:editId="5C4313D0">
            <wp:extent cx="2212975" cy="255905"/>
            <wp:effectExtent l="0" t="0" r="0" b="0"/>
            <wp:docPr id="1761793384"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14"/>
      <w:bookmarkEnd w:id="15"/>
      <w:bookmarkEnd w:id="16"/>
      <w:bookmarkEnd w:id="17"/>
      <w:bookmarkEnd w:id="18"/>
      <w:bookmarkEnd w:id="19"/>
    </w:p>
    <w:p w14:paraId="5D4B1627" w14:textId="77777777" w:rsidR="00A658D7" w:rsidRDefault="00A658D7">
      <w:pPr>
        <w:pStyle w:val="05Paragraph"/>
      </w:pPr>
      <w:bookmarkStart w:id="22" w:name="_Toc344541"/>
      <w:bookmarkStart w:id="23" w:name="_Toc5783357"/>
      <w:r>
        <w:t xml:space="preserve">The Victorian Independent Remuneration Tribunal is responsible for setting remuneration bands for executives employed in prescribed public entities. This Statement of Reasons relates to the Tribunal’s second comprehensive Determination of the remuneration bands, which requires the Tribunal to review the roles and responsibilities of executives and provides an opportunity to reset the values of the bands in line with market conditions. This Determination draws on the Tribunal’s separate Determination of remuneration bands for executives employed in public service bodies, released in July 2024. </w:t>
      </w:r>
    </w:p>
    <w:p w14:paraId="249DC0A5" w14:textId="77777777" w:rsidR="00A658D7" w:rsidRDefault="00A658D7">
      <w:pPr>
        <w:pStyle w:val="03VIRTHeading3"/>
      </w:pPr>
      <w:r>
        <w:t>The Tribunal has increased the values of the remuneration bands</w:t>
      </w:r>
    </w:p>
    <w:p w14:paraId="52F431B0" w14:textId="473E9B39" w:rsidR="00A658D7" w:rsidRDefault="00A658D7">
      <w:pPr>
        <w:pStyle w:val="05Paragraph"/>
      </w:pPr>
      <w:r>
        <w:t xml:space="preserve">In this Determination, the Tribunal has decided to maintain a remuneration band structure for public entity executives that consists of three distinct and contiguous remuneration bands that align with </w:t>
      </w:r>
      <w:r w:rsidR="00614B8B" w:rsidRPr="001E25BB">
        <w:t>the</w:t>
      </w:r>
      <w:r>
        <w:t xml:space="preserve"> classification </w:t>
      </w:r>
      <w:r w:rsidRPr="001E25BB">
        <w:t>framework</w:t>
      </w:r>
      <w:r w:rsidR="00614B8B" w:rsidRPr="001E25BB">
        <w:t>s</w:t>
      </w:r>
      <w:r>
        <w:t xml:space="preserve"> administered by the Victorian Public Sector Commission (VPSC). The remuneration bands are expressed in terms of a total remuneration package (TRP), including salary and employer superannuation contributions.</w:t>
      </w:r>
    </w:p>
    <w:p w14:paraId="7D230C2B" w14:textId="77777777" w:rsidR="00A658D7" w:rsidRDefault="00A658D7">
      <w:pPr>
        <w:pStyle w:val="05Paragraph"/>
      </w:pPr>
      <w:r>
        <w:t>The values of the remuneration bands, backdated to apply from 1 July 2024, are shown in Table ES.1. The Tribunal’s decisions result in an increase of between 4.0 and 4.5 per cent to each of the values of the remuneration bands.</w:t>
      </w:r>
    </w:p>
    <w:p w14:paraId="4496C8A7" w14:textId="412F4830" w:rsidR="00A658D7" w:rsidRDefault="00A658D7">
      <w:pPr>
        <w:pStyle w:val="05Paragraph"/>
      </w:pPr>
      <w:r>
        <w:t xml:space="preserve">It is important to note that the increase in the remuneration bands </w:t>
      </w:r>
      <w:proofErr w:type="gramStart"/>
      <w:r>
        <w:t>are</w:t>
      </w:r>
      <w:proofErr w:type="gramEnd"/>
      <w:r>
        <w:t xml:space="preserve"> inclusive of Commonwealth Government-legislated changes to superannuation entitlements that took effect from 1 July 2024. In particular, the superannuation guarantee (SG) increased from 11 per cent to 11.5 per cent and the maximum superannuation contribution base (which caps the salary to which the SG applies) increased from $249,080 to $260,280. Victorian Government policy is for employers to bear the costs of such changes, which is reflected in an increase in each executive’s TRP. Once the impact of the superannuation changes </w:t>
      </w:r>
      <w:proofErr w:type="gramStart"/>
      <w:r>
        <w:t>are</w:t>
      </w:r>
      <w:proofErr w:type="gramEnd"/>
      <w:r>
        <w:t xml:space="preserve"> accounted for, the effective increase in the bands is between 3.5 per cent and 4.</w:t>
      </w:r>
      <w:r w:rsidR="001E25BB">
        <w:t>0</w:t>
      </w:r>
      <w:r>
        <w:t> per cent.</w:t>
      </w:r>
    </w:p>
    <w:p w14:paraId="679C9265" w14:textId="77777777" w:rsidR="00A658D7" w:rsidRDefault="00A658D7">
      <w:pPr>
        <w:pStyle w:val="08Figuretableboxheading"/>
      </w:pPr>
      <w:r>
        <w:lastRenderedPageBreak/>
        <w:t xml:space="preserve">Table ES.1: Values of the remuneration bands, as </w:t>
      </w:r>
      <w:proofErr w:type="gramStart"/>
      <w:r>
        <w:t>at</w:t>
      </w:r>
      <w:proofErr w:type="gramEnd"/>
      <w:r>
        <w:t xml:space="preserve"> 1 July 2024</w:t>
      </w:r>
    </w:p>
    <w:tbl>
      <w:tblPr>
        <w:tblStyle w:val="VIRTDeterminationTableStyle"/>
        <w:tblW w:w="5000" w:type="pct"/>
        <w:tblInd w:w="0" w:type="dxa"/>
        <w:tblBorders>
          <w:bottom w:val="single" w:sz="4" w:space="0" w:color="148A5D"/>
          <w:insideH w:val="single" w:sz="4" w:space="0" w:color="148A5D"/>
        </w:tblBorders>
        <w:tblLook w:val="04A0" w:firstRow="1" w:lastRow="0" w:firstColumn="1" w:lastColumn="0" w:noHBand="0" w:noVBand="1"/>
      </w:tblPr>
      <w:tblGrid>
        <w:gridCol w:w="3509"/>
        <w:gridCol w:w="2498"/>
        <w:gridCol w:w="2497"/>
      </w:tblGrid>
      <w:tr w:rsidR="00A658D7" w14:paraId="64D8AB4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3" w:type="pct"/>
          </w:tcPr>
          <w:p w14:paraId="7CA923D3" w14:textId="77777777" w:rsidR="00A658D7" w:rsidRPr="00A27D4B" w:rsidRDefault="00A658D7">
            <w:pPr>
              <w:pStyle w:val="10Tabletext"/>
              <w:rPr>
                <w:noProof/>
                <w:color w:val="F8F8F8" w:themeColor="background2"/>
              </w:rPr>
            </w:pPr>
            <w:bookmarkStart w:id="24" w:name="_Hlk184130920"/>
            <w:r>
              <w:rPr>
                <w:noProof/>
                <w:color w:val="F8F8F8" w:themeColor="background2"/>
              </w:rPr>
              <w:t>Classification</w:t>
            </w:r>
          </w:p>
        </w:tc>
        <w:tc>
          <w:tcPr>
            <w:tcW w:w="1469" w:type="pct"/>
          </w:tcPr>
          <w:p w14:paraId="7FD04E82" w14:textId="77777777" w:rsidR="00A658D7" w:rsidRDefault="00A658D7">
            <w:pPr>
              <w:pStyle w:val="10Tabletext"/>
              <w:jc w:val="right"/>
              <w:cnfStyle w:val="100000000000" w:firstRow="1" w:lastRow="0" w:firstColumn="0" w:lastColumn="0" w:oddVBand="0" w:evenVBand="0" w:oddHBand="0" w:evenHBand="0" w:firstRowFirstColumn="0" w:firstRowLastColumn="0" w:lastRowFirstColumn="0" w:lastRowLastColumn="0"/>
              <w:rPr>
                <w:b w:val="0"/>
                <w:bCs/>
                <w:noProof/>
                <w:color w:val="F8F8F8" w:themeColor="background2"/>
              </w:rPr>
            </w:pPr>
            <w:r>
              <w:rPr>
                <w:noProof/>
                <w:color w:val="F8F8F8" w:themeColor="background2"/>
              </w:rPr>
              <w:t>Base of band TRP</w:t>
            </w:r>
          </w:p>
          <w:p w14:paraId="7560D0FA" w14:textId="77777777" w:rsidR="00A658D7" w:rsidRPr="00A27D4B" w:rsidRDefault="00A658D7">
            <w:pPr>
              <w:pStyle w:val="10Tablet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 per annum)</w:t>
            </w:r>
          </w:p>
        </w:tc>
        <w:tc>
          <w:tcPr>
            <w:tcW w:w="1468" w:type="pct"/>
          </w:tcPr>
          <w:p w14:paraId="1E3DFB7C" w14:textId="77777777" w:rsidR="00A658D7" w:rsidRDefault="00A658D7">
            <w:pPr>
              <w:pStyle w:val="10Tabletext"/>
              <w:jc w:val="right"/>
              <w:cnfStyle w:val="100000000000" w:firstRow="1" w:lastRow="0" w:firstColumn="0" w:lastColumn="0" w:oddVBand="0" w:evenVBand="0" w:oddHBand="0" w:evenHBand="0" w:firstRowFirstColumn="0" w:firstRowLastColumn="0" w:lastRowFirstColumn="0" w:lastRowLastColumn="0"/>
              <w:rPr>
                <w:b w:val="0"/>
                <w:bCs/>
                <w:noProof/>
                <w:color w:val="F8F8F8" w:themeColor="background2"/>
              </w:rPr>
            </w:pPr>
            <w:r>
              <w:rPr>
                <w:noProof/>
                <w:color w:val="F8F8F8" w:themeColor="background2"/>
              </w:rPr>
              <w:t>Top of band TRP</w:t>
            </w:r>
          </w:p>
          <w:p w14:paraId="4AE596D8" w14:textId="77777777" w:rsidR="00A658D7" w:rsidRPr="00A27D4B" w:rsidRDefault="00A658D7">
            <w:pPr>
              <w:pStyle w:val="10Tablet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 per annum)</w:t>
            </w:r>
          </w:p>
        </w:tc>
      </w:tr>
      <w:bookmarkEnd w:id="24"/>
      <w:tr w:rsidR="00A658D7" w:rsidRPr="002360E2" w14:paraId="319F42F4" w14:textId="77777777" w:rsidTr="00E8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bottom w:val="single" w:sz="4" w:space="0" w:color="26664E" w:themeColor="accent1"/>
            </w:tcBorders>
          </w:tcPr>
          <w:p w14:paraId="67303961" w14:textId="77777777" w:rsidR="00A658D7" w:rsidRPr="002360E2" w:rsidRDefault="00A658D7">
            <w:pPr>
              <w:pStyle w:val="10Tabletext"/>
            </w:pPr>
            <w:r w:rsidRPr="002360E2">
              <w:t>Public Entity Senior Executive Service-1/Senior Executive Service-1</w:t>
            </w:r>
          </w:p>
        </w:tc>
        <w:tc>
          <w:tcPr>
            <w:tcW w:w="1469" w:type="pct"/>
            <w:tcBorders>
              <w:bottom w:val="single" w:sz="4" w:space="0" w:color="26664E" w:themeColor="accent1"/>
            </w:tcBorders>
          </w:tcPr>
          <w:p w14:paraId="401635F9" w14:textId="77777777" w:rsidR="00A658D7" w:rsidRPr="002360E2"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2360E2">
              <w:t>225,000</w:t>
            </w:r>
          </w:p>
        </w:tc>
        <w:tc>
          <w:tcPr>
            <w:tcW w:w="1468" w:type="pct"/>
            <w:tcBorders>
              <w:bottom w:val="single" w:sz="4" w:space="0" w:color="26664E" w:themeColor="accent1"/>
            </w:tcBorders>
          </w:tcPr>
          <w:p w14:paraId="2F217556" w14:textId="77777777" w:rsidR="00A658D7" w:rsidRPr="002360E2"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2360E2">
              <w:t>290,600</w:t>
            </w:r>
          </w:p>
        </w:tc>
      </w:tr>
      <w:tr w:rsidR="00A658D7" w:rsidRPr="002360E2" w14:paraId="29471FD4" w14:textId="77777777" w:rsidTr="00E80A8A">
        <w:tc>
          <w:tcPr>
            <w:cnfStyle w:val="001000000000" w:firstRow="0" w:lastRow="0" w:firstColumn="1" w:lastColumn="0" w:oddVBand="0" w:evenVBand="0" w:oddHBand="0" w:evenHBand="0" w:firstRowFirstColumn="0" w:firstRowLastColumn="0" w:lastRowFirstColumn="0" w:lastRowLastColumn="0"/>
            <w:tcW w:w="2063" w:type="pct"/>
            <w:tcBorders>
              <w:top w:val="single" w:sz="4" w:space="0" w:color="26664E" w:themeColor="accent1"/>
              <w:bottom w:val="single" w:sz="4" w:space="0" w:color="26664E" w:themeColor="accent1"/>
            </w:tcBorders>
          </w:tcPr>
          <w:p w14:paraId="45D854E5" w14:textId="77777777" w:rsidR="00A658D7" w:rsidRPr="002360E2" w:rsidRDefault="00A658D7">
            <w:pPr>
              <w:pStyle w:val="10Tabletext"/>
            </w:pPr>
            <w:r w:rsidRPr="002360E2">
              <w:t>Public Entity Senior Executive Service-2/Senior Executive Service-2</w:t>
            </w:r>
          </w:p>
        </w:tc>
        <w:tc>
          <w:tcPr>
            <w:tcW w:w="1469" w:type="pct"/>
            <w:tcBorders>
              <w:top w:val="single" w:sz="4" w:space="0" w:color="26664E" w:themeColor="accent1"/>
              <w:bottom w:val="single" w:sz="4" w:space="0" w:color="26664E" w:themeColor="accent1"/>
            </w:tcBorders>
          </w:tcPr>
          <w:p w14:paraId="173DAF42" w14:textId="77777777" w:rsidR="00A658D7" w:rsidRPr="002360E2" w:rsidRDefault="00A658D7">
            <w:pPr>
              <w:pStyle w:val="10Tabletext"/>
              <w:jc w:val="right"/>
              <w:cnfStyle w:val="000000000000" w:firstRow="0" w:lastRow="0" w:firstColumn="0" w:lastColumn="0" w:oddVBand="0" w:evenVBand="0" w:oddHBand="0" w:evenHBand="0" w:firstRowFirstColumn="0" w:firstRowLastColumn="0" w:lastRowFirstColumn="0" w:lastRowLastColumn="0"/>
            </w:pPr>
            <w:r w:rsidRPr="002360E2">
              <w:t>290,601</w:t>
            </w:r>
          </w:p>
        </w:tc>
        <w:tc>
          <w:tcPr>
            <w:tcW w:w="1468" w:type="pct"/>
            <w:tcBorders>
              <w:top w:val="single" w:sz="4" w:space="0" w:color="26664E" w:themeColor="accent1"/>
              <w:bottom w:val="single" w:sz="4" w:space="0" w:color="26664E" w:themeColor="accent1"/>
            </w:tcBorders>
          </w:tcPr>
          <w:p w14:paraId="34793731" w14:textId="77777777" w:rsidR="00A658D7" w:rsidRPr="002360E2" w:rsidRDefault="00A658D7">
            <w:pPr>
              <w:pStyle w:val="10Tabletext"/>
              <w:jc w:val="right"/>
              <w:cnfStyle w:val="000000000000" w:firstRow="0" w:lastRow="0" w:firstColumn="0" w:lastColumn="0" w:oddVBand="0" w:evenVBand="0" w:oddHBand="0" w:evenHBand="0" w:firstRowFirstColumn="0" w:firstRowLastColumn="0" w:lastRowFirstColumn="0" w:lastRowLastColumn="0"/>
            </w:pPr>
            <w:r w:rsidRPr="002360E2">
              <w:t>419,000</w:t>
            </w:r>
          </w:p>
        </w:tc>
      </w:tr>
      <w:tr w:rsidR="00A658D7" w:rsidRPr="002360E2" w14:paraId="4F75E07D" w14:textId="77777777" w:rsidTr="00E80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top w:val="single" w:sz="4" w:space="0" w:color="26664E" w:themeColor="accent1"/>
              <w:bottom w:val="single" w:sz="4" w:space="0" w:color="26664E" w:themeColor="accent1"/>
            </w:tcBorders>
          </w:tcPr>
          <w:p w14:paraId="289CD75E" w14:textId="77777777" w:rsidR="00A658D7" w:rsidRPr="002360E2" w:rsidRDefault="00A658D7">
            <w:pPr>
              <w:pStyle w:val="10Tabletext"/>
            </w:pPr>
            <w:r w:rsidRPr="002360E2">
              <w:t>Public Entity Senior Executive Service-3/Senior Executive Service-3</w:t>
            </w:r>
          </w:p>
        </w:tc>
        <w:tc>
          <w:tcPr>
            <w:tcW w:w="1469" w:type="pct"/>
            <w:tcBorders>
              <w:top w:val="single" w:sz="4" w:space="0" w:color="26664E" w:themeColor="accent1"/>
              <w:bottom w:val="single" w:sz="4" w:space="0" w:color="26664E" w:themeColor="accent1"/>
            </w:tcBorders>
          </w:tcPr>
          <w:p w14:paraId="23FEF257" w14:textId="77777777" w:rsidR="00A658D7" w:rsidRPr="002360E2"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2360E2">
              <w:t>419,001</w:t>
            </w:r>
          </w:p>
        </w:tc>
        <w:tc>
          <w:tcPr>
            <w:tcW w:w="1468" w:type="pct"/>
            <w:tcBorders>
              <w:top w:val="single" w:sz="4" w:space="0" w:color="26664E" w:themeColor="accent1"/>
              <w:bottom w:val="single" w:sz="4" w:space="0" w:color="26664E" w:themeColor="accent1"/>
            </w:tcBorders>
          </w:tcPr>
          <w:p w14:paraId="06A3A822" w14:textId="77777777" w:rsidR="00A658D7" w:rsidRPr="002360E2"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2360E2">
              <w:t>557,435</w:t>
            </w:r>
          </w:p>
        </w:tc>
      </w:tr>
    </w:tbl>
    <w:p w14:paraId="783207D4" w14:textId="77777777" w:rsidR="00A658D7" w:rsidRDefault="00A658D7">
      <w:pPr>
        <w:pStyle w:val="05Paragraph"/>
      </w:pPr>
      <w:r>
        <w:t>In limited circumstances, a Chief Executive Officer (CEO) or similar role does not meet the minimum work value score required for their classification to be determined, for example, in smaller public entities. However, the CEO role is still considered to be an executive. Table ES.2 sets out the relevant band for these roles.</w:t>
      </w:r>
    </w:p>
    <w:p w14:paraId="326349DA" w14:textId="52F7D84C" w:rsidR="00A658D7" w:rsidRDefault="00A658D7">
      <w:pPr>
        <w:pStyle w:val="08Figuretableboxheading"/>
        <w:keepNext w:val="0"/>
      </w:pPr>
      <w:r w:rsidRPr="00854FD2">
        <w:t xml:space="preserve">Table ES.2: Values of remuneration band for Chief Executive Officers or </w:t>
      </w:r>
      <w:r w:rsidR="001E25BB">
        <w:t>similar</w:t>
      </w:r>
      <w:r w:rsidRPr="00854FD2">
        <w:t xml:space="preserve"> with a work value score of less than 21 points, as </w:t>
      </w:r>
      <w:proofErr w:type="gramStart"/>
      <w:r w:rsidRPr="00854FD2">
        <w:t>at</w:t>
      </w:r>
      <w:proofErr w:type="gramEnd"/>
      <w:r w:rsidRPr="00854FD2">
        <w:t xml:space="preserve"> 1 July 2024</w:t>
      </w:r>
    </w:p>
    <w:tbl>
      <w:tblPr>
        <w:tblStyle w:val="ListTable3-Accent21"/>
        <w:tblW w:w="5000" w:type="pct"/>
        <w:tblBorders>
          <w:top w:val="none" w:sz="0" w:space="0" w:color="auto"/>
          <w:left w:val="none" w:sz="0" w:space="0" w:color="auto"/>
          <w:right w:val="none" w:sz="0" w:space="0" w:color="auto"/>
          <w:insideH w:val="single" w:sz="4" w:space="0" w:color="148A5D" w:themeColor="accent2"/>
        </w:tblBorders>
        <w:tblLook w:val="04A0" w:firstRow="1" w:lastRow="0" w:firstColumn="1" w:lastColumn="0" w:noHBand="0" w:noVBand="1"/>
      </w:tblPr>
      <w:tblGrid>
        <w:gridCol w:w="3687"/>
        <w:gridCol w:w="2409"/>
        <w:gridCol w:w="2408"/>
      </w:tblGrid>
      <w:tr w:rsidR="00A658D7" w:rsidRPr="004E25A2" w14:paraId="6EE07274" w14:textId="77777777" w:rsidTr="0019121F">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7" w:type="pct"/>
            <w:tcBorders>
              <w:top w:val="nil"/>
            </w:tcBorders>
            <w:shd w:val="clear" w:color="auto" w:fill="26664E" w:themeFill="accent1"/>
          </w:tcPr>
          <w:p w14:paraId="2614F129" w14:textId="77777777" w:rsidR="00A658D7" w:rsidRPr="004B28E7" w:rsidRDefault="00A658D7" w:rsidP="00E91106">
            <w:pPr>
              <w:pStyle w:val="10Tabletext"/>
            </w:pPr>
            <w:r>
              <w:t>Classification</w:t>
            </w:r>
          </w:p>
        </w:tc>
        <w:tc>
          <w:tcPr>
            <w:tcW w:w="1416" w:type="pct"/>
            <w:tcBorders>
              <w:top w:val="nil"/>
              <w:bottom w:val="nil"/>
            </w:tcBorders>
            <w:shd w:val="clear" w:color="auto" w:fill="26664E" w:themeFill="accent1"/>
          </w:tcPr>
          <w:p w14:paraId="0C7477E2" w14:textId="77777777" w:rsidR="00A658D7" w:rsidRPr="004B28E7" w:rsidRDefault="00A658D7" w:rsidP="0019121F">
            <w:pPr>
              <w:pStyle w:val="10Tabletext"/>
              <w:jc w:val="right"/>
              <w:cnfStyle w:val="100000000000" w:firstRow="1" w:lastRow="0" w:firstColumn="0" w:lastColumn="0" w:oddVBand="0" w:evenVBand="0" w:oddHBand="0" w:evenHBand="0" w:firstRowFirstColumn="0" w:firstRowLastColumn="0" w:lastRowFirstColumn="0" w:lastRowLastColumn="0"/>
              <w:rPr>
                <w:b w:val="0"/>
                <w:bCs/>
              </w:rPr>
            </w:pPr>
            <w:r w:rsidRPr="004B28E7">
              <w:t>Base of band TRP</w:t>
            </w:r>
            <w:r w:rsidRPr="004B28E7">
              <w:br/>
            </w:r>
            <w:r>
              <w:t>(</w:t>
            </w:r>
            <w:r w:rsidRPr="004B28E7">
              <w:t xml:space="preserve">$ per </w:t>
            </w:r>
            <w:r>
              <w:t>annum)</w:t>
            </w:r>
          </w:p>
        </w:tc>
        <w:tc>
          <w:tcPr>
            <w:tcW w:w="1416" w:type="pct"/>
            <w:tcBorders>
              <w:top w:val="nil"/>
              <w:bottom w:val="nil"/>
            </w:tcBorders>
            <w:shd w:val="clear" w:color="auto" w:fill="26664E" w:themeFill="accent1"/>
          </w:tcPr>
          <w:p w14:paraId="6B27BF3D" w14:textId="77777777" w:rsidR="00A658D7" w:rsidRPr="004B28E7" w:rsidRDefault="00A658D7" w:rsidP="0019121F">
            <w:pPr>
              <w:pStyle w:val="10Tabletext"/>
              <w:jc w:val="right"/>
              <w:cnfStyle w:val="100000000000" w:firstRow="1" w:lastRow="0" w:firstColumn="0" w:lastColumn="0" w:oddVBand="0" w:evenVBand="0" w:oddHBand="0" w:evenHBand="0" w:firstRowFirstColumn="0" w:firstRowLastColumn="0" w:lastRowFirstColumn="0" w:lastRowLastColumn="0"/>
              <w:rPr>
                <w:b w:val="0"/>
                <w:bCs/>
              </w:rPr>
            </w:pPr>
            <w:r w:rsidRPr="004B28E7">
              <w:t>Top of band TRP</w:t>
            </w:r>
            <w:r w:rsidRPr="004B28E7">
              <w:br/>
            </w:r>
            <w:r>
              <w:t>(</w:t>
            </w:r>
            <w:r w:rsidRPr="004B28E7">
              <w:t xml:space="preserve">$ per </w:t>
            </w:r>
            <w:r>
              <w:t>annum)</w:t>
            </w:r>
          </w:p>
        </w:tc>
      </w:tr>
      <w:tr w:rsidR="00A658D7" w:rsidRPr="00F76F05" w14:paraId="0334EE92" w14:textId="77777777" w:rsidTr="00E80A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7" w:type="pct"/>
            <w:tcBorders>
              <w:top w:val="nil"/>
              <w:bottom w:val="single" w:sz="4" w:space="0" w:color="26664E" w:themeColor="accent1"/>
            </w:tcBorders>
          </w:tcPr>
          <w:p w14:paraId="3393D08A" w14:textId="77777777" w:rsidR="00A658D7" w:rsidRPr="00F76F05" w:rsidRDefault="00A658D7">
            <w:pPr>
              <w:pStyle w:val="10Tabletext"/>
              <w:rPr>
                <w:b w:val="0"/>
                <w:bCs/>
              </w:rPr>
            </w:pPr>
            <w:r w:rsidRPr="00F76F05">
              <w:rPr>
                <w:b w:val="0"/>
              </w:rPr>
              <w:t>Chief executive officer with a work value score below 21 points</w:t>
            </w:r>
          </w:p>
        </w:tc>
        <w:tc>
          <w:tcPr>
            <w:tcW w:w="1416" w:type="pct"/>
            <w:tcBorders>
              <w:top w:val="nil"/>
              <w:bottom w:val="single" w:sz="4" w:space="0" w:color="26664E" w:themeColor="accent1"/>
            </w:tcBorders>
          </w:tcPr>
          <w:p w14:paraId="48B41679" w14:textId="77777777" w:rsidR="00A658D7" w:rsidRPr="00F76F05"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F76F05">
              <w:t>157,158</w:t>
            </w:r>
          </w:p>
        </w:tc>
        <w:tc>
          <w:tcPr>
            <w:tcW w:w="1416" w:type="pct"/>
            <w:tcBorders>
              <w:top w:val="nil"/>
              <w:bottom w:val="single" w:sz="4" w:space="0" w:color="26664E" w:themeColor="accent1"/>
            </w:tcBorders>
          </w:tcPr>
          <w:p w14:paraId="3FCEFFB7" w14:textId="77777777" w:rsidR="00A658D7" w:rsidRPr="00F76F05" w:rsidRDefault="00A658D7">
            <w:pPr>
              <w:pStyle w:val="10Tabletext"/>
              <w:jc w:val="right"/>
              <w:cnfStyle w:val="000000100000" w:firstRow="0" w:lastRow="0" w:firstColumn="0" w:lastColumn="0" w:oddVBand="0" w:evenVBand="0" w:oddHBand="1" w:evenHBand="0" w:firstRowFirstColumn="0" w:firstRowLastColumn="0" w:lastRowFirstColumn="0" w:lastRowLastColumn="0"/>
            </w:pPr>
            <w:r w:rsidRPr="00F76F05">
              <w:t>290,600</w:t>
            </w:r>
          </w:p>
        </w:tc>
      </w:tr>
    </w:tbl>
    <w:p w14:paraId="20B0F769" w14:textId="7169B46D" w:rsidR="00A658D7" w:rsidRDefault="00A658D7">
      <w:pPr>
        <w:pStyle w:val="05Paragraph"/>
      </w:pPr>
      <w:r w:rsidRPr="00040B98">
        <w:t>The increase to the bands will not automatically result in a corresponding increase for all executives. The task of the Tribunal is to determine the value</w:t>
      </w:r>
      <w:r w:rsidR="002F32F5">
        <w:t>s</w:t>
      </w:r>
      <w:r w:rsidRPr="00040B98">
        <w:t xml:space="preserve"> of the bands.</w:t>
      </w:r>
      <w:r>
        <w:t xml:space="preserve"> While the remuneration for public entity executives at the bottom of each band will need to be adjusted to remain within the relevant band, responsibility for what executives </w:t>
      </w:r>
      <w:proofErr w:type="gramStart"/>
      <w:r>
        <w:t>are</w:t>
      </w:r>
      <w:proofErr w:type="gramEnd"/>
      <w:r>
        <w:t xml:space="preserve"> paid resides with employers taking account of the Premier’s annual adjustment guideline rate. </w:t>
      </w:r>
    </w:p>
    <w:p w14:paraId="60B5A098" w14:textId="1625BD2E" w:rsidR="002844E7" w:rsidRDefault="002844E7">
      <w:pPr>
        <w:pStyle w:val="05Paragraph"/>
      </w:pPr>
      <w:r w:rsidRPr="00BF4BDE">
        <w:t xml:space="preserve">The Premier has determined an annual guideline rate of 3 per cent applicable from 1 July 2024. Accounting for the effect of the guideline rate and changes to statutory superannuation, the actual impact of this Determination on executives at the bottom of the band will be reduced. </w:t>
      </w:r>
      <w:r>
        <w:t>F</w:t>
      </w:r>
      <w:r w:rsidRPr="00BF4BDE">
        <w:t xml:space="preserve">or an executive paid at the bottom of the PESES-1 or PESES-2 band as </w:t>
      </w:r>
      <w:proofErr w:type="gramStart"/>
      <w:r w:rsidRPr="00BF4BDE">
        <w:t>at</w:t>
      </w:r>
      <w:proofErr w:type="gramEnd"/>
      <w:r w:rsidRPr="00BF4BDE">
        <w:t xml:space="preserve"> 30 June 202</w:t>
      </w:r>
      <w:r w:rsidR="00F63505">
        <w:t>4</w:t>
      </w:r>
      <w:r w:rsidRPr="00BF4BDE">
        <w:t xml:space="preserve"> and who received the guideline rate increase and the superannuation adjustment, the increase in their TRP will be 0.5 per cent. For executives paid at the base of the PESES-3 band the equivalent increase will be 1 per cent.</w:t>
      </w:r>
    </w:p>
    <w:p w14:paraId="40103C9B" w14:textId="397F38DF" w:rsidR="00A658D7" w:rsidRDefault="00A658D7">
      <w:pPr>
        <w:pStyle w:val="05Paragraph"/>
      </w:pPr>
      <w:r>
        <w:t>Following is a summary of the matters the Tribunal considered, and the weight it gave to various factors, to reach a decision about the value</w:t>
      </w:r>
      <w:r w:rsidR="00C270A6">
        <w:t>s</w:t>
      </w:r>
      <w:r>
        <w:t xml:space="preserve"> of the remuneration bands. </w:t>
      </w:r>
    </w:p>
    <w:p w14:paraId="49F1DF66" w14:textId="77777777" w:rsidR="00A658D7" w:rsidRDefault="00A658D7">
      <w:pPr>
        <w:pStyle w:val="05Paragraph"/>
      </w:pPr>
      <w:r>
        <w:lastRenderedPageBreak/>
        <w:t xml:space="preserve">The overall analytical framework is set by the </w:t>
      </w:r>
      <w:r w:rsidRPr="00D814A1">
        <w:rPr>
          <w:i/>
        </w:rPr>
        <w:t>Victorian Independent Remuneration Tribunal and Improving Parliamentary Standards Act 2019</w:t>
      </w:r>
      <w:r>
        <w:t xml:space="preserve"> (Vic) (VIRTIPS Act) which requires that, in making a comprehensive Determination, the Tribunal must consider the following:</w:t>
      </w:r>
    </w:p>
    <w:p w14:paraId="5F1424C5" w14:textId="77777777" w:rsidR="00A658D7" w:rsidRDefault="00A658D7" w:rsidP="00A658D7">
      <w:pPr>
        <w:pStyle w:val="06VIRTBulletpoints"/>
        <w:ind w:left="502"/>
      </w:pPr>
      <w:r>
        <w:t>the existing remuneration provided to executives</w:t>
      </w:r>
    </w:p>
    <w:p w14:paraId="22D375CE" w14:textId="77777777" w:rsidR="00A658D7" w:rsidRDefault="00A658D7" w:rsidP="00A658D7">
      <w:pPr>
        <w:pStyle w:val="06VIRTBulletpoints"/>
        <w:ind w:left="502"/>
      </w:pPr>
      <w:r>
        <w:t>any statement or policy issued by the Government of Victoria which is in force with respect to its wages policy</w:t>
      </w:r>
    </w:p>
    <w:p w14:paraId="255B2A51" w14:textId="77777777" w:rsidR="00A658D7" w:rsidRDefault="00A658D7" w:rsidP="00A658D7">
      <w:pPr>
        <w:pStyle w:val="06VIRTBulletpoints"/>
        <w:ind w:left="502"/>
      </w:pPr>
      <w:r>
        <w:t>the financial and economic position of the State</w:t>
      </w:r>
    </w:p>
    <w:p w14:paraId="35732E08" w14:textId="77777777" w:rsidR="00A658D7" w:rsidRDefault="00A658D7" w:rsidP="00A658D7">
      <w:pPr>
        <w:pStyle w:val="06VIRTBulletpoints"/>
        <w:ind w:left="502"/>
      </w:pPr>
      <w:r>
        <w:t>current and projected economic conditions and trends</w:t>
      </w:r>
    </w:p>
    <w:p w14:paraId="1EB9C31F" w14:textId="77777777" w:rsidR="00A658D7" w:rsidRDefault="00A658D7" w:rsidP="00A658D7">
      <w:pPr>
        <w:pStyle w:val="06VIRTBulletpoints"/>
        <w:ind w:left="502"/>
      </w:pPr>
      <w:r>
        <w:t>submissions received in relation to the proposed Determination</w:t>
      </w:r>
    </w:p>
    <w:p w14:paraId="577F4A69" w14:textId="77777777" w:rsidR="00A658D7" w:rsidRDefault="00A658D7" w:rsidP="00A658D7">
      <w:pPr>
        <w:pStyle w:val="06VIRTBulletpoints"/>
        <w:ind w:left="502"/>
      </w:pPr>
      <w:r>
        <w:t>a comprehensive review of the roles of executives employed in prescribed public entities.</w:t>
      </w:r>
    </w:p>
    <w:p w14:paraId="4956894B" w14:textId="77777777" w:rsidR="00A658D7" w:rsidRDefault="00A658D7">
      <w:pPr>
        <w:pStyle w:val="05Paragraph"/>
        <w:widowControl w:val="0"/>
      </w:pPr>
      <w:r>
        <w:t xml:space="preserve">Detailed information and data supporting the analysis can be found in the various chapters of this statement. Chapter 2 provides an </w:t>
      </w:r>
      <w:r w:rsidRPr="00652DB8">
        <w:t xml:space="preserve">overview of the Victorian public </w:t>
      </w:r>
      <w:proofErr w:type="gramStart"/>
      <w:r w:rsidRPr="00652DB8">
        <w:t>sector</w:t>
      </w:r>
      <w:proofErr w:type="gramEnd"/>
      <w:r w:rsidRPr="00652DB8">
        <w:t xml:space="preserve"> and the public entities covered by the Determination</w:t>
      </w:r>
      <w:r>
        <w:t>. Chapter 3 discusses the roles and responsibilities of public entity executives, drawing on the Tribunal’s consultations and research. An overview of the existing employment and remuneration arrangements for executives is provided in Chapter 4.</w:t>
      </w:r>
    </w:p>
    <w:p w14:paraId="17DDD259" w14:textId="366F2BF6" w:rsidR="00A658D7" w:rsidRDefault="00A658D7">
      <w:pPr>
        <w:pStyle w:val="05Paragraph"/>
      </w:pPr>
      <w:r>
        <w:t>Chapter 5 describes the executive labour market, including current demand and supply factors. In Chapter 6, relevant macroeconomic and financial considerations are detailed. Submissions received by the Tribunal, including responses to the executive questionnaire, are cited through the statement.</w:t>
      </w:r>
    </w:p>
    <w:p w14:paraId="33DB5A7A" w14:textId="77777777" w:rsidR="00A658D7" w:rsidRDefault="00A658D7">
      <w:pPr>
        <w:pStyle w:val="03VIRTHeading3"/>
      </w:pPr>
      <w:r>
        <w:t>Factors supporting an increase in the level of the remuneration bands</w:t>
      </w:r>
    </w:p>
    <w:p w14:paraId="012AD25D" w14:textId="77777777" w:rsidR="00A658D7" w:rsidRDefault="00A658D7">
      <w:pPr>
        <w:pStyle w:val="05Paragraph"/>
      </w:pPr>
      <w:r>
        <w:t xml:space="preserve">The first part of this section identifies </w:t>
      </w:r>
      <w:proofErr w:type="gramStart"/>
      <w:r>
        <w:t>a number of</w:t>
      </w:r>
      <w:proofErr w:type="gramEnd"/>
      <w:r>
        <w:t xml:space="preserve"> factors, which taken together, provide evidence for the appropriateness of a significant increase to the remuneration bands for public entity executives. The second part sets these considerations in a broader context including the government’s wages policy and the financial and fiscal strategy of the State.</w:t>
      </w:r>
    </w:p>
    <w:p w14:paraId="62D4FDAB" w14:textId="77777777" w:rsidR="00A658D7" w:rsidRDefault="00A658D7">
      <w:pPr>
        <w:pStyle w:val="04VIRTheading4"/>
      </w:pPr>
      <w:r>
        <w:t>Operating environment</w:t>
      </w:r>
    </w:p>
    <w:p w14:paraId="201478B1" w14:textId="77777777" w:rsidR="00A658D7" w:rsidRDefault="00A658D7">
      <w:pPr>
        <w:pStyle w:val="05Paragraph"/>
      </w:pPr>
      <w:r>
        <w:t xml:space="preserve">First, in support of an increase, there is compelling evidence in responses to the Tribunal’s questionnaire and submissions of a significant change in the roles of executives since the Tribunal’s first Determination four years ago. </w:t>
      </w:r>
    </w:p>
    <w:p w14:paraId="4C66EF00" w14:textId="77777777" w:rsidR="00A658D7" w:rsidRDefault="00A658D7">
      <w:pPr>
        <w:pStyle w:val="05Paragraph"/>
      </w:pPr>
      <w:r>
        <w:lastRenderedPageBreak/>
        <w:t>Foremost amongst these are the implementation of savings and efficiency measures across government — at a time of increasing demand — and a greater focus on integrity and adherence to public sector values.</w:t>
      </w:r>
    </w:p>
    <w:p w14:paraId="23EB9E88" w14:textId="0A461F1A" w:rsidR="00A658D7" w:rsidRDefault="00A658D7">
      <w:pPr>
        <w:pStyle w:val="05Paragraph"/>
      </w:pPr>
      <w:r>
        <w:t>Consistent with other Australian jurisdictions and most countries throughout the world, over the period 2019-20 and 2022-23 the Victorian Government incurred significant one-off expenditures to respond to the economic and health impacts of COVID-19. The subsequent introduction of debt repayment and other measures has, and will continue to</w:t>
      </w:r>
      <w:r w:rsidR="0096614B">
        <w:t>,</w:t>
      </w:r>
      <w:r>
        <w:t xml:space="preserve"> impact public entity executives at all levels</w:t>
      </w:r>
      <w:r w:rsidR="0096614B">
        <w:t>,</w:t>
      </w:r>
      <w:r>
        <w:t xml:space="preserve"> who will find it more challenging to perform their functions at the same standard and deliver the </w:t>
      </w:r>
      <w:proofErr w:type="gramStart"/>
      <w:r>
        <w:t>high quality</w:t>
      </w:r>
      <w:proofErr w:type="gramEnd"/>
      <w:r>
        <w:t xml:space="preserve"> services expected of them. </w:t>
      </w:r>
    </w:p>
    <w:p w14:paraId="212D7E7B" w14:textId="2B4463F3" w:rsidR="00A658D7" w:rsidRDefault="00A658D7">
      <w:pPr>
        <w:pStyle w:val="05Paragraph"/>
      </w:pPr>
      <w:r>
        <w:t>Since the Tribunal’s first Determination for public entity executives in 2020, there has been an increased focus on integrity and public sector values driven by several recent inquiries and reports</w:t>
      </w:r>
      <w:r w:rsidR="000F582C">
        <w:t>,</w:t>
      </w:r>
      <w:r>
        <w:t xml:space="preserve"> which scrutinised the actions of the Australian and Victorian public sectors. While widely accepted as necessary and beneficial, the actions required to build upon and sustain a system of public integrity</w:t>
      </w:r>
      <w:r w:rsidR="000F582C">
        <w:t>,</w:t>
      </w:r>
      <w:r>
        <w:t xml:space="preserve"> embracing leadership and cultural change across all levels of an organisation</w:t>
      </w:r>
      <w:r w:rsidR="000F582C">
        <w:t>,</w:t>
      </w:r>
      <w:r>
        <w:t xml:space="preserve"> add a significant additional dimension to the executive role.</w:t>
      </w:r>
    </w:p>
    <w:p w14:paraId="6959FB90" w14:textId="77777777" w:rsidR="00A658D7" w:rsidRDefault="00A658D7">
      <w:pPr>
        <w:pStyle w:val="05Paragraph"/>
      </w:pPr>
      <w:r>
        <w:t xml:space="preserve">Another change in the operating environment arises from an increasing level of scrutiny of the actions of public sector executives. A high level of scrutiny, including by the integrity agencies is, and has always been, appropriate and critical to the maintenance of public trust in public bodies. The point made here is that the breadth and frequency of such scrutiny has increased significantly adding a further degree of difficulty to the daily challenges faced by executives </w:t>
      </w:r>
      <w:proofErr w:type="gramStart"/>
      <w:r>
        <w:t>in the course of</w:t>
      </w:r>
      <w:proofErr w:type="gramEnd"/>
      <w:r>
        <w:t xml:space="preserve"> performing their roles. </w:t>
      </w:r>
    </w:p>
    <w:p w14:paraId="3C14BD12" w14:textId="73497DC4" w:rsidR="00A658D7" w:rsidRDefault="00A658D7">
      <w:pPr>
        <w:pStyle w:val="05Paragraph"/>
      </w:pPr>
      <w:r>
        <w:t xml:space="preserve">At the same time, the expectations placed on public entities by both government and the public to perform their functions effectively and deliver high quality services may not have changed, and in some cases appear to have increased. While in many respects </w:t>
      </w:r>
      <w:proofErr w:type="gramStart"/>
      <w:r>
        <w:t>similar to</w:t>
      </w:r>
      <w:proofErr w:type="gramEnd"/>
      <w:r>
        <w:t xml:space="preserve"> the expectations on VPS executives, the Tribunal also noted some important differences for public entity executives. Examples include the potential for direct feedback from the community on the goods and services they receive from public entities and greater department oversight of entity performance.</w:t>
      </w:r>
    </w:p>
    <w:p w14:paraId="02A63BC0" w14:textId="77777777" w:rsidR="00A658D7" w:rsidRDefault="00A658D7">
      <w:pPr>
        <w:pStyle w:val="04VIRTheading4"/>
      </w:pPr>
      <w:r>
        <w:lastRenderedPageBreak/>
        <w:t>Complexity of the role</w:t>
      </w:r>
    </w:p>
    <w:p w14:paraId="3E4EF0EB" w14:textId="77777777" w:rsidR="00A658D7" w:rsidRDefault="00A658D7">
      <w:pPr>
        <w:pStyle w:val="05Paragraph"/>
      </w:pPr>
      <w:r>
        <w:t>The Tribunal heard from stakeholders that executive roles have increased in complexity and scope over the last four years. Factors commonly cited by executives included: increased regulatory and compliance obligations, an evolving and generally heightened risk environment, legislative changes and increased complexity of stakeholder relationships.</w:t>
      </w:r>
    </w:p>
    <w:p w14:paraId="757D3BBD" w14:textId="77777777" w:rsidR="00A658D7" w:rsidRDefault="00A658D7">
      <w:pPr>
        <w:pStyle w:val="05Paragraph"/>
        <w:keepNext/>
      </w:pPr>
      <w:r>
        <w:t xml:space="preserve">Other factors impacting the complexity of executive roles include broader changes to working practices — particularly flexible and hybrid working arrangements. Some challenges for executives in managing a hybrid workplace include: </w:t>
      </w:r>
    </w:p>
    <w:p w14:paraId="6069C6BB" w14:textId="77777777" w:rsidR="00A658D7" w:rsidRDefault="00A658D7">
      <w:pPr>
        <w:pStyle w:val="06VIRTBulletpoints"/>
        <w:ind w:left="357" w:hanging="357"/>
      </w:pPr>
      <w:r>
        <w:t>building digital skills that enable executives to lead their teams regardless of the time, place or setting</w:t>
      </w:r>
    </w:p>
    <w:p w14:paraId="54F9E48D" w14:textId="77777777" w:rsidR="00A658D7" w:rsidRDefault="00A658D7">
      <w:pPr>
        <w:pStyle w:val="06VIRTBulletpoints"/>
        <w:ind w:left="357" w:hanging="357"/>
      </w:pPr>
      <w:r>
        <w:t xml:space="preserve">managing team performance, including having difficult conversations virtually </w:t>
      </w:r>
    </w:p>
    <w:p w14:paraId="11C1CF4A" w14:textId="77777777" w:rsidR="00A658D7" w:rsidRDefault="00A658D7">
      <w:pPr>
        <w:pStyle w:val="06VIRTBulletpoints"/>
        <w:ind w:left="357" w:hanging="357"/>
      </w:pPr>
      <w:r>
        <w:t>adapting the physical workplace for the needs of hybrid work, such as increased use of collaborative spaces.</w:t>
      </w:r>
    </w:p>
    <w:p w14:paraId="533A0A18" w14:textId="77777777" w:rsidR="00A658D7" w:rsidRDefault="00A658D7">
      <w:pPr>
        <w:pStyle w:val="05Paragraph"/>
      </w:pPr>
      <w:r>
        <w:t xml:space="preserve">At the same time, there have also been specific factors that have affected </w:t>
      </w:r>
      <w:proofErr w:type="gramStart"/>
      <w:r>
        <w:t>particular public</w:t>
      </w:r>
      <w:proofErr w:type="gramEnd"/>
      <w:r>
        <w:t xml:space="preserve"> entities or the sectors in which they operate that have added a further level of complexity to executive roles. For example, the implementation of significant government reforms can prompt broader structural and cultural changes that amplify the impact of the factors noted above on executives.</w:t>
      </w:r>
    </w:p>
    <w:p w14:paraId="74A22E1B" w14:textId="77777777" w:rsidR="00A658D7" w:rsidRDefault="00A658D7">
      <w:pPr>
        <w:pStyle w:val="05Paragraph"/>
      </w:pPr>
      <w:r>
        <w:t xml:space="preserve">These factors are reflected in the detailed feedback provided through the Tribunal’s executive questionnaire, which asked respondents to indicate whether elements of their roles had reduced, increased or remained unchanged over the past four years. </w:t>
      </w:r>
    </w:p>
    <w:p w14:paraId="0CCFB786" w14:textId="213C77D2" w:rsidR="00A658D7" w:rsidRDefault="00A658D7">
      <w:pPr>
        <w:pStyle w:val="05Paragraph"/>
      </w:pPr>
      <w:proofErr w:type="gramStart"/>
      <w:r>
        <w:t>A majority of</w:t>
      </w:r>
      <w:proofErr w:type="gramEnd"/>
      <w:r>
        <w:t xml:space="preserve"> executives reported that </w:t>
      </w:r>
      <w:r w:rsidR="00E45A94">
        <w:t xml:space="preserve">seven </w:t>
      </w:r>
      <w:r>
        <w:t xml:space="preserve">of the eight </w:t>
      </w:r>
      <w:r w:rsidR="00FB516E">
        <w:t>factors</w:t>
      </w:r>
      <w:r>
        <w:t xml:space="preserve"> that reflect the core competencies and accountabilities of their role had increased over the past four years — some by a significant margin. For example, over 80 per cent responded that the components of their role relating to ‘strategic change’ and ‘judgment and risk’ had increased. Similar responses were received for ‘relationship management’ and the ‘breadth’ of executive roles.</w:t>
      </w:r>
    </w:p>
    <w:p w14:paraId="17C050F2" w14:textId="77777777" w:rsidR="00A658D7" w:rsidRDefault="00A658D7">
      <w:pPr>
        <w:pStyle w:val="04VIRTheading4"/>
      </w:pPr>
      <w:r>
        <w:t>Market positioning and competitiveness</w:t>
      </w:r>
    </w:p>
    <w:p w14:paraId="47EE0F68" w14:textId="77777777" w:rsidR="00A658D7" w:rsidRDefault="00A658D7">
      <w:pPr>
        <w:pStyle w:val="05Paragraph"/>
      </w:pPr>
      <w:r>
        <w:t xml:space="preserve">A further issue relates to the level of competitiveness of the Victorian public sector compared to the private sector and other public sector jurisdictions with which Victoria competes for talent. This is particularly relevant to those entities which </w:t>
      </w:r>
      <w:r>
        <w:lastRenderedPageBreak/>
        <w:t>undertake specialised functions or have a commercial focus that requires them to compete more directly with the private sector for executive talent.</w:t>
      </w:r>
    </w:p>
    <w:p w14:paraId="12D1EB2A" w14:textId="215F2E1B" w:rsidR="00A658D7" w:rsidRDefault="00A658D7">
      <w:pPr>
        <w:pStyle w:val="05Paragraph"/>
      </w:pPr>
      <w:r>
        <w:t xml:space="preserve">As part of its 2024 Determination of public service remuneration bands, the Tribunal engaged recruitment firm Mercer Consulting to conduct a detailed analysis of the market for executives. Of </w:t>
      </w:r>
      <w:proofErr w:type="gramStart"/>
      <w:r>
        <w:t>particular relevance</w:t>
      </w:r>
      <w:proofErr w:type="gramEnd"/>
      <w:r>
        <w:t xml:space="preserve"> to the analysis is the positioning of the public sector in the Australian General Market (AGM).</w:t>
      </w:r>
    </w:p>
    <w:bookmarkEnd w:id="20"/>
    <w:bookmarkEnd w:id="22"/>
    <w:bookmarkEnd w:id="23"/>
    <w:p w14:paraId="1A3770B1" w14:textId="738813D1" w:rsidR="00A658D7" w:rsidRDefault="00A658D7">
      <w:pPr>
        <w:pStyle w:val="05Paragraph"/>
      </w:pPr>
      <w:r>
        <w:t xml:space="preserve">Pay practices for public service executives in most Australian jurisdictions are generally positioned around the 15th percentile of the AGM, while in the private sector, pay practices tend to be closer to the 50th percentile (or median) of the AGM. This approach to public service remuneration reflects, in part, </w:t>
      </w:r>
      <w:r w:rsidRPr="001E797E">
        <w:t>the value attached to non-salary benefits</w:t>
      </w:r>
      <w:r>
        <w:t xml:space="preserve">, such as </w:t>
      </w:r>
      <w:r w:rsidRPr="001E797E">
        <w:t>the satisfaction that comes from the opportunity to serve the community and make a difference.</w:t>
      </w:r>
    </w:p>
    <w:p w14:paraId="5BEB063F" w14:textId="22E9C497" w:rsidR="00A658D7" w:rsidRDefault="00A658D7">
      <w:pPr>
        <w:pStyle w:val="05Paragraph"/>
      </w:pPr>
      <w:r>
        <w:t xml:space="preserve">The critical part of Mercer’s analysis is that, compared to four years ago, current executive remuneration in Victoria — particularly for senior executives — has fallen further below the 15th percentile of the AGM. Given commonalities in the roles of executives in the VPS and public entities, this provides an important reference point for the Tribunal. Moreover, the importance of a high-performing public sector to the economic performance of the State means that this decline in positioning and its impact </w:t>
      </w:r>
      <w:r w:rsidR="004211BD">
        <w:t>on</w:t>
      </w:r>
      <w:r>
        <w:t xml:space="preserve"> the State’s ability to compete for talent should be viewed with some concern. </w:t>
      </w:r>
    </w:p>
    <w:p w14:paraId="6EDC3392" w14:textId="349919CB" w:rsidR="00A658D7" w:rsidRDefault="00A658D7">
      <w:pPr>
        <w:pStyle w:val="05Paragraph"/>
      </w:pPr>
      <w:r>
        <w:t xml:space="preserve">This decline in market positioning is not simply a statistical derivation. As part of the Tribunal’s questionnaire, public entity executives who are involved in the recruitment of other executives were asked to identify the factors affecting the willingness of potential candidates to apply for executive positions or accept an employment offer. </w:t>
      </w:r>
      <w:r w:rsidR="0050107E">
        <w:t xml:space="preserve">Of those that </w:t>
      </w:r>
      <w:r w:rsidR="00953E69">
        <w:t>reported recruitment challenges,</w:t>
      </w:r>
      <w:r>
        <w:t xml:space="preserve"> 95 per cent </w:t>
      </w:r>
      <w:r w:rsidR="00F713D2">
        <w:t>listed ‘</w:t>
      </w:r>
      <w:r>
        <w:t>total remuneration package is too low</w:t>
      </w:r>
      <w:r w:rsidR="00F713D2">
        <w:t>’</w:t>
      </w:r>
      <w:r>
        <w:t>. These are the people who have first-hand experience of executive recruitment and are more likely to have real knowledge of contemporary market realities.</w:t>
      </w:r>
    </w:p>
    <w:p w14:paraId="10B3518B" w14:textId="78AB8F4F" w:rsidR="00A658D7" w:rsidRDefault="00A658D7">
      <w:pPr>
        <w:pStyle w:val="05Paragraph"/>
      </w:pPr>
      <w:r>
        <w:t>Moreover, the Tribunal heard during its roundtable consultations that adhering to the current bands has sometime led to compromise in recruitment decision-making providing further evidence supporting an uplift in the bands.</w:t>
      </w:r>
    </w:p>
    <w:p w14:paraId="4A4BEB61" w14:textId="77777777" w:rsidR="00A658D7" w:rsidRDefault="00A658D7">
      <w:pPr>
        <w:pStyle w:val="03VIRTHeading3"/>
      </w:pPr>
      <w:r>
        <w:lastRenderedPageBreak/>
        <w:t>Factors supporting restraint</w:t>
      </w:r>
    </w:p>
    <w:p w14:paraId="5D91D6AE" w14:textId="6B22AC48" w:rsidR="00A658D7" w:rsidRDefault="00A658D7">
      <w:pPr>
        <w:pStyle w:val="05Paragraph"/>
      </w:pPr>
      <w:r>
        <w:t xml:space="preserve">An increase in workload and complexity, a changing operating environment </w:t>
      </w:r>
      <w:r w:rsidR="00D42CDB">
        <w:t>and</w:t>
      </w:r>
      <w:r>
        <w:t xml:space="preserve"> a decline in market positioning for the public sector, taken together, provide compelling evidence for an increase in the remuneration bands for public entity executives. However, the broader context must be considered before a well</w:t>
      </w:r>
      <w:r w:rsidR="00A27F10">
        <w:noBreakHyphen/>
      </w:r>
      <w:r>
        <w:t>rounded and informed decision can be made.</w:t>
      </w:r>
    </w:p>
    <w:p w14:paraId="3EE5C760" w14:textId="77777777" w:rsidR="00A658D7" w:rsidRDefault="00A658D7">
      <w:pPr>
        <w:pStyle w:val="04VIRTheading4"/>
      </w:pPr>
      <w:r>
        <w:t>Views of stakeholders</w:t>
      </w:r>
    </w:p>
    <w:p w14:paraId="101E7283" w14:textId="77777777" w:rsidR="00A658D7" w:rsidRDefault="00A658D7">
      <w:pPr>
        <w:pStyle w:val="05Paragraph"/>
      </w:pPr>
      <w:r>
        <w:t>The first point to note is that, notwithstanding difficulties in recruitment and retention for some roles discussed above, data from responses to the Tribunal’s questionnaire and submissions did not identify any uniform push for a significant increase in the remuneration bands.</w:t>
      </w:r>
    </w:p>
    <w:p w14:paraId="7B1BCDC0" w14:textId="77777777" w:rsidR="00A658D7" w:rsidRDefault="00A658D7">
      <w:pPr>
        <w:pStyle w:val="05Paragraph"/>
      </w:pPr>
      <w:r>
        <w:t xml:space="preserve">Part of the reasoning can be found in the payment above the band provision in the VIRTIPS Act. Under this provision, an employer may pay an executive above the maximum of the relevant band but first must seek and consider the advice of the Tribunal. The employer is not bound to accept the advice. The fact that relatively few public entity executives are paid above the band (around seven per </w:t>
      </w:r>
      <w:r w:rsidDel="0019016C">
        <w:t>cent</w:t>
      </w:r>
      <w:r>
        <w:t xml:space="preserve">) suggests that the bands are generally fair, equitable and competitive for </w:t>
      </w:r>
      <w:proofErr w:type="gramStart"/>
      <w:r>
        <w:t>the vast majority of</w:t>
      </w:r>
      <w:proofErr w:type="gramEnd"/>
      <w:r>
        <w:t xml:space="preserve"> public entity executives.</w:t>
      </w:r>
    </w:p>
    <w:p w14:paraId="74B1277F" w14:textId="77777777" w:rsidR="00A658D7" w:rsidRDefault="00A658D7">
      <w:pPr>
        <w:pStyle w:val="05Paragraph"/>
      </w:pPr>
      <w:r>
        <w:t xml:space="preserve">The availability of this mechanism, together with the flexibility provided by the width of the bands (up to $132,413 for the current PESES-3 band), should equip employers with the capacity to offer competitive remuneration in most cases.   </w:t>
      </w:r>
    </w:p>
    <w:p w14:paraId="4B4530F1" w14:textId="77777777" w:rsidR="00A658D7" w:rsidRDefault="00A658D7">
      <w:pPr>
        <w:pStyle w:val="04VIRTheading4"/>
      </w:pPr>
      <w:r w:rsidRPr="008959B5">
        <w:t>Economic conditions and the financial position and fiscal strategy of the State</w:t>
      </w:r>
    </w:p>
    <w:p w14:paraId="53243168" w14:textId="43EA4609" w:rsidR="00342E31" w:rsidRPr="002D71B5" w:rsidRDefault="00342E31" w:rsidP="00342E31">
      <w:pPr>
        <w:pStyle w:val="05Paragraph"/>
      </w:pPr>
      <w:r w:rsidRPr="002D71B5">
        <w:t>Economic growth has been subdued in recent years as cost</w:t>
      </w:r>
      <w:r w:rsidR="00021B57" w:rsidRPr="002D71B5">
        <w:t>-</w:t>
      </w:r>
      <w:r w:rsidRPr="002D71B5">
        <w:t>of</w:t>
      </w:r>
      <w:r w:rsidR="00021B57" w:rsidRPr="002D71B5">
        <w:t>-</w:t>
      </w:r>
      <w:r w:rsidRPr="002D71B5">
        <w:t>living pressures weigh on household spending. While growth is expected to pick up in the coming years, it is likely to be slower than previously expected.</w:t>
      </w:r>
    </w:p>
    <w:p w14:paraId="2E88556C" w14:textId="77777777" w:rsidR="00342E31" w:rsidRPr="002D71B5" w:rsidRDefault="00342E31" w:rsidP="00342E31">
      <w:pPr>
        <w:pStyle w:val="05Paragraph"/>
      </w:pPr>
      <w:r w:rsidRPr="002D71B5">
        <w:t>Inflation has continued to moderate — although recent easing reflects the effect of temporary policy measures to assist households. Headline inflation is expected to increase in the near term, but to be around the mid-point of the Reserve Bank of Australia’s target range by late 2026.</w:t>
      </w:r>
    </w:p>
    <w:p w14:paraId="3F41E6A1" w14:textId="6C190886" w:rsidR="00342E31" w:rsidRPr="002D71B5" w:rsidRDefault="00342E31" w:rsidP="00342E31">
      <w:pPr>
        <w:pStyle w:val="05Paragraph"/>
      </w:pPr>
      <w:r w:rsidRPr="002D71B5">
        <w:t xml:space="preserve">Labour market conditions have eased slightly but remain tight, with strong employment growth and high </w:t>
      </w:r>
      <w:r w:rsidR="006D7823" w:rsidRPr="002D71B5">
        <w:t xml:space="preserve">rates of </w:t>
      </w:r>
      <w:r w:rsidRPr="002D71B5">
        <w:t>labour</w:t>
      </w:r>
      <w:r w:rsidR="006D7823" w:rsidRPr="002D71B5">
        <w:t xml:space="preserve"> force</w:t>
      </w:r>
      <w:r w:rsidRPr="002D71B5">
        <w:t xml:space="preserve"> participation. The unemployment rate has recently been </w:t>
      </w:r>
      <w:proofErr w:type="gramStart"/>
      <w:r w:rsidRPr="002D71B5">
        <w:t>stable, but</w:t>
      </w:r>
      <w:proofErr w:type="gramEnd"/>
      <w:r w:rsidRPr="002D71B5">
        <w:t xml:space="preserve"> is expected to increase. </w:t>
      </w:r>
      <w:r w:rsidRPr="002D71B5">
        <w:lastRenderedPageBreak/>
        <w:t xml:space="preserve">Reflecting these conditions, nominal wages </w:t>
      </w:r>
      <w:r w:rsidR="008863D2" w:rsidRPr="002D71B5">
        <w:t xml:space="preserve">growth </w:t>
      </w:r>
      <w:r w:rsidR="002A730E" w:rsidRPr="002D71B5">
        <w:t>has</w:t>
      </w:r>
      <w:r w:rsidRPr="002D71B5">
        <w:t xml:space="preserve"> increased </w:t>
      </w:r>
      <w:r w:rsidR="002A730E" w:rsidRPr="002D71B5">
        <w:t xml:space="preserve">in recent years </w:t>
      </w:r>
      <w:r w:rsidRPr="002D71B5">
        <w:t xml:space="preserve">but </w:t>
      </w:r>
      <w:r w:rsidR="002A730E" w:rsidRPr="002D71B5">
        <w:t xml:space="preserve">has </w:t>
      </w:r>
      <w:r w:rsidRPr="002D71B5">
        <w:t xml:space="preserve">passed </w:t>
      </w:r>
      <w:r w:rsidR="002A730E" w:rsidRPr="002D71B5">
        <w:t>its</w:t>
      </w:r>
      <w:r w:rsidRPr="002D71B5">
        <w:t xml:space="preserve"> peak</w:t>
      </w:r>
      <w:r w:rsidR="00597DAA" w:rsidRPr="002D71B5">
        <w:t xml:space="preserve"> </w:t>
      </w:r>
      <w:r w:rsidR="002A730E" w:rsidRPr="002D71B5">
        <w:t>while</w:t>
      </w:r>
      <w:r w:rsidRPr="002D71B5">
        <w:t xml:space="preserve"> real wage</w:t>
      </w:r>
      <w:r w:rsidR="00597DAA" w:rsidRPr="002D71B5">
        <w:t>s</w:t>
      </w:r>
      <w:r w:rsidRPr="002D71B5">
        <w:t xml:space="preserve"> growth has been uneven. </w:t>
      </w:r>
    </w:p>
    <w:p w14:paraId="5E397286" w14:textId="4138D46B" w:rsidR="00342E31" w:rsidRPr="002D71B5" w:rsidRDefault="00342E31" w:rsidP="00342E31">
      <w:pPr>
        <w:pStyle w:val="05Paragraph"/>
      </w:pPr>
      <w:r w:rsidRPr="002D71B5">
        <w:t xml:space="preserve">In relation to fiscal strategy, the Victorian Government has a five-step strategy </w:t>
      </w:r>
      <w:r w:rsidR="00984D7F" w:rsidRPr="002D71B5">
        <w:t>for</w:t>
      </w:r>
      <w:r w:rsidRPr="002D71B5">
        <w:t xml:space="preserve"> </w:t>
      </w:r>
      <w:r w:rsidR="00597DAA" w:rsidRPr="002D71B5">
        <w:t>restoring the budget</w:t>
      </w:r>
      <w:r w:rsidRPr="002D71B5">
        <w:t xml:space="preserve"> and stabilising </w:t>
      </w:r>
      <w:r w:rsidR="00597DAA" w:rsidRPr="002D71B5">
        <w:t xml:space="preserve">net </w:t>
      </w:r>
      <w:r w:rsidRPr="002D71B5">
        <w:t>debt levels. This includes the government’s commitment to rebalancing the public service and bringing staffing levels back to pre-pandemic levels.</w:t>
      </w:r>
    </w:p>
    <w:p w14:paraId="1DA74D4A" w14:textId="7D5A1B9F" w:rsidR="007038FE" w:rsidRDefault="00342E31" w:rsidP="00342E31">
      <w:pPr>
        <w:pStyle w:val="05Paragraph"/>
      </w:pPr>
      <w:r w:rsidRPr="002D71B5">
        <w:t xml:space="preserve">Consistent with its strategy, the Victorian Government achieved an operating cash surplus in 2022-23 </w:t>
      </w:r>
      <w:r w:rsidR="006E4B4F" w:rsidRPr="002D71B5">
        <w:t xml:space="preserve">and </w:t>
      </w:r>
      <w:r w:rsidRPr="002D71B5">
        <w:t xml:space="preserve">is forecasting an operating surplus from 2025-26. Net debt is predicted to increase in nominal terms through to </w:t>
      </w:r>
      <w:proofErr w:type="gramStart"/>
      <w:r w:rsidRPr="002D71B5">
        <w:t>2027-28, but</w:t>
      </w:r>
      <w:proofErr w:type="gramEnd"/>
      <w:r w:rsidRPr="002D71B5">
        <w:t xml:space="preserve"> stabilise as a share of the economy from mid-2026.</w:t>
      </w:r>
    </w:p>
    <w:p w14:paraId="481497B4" w14:textId="77777777" w:rsidR="00A658D7" w:rsidRDefault="00A658D7">
      <w:pPr>
        <w:pStyle w:val="04VIRTheading4"/>
      </w:pPr>
      <w:r>
        <w:t xml:space="preserve">Wages policy </w:t>
      </w:r>
    </w:p>
    <w:p w14:paraId="590C9E1E" w14:textId="26270136" w:rsidR="00A658D7" w:rsidRDefault="00A658D7">
      <w:pPr>
        <w:pStyle w:val="05Paragraph"/>
      </w:pPr>
      <w:r w:rsidRPr="00227F0C">
        <w:t xml:space="preserve">Although the government’s current Wages Policy </w:t>
      </w:r>
      <w:r w:rsidR="00333983" w:rsidRPr="00333983">
        <w:t xml:space="preserve">and the Enterprise Bargaining Framework </w:t>
      </w:r>
      <w:r w:rsidR="00333983">
        <w:t>(</w:t>
      </w:r>
      <w:r w:rsidRPr="00227F0C">
        <w:t>Wages Policy</w:t>
      </w:r>
      <w:r w:rsidR="00333983">
        <w:t>)</w:t>
      </w:r>
      <w:r w:rsidRPr="00227F0C">
        <w:t xml:space="preserve"> is one of many factors the Tribunal is required to consider in making its decisions, </w:t>
      </w:r>
      <w:proofErr w:type="gramStart"/>
      <w:r w:rsidRPr="00227F0C">
        <w:t>in light of</w:t>
      </w:r>
      <w:proofErr w:type="gramEnd"/>
      <w:r w:rsidRPr="00227F0C">
        <w:t xml:space="preserve"> the current financial circumstances of the State and its strategies for dealing with net debt, the Tribunal felt it appropriate that the policy be given considerable weight in the decision-making process.</w:t>
      </w:r>
    </w:p>
    <w:p w14:paraId="541ADAE9" w14:textId="77777777" w:rsidR="00A658D7" w:rsidRDefault="00A658D7">
      <w:pPr>
        <w:pStyle w:val="05Paragraph"/>
      </w:pPr>
      <w:r>
        <w:t>The Wages Policy provides that:</w:t>
      </w:r>
    </w:p>
    <w:p w14:paraId="254CF9B5" w14:textId="77777777" w:rsidR="00A658D7" w:rsidRDefault="00A658D7" w:rsidP="00A658D7">
      <w:pPr>
        <w:pStyle w:val="06VIRTBulletpoints"/>
        <w:ind w:left="502"/>
      </w:pPr>
      <w:r>
        <w:t>increases in wages and conditions will be funded at a rate of growth of 3 per cent per annum over the life of the agreement. In practice this means that employee wages and conditions will be allowed to grow at this rate</w:t>
      </w:r>
    </w:p>
    <w:p w14:paraId="15145F29" w14:textId="77777777" w:rsidR="00A658D7" w:rsidRDefault="00A658D7" w:rsidP="00A658D7">
      <w:pPr>
        <w:pStyle w:val="06VIRTBulletpoints"/>
        <w:ind w:left="502"/>
      </w:pPr>
      <w:r>
        <w:t>in addition to annual wage increases, a separate lump sum cash payment will be available equivalent to an additional 0.5 per cent of overall agreement costs.</w:t>
      </w:r>
    </w:p>
    <w:p w14:paraId="49936988" w14:textId="77777777" w:rsidR="00A658D7" w:rsidRDefault="00A658D7">
      <w:pPr>
        <w:pStyle w:val="05Paragraph"/>
      </w:pPr>
      <w:r>
        <w:t xml:space="preserve">The Tribunal’s rationale for giving some weight to Wages Policy is not related to the financial impact of any increase in the executive remuneration bands. Given the relatively small size of the public entity executive cohort compared to total public sector employment, any increase in the public entity executive remuneration bands will not have a significant impact on the budget’s bottom line, </w:t>
      </w:r>
      <w:r w:rsidDel="0019311C">
        <w:t>although it may have an impact in some of the smaller entities</w:t>
      </w:r>
      <w:r>
        <w:t xml:space="preserve">. </w:t>
      </w:r>
    </w:p>
    <w:p w14:paraId="374464BE" w14:textId="77777777" w:rsidR="00A658D7" w:rsidRDefault="00A658D7">
      <w:pPr>
        <w:pStyle w:val="05Paragraph"/>
      </w:pPr>
      <w:r>
        <w:t xml:space="preserve">Rather, the challenges facing the State are considerable and a degree of discipline and a high level of adherence to policy objectives will be required to overcome </w:t>
      </w:r>
      <w:r>
        <w:lastRenderedPageBreak/>
        <w:t>them. If any group is seen to be given ‘special treatment’ it will inevitably weaken the collective effort.</w:t>
      </w:r>
    </w:p>
    <w:p w14:paraId="55D99ACC" w14:textId="77777777" w:rsidR="00A658D7" w:rsidRDefault="00A658D7">
      <w:pPr>
        <w:pStyle w:val="04VIRTheading4"/>
      </w:pPr>
      <w:r>
        <w:t>The social compact</w:t>
      </w:r>
    </w:p>
    <w:p w14:paraId="181472C8" w14:textId="7325D219" w:rsidR="00A658D7" w:rsidRDefault="00A658D7">
      <w:pPr>
        <w:pStyle w:val="05Paragraph"/>
      </w:pPr>
      <w:r>
        <w:t>In making this decision — and indeed all decisions — the Tribunal did so having weighed the impact that its decision may have on the level of trust between the community and the Victorian public sector</w:t>
      </w:r>
      <w:r w:rsidR="00A27F10">
        <w:t>,</w:t>
      </w:r>
      <w:r>
        <w:t xml:space="preserve"> if increases in remuneration for executives are perceived as out of step with community standards and expectations and prevailing economic conditions.</w:t>
      </w:r>
    </w:p>
    <w:p w14:paraId="638420FF" w14:textId="77777777" w:rsidR="00A658D7" w:rsidRDefault="00A658D7">
      <w:pPr>
        <w:pStyle w:val="03VIRTHeading3"/>
      </w:pPr>
      <w:r>
        <w:t>The Tribunal’s decision</w:t>
      </w:r>
    </w:p>
    <w:p w14:paraId="5EF2B545" w14:textId="77777777" w:rsidR="00A658D7" w:rsidRDefault="00A658D7">
      <w:pPr>
        <w:pStyle w:val="05Paragraph"/>
      </w:pPr>
      <w:r>
        <w:t>As discussed earlier, the public sector has fallen behind movements in the AGM compared to where it was four years ago — for example, based on Mercer’s 2024 analysis of market remuneration data, the top of the PESES-3 band is now 8.4 per cent below where it would have been if it had been adjusted in line with market movements.</w:t>
      </w:r>
    </w:p>
    <w:p w14:paraId="202101B8" w14:textId="77777777" w:rsidR="00A658D7" w:rsidRDefault="00A658D7">
      <w:pPr>
        <w:pStyle w:val="05Paragraph"/>
      </w:pPr>
      <w:r>
        <w:t xml:space="preserve">As indicated, the Tribunal is of the view that an increase in the remuneration bands for public entity executives is justified by the evidence and particularly if the significant changes to the operating environment and the workload and role of executives is </w:t>
      </w:r>
      <w:proofErr w:type="gramStart"/>
      <w:r>
        <w:t>taken into account</w:t>
      </w:r>
      <w:proofErr w:type="gramEnd"/>
      <w:r>
        <w:t xml:space="preserve">. </w:t>
      </w:r>
    </w:p>
    <w:p w14:paraId="2D4BA7AB" w14:textId="55BF0C7F" w:rsidR="00A658D7" w:rsidRDefault="00A658D7">
      <w:pPr>
        <w:pStyle w:val="05Paragraph"/>
      </w:pPr>
      <w:r>
        <w:t xml:space="preserve">However, having weighed </w:t>
      </w:r>
      <w:proofErr w:type="gramStart"/>
      <w:r>
        <w:t>all of</w:t>
      </w:r>
      <w:proofErr w:type="gramEnd"/>
      <w:r>
        <w:t xml:space="preserve"> the factors discussed above</w:t>
      </w:r>
      <w:r w:rsidR="00977BD3">
        <w:t>,</w:t>
      </w:r>
      <w:r>
        <w:t xml:space="preserve"> and in particular current economic circumstances and the financial position of the State and the likely public reaction to significant increases in public entity executive pay at this time, it has decided to exercise restraint consistent with its VPS </w:t>
      </w:r>
      <w:r w:rsidR="00977BD3">
        <w:t>D</w:t>
      </w:r>
      <w:r>
        <w:t>etermination earlier this year.</w:t>
      </w:r>
    </w:p>
    <w:p w14:paraId="4A6C0AF6" w14:textId="77777777" w:rsidR="00A658D7" w:rsidRDefault="00A658D7">
      <w:pPr>
        <w:pStyle w:val="05Paragraph"/>
      </w:pPr>
      <w:r>
        <w:t>In making its decision, the Tribunal</w:t>
      </w:r>
      <w:r w:rsidRPr="00AB708E">
        <w:t xml:space="preserve"> </w:t>
      </w:r>
      <w:r>
        <w:t xml:space="preserve">also </w:t>
      </w:r>
      <w:r w:rsidRPr="00AB708E">
        <w:t>consider</w:t>
      </w:r>
      <w:r>
        <w:t>ed</w:t>
      </w:r>
      <w:r w:rsidRPr="00AB708E">
        <w:t xml:space="preserve"> whether there should be consistency with the recently determined VPS bands. The Tribunal heard that although there are many similarities between the two sectors, there are some important differences including governance arrangements, a more competitive operating environment for many entities and a degree of independence not enjoyed by the VPS</w:t>
      </w:r>
      <w:r>
        <w:t>.</w:t>
      </w:r>
    </w:p>
    <w:p w14:paraId="2DED4FEB" w14:textId="77777777" w:rsidR="00A658D7" w:rsidRDefault="00A658D7">
      <w:pPr>
        <w:pStyle w:val="05Paragraph"/>
      </w:pPr>
      <w:r>
        <w:t xml:space="preserve">The distinctive operating environment and governance arrangements (relative to the VPS and private sector organisations) require executives to possess a range of skills and competencies. In addition to possessing technical or specialist skills, executives may also be required to navigate the public sector context, including </w:t>
      </w:r>
      <w:r>
        <w:lastRenderedPageBreak/>
        <w:t xml:space="preserve">relationships with portfolio departments and Ministers, and engaging with the entity’s board. </w:t>
      </w:r>
    </w:p>
    <w:p w14:paraId="041FA7F7" w14:textId="77777777" w:rsidR="00A658D7" w:rsidRDefault="00A658D7">
      <w:pPr>
        <w:pStyle w:val="05Paragraph"/>
      </w:pPr>
      <w:r>
        <w:t xml:space="preserve">On the other hand, there are </w:t>
      </w:r>
      <w:proofErr w:type="gramStart"/>
      <w:r>
        <w:t>a number of</w:t>
      </w:r>
      <w:proofErr w:type="gramEnd"/>
      <w:r>
        <w:t xml:space="preserve"> factors that lean towards consistency as the preferred outcome. The most important of these are as follows:</w:t>
      </w:r>
    </w:p>
    <w:p w14:paraId="4D7B6E0B" w14:textId="72487F8D" w:rsidR="00A658D7" w:rsidRDefault="00A658D7" w:rsidP="00A658D7">
      <w:pPr>
        <w:pStyle w:val="06VIRTBulletpoints"/>
        <w:ind w:left="502"/>
      </w:pPr>
      <w:r>
        <w:t>Notwithstanding the differences referred to above, public entities are part of the one public sector with common values including a service ethos, the same professional standards, and ultimately are accountable in equal measure to the government of the day. As part of the broader executive employment framework, a common remuneration framework,</w:t>
      </w:r>
      <w:r w:rsidDel="000A1D26">
        <w:t xml:space="preserve"> </w:t>
      </w:r>
      <w:r>
        <w:t xml:space="preserve">will encourage entities — including those with a commercial focus — to view themselves as part of a single cohesive public </w:t>
      </w:r>
      <w:r w:rsidR="00A219E5">
        <w:t>sector</w:t>
      </w:r>
      <w:r>
        <w:t>.</w:t>
      </w:r>
    </w:p>
    <w:p w14:paraId="1339887F" w14:textId="183FD007" w:rsidR="00A658D7" w:rsidRDefault="00A658D7" w:rsidP="00A658D7">
      <w:pPr>
        <w:pStyle w:val="06VIRTBulletpoints"/>
        <w:ind w:left="502"/>
      </w:pPr>
      <w:r>
        <w:t xml:space="preserve">Common remuneration bands may encourage mobility </w:t>
      </w:r>
      <w:r w:rsidR="00AC7160">
        <w:t>across the public sector,</w:t>
      </w:r>
      <w:r>
        <w:t xml:space="preserve"> resulting in an exchange in experience, skills and technical expertise to the benefit of the public </w:t>
      </w:r>
      <w:proofErr w:type="gramStart"/>
      <w:r>
        <w:t>sector as a whole</w:t>
      </w:r>
      <w:proofErr w:type="gramEnd"/>
      <w:r>
        <w:t>.</w:t>
      </w:r>
    </w:p>
    <w:p w14:paraId="21362437" w14:textId="77777777" w:rsidR="00A658D7" w:rsidRDefault="00A658D7" w:rsidP="00A658D7">
      <w:pPr>
        <w:pStyle w:val="06VIRTBulletpoints"/>
        <w:ind w:left="502"/>
      </w:pPr>
      <w:r>
        <w:t xml:space="preserve">As discussed above, there is strong evidence that the competitive pressures experienced by some entities compared to the VPS can be accommodated by the existing payment above the band system rather than adding another band on top of the existing structure — which inevitably would result in migration into this band irrespective of competitive pressures. </w:t>
      </w:r>
    </w:p>
    <w:p w14:paraId="35180EAC" w14:textId="085D4999" w:rsidR="00A658D7" w:rsidRDefault="00A658D7" w:rsidP="00A658D7">
      <w:pPr>
        <w:pStyle w:val="06VIRTBulletpoints"/>
        <w:ind w:left="502"/>
      </w:pPr>
      <w:r w:rsidRPr="002B1F59">
        <w:t xml:space="preserve">Finally, there is the question of equity. It would be unseemly to be seen to value the work of executives in one </w:t>
      </w:r>
      <w:r w:rsidR="00AD484C">
        <w:t>group</w:t>
      </w:r>
      <w:r w:rsidRPr="002B1F59">
        <w:t xml:space="preserve"> over the other through different remuneration arrangements. A risk in such an arrangement would be that it would result in additional recruitment and retention pressures as executives in the lower </w:t>
      </w:r>
      <w:r>
        <w:t xml:space="preserve">paid </w:t>
      </w:r>
      <w:r w:rsidR="00AD484C">
        <w:t>group</w:t>
      </w:r>
      <w:r>
        <w:t xml:space="preserve"> sought greener pastures elsewhere.</w:t>
      </w:r>
    </w:p>
    <w:p w14:paraId="76F7BB44" w14:textId="4D2BBB49" w:rsidR="00A658D7" w:rsidRDefault="00A658D7">
      <w:pPr>
        <w:pStyle w:val="05Paragraph"/>
      </w:pPr>
      <w:r>
        <w:t xml:space="preserve">Overall, the new remuneration bands set by the Tribunal result in an increase to the current bands of between 4 and 4.5 per cent. </w:t>
      </w:r>
    </w:p>
    <w:p w14:paraId="18D8174B" w14:textId="275CBA2E" w:rsidR="003F26DA" w:rsidRDefault="003F26DA">
      <w:pPr>
        <w:pStyle w:val="05Paragraph"/>
      </w:pPr>
      <w:r>
        <w:br w:type="page"/>
      </w:r>
    </w:p>
    <w:p w14:paraId="1B741476" w14:textId="07DA99F3" w:rsidR="003F26DA" w:rsidRDefault="003F26DA" w:rsidP="002F7028">
      <w:pPr>
        <w:pStyle w:val="01Chapterheading"/>
        <w:numPr>
          <w:ilvl w:val="0"/>
          <w:numId w:val="31"/>
        </w:numPr>
        <w:spacing w:after="0"/>
        <w:ind w:left="709"/>
      </w:pPr>
      <w:bookmarkStart w:id="25" w:name="_Toc185012348"/>
      <w:r>
        <w:lastRenderedPageBreak/>
        <w:t>About this Determination</w:t>
      </w:r>
      <w:bookmarkEnd w:id="25"/>
    </w:p>
    <w:p w14:paraId="4F41A6CB" w14:textId="77777777" w:rsidR="003F26DA" w:rsidRDefault="003F26DA" w:rsidP="002F7028">
      <w:pPr>
        <w:pStyle w:val="05Paragraph"/>
        <w:spacing w:after="180"/>
      </w:pPr>
      <w:r>
        <w:rPr>
          <w:noProof/>
        </w:rPr>
        <w:drawing>
          <wp:inline distT="0" distB="0" distL="0" distR="0" wp14:anchorId="21CBF85F" wp14:editId="29041075">
            <wp:extent cx="2212975" cy="255905"/>
            <wp:effectExtent l="0" t="0" r="0" b="0"/>
            <wp:docPr id="869588323"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717D9B4F" w14:textId="723ADF22" w:rsidR="003F26DA" w:rsidRDefault="003F26DA">
      <w:pPr>
        <w:pStyle w:val="05Paragraph"/>
      </w:pPr>
      <w:r>
        <w:t>The Victorian Independent Remuneration Tribunal provides transparent, accountable and evidence-based decision-making about the remuneration of Members of the Parliament of Victoria, public sector executives and elected local government officials.</w:t>
      </w:r>
    </w:p>
    <w:p w14:paraId="7ABC1C88" w14:textId="77777777" w:rsidR="003F26DA" w:rsidRDefault="003F26DA">
      <w:pPr>
        <w:pStyle w:val="05Paragraph"/>
      </w:pPr>
      <w:r>
        <w:t xml:space="preserve">The Tribunal was established under the </w:t>
      </w:r>
      <w:bookmarkStart w:id="26" w:name="_Hlk180428474"/>
      <w:r w:rsidRPr="004668D4">
        <w:rPr>
          <w:i/>
          <w:iCs/>
        </w:rPr>
        <w:t>Victorian Independent Remuneration Tribunal and Improving Parliamentary Standards Act 2019</w:t>
      </w:r>
      <w:r>
        <w:t xml:space="preserve"> </w:t>
      </w:r>
      <w:bookmarkEnd w:id="26"/>
      <w:r>
        <w:t>(Vic) (VIRTIPS Act), which requires it to make Determinations in relation to the:</w:t>
      </w:r>
    </w:p>
    <w:p w14:paraId="1D9F90E8" w14:textId="683CBE76" w:rsidR="003F26DA" w:rsidRDefault="003F26DA" w:rsidP="003F26DA">
      <w:pPr>
        <w:pStyle w:val="06VIRTBulletpoints"/>
        <w:ind w:left="357" w:hanging="357"/>
      </w:pPr>
      <w:r>
        <w:t xml:space="preserve">salaries and allowances for </w:t>
      </w:r>
      <w:r w:rsidR="00E73608">
        <w:t>Members of the Parliament of Victoria</w:t>
      </w:r>
    </w:p>
    <w:p w14:paraId="0D86E5BB" w14:textId="77777777" w:rsidR="003F26DA" w:rsidRDefault="003F26DA" w:rsidP="003F26DA">
      <w:pPr>
        <w:pStyle w:val="06VIRTBulletpoints"/>
        <w:ind w:left="357" w:hanging="357"/>
      </w:pPr>
      <w:r>
        <w:t>remuneration bands for executives employed in public service bodies</w:t>
      </w:r>
    </w:p>
    <w:p w14:paraId="0B27FB6C" w14:textId="77777777" w:rsidR="003F26DA" w:rsidRDefault="003F26DA" w:rsidP="003F26DA">
      <w:pPr>
        <w:pStyle w:val="06VIRTBulletpoints"/>
        <w:ind w:left="357" w:hanging="357"/>
      </w:pPr>
      <w:r>
        <w:t>remuneration bands for executives employed in prescribed public entities</w:t>
      </w:r>
    </w:p>
    <w:p w14:paraId="17E51276" w14:textId="77777777" w:rsidR="003F26DA" w:rsidRDefault="003F26DA" w:rsidP="003F26DA">
      <w:pPr>
        <w:pStyle w:val="06VIRTBulletpoints"/>
        <w:ind w:left="357" w:hanging="357"/>
      </w:pPr>
      <w:r>
        <w:t>allowances provided to Mayors, Deputy Mayors and Councillors.</w:t>
      </w:r>
    </w:p>
    <w:p w14:paraId="4A02037F" w14:textId="77777777" w:rsidR="003F26DA" w:rsidRDefault="003F26DA">
      <w:pPr>
        <w:pStyle w:val="05Paragraph"/>
      </w:pPr>
      <w:r w:rsidRPr="004668D4">
        <w:t>In performing its functions, the Tribunal must act independently and impartially and is not subject to the control or direction of any person, including the Minister.</w:t>
      </w:r>
      <w:r>
        <w:rPr>
          <w:rStyle w:val="FootnoteReference"/>
        </w:rPr>
        <w:footnoteReference w:id="2"/>
      </w:r>
    </w:p>
    <w:p w14:paraId="4A4CF5AE" w14:textId="77777777" w:rsidR="003F26DA" w:rsidRDefault="003F26DA">
      <w:pPr>
        <w:pStyle w:val="05Paragraph"/>
      </w:pPr>
      <w:r>
        <w:t xml:space="preserve">The Tribunal made its first Determination of the remuneration bands for executives employed in prescribed public entities on 18 December 2020 — the </w:t>
      </w:r>
      <w:r w:rsidRPr="008409D1">
        <w:rPr>
          <w:i/>
          <w:iCs/>
        </w:rPr>
        <w:t>Remuneration bands for executives employed in prescribed public entities (Victoria) Determination No. 01/2020</w:t>
      </w:r>
      <w:r>
        <w:t xml:space="preserve"> (2020 PE Determination). In 2021, 2022 and 2023, Determinations were made providing for an annual adjustment to the values of the remuneration bands set in the 2020 PE Determination.</w:t>
      </w:r>
    </w:p>
    <w:p w14:paraId="0579E630" w14:textId="30A1D5B8" w:rsidR="003F26DA" w:rsidRPr="00D577B5" w:rsidRDefault="003F26DA">
      <w:pPr>
        <w:pStyle w:val="05Paragraph"/>
      </w:pPr>
      <w:r w:rsidRPr="00D577B5">
        <w:t>The VIRTIPS Act requires a new Determination to be made at the end of each four</w:t>
      </w:r>
      <w:r>
        <w:noBreakHyphen/>
      </w:r>
      <w:r w:rsidRPr="00D577B5">
        <w:t>year period after the previous Determination was made.</w:t>
      </w:r>
      <w:r w:rsidRPr="00D577B5">
        <w:rPr>
          <w:rStyle w:val="FootnoteReference"/>
        </w:rPr>
        <w:footnoteReference w:id="3"/>
      </w:r>
      <w:r w:rsidRPr="00D577B5">
        <w:t xml:space="preserve"> This means that a new Determination cannot be made until after 17 December 2024. </w:t>
      </w:r>
      <w:r w:rsidRPr="00D577B5">
        <w:rPr>
          <w:spacing w:val="-2"/>
        </w:rPr>
        <w:t>The Tribunal does, however, have flexibility to specify when a Determination takes effect.</w:t>
      </w:r>
      <w:r w:rsidRPr="00D577B5">
        <w:rPr>
          <w:rStyle w:val="FootnoteReference"/>
          <w:spacing w:val="-2"/>
        </w:rPr>
        <w:footnoteReference w:id="4"/>
      </w:r>
    </w:p>
    <w:p w14:paraId="308067FA" w14:textId="47DAB7A1" w:rsidR="003F26DA" w:rsidRPr="00D577B5" w:rsidRDefault="003F26DA">
      <w:pPr>
        <w:pStyle w:val="05Paragraph"/>
        <w:rPr>
          <w:spacing w:val="-2"/>
        </w:rPr>
      </w:pPr>
      <w:r w:rsidRPr="00D577B5">
        <w:rPr>
          <w:spacing w:val="-2"/>
        </w:rPr>
        <w:t xml:space="preserve">The Tribunal would typically have made an annual adjustment to the remuneration bands for </w:t>
      </w:r>
      <w:r w:rsidR="002005CB">
        <w:rPr>
          <w:spacing w:val="-2"/>
        </w:rPr>
        <w:t>public entity</w:t>
      </w:r>
      <w:r w:rsidRPr="00D577B5">
        <w:rPr>
          <w:spacing w:val="-2"/>
        </w:rPr>
        <w:t xml:space="preserve"> executives to apply from 1 July 2024, but did not do so given the timing of this Determination. A particular consideration therefore was whether </w:t>
      </w:r>
      <w:r w:rsidRPr="00D577B5">
        <w:rPr>
          <w:spacing w:val="-2"/>
        </w:rPr>
        <w:lastRenderedPageBreak/>
        <w:t xml:space="preserve">to set a commencement date for this Determination that incorporated an annual adjustment from 1 July 2024. </w:t>
      </w:r>
    </w:p>
    <w:p w14:paraId="49219F90" w14:textId="77777777" w:rsidR="003F26DA" w:rsidRPr="00D577B5" w:rsidRDefault="003F26DA">
      <w:pPr>
        <w:pStyle w:val="05Paragraph"/>
        <w:rPr>
          <w:spacing w:val="-2"/>
        </w:rPr>
      </w:pPr>
      <w:r w:rsidRPr="00D577B5">
        <w:rPr>
          <w:spacing w:val="-2"/>
        </w:rPr>
        <w:t xml:space="preserve">The Tribunal has decided that the </w:t>
      </w:r>
      <w:r w:rsidRPr="00D577B5">
        <w:rPr>
          <w:i/>
          <w:iCs/>
          <w:spacing w:val="-2"/>
        </w:rPr>
        <w:t>Remuneration bands for executives employed in prescribed public entities (Victoria) Determination No. 01/2024</w:t>
      </w:r>
      <w:r w:rsidRPr="00D577B5">
        <w:rPr>
          <w:spacing w:val="-2"/>
        </w:rPr>
        <w:t xml:space="preserve"> (2024 PE Determination) will take effect on 1 July 2024. </w:t>
      </w:r>
    </w:p>
    <w:p w14:paraId="29F32491" w14:textId="77777777" w:rsidR="003F26DA" w:rsidRPr="00B93504" w:rsidRDefault="003F26DA">
      <w:pPr>
        <w:pStyle w:val="05Paragraph"/>
        <w:rPr>
          <w:spacing w:val="-2"/>
        </w:rPr>
      </w:pPr>
      <w:r w:rsidRPr="00052D42">
        <w:rPr>
          <w:spacing w:val="-2"/>
        </w:rPr>
        <w:t>Subject to the requirements of the VIRTIPS Act, the Tribunal intends to align the commencement dates for future Determinations of the remuneration bands for executives employed in public entities and in Victorian Public Service (VPS) bodies.</w:t>
      </w:r>
    </w:p>
    <w:p w14:paraId="6FCE8C90" w14:textId="77777777" w:rsidR="003F26DA" w:rsidRDefault="003F26DA" w:rsidP="003F26DA">
      <w:pPr>
        <w:pStyle w:val="02VIRTHeading2"/>
        <w:numPr>
          <w:ilvl w:val="1"/>
          <w:numId w:val="32"/>
        </w:numPr>
        <w:ind w:left="1418" w:hanging="1429"/>
      </w:pPr>
      <w:bookmarkStart w:id="27" w:name="_Toc185012349"/>
      <w:r>
        <w:t>The Determination applies to executives employed in prescribed public entities</w:t>
      </w:r>
      <w:bookmarkEnd w:id="27"/>
    </w:p>
    <w:p w14:paraId="61F371DD" w14:textId="77777777" w:rsidR="003F26DA" w:rsidRDefault="003F26DA">
      <w:pPr>
        <w:pStyle w:val="05Paragraph"/>
      </w:pPr>
      <w:r>
        <w:t xml:space="preserve">The 2024 PE Determination sets new values of the remuneration bands for executives employed in a prescribed public entity. </w:t>
      </w:r>
    </w:p>
    <w:p w14:paraId="5364075F" w14:textId="77777777" w:rsidR="003F26DA" w:rsidRDefault="003F26DA">
      <w:pPr>
        <w:pStyle w:val="05Paragraph"/>
      </w:pPr>
      <w:r>
        <w:t xml:space="preserve">The definition of a prescribed public entity in the </w:t>
      </w:r>
      <w:r w:rsidRPr="00B809B5">
        <w:t xml:space="preserve">Victorian Independent Remuneration Tribunal and Improving Parliamentary Standards </w:t>
      </w:r>
      <w:r>
        <w:t xml:space="preserve">(Prescribed Public Entities) Regulations </w:t>
      </w:r>
      <w:r w:rsidRPr="00B809B5">
        <w:t>20</w:t>
      </w:r>
      <w:r>
        <w:t>21 includes all public entities in Victoria other than those entities that have been specifically excluded, such as public health services.</w:t>
      </w:r>
      <w:r>
        <w:rPr>
          <w:rStyle w:val="FootnoteReference"/>
        </w:rPr>
        <w:footnoteReference w:id="5"/>
      </w:r>
    </w:p>
    <w:p w14:paraId="3F7BAA6B" w14:textId="7F0A8342" w:rsidR="003F26DA" w:rsidRDefault="003F26DA">
      <w:pPr>
        <w:pStyle w:val="05Paragraph"/>
      </w:pPr>
      <w:r>
        <w:t>The Public Entity Executive Remuneration Policy</w:t>
      </w:r>
      <w:r w:rsidR="000C6CCD">
        <w:t xml:space="preserve"> (PEER Policy)</w:t>
      </w:r>
      <w:r>
        <w:t xml:space="preserve"> in turn sets out the employment and remuneration framework for executives employed in a prescribed public entity.</w:t>
      </w:r>
      <w:r>
        <w:rPr>
          <w:rStyle w:val="FootnoteReference"/>
        </w:rPr>
        <w:footnoteReference w:id="6"/>
      </w:r>
      <w:r>
        <w:t xml:space="preserve"> The definition of an executive covered by the PEER Policy principally comprises Chief Executive Officers (CEOs), or similar positions, and other executive roles above a specific classification threshold.</w:t>
      </w:r>
      <w:r>
        <w:rPr>
          <w:rStyle w:val="FootnoteReference"/>
        </w:rPr>
        <w:footnoteReference w:id="7"/>
      </w:r>
      <w:r>
        <w:t xml:space="preserve"> The definition also includes executives employed in a prescribed public entity under Part 3 of the </w:t>
      </w:r>
      <w:r w:rsidRPr="006910CA">
        <w:rPr>
          <w:i/>
          <w:iCs/>
        </w:rPr>
        <w:t>Public Administration Act 2004</w:t>
      </w:r>
      <w:r>
        <w:t xml:space="preserve"> (Vic) (PAA).</w:t>
      </w:r>
    </w:p>
    <w:p w14:paraId="06459BB9" w14:textId="77777777" w:rsidR="003F26DA" w:rsidRDefault="003F26DA">
      <w:pPr>
        <w:pStyle w:val="05Paragraph"/>
      </w:pPr>
      <w:r>
        <w:t>The PEER Policy requires that all executives employed in a prescribed public entity must be paid within the relevant remuneration band set in this Determination.</w:t>
      </w:r>
      <w:r>
        <w:rPr>
          <w:rStyle w:val="FootnoteReference"/>
        </w:rPr>
        <w:footnoteReference w:id="8"/>
      </w:r>
    </w:p>
    <w:p w14:paraId="3773BB4F" w14:textId="77777777" w:rsidR="003F26DA" w:rsidRDefault="003F26DA">
      <w:pPr>
        <w:pStyle w:val="05Paragraph"/>
      </w:pPr>
      <w:r>
        <w:lastRenderedPageBreak/>
        <w:t>However, employers that propose to pay an executive above the maximum of the relevant remuneration band may do so having first obtained and considered advice from the Tribunal.</w:t>
      </w:r>
      <w:r>
        <w:rPr>
          <w:rStyle w:val="FootnoteReference"/>
        </w:rPr>
        <w:footnoteReference w:id="9"/>
      </w:r>
      <w:r>
        <w:t xml:space="preserve"> </w:t>
      </w:r>
    </w:p>
    <w:p w14:paraId="6DE59AE4" w14:textId="77777777" w:rsidR="003F26DA" w:rsidRDefault="003F26DA" w:rsidP="003F26DA">
      <w:pPr>
        <w:pStyle w:val="02VIRTHeading2"/>
        <w:numPr>
          <w:ilvl w:val="1"/>
          <w:numId w:val="32"/>
        </w:numPr>
        <w:ind w:left="1418" w:hanging="1429"/>
      </w:pPr>
      <w:bookmarkStart w:id="28" w:name="_Toc185012350"/>
      <w:r>
        <w:t>The executive remuneration guidelines have been updated</w:t>
      </w:r>
      <w:bookmarkEnd w:id="28"/>
    </w:p>
    <w:p w14:paraId="1C740AD3" w14:textId="77777777" w:rsidR="003F26DA" w:rsidRDefault="003F26DA">
      <w:pPr>
        <w:pStyle w:val="05Paragraph"/>
      </w:pPr>
      <w:r>
        <w:t xml:space="preserve">The Tribunal </w:t>
      </w:r>
      <w:proofErr w:type="gramStart"/>
      <w:r>
        <w:t>is able to</w:t>
      </w:r>
      <w:proofErr w:type="gramEnd"/>
      <w:r>
        <w:t xml:space="preserve"> make guidelines for public entity employers about the placement of executives with the remuneration bands set by a Determination.</w:t>
      </w:r>
      <w:r>
        <w:rPr>
          <w:rStyle w:val="FootnoteReference"/>
        </w:rPr>
        <w:footnoteReference w:id="10"/>
      </w:r>
    </w:p>
    <w:p w14:paraId="2AD00D02" w14:textId="77777777" w:rsidR="003F26DA" w:rsidRDefault="003F26DA">
      <w:pPr>
        <w:pStyle w:val="05Paragraph"/>
      </w:pPr>
      <w:r>
        <w:t xml:space="preserve">The first guidelines were made on 18 December 2020 and the Tribunal has now published updated </w:t>
      </w:r>
      <w:r w:rsidRPr="007F3986">
        <w:rPr>
          <w:i/>
          <w:iCs/>
        </w:rPr>
        <w:t>Prescribed Public Entity Executive Remuneration Guidelines</w:t>
      </w:r>
      <w:r>
        <w:t xml:space="preserve"> (PE Guidelines) to complement this Determination.</w:t>
      </w:r>
    </w:p>
    <w:p w14:paraId="0A8FBCBA" w14:textId="77777777" w:rsidR="003F26DA" w:rsidRDefault="003F26DA">
      <w:pPr>
        <w:pStyle w:val="05Paragraph"/>
      </w:pPr>
      <w:r>
        <w:t>The PE Guidelines set out relevant factors for public entity employers to consider when setting and reviewing remuneration for an executive role, including the functions and responsibilities of the role and remuneration relativities with comparable roles.</w:t>
      </w:r>
    </w:p>
    <w:p w14:paraId="4747EB7C" w14:textId="77777777" w:rsidR="003F26DA" w:rsidRDefault="003F26DA" w:rsidP="003F26DA">
      <w:pPr>
        <w:pStyle w:val="02VIRTHeading2"/>
        <w:numPr>
          <w:ilvl w:val="1"/>
          <w:numId w:val="32"/>
        </w:numPr>
        <w:ind w:left="1418" w:hanging="1429"/>
      </w:pPr>
      <w:bookmarkStart w:id="29" w:name="_Toc185012351"/>
      <w:r>
        <w:t>Legislative requirements</w:t>
      </w:r>
      <w:bookmarkEnd w:id="29"/>
    </w:p>
    <w:p w14:paraId="2D21CB91" w14:textId="77777777" w:rsidR="003F26DA" w:rsidRDefault="003F26DA">
      <w:pPr>
        <w:pStyle w:val="05Paragraph"/>
      </w:pPr>
      <w:r>
        <w:t>The Tribunal is required to take the following matters into account in making the 2024 PE Determination:</w:t>
      </w:r>
      <w:r>
        <w:rPr>
          <w:rStyle w:val="FootnoteReference"/>
        </w:rPr>
        <w:footnoteReference w:id="11"/>
      </w:r>
      <w:r>
        <w:t xml:space="preserve">  </w:t>
      </w:r>
    </w:p>
    <w:p w14:paraId="048B3326" w14:textId="7548EC9E" w:rsidR="003F26DA" w:rsidRDefault="003F26DA" w:rsidP="003F26DA">
      <w:pPr>
        <w:pStyle w:val="06VIRTBulletpoints"/>
        <w:ind w:left="357" w:hanging="357"/>
      </w:pPr>
      <w:r>
        <w:t>a review of the roles of, and the existing remuneration for, executives</w:t>
      </w:r>
    </w:p>
    <w:p w14:paraId="6B35F87E" w14:textId="77777777" w:rsidR="003F26DA" w:rsidRDefault="003F26DA" w:rsidP="003F26DA">
      <w:pPr>
        <w:pStyle w:val="06VIRTBulletpoints"/>
        <w:ind w:left="357" w:hanging="357"/>
      </w:pPr>
      <w:r>
        <w:t>any statement or policy issued by the Government of Victoria which is in force with respect to its wages policy (or equivalent) and the remuneration and allowances of any specified occupational group</w:t>
      </w:r>
    </w:p>
    <w:p w14:paraId="108AE2C0" w14:textId="77777777" w:rsidR="003F26DA" w:rsidRDefault="003F26DA" w:rsidP="003F26DA">
      <w:pPr>
        <w:pStyle w:val="06VIRTBulletpoints"/>
        <w:ind w:left="357" w:hanging="357"/>
      </w:pPr>
      <w:r>
        <w:t>the financial position and fiscal strategy of the State of Victoria</w:t>
      </w:r>
    </w:p>
    <w:p w14:paraId="3B29A5A9" w14:textId="77777777" w:rsidR="003F26DA" w:rsidRDefault="003F26DA" w:rsidP="003F26DA">
      <w:pPr>
        <w:pStyle w:val="06VIRTBulletpoints"/>
        <w:ind w:left="357" w:hanging="357"/>
      </w:pPr>
      <w:r>
        <w:t xml:space="preserve">current and projected economic conditions and trends </w:t>
      </w:r>
    </w:p>
    <w:p w14:paraId="47C509EE" w14:textId="77777777" w:rsidR="003F26DA" w:rsidRDefault="003F26DA" w:rsidP="003F26DA">
      <w:pPr>
        <w:pStyle w:val="06VIRTBulletpoints"/>
        <w:ind w:left="357" w:hanging="357"/>
      </w:pPr>
      <w:r>
        <w:t>submissions received in relation to the Determination.</w:t>
      </w:r>
    </w:p>
    <w:p w14:paraId="6D1AB883" w14:textId="77777777" w:rsidR="003F26DA" w:rsidRDefault="003F26DA">
      <w:pPr>
        <w:pStyle w:val="05Paragraph"/>
      </w:pPr>
      <w:r>
        <w:t xml:space="preserve">The Tribunal may also provide for any other matter it considers relevant.  </w:t>
      </w:r>
    </w:p>
    <w:p w14:paraId="35257D9D" w14:textId="77777777" w:rsidR="003F26DA" w:rsidRDefault="003F26DA" w:rsidP="003F26DA">
      <w:pPr>
        <w:pStyle w:val="02VIRTHeading2"/>
        <w:numPr>
          <w:ilvl w:val="1"/>
          <w:numId w:val="32"/>
        </w:numPr>
        <w:ind w:left="1418" w:hanging="1429"/>
      </w:pPr>
      <w:bookmarkStart w:id="30" w:name="_Toc185012352"/>
      <w:r>
        <w:lastRenderedPageBreak/>
        <w:t>Stakeholder consultation</w:t>
      </w:r>
      <w:bookmarkEnd w:id="30"/>
    </w:p>
    <w:p w14:paraId="7A50CBF8" w14:textId="77777777" w:rsidR="003F26DA" w:rsidRDefault="003F26DA">
      <w:pPr>
        <w:pStyle w:val="05Paragraph"/>
      </w:pPr>
      <w:r>
        <w:t>As required by section 24(1) of the VIRTIPS Act, prior to making the 2024 PE Determination, the Tribunal:</w:t>
      </w:r>
      <w:r>
        <w:rPr>
          <w:rStyle w:val="FootnoteReference"/>
        </w:rPr>
        <w:footnoteReference w:id="12"/>
      </w:r>
    </w:p>
    <w:p w14:paraId="08ADE46E" w14:textId="77777777" w:rsidR="003F26DA" w:rsidRDefault="003F26DA" w:rsidP="003F26DA">
      <w:pPr>
        <w:pStyle w:val="06VIRTBulletpoints"/>
        <w:ind w:left="357" w:hanging="357"/>
      </w:pPr>
      <w:r>
        <w:t xml:space="preserve">published a notice of its intention to </w:t>
      </w:r>
      <w:proofErr w:type="gramStart"/>
      <w:r>
        <w:t>make a Determination</w:t>
      </w:r>
      <w:proofErr w:type="gramEnd"/>
      <w:r>
        <w:t xml:space="preserve"> on its website and the Victorian Public Notices website on 17 July 2024, including details about the proposed Determination</w:t>
      </w:r>
    </w:p>
    <w:p w14:paraId="122102D7" w14:textId="77777777" w:rsidR="003F26DA" w:rsidRDefault="003F26DA" w:rsidP="003F26DA">
      <w:pPr>
        <w:pStyle w:val="06VIRTBulletpoints"/>
        <w:ind w:left="357" w:hanging="357"/>
      </w:pPr>
      <w:r>
        <w:t xml:space="preserve">gave any affected person or a class of affected persons a reasonable opportunity to make a submission in relation to the proposed Determination. </w:t>
      </w:r>
    </w:p>
    <w:p w14:paraId="1776B266" w14:textId="77777777" w:rsidR="003F26DA" w:rsidRDefault="003F26DA">
      <w:pPr>
        <w:pStyle w:val="05Paragraph"/>
      </w:pPr>
      <w:r>
        <w:t>The Tribunal has carefully considered the submissions it received in making its Determination and expresses its appreciation to those who made submissions and otherwise contributed to the Tribunal’s work.</w:t>
      </w:r>
    </w:p>
    <w:p w14:paraId="3FA6A0B0" w14:textId="77777777" w:rsidR="003F26DA" w:rsidRDefault="003F26DA">
      <w:pPr>
        <w:pStyle w:val="03VIRTHeading3"/>
      </w:pPr>
      <w:r>
        <w:t>The notice of intention sought stakeholder views</w:t>
      </w:r>
    </w:p>
    <w:p w14:paraId="766F4B2A" w14:textId="77777777" w:rsidR="003F26DA" w:rsidRDefault="003F26DA">
      <w:pPr>
        <w:pStyle w:val="05Paragraph"/>
      </w:pPr>
      <w:r>
        <w:t>The notice of intention invited stakeholders to make a submission on:</w:t>
      </w:r>
    </w:p>
    <w:p w14:paraId="26A3722F" w14:textId="19EBBF5E" w:rsidR="003F26DA" w:rsidRDefault="003F26DA" w:rsidP="003F26DA">
      <w:pPr>
        <w:pStyle w:val="06VIRTBulletpoints"/>
        <w:ind w:left="357" w:hanging="357"/>
      </w:pPr>
      <w:r>
        <w:t xml:space="preserve">changes to </w:t>
      </w:r>
      <w:r w:rsidR="004A5F5C">
        <w:t xml:space="preserve">the </w:t>
      </w:r>
      <w:r>
        <w:t>role of public entities — and the role of executives — since 2020</w:t>
      </w:r>
    </w:p>
    <w:p w14:paraId="67604C83" w14:textId="77777777" w:rsidR="003F26DA" w:rsidRDefault="003F26DA" w:rsidP="003F26DA">
      <w:pPr>
        <w:pStyle w:val="06VIRTBulletpoints"/>
        <w:ind w:left="357" w:hanging="357"/>
      </w:pPr>
      <w:r>
        <w:t>labour market conditions and the effect on executive recruitment and retention</w:t>
      </w:r>
    </w:p>
    <w:p w14:paraId="74643CD1" w14:textId="77777777" w:rsidR="003F26DA" w:rsidRDefault="003F26DA" w:rsidP="003F26DA">
      <w:pPr>
        <w:pStyle w:val="06VIRTBulletpoints"/>
        <w:ind w:left="357" w:hanging="357"/>
      </w:pPr>
      <w:r>
        <w:t>the competitiveness of the existing remuneration bands for attracting and retaining executives</w:t>
      </w:r>
    </w:p>
    <w:p w14:paraId="447E0819" w14:textId="77777777" w:rsidR="003F26DA" w:rsidRDefault="003F26DA" w:rsidP="003F26DA">
      <w:pPr>
        <w:pStyle w:val="06VIRTBulletpoints"/>
        <w:ind w:left="357" w:hanging="357"/>
      </w:pPr>
      <w:r>
        <w:t>an appropriate positioning for executive remuneration against the broader labour market</w:t>
      </w:r>
    </w:p>
    <w:p w14:paraId="32098FC2" w14:textId="77777777" w:rsidR="003F26DA" w:rsidRPr="00302683" w:rsidRDefault="003F26DA" w:rsidP="003F26DA">
      <w:pPr>
        <w:pStyle w:val="06VIRTBulletpoints"/>
        <w:ind w:left="357" w:hanging="357"/>
      </w:pPr>
      <w:r>
        <w:t xml:space="preserve">whether </w:t>
      </w:r>
      <w:r w:rsidRPr="00302683">
        <w:t>the existing remuneration bands are fair and equitable for employers and executives</w:t>
      </w:r>
    </w:p>
    <w:p w14:paraId="33DCD5CD" w14:textId="77777777" w:rsidR="003F26DA" w:rsidRDefault="003F26DA" w:rsidP="003F26DA">
      <w:pPr>
        <w:pStyle w:val="06VIRTBulletpoints"/>
        <w:ind w:left="357" w:hanging="357"/>
      </w:pPr>
      <w:r>
        <w:t>the relativity of remuneration for executives and non-executives employed in prescribed public entities</w:t>
      </w:r>
    </w:p>
    <w:p w14:paraId="3A02E886" w14:textId="77777777" w:rsidR="003F26DA" w:rsidRDefault="003F26DA" w:rsidP="003F26DA">
      <w:pPr>
        <w:pStyle w:val="06VIRTBulletpoints"/>
        <w:ind w:left="357" w:hanging="357"/>
      </w:pPr>
      <w:r>
        <w:t xml:space="preserve">the non-financial aspects, or employee value proposition (EVP), of working as an executive </w:t>
      </w:r>
    </w:p>
    <w:p w14:paraId="1C9F285C" w14:textId="77777777" w:rsidR="003F26DA" w:rsidRDefault="003F26DA" w:rsidP="003F26DA">
      <w:pPr>
        <w:pStyle w:val="06VIRTBulletpoints"/>
        <w:ind w:left="357" w:hanging="357"/>
      </w:pPr>
      <w:r>
        <w:t xml:space="preserve">the suitability of using work classification levels to set remuneration bands </w:t>
      </w:r>
    </w:p>
    <w:p w14:paraId="20DC166F" w14:textId="77777777" w:rsidR="003F26DA" w:rsidRDefault="003F26DA" w:rsidP="003F26DA">
      <w:pPr>
        <w:pStyle w:val="06VIRTBulletpoints"/>
        <w:ind w:left="357" w:hanging="357"/>
      </w:pPr>
      <w:r>
        <w:t xml:space="preserve">the </w:t>
      </w:r>
      <w:r w:rsidRPr="002E6393">
        <w:t xml:space="preserve">Tribunal’s guidelines </w:t>
      </w:r>
      <w:r>
        <w:t xml:space="preserve">on setting </w:t>
      </w:r>
      <w:r w:rsidRPr="002E6393">
        <w:t>executive</w:t>
      </w:r>
      <w:r>
        <w:t xml:space="preserve"> remuneration </w:t>
      </w:r>
      <w:r w:rsidRPr="002E6393">
        <w:t>within the relevant remuneration band</w:t>
      </w:r>
    </w:p>
    <w:p w14:paraId="36555EF7" w14:textId="77777777" w:rsidR="003F26DA" w:rsidRDefault="003F26DA" w:rsidP="003F26DA">
      <w:pPr>
        <w:pStyle w:val="06VIRTBulletpoints"/>
        <w:ind w:left="357" w:hanging="357"/>
      </w:pPr>
      <w:r>
        <w:t>any other matters the Tribunal should consider.</w:t>
      </w:r>
    </w:p>
    <w:p w14:paraId="0428FDE1" w14:textId="3177B52C" w:rsidR="003F26DA" w:rsidRDefault="003F26DA">
      <w:pPr>
        <w:pStyle w:val="05Paragraph"/>
      </w:pPr>
      <w:r w:rsidRPr="002E6393">
        <w:lastRenderedPageBreak/>
        <w:t>Written submissions</w:t>
      </w:r>
      <w:r>
        <w:t>, which</w:t>
      </w:r>
      <w:r w:rsidRPr="002E6393">
        <w:t xml:space="preserve"> closed on 1</w:t>
      </w:r>
      <w:r>
        <w:t>3 September</w:t>
      </w:r>
      <w:r w:rsidRPr="002E6393">
        <w:t xml:space="preserve"> 2024</w:t>
      </w:r>
      <w:r w:rsidR="002652B5">
        <w:t>,</w:t>
      </w:r>
      <w:r>
        <w:t xml:space="preserve"> were</w:t>
      </w:r>
      <w:r w:rsidRPr="002E6393">
        <w:t xml:space="preserve"> received from the </w:t>
      </w:r>
      <w:r>
        <w:t>following entities:</w:t>
      </w:r>
    </w:p>
    <w:p w14:paraId="33A0538A" w14:textId="77777777" w:rsidR="003F26DA" w:rsidRPr="00642695" w:rsidRDefault="003F26DA" w:rsidP="003F26DA">
      <w:pPr>
        <w:pStyle w:val="06VIRTBulletpoints"/>
        <w:ind w:left="357" w:hanging="357"/>
      </w:pPr>
      <w:r w:rsidRPr="00642695">
        <w:t>Country Fire Authority</w:t>
      </w:r>
      <w:r>
        <w:t xml:space="preserve"> (CFA)</w:t>
      </w:r>
    </w:p>
    <w:p w14:paraId="28B1B4D1" w14:textId="77777777" w:rsidR="003F26DA" w:rsidRPr="00642695" w:rsidRDefault="003F26DA" w:rsidP="003F26DA">
      <w:pPr>
        <w:pStyle w:val="06VIRTBulletpoints"/>
        <w:ind w:left="357" w:hanging="357"/>
      </w:pPr>
      <w:r w:rsidRPr="00642695">
        <w:t xml:space="preserve">Glenelg Hopkins Catchment Management Authority </w:t>
      </w:r>
      <w:r>
        <w:t>(GHCMA)</w:t>
      </w:r>
    </w:p>
    <w:p w14:paraId="44728E0B" w14:textId="77777777" w:rsidR="003F26DA" w:rsidRPr="00642695" w:rsidRDefault="003F26DA" w:rsidP="003F26DA">
      <w:pPr>
        <w:pStyle w:val="06VIRTBulletpoints"/>
        <w:ind w:left="357" w:hanging="357"/>
      </w:pPr>
      <w:proofErr w:type="spellStart"/>
      <w:r w:rsidRPr="00642695">
        <w:t>VicWater</w:t>
      </w:r>
      <w:proofErr w:type="spellEnd"/>
    </w:p>
    <w:p w14:paraId="79C006D9" w14:textId="77777777" w:rsidR="003F26DA" w:rsidRPr="00642695" w:rsidRDefault="003F26DA" w:rsidP="003F26DA">
      <w:pPr>
        <w:pStyle w:val="06VIRTBulletpoints"/>
        <w:ind w:left="357" w:hanging="357"/>
      </w:pPr>
      <w:r w:rsidRPr="00642695">
        <w:t>Victorian Managed Insurance Authority</w:t>
      </w:r>
      <w:r>
        <w:t xml:space="preserve"> (VMIA)</w:t>
      </w:r>
    </w:p>
    <w:p w14:paraId="56D39E47" w14:textId="77777777" w:rsidR="003F26DA" w:rsidRPr="00642695" w:rsidRDefault="003F26DA" w:rsidP="003F26DA">
      <w:pPr>
        <w:pStyle w:val="06VIRTBulletpoints"/>
        <w:ind w:left="357" w:hanging="357"/>
      </w:pPr>
      <w:r w:rsidRPr="00642695">
        <w:t>Victorian Public Sector Commission</w:t>
      </w:r>
      <w:r>
        <w:t xml:space="preserve"> (VPSC)</w:t>
      </w:r>
    </w:p>
    <w:p w14:paraId="0F6BF5EB" w14:textId="77777777" w:rsidR="003F26DA" w:rsidRPr="00642695" w:rsidRDefault="003F26DA" w:rsidP="003F26DA">
      <w:pPr>
        <w:pStyle w:val="06VIRTBulletpoints"/>
        <w:ind w:left="357" w:hanging="357"/>
      </w:pPr>
      <w:r w:rsidRPr="00642695">
        <w:t>Victorian Secretaries Board</w:t>
      </w:r>
      <w:r>
        <w:t xml:space="preserve"> (VSB)</w:t>
      </w:r>
      <w:r w:rsidRPr="00642695">
        <w:t>.</w:t>
      </w:r>
    </w:p>
    <w:p w14:paraId="3BC5EFF8" w14:textId="77777777" w:rsidR="003F26DA" w:rsidRPr="00EF44D9" w:rsidRDefault="003F26DA">
      <w:pPr>
        <w:pStyle w:val="05Paragraph"/>
        <w:rPr>
          <w:highlight w:val="green"/>
        </w:rPr>
      </w:pPr>
      <w:r>
        <w:t>S</w:t>
      </w:r>
      <w:r w:rsidRPr="00CC4FEE">
        <w:t xml:space="preserve">ubmissions were also received from two stakeholders </w:t>
      </w:r>
      <w:r>
        <w:t>that</w:t>
      </w:r>
      <w:r w:rsidRPr="00CC4FEE">
        <w:t xml:space="preserve"> did not wish to be identified.</w:t>
      </w:r>
    </w:p>
    <w:p w14:paraId="3393CE64" w14:textId="77777777" w:rsidR="003F26DA" w:rsidRDefault="003F26DA">
      <w:pPr>
        <w:pStyle w:val="05Paragraph"/>
      </w:pPr>
      <w:r w:rsidRPr="00262933">
        <w:t>Submissions were published on the Tribunal’s website where permission to do so was given.</w:t>
      </w:r>
    </w:p>
    <w:p w14:paraId="4861AF3D" w14:textId="77777777" w:rsidR="003F26DA" w:rsidRDefault="003F26DA">
      <w:pPr>
        <w:pStyle w:val="03VIRTHeading3"/>
      </w:pPr>
      <w:r>
        <w:t>Public entity executives were invited to provide their views via a questionnaire</w:t>
      </w:r>
    </w:p>
    <w:p w14:paraId="668C99FD" w14:textId="77777777" w:rsidR="003F26DA" w:rsidRDefault="003F26DA">
      <w:pPr>
        <w:pStyle w:val="05Paragraph"/>
      </w:pPr>
      <w:r>
        <w:t>Executives employed in prescribed public entities were invited to make a submission via an online questionnaire. The anonymous questionnaire was sent to executives on the Tribunal’s behalf by their employers.</w:t>
      </w:r>
    </w:p>
    <w:p w14:paraId="3AFC6F27" w14:textId="77777777" w:rsidR="003F26DA" w:rsidRPr="00CF7CE3" w:rsidRDefault="003F26DA">
      <w:pPr>
        <w:pStyle w:val="05Paragraph"/>
        <w:rPr>
          <w:spacing w:val="-4"/>
        </w:rPr>
      </w:pPr>
      <w:r w:rsidRPr="00CF7CE3">
        <w:rPr>
          <w:spacing w:val="-4"/>
        </w:rPr>
        <w:t>The Tribunal received 293 responses to the questionnaire, which is approximately 28</w:t>
      </w:r>
      <w:r>
        <w:rPr>
          <w:spacing w:val="-4"/>
        </w:rPr>
        <w:t> </w:t>
      </w:r>
      <w:r w:rsidRPr="00CF7CE3">
        <w:rPr>
          <w:spacing w:val="-4"/>
        </w:rPr>
        <w:t>per</w:t>
      </w:r>
      <w:r>
        <w:rPr>
          <w:spacing w:val="-4"/>
        </w:rPr>
        <w:t> </w:t>
      </w:r>
      <w:r w:rsidRPr="00CF7CE3">
        <w:rPr>
          <w:spacing w:val="-4"/>
        </w:rPr>
        <w:t xml:space="preserve">cent of the executives covered by the Determination. These responses enabled the Tribunal to better understand the roles and responsibilities of executives and their views on the level and structure of the existing remuneration bands. </w:t>
      </w:r>
    </w:p>
    <w:p w14:paraId="014108C2" w14:textId="77777777" w:rsidR="003F26DA" w:rsidRDefault="003F26DA">
      <w:pPr>
        <w:pStyle w:val="05Paragraph"/>
      </w:pPr>
      <w:r>
        <w:t>Appendix A summarises the responses to the questionnaire.</w:t>
      </w:r>
    </w:p>
    <w:p w14:paraId="36F9A8EF" w14:textId="77777777" w:rsidR="003F26DA" w:rsidRDefault="003F26DA">
      <w:pPr>
        <w:pStyle w:val="03VIRTHeading3"/>
      </w:pPr>
      <w:r>
        <w:t>Roundtable discussions were held with public entity employers</w:t>
      </w:r>
    </w:p>
    <w:p w14:paraId="22D2A3FB" w14:textId="5D9CC74B" w:rsidR="003F26DA" w:rsidRDefault="003F26DA">
      <w:pPr>
        <w:pStyle w:val="05Paragraph"/>
      </w:pPr>
      <w:r>
        <w:t xml:space="preserve">In October 2024, four roundtable meetings were held with representatives from public entities. The participants — chairs, </w:t>
      </w:r>
      <w:r w:rsidR="00B04463">
        <w:t>CEOs</w:t>
      </w:r>
      <w:r>
        <w:t xml:space="preserve"> or other senior executives — were nominated by the relevant portfolio department Secretary.</w:t>
      </w:r>
    </w:p>
    <w:p w14:paraId="05E99A3F" w14:textId="77777777" w:rsidR="003F26DA" w:rsidRPr="00CF7CE3" w:rsidRDefault="003F26DA">
      <w:pPr>
        <w:pStyle w:val="05Paragraph"/>
        <w:rPr>
          <w:spacing w:val="-2"/>
        </w:rPr>
      </w:pPr>
      <w:r w:rsidRPr="00CF7CE3">
        <w:rPr>
          <w:spacing w:val="-2"/>
        </w:rPr>
        <w:t>These meetings sought feedback on issues</w:t>
      </w:r>
      <w:r>
        <w:rPr>
          <w:spacing w:val="-2"/>
        </w:rPr>
        <w:t xml:space="preserve"> such as</w:t>
      </w:r>
      <w:r w:rsidRPr="00CF7CE3">
        <w:rPr>
          <w:spacing w:val="-2"/>
        </w:rPr>
        <w:t xml:space="preserve"> current labour market conditions, recruitment and retention of executives, the structure and value of the remuneration bands and the Tribunal’s guidelines. </w:t>
      </w:r>
    </w:p>
    <w:p w14:paraId="6DCF0FFE" w14:textId="77777777" w:rsidR="003F26DA" w:rsidRDefault="003F26DA">
      <w:pPr>
        <w:pStyle w:val="05Paragraph"/>
      </w:pPr>
      <w:r>
        <w:t>A summary of the main themes discussed at these meetings is available on the Tribunal’s website.</w:t>
      </w:r>
    </w:p>
    <w:p w14:paraId="3BA56A73" w14:textId="77777777" w:rsidR="003F26DA" w:rsidRDefault="003F26DA">
      <w:pPr>
        <w:pStyle w:val="02VIRTHeading2"/>
      </w:pPr>
      <w:bookmarkStart w:id="31" w:name="_Toc185012353"/>
      <w:r>
        <w:lastRenderedPageBreak/>
        <w:t>1.5</w:t>
      </w:r>
      <w:r>
        <w:tab/>
        <w:t>Structure of this Statement of Reasons</w:t>
      </w:r>
      <w:bookmarkEnd w:id="31"/>
    </w:p>
    <w:p w14:paraId="53F19C43" w14:textId="77777777" w:rsidR="003F26DA" w:rsidRDefault="003F26DA">
      <w:pPr>
        <w:pStyle w:val="05Paragraph"/>
      </w:pPr>
      <w:r>
        <w:t>A Statement of Reasons must be included in a Determination.</w:t>
      </w:r>
      <w:r>
        <w:rPr>
          <w:rStyle w:val="FootnoteReference"/>
        </w:rPr>
        <w:footnoteReference w:id="13"/>
      </w:r>
      <w:r>
        <w:t xml:space="preserve"> This Statement sets out the statutory and other factors considered by the Tribunal in making the 2024 PE Determination and other relevant information. </w:t>
      </w:r>
      <w:r w:rsidRPr="00E241AB">
        <w:t xml:space="preserve">For readability, the term ‘public entity’ has generally been used in this Statement when referring </w:t>
      </w:r>
      <w:r>
        <w:t>to</w:t>
      </w:r>
      <w:r w:rsidRPr="00E241AB">
        <w:t xml:space="preserve"> a prescribed public entity.</w:t>
      </w:r>
      <w:r>
        <w:t xml:space="preserve"> </w:t>
      </w:r>
    </w:p>
    <w:p w14:paraId="7704920D" w14:textId="77777777" w:rsidR="003F26DA" w:rsidRDefault="003F26DA">
      <w:pPr>
        <w:pStyle w:val="05Paragraph"/>
      </w:pPr>
      <w:r>
        <w:t xml:space="preserve">Chapter 2 provides an overview of the Victorian public </w:t>
      </w:r>
      <w:proofErr w:type="gramStart"/>
      <w:r>
        <w:t>sector</w:t>
      </w:r>
      <w:proofErr w:type="gramEnd"/>
      <w:r>
        <w:t xml:space="preserve"> and the public entities covered by the Determination, which informed the Tribunal’s consideration of the roles of the executives employed by these entities in Chapter 3. The current employment and remuneration arrangements for public entity executives are summarised in Chapter 4.</w:t>
      </w:r>
    </w:p>
    <w:p w14:paraId="0563E327" w14:textId="77777777" w:rsidR="003F26DA" w:rsidRDefault="003F26DA">
      <w:pPr>
        <w:pStyle w:val="05Paragraph"/>
      </w:pPr>
      <w:r>
        <w:t xml:space="preserve">Chapter 5 sets out the Tribunal’s understanding of the labour market for public entity executives, while Chapter 6 presents the Tribunal’s analysis of the economic, financial and policy factors that it is required to consider. </w:t>
      </w:r>
    </w:p>
    <w:p w14:paraId="640E0E55" w14:textId="11CB9989" w:rsidR="003F26DA" w:rsidRDefault="003F26DA">
      <w:pPr>
        <w:pStyle w:val="05Paragraph"/>
      </w:pPr>
      <w:r>
        <w:t xml:space="preserve">The Tribunal’s decision on the new remuneration bands for public entity executives — drawing on the preceding data and analysis — is in Chapter 7, while the changes to the Tribunal’s </w:t>
      </w:r>
      <w:r w:rsidR="008B085A">
        <w:t>PE</w:t>
      </w:r>
      <w:r w:rsidR="0005186A">
        <w:t xml:space="preserve"> Guidelines</w:t>
      </w:r>
      <w:r>
        <w:t xml:space="preserve"> are discussed in Chapter 8.</w:t>
      </w:r>
      <w:r>
        <w:br w:type="page"/>
      </w:r>
    </w:p>
    <w:p w14:paraId="47DBF8E1" w14:textId="28E4B667" w:rsidR="00F97ED4" w:rsidRPr="0036761D" w:rsidRDefault="003F26DA" w:rsidP="002F7028">
      <w:pPr>
        <w:pStyle w:val="01Chapterheading"/>
        <w:numPr>
          <w:ilvl w:val="0"/>
          <w:numId w:val="31"/>
        </w:numPr>
        <w:spacing w:after="0"/>
        <w:ind w:left="709"/>
      </w:pPr>
      <w:bookmarkStart w:id="32" w:name="_Toc185012354"/>
      <w:r w:rsidRPr="0036761D">
        <w:lastRenderedPageBreak/>
        <w:t>Nature</w:t>
      </w:r>
      <w:r>
        <w:rPr>
          <w:sz w:val="66"/>
          <w:szCs w:val="66"/>
        </w:rPr>
        <w:t xml:space="preserve"> </w:t>
      </w:r>
      <w:r w:rsidRPr="0036761D">
        <w:t>and</w:t>
      </w:r>
      <w:r>
        <w:rPr>
          <w:sz w:val="66"/>
          <w:szCs w:val="66"/>
        </w:rPr>
        <w:t xml:space="preserve"> </w:t>
      </w:r>
      <w:r w:rsidRPr="0036761D">
        <w:t>scope</w:t>
      </w:r>
      <w:r>
        <w:rPr>
          <w:sz w:val="66"/>
          <w:szCs w:val="66"/>
        </w:rPr>
        <w:t xml:space="preserve"> </w:t>
      </w:r>
      <w:r w:rsidRPr="0036761D">
        <w:t>of</w:t>
      </w:r>
      <w:r>
        <w:rPr>
          <w:sz w:val="66"/>
          <w:szCs w:val="66"/>
        </w:rPr>
        <w:t xml:space="preserve"> </w:t>
      </w:r>
      <w:r w:rsidRPr="0036761D">
        <w:t>public</w:t>
      </w:r>
      <w:r>
        <w:rPr>
          <w:sz w:val="66"/>
          <w:szCs w:val="66"/>
        </w:rPr>
        <w:t xml:space="preserve"> </w:t>
      </w:r>
      <w:r w:rsidRPr="0036761D">
        <w:t>entities</w:t>
      </w:r>
      <w:bookmarkEnd w:id="32"/>
    </w:p>
    <w:p w14:paraId="031C5F0D" w14:textId="5CE7A12F" w:rsidR="003F26DA" w:rsidRPr="008035B1" w:rsidRDefault="003F26DA" w:rsidP="002F7028">
      <w:pPr>
        <w:pStyle w:val="05Paragraph"/>
        <w:spacing w:after="180"/>
      </w:pPr>
      <w:r w:rsidRPr="008035B1">
        <w:rPr>
          <w:noProof/>
        </w:rPr>
        <w:drawing>
          <wp:inline distT="0" distB="0" distL="0" distR="0" wp14:anchorId="32C5F5B3" wp14:editId="6F6FB355">
            <wp:extent cx="2212975" cy="255905"/>
            <wp:effectExtent l="0" t="0" r="0" b="0"/>
            <wp:docPr id="2002703498"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72771D22" w14:textId="77777777" w:rsidR="003F26DA" w:rsidRDefault="003F26DA">
      <w:pPr>
        <w:pStyle w:val="05Paragraph"/>
      </w:pPr>
      <w:r w:rsidRPr="008035B1">
        <w:t>Victoria</w:t>
      </w:r>
      <w:r>
        <w:t>’s public sector</w:t>
      </w:r>
      <w:r w:rsidRPr="008035B1">
        <w:t xml:space="preserve"> </w:t>
      </w:r>
      <w:r>
        <w:t xml:space="preserve">comprises </w:t>
      </w:r>
      <w:proofErr w:type="gramStart"/>
      <w:r>
        <w:t>a large number of</w:t>
      </w:r>
      <w:proofErr w:type="gramEnd"/>
      <w:r w:rsidRPr="008035B1">
        <w:t xml:space="preserve"> </w:t>
      </w:r>
      <w:r>
        <w:t>organisations that undertake a wide range of functions and activities. These include delivering services to the community (whether directly or via contracts with non-government bodies), collecting and managing public funds and regulating the activities of individuals, businesses and not-for-profits</w:t>
      </w:r>
      <w:r w:rsidRPr="008035B1">
        <w:t>.</w:t>
      </w:r>
    </w:p>
    <w:p w14:paraId="5EA59005" w14:textId="079DFFE3" w:rsidR="003F26DA" w:rsidRPr="005832D8" w:rsidRDefault="003F26DA">
      <w:pPr>
        <w:pStyle w:val="05Paragraph"/>
        <w:rPr>
          <w:spacing w:val="-2"/>
        </w:rPr>
      </w:pPr>
      <w:r w:rsidRPr="005832D8">
        <w:rPr>
          <w:spacing w:val="-2"/>
        </w:rPr>
        <w:t>A key distinction within the public sector is between VPS bodies and public entities. The VPSC has noted that some functions previously performed by the VPS are now undertaken by public entities.</w:t>
      </w:r>
      <w:r w:rsidRPr="005832D8">
        <w:rPr>
          <w:rStyle w:val="FootnoteReference"/>
          <w:spacing w:val="-2"/>
        </w:rPr>
        <w:footnoteReference w:id="14"/>
      </w:r>
      <w:r w:rsidRPr="005832D8">
        <w:rPr>
          <w:spacing w:val="-2"/>
        </w:rPr>
        <w:t xml:space="preserve"> Equally, functions undertaken by public entities can transition to the VPS — for example, VicRoads and Public Transport Victoria (both public entities) were merged into the then Department of Transport in 2019.</w:t>
      </w:r>
      <w:r w:rsidRPr="005832D8">
        <w:rPr>
          <w:rStyle w:val="FootnoteReference"/>
          <w:spacing w:val="-2"/>
        </w:rPr>
        <w:footnoteReference w:id="15"/>
      </w:r>
      <w:r w:rsidRPr="005832D8">
        <w:rPr>
          <w:spacing w:val="-2"/>
        </w:rPr>
        <w:t xml:space="preserve"> </w:t>
      </w:r>
    </w:p>
    <w:p w14:paraId="10930B87" w14:textId="77777777" w:rsidR="003F26DA" w:rsidRDefault="003F26DA">
      <w:pPr>
        <w:pStyle w:val="05Paragraph"/>
      </w:pPr>
      <w:r>
        <w:t>Notwithstanding these interactions</w:t>
      </w:r>
      <w:r w:rsidRPr="00737680">
        <w:t>, there are important differences</w:t>
      </w:r>
      <w:r>
        <w:t xml:space="preserve"> in the operating environment, organisational form and governance arrangements for VPS bodies and public entities. Understanding these similarities and differences provides important context for considering the role of executives in public entities and the appropriate remuneration arrangements for those executives.</w:t>
      </w:r>
    </w:p>
    <w:p w14:paraId="742DE93F" w14:textId="77777777" w:rsidR="003F26DA" w:rsidRDefault="003F26DA">
      <w:pPr>
        <w:pStyle w:val="05Paragraph"/>
      </w:pPr>
      <w:r w:rsidRPr="008035B1">
        <w:t xml:space="preserve">This chapter provides </w:t>
      </w:r>
      <w:r>
        <w:t xml:space="preserve">an overview of </w:t>
      </w:r>
      <w:r w:rsidRPr="008035B1">
        <w:t>the Victorian public sector and the role of public entities</w:t>
      </w:r>
      <w:r>
        <w:t>, as well as a description of the</w:t>
      </w:r>
      <w:r w:rsidRPr="008035B1">
        <w:t xml:space="preserve"> public entities covered by this Determination.</w:t>
      </w:r>
      <w:r>
        <w:t xml:space="preserve"> </w:t>
      </w:r>
      <w:bookmarkStart w:id="33" w:name="_Toc19554264"/>
      <w:bookmarkStart w:id="34" w:name="_Toc20323433"/>
      <w:bookmarkStart w:id="35" w:name="_Toc33609444"/>
      <w:bookmarkStart w:id="36" w:name="_Toc35006359"/>
      <w:bookmarkStart w:id="37" w:name="_Toc45015313"/>
      <w:bookmarkEnd w:id="33"/>
      <w:bookmarkEnd w:id="34"/>
      <w:bookmarkEnd w:id="35"/>
      <w:bookmarkEnd w:id="36"/>
      <w:bookmarkEnd w:id="37"/>
    </w:p>
    <w:p w14:paraId="205A005D" w14:textId="10D656AB" w:rsidR="003F26DA" w:rsidRPr="008035B1" w:rsidRDefault="00E91106" w:rsidP="00E91106">
      <w:pPr>
        <w:pStyle w:val="02VIRTHeading2"/>
      </w:pPr>
      <w:bookmarkStart w:id="38" w:name="_Toc185012355"/>
      <w:r>
        <w:t>2.1</w:t>
      </w:r>
      <w:r>
        <w:tab/>
      </w:r>
      <w:r w:rsidR="003F26DA">
        <w:t>The VPS provides advice, delivers programs and implements government decisions</w:t>
      </w:r>
      <w:bookmarkEnd w:id="38"/>
    </w:p>
    <w:p w14:paraId="37CCA79C" w14:textId="77777777" w:rsidR="003F26DA" w:rsidRDefault="003F26DA">
      <w:pPr>
        <w:pStyle w:val="05Paragraph"/>
      </w:pPr>
      <w:r w:rsidRPr="008035B1">
        <w:t xml:space="preserve">The </w:t>
      </w:r>
      <w:r>
        <w:t xml:space="preserve">principal organisations within the </w:t>
      </w:r>
      <w:r w:rsidRPr="008035B1">
        <w:t xml:space="preserve">VPS </w:t>
      </w:r>
      <w:r>
        <w:t>are</w:t>
      </w:r>
      <w:r w:rsidRPr="008035B1">
        <w:t xml:space="preserve"> departments</w:t>
      </w:r>
      <w:r>
        <w:t xml:space="preserve"> and</w:t>
      </w:r>
      <w:r w:rsidRPr="008035B1">
        <w:t xml:space="preserve"> administrative offices (AOs). </w:t>
      </w:r>
    </w:p>
    <w:p w14:paraId="4146CB83" w14:textId="77777777" w:rsidR="003F26DA" w:rsidRDefault="003F26DA">
      <w:pPr>
        <w:pStyle w:val="03VIRTHeading3"/>
      </w:pPr>
      <w:r>
        <w:lastRenderedPageBreak/>
        <w:t>Departments</w:t>
      </w:r>
    </w:p>
    <w:p w14:paraId="53FA3123" w14:textId="77777777" w:rsidR="003F26DA" w:rsidRDefault="003F26DA">
      <w:pPr>
        <w:pStyle w:val="05Paragraph"/>
      </w:pPr>
      <w:r w:rsidRPr="008035B1">
        <w:t xml:space="preserve">Departments are the primary policy advisers and program administrators for </w:t>
      </w:r>
      <w:r>
        <w:t>M</w:t>
      </w:r>
      <w:r w:rsidRPr="008035B1">
        <w:t>inisters</w:t>
      </w:r>
      <w:r>
        <w:t xml:space="preserve"> (in respect of their portfolio responsibilities) and for the Victorian Government as a whole. Departments are responsible for implementing Ministerial and government decisions, and Ministers have ‘… extensive powers to direct and control the activities performed by their portfolio department’.</w:t>
      </w:r>
      <w:r>
        <w:rPr>
          <w:rStyle w:val="FootnoteReference"/>
        </w:rPr>
        <w:footnoteReference w:id="16"/>
      </w:r>
    </w:p>
    <w:p w14:paraId="403BEFAB" w14:textId="77777777" w:rsidR="003F26DA" w:rsidRDefault="003F26DA">
      <w:pPr>
        <w:pStyle w:val="05Paragraph"/>
      </w:pPr>
      <w:r>
        <w:t>The head of a department is the Secretary who is responsible for the general conduct and the efficient, effective and economical management of the functions of their department.</w:t>
      </w:r>
      <w:r>
        <w:rPr>
          <w:rStyle w:val="FootnoteReference"/>
        </w:rPr>
        <w:footnoteReference w:id="17"/>
      </w:r>
      <w:r>
        <w:t xml:space="preserve"> </w:t>
      </w:r>
    </w:p>
    <w:p w14:paraId="566658CC" w14:textId="77777777" w:rsidR="003F26DA" w:rsidRDefault="003F26DA">
      <w:pPr>
        <w:pStyle w:val="05Paragraph"/>
      </w:pPr>
      <w:r>
        <w:t>Secretaries, supported by their department, also have a stewardship role and specific obligations in respect of AOs established in relation to the department and relevant public entities.</w:t>
      </w:r>
      <w:r>
        <w:rPr>
          <w:rStyle w:val="FootnoteReference"/>
        </w:rPr>
        <w:footnoteReference w:id="18"/>
      </w:r>
      <w:r>
        <w:t xml:space="preserve"> These obligations include advising the responsible Minister on matters relating to the entity and working with the entity on public administration and governance.</w:t>
      </w:r>
      <w:r>
        <w:rPr>
          <w:rStyle w:val="FootnoteReference"/>
        </w:rPr>
        <w:footnoteReference w:id="19"/>
      </w:r>
      <w:r>
        <w:t xml:space="preserve"> </w:t>
      </w:r>
    </w:p>
    <w:p w14:paraId="2F69769B" w14:textId="77777777" w:rsidR="003F26DA" w:rsidRDefault="003F26DA">
      <w:pPr>
        <w:pStyle w:val="03VIRTHeading3"/>
      </w:pPr>
      <w:r>
        <w:t>Administrative Offices</w:t>
      </w:r>
    </w:p>
    <w:p w14:paraId="7BF7F2BE" w14:textId="77777777" w:rsidR="003F26DA" w:rsidRDefault="003F26DA">
      <w:pPr>
        <w:pStyle w:val="05Paragraph"/>
      </w:pPr>
      <w:r>
        <w:t xml:space="preserve">AOs perform a defined set of functions, including infrastructure provision (the Victorian Infrastructure Delivery Authority and </w:t>
      </w:r>
      <w:proofErr w:type="spellStart"/>
      <w:r>
        <w:t>VicGrid</w:t>
      </w:r>
      <w:proofErr w:type="spellEnd"/>
      <w:r>
        <w:t>) and public administration services (Victorian Government Solicitor’s Office).</w:t>
      </w:r>
      <w:r w:rsidRPr="007D55ED">
        <w:t xml:space="preserve"> </w:t>
      </w:r>
      <w:r>
        <w:t>While some AOs are established on an ongoing or long-term basis, others may be established (and abolished) relatively quickly to undertake time-limited functions.</w:t>
      </w:r>
      <w:r>
        <w:rPr>
          <w:rStyle w:val="FootnoteReference"/>
        </w:rPr>
        <w:footnoteReference w:id="20"/>
      </w:r>
    </w:p>
    <w:p w14:paraId="72286C70" w14:textId="77777777" w:rsidR="003F26DA" w:rsidRDefault="003F26DA">
      <w:pPr>
        <w:pStyle w:val="05Paragraph"/>
      </w:pPr>
      <w:r>
        <w:t xml:space="preserve">AOs are subject to Ministerial direction and are established in relation to a </w:t>
      </w:r>
      <w:proofErr w:type="gramStart"/>
      <w:r>
        <w:t>department, but</w:t>
      </w:r>
      <w:proofErr w:type="gramEnd"/>
      <w:r>
        <w:t xml:space="preserve"> are discrete business units that have a degree of autonomy.</w:t>
      </w:r>
      <w:r>
        <w:rPr>
          <w:rStyle w:val="FootnoteReference"/>
        </w:rPr>
        <w:footnoteReference w:id="21"/>
      </w:r>
      <w:r>
        <w:t xml:space="preserve"> </w:t>
      </w:r>
    </w:p>
    <w:p w14:paraId="13D509FD" w14:textId="3427DA02" w:rsidR="003F26DA" w:rsidRDefault="003F26DA">
      <w:pPr>
        <w:pStyle w:val="05Paragraph"/>
      </w:pPr>
      <w:r>
        <w:t xml:space="preserve">An AO </w:t>
      </w:r>
      <w:r w:rsidR="000C3DE4">
        <w:t>H</w:t>
      </w:r>
      <w:r>
        <w:t>ead is appointed by the Premier and is generally responsible to the relevant Secretary for the management of the functions and activities of the AO, except where functions are conferred on the AO Head under specific legislation.</w:t>
      </w:r>
      <w:r>
        <w:rPr>
          <w:rStyle w:val="FootnoteReference"/>
        </w:rPr>
        <w:footnoteReference w:id="22"/>
      </w:r>
      <w:r>
        <w:t xml:space="preserve"> </w:t>
      </w:r>
      <w:r w:rsidR="004B7761">
        <w:t>An</w:t>
      </w:r>
      <w:r>
        <w:t xml:space="preserve"> AO </w:t>
      </w:r>
      <w:r w:rsidR="004B7761">
        <w:t xml:space="preserve">Head </w:t>
      </w:r>
      <w:r>
        <w:t>has the same functions in relation to the AO as a Secretary does in relation to a department, including the employment of staff.</w:t>
      </w:r>
    </w:p>
    <w:p w14:paraId="6EECE7C7" w14:textId="10BC5AC8" w:rsidR="003F26DA" w:rsidRDefault="00E91106" w:rsidP="00E91106">
      <w:pPr>
        <w:pStyle w:val="02VIRTHeading2"/>
      </w:pPr>
      <w:bookmarkStart w:id="39" w:name="_Toc185012356"/>
      <w:r>
        <w:lastRenderedPageBreak/>
        <w:t>2.2</w:t>
      </w:r>
      <w:r>
        <w:tab/>
      </w:r>
      <w:r w:rsidR="003F26DA" w:rsidRPr="00A40430">
        <w:t>Public entities</w:t>
      </w:r>
      <w:r w:rsidR="003F26DA">
        <w:t xml:space="preserve"> undertake a range of functions with greater autonomy</w:t>
      </w:r>
      <w:bookmarkEnd w:id="39"/>
    </w:p>
    <w:p w14:paraId="1184B854" w14:textId="1CB956CE" w:rsidR="003F26DA" w:rsidRDefault="003F26DA">
      <w:pPr>
        <w:pStyle w:val="05Paragraph"/>
      </w:pPr>
      <w:r w:rsidRPr="00152130">
        <w:t xml:space="preserve">The definition of a public entity under the </w:t>
      </w:r>
      <w:r>
        <w:t xml:space="preserve">PAA </w:t>
      </w:r>
      <w:r w:rsidRPr="00152130">
        <w:t>is complex</w:t>
      </w:r>
      <w:r>
        <w:t xml:space="preserve"> (Box 2.1)</w:t>
      </w:r>
      <w:r w:rsidRPr="00152130">
        <w:t>, but essentially comprises organisations that are wholly owned by the State or perform a public function on behalf of the State.</w:t>
      </w:r>
      <w:r w:rsidRPr="00A24343">
        <w:rPr>
          <w:rStyle w:val="FootnoteReference"/>
        </w:rPr>
        <w:footnoteReference w:id="23"/>
      </w:r>
      <w:r w:rsidRPr="00152130">
        <w:t xml:space="preserve"> </w:t>
      </w:r>
      <w:r>
        <w:t xml:space="preserve">A distinguishing feature of a public entity is that it </w:t>
      </w:r>
      <w:r w:rsidRPr="008861D6">
        <w:t>perform</w:t>
      </w:r>
      <w:r>
        <w:t>s</w:t>
      </w:r>
      <w:r w:rsidRPr="008861D6">
        <w:t xml:space="preserve"> </w:t>
      </w:r>
      <w:r>
        <w:t>its ‘…</w:t>
      </w:r>
      <w:r w:rsidRPr="008861D6">
        <w:t xml:space="preserve"> functions with some autonomy from Ministers and public servants in </w:t>
      </w:r>
      <w:r>
        <w:t>[its]</w:t>
      </w:r>
      <w:r w:rsidRPr="008861D6">
        <w:t xml:space="preserve"> day to day decisions</w:t>
      </w:r>
      <w:r>
        <w:t>’.</w:t>
      </w:r>
      <w:r>
        <w:rPr>
          <w:rStyle w:val="FootnoteReference"/>
        </w:rPr>
        <w:footnoteReference w:id="24"/>
      </w:r>
      <w:r>
        <w:t xml:space="preserve"> </w:t>
      </w:r>
    </w:p>
    <w:p w14:paraId="418B2E27" w14:textId="2141967F" w:rsidR="00033413" w:rsidRDefault="003F26DA">
      <w:pPr>
        <w:pStyle w:val="05Paragraph"/>
      </w:pPr>
      <w:r w:rsidRPr="0017550D">
        <w:rPr>
          <w:rStyle w:val="08FiguretableboxheadingChar"/>
        </w:rPr>
        <w:t>Box 2.</w:t>
      </w:r>
      <w:r>
        <w:rPr>
          <w:rStyle w:val="08FiguretableboxheadingChar"/>
        </w:rPr>
        <w:t>1</w:t>
      </w:r>
      <w:r w:rsidRPr="0017550D">
        <w:rPr>
          <w:rStyle w:val="08FiguretableboxheadingChar"/>
        </w:rPr>
        <w:t xml:space="preserve">: </w:t>
      </w:r>
      <w:r>
        <w:rPr>
          <w:rStyle w:val="08FiguretableboxheadingChar"/>
        </w:rPr>
        <w:t>S</w:t>
      </w:r>
      <w:r w:rsidRPr="0017550D">
        <w:rPr>
          <w:rStyle w:val="08FiguretableboxheadingChar"/>
        </w:rPr>
        <w:t>ummary definition of ‘public entity’ under the PAA</w:t>
      </w:r>
    </w:p>
    <w:p w14:paraId="2BA02BE2" w14:textId="6E7E4E69" w:rsidR="003F26DA" w:rsidRDefault="003F26DA">
      <w:pPr>
        <w:pStyle w:val="09Sourcesandnotesfortablesfiguresboxes"/>
        <w:spacing w:after="360"/>
        <w:ind w:right="-147"/>
        <w:rPr>
          <w:rStyle w:val="08FiguretableboxheadingChar"/>
        </w:rPr>
      </w:pPr>
      <w:r>
        <w:rPr>
          <w:noProof/>
        </w:rPr>
        <mc:AlternateContent>
          <mc:Choice Requires="wps">
            <w:drawing>
              <wp:inline distT="0" distB="0" distL="0" distR="0" wp14:anchorId="2B3FC5E2" wp14:editId="29E60CDB">
                <wp:extent cx="5562600" cy="4072255"/>
                <wp:effectExtent l="0" t="0" r="19050" b="23495"/>
                <wp:docPr id="1051511352" name="Rectangle 1"/>
                <wp:cNvGraphicFramePr/>
                <a:graphic xmlns:a="http://schemas.openxmlformats.org/drawingml/2006/main">
                  <a:graphicData uri="http://schemas.microsoft.com/office/word/2010/wordprocessingShape">
                    <wps:wsp>
                      <wps:cNvSpPr/>
                      <wps:spPr>
                        <a:xfrm>
                          <a:off x="0" y="0"/>
                          <a:ext cx="5562600" cy="4072255"/>
                        </a:xfrm>
                        <a:prstGeom prst="rect">
                          <a:avLst/>
                        </a:prstGeom>
                        <a:noFill/>
                        <a:ln w="19050">
                          <a:solidFill>
                            <a:schemeClr val="accent1"/>
                          </a:solidFill>
                        </a:ln>
                        <a:effectLst/>
                      </wps:spPr>
                      <wps:style>
                        <a:lnRef idx="1">
                          <a:schemeClr val="accent1"/>
                        </a:lnRef>
                        <a:fillRef idx="3">
                          <a:schemeClr val="accent1"/>
                        </a:fillRef>
                        <a:effectRef idx="2">
                          <a:schemeClr val="accent1"/>
                        </a:effectRef>
                        <a:fontRef idx="minor">
                          <a:schemeClr val="lt1"/>
                        </a:fontRef>
                      </wps:style>
                      <wps:txbx>
                        <w:txbxContent>
                          <w:p w14:paraId="2BDBB200" w14:textId="7E69BA8E" w:rsidR="003F26DA" w:rsidRPr="00AA1B7D" w:rsidRDefault="003F26DA">
                            <w:pPr>
                              <w:pStyle w:val="12BoxText"/>
                              <w:spacing w:before="0"/>
                            </w:pPr>
                            <w:r w:rsidRPr="00AA1B7D">
                              <w:t xml:space="preserve">The </w:t>
                            </w:r>
                            <w:r>
                              <w:t>VPSC</w:t>
                            </w:r>
                            <w:r w:rsidRPr="00AA1B7D">
                              <w:t xml:space="preserve"> has summarised </w:t>
                            </w:r>
                            <w:r>
                              <w:t xml:space="preserve">the </w:t>
                            </w:r>
                            <w:r w:rsidRPr="00AA1B7D">
                              <w:t xml:space="preserve">definition of a public entity in section 5 of the </w:t>
                            </w:r>
                            <w:r>
                              <w:t>PAA</w:t>
                            </w:r>
                            <w:r w:rsidRPr="00AA1B7D">
                              <w:t xml:space="preserve"> as:</w:t>
                            </w:r>
                          </w:p>
                          <w:p w14:paraId="2648656C" w14:textId="77777777" w:rsidR="003F26DA" w:rsidRPr="008048D3" w:rsidRDefault="003F26DA">
                            <w:pPr>
                              <w:pStyle w:val="12BoxText"/>
                              <w:ind w:left="709" w:hanging="425"/>
                              <w:rPr>
                                <w:i/>
                                <w:iCs/>
                                <w:color w:val="26664E" w:themeColor="accent1"/>
                              </w:rPr>
                            </w:pPr>
                            <w:r w:rsidRPr="008048D3">
                              <w:rPr>
                                <w:i/>
                                <w:iCs/>
                                <w:color w:val="26664E" w:themeColor="accent1"/>
                              </w:rPr>
                              <w:t>… a body, whether corporate or unincorporated, that is established by:</w:t>
                            </w:r>
                          </w:p>
                          <w:p w14:paraId="42679549" w14:textId="77777777" w:rsidR="003F26DA" w:rsidRPr="008048D3" w:rsidRDefault="003F26DA">
                            <w:pPr>
                              <w:pStyle w:val="13Boxbullets"/>
                              <w:ind w:left="709" w:hanging="425"/>
                              <w:rPr>
                                <w:i/>
                                <w:iCs/>
                                <w:color w:val="26664E" w:themeColor="accent1"/>
                              </w:rPr>
                            </w:pPr>
                            <w:r w:rsidRPr="008048D3">
                              <w:rPr>
                                <w:i/>
                                <w:iCs/>
                                <w:color w:val="26664E" w:themeColor="accent1"/>
                              </w:rPr>
                              <w:t>an Act (other than a private Act) or the Corporations Act; or</w:t>
                            </w:r>
                          </w:p>
                          <w:p w14:paraId="1AD6DC13" w14:textId="77777777" w:rsidR="003F26DA" w:rsidRPr="008048D3" w:rsidRDefault="003F26DA">
                            <w:pPr>
                              <w:pStyle w:val="13Boxbullets"/>
                              <w:ind w:left="709" w:hanging="425"/>
                              <w:rPr>
                                <w:i/>
                                <w:iCs/>
                                <w:color w:val="26664E" w:themeColor="accent1"/>
                              </w:rPr>
                            </w:pPr>
                            <w:r w:rsidRPr="008048D3">
                              <w:rPr>
                                <w:i/>
                                <w:iCs/>
                                <w:color w:val="26664E" w:themeColor="accent1"/>
                              </w:rPr>
                              <w:t>the Governor in Council; or</w:t>
                            </w:r>
                          </w:p>
                          <w:p w14:paraId="3FC5947A" w14:textId="77777777" w:rsidR="003F26DA" w:rsidRPr="008048D3" w:rsidRDefault="003F26DA">
                            <w:pPr>
                              <w:pStyle w:val="13Boxbullets"/>
                              <w:ind w:left="709" w:hanging="425"/>
                              <w:rPr>
                                <w:i/>
                                <w:iCs/>
                                <w:color w:val="26664E" w:themeColor="accent1"/>
                              </w:rPr>
                            </w:pPr>
                            <w:r w:rsidRPr="008048D3">
                              <w:rPr>
                                <w:i/>
                                <w:iCs/>
                                <w:color w:val="26664E" w:themeColor="accent1"/>
                              </w:rPr>
                              <w:t>a minister.</w:t>
                            </w:r>
                          </w:p>
                          <w:p w14:paraId="19DDE26A" w14:textId="77777777" w:rsidR="003F26DA" w:rsidRPr="008048D3" w:rsidRDefault="003F26DA">
                            <w:pPr>
                              <w:pStyle w:val="12BoxText"/>
                              <w:ind w:left="284"/>
                              <w:rPr>
                                <w:i/>
                                <w:iCs/>
                                <w:color w:val="26664E" w:themeColor="accent1"/>
                                <w:spacing w:val="-4"/>
                              </w:rPr>
                            </w:pPr>
                            <w:r w:rsidRPr="008048D3">
                              <w:rPr>
                                <w:i/>
                                <w:iCs/>
                                <w:color w:val="26664E" w:themeColor="accent1"/>
                                <w:spacing w:val="-4"/>
                              </w:rPr>
                              <w:t>In addition to these criteria, the [PAA] applies a further set of tests. These are summarised below.</w:t>
                            </w:r>
                          </w:p>
                          <w:p w14:paraId="7043CB08" w14:textId="77777777" w:rsidR="003F26DA" w:rsidRPr="008048D3" w:rsidRDefault="003F26DA">
                            <w:pPr>
                              <w:pStyle w:val="13Boxbullets"/>
                              <w:ind w:left="709" w:hanging="425"/>
                              <w:rPr>
                                <w:i/>
                                <w:iCs/>
                                <w:color w:val="26664E" w:themeColor="accent1"/>
                              </w:rPr>
                            </w:pPr>
                            <w:r w:rsidRPr="008048D3">
                              <w:rPr>
                                <w:i/>
                                <w:iCs/>
                                <w:color w:val="26664E" w:themeColor="accent1"/>
                              </w:rPr>
                              <w:t>In the case of a body corporate, the Governor in Council or the relevant minister must have the right to appoint at least one half of the directors.</w:t>
                            </w:r>
                          </w:p>
                          <w:p w14:paraId="73D0D987" w14:textId="77777777" w:rsidR="003F26DA" w:rsidRPr="008048D3" w:rsidRDefault="003F26DA">
                            <w:pPr>
                              <w:pStyle w:val="13Boxbullets"/>
                              <w:ind w:left="709" w:hanging="425"/>
                              <w:rPr>
                                <w:i/>
                                <w:iCs/>
                                <w:color w:val="26664E" w:themeColor="accent1"/>
                              </w:rPr>
                            </w:pPr>
                            <w:r w:rsidRPr="008048D3">
                              <w:rPr>
                                <w:i/>
                                <w:iCs/>
                                <w:color w:val="26664E" w:themeColor="accent1"/>
                              </w:rPr>
                              <w:t>The body must have a public function to exercise on behalf of the State or be wholly owned by the State.</w:t>
                            </w:r>
                          </w:p>
                          <w:p w14:paraId="2E361857" w14:textId="77777777" w:rsidR="003F26DA" w:rsidRPr="008048D3" w:rsidRDefault="003F26DA">
                            <w:pPr>
                              <w:pStyle w:val="13Boxbullets"/>
                              <w:ind w:left="709" w:hanging="425"/>
                              <w:rPr>
                                <w:i/>
                                <w:iCs/>
                                <w:color w:val="26664E" w:themeColor="accent1"/>
                              </w:rPr>
                            </w:pPr>
                            <w:r w:rsidRPr="008048D3">
                              <w:rPr>
                                <w:i/>
                                <w:iCs/>
                                <w:color w:val="26664E" w:themeColor="accent1"/>
                              </w:rPr>
                              <w:t>In the case of an advisory body, the body must:</w:t>
                            </w:r>
                          </w:p>
                          <w:p w14:paraId="6C5084AA"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 xml:space="preserve">have written terms of reference guiding its </w:t>
                            </w:r>
                            <w:proofErr w:type="gramStart"/>
                            <w:r w:rsidRPr="008048D3">
                              <w:rPr>
                                <w:i/>
                                <w:iCs/>
                                <w:color w:val="26664E" w:themeColor="accent1"/>
                              </w:rPr>
                              <w:t>operation;</w:t>
                            </w:r>
                            <w:proofErr w:type="gramEnd"/>
                          </w:p>
                          <w:p w14:paraId="67FE5D66"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be required to provide the advice or report to a minister or the government; and</w:t>
                            </w:r>
                          </w:p>
                          <w:p w14:paraId="245204C6"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be declared to be a public entity for the purposes of the Public Administration Act.</w:t>
                            </w:r>
                          </w:p>
                          <w:p w14:paraId="798DD6ED" w14:textId="77777777" w:rsidR="003F26DA" w:rsidRPr="00784B57" w:rsidRDefault="003F26DA">
                            <w:pPr>
                              <w:pStyle w:val="13Boxbullets"/>
                              <w:numPr>
                                <w:ilvl w:val="0"/>
                                <w:numId w:val="0"/>
                              </w:numPr>
                              <w:spacing w:before="120"/>
                              <w:ind w:left="709" w:hanging="425"/>
                              <w:rPr>
                                <w:i/>
                                <w:iCs/>
                              </w:rPr>
                            </w:pPr>
                            <w:r w:rsidRPr="008048D3">
                              <w:rPr>
                                <w:i/>
                                <w:iCs/>
                                <w:color w:val="26664E" w:themeColor="accent1"/>
                              </w:rPr>
                              <w:t>Departments and administrative offices are not public entities.</w:t>
                            </w:r>
                            <w:r w:rsidRPr="00784B57">
                              <w:rPr>
                                <w:i/>
                                <w:iCs/>
                              </w:rPr>
                              <w:t xml:space="preserve">  </w:t>
                            </w:r>
                          </w:p>
                          <w:p w14:paraId="517B2860" w14:textId="77777777" w:rsidR="003F26DA" w:rsidRPr="00AA1B7D" w:rsidRDefault="003F26DA">
                            <w:pPr>
                              <w:pStyle w:val="12BoxText"/>
                            </w:pPr>
                            <w:r w:rsidRPr="00AA1B7D">
                              <w:t xml:space="preserve">Other bodies that are not public entities include: </w:t>
                            </w:r>
                          </w:p>
                          <w:p w14:paraId="7CC8C276" w14:textId="77777777" w:rsidR="003F26DA" w:rsidRPr="00AA1B7D" w:rsidRDefault="003F26DA" w:rsidP="003F26DA">
                            <w:pPr>
                              <w:pStyle w:val="13Boxbullets"/>
                              <w:ind w:left="502"/>
                            </w:pPr>
                            <w:r w:rsidRPr="00AA1B7D">
                              <w:t xml:space="preserve">an ‘exempt’ or ‘special’ body as defined under the </w:t>
                            </w:r>
                            <w:r>
                              <w:t>PAA</w:t>
                            </w:r>
                          </w:p>
                          <w:p w14:paraId="3CD93608" w14:textId="77777777" w:rsidR="003F26DA" w:rsidRPr="00AA1B7D" w:rsidRDefault="003F26DA" w:rsidP="003F26DA">
                            <w:pPr>
                              <w:pStyle w:val="13Boxbullets"/>
                              <w:ind w:left="502"/>
                            </w:pPr>
                            <w:r w:rsidRPr="00AA1B7D">
                              <w:t>a Royal Commission, Board of Inquiry or Formal Review</w:t>
                            </w:r>
                          </w:p>
                          <w:p w14:paraId="73FAB2D6" w14:textId="77777777" w:rsidR="003F26DA" w:rsidRDefault="003F26DA" w:rsidP="003F26DA">
                            <w:pPr>
                              <w:pStyle w:val="13Boxbullets"/>
                              <w:ind w:left="502"/>
                            </w:pPr>
                            <w:r w:rsidRPr="00AA1B7D">
                              <w:t xml:space="preserve">certain bodies governed by the </w:t>
                            </w:r>
                            <w:r w:rsidRPr="002F27C4">
                              <w:rPr>
                                <w:i/>
                                <w:iCs/>
                              </w:rPr>
                              <w:t>Health Services Act 1988</w:t>
                            </w:r>
                            <w:r>
                              <w:t xml:space="preserve"> (Vic)</w:t>
                            </w:r>
                          </w:p>
                          <w:p w14:paraId="73ABA517" w14:textId="77777777" w:rsidR="003F26DA" w:rsidRDefault="003F26DA" w:rsidP="003F26DA">
                            <w:pPr>
                              <w:pStyle w:val="13Boxbullets"/>
                              <w:ind w:left="502"/>
                            </w:pPr>
                            <w:r>
                              <w:t>a body or class of body specifically exempted from the PAA.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B3FC5E2" id="Rectangle 1" o:spid="_x0000_s1026" style="width:438pt;height:3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" filled="f" strokecolor="#26664e [3204]" strokeweight="1.5pt">
                <v:textbox>
                  <w:txbxContent>
                    <w:p w14:paraId="2BDBB200" w14:textId="7E69BA8E" w:rsidR="003F26DA" w:rsidRPr="00AA1B7D" w:rsidRDefault="003F26DA">
                      <w:pPr>
                        <w:pStyle w:val="12BoxText"/>
                        <w:spacing w:before="0"/>
                      </w:pPr>
                      <w:r w:rsidRPr="00AA1B7D">
                        <w:t xml:space="preserve">The </w:t>
                      </w:r>
                      <w:r>
                        <w:t>VPSC</w:t>
                      </w:r>
                      <w:r w:rsidRPr="00AA1B7D">
                        <w:t xml:space="preserve"> has summarised </w:t>
                      </w:r>
                      <w:r>
                        <w:t xml:space="preserve">the </w:t>
                      </w:r>
                      <w:r w:rsidRPr="00AA1B7D">
                        <w:t xml:space="preserve">definition of a public entity in section 5 of the </w:t>
                      </w:r>
                      <w:r>
                        <w:t>PAA</w:t>
                      </w:r>
                      <w:r w:rsidRPr="00AA1B7D">
                        <w:t xml:space="preserve"> as:</w:t>
                      </w:r>
                    </w:p>
                    <w:p w14:paraId="2648656C" w14:textId="77777777" w:rsidR="003F26DA" w:rsidRPr="008048D3" w:rsidRDefault="003F26DA">
                      <w:pPr>
                        <w:pStyle w:val="12BoxText"/>
                        <w:ind w:left="709" w:hanging="425"/>
                        <w:rPr>
                          <w:i/>
                          <w:iCs/>
                          <w:color w:val="26664E" w:themeColor="accent1"/>
                        </w:rPr>
                      </w:pPr>
                      <w:r w:rsidRPr="008048D3">
                        <w:rPr>
                          <w:i/>
                          <w:iCs/>
                          <w:color w:val="26664E" w:themeColor="accent1"/>
                        </w:rPr>
                        <w:t>… a body, whether corporate or unincorporated, that is established by:</w:t>
                      </w:r>
                    </w:p>
                    <w:p w14:paraId="42679549" w14:textId="77777777" w:rsidR="003F26DA" w:rsidRPr="008048D3" w:rsidRDefault="003F26DA">
                      <w:pPr>
                        <w:pStyle w:val="13Boxbullets"/>
                        <w:ind w:left="709" w:hanging="425"/>
                        <w:rPr>
                          <w:i/>
                          <w:iCs/>
                          <w:color w:val="26664E" w:themeColor="accent1"/>
                        </w:rPr>
                      </w:pPr>
                      <w:r w:rsidRPr="008048D3">
                        <w:rPr>
                          <w:i/>
                          <w:iCs/>
                          <w:color w:val="26664E" w:themeColor="accent1"/>
                        </w:rPr>
                        <w:t>an Act (other than a private Act) or the Corporations Act; or</w:t>
                      </w:r>
                    </w:p>
                    <w:p w14:paraId="1AD6DC13" w14:textId="77777777" w:rsidR="003F26DA" w:rsidRPr="008048D3" w:rsidRDefault="003F26DA">
                      <w:pPr>
                        <w:pStyle w:val="13Boxbullets"/>
                        <w:ind w:left="709" w:hanging="425"/>
                        <w:rPr>
                          <w:i/>
                          <w:iCs/>
                          <w:color w:val="26664E" w:themeColor="accent1"/>
                        </w:rPr>
                      </w:pPr>
                      <w:r w:rsidRPr="008048D3">
                        <w:rPr>
                          <w:i/>
                          <w:iCs/>
                          <w:color w:val="26664E" w:themeColor="accent1"/>
                        </w:rPr>
                        <w:t>the Governor in Council; or</w:t>
                      </w:r>
                    </w:p>
                    <w:p w14:paraId="3FC5947A" w14:textId="77777777" w:rsidR="003F26DA" w:rsidRPr="008048D3" w:rsidRDefault="003F26DA">
                      <w:pPr>
                        <w:pStyle w:val="13Boxbullets"/>
                        <w:ind w:left="709" w:hanging="425"/>
                        <w:rPr>
                          <w:i/>
                          <w:iCs/>
                          <w:color w:val="26664E" w:themeColor="accent1"/>
                        </w:rPr>
                      </w:pPr>
                      <w:r w:rsidRPr="008048D3">
                        <w:rPr>
                          <w:i/>
                          <w:iCs/>
                          <w:color w:val="26664E" w:themeColor="accent1"/>
                        </w:rPr>
                        <w:t>a minister.</w:t>
                      </w:r>
                    </w:p>
                    <w:p w14:paraId="19DDE26A" w14:textId="77777777" w:rsidR="003F26DA" w:rsidRPr="008048D3" w:rsidRDefault="003F26DA">
                      <w:pPr>
                        <w:pStyle w:val="12BoxText"/>
                        <w:ind w:left="284"/>
                        <w:rPr>
                          <w:i/>
                          <w:iCs/>
                          <w:color w:val="26664E" w:themeColor="accent1"/>
                          <w:spacing w:val="-4"/>
                        </w:rPr>
                      </w:pPr>
                      <w:r w:rsidRPr="008048D3">
                        <w:rPr>
                          <w:i/>
                          <w:iCs/>
                          <w:color w:val="26664E" w:themeColor="accent1"/>
                          <w:spacing w:val="-4"/>
                        </w:rPr>
                        <w:t>In addition to these criteria, the [PAA] applies a further set of tests. These are summarised below.</w:t>
                      </w:r>
                    </w:p>
                    <w:p w14:paraId="7043CB08" w14:textId="77777777" w:rsidR="003F26DA" w:rsidRPr="008048D3" w:rsidRDefault="003F26DA">
                      <w:pPr>
                        <w:pStyle w:val="13Boxbullets"/>
                        <w:ind w:left="709" w:hanging="425"/>
                        <w:rPr>
                          <w:i/>
                          <w:iCs/>
                          <w:color w:val="26664E" w:themeColor="accent1"/>
                        </w:rPr>
                      </w:pPr>
                      <w:r w:rsidRPr="008048D3">
                        <w:rPr>
                          <w:i/>
                          <w:iCs/>
                          <w:color w:val="26664E" w:themeColor="accent1"/>
                        </w:rPr>
                        <w:t>In the case of a body corporate, the Governor in Council or the relevant minister must have the right to appoint at least one half of the directors.</w:t>
                      </w:r>
                    </w:p>
                    <w:p w14:paraId="73D0D987" w14:textId="77777777" w:rsidR="003F26DA" w:rsidRPr="008048D3" w:rsidRDefault="003F26DA">
                      <w:pPr>
                        <w:pStyle w:val="13Boxbullets"/>
                        <w:ind w:left="709" w:hanging="425"/>
                        <w:rPr>
                          <w:i/>
                          <w:iCs/>
                          <w:color w:val="26664E" w:themeColor="accent1"/>
                        </w:rPr>
                      </w:pPr>
                      <w:r w:rsidRPr="008048D3">
                        <w:rPr>
                          <w:i/>
                          <w:iCs/>
                          <w:color w:val="26664E" w:themeColor="accent1"/>
                        </w:rPr>
                        <w:t>The body must have a public function to exercise on behalf of the State or be wholly owned by the State.</w:t>
                      </w:r>
                    </w:p>
                    <w:p w14:paraId="2E361857" w14:textId="77777777" w:rsidR="003F26DA" w:rsidRPr="008048D3" w:rsidRDefault="003F26DA">
                      <w:pPr>
                        <w:pStyle w:val="13Boxbullets"/>
                        <w:ind w:left="709" w:hanging="425"/>
                        <w:rPr>
                          <w:i/>
                          <w:iCs/>
                          <w:color w:val="26664E" w:themeColor="accent1"/>
                        </w:rPr>
                      </w:pPr>
                      <w:r w:rsidRPr="008048D3">
                        <w:rPr>
                          <w:i/>
                          <w:iCs/>
                          <w:color w:val="26664E" w:themeColor="accent1"/>
                        </w:rPr>
                        <w:t>In the case of an advisory body, the body must:</w:t>
                      </w:r>
                    </w:p>
                    <w:p w14:paraId="6C5084AA"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 xml:space="preserve">have written terms of reference guiding its </w:t>
                      </w:r>
                      <w:proofErr w:type="gramStart"/>
                      <w:r w:rsidRPr="008048D3">
                        <w:rPr>
                          <w:i/>
                          <w:iCs/>
                          <w:color w:val="26664E" w:themeColor="accent1"/>
                        </w:rPr>
                        <w:t>operation;</w:t>
                      </w:r>
                      <w:proofErr w:type="gramEnd"/>
                    </w:p>
                    <w:p w14:paraId="67FE5D66"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be required to provide the advice or report to a minister or the government; and</w:t>
                      </w:r>
                    </w:p>
                    <w:p w14:paraId="245204C6" w14:textId="77777777" w:rsidR="003F26DA" w:rsidRPr="008048D3" w:rsidRDefault="003F26DA" w:rsidP="002D7FF4">
                      <w:pPr>
                        <w:pStyle w:val="13Boxbullets"/>
                        <w:numPr>
                          <w:ilvl w:val="1"/>
                          <w:numId w:val="33"/>
                        </w:numPr>
                        <w:ind w:left="1134" w:hanging="425"/>
                        <w:rPr>
                          <w:i/>
                          <w:iCs/>
                          <w:color w:val="26664E" w:themeColor="accent1"/>
                        </w:rPr>
                      </w:pPr>
                      <w:r w:rsidRPr="008048D3">
                        <w:rPr>
                          <w:i/>
                          <w:iCs/>
                          <w:color w:val="26664E" w:themeColor="accent1"/>
                        </w:rPr>
                        <w:t>be declared to be a public entity for the purposes of the Public Administration Act.</w:t>
                      </w:r>
                    </w:p>
                    <w:p w14:paraId="798DD6ED" w14:textId="77777777" w:rsidR="003F26DA" w:rsidRPr="00784B57" w:rsidRDefault="003F26DA">
                      <w:pPr>
                        <w:pStyle w:val="13Boxbullets"/>
                        <w:numPr>
                          <w:ilvl w:val="0"/>
                          <w:numId w:val="0"/>
                        </w:numPr>
                        <w:spacing w:before="120"/>
                        <w:ind w:left="709" w:hanging="425"/>
                        <w:rPr>
                          <w:i/>
                          <w:iCs/>
                        </w:rPr>
                      </w:pPr>
                      <w:r w:rsidRPr="008048D3">
                        <w:rPr>
                          <w:i/>
                          <w:iCs/>
                          <w:color w:val="26664E" w:themeColor="accent1"/>
                        </w:rPr>
                        <w:t>Departments and administrative offices are not public entities.</w:t>
                      </w:r>
                      <w:r w:rsidRPr="00784B57">
                        <w:rPr>
                          <w:i/>
                          <w:iCs/>
                        </w:rPr>
                        <w:t xml:space="preserve">  </w:t>
                      </w:r>
                    </w:p>
                    <w:p w14:paraId="517B2860" w14:textId="77777777" w:rsidR="003F26DA" w:rsidRPr="00AA1B7D" w:rsidRDefault="003F26DA">
                      <w:pPr>
                        <w:pStyle w:val="12BoxText"/>
                      </w:pPr>
                      <w:r w:rsidRPr="00AA1B7D">
                        <w:t xml:space="preserve">Other bodies that are not public entities include: </w:t>
                      </w:r>
                    </w:p>
                    <w:p w14:paraId="7CC8C276" w14:textId="77777777" w:rsidR="003F26DA" w:rsidRPr="00AA1B7D" w:rsidRDefault="003F26DA" w:rsidP="003F26DA">
                      <w:pPr>
                        <w:pStyle w:val="13Boxbullets"/>
                        <w:ind w:left="502"/>
                      </w:pPr>
                      <w:r w:rsidRPr="00AA1B7D">
                        <w:t xml:space="preserve">an ‘exempt’ or ‘special’ body as defined under the </w:t>
                      </w:r>
                      <w:r>
                        <w:t>PAA</w:t>
                      </w:r>
                    </w:p>
                    <w:p w14:paraId="3CD93608" w14:textId="77777777" w:rsidR="003F26DA" w:rsidRPr="00AA1B7D" w:rsidRDefault="003F26DA" w:rsidP="003F26DA">
                      <w:pPr>
                        <w:pStyle w:val="13Boxbullets"/>
                        <w:ind w:left="502"/>
                      </w:pPr>
                      <w:r w:rsidRPr="00AA1B7D">
                        <w:t>a Royal Commission, Board of Inquiry or Formal Review</w:t>
                      </w:r>
                    </w:p>
                    <w:p w14:paraId="73FAB2D6" w14:textId="77777777" w:rsidR="003F26DA" w:rsidRDefault="003F26DA" w:rsidP="003F26DA">
                      <w:pPr>
                        <w:pStyle w:val="13Boxbullets"/>
                        <w:ind w:left="502"/>
                      </w:pPr>
                      <w:r w:rsidRPr="00AA1B7D">
                        <w:t xml:space="preserve">certain bodies governed by the </w:t>
                      </w:r>
                      <w:r w:rsidRPr="002F27C4">
                        <w:rPr>
                          <w:i/>
                          <w:iCs/>
                        </w:rPr>
                        <w:t>Health Services Act 1988</w:t>
                      </w:r>
                      <w:r>
                        <w:t xml:space="preserve"> (Vic)</w:t>
                      </w:r>
                    </w:p>
                    <w:p w14:paraId="73ABA517" w14:textId="77777777" w:rsidR="003F26DA" w:rsidRDefault="003F26DA" w:rsidP="003F26DA">
                      <w:pPr>
                        <w:pStyle w:val="13Boxbullets"/>
                        <w:ind w:left="502"/>
                      </w:pPr>
                      <w:r>
                        <w:t>a body or class of body specifically exempted from the PAA.</w:t>
                      </w:r>
                    </w:p>
                  </w:txbxContent>
                </v:textbox>
                <w10:anchorlock/>
              </v:rect>
            </w:pict>
          </mc:Fallback>
        </mc:AlternateContent>
      </w:r>
      <w:r w:rsidR="00057D17" w:rsidRPr="0017550D" w:rsidDel="00057D17">
        <w:rPr>
          <w:rStyle w:val="08FiguretableboxheadingChar"/>
        </w:rPr>
        <w:t xml:space="preserve"> </w:t>
      </w:r>
    </w:p>
    <w:p w14:paraId="3AC04DE0" w14:textId="415FE90B" w:rsidR="003F26DA" w:rsidRPr="008035B1" w:rsidRDefault="003F26DA">
      <w:pPr>
        <w:pStyle w:val="09Sourcesandnotesfortablesfiguresboxes"/>
        <w:spacing w:after="360"/>
        <w:ind w:right="-147"/>
      </w:pPr>
      <w:r w:rsidRPr="008035B1">
        <w:t>Source</w:t>
      </w:r>
      <w:r>
        <w:t>s</w:t>
      </w:r>
      <w:r w:rsidRPr="008035B1">
        <w:t xml:space="preserve">: </w:t>
      </w:r>
      <w:r w:rsidR="008F5006" w:rsidRPr="008035B1">
        <w:t>PAA, s</w:t>
      </w:r>
      <w:r w:rsidR="008F5006">
        <w:t>.</w:t>
      </w:r>
      <w:r w:rsidR="008F5006" w:rsidRPr="008035B1">
        <w:t xml:space="preserve"> 5</w:t>
      </w:r>
      <w:r w:rsidR="008F5006">
        <w:t xml:space="preserve">; </w:t>
      </w:r>
      <w:r w:rsidRPr="00474922">
        <w:t>VPSC</w:t>
      </w:r>
      <w:r w:rsidR="003E2DAA">
        <w:t xml:space="preserve"> (2022a)</w:t>
      </w:r>
      <w:r w:rsidRPr="00474922">
        <w:t>, section 2.1.1</w:t>
      </w:r>
      <w:r w:rsidRPr="008035B1">
        <w:t>.</w:t>
      </w:r>
    </w:p>
    <w:p w14:paraId="7E785CDE" w14:textId="77777777" w:rsidR="003F26DA" w:rsidRDefault="003F26DA">
      <w:pPr>
        <w:pStyle w:val="05Paragraph"/>
      </w:pPr>
      <w:r>
        <w:t>The VPSC</w:t>
      </w:r>
      <w:r w:rsidRPr="00F22DA2">
        <w:t xml:space="preserve"> has</w:t>
      </w:r>
      <w:r>
        <w:t xml:space="preserve"> listed</w:t>
      </w:r>
      <w:r w:rsidRPr="00F22DA2">
        <w:t xml:space="preserve"> several features</w:t>
      </w:r>
      <w:r>
        <w:t xml:space="preserve"> of public entities</w:t>
      </w:r>
      <w:r w:rsidRPr="00F22DA2">
        <w:t>, including those summarised below.</w:t>
      </w:r>
      <w:r w:rsidRPr="00F22DA2">
        <w:rPr>
          <w:rStyle w:val="FootnoteReference"/>
        </w:rPr>
        <w:footnoteReference w:id="25"/>
      </w:r>
      <w:r w:rsidRPr="00826A6E">
        <w:t xml:space="preserve">  </w:t>
      </w:r>
    </w:p>
    <w:p w14:paraId="6A8FB053" w14:textId="77777777" w:rsidR="003F26DA" w:rsidRDefault="003F26DA">
      <w:pPr>
        <w:pStyle w:val="03VIRTHeading3"/>
      </w:pPr>
      <w:r w:rsidRPr="001C13E4">
        <w:lastRenderedPageBreak/>
        <w:t>Public entities undertake a mix of functions</w:t>
      </w:r>
    </w:p>
    <w:p w14:paraId="256C4DC6" w14:textId="77777777" w:rsidR="003F26DA" w:rsidRDefault="003F26DA">
      <w:pPr>
        <w:pStyle w:val="05Paragraph"/>
      </w:pPr>
      <w:r>
        <w:t xml:space="preserve">Public entities perform a range of functions in Victoria, some of which are </w:t>
      </w:r>
      <w:proofErr w:type="gramStart"/>
      <w:r>
        <w:t>similar to</w:t>
      </w:r>
      <w:proofErr w:type="gramEnd"/>
      <w:r>
        <w:t xml:space="preserve"> those previously — or currently — undertaken by VPS bodies. Specific public entities may specialise in a particular function or activity, while others may perform multiple functions.</w:t>
      </w:r>
    </w:p>
    <w:p w14:paraId="46F074CE" w14:textId="77777777" w:rsidR="003F26DA" w:rsidRDefault="003F26DA">
      <w:pPr>
        <w:pStyle w:val="05Paragraph"/>
      </w:pPr>
      <w:r>
        <w:t>Typical functions include:</w:t>
      </w:r>
      <w:r>
        <w:rPr>
          <w:rStyle w:val="FootnoteReference"/>
        </w:rPr>
        <w:footnoteReference w:id="26"/>
      </w:r>
      <w:r>
        <w:t xml:space="preserve"> </w:t>
      </w:r>
    </w:p>
    <w:p w14:paraId="11BDCE71" w14:textId="77777777" w:rsidR="003F26DA" w:rsidRDefault="003F26DA" w:rsidP="003F26DA">
      <w:pPr>
        <w:pStyle w:val="06VIRTBulletpoints"/>
        <w:ind w:left="357" w:hanging="357"/>
      </w:pPr>
      <w:r w:rsidRPr="009A7FCD">
        <w:rPr>
          <w:i/>
          <w:iCs/>
        </w:rPr>
        <w:t>Service delivery</w:t>
      </w:r>
      <w:r>
        <w:t xml:space="preserve"> — The provision of goods and services to the community or within the public sector, which can be delivered on a commercial (funded via user charges) or a non-commercial (funded partially or wholly by the government) basis. Examples include water and sewerage services provided by water corporations and education and training courses provided by Technical and Further Education institutes (TAFEs).</w:t>
      </w:r>
    </w:p>
    <w:p w14:paraId="39A58318" w14:textId="77777777" w:rsidR="003F26DA" w:rsidRDefault="003F26DA" w:rsidP="003F26DA">
      <w:pPr>
        <w:pStyle w:val="06VIRTBulletpoints"/>
        <w:ind w:left="357" w:hanging="357"/>
      </w:pPr>
      <w:r w:rsidRPr="009A7FCD">
        <w:rPr>
          <w:i/>
          <w:iCs/>
        </w:rPr>
        <w:t>Stewardship</w:t>
      </w:r>
      <w:r>
        <w:t xml:space="preserve"> — Custodial or oversight functions in respect of publicly-owned assets for the long-term benefit of the community, which can include a mix of conservation, management and public access activities. An example is Phillip Island Nature Parks — an organisation which delivers </w:t>
      </w:r>
      <w:r w:rsidRPr="008C2FB1">
        <w:t>conservation, research and education programs</w:t>
      </w:r>
      <w:r>
        <w:t>.</w:t>
      </w:r>
      <w:r>
        <w:rPr>
          <w:rStyle w:val="FootnoteReference"/>
        </w:rPr>
        <w:footnoteReference w:id="27"/>
      </w:r>
    </w:p>
    <w:p w14:paraId="1DA2F27B" w14:textId="77777777" w:rsidR="003F26DA" w:rsidRDefault="003F26DA" w:rsidP="003F26DA">
      <w:pPr>
        <w:pStyle w:val="06VIRTBulletpoints"/>
        <w:ind w:left="357" w:hanging="357"/>
      </w:pPr>
      <w:r w:rsidRPr="009A7FCD">
        <w:rPr>
          <w:i/>
          <w:iCs/>
        </w:rPr>
        <w:t>Regulatory</w:t>
      </w:r>
      <w:r>
        <w:t xml:space="preserve"> — Improving community well-being by using statutory (for example, licensing, approvals and enforcement) and behavioural (such as information campaigns) tools to change the behaviour of individuals and organisations.</w:t>
      </w:r>
      <w:r>
        <w:rPr>
          <w:rStyle w:val="FootnoteReference"/>
        </w:rPr>
        <w:footnoteReference w:id="28"/>
      </w:r>
      <w:r>
        <w:t xml:space="preserve"> The Essential Services Commission, for example, regulates aspects of Victoria’s energy, transport and water sectors and oversees rate setting by local government.</w:t>
      </w:r>
      <w:r>
        <w:rPr>
          <w:rStyle w:val="FootnoteReference"/>
        </w:rPr>
        <w:footnoteReference w:id="29"/>
      </w:r>
      <w:r>
        <w:t xml:space="preserve">    </w:t>
      </w:r>
    </w:p>
    <w:p w14:paraId="0F3D2C75" w14:textId="77777777" w:rsidR="003F26DA" w:rsidRDefault="003F26DA" w:rsidP="003F26DA">
      <w:pPr>
        <w:pStyle w:val="06VIRTBulletpoints"/>
        <w:ind w:left="357" w:hanging="357"/>
      </w:pPr>
      <w:r w:rsidRPr="009A7FCD">
        <w:rPr>
          <w:i/>
          <w:iCs/>
        </w:rPr>
        <w:t>Advisory</w:t>
      </w:r>
      <w:r>
        <w:t xml:space="preserve"> — Providing research, advisory and education services to government and the community. For example, the Victoria Law Foundation has statutory functions to undertake research and education activities and to make financial grants that improve justice outcomes.</w:t>
      </w:r>
      <w:r>
        <w:rPr>
          <w:rStyle w:val="FootnoteReference"/>
        </w:rPr>
        <w:footnoteReference w:id="30"/>
      </w:r>
    </w:p>
    <w:p w14:paraId="38DF3AD4" w14:textId="77777777" w:rsidR="003F26DA" w:rsidRDefault="003F26DA">
      <w:pPr>
        <w:pStyle w:val="03VIRTHeading3"/>
      </w:pPr>
      <w:r w:rsidRPr="008B5E60">
        <w:lastRenderedPageBreak/>
        <w:t>Public entities operate with a degree of independence from government</w:t>
      </w:r>
    </w:p>
    <w:p w14:paraId="66E0A4F0" w14:textId="77777777" w:rsidR="003F26DA" w:rsidRDefault="003F26DA">
      <w:pPr>
        <w:pStyle w:val="05Paragraph"/>
      </w:pPr>
      <w:r>
        <w:t xml:space="preserve">As outlined above, public entities are established to operate with a degree of autonomy from Ministers and the VPS. This can be because, for example, a degree of independence in decision-making is desirable to build public confidence, where government may be subject to regulatory or other decisions, or to provide expert, technical advice. </w:t>
      </w:r>
    </w:p>
    <w:p w14:paraId="532487CB" w14:textId="77777777" w:rsidR="003F26DA" w:rsidRDefault="003F26DA">
      <w:pPr>
        <w:pStyle w:val="05Paragraph"/>
      </w:pPr>
      <w:r>
        <w:t>The level of autonomy can vary across different public entities and in relation to different aspects of an entity’s activities.</w:t>
      </w:r>
      <w:r>
        <w:rPr>
          <w:rStyle w:val="FootnoteReference"/>
        </w:rPr>
        <w:footnoteReference w:id="31"/>
      </w:r>
      <w:r>
        <w:t xml:space="preserve"> Ministerial powers are usually defined in the relevant establishing or enabling legislation for an entity. </w:t>
      </w:r>
    </w:p>
    <w:p w14:paraId="3B7A5335" w14:textId="77777777" w:rsidR="003F26DA" w:rsidRDefault="003F26DA">
      <w:pPr>
        <w:pStyle w:val="05Paragraph"/>
      </w:pPr>
      <w:r>
        <w:t>Under the PAA, Ministers are responsible to the Parliament for the exercise of a public entity’s functions and for the exercise of their own powers with respect to the entity, which may include the appointment or removal of an entity’s director/s and directions issued to the entity.</w:t>
      </w:r>
      <w:r>
        <w:rPr>
          <w:rStyle w:val="FootnoteReference"/>
        </w:rPr>
        <w:footnoteReference w:id="32"/>
      </w:r>
      <w:r>
        <w:t xml:space="preserve">   </w:t>
      </w:r>
    </w:p>
    <w:p w14:paraId="5ED6F7A3" w14:textId="77777777" w:rsidR="003F26DA" w:rsidRDefault="003F26DA">
      <w:pPr>
        <w:pStyle w:val="05Paragraph"/>
      </w:pPr>
      <w:r>
        <w:t>Other requirements that define the degree of independence or autonomy of a public entity may also be specified in the statutory instrument used to establish an entity or in government policies. For example, the Statement of Expectations Framework for regulators is intended to:</w:t>
      </w:r>
      <w:r>
        <w:rPr>
          <w:rStyle w:val="FootnoteReference"/>
        </w:rPr>
        <w:footnoteReference w:id="33"/>
      </w:r>
    </w:p>
    <w:p w14:paraId="77E70AD1" w14:textId="77777777" w:rsidR="003F26DA" w:rsidRDefault="003F26DA">
      <w:pPr>
        <w:pStyle w:val="07VIRTBreakouttext"/>
      </w:pPr>
      <w:r>
        <w:t xml:space="preserve">… </w:t>
      </w:r>
      <w:r w:rsidRPr="00193B06">
        <w:t xml:space="preserve">facilitate a dialogue between Ministers, departments and regulators </w:t>
      </w:r>
      <w:proofErr w:type="gramStart"/>
      <w:r w:rsidRPr="00193B06">
        <w:t>to</w:t>
      </w:r>
      <w:r>
        <w:t>:</w:t>
      </w:r>
      <w:proofErr w:type="gramEnd"/>
      <w:r w:rsidRPr="00193B06">
        <w:t xml:space="preserve"> identify the government’s priorities and emerging risks and to establish a process for addressing these priorities through regulators’ business planning processes</w:t>
      </w:r>
      <w:r>
        <w:t>.</w:t>
      </w:r>
    </w:p>
    <w:p w14:paraId="7596F5A0" w14:textId="77777777" w:rsidR="003F26DA" w:rsidRDefault="003F26DA">
      <w:pPr>
        <w:pStyle w:val="03VIRTHeading3"/>
      </w:pPr>
      <w:r w:rsidRPr="00974762">
        <w:t>The statutory form of a public entity varies based on its functions and oversight arrangements</w:t>
      </w:r>
    </w:p>
    <w:p w14:paraId="3B59E526" w14:textId="77777777" w:rsidR="003F26DA" w:rsidRPr="00930CE7" w:rsidRDefault="003F26DA">
      <w:pPr>
        <w:pStyle w:val="05Paragraph"/>
      </w:pPr>
      <w:r>
        <w:t xml:space="preserve">The VPSC’s guidance on public entities </w:t>
      </w:r>
      <w:r w:rsidRPr="00930CE7">
        <w:t>notes a range of considerations in determining the appropriate legal form for a public entity.</w:t>
      </w:r>
      <w:r w:rsidRPr="00930CE7">
        <w:rPr>
          <w:rStyle w:val="FootnoteReference"/>
        </w:rPr>
        <w:footnoteReference w:id="34"/>
      </w:r>
      <w:r w:rsidRPr="00930CE7">
        <w:t xml:space="preserve"> </w:t>
      </w:r>
    </w:p>
    <w:p w14:paraId="02B8BD8C" w14:textId="77777777" w:rsidR="003F26DA" w:rsidRPr="00930CE7" w:rsidRDefault="003F26DA">
      <w:pPr>
        <w:pStyle w:val="05Paragraph"/>
        <w:keepNext/>
      </w:pPr>
      <w:r w:rsidRPr="00930CE7">
        <w:lastRenderedPageBreak/>
        <w:t xml:space="preserve">The </w:t>
      </w:r>
      <w:r>
        <w:t xml:space="preserve">VPSC </w:t>
      </w:r>
      <w:r w:rsidRPr="00930CE7">
        <w:t xml:space="preserve">uses the general term ‘statutory authority’ to describe a public entity that is </w:t>
      </w:r>
      <w:r>
        <w:t>‘</w:t>
      </w:r>
      <w:r w:rsidRPr="00930CE7">
        <w:t>… established under or by Victorian legislation</w:t>
      </w:r>
      <w:r>
        <w:t>’</w:t>
      </w:r>
      <w:r w:rsidRPr="00930CE7">
        <w:t>.</w:t>
      </w:r>
      <w:r w:rsidRPr="00930CE7">
        <w:rPr>
          <w:rStyle w:val="FootnoteReference"/>
        </w:rPr>
        <w:footnoteReference w:id="35"/>
      </w:r>
      <w:r w:rsidRPr="00930CE7">
        <w:t xml:space="preserve"> In practice, this term encompasses a broad range of legal forms for public entities, including:</w:t>
      </w:r>
    </w:p>
    <w:p w14:paraId="044C5611" w14:textId="77777777" w:rsidR="003F26DA" w:rsidRPr="00930CE7" w:rsidRDefault="003F26DA" w:rsidP="003F26DA">
      <w:pPr>
        <w:pStyle w:val="06VIRTBulletpoints"/>
        <w:ind w:left="357" w:hanging="357"/>
      </w:pPr>
      <w:r w:rsidRPr="00930CE7">
        <w:t>‘</w:t>
      </w:r>
      <w:proofErr w:type="gramStart"/>
      <w:r w:rsidRPr="00930CE7">
        <w:t>agency</w:t>
      </w:r>
      <w:proofErr w:type="gramEnd"/>
      <w:r w:rsidRPr="00930CE7">
        <w:t xml:space="preserve">-specific establishing legislation’, which is typically used to establish stand-alone entities with specific objectives, functions and powers — for </w:t>
      </w:r>
      <w:r w:rsidRPr="005347E1">
        <w:t xml:space="preserve">example, the </w:t>
      </w:r>
      <w:r w:rsidRPr="005347E1">
        <w:rPr>
          <w:i/>
          <w:iCs/>
        </w:rPr>
        <w:t>Royal Botanic Gardens Act 1991</w:t>
      </w:r>
      <w:r w:rsidRPr="005347E1">
        <w:t xml:space="preserve"> (Vic) establishes the Royal Botanic Gardens Board and defines its functions, powers and accountability to the responsible Minister</w:t>
      </w:r>
      <w:r>
        <w:rPr>
          <w:rStyle w:val="FootnoteReference"/>
        </w:rPr>
        <w:footnoteReference w:id="36"/>
      </w:r>
      <w:r w:rsidRPr="005347E1">
        <w:t xml:space="preserve"> </w:t>
      </w:r>
    </w:p>
    <w:p w14:paraId="7F8E721D" w14:textId="77777777" w:rsidR="003F26DA" w:rsidRDefault="003F26DA" w:rsidP="003F26DA">
      <w:pPr>
        <w:pStyle w:val="06VIRTBulletpoints"/>
        <w:ind w:left="357" w:hanging="357"/>
      </w:pPr>
      <w:r w:rsidRPr="00930CE7">
        <w:t>‘</w:t>
      </w:r>
      <w:proofErr w:type="gramStart"/>
      <w:r w:rsidRPr="00930CE7">
        <w:t>sector</w:t>
      </w:r>
      <w:proofErr w:type="gramEnd"/>
      <w:r w:rsidRPr="00930CE7">
        <w:t xml:space="preserve">-specific enabling legislation’ that provides a framework to establish multiple entities to undertake similar activities </w:t>
      </w:r>
      <w:r>
        <w:t xml:space="preserve">— </w:t>
      </w:r>
      <w:r w:rsidRPr="00930CE7">
        <w:t xml:space="preserve">for example, the </w:t>
      </w:r>
      <w:r w:rsidRPr="00930CE7">
        <w:rPr>
          <w:i/>
          <w:iCs/>
        </w:rPr>
        <w:t>Catchment and Land Protection Act 1994</w:t>
      </w:r>
      <w:r w:rsidRPr="00930CE7">
        <w:t xml:space="preserve"> (Vic) establishes regional catchment management</w:t>
      </w:r>
      <w:r>
        <w:t xml:space="preserve"> authorities and defines the functions and powers of these bodies</w:t>
      </w:r>
      <w:r>
        <w:rPr>
          <w:rStyle w:val="FootnoteReference"/>
        </w:rPr>
        <w:footnoteReference w:id="37"/>
      </w:r>
      <w:r>
        <w:t xml:space="preserve"> </w:t>
      </w:r>
    </w:p>
    <w:p w14:paraId="16BCAC41" w14:textId="77777777" w:rsidR="003F26DA" w:rsidRDefault="003F26DA" w:rsidP="003F26DA">
      <w:pPr>
        <w:pStyle w:val="06VIRTBulletpoints"/>
        <w:ind w:left="357" w:hanging="357"/>
      </w:pPr>
      <w:r>
        <w:t>‘</w:t>
      </w:r>
      <w:proofErr w:type="gramStart"/>
      <w:r>
        <w:t>broader</w:t>
      </w:r>
      <w:proofErr w:type="gramEnd"/>
      <w:r>
        <w:t xml:space="preserve"> enabling legislation’, such as the </w:t>
      </w:r>
      <w:r w:rsidRPr="00142A74">
        <w:rPr>
          <w:i/>
          <w:iCs/>
        </w:rPr>
        <w:t>State-Owned Enterprises</w:t>
      </w:r>
      <w:r>
        <w:rPr>
          <w:i/>
          <w:iCs/>
        </w:rPr>
        <w:t> </w:t>
      </w:r>
      <w:r w:rsidRPr="00142A74">
        <w:rPr>
          <w:i/>
          <w:iCs/>
        </w:rPr>
        <w:t>Act</w:t>
      </w:r>
      <w:r>
        <w:rPr>
          <w:i/>
          <w:iCs/>
        </w:rPr>
        <w:t> </w:t>
      </w:r>
      <w:r w:rsidRPr="00142A74">
        <w:rPr>
          <w:i/>
          <w:iCs/>
        </w:rPr>
        <w:t>1992</w:t>
      </w:r>
      <w:r>
        <w:rPr>
          <w:i/>
          <w:iCs/>
        </w:rPr>
        <w:t> </w:t>
      </w:r>
      <w:r>
        <w:t>(Vic), which establishes four statutory models (a ‘reorganising body’, a ‘state body’, a ‘state business corporation’ and a ‘state</w:t>
      </w:r>
      <w:r>
        <w:noBreakHyphen/>
        <w:t>owned company’) that each have different purposes and powers.</w:t>
      </w:r>
      <w:r>
        <w:rPr>
          <w:rStyle w:val="FootnoteReference"/>
        </w:rPr>
        <w:footnoteReference w:id="38"/>
      </w:r>
      <w:r>
        <w:t xml:space="preserve">  </w:t>
      </w:r>
    </w:p>
    <w:p w14:paraId="5F28E931" w14:textId="77777777" w:rsidR="003F26DA" w:rsidRDefault="003F26DA">
      <w:pPr>
        <w:pStyle w:val="05Paragraph"/>
      </w:pPr>
      <w:r>
        <w:t xml:space="preserve">Other legal forms that can be used for public entities include a ‘non-statutory advisory body’, an incorporated association or a company established under the </w:t>
      </w:r>
      <w:r w:rsidRPr="00806914">
        <w:rPr>
          <w:i/>
          <w:iCs/>
        </w:rPr>
        <w:t>Corporations Act 2001</w:t>
      </w:r>
      <w:r>
        <w:t xml:space="preserve"> (</w:t>
      </w:r>
      <w:proofErr w:type="spellStart"/>
      <w:r>
        <w:t>Cth</w:t>
      </w:r>
      <w:proofErr w:type="spellEnd"/>
      <w:r>
        <w:t>).</w:t>
      </w:r>
    </w:p>
    <w:p w14:paraId="3F86E3C1" w14:textId="77777777" w:rsidR="003F26DA" w:rsidRDefault="003F26DA">
      <w:pPr>
        <w:pStyle w:val="03VIRTHeading3"/>
      </w:pPr>
      <w:r>
        <w:t>D</w:t>
      </w:r>
      <w:r w:rsidRPr="00805D95">
        <w:t>ifferent governance arrangement</w:t>
      </w:r>
      <w:r>
        <w:t>s can apply to</w:t>
      </w:r>
      <w:r w:rsidRPr="00805D95">
        <w:t xml:space="preserve"> </w:t>
      </w:r>
      <w:r>
        <w:t xml:space="preserve">different </w:t>
      </w:r>
      <w:r w:rsidRPr="00805D95">
        <w:t>public entities</w:t>
      </w:r>
    </w:p>
    <w:p w14:paraId="34DC2C9E" w14:textId="77777777" w:rsidR="003F26DA" w:rsidRDefault="003F26DA">
      <w:pPr>
        <w:pStyle w:val="05Paragraph"/>
      </w:pPr>
      <w:r>
        <w:t>The governance model for a public entity typically comprises either a multi</w:t>
      </w:r>
      <w:r>
        <w:noBreakHyphen/>
        <w:t>member board or a single-member appointment.</w:t>
      </w:r>
      <w:r>
        <w:rPr>
          <w:rStyle w:val="FootnoteReference"/>
        </w:rPr>
        <w:footnoteReference w:id="39"/>
      </w:r>
      <w:r>
        <w:t xml:space="preserve"> The former appears to be generally used for larger entities with multiple functions where, for example, a mix of skills and experience may be required to oversee an entity, while the latter may be suited to smaller entities where specific functions and powers are appropriately vested in an individual. </w:t>
      </w:r>
    </w:p>
    <w:p w14:paraId="7DA88A81" w14:textId="77777777" w:rsidR="003F26DA" w:rsidRDefault="003F26DA">
      <w:pPr>
        <w:pStyle w:val="05Paragraph"/>
      </w:pPr>
      <w:r>
        <w:t xml:space="preserve">Other governance dimensions that are defined in either the PAA or other applicable legislation include employment, financial management and </w:t>
      </w:r>
      <w:r>
        <w:lastRenderedPageBreak/>
        <w:t xml:space="preserve">accountability arrangements and the application of whole-of-government legislation or policies. Again, the specific arrangements can vary — for example, most public entities employ executives under public entity executive employment </w:t>
      </w:r>
      <w:proofErr w:type="gramStart"/>
      <w:r>
        <w:t>arrangements</w:t>
      </w:r>
      <w:proofErr w:type="gramEnd"/>
      <w:r>
        <w:t xml:space="preserve"> but certain entities are able to employ executives under Part 3 of the PAA.</w:t>
      </w:r>
      <w:r>
        <w:rPr>
          <w:rStyle w:val="FootnoteReference"/>
        </w:rPr>
        <w:footnoteReference w:id="40"/>
      </w:r>
    </w:p>
    <w:p w14:paraId="45D6604A" w14:textId="2F5EA65C" w:rsidR="003F26DA" w:rsidRPr="008035B1" w:rsidRDefault="00E91106" w:rsidP="00E91106">
      <w:pPr>
        <w:pStyle w:val="02VIRTHeading2"/>
      </w:pPr>
      <w:bookmarkStart w:id="40" w:name="_Toc185012357"/>
      <w:r>
        <w:t>2.3</w:t>
      </w:r>
      <w:r>
        <w:tab/>
      </w:r>
      <w:r w:rsidR="003F26DA">
        <w:t xml:space="preserve">The Tribunal sets remuneration bands for ‘prescribed </w:t>
      </w:r>
      <w:r w:rsidR="003F26DA" w:rsidRPr="008035B1">
        <w:t>public entities</w:t>
      </w:r>
      <w:r w:rsidR="003F26DA">
        <w:t>’</w:t>
      </w:r>
      <w:bookmarkEnd w:id="40"/>
    </w:p>
    <w:p w14:paraId="4C38C03D" w14:textId="77777777" w:rsidR="003F26DA" w:rsidRDefault="003F26DA">
      <w:pPr>
        <w:pStyle w:val="05Paragraph"/>
      </w:pPr>
      <w:r>
        <w:t>Every public entity is a ‘prescribed public entity’ for the purposes of this Determination unless specifically excluded.</w:t>
      </w:r>
      <w:r>
        <w:rPr>
          <w:rStyle w:val="FootnoteReference"/>
        </w:rPr>
        <w:footnoteReference w:id="41"/>
      </w:r>
      <w:r>
        <w:t xml:space="preserve"> E</w:t>
      </w:r>
      <w:r w:rsidRPr="008035B1">
        <w:t>ntities</w:t>
      </w:r>
      <w:r>
        <w:t xml:space="preserve"> that are not prescribed</w:t>
      </w:r>
      <w:r w:rsidRPr="008035B1">
        <w:t xml:space="preserve"> include </w:t>
      </w:r>
      <w:r>
        <w:t xml:space="preserve">public </w:t>
      </w:r>
      <w:r w:rsidRPr="008035B1">
        <w:t>hospitals</w:t>
      </w:r>
      <w:r>
        <w:t xml:space="preserve"> and public health services within the meaning of the </w:t>
      </w:r>
      <w:r w:rsidRPr="00CD7395">
        <w:rPr>
          <w:i/>
          <w:iCs/>
        </w:rPr>
        <w:t>Health Services Act 1988</w:t>
      </w:r>
      <w:r>
        <w:t xml:space="preserve"> (Vic),</w:t>
      </w:r>
      <w:r w:rsidRPr="008035B1">
        <w:t xml:space="preserve"> </w:t>
      </w:r>
      <w:r>
        <w:t>Ambulance Victoria, the Victorian Institute for Forensic Mental Health, school councils, SEC Victoria and its subsidiaries, and certain committees of management</w:t>
      </w:r>
      <w:r w:rsidRPr="008035B1">
        <w:t>.</w:t>
      </w:r>
      <w:r>
        <w:rPr>
          <w:rStyle w:val="FootnoteReference"/>
        </w:rPr>
        <w:footnoteReference w:id="42"/>
      </w:r>
    </w:p>
    <w:p w14:paraId="3833B755" w14:textId="77777777" w:rsidR="003F26DA" w:rsidRDefault="003F26DA">
      <w:pPr>
        <w:pStyle w:val="03VIRTHeading3"/>
      </w:pPr>
      <w:r>
        <w:t xml:space="preserve">There are </w:t>
      </w:r>
      <w:proofErr w:type="gramStart"/>
      <w:r>
        <w:t>a large number of</w:t>
      </w:r>
      <w:proofErr w:type="gramEnd"/>
      <w:r>
        <w:t xml:space="preserve"> public entities operating across a range of sectors</w:t>
      </w:r>
    </w:p>
    <w:p w14:paraId="330D032F" w14:textId="77777777" w:rsidR="003F26DA" w:rsidRPr="00F073E2" w:rsidRDefault="003F26DA">
      <w:pPr>
        <w:pStyle w:val="05Paragraph"/>
      </w:pPr>
      <w:r w:rsidRPr="008035B1">
        <w:t xml:space="preserve">At the time of </w:t>
      </w:r>
      <w:r>
        <w:t xml:space="preserve">making </w:t>
      </w:r>
      <w:r w:rsidRPr="008035B1">
        <w:t xml:space="preserve">this Determination, </w:t>
      </w:r>
      <w:r w:rsidRPr="00F073E2">
        <w:t>there were approximately 140 prescribed</w:t>
      </w:r>
      <w:r w:rsidRPr="008035B1">
        <w:t xml:space="preserve"> public entities</w:t>
      </w:r>
      <w:r w:rsidRPr="00F073E2">
        <w:t>. However, the number of</w:t>
      </w:r>
      <w:r w:rsidRPr="008035B1">
        <w:t xml:space="preserve"> </w:t>
      </w:r>
      <w:r>
        <w:t xml:space="preserve">prescribed </w:t>
      </w:r>
      <w:r w:rsidRPr="008035B1">
        <w:t xml:space="preserve">public entities </w:t>
      </w:r>
      <w:r w:rsidRPr="00F073E2">
        <w:t>varies over time as entities are created, merged or abolished. A current list of prescribed public entities is maintained by the VPSC.</w:t>
      </w:r>
      <w:r w:rsidRPr="00F073E2">
        <w:rPr>
          <w:rStyle w:val="FootnoteReference"/>
        </w:rPr>
        <w:footnoteReference w:id="43"/>
      </w:r>
      <w:r w:rsidRPr="00F073E2">
        <w:t xml:space="preserve"> </w:t>
      </w:r>
    </w:p>
    <w:p w14:paraId="153FEA9C" w14:textId="77777777" w:rsidR="003F26DA" w:rsidRPr="008035B1" w:rsidRDefault="003F26DA">
      <w:pPr>
        <w:pStyle w:val="05Paragraph"/>
      </w:pPr>
      <w:r w:rsidRPr="00F073E2">
        <w:t xml:space="preserve">To provide an overview of the public entities covered by this Determination, the Tribunal has drawn on the latest available information and data from the VPSC as </w:t>
      </w:r>
      <w:proofErr w:type="gramStart"/>
      <w:r w:rsidRPr="00F073E2">
        <w:t>at</w:t>
      </w:r>
      <w:proofErr w:type="gramEnd"/>
      <w:r w:rsidRPr="00F073E2">
        <w:t xml:space="preserve"> 30 June 2023 (Table 2.1). For simplicity, these public entities have been categorised </w:t>
      </w:r>
      <w:r w:rsidRPr="008035B1">
        <w:t xml:space="preserve">into </w:t>
      </w:r>
      <w:r>
        <w:t>different</w:t>
      </w:r>
      <w:r w:rsidRPr="008035B1">
        <w:t xml:space="preserve"> sectors</w:t>
      </w:r>
      <w:r>
        <w:t xml:space="preserve"> by adapting the definitions used by the VPSC.</w:t>
      </w:r>
      <w:r>
        <w:rPr>
          <w:rStyle w:val="FootnoteReference"/>
        </w:rPr>
        <w:footnoteReference w:id="44"/>
      </w:r>
    </w:p>
    <w:p w14:paraId="46198CDB" w14:textId="77777777" w:rsidR="003F26DA" w:rsidRPr="008035B1" w:rsidRDefault="003F26DA" w:rsidP="00E91106">
      <w:pPr>
        <w:pStyle w:val="08Figuretableboxheading"/>
      </w:pPr>
      <w:r w:rsidRPr="008035B1">
        <w:lastRenderedPageBreak/>
        <w:t>Table 2</w:t>
      </w:r>
      <w:r w:rsidRPr="0049568B">
        <w:t>.1:</w:t>
      </w:r>
      <w:r w:rsidRPr="008035B1">
        <w:t xml:space="preserve"> </w:t>
      </w:r>
      <w:r>
        <w:t>N</w:t>
      </w:r>
      <w:r w:rsidRPr="008035B1">
        <w:t>umber of prescribed public entities</w:t>
      </w:r>
      <w:r>
        <w:t>, employees</w:t>
      </w:r>
      <w:r w:rsidRPr="008035B1">
        <w:t xml:space="preserve"> and executives</w:t>
      </w:r>
      <w:r>
        <w:t>, by sector</w:t>
      </w:r>
      <w:r w:rsidRPr="008035B1">
        <w:t xml:space="preserve">, </w:t>
      </w:r>
      <w:r w:rsidRPr="0049568B">
        <w:t>30 June 2023</w:t>
      </w:r>
      <w:r w:rsidRPr="0049568B">
        <w:rPr>
          <w:vertAlign w:val="superscript"/>
        </w:rPr>
        <w:t>(a)(b)</w:t>
      </w:r>
    </w:p>
    <w:tbl>
      <w:tblPr>
        <w:tblStyle w:val="VIRTDeterminationTableStyle"/>
        <w:tblW w:w="0" w:type="auto"/>
        <w:tblInd w:w="5" w:type="dxa"/>
        <w:tblLook w:val="04A0" w:firstRow="1" w:lastRow="0" w:firstColumn="1" w:lastColumn="0" w:noHBand="0" w:noVBand="1"/>
      </w:tblPr>
      <w:tblGrid>
        <w:gridCol w:w="2581"/>
        <w:gridCol w:w="1972"/>
        <w:gridCol w:w="1973"/>
        <w:gridCol w:w="1973"/>
      </w:tblGrid>
      <w:tr w:rsidR="003F26DA" w:rsidRPr="008035B1" w14:paraId="0AC8045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81" w:type="dxa"/>
          </w:tcPr>
          <w:p w14:paraId="5D3D9854" w14:textId="77777777" w:rsidR="003F26DA" w:rsidRPr="008035B1" w:rsidRDefault="003F26DA" w:rsidP="00E91106">
            <w:pPr>
              <w:pStyle w:val="10Tabletext"/>
              <w:keepNext/>
            </w:pPr>
            <w:r w:rsidRPr="008035B1">
              <w:t>S</w:t>
            </w:r>
            <w:r>
              <w:t>ector</w:t>
            </w:r>
          </w:p>
        </w:tc>
        <w:tc>
          <w:tcPr>
            <w:tcW w:w="1972" w:type="dxa"/>
          </w:tcPr>
          <w:p w14:paraId="1F09C880" w14:textId="77777777" w:rsidR="003F26DA" w:rsidRPr="008035B1" w:rsidRDefault="003F26DA" w:rsidP="00E91106">
            <w:pPr>
              <w:pStyle w:val="10Tabletext"/>
              <w:keepNext/>
              <w:jc w:val="right"/>
              <w:cnfStyle w:val="100000000000" w:firstRow="1" w:lastRow="0" w:firstColumn="0" w:lastColumn="0" w:oddVBand="0" w:evenVBand="0" w:oddHBand="0" w:evenHBand="0" w:firstRowFirstColumn="0" w:firstRowLastColumn="0" w:lastRowFirstColumn="0" w:lastRowLastColumn="0"/>
            </w:pPr>
            <w:r w:rsidRPr="008035B1">
              <w:t>Number of prescribed public entities</w:t>
            </w:r>
          </w:p>
        </w:tc>
        <w:tc>
          <w:tcPr>
            <w:tcW w:w="1973" w:type="dxa"/>
          </w:tcPr>
          <w:p w14:paraId="555DA540" w14:textId="77777777" w:rsidR="003F26DA" w:rsidRPr="008035B1" w:rsidRDefault="003F26DA" w:rsidP="00E91106">
            <w:pPr>
              <w:pStyle w:val="10Tabletext"/>
              <w:keepNext/>
              <w:jc w:val="right"/>
              <w:cnfStyle w:val="100000000000" w:firstRow="1" w:lastRow="0" w:firstColumn="0" w:lastColumn="0" w:oddVBand="0" w:evenVBand="0" w:oddHBand="0" w:evenHBand="0" w:firstRowFirstColumn="0" w:firstRowLastColumn="0" w:lastRowFirstColumn="0" w:lastRowLastColumn="0"/>
            </w:pPr>
            <w:r>
              <w:t>Number of employees (headcount)</w:t>
            </w:r>
          </w:p>
        </w:tc>
        <w:tc>
          <w:tcPr>
            <w:tcW w:w="1973" w:type="dxa"/>
          </w:tcPr>
          <w:p w14:paraId="04995E6C" w14:textId="77777777" w:rsidR="003F26DA" w:rsidRPr="00152195" w:rsidRDefault="003F26DA" w:rsidP="00E91106">
            <w:pPr>
              <w:pStyle w:val="10Tabletext"/>
              <w:keepNext/>
              <w:jc w:val="right"/>
              <w:cnfStyle w:val="100000000000" w:firstRow="1" w:lastRow="0" w:firstColumn="0" w:lastColumn="0" w:oddVBand="0" w:evenVBand="0" w:oddHBand="0" w:evenHBand="0" w:firstRowFirstColumn="0" w:firstRowLastColumn="0" w:lastRowFirstColumn="0" w:lastRowLastColumn="0"/>
            </w:pPr>
            <w:r w:rsidRPr="00152195">
              <w:t>Number of executives</w:t>
            </w:r>
            <w:r>
              <w:br/>
              <w:t>(headcount)</w:t>
            </w:r>
          </w:p>
        </w:tc>
      </w:tr>
      <w:tr w:rsidR="003F26DA" w:rsidRPr="008035B1" w14:paraId="797A84EC"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26664E" w:themeColor="accent1"/>
            </w:tcBorders>
          </w:tcPr>
          <w:p w14:paraId="365C474A" w14:textId="77777777" w:rsidR="003F26DA" w:rsidRPr="008035B1" w:rsidRDefault="003F26DA" w:rsidP="00E91106">
            <w:pPr>
              <w:pStyle w:val="10Tabletext"/>
              <w:keepNext/>
            </w:pPr>
            <w:r w:rsidRPr="008035B1">
              <w:t>Arts</w:t>
            </w:r>
          </w:p>
        </w:tc>
        <w:tc>
          <w:tcPr>
            <w:tcW w:w="1972" w:type="dxa"/>
            <w:tcBorders>
              <w:bottom w:val="single" w:sz="4" w:space="0" w:color="26664E" w:themeColor="accent1"/>
            </w:tcBorders>
          </w:tcPr>
          <w:p w14:paraId="0D27C41E"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9</w:t>
            </w:r>
          </w:p>
        </w:tc>
        <w:tc>
          <w:tcPr>
            <w:tcW w:w="1973" w:type="dxa"/>
            <w:tcBorders>
              <w:bottom w:val="single" w:sz="4" w:space="0" w:color="26664E" w:themeColor="accent1"/>
            </w:tcBorders>
          </w:tcPr>
          <w:p w14:paraId="499B6B65"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2,796</w:t>
            </w:r>
          </w:p>
        </w:tc>
        <w:tc>
          <w:tcPr>
            <w:tcW w:w="1973" w:type="dxa"/>
            <w:tcBorders>
              <w:bottom w:val="single" w:sz="4" w:space="0" w:color="26664E" w:themeColor="accent1"/>
            </w:tcBorders>
          </w:tcPr>
          <w:p w14:paraId="6A73D9E1"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rsidRPr="00152195">
              <w:t>38</w:t>
            </w:r>
          </w:p>
        </w:tc>
      </w:tr>
      <w:tr w:rsidR="003F26DA" w:rsidRPr="008035B1" w14:paraId="7EF70F17"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6C4A390F" w14:textId="77777777" w:rsidR="003F26DA" w:rsidRPr="008035B1" w:rsidRDefault="003F26DA" w:rsidP="00E91106">
            <w:pPr>
              <w:pStyle w:val="10Tabletext"/>
              <w:keepNext/>
            </w:pPr>
            <w:r>
              <w:t>Catchment management</w:t>
            </w:r>
          </w:p>
        </w:tc>
        <w:tc>
          <w:tcPr>
            <w:tcW w:w="1972" w:type="dxa"/>
            <w:tcBorders>
              <w:top w:val="single" w:sz="4" w:space="0" w:color="26664E" w:themeColor="accent1"/>
              <w:bottom w:val="single" w:sz="4" w:space="0" w:color="26664E" w:themeColor="accent1"/>
            </w:tcBorders>
          </w:tcPr>
          <w:p w14:paraId="767BE0DE"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w:t>
            </w:r>
          </w:p>
        </w:tc>
        <w:tc>
          <w:tcPr>
            <w:tcW w:w="1973" w:type="dxa"/>
            <w:tcBorders>
              <w:top w:val="single" w:sz="4" w:space="0" w:color="26664E" w:themeColor="accent1"/>
              <w:bottom w:val="single" w:sz="4" w:space="0" w:color="26664E" w:themeColor="accent1"/>
            </w:tcBorders>
          </w:tcPr>
          <w:p w14:paraId="096E9E8F"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420</w:t>
            </w:r>
          </w:p>
        </w:tc>
        <w:tc>
          <w:tcPr>
            <w:tcW w:w="1973" w:type="dxa"/>
            <w:tcBorders>
              <w:top w:val="single" w:sz="4" w:space="0" w:color="26664E" w:themeColor="accent1"/>
              <w:bottom w:val="single" w:sz="4" w:space="0" w:color="26664E" w:themeColor="accent1"/>
            </w:tcBorders>
          </w:tcPr>
          <w:p w14:paraId="73C59BCD"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w:t>
            </w:r>
          </w:p>
        </w:tc>
      </w:tr>
      <w:tr w:rsidR="003F26DA" w:rsidRPr="008035B1" w14:paraId="0660FAD9"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670ADCDD" w14:textId="77777777" w:rsidR="003F26DA" w:rsidRPr="008035B1" w:rsidRDefault="003F26DA" w:rsidP="00E91106">
            <w:pPr>
              <w:pStyle w:val="10Tabletext"/>
              <w:keepNext/>
            </w:pPr>
            <w:r w:rsidRPr="008035B1">
              <w:t>Cemetery trusts</w:t>
            </w:r>
          </w:p>
        </w:tc>
        <w:tc>
          <w:tcPr>
            <w:tcW w:w="1972" w:type="dxa"/>
            <w:tcBorders>
              <w:top w:val="single" w:sz="4" w:space="0" w:color="26664E" w:themeColor="accent1"/>
              <w:bottom w:val="single" w:sz="4" w:space="0" w:color="26664E" w:themeColor="accent1"/>
            </w:tcBorders>
          </w:tcPr>
          <w:p w14:paraId="26C7FFB3"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5</w:t>
            </w:r>
          </w:p>
        </w:tc>
        <w:tc>
          <w:tcPr>
            <w:tcW w:w="1973" w:type="dxa"/>
            <w:tcBorders>
              <w:top w:val="single" w:sz="4" w:space="0" w:color="26664E" w:themeColor="accent1"/>
              <w:bottom w:val="single" w:sz="4" w:space="0" w:color="26664E" w:themeColor="accent1"/>
            </w:tcBorders>
          </w:tcPr>
          <w:p w14:paraId="61A941B4"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733</w:t>
            </w:r>
          </w:p>
        </w:tc>
        <w:tc>
          <w:tcPr>
            <w:tcW w:w="1973" w:type="dxa"/>
            <w:tcBorders>
              <w:top w:val="single" w:sz="4" w:space="0" w:color="26664E" w:themeColor="accent1"/>
              <w:bottom w:val="single" w:sz="4" w:space="0" w:color="26664E" w:themeColor="accent1"/>
            </w:tcBorders>
          </w:tcPr>
          <w:p w14:paraId="354A81C4"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14</w:t>
            </w:r>
          </w:p>
        </w:tc>
      </w:tr>
      <w:tr w:rsidR="003F26DA" w:rsidRPr="008035B1" w14:paraId="2EE69227"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5184049D" w14:textId="77777777" w:rsidR="003F26DA" w:rsidRPr="008035B1" w:rsidRDefault="003F26DA" w:rsidP="00E91106">
            <w:pPr>
              <w:pStyle w:val="10Tabletext"/>
              <w:keepNext/>
            </w:pPr>
            <w:r w:rsidRPr="008035B1">
              <w:t>Commercialisation</w:t>
            </w:r>
          </w:p>
        </w:tc>
        <w:tc>
          <w:tcPr>
            <w:tcW w:w="1972" w:type="dxa"/>
            <w:tcBorders>
              <w:top w:val="single" w:sz="4" w:space="0" w:color="26664E" w:themeColor="accent1"/>
              <w:bottom w:val="single" w:sz="4" w:space="0" w:color="26664E" w:themeColor="accent1"/>
            </w:tcBorders>
          </w:tcPr>
          <w:p w14:paraId="50B1D433"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3</w:t>
            </w:r>
          </w:p>
        </w:tc>
        <w:tc>
          <w:tcPr>
            <w:tcW w:w="1973" w:type="dxa"/>
            <w:tcBorders>
              <w:top w:val="single" w:sz="4" w:space="0" w:color="26664E" w:themeColor="accent1"/>
              <w:bottom w:val="single" w:sz="4" w:space="0" w:color="26664E" w:themeColor="accent1"/>
            </w:tcBorders>
          </w:tcPr>
          <w:p w14:paraId="51268836"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92</w:t>
            </w:r>
          </w:p>
        </w:tc>
        <w:tc>
          <w:tcPr>
            <w:tcW w:w="1973" w:type="dxa"/>
            <w:tcBorders>
              <w:top w:val="single" w:sz="4" w:space="0" w:color="26664E" w:themeColor="accent1"/>
              <w:bottom w:val="single" w:sz="4" w:space="0" w:color="26664E" w:themeColor="accent1"/>
            </w:tcBorders>
          </w:tcPr>
          <w:p w14:paraId="4E4457BB"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16</w:t>
            </w:r>
          </w:p>
        </w:tc>
      </w:tr>
      <w:tr w:rsidR="003F26DA" w:rsidRPr="008035B1" w14:paraId="001A9120"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5E81A740" w14:textId="77777777" w:rsidR="003F26DA" w:rsidRPr="008035B1" w:rsidRDefault="003F26DA" w:rsidP="00E91106">
            <w:pPr>
              <w:pStyle w:val="10Tabletext"/>
              <w:keepNext/>
            </w:pPr>
            <w:r w:rsidRPr="008035B1">
              <w:t>Community service</w:t>
            </w:r>
          </w:p>
        </w:tc>
        <w:tc>
          <w:tcPr>
            <w:tcW w:w="1972" w:type="dxa"/>
            <w:tcBorders>
              <w:top w:val="single" w:sz="4" w:space="0" w:color="26664E" w:themeColor="accent1"/>
              <w:bottom w:val="single" w:sz="4" w:space="0" w:color="26664E" w:themeColor="accent1"/>
            </w:tcBorders>
          </w:tcPr>
          <w:p w14:paraId="2EFA2E39"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9</w:t>
            </w:r>
          </w:p>
        </w:tc>
        <w:tc>
          <w:tcPr>
            <w:tcW w:w="1973" w:type="dxa"/>
            <w:tcBorders>
              <w:top w:val="single" w:sz="4" w:space="0" w:color="26664E" w:themeColor="accent1"/>
              <w:bottom w:val="single" w:sz="4" w:space="0" w:color="26664E" w:themeColor="accent1"/>
            </w:tcBorders>
          </w:tcPr>
          <w:p w14:paraId="4ECC10BB"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1,432</w:t>
            </w:r>
          </w:p>
        </w:tc>
        <w:tc>
          <w:tcPr>
            <w:tcW w:w="1973" w:type="dxa"/>
            <w:tcBorders>
              <w:top w:val="single" w:sz="4" w:space="0" w:color="26664E" w:themeColor="accent1"/>
              <w:bottom w:val="single" w:sz="4" w:space="0" w:color="26664E" w:themeColor="accent1"/>
            </w:tcBorders>
          </w:tcPr>
          <w:p w14:paraId="05AAAF7A"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33</w:t>
            </w:r>
          </w:p>
        </w:tc>
      </w:tr>
      <w:tr w:rsidR="003F26DA" w:rsidRPr="008035B1" w14:paraId="2F189A78"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163E15C6" w14:textId="77777777" w:rsidR="003F26DA" w:rsidRPr="008035B1" w:rsidRDefault="003F26DA" w:rsidP="00E91106">
            <w:pPr>
              <w:pStyle w:val="10Tabletext"/>
              <w:keepNext/>
            </w:pPr>
            <w:r w:rsidRPr="008035B1">
              <w:t>Emergency services</w:t>
            </w:r>
          </w:p>
        </w:tc>
        <w:tc>
          <w:tcPr>
            <w:tcW w:w="1972" w:type="dxa"/>
            <w:tcBorders>
              <w:top w:val="single" w:sz="4" w:space="0" w:color="26664E" w:themeColor="accent1"/>
              <w:bottom w:val="single" w:sz="4" w:space="0" w:color="26664E" w:themeColor="accent1"/>
            </w:tcBorders>
          </w:tcPr>
          <w:p w14:paraId="66D619A8"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4</w:t>
            </w:r>
          </w:p>
        </w:tc>
        <w:tc>
          <w:tcPr>
            <w:tcW w:w="1973" w:type="dxa"/>
            <w:tcBorders>
              <w:top w:val="single" w:sz="4" w:space="0" w:color="26664E" w:themeColor="accent1"/>
              <w:bottom w:val="single" w:sz="4" w:space="0" w:color="26664E" w:themeColor="accent1"/>
            </w:tcBorders>
          </w:tcPr>
          <w:p w14:paraId="3EA32A3D"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7,202</w:t>
            </w:r>
          </w:p>
        </w:tc>
        <w:tc>
          <w:tcPr>
            <w:tcW w:w="1973" w:type="dxa"/>
            <w:tcBorders>
              <w:top w:val="single" w:sz="4" w:space="0" w:color="26664E" w:themeColor="accent1"/>
              <w:bottom w:val="single" w:sz="4" w:space="0" w:color="26664E" w:themeColor="accent1"/>
            </w:tcBorders>
          </w:tcPr>
          <w:p w14:paraId="14983AE8"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75</w:t>
            </w:r>
          </w:p>
        </w:tc>
      </w:tr>
      <w:tr w:rsidR="003F26DA" w:rsidRPr="008035B1" w14:paraId="712E3DE4"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5DEAAC4F" w14:textId="77777777" w:rsidR="003F26DA" w:rsidRPr="008035B1" w:rsidRDefault="003F26DA" w:rsidP="00E91106">
            <w:pPr>
              <w:pStyle w:val="10Tabletext"/>
              <w:keepNext/>
            </w:pPr>
            <w:r w:rsidRPr="008035B1">
              <w:t>Facilities management</w:t>
            </w:r>
          </w:p>
        </w:tc>
        <w:tc>
          <w:tcPr>
            <w:tcW w:w="1972" w:type="dxa"/>
            <w:tcBorders>
              <w:top w:val="single" w:sz="4" w:space="0" w:color="26664E" w:themeColor="accent1"/>
              <w:bottom w:val="single" w:sz="4" w:space="0" w:color="26664E" w:themeColor="accent1"/>
            </w:tcBorders>
          </w:tcPr>
          <w:p w14:paraId="0EE12DD1"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9</w:t>
            </w:r>
          </w:p>
        </w:tc>
        <w:tc>
          <w:tcPr>
            <w:tcW w:w="1973" w:type="dxa"/>
            <w:tcBorders>
              <w:top w:val="single" w:sz="4" w:space="0" w:color="26664E" w:themeColor="accent1"/>
              <w:bottom w:val="single" w:sz="4" w:space="0" w:color="26664E" w:themeColor="accent1"/>
            </w:tcBorders>
          </w:tcPr>
          <w:p w14:paraId="6FA7599B"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1,622</w:t>
            </w:r>
          </w:p>
        </w:tc>
        <w:tc>
          <w:tcPr>
            <w:tcW w:w="1973" w:type="dxa"/>
            <w:tcBorders>
              <w:top w:val="single" w:sz="4" w:space="0" w:color="26664E" w:themeColor="accent1"/>
              <w:bottom w:val="single" w:sz="4" w:space="0" w:color="26664E" w:themeColor="accent1"/>
            </w:tcBorders>
          </w:tcPr>
          <w:p w14:paraId="02256F5F"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41</w:t>
            </w:r>
          </w:p>
        </w:tc>
      </w:tr>
      <w:tr w:rsidR="003F26DA" w:rsidRPr="008035B1" w14:paraId="1FFE7E0B"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16093E62" w14:textId="77777777" w:rsidR="003F26DA" w:rsidRPr="008035B1" w:rsidRDefault="003F26DA" w:rsidP="00E91106">
            <w:pPr>
              <w:pStyle w:val="10Tabletext"/>
              <w:keepNext/>
            </w:pPr>
            <w:r w:rsidRPr="008035B1">
              <w:t>Finance and insurance</w:t>
            </w:r>
          </w:p>
        </w:tc>
        <w:tc>
          <w:tcPr>
            <w:tcW w:w="1972" w:type="dxa"/>
            <w:tcBorders>
              <w:top w:val="single" w:sz="4" w:space="0" w:color="26664E" w:themeColor="accent1"/>
              <w:left w:val="nil"/>
              <w:bottom w:val="single" w:sz="4" w:space="0" w:color="26664E" w:themeColor="accent1"/>
            </w:tcBorders>
          </w:tcPr>
          <w:p w14:paraId="7BAAE507"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w:t>
            </w:r>
          </w:p>
        </w:tc>
        <w:tc>
          <w:tcPr>
            <w:tcW w:w="1973" w:type="dxa"/>
            <w:tcBorders>
              <w:top w:val="single" w:sz="4" w:space="0" w:color="26664E" w:themeColor="accent1"/>
              <w:bottom w:val="single" w:sz="4" w:space="0" w:color="26664E" w:themeColor="accent1"/>
            </w:tcBorders>
          </w:tcPr>
          <w:p w14:paraId="66213CEB"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4,214</w:t>
            </w:r>
          </w:p>
        </w:tc>
        <w:tc>
          <w:tcPr>
            <w:tcW w:w="1973" w:type="dxa"/>
            <w:tcBorders>
              <w:top w:val="single" w:sz="4" w:space="0" w:color="26664E" w:themeColor="accent1"/>
              <w:bottom w:val="single" w:sz="4" w:space="0" w:color="26664E" w:themeColor="accent1"/>
            </w:tcBorders>
          </w:tcPr>
          <w:p w14:paraId="242AFB7C"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162</w:t>
            </w:r>
          </w:p>
        </w:tc>
      </w:tr>
      <w:tr w:rsidR="003F26DA" w:rsidRPr="008035B1" w14:paraId="3B44FD12"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0136361B" w14:textId="77777777" w:rsidR="003F26DA" w:rsidRPr="008035B1" w:rsidRDefault="003F26DA" w:rsidP="00E91106">
            <w:pPr>
              <w:pStyle w:val="10Tabletext"/>
              <w:keepNext/>
            </w:pPr>
            <w:r w:rsidRPr="008035B1">
              <w:t>Health</w:t>
            </w:r>
          </w:p>
        </w:tc>
        <w:tc>
          <w:tcPr>
            <w:tcW w:w="1972" w:type="dxa"/>
            <w:tcBorders>
              <w:top w:val="single" w:sz="4" w:space="0" w:color="26664E" w:themeColor="accent1"/>
              <w:bottom w:val="single" w:sz="4" w:space="0" w:color="26664E" w:themeColor="accent1"/>
            </w:tcBorders>
          </w:tcPr>
          <w:p w14:paraId="17C64F93"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3</w:t>
            </w:r>
          </w:p>
        </w:tc>
        <w:tc>
          <w:tcPr>
            <w:tcW w:w="1973" w:type="dxa"/>
            <w:tcBorders>
              <w:top w:val="single" w:sz="4" w:space="0" w:color="26664E" w:themeColor="accent1"/>
              <w:bottom w:val="single" w:sz="4" w:space="0" w:color="26664E" w:themeColor="accent1"/>
            </w:tcBorders>
          </w:tcPr>
          <w:p w14:paraId="2DE782DC"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494</w:t>
            </w:r>
          </w:p>
        </w:tc>
        <w:tc>
          <w:tcPr>
            <w:tcW w:w="1973" w:type="dxa"/>
            <w:tcBorders>
              <w:top w:val="single" w:sz="4" w:space="0" w:color="26664E" w:themeColor="accent1"/>
              <w:bottom w:val="single" w:sz="4" w:space="0" w:color="26664E" w:themeColor="accent1"/>
            </w:tcBorders>
          </w:tcPr>
          <w:p w14:paraId="259409B4"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14</w:t>
            </w:r>
          </w:p>
        </w:tc>
      </w:tr>
      <w:tr w:rsidR="003F26DA" w:rsidRPr="008035B1" w14:paraId="26C7B1D0"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60AD5FFC" w14:textId="77777777" w:rsidR="003F26DA" w:rsidRPr="008035B1" w:rsidRDefault="003F26DA" w:rsidP="00E91106">
            <w:pPr>
              <w:pStyle w:val="10Tabletext"/>
              <w:keepNext/>
            </w:pPr>
            <w:r>
              <w:t>Land management</w:t>
            </w:r>
          </w:p>
        </w:tc>
        <w:tc>
          <w:tcPr>
            <w:tcW w:w="1972" w:type="dxa"/>
            <w:tcBorders>
              <w:top w:val="single" w:sz="4" w:space="0" w:color="26664E" w:themeColor="accent1"/>
              <w:bottom w:val="single" w:sz="4" w:space="0" w:color="26664E" w:themeColor="accent1"/>
            </w:tcBorders>
          </w:tcPr>
          <w:p w14:paraId="764830CB"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w:t>
            </w:r>
          </w:p>
        </w:tc>
        <w:tc>
          <w:tcPr>
            <w:tcW w:w="1973" w:type="dxa"/>
            <w:tcBorders>
              <w:top w:val="single" w:sz="4" w:space="0" w:color="26664E" w:themeColor="accent1"/>
              <w:bottom w:val="single" w:sz="4" w:space="0" w:color="26664E" w:themeColor="accent1"/>
            </w:tcBorders>
          </w:tcPr>
          <w:p w14:paraId="4A84CB50"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2,456</w:t>
            </w:r>
          </w:p>
        </w:tc>
        <w:tc>
          <w:tcPr>
            <w:tcW w:w="1973" w:type="dxa"/>
            <w:tcBorders>
              <w:top w:val="single" w:sz="4" w:space="0" w:color="26664E" w:themeColor="accent1"/>
              <w:bottom w:val="single" w:sz="4" w:space="0" w:color="26664E" w:themeColor="accent1"/>
            </w:tcBorders>
          </w:tcPr>
          <w:p w14:paraId="6378A7BC"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48</w:t>
            </w:r>
          </w:p>
        </w:tc>
      </w:tr>
      <w:tr w:rsidR="003F26DA" w:rsidRPr="008035B1" w14:paraId="3EB5E070"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tcBorders>
          </w:tcPr>
          <w:p w14:paraId="55FD3C39" w14:textId="77777777" w:rsidR="003F26DA" w:rsidRPr="008035B1" w:rsidRDefault="003F26DA" w:rsidP="00E91106">
            <w:pPr>
              <w:pStyle w:val="10Tabletext"/>
              <w:keepNext/>
            </w:pPr>
            <w:r>
              <w:t>Planning</w:t>
            </w:r>
          </w:p>
        </w:tc>
        <w:tc>
          <w:tcPr>
            <w:tcW w:w="1972" w:type="dxa"/>
            <w:tcBorders>
              <w:top w:val="single" w:sz="4" w:space="0" w:color="26664E" w:themeColor="accent1"/>
            </w:tcBorders>
          </w:tcPr>
          <w:p w14:paraId="6EFC315E"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4</w:t>
            </w:r>
          </w:p>
        </w:tc>
        <w:tc>
          <w:tcPr>
            <w:tcW w:w="1973" w:type="dxa"/>
            <w:tcBorders>
              <w:top w:val="single" w:sz="4" w:space="0" w:color="26664E" w:themeColor="accent1"/>
            </w:tcBorders>
          </w:tcPr>
          <w:p w14:paraId="5BFEDB1B" w14:textId="77777777" w:rsidR="003F26DA"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503</w:t>
            </w:r>
          </w:p>
        </w:tc>
        <w:tc>
          <w:tcPr>
            <w:tcW w:w="1973" w:type="dxa"/>
            <w:tcBorders>
              <w:top w:val="single" w:sz="4" w:space="0" w:color="26664E" w:themeColor="accent1"/>
            </w:tcBorders>
          </w:tcPr>
          <w:p w14:paraId="5B2893AB"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71</w:t>
            </w:r>
          </w:p>
        </w:tc>
      </w:tr>
      <w:tr w:rsidR="003F26DA" w:rsidRPr="008035B1" w14:paraId="5F5CEC46"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26664E" w:themeColor="accent1"/>
            </w:tcBorders>
          </w:tcPr>
          <w:p w14:paraId="626FEFF1" w14:textId="77777777" w:rsidR="003F26DA" w:rsidRPr="008035B1" w:rsidRDefault="003F26DA" w:rsidP="00E91106">
            <w:pPr>
              <w:pStyle w:val="10Tabletext"/>
              <w:keepNext/>
            </w:pPr>
            <w:r w:rsidRPr="008035B1">
              <w:t>Regulators</w:t>
            </w:r>
          </w:p>
        </w:tc>
        <w:tc>
          <w:tcPr>
            <w:tcW w:w="1972" w:type="dxa"/>
            <w:tcBorders>
              <w:bottom w:val="single" w:sz="4" w:space="0" w:color="26664E" w:themeColor="accent1"/>
            </w:tcBorders>
          </w:tcPr>
          <w:p w14:paraId="7B54E6C9"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18</w:t>
            </w:r>
          </w:p>
        </w:tc>
        <w:tc>
          <w:tcPr>
            <w:tcW w:w="1973" w:type="dxa"/>
            <w:tcBorders>
              <w:bottom w:val="single" w:sz="4" w:space="0" w:color="26664E" w:themeColor="accent1"/>
            </w:tcBorders>
          </w:tcPr>
          <w:p w14:paraId="03269EFD"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2,759</w:t>
            </w:r>
          </w:p>
        </w:tc>
        <w:tc>
          <w:tcPr>
            <w:tcW w:w="1973" w:type="dxa"/>
            <w:tcBorders>
              <w:bottom w:val="single" w:sz="4" w:space="0" w:color="26664E" w:themeColor="accent1"/>
            </w:tcBorders>
          </w:tcPr>
          <w:p w14:paraId="7BAE0E06"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87</w:t>
            </w:r>
          </w:p>
        </w:tc>
      </w:tr>
      <w:tr w:rsidR="003F26DA" w:rsidRPr="008035B1" w14:paraId="0809605F"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0AE12029" w14:textId="77777777" w:rsidR="003F26DA" w:rsidRPr="008035B1" w:rsidRDefault="003F26DA" w:rsidP="00E91106">
            <w:pPr>
              <w:pStyle w:val="10Tabletext"/>
              <w:keepNext/>
            </w:pPr>
            <w:r w:rsidRPr="008035B1">
              <w:t>Sport and recreation</w:t>
            </w:r>
          </w:p>
        </w:tc>
        <w:tc>
          <w:tcPr>
            <w:tcW w:w="1972" w:type="dxa"/>
            <w:tcBorders>
              <w:top w:val="single" w:sz="4" w:space="0" w:color="26664E" w:themeColor="accent1"/>
              <w:bottom w:val="single" w:sz="4" w:space="0" w:color="26664E" w:themeColor="accent1"/>
            </w:tcBorders>
          </w:tcPr>
          <w:p w14:paraId="799B797E"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13</w:t>
            </w:r>
          </w:p>
        </w:tc>
        <w:tc>
          <w:tcPr>
            <w:tcW w:w="1973" w:type="dxa"/>
            <w:tcBorders>
              <w:top w:val="single" w:sz="4" w:space="0" w:color="26664E" w:themeColor="accent1"/>
              <w:bottom w:val="single" w:sz="4" w:space="0" w:color="26664E" w:themeColor="accent1"/>
            </w:tcBorders>
          </w:tcPr>
          <w:p w14:paraId="5C90C43E"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3,173</w:t>
            </w:r>
          </w:p>
        </w:tc>
        <w:tc>
          <w:tcPr>
            <w:tcW w:w="1973" w:type="dxa"/>
            <w:tcBorders>
              <w:top w:val="single" w:sz="4" w:space="0" w:color="26664E" w:themeColor="accent1"/>
              <w:bottom w:val="single" w:sz="4" w:space="0" w:color="26664E" w:themeColor="accent1"/>
            </w:tcBorders>
          </w:tcPr>
          <w:p w14:paraId="38C566E6"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63</w:t>
            </w:r>
          </w:p>
        </w:tc>
      </w:tr>
      <w:tr w:rsidR="003F26DA" w:rsidRPr="008035B1" w14:paraId="58EED74B"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6AC2D5AE" w14:textId="77777777" w:rsidR="003F26DA" w:rsidRPr="008035B1" w:rsidRDefault="003F26DA" w:rsidP="00E91106">
            <w:pPr>
              <w:pStyle w:val="10Tabletext"/>
              <w:keepNext/>
            </w:pPr>
            <w:r w:rsidRPr="008035B1">
              <w:t>TAFE and other education</w:t>
            </w:r>
          </w:p>
        </w:tc>
        <w:tc>
          <w:tcPr>
            <w:tcW w:w="1972" w:type="dxa"/>
            <w:tcBorders>
              <w:top w:val="single" w:sz="4" w:space="0" w:color="26664E" w:themeColor="accent1"/>
              <w:bottom w:val="single" w:sz="4" w:space="0" w:color="26664E" w:themeColor="accent1"/>
            </w:tcBorders>
          </w:tcPr>
          <w:p w14:paraId="4F8C64C1"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15</w:t>
            </w:r>
          </w:p>
        </w:tc>
        <w:tc>
          <w:tcPr>
            <w:tcW w:w="1973" w:type="dxa"/>
            <w:tcBorders>
              <w:top w:val="single" w:sz="4" w:space="0" w:color="26664E" w:themeColor="accent1"/>
              <w:bottom w:val="single" w:sz="4" w:space="0" w:color="26664E" w:themeColor="accent1"/>
            </w:tcBorders>
          </w:tcPr>
          <w:p w14:paraId="58021335"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10,023</w:t>
            </w:r>
          </w:p>
        </w:tc>
        <w:tc>
          <w:tcPr>
            <w:tcW w:w="1973" w:type="dxa"/>
            <w:tcBorders>
              <w:top w:val="single" w:sz="4" w:space="0" w:color="26664E" w:themeColor="accent1"/>
              <w:bottom w:val="single" w:sz="4" w:space="0" w:color="26664E" w:themeColor="accent1"/>
            </w:tcBorders>
          </w:tcPr>
          <w:p w14:paraId="62A7C2F3"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90</w:t>
            </w:r>
          </w:p>
        </w:tc>
      </w:tr>
      <w:tr w:rsidR="003F26DA" w:rsidRPr="008035B1" w14:paraId="629BCF57"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5DC62B1E" w14:textId="77777777" w:rsidR="003F26DA" w:rsidRPr="008035B1" w:rsidRDefault="003F26DA" w:rsidP="00E91106">
            <w:pPr>
              <w:pStyle w:val="10Tabletext"/>
              <w:keepNext/>
            </w:pPr>
            <w:r w:rsidRPr="008035B1">
              <w:t>Transport</w:t>
            </w:r>
          </w:p>
        </w:tc>
        <w:tc>
          <w:tcPr>
            <w:tcW w:w="1972" w:type="dxa"/>
            <w:tcBorders>
              <w:top w:val="single" w:sz="4" w:space="0" w:color="26664E" w:themeColor="accent1"/>
              <w:bottom w:val="single" w:sz="4" w:space="0" w:color="26664E" w:themeColor="accent1"/>
            </w:tcBorders>
          </w:tcPr>
          <w:p w14:paraId="1670F3B2"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5</w:t>
            </w:r>
          </w:p>
        </w:tc>
        <w:tc>
          <w:tcPr>
            <w:tcW w:w="1973" w:type="dxa"/>
            <w:tcBorders>
              <w:top w:val="single" w:sz="4" w:space="0" w:color="26664E" w:themeColor="accent1"/>
              <w:bottom w:val="single" w:sz="4" w:space="0" w:color="26664E" w:themeColor="accent1"/>
            </w:tcBorders>
          </w:tcPr>
          <w:p w14:paraId="0641A652" w14:textId="77777777" w:rsidR="003F26DA" w:rsidRPr="008035B1"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3,718</w:t>
            </w:r>
          </w:p>
        </w:tc>
        <w:tc>
          <w:tcPr>
            <w:tcW w:w="1973" w:type="dxa"/>
            <w:tcBorders>
              <w:top w:val="single" w:sz="4" w:space="0" w:color="26664E" w:themeColor="accent1"/>
              <w:bottom w:val="single" w:sz="4" w:space="0" w:color="26664E" w:themeColor="accent1"/>
            </w:tcBorders>
          </w:tcPr>
          <w:p w14:paraId="1F96432D"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pPr>
            <w:r>
              <w:t>155</w:t>
            </w:r>
          </w:p>
        </w:tc>
      </w:tr>
      <w:tr w:rsidR="003F26DA" w:rsidRPr="008035B1" w14:paraId="3C3A9135" w14:textId="77777777" w:rsidTr="00651809">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0E6E2D14" w14:textId="77777777" w:rsidR="003F26DA" w:rsidRPr="008035B1" w:rsidRDefault="003F26DA" w:rsidP="00E91106">
            <w:pPr>
              <w:pStyle w:val="10Tabletext"/>
              <w:keepNext/>
            </w:pPr>
            <w:r w:rsidRPr="008035B1">
              <w:t>Water</w:t>
            </w:r>
          </w:p>
        </w:tc>
        <w:tc>
          <w:tcPr>
            <w:tcW w:w="1972" w:type="dxa"/>
            <w:tcBorders>
              <w:top w:val="single" w:sz="4" w:space="0" w:color="26664E" w:themeColor="accent1"/>
              <w:bottom w:val="single" w:sz="4" w:space="0" w:color="26664E" w:themeColor="accent1"/>
            </w:tcBorders>
          </w:tcPr>
          <w:p w14:paraId="33C3FE08"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19</w:t>
            </w:r>
          </w:p>
        </w:tc>
        <w:tc>
          <w:tcPr>
            <w:tcW w:w="1973" w:type="dxa"/>
            <w:tcBorders>
              <w:top w:val="single" w:sz="4" w:space="0" w:color="26664E" w:themeColor="accent1"/>
              <w:bottom w:val="single" w:sz="4" w:space="0" w:color="26664E" w:themeColor="accent1"/>
            </w:tcBorders>
          </w:tcPr>
          <w:p w14:paraId="00F5415E" w14:textId="77777777" w:rsidR="003F26DA" w:rsidRPr="008035B1"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7,209</w:t>
            </w:r>
          </w:p>
        </w:tc>
        <w:tc>
          <w:tcPr>
            <w:tcW w:w="1973" w:type="dxa"/>
            <w:tcBorders>
              <w:top w:val="single" w:sz="4" w:space="0" w:color="26664E" w:themeColor="accent1"/>
              <w:bottom w:val="single" w:sz="4" w:space="0" w:color="26664E" w:themeColor="accent1"/>
            </w:tcBorders>
          </w:tcPr>
          <w:p w14:paraId="5BD95910" w14:textId="77777777" w:rsidR="003F26DA" w:rsidRPr="00152195" w:rsidRDefault="003F26DA" w:rsidP="00E91106">
            <w:pPr>
              <w:pStyle w:val="10Tabletext"/>
              <w:keepNext/>
              <w:jc w:val="right"/>
              <w:cnfStyle w:val="000000000000" w:firstRow="0" w:lastRow="0" w:firstColumn="0" w:lastColumn="0" w:oddVBand="0" w:evenVBand="0" w:oddHBand="0" w:evenHBand="0" w:firstRowFirstColumn="0" w:firstRowLastColumn="0" w:lastRowFirstColumn="0" w:lastRowLastColumn="0"/>
            </w:pPr>
            <w:r>
              <w:t>134</w:t>
            </w:r>
          </w:p>
        </w:tc>
      </w:tr>
      <w:tr w:rsidR="003F26DA" w:rsidRPr="008035B1" w14:paraId="0904E986"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26664E" w:themeColor="accent1"/>
              <w:bottom w:val="single" w:sz="4" w:space="0" w:color="26664E" w:themeColor="accent1"/>
            </w:tcBorders>
          </w:tcPr>
          <w:p w14:paraId="2DE16DC1" w14:textId="77777777" w:rsidR="003F26DA" w:rsidRPr="00E96FE2" w:rsidRDefault="003F26DA" w:rsidP="00E91106">
            <w:pPr>
              <w:pStyle w:val="10Tabletext"/>
              <w:keepNext/>
              <w:rPr>
                <w:b/>
                <w:bCs/>
              </w:rPr>
            </w:pPr>
            <w:r w:rsidRPr="00E96FE2">
              <w:rPr>
                <w:b/>
              </w:rPr>
              <w:t>Total</w:t>
            </w:r>
          </w:p>
        </w:tc>
        <w:tc>
          <w:tcPr>
            <w:tcW w:w="1972" w:type="dxa"/>
            <w:tcBorders>
              <w:top w:val="single" w:sz="4" w:space="0" w:color="26664E" w:themeColor="accent1"/>
              <w:bottom w:val="single" w:sz="4" w:space="0" w:color="26664E" w:themeColor="accent1"/>
            </w:tcBorders>
          </w:tcPr>
          <w:p w14:paraId="3C3C543D" w14:textId="77777777" w:rsidR="003F26DA" w:rsidRPr="00E96FE2"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rPr>
                <w:b/>
              </w:rPr>
            </w:pPr>
            <w:r>
              <w:rPr>
                <w:b/>
              </w:rPr>
              <w:t>143</w:t>
            </w:r>
          </w:p>
        </w:tc>
        <w:tc>
          <w:tcPr>
            <w:tcW w:w="1973" w:type="dxa"/>
            <w:tcBorders>
              <w:top w:val="single" w:sz="4" w:space="0" w:color="26664E" w:themeColor="accent1"/>
              <w:bottom w:val="single" w:sz="4" w:space="0" w:color="26664E" w:themeColor="accent1"/>
            </w:tcBorders>
          </w:tcPr>
          <w:p w14:paraId="71787ACE" w14:textId="77777777" w:rsidR="003F26DA" w:rsidRPr="00E96FE2"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rPr>
                <w:b/>
              </w:rPr>
            </w:pPr>
            <w:r>
              <w:rPr>
                <w:b/>
              </w:rPr>
              <w:t>48,846</w:t>
            </w:r>
          </w:p>
        </w:tc>
        <w:tc>
          <w:tcPr>
            <w:tcW w:w="1973" w:type="dxa"/>
            <w:tcBorders>
              <w:top w:val="single" w:sz="4" w:space="0" w:color="26664E" w:themeColor="accent1"/>
            </w:tcBorders>
          </w:tcPr>
          <w:p w14:paraId="360C1817" w14:textId="77777777" w:rsidR="003F26DA" w:rsidRPr="00152195" w:rsidRDefault="003F26DA" w:rsidP="00E91106">
            <w:pPr>
              <w:pStyle w:val="10Tabletext"/>
              <w:keepNext/>
              <w:jc w:val="right"/>
              <w:cnfStyle w:val="000000100000" w:firstRow="0" w:lastRow="0" w:firstColumn="0" w:lastColumn="0" w:oddVBand="0" w:evenVBand="0" w:oddHBand="1" w:evenHBand="0" w:firstRowFirstColumn="0" w:firstRowLastColumn="0" w:lastRowFirstColumn="0" w:lastRowLastColumn="0"/>
              <w:rPr>
                <w:b/>
              </w:rPr>
            </w:pPr>
            <w:r>
              <w:rPr>
                <w:b/>
              </w:rPr>
              <w:t>1,050</w:t>
            </w:r>
          </w:p>
        </w:tc>
      </w:tr>
    </w:tbl>
    <w:p w14:paraId="1C7F71E1" w14:textId="77777777" w:rsidR="003F26DA" w:rsidRPr="00C26ED3" w:rsidRDefault="003F26DA">
      <w:pPr>
        <w:pStyle w:val="09Sourcesandnotesfortablesfiguresboxes"/>
        <w:rPr>
          <w:spacing w:val="-2"/>
        </w:rPr>
      </w:pPr>
      <w:r w:rsidRPr="00C26ED3">
        <w:rPr>
          <w:spacing w:val="-2"/>
        </w:rPr>
        <w:t>Notes: (a) Excludes prescribed public entities that d</w:t>
      </w:r>
      <w:r>
        <w:rPr>
          <w:spacing w:val="-2"/>
        </w:rPr>
        <w:t>o</w:t>
      </w:r>
      <w:r w:rsidRPr="00C26ED3">
        <w:rPr>
          <w:spacing w:val="-2"/>
        </w:rPr>
        <w:t xml:space="preserve"> not </w:t>
      </w:r>
      <w:r>
        <w:rPr>
          <w:spacing w:val="-2"/>
        </w:rPr>
        <w:t xml:space="preserve">typically </w:t>
      </w:r>
      <w:r w:rsidRPr="00C26ED3">
        <w:rPr>
          <w:spacing w:val="-2"/>
        </w:rPr>
        <w:t xml:space="preserve">employ executives. (b) Includes entities that ceased to be a prescribed public entity after 30 June 2023 (for example, </w:t>
      </w:r>
      <w:proofErr w:type="spellStart"/>
      <w:r w:rsidRPr="00C26ED3">
        <w:rPr>
          <w:spacing w:val="-2"/>
        </w:rPr>
        <w:t>VicForests</w:t>
      </w:r>
      <w:proofErr w:type="spellEnd"/>
      <w:r w:rsidRPr="00C26ED3">
        <w:rPr>
          <w:spacing w:val="-2"/>
        </w:rPr>
        <w:t xml:space="preserve"> ceased operating on 30 June 2024). </w:t>
      </w:r>
    </w:p>
    <w:p w14:paraId="6040810E" w14:textId="45E4BC70" w:rsidR="003F26DA" w:rsidRPr="008035B1" w:rsidRDefault="003F26DA">
      <w:pPr>
        <w:pStyle w:val="09Sourcesandnotesfortablesfiguresboxes"/>
      </w:pPr>
      <w:r w:rsidRPr="008035B1">
        <w:t>Sources: VPSC (2024</w:t>
      </w:r>
      <w:r w:rsidR="00EA706D">
        <w:t>d</w:t>
      </w:r>
      <w:r w:rsidRPr="008035B1">
        <w:t xml:space="preserve">); </w:t>
      </w:r>
      <w:r w:rsidRPr="00C26ED3">
        <w:t>Tribunal analysis of VPSC data.</w:t>
      </w:r>
    </w:p>
    <w:p w14:paraId="25A3D865" w14:textId="373586AE" w:rsidR="003F26DA" w:rsidRPr="00D42E19" w:rsidRDefault="003F26DA">
      <w:pPr>
        <w:pStyle w:val="05Paragraph"/>
      </w:pPr>
      <w:r w:rsidRPr="00D42E19">
        <w:t xml:space="preserve">As a reference point, the Tribunal’s recent </w:t>
      </w:r>
      <w:r w:rsidRPr="00D42E19">
        <w:rPr>
          <w:i/>
          <w:iCs/>
        </w:rPr>
        <w:t xml:space="preserve">Remuneration bands for executives employed in public service bodies (Victoria) Determination No. 01/2024 </w:t>
      </w:r>
      <w:r w:rsidR="00A7326E" w:rsidRPr="00A7326E">
        <w:t>(2024 VPS Determination)</w:t>
      </w:r>
      <w:r w:rsidRPr="00D42E19">
        <w:rPr>
          <w:i/>
          <w:iCs/>
        </w:rPr>
        <w:t xml:space="preserve"> </w:t>
      </w:r>
      <w:r w:rsidRPr="00D42E19">
        <w:t xml:space="preserve">applied to ten departments and 13 </w:t>
      </w:r>
      <w:r w:rsidR="00D92A8E">
        <w:t>AOs</w:t>
      </w:r>
      <w:r w:rsidRPr="00D42E19">
        <w:t xml:space="preserve"> that employed (on a headcount basis) 43,615 non</w:t>
      </w:r>
      <w:r w:rsidR="0013624E">
        <w:noBreakHyphen/>
      </w:r>
      <w:r w:rsidRPr="00D42E19">
        <w:t xml:space="preserve">executives and 1,637 executives </w:t>
      </w:r>
      <w:proofErr w:type="gramStart"/>
      <w:r w:rsidRPr="00D42E19">
        <w:t>at</w:t>
      </w:r>
      <w:proofErr w:type="gramEnd"/>
      <w:r w:rsidRPr="00D42E19">
        <w:t xml:space="preserve"> June 2023.</w:t>
      </w:r>
      <w:r w:rsidRPr="00D42E19">
        <w:rPr>
          <w:rStyle w:val="FootnoteReference"/>
        </w:rPr>
        <w:footnoteReference w:id="45"/>
      </w:r>
    </w:p>
    <w:p w14:paraId="19B15A29" w14:textId="33E6D659" w:rsidR="003F26DA" w:rsidRPr="00D42E19" w:rsidRDefault="003F26DA">
      <w:pPr>
        <w:pStyle w:val="05Paragraph"/>
      </w:pPr>
      <w:r w:rsidRPr="00D42E19">
        <w:t>Collectively, public entities account for a significant proportion of the State of Victoria’s operating revenue and expenses, and balance sheet. Table 2.2 provides an overview of key financial data for 13 public entities identified as ‘material entities’ by the Victorian Auditor-General’s Office</w:t>
      </w:r>
      <w:r w:rsidR="00A7326E">
        <w:t xml:space="preserve"> (VAGO)</w:t>
      </w:r>
      <w:r w:rsidRPr="00D42E19">
        <w:t>.</w:t>
      </w:r>
      <w:r w:rsidRPr="00D42E19">
        <w:rPr>
          <w:rStyle w:val="FootnoteReference"/>
        </w:rPr>
        <w:footnoteReference w:id="46"/>
      </w:r>
    </w:p>
    <w:p w14:paraId="43DC849A" w14:textId="77777777" w:rsidR="003F26DA" w:rsidRDefault="003F26DA">
      <w:pPr>
        <w:spacing w:after="80"/>
        <w:rPr>
          <w:highlight w:val="green"/>
        </w:rPr>
      </w:pPr>
      <w:r>
        <w:rPr>
          <w:highlight w:val="green"/>
        </w:rPr>
        <w:br w:type="page"/>
      </w:r>
    </w:p>
    <w:p w14:paraId="7DD7DA23" w14:textId="77777777" w:rsidR="003F26DA" w:rsidRDefault="003F26DA">
      <w:pPr>
        <w:pStyle w:val="08Figuretableboxheading"/>
      </w:pPr>
      <w:r>
        <w:lastRenderedPageBreak/>
        <w:t xml:space="preserve">Table 2.2: Summary financial information for ‘material’ public entities, 30 June 2024 </w:t>
      </w:r>
    </w:p>
    <w:tbl>
      <w:tblPr>
        <w:tblStyle w:val="VIRTDeterminationTableStyle"/>
        <w:tblW w:w="0" w:type="auto"/>
        <w:tblInd w:w="5" w:type="dxa"/>
        <w:tblLook w:val="04A0" w:firstRow="1" w:lastRow="0" w:firstColumn="1" w:lastColumn="0" w:noHBand="0" w:noVBand="1"/>
      </w:tblPr>
      <w:tblGrid>
        <w:gridCol w:w="2743"/>
        <w:gridCol w:w="1439"/>
        <w:gridCol w:w="1439"/>
        <w:gridCol w:w="1439"/>
        <w:gridCol w:w="1439"/>
      </w:tblGrid>
      <w:tr w:rsidR="003F26DA" w:rsidRPr="008035B1" w14:paraId="2910A8E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tcPr>
          <w:p w14:paraId="5CD87AE2" w14:textId="77777777" w:rsidR="003F26DA" w:rsidRPr="008035B1" w:rsidRDefault="003F26DA">
            <w:pPr>
              <w:pStyle w:val="10Tabletext"/>
            </w:pPr>
            <w:r>
              <w:t>Material entities</w:t>
            </w:r>
            <w:r w:rsidRPr="00B74593">
              <w:rPr>
                <w:vertAlign w:val="superscript"/>
              </w:rPr>
              <w:t>(a)</w:t>
            </w:r>
          </w:p>
        </w:tc>
        <w:tc>
          <w:tcPr>
            <w:tcW w:w="1439" w:type="dxa"/>
          </w:tcPr>
          <w:p w14:paraId="77EF07D7" w14:textId="77777777" w:rsidR="003F26DA" w:rsidRPr="008035B1" w:rsidRDefault="003F26DA">
            <w:pPr>
              <w:pStyle w:val="10Tabletext"/>
              <w:jc w:val="right"/>
              <w:cnfStyle w:val="100000000000" w:firstRow="1" w:lastRow="0" w:firstColumn="0" w:lastColumn="0" w:oddVBand="0" w:evenVBand="0" w:oddHBand="0" w:evenHBand="0" w:firstRowFirstColumn="0" w:firstRowLastColumn="0" w:lastRowFirstColumn="0" w:lastRowLastColumn="0"/>
            </w:pPr>
            <w:r>
              <w:t>Revenue</w:t>
            </w:r>
            <w:r>
              <w:br/>
              <w:t>($m)</w:t>
            </w:r>
          </w:p>
        </w:tc>
        <w:tc>
          <w:tcPr>
            <w:tcW w:w="1439" w:type="dxa"/>
          </w:tcPr>
          <w:p w14:paraId="280CB7D8" w14:textId="77777777" w:rsidR="003F26DA" w:rsidRPr="008035B1" w:rsidRDefault="003F26DA">
            <w:pPr>
              <w:pStyle w:val="10Tabletext"/>
              <w:jc w:val="right"/>
              <w:cnfStyle w:val="100000000000" w:firstRow="1" w:lastRow="0" w:firstColumn="0" w:lastColumn="0" w:oddVBand="0" w:evenVBand="0" w:oddHBand="0" w:evenHBand="0" w:firstRowFirstColumn="0" w:firstRowLastColumn="0" w:lastRowFirstColumn="0" w:lastRowLastColumn="0"/>
            </w:pPr>
            <w:r>
              <w:t>Expenses</w:t>
            </w:r>
            <w:r>
              <w:br/>
              <w:t>($m)</w:t>
            </w:r>
          </w:p>
        </w:tc>
        <w:tc>
          <w:tcPr>
            <w:tcW w:w="1439" w:type="dxa"/>
          </w:tcPr>
          <w:p w14:paraId="0AF5B350" w14:textId="77777777" w:rsidR="003F26DA" w:rsidRPr="00152195" w:rsidRDefault="003F26DA">
            <w:pPr>
              <w:pStyle w:val="10Tabletext"/>
              <w:jc w:val="right"/>
              <w:cnfStyle w:val="100000000000" w:firstRow="1" w:lastRow="0" w:firstColumn="0" w:lastColumn="0" w:oddVBand="0" w:evenVBand="0" w:oddHBand="0" w:evenHBand="0" w:firstRowFirstColumn="0" w:firstRowLastColumn="0" w:lastRowFirstColumn="0" w:lastRowLastColumn="0"/>
            </w:pPr>
            <w:r>
              <w:t>Assets</w:t>
            </w:r>
            <w:r>
              <w:br/>
              <w:t>($m)</w:t>
            </w:r>
          </w:p>
        </w:tc>
        <w:tc>
          <w:tcPr>
            <w:tcW w:w="1439" w:type="dxa"/>
          </w:tcPr>
          <w:p w14:paraId="0EECAF60" w14:textId="77777777" w:rsidR="003F26DA" w:rsidRPr="00152195" w:rsidRDefault="003F26DA">
            <w:pPr>
              <w:pStyle w:val="10Tabletext"/>
              <w:jc w:val="right"/>
              <w:cnfStyle w:val="100000000000" w:firstRow="1" w:lastRow="0" w:firstColumn="0" w:lastColumn="0" w:oddVBand="0" w:evenVBand="0" w:oddHBand="0" w:evenHBand="0" w:firstRowFirstColumn="0" w:firstRowLastColumn="0" w:lastRowFirstColumn="0" w:lastRowLastColumn="0"/>
            </w:pPr>
            <w:r>
              <w:t>Liabilities</w:t>
            </w:r>
            <w:r>
              <w:br/>
              <w:t>($m)</w:t>
            </w:r>
          </w:p>
        </w:tc>
      </w:tr>
      <w:tr w:rsidR="003F26DA" w:rsidRPr="008035B1" w14:paraId="0C9E81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7F2C7424" w14:textId="77777777" w:rsidR="003F26DA" w:rsidRPr="00B427EC" w:rsidRDefault="003F26DA">
            <w:pPr>
              <w:pStyle w:val="10Tabletext"/>
            </w:pPr>
            <w:r w:rsidRPr="00B427EC">
              <w:t>Treasury Corporation of Victoria</w:t>
            </w:r>
          </w:p>
        </w:tc>
        <w:tc>
          <w:tcPr>
            <w:tcW w:w="1439" w:type="dxa"/>
          </w:tcPr>
          <w:p w14:paraId="67707B31"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172</w:t>
            </w:r>
          </w:p>
        </w:tc>
        <w:tc>
          <w:tcPr>
            <w:tcW w:w="1439" w:type="dxa"/>
          </w:tcPr>
          <w:p w14:paraId="6132F937"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50</w:t>
            </w:r>
          </w:p>
        </w:tc>
        <w:tc>
          <w:tcPr>
            <w:tcW w:w="1439" w:type="dxa"/>
          </w:tcPr>
          <w:p w14:paraId="7B8F9AD4"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175,857</w:t>
            </w:r>
          </w:p>
        </w:tc>
        <w:tc>
          <w:tcPr>
            <w:tcW w:w="1439" w:type="dxa"/>
          </w:tcPr>
          <w:p w14:paraId="4F33ADC7"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175,528</w:t>
            </w:r>
          </w:p>
        </w:tc>
      </w:tr>
      <w:tr w:rsidR="003F26DA" w:rsidRPr="008035B1" w14:paraId="6C1620D7" w14:textId="77777777">
        <w:tc>
          <w:tcPr>
            <w:cnfStyle w:val="001000000000" w:firstRow="0" w:lastRow="0" w:firstColumn="1" w:lastColumn="0" w:oddVBand="0" w:evenVBand="0" w:oddHBand="0" w:evenHBand="0" w:firstRowFirstColumn="0" w:firstRowLastColumn="0" w:lastRowFirstColumn="0" w:lastRowLastColumn="0"/>
            <w:tcW w:w="2743" w:type="dxa"/>
          </w:tcPr>
          <w:p w14:paraId="37D6817E" w14:textId="77777777" w:rsidR="003F26DA" w:rsidRPr="00B427EC" w:rsidRDefault="003F26DA">
            <w:pPr>
              <w:pStyle w:val="10Tabletext"/>
            </w:pPr>
            <w:r w:rsidRPr="00B427EC">
              <w:t>Victorian Rail Track Corporation</w:t>
            </w:r>
          </w:p>
        </w:tc>
        <w:tc>
          <w:tcPr>
            <w:tcW w:w="1439" w:type="dxa"/>
          </w:tcPr>
          <w:p w14:paraId="3B328009"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211</w:t>
            </w:r>
          </w:p>
        </w:tc>
        <w:tc>
          <w:tcPr>
            <w:tcW w:w="1439" w:type="dxa"/>
          </w:tcPr>
          <w:p w14:paraId="1B66BB2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1,307</w:t>
            </w:r>
          </w:p>
        </w:tc>
        <w:tc>
          <w:tcPr>
            <w:tcW w:w="1439" w:type="dxa"/>
          </w:tcPr>
          <w:p w14:paraId="4F259D0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48,290</w:t>
            </w:r>
          </w:p>
        </w:tc>
        <w:tc>
          <w:tcPr>
            <w:tcW w:w="1439" w:type="dxa"/>
          </w:tcPr>
          <w:p w14:paraId="71051C28"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3,858</w:t>
            </w:r>
          </w:p>
        </w:tc>
      </w:tr>
      <w:tr w:rsidR="003F26DA" w:rsidRPr="008035B1" w14:paraId="18B5FA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27F6D11E" w14:textId="77777777" w:rsidR="003F26DA" w:rsidRPr="00B427EC" w:rsidRDefault="003F26DA">
            <w:pPr>
              <w:pStyle w:val="10Tabletext"/>
            </w:pPr>
            <w:r w:rsidRPr="00B427EC">
              <w:t xml:space="preserve">Victorian </w:t>
            </w:r>
            <w:proofErr w:type="spellStart"/>
            <w:r w:rsidRPr="00B427EC">
              <w:t>WorkCover</w:t>
            </w:r>
            <w:proofErr w:type="spellEnd"/>
            <w:r w:rsidRPr="00B427EC">
              <w:t xml:space="preserve"> Authority</w:t>
            </w:r>
          </w:p>
        </w:tc>
        <w:tc>
          <w:tcPr>
            <w:tcW w:w="1439" w:type="dxa"/>
          </w:tcPr>
          <w:p w14:paraId="42C12CDD"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7,564</w:t>
            </w:r>
          </w:p>
        </w:tc>
        <w:tc>
          <w:tcPr>
            <w:tcW w:w="1439" w:type="dxa"/>
          </w:tcPr>
          <w:p w14:paraId="07E2E046"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7,051</w:t>
            </w:r>
          </w:p>
        </w:tc>
        <w:tc>
          <w:tcPr>
            <w:tcW w:w="1439" w:type="dxa"/>
          </w:tcPr>
          <w:p w14:paraId="25C28392"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28,930</w:t>
            </w:r>
          </w:p>
        </w:tc>
        <w:tc>
          <w:tcPr>
            <w:tcW w:w="1439" w:type="dxa"/>
          </w:tcPr>
          <w:p w14:paraId="323E3CF9"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29,801</w:t>
            </w:r>
          </w:p>
        </w:tc>
      </w:tr>
      <w:tr w:rsidR="003F26DA" w:rsidRPr="008035B1" w14:paraId="5FBBDE51" w14:textId="77777777">
        <w:tc>
          <w:tcPr>
            <w:cnfStyle w:val="001000000000" w:firstRow="0" w:lastRow="0" w:firstColumn="1" w:lastColumn="0" w:oddVBand="0" w:evenVBand="0" w:oddHBand="0" w:evenHBand="0" w:firstRowFirstColumn="0" w:firstRowLastColumn="0" w:lastRowFirstColumn="0" w:lastRowLastColumn="0"/>
            <w:tcW w:w="2743" w:type="dxa"/>
          </w:tcPr>
          <w:p w14:paraId="18578C0B" w14:textId="77777777" w:rsidR="003F26DA" w:rsidRPr="00B427EC" w:rsidRDefault="003F26DA">
            <w:pPr>
              <w:pStyle w:val="10Tabletext"/>
            </w:pPr>
            <w:r w:rsidRPr="00B427EC">
              <w:t>Transport Accident Commission</w:t>
            </w:r>
          </w:p>
        </w:tc>
        <w:tc>
          <w:tcPr>
            <w:tcW w:w="1439" w:type="dxa"/>
          </w:tcPr>
          <w:p w14:paraId="71A4346C"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4,063</w:t>
            </w:r>
          </w:p>
        </w:tc>
        <w:tc>
          <w:tcPr>
            <w:tcW w:w="1439" w:type="dxa"/>
          </w:tcPr>
          <w:p w14:paraId="437BF67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2,596</w:t>
            </w:r>
          </w:p>
        </w:tc>
        <w:tc>
          <w:tcPr>
            <w:tcW w:w="1439" w:type="dxa"/>
          </w:tcPr>
          <w:p w14:paraId="05AA136A"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20,017</w:t>
            </w:r>
          </w:p>
        </w:tc>
        <w:tc>
          <w:tcPr>
            <w:tcW w:w="1439" w:type="dxa"/>
          </w:tcPr>
          <w:p w14:paraId="68B76C1F"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18,475</w:t>
            </w:r>
          </w:p>
        </w:tc>
      </w:tr>
      <w:tr w:rsidR="003F26DA" w:rsidRPr="008035B1" w14:paraId="71C836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454CA956" w14:textId="77777777" w:rsidR="003F26DA" w:rsidRPr="00B427EC" w:rsidRDefault="003F26DA">
            <w:pPr>
              <w:pStyle w:val="10Tabletext"/>
            </w:pPr>
            <w:r w:rsidRPr="00B427EC">
              <w:t>Melbourne Water Corporation</w:t>
            </w:r>
          </w:p>
        </w:tc>
        <w:tc>
          <w:tcPr>
            <w:tcW w:w="1439" w:type="dxa"/>
          </w:tcPr>
          <w:p w14:paraId="29090EE7"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2,040</w:t>
            </w:r>
          </w:p>
        </w:tc>
        <w:tc>
          <w:tcPr>
            <w:tcW w:w="1439" w:type="dxa"/>
          </w:tcPr>
          <w:p w14:paraId="5B8D7268"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1,786</w:t>
            </w:r>
          </w:p>
        </w:tc>
        <w:tc>
          <w:tcPr>
            <w:tcW w:w="1439" w:type="dxa"/>
          </w:tcPr>
          <w:p w14:paraId="5C6AEC5A"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18,239</w:t>
            </w:r>
          </w:p>
        </w:tc>
        <w:tc>
          <w:tcPr>
            <w:tcW w:w="1439" w:type="dxa"/>
          </w:tcPr>
          <w:p w14:paraId="0CFA1A1B"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10,263</w:t>
            </w:r>
          </w:p>
        </w:tc>
      </w:tr>
      <w:tr w:rsidR="003F26DA" w:rsidRPr="008035B1" w14:paraId="52A9B565" w14:textId="77777777">
        <w:tc>
          <w:tcPr>
            <w:cnfStyle w:val="001000000000" w:firstRow="0" w:lastRow="0" w:firstColumn="1" w:lastColumn="0" w:oddVBand="0" w:evenVBand="0" w:oddHBand="0" w:evenHBand="0" w:firstRowFirstColumn="0" w:firstRowLastColumn="0" w:lastRowFirstColumn="0" w:lastRowLastColumn="0"/>
            <w:tcW w:w="2743" w:type="dxa"/>
          </w:tcPr>
          <w:p w14:paraId="28DB0666" w14:textId="77777777" w:rsidR="003F26DA" w:rsidRPr="00B427EC" w:rsidRDefault="003F26DA">
            <w:pPr>
              <w:pStyle w:val="10Tabletext"/>
            </w:pPr>
            <w:r w:rsidRPr="00B427EC">
              <w:t>Yarra Valley Water Corporation</w:t>
            </w:r>
          </w:p>
        </w:tc>
        <w:tc>
          <w:tcPr>
            <w:tcW w:w="1439" w:type="dxa"/>
          </w:tcPr>
          <w:p w14:paraId="759144E7"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1,239</w:t>
            </w:r>
          </w:p>
        </w:tc>
        <w:tc>
          <w:tcPr>
            <w:tcW w:w="1439" w:type="dxa"/>
          </w:tcPr>
          <w:p w14:paraId="610D478E"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1,064</w:t>
            </w:r>
          </w:p>
        </w:tc>
        <w:tc>
          <w:tcPr>
            <w:tcW w:w="1439" w:type="dxa"/>
          </w:tcPr>
          <w:p w14:paraId="557EF35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6,459</w:t>
            </w:r>
          </w:p>
        </w:tc>
        <w:tc>
          <w:tcPr>
            <w:tcW w:w="1439" w:type="dxa"/>
          </w:tcPr>
          <w:p w14:paraId="02495760"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4,675</w:t>
            </w:r>
          </w:p>
        </w:tc>
      </w:tr>
      <w:tr w:rsidR="003F26DA" w:rsidRPr="008035B1" w14:paraId="638348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53A0D463" w14:textId="77777777" w:rsidR="003F26DA" w:rsidRPr="00B427EC" w:rsidRDefault="003F26DA">
            <w:pPr>
              <w:pStyle w:val="10Tabletext"/>
            </w:pPr>
            <w:proofErr w:type="gramStart"/>
            <w:r w:rsidRPr="00B427EC">
              <w:t>South East</w:t>
            </w:r>
            <w:proofErr w:type="gramEnd"/>
            <w:r w:rsidRPr="00B427EC">
              <w:t xml:space="preserve"> Water Corporation</w:t>
            </w:r>
          </w:p>
        </w:tc>
        <w:tc>
          <w:tcPr>
            <w:tcW w:w="1439" w:type="dxa"/>
          </w:tcPr>
          <w:p w14:paraId="5C00ABA3"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1,143</w:t>
            </w:r>
          </w:p>
        </w:tc>
        <w:tc>
          <w:tcPr>
            <w:tcW w:w="1439" w:type="dxa"/>
          </w:tcPr>
          <w:p w14:paraId="20C5659B"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1,037</w:t>
            </w:r>
          </w:p>
        </w:tc>
        <w:tc>
          <w:tcPr>
            <w:tcW w:w="1439" w:type="dxa"/>
          </w:tcPr>
          <w:p w14:paraId="4FD7B988"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5,508</w:t>
            </w:r>
          </w:p>
        </w:tc>
        <w:tc>
          <w:tcPr>
            <w:tcW w:w="1439" w:type="dxa"/>
          </w:tcPr>
          <w:p w14:paraId="21F58886"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3,589</w:t>
            </w:r>
          </w:p>
        </w:tc>
      </w:tr>
      <w:tr w:rsidR="003F26DA" w:rsidRPr="008035B1" w14:paraId="170CAEBD" w14:textId="77777777">
        <w:tc>
          <w:tcPr>
            <w:cnfStyle w:val="001000000000" w:firstRow="0" w:lastRow="0" w:firstColumn="1" w:lastColumn="0" w:oddVBand="0" w:evenVBand="0" w:oddHBand="0" w:evenHBand="0" w:firstRowFirstColumn="0" w:firstRowLastColumn="0" w:lastRowFirstColumn="0" w:lastRowLastColumn="0"/>
            <w:tcW w:w="2743" w:type="dxa"/>
          </w:tcPr>
          <w:p w14:paraId="3E8735EA" w14:textId="77777777" w:rsidR="003F26DA" w:rsidRPr="00B427EC" w:rsidRDefault="003F26DA">
            <w:pPr>
              <w:pStyle w:val="10Tabletext"/>
            </w:pPr>
            <w:r w:rsidRPr="00B427EC">
              <w:t>Goulburn–Murray Rural Water Corporation</w:t>
            </w:r>
          </w:p>
        </w:tc>
        <w:tc>
          <w:tcPr>
            <w:tcW w:w="1439" w:type="dxa"/>
          </w:tcPr>
          <w:p w14:paraId="642C2686"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185</w:t>
            </w:r>
          </w:p>
        </w:tc>
        <w:tc>
          <w:tcPr>
            <w:tcW w:w="1439" w:type="dxa"/>
          </w:tcPr>
          <w:p w14:paraId="0CCEDEB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281</w:t>
            </w:r>
          </w:p>
        </w:tc>
        <w:tc>
          <w:tcPr>
            <w:tcW w:w="1439" w:type="dxa"/>
          </w:tcPr>
          <w:p w14:paraId="7741D103"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5,261</w:t>
            </w:r>
          </w:p>
        </w:tc>
        <w:tc>
          <w:tcPr>
            <w:tcW w:w="1439" w:type="dxa"/>
          </w:tcPr>
          <w:p w14:paraId="32FC6071"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733</w:t>
            </w:r>
          </w:p>
        </w:tc>
      </w:tr>
      <w:tr w:rsidR="003F26DA" w:rsidRPr="008035B1" w14:paraId="240F52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5C983A69" w14:textId="77777777" w:rsidR="003F26DA" w:rsidRPr="00B427EC" w:rsidRDefault="003F26DA">
            <w:pPr>
              <w:pStyle w:val="10Tabletext"/>
            </w:pPr>
            <w:r w:rsidRPr="00B427EC">
              <w:t>National Gallery of Victoria</w:t>
            </w:r>
          </w:p>
        </w:tc>
        <w:tc>
          <w:tcPr>
            <w:tcW w:w="1439" w:type="dxa"/>
          </w:tcPr>
          <w:p w14:paraId="5705BF5C"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208</w:t>
            </w:r>
          </w:p>
        </w:tc>
        <w:tc>
          <w:tcPr>
            <w:tcW w:w="1439" w:type="dxa"/>
          </w:tcPr>
          <w:p w14:paraId="128B17DF"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148</w:t>
            </w:r>
          </w:p>
        </w:tc>
        <w:tc>
          <w:tcPr>
            <w:tcW w:w="1439" w:type="dxa"/>
          </w:tcPr>
          <w:p w14:paraId="7D1F8B9E"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4,827</w:t>
            </w:r>
          </w:p>
        </w:tc>
        <w:tc>
          <w:tcPr>
            <w:tcW w:w="1439" w:type="dxa"/>
          </w:tcPr>
          <w:p w14:paraId="3E3C22C9"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61</w:t>
            </w:r>
          </w:p>
        </w:tc>
      </w:tr>
      <w:tr w:rsidR="003F26DA" w:rsidRPr="008035B1" w14:paraId="17EA2F51" w14:textId="77777777">
        <w:tc>
          <w:tcPr>
            <w:cnfStyle w:val="001000000000" w:firstRow="0" w:lastRow="0" w:firstColumn="1" w:lastColumn="0" w:oddVBand="0" w:evenVBand="0" w:oddHBand="0" w:evenHBand="0" w:firstRowFirstColumn="0" w:firstRowLastColumn="0" w:lastRowFirstColumn="0" w:lastRowLastColumn="0"/>
            <w:tcW w:w="2743" w:type="dxa"/>
          </w:tcPr>
          <w:p w14:paraId="7ADF141C" w14:textId="77777777" w:rsidR="003F26DA" w:rsidRPr="00B427EC" w:rsidRDefault="003F26DA">
            <w:pPr>
              <w:pStyle w:val="10Tabletext"/>
            </w:pPr>
            <w:proofErr w:type="gramStart"/>
            <w:r w:rsidRPr="00B427EC">
              <w:t>North East</w:t>
            </w:r>
            <w:proofErr w:type="gramEnd"/>
            <w:r w:rsidRPr="00B427EC">
              <w:t xml:space="preserve"> Link State Tolling Corporation</w:t>
            </w:r>
          </w:p>
        </w:tc>
        <w:tc>
          <w:tcPr>
            <w:tcW w:w="1439" w:type="dxa"/>
          </w:tcPr>
          <w:p w14:paraId="5B13600B" w14:textId="77777777" w:rsidR="003F26DA" w:rsidRPr="00BF224E"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rsidRPr="00BF224E">
              <w:t>2</w:t>
            </w:r>
          </w:p>
        </w:tc>
        <w:tc>
          <w:tcPr>
            <w:tcW w:w="1439" w:type="dxa"/>
          </w:tcPr>
          <w:p w14:paraId="1158792A" w14:textId="77777777" w:rsidR="003F26DA" w:rsidRPr="00BF224E"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rsidRPr="00BF224E">
              <w:t>19</w:t>
            </w:r>
          </w:p>
        </w:tc>
        <w:tc>
          <w:tcPr>
            <w:tcW w:w="1439" w:type="dxa"/>
          </w:tcPr>
          <w:p w14:paraId="0A2CFAB5"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4,645</w:t>
            </w:r>
          </w:p>
        </w:tc>
        <w:tc>
          <w:tcPr>
            <w:tcW w:w="1439" w:type="dxa"/>
          </w:tcPr>
          <w:p w14:paraId="7A9A98F0"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4,105</w:t>
            </w:r>
          </w:p>
        </w:tc>
      </w:tr>
      <w:tr w:rsidR="003F26DA" w:rsidRPr="008035B1" w14:paraId="2CDEAE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0E260148" w14:textId="77777777" w:rsidR="003F26DA" w:rsidRPr="00B427EC" w:rsidRDefault="003F26DA">
            <w:pPr>
              <w:pStyle w:val="10Tabletext"/>
            </w:pPr>
            <w:r w:rsidRPr="00B427EC">
              <w:t>Victorian Managed Insurance Authority</w:t>
            </w:r>
          </w:p>
        </w:tc>
        <w:tc>
          <w:tcPr>
            <w:tcW w:w="1439" w:type="dxa"/>
          </w:tcPr>
          <w:p w14:paraId="630BEC3D"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1,021</w:t>
            </w:r>
          </w:p>
        </w:tc>
        <w:tc>
          <w:tcPr>
            <w:tcW w:w="1439" w:type="dxa"/>
          </w:tcPr>
          <w:p w14:paraId="5B72CC21"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1,120</w:t>
            </w:r>
          </w:p>
        </w:tc>
        <w:tc>
          <w:tcPr>
            <w:tcW w:w="1439" w:type="dxa"/>
          </w:tcPr>
          <w:p w14:paraId="5E0E0460"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4,376</w:t>
            </w:r>
          </w:p>
        </w:tc>
        <w:tc>
          <w:tcPr>
            <w:tcW w:w="1439" w:type="dxa"/>
          </w:tcPr>
          <w:p w14:paraId="5ACAB06A" w14:textId="77777777" w:rsidR="003F26DA" w:rsidRPr="00B427EC"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4,853</w:t>
            </w:r>
          </w:p>
        </w:tc>
      </w:tr>
      <w:tr w:rsidR="003F26DA" w:rsidRPr="008035B1" w14:paraId="575A71B9" w14:textId="77777777">
        <w:tc>
          <w:tcPr>
            <w:cnfStyle w:val="001000000000" w:firstRow="0" w:lastRow="0" w:firstColumn="1" w:lastColumn="0" w:oddVBand="0" w:evenVBand="0" w:oddHBand="0" w:evenHBand="0" w:firstRowFirstColumn="0" w:firstRowLastColumn="0" w:lastRowFirstColumn="0" w:lastRowLastColumn="0"/>
            <w:tcW w:w="2743" w:type="dxa"/>
          </w:tcPr>
          <w:p w14:paraId="75DFBFFE" w14:textId="77777777" w:rsidR="003F26DA" w:rsidRPr="00B427EC" w:rsidRDefault="003F26DA">
            <w:pPr>
              <w:pStyle w:val="10Tabletext"/>
            </w:pPr>
            <w:r w:rsidRPr="00B427EC">
              <w:t>Greater Western Water</w:t>
            </w:r>
          </w:p>
        </w:tc>
        <w:tc>
          <w:tcPr>
            <w:tcW w:w="1439" w:type="dxa"/>
          </w:tcPr>
          <w:p w14:paraId="23D5665E"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993</w:t>
            </w:r>
          </w:p>
        </w:tc>
        <w:tc>
          <w:tcPr>
            <w:tcW w:w="1439" w:type="dxa"/>
          </w:tcPr>
          <w:p w14:paraId="4CC4D7A0"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874</w:t>
            </w:r>
          </w:p>
        </w:tc>
        <w:tc>
          <w:tcPr>
            <w:tcW w:w="1439" w:type="dxa"/>
          </w:tcPr>
          <w:p w14:paraId="3690E6CC"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4,190</w:t>
            </w:r>
          </w:p>
        </w:tc>
        <w:tc>
          <w:tcPr>
            <w:tcW w:w="1439" w:type="dxa"/>
          </w:tcPr>
          <w:p w14:paraId="6FF2F97F" w14:textId="77777777" w:rsidR="003F26DA" w:rsidRPr="00B427EC" w:rsidRDefault="003F26DA">
            <w:pPr>
              <w:pStyle w:val="10Tabletext"/>
              <w:jc w:val="right"/>
              <w:cnfStyle w:val="000000000000" w:firstRow="0" w:lastRow="0" w:firstColumn="0" w:lastColumn="0" w:oddVBand="0" w:evenVBand="0" w:oddHBand="0" w:evenHBand="0" w:firstRowFirstColumn="0" w:firstRowLastColumn="0" w:lastRowFirstColumn="0" w:lastRowLastColumn="0"/>
            </w:pPr>
            <w:r>
              <w:t>3,100</w:t>
            </w:r>
          </w:p>
        </w:tc>
      </w:tr>
      <w:tr w:rsidR="003F26DA" w:rsidRPr="008035B1" w14:paraId="26229D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3" w:type="dxa"/>
          </w:tcPr>
          <w:p w14:paraId="43C9B853" w14:textId="77777777" w:rsidR="003F26DA" w:rsidRPr="00B427EC" w:rsidRDefault="003F26DA">
            <w:pPr>
              <w:pStyle w:val="10Tabletext"/>
            </w:pPr>
            <w:r>
              <w:t>Suburban Rail Loop Authority</w:t>
            </w:r>
          </w:p>
        </w:tc>
        <w:tc>
          <w:tcPr>
            <w:tcW w:w="1439" w:type="dxa"/>
          </w:tcPr>
          <w:p w14:paraId="2CB11422" w14:textId="77777777" w:rsidR="003F26DA"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131</w:t>
            </w:r>
          </w:p>
        </w:tc>
        <w:tc>
          <w:tcPr>
            <w:tcW w:w="1439" w:type="dxa"/>
          </w:tcPr>
          <w:p w14:paraId="205E16DF" w14:textId="77777777" w:rsidR="003F26DA"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131</w:t>
            </w:r>
          </w:p>
        </w:tc>
        <w:tc>
          <w:tcPr>
            <w:tcW w:w="1439" w:type="dxa"/>
          </w:tcPr>
          <w:p w14:paraId="54A03D88" w14:textId="77777777" w:rsidR="003F26DA"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2,829</w:t>
            </w:r>
          </w:p>
        </w:tc>
        <w:tc>
          <w:tcPr>
            <w:tcW w:w="1439" w:type="dxa"/>
          </w:tcPr>
          <w:p w14:paraId="2265600D" w14:textId="77777777" w:rsidR="003F26DA" w:rsidRDefault="003F26DA">
            <w:pPr>
              <w:pStyle w:val="10Tabletext"/>
              <w:jc w:val="right"/>
              <w:cnfStyle w:val="000000100000" w:firstRow="0" w:lastRow="0" w:firstColumn="0" w:lastColumn="0" w:oddVBand="0" w:evenVBand="0" w:oddHBand="1" w:evenHBand="0" w:firstRowFirstColumn="0" w:firstRowLastColumn="0" w:lastRowFirstColumn="0" w:lastRowLastColumn="0"/>
            </w:pPr>
            <w:r>
              <w:t>203</w:t>
            </w:r>
          </w:p>
        </w:tc>
      </w:tr>
    </w:tbl>
    <w:p w14:paraId="190C9B77" w14:textId="77777777" w:rsidR="003F26DA" w:rsidRDefault="003F26DA">
      <w:pPr>
        <w:pStyle w:val="09Sourcesandnotesfortablesfiguresboxes"/>
      </w:pPr>
      <w:r>
        <w:t>Note: (a) Includes entities based on ‘controlled’ revenue, expenditure, assets and liabilities.</w:t>
      </w:r>
    </w:p>
    <w:p w14:paraId="13B4DD7B" w14:textId="49460379" w:rsidR="003F26DA" w:rsidRDefault="003F26DA">
      <w:pPr>
        <w:pStyle w:val="09Sourcesandnotesfortablesfiguresboxes"/>
      </w:pPr>
      <w:r w:rsidRPr="001A293E">
        <w:t>Source: VAGO (2024),</w:t>
      </w:r>
      <w:r w:rsidR="00081C86" w:rsidRPr="003C6AC7">
        <w:t xml:space="preserve"> </w:t>
      </w:r>
      <w:r w:rsidRPr="003C6AC7">
        <w:t>pp. D1</w:t>
      </w:r>
      <w:r w:rsidRPr="003C6AC7">
        <w:noBreakHyphen/>
        <w:t>D3.</w:t>
      </w:r>
    </w:p>
    <w:p w14:paraId="1CA16278" w14:textId="77777777" w:rsidR="003F26DA" w:rsidRDefault="003F26DA">
      <w:pPr>
        <w:pStyle w:val="03VIRTHeading3"/>
      </w:pPr>
      <w:r>
        <w:t xml:space="preserve">There have been changes to public entities since the Tribunal’s 2020 Determination </w:t>
      </w:r>
    </w:p>
    <w:p w14:paraId="764B6491" w14:textId="77777777" w:rsidR="003F26DA" w:rsidRDefault="003F26DA">
      <w:pPr>
        <w:pStyle w:val="05Paragraph"/>
      </w:pPr>
      <w:r>
        <w:t>In the past four years, several public entities have been established, renamed, or abolished. For example:</w:t>
      </w:r>
    </w:p>
    <w:p w14:paraId="455DF9C0" w14:textId="77777777" w:rsidR="003F26DA" w:rsidRDefault="003F26DA" w:rsidP="003F26DA">
      <w:pPr>
        <w:pStyle w:val="06VIRTBulletpoints"/>
        <w:ind w:left="357" w:hanging="357"/>
      </w:pPr>
      <w:r>
        <w:t xml:space="preserve">The </w:t>
      </w:r>
      <w:r w:rsidRPr="00CF0FE4">
        <w:rPr>
          <w:b/>
          <w:bCs/>
        </w:rPr>
        <w:t>Suburban Rail Loop Authority</w:t>
      </w:r>
      <w:r>
        <w:t xml:space="preserve"> was established in 2019 as an AO under the then Department of </w:t>
      </w:r>
      <w:proofErr w:type="gramStart"/>
      <w:r>
        <w:t>Transport, and</w:t>
      </w:r>
      <w:proofErr w:type="gramEnd"/>
      <w:r>
        <w:t xml:space="preserve"> became a statutory authority in 2021 under the </w:t>
      </w:r>
      <w:r w:rsidRPr="00CF0FE4">
        <w:rPr>
          <w:i/>
          <w:iCs/>
        </w:rPr>
        <w:t>Suburban Rail Loop Act 2021</w:t>
      </w:r>
      <w:r>
        <w:t xml:space="preserve"> (Vic).</w:t>
      </w:r>
      <w:r>
        <w:rPr>
          <w:rStyle w:val="FootnoteReference"/>
        </w:rPr>
        <w:footnoteReference w:id="47"/>
      </w:r>
    </w:p>
    <w:p w14:paraId="414303F5" w14:textId="77777777" w:rsidR="003F26DA" w:rsidRDefault="003F26DA" w:rsidP="003F26DA">
      <w:pPr>
        <w:pStyle w:val="06VIRTBulletpoints"/>
        <w:ind w:left="357" w:hanging="357"/>
      </w:pPr>
      <w:r>
        <w:t xml:space="preserve">The </w:t>
      </w:r>
      <w:proofErr w:type="gramStart"/>
      <w:r w:rsidRPr="00F32310">
        <w:rPr>
          <w:b/>
          <w:bCs/>
        </w:rPr>
        <w:t>North East</w:t>
      </w:r>
      <w:proofErr w:type="gramEnd"/>
      <w:r w:rsidRPr="00F32310">
        <w:rPr>
          <w:b/>
          <w:bCs/>
        </w:rPr>
        <w:t xml:space="preserve"> Link State Tolling Corporation</w:t>
      </w:r>
      <w:r>
        <w:t xml:space="preserve"> was established on 1 March 2021 as a statutory corporation under the </w:t>
      </w:r>
      <w:r w:rsidRPr="006839FC">
        <w:rPr>
          <w:i/>
          <w:iCs/>
        </w:rPr>
        <w:t>North East Link Act 2020</w:t>
      </w:r>
      <w:r>
        <w:t xml:space="preserve"> (Vic).</w:t>
      </w:r>
      <w:r>
        <w:rPr>
          <w:rStyle w:val="FootnoteReference"/>
        </w:rPr>
        <w:footnoteReference w:id="48"/>
      </w:r>
    </w:p>
    <w:p w14:paraId="42FB933D" w14:textId="77777777" w:rsidR="003F26DA" w:rsidRDefault="003F26DA" w:rsidP="003F26DA">
      <w:pPr>
        <w:pStyle w:val="06VIRTBulletpoints"/>
        <w:ind w:left="357" w:hanging="357"/>
      </w:pPr>
      <w:r w:rsidRPr="00701F50">
        <w:rPr>
          <w:b/>
          <w:bCs/>
        </w:rPr>
        <w:lastRenderedPageBreak/>
        <w:t>Waste and Resource Recovery Groups</w:t>
      </w:r>
      <w:r>
        <w:t xml:space="preserve"> were abolished on 1 July 2022 and their functions became the responsibility of</w:t>
      </w:r>
      <w:r w:rsidRPr="00F051BA">
        <w:t xml:space="preserve"> </w:t>
      </w:r>
      <w:r w:rsidRPr="00C038E6">
        <w:t>Recycling Victoria</w:t>
      </w:r>
      <w:r>
        <w:t xml:space="preserve"> within the Department of Environment, Energy and Climate Action.</w:t>
      </w:r>
      <w:r>
        <w:rPr>
          <w:rStyle w:val="FootnoteReference"/>
        </w:rPr>
        <w:footnoteReference w:id="49"/>
      </w:r>
    </w:p>
    <w:p w14:paraId="484C5EB4" w14:textId="77777777" w:rsidR="003F26DA" w:rsidRDefault="003F26DA" w:rsidP="003F26DA">
      <w:pPr>
        <w:pStyle w:val="06VIRTBulletpoints"/>
        <w:ind w:left="357" w:hanging="357"/>
      </w:pPr>
      <w:r>
        <w:rPr>
          <w:b/>
          <w:bCs/>
        </w:rPr>
        <w:t>Alpine Resorts Victoria</w:t>
      </w:r>
      <w:r>
        <w:t xml:space="preserve"> was established on 1 October 2022, replacing the four Alpine Resort Management Boards and the Alpine Resorts Coordinating Council.</w:t>
      </w:r>
      <w:r>
        <w:rPr>
          <w:rStyle w:val="FootnoteReference"/>
        </w:rPr>
        <w:footnoteReference w:id="50"/>
      </w:r>
    </w:p>
    <w:p w14:paraId="34DA0D89" w14:textId="77777777" w:rsidR="003F26DA" w:rsidRDefault="003F26DA" w:rsidP="003F26DA">
      <w:pPr>
        <w:pStyle w:val="06VIRTBulletpoints"/>
        <w:ind w:left="357" w:hanging="357"/>
      </w:pPr>
      <w:r w:rsidRPr="00114B6B">
        <w:t>The</w:t>
      </w:r>
      <w:r>
        <w:t xml:space="preserve"> Emergency Services Telecommunications Authority was renamed </w:t>
      </w:r>
      <w:r w:rsidRPr="002A1E55">
        <w:rPr>
          <w:b/>
          <w:bCs/>
        </w:rPr>
        <w:t>Triple</w:t>
      </w:r>
      <w:r>
        <w:rPr>
          <w:b/>
          <w:bCs/>
        </w:rPr>
        <w:t> </w:t>
      </w:r>
      <w:r w:rsidRPr="002A1E55">
        <w:rPr>
          <w:b/>
          <w:bCs/>
        </w:rPr>
        <w:t>Zero Victoria</w:t>
      </w:r>
      <w:r>
        <w:t xml:space="preserve"> and established as a new statutory authority in 2023.</w:t>
      </w:r>
      <w:r>
        <w:rPr>
          <w:rStyle w:val="FootnoteReference"/>
        </w:rPr>
        <w:footnoteReference w:id="51"/>
      </w:r>
    </w:p>
    <w:p w14:paraId="2C461B0F" w14:textId="04E47863" w:rsidR="003F26DA" w:rsidRPr="00440AE7" w:rsidRDefault="003F26DA" w:rsidP="003F26DA">
      <w:pPr>
        <w:pStyle w:val="06VIRTBulletpoints"/>
        <w:ind w:left="357" w:hanging="357"/>
      </w:pPr>
      <w:r>
        <w:t xml:space="preserve">The </w:t>
      </w:r>
      <w:r w:rsidRPr="00F42C83">
        <w:rPr>
          <w:b/>
          <w:bCs/>
        </w:rPr>
        <w:t>Social Services Regulator</w:t>
      </w:r>
      <w:r>
        <w:t xml:space="preserve"> was established in February 2024 and will progressively assume responsibility for regulating </w:t>
      </w:r>
      <w:r w:rsidR="0018376D">
        <w:t xml:space="preserve">the provision of </w:t>
      </w:r>
      <w:r w:rsidR="00EF6351">
        <w:t xml:space="preserve">certain </w:t>
      </w:r>
      <w:r w:rsidR="00C301FA">
        <w:t xml:space="preserve">social </w:t>
      </w:r>
      <w:r w:rsidR="0018376D">
        <w:t>services</w:t>
      </w:r>
      <w:r w:rsidR="009C70B5">
        <w:t xml:space="preserve">, including those </w:t>
      </w:r>
      <w:r w:rsidR="008B7F3D">
        <w:t>relating to</w:t>
      </w:r>
      <w:r w:rsidR="0018376D">
        <w:t xml:space="preserve"> </w:t>
      </w:r>
      <w:r>
        <w:t>child protection, family violence, homelessness</w:t>
      </w:r>
      <w:r w:rsidR="00245CC8">
        <w:t xml:space="preserve"> and</w:t>
      </w:r>
      <w:r>
        <w:t xml:space="preserve"> sexual assault.</w:t>
      </w:r>
      <w:r>
        <w:rPr>
          <w:rStyle w:val="FootnoteReference"/>
        </w:rPr>
        <w:footnoteReference w:id="52"/>
      </w:r>
    </w:p>
    <w:p w14:paraId="1888E392" w14:textId="77777777" w:rsidR="003F26DA" w:rsidRDefault="003F26DA" w:rsidP="003F26DA">
      <w:pPr>
        <w:pStyle w:val="06VIRTBulletpoints"/>
        <w:ind w:left="357" w:hanging="357"/>
      </w:pPr>
      <w:proofErr w:type="spellStart"/>
      <w:r w:rsidRPr="00015AD4">
        <w:rPr>
          <w:b/>
          <w:bCs/>
        </w:rPr>
        <w:t>VicForests</w:t>
      </w:r>
      <w:proofErr w:type="spellEnd"/>
      <w:r>
        <w:t xml:space="preserve"> and the </w:t>
      </w:r>
      <w:r w:rsidRPr="004568F5">
        <w:rPr>
          <w:b/>
          <w:bCs/>
        </w:rPr>
        <w:t xml:space="preserve">Victorian </w:t>
      </w:r>
      <w:r>
        <w:rPr>
          <w:b/>
          <w:bCs/>
        </w:rPr>
        <w:t>Responsible Gambling Foundation</w:t>
      </w:r>
      <w:r>
        <w:t xml:space="preserve"> were both abolished on 30 June 2024 with all rights, property, and liabilities transferred to the State.</w:t>
      </w:r>
      <w:r>
        <w:rPr>
          <w:rStyle w:val="FootnoteReference"/>
        </w:rPr>
        <w:footnoteReference w:id="53"/>
      </w:r>
    </w:p>
    <w:p w14:paraId="568F18B3" w14:textId="77777777" w:rsidR="003F26DA" w:rsidRDefault="003F26DA">
      <w:pPr>
        <w:pStyle w:val="03VIRTHeading3"/>
      </w:pPr>
      <w:r>
        <w:t>The size and scope of public entities continues to vary significantly</w:t>
      </w:r>
    </w:p>
    <w:p w14:paraId="4AB381DD" w14:textId="77777777" w:rsidR="003F26DA" w:rsidRPr="008035B1" w:rsidRDefault="003F26DA">
      <w:pPr>
        <w:pStyle w:val="05Paragraph"/>
      </w:pPr>
      <w:r w:rsidRPr="008035B1">
        <w:t xml:space="preserve">Prescribed public entities vary widely in size and scope, ranging from </w:t>
      </w:r>
      <w:r>
        <w:t xml:space="preserve">smaller entities </w:t>
      </w:r>
      <w:r w:rsidRPr="008035B1">
        <w:t>with few employees</w:t>
      </w:r>
      <w:r>
        <w:t xml:space="preserve"> — such as the </w:t>
      </w:r>
      <w:r w:rsidRPr="00D01A7C">
        <w:rPr>
          <w:b/>
          <w:bCs/>
        </w:rPr>
        <w:t>Queen Victoria Women’s Centre</w:t>
      </w:r>
      <w:r>
        <w:t xml:space="preserve"> —</w:t>
      </w:r>
      <w:r w:rsidRPr="008035B1">
        <w:t xml:space="preserve"> to large </w:t>
      </w:r>
      <w:r>
        <w:t xml:space="preserve">service delivery, infrastructure and </w:t>
      </w:r>
      <w:r w:rsidRPr="008035B1">
        <w:t xml:space="preserve">financial </w:t>
      </w:r>
      <w:r>
        <w:t xml:space="preserve">services entities </w:t>
      </w:r>
      <w:r w:rsidRPr="008035B1">
        <w:t>overseeing billions of dollars in assets and hundreds of employees. Below is a brief description of each sector, and examples of the entities covered by this Determination.</w:t>
      </w:r>
    </w:p>
    <w:p w14:paraId="6389D845" w14:textId="77777777" w:rsidR="003F26DA" w:rsidRPr="008035B1" w:rsidRDefault="003F26DA">
      <w:pPr>
        <w:pStyle w:val="04VIRTheading4"/>
      </w:pPr>
      <w:r w:rsidRPr="008035B1">
        <w:t>Arts</w:t>
      </w:r>
    </w:p>
    <w:p w14:paraId="3A3AB8DE" w14:textId="77777777" w:rsidR="003F26DA" w:rsidRDefault="003F26DA">
      <w:pPr>
        <w:pStyle w:val="05Paragraph"/>
      </w:pPr>
      <w:r w:rsidRPr="008035B1">
        <w:t xml:space="preserve">Entities in this sector </w:t>
      </w:r>
      <w:r>
        <w:t xml:space="preserve">support </w:t>
      </w:r>
      <w:r w:rsidRPr="008035B1">
        <w:t xml:space="preserve">Victoria’s cultural landscape, fostering creativity and promoting artistic expression. For example, </w:t>
      </w:r>
      <w:r w:rsidRPr="008035B1">
        <w:rPr>
          <w:b/>
          <w:bCs/>
        </w:rPr>
        <w:t>The</w:t>
      </w:r>
      <w:r>
        <w:rPr>
          <w:b/>
          <w:bCs/>
        </w:rPr>
        <w:t> </w:t>
      </w:r>
      <w:r w:rsidRPr="008035B1">
        <w:rPr>
          <w:b/>
          <w:bCs/>
        </w:rPr>
        <w:t>Wheeler</w:t>
      </w:r>
      <w:r>
        <w:rPr>
          <w:b/>
          <w:bCs/>
        </w:rPr>
        <w:t> </w:t>
      </w:r>
      <w:r w:rsidRPr="008035B1">
        <w:rPr>
          <w:b/>
          <w:bCs/>
        </w:rPr>
        <w:t>Centre</w:t>
      </w:r>
      <w:r w:rsidRPr="008035B1">
        <w:t xml:space="preserve"> serves as a hub for literary and cultural events, while the </w:t>
      </w:r>
      <w:r w:rsidRPr="008035B1">
        <w:rPr>
          <w:b/>
          <w:bCs/>
        </w:rPr>
        <w:t>Victorian Arts Centre Trust</w:t>
      </w:r>
      <w:r w:rsidRPr="008035B1">
        <w:t xml:space="preserve"> oversees a major complex of theatres and concert halls that are home to institutions like </w:t>
      </w:r>
      <w:r>
        <w:t>t</w:t>
      </w:r>
      <w:r w:rsidRPr="008035B1">
        <w:t>he Australian Ballet</w:t>
      </w:r>
      <w:r>
        <w:t xml:space="preserve"> and the </w:t>
      </w:r>
      <w:r w:rsidRPr="008035B1">
        <w:t>Melbourne Symphony Orchestra.</w:t>
      </w:r>
      <w:r>
        <w:rPr>
          <w:rStyle w:val="FootnoteReference"/>
        </w:rPr>
        <w:footnoteReference w:id="54"/>
      </w:r>
    </w:p>
    <w:p w14:paraId="79D2E267" w14:textId="77777777" w:rsidR="003F26DA" w:rsidRDefault="003F26DA">
      <w:pPr>
        <w:pStyle w:val="04VIRTheading4"/>
      </w:pPr>
      <w:r>
        <w:lastRenderedPageBreak/>
        <w:t>Catchment management</w:t>
      </w:r>
    </w:p>
    <w:p w14:paraId="2A448DBE" w14:textId="77777777" w:rsidR="003F26DA" w:rsidRPr="008035B1" w:rsidRDefault="003F26DA">
      <w:pPr>
        <w:pStyle w:val="05Paragraph"/>
      </w:pPr>
      <w:r>
        <w:t xml:space="preserve">Catchment Management Authorities — such the </w:t>
      </w:r>
      <w:r w:rsidRPr="00F00F79">
        <w:rPr>
          <w:b/>
          <w:bCs/>
        </w:rPr>
        <w:t>West Gippsland Catchment Management Authority</w:t>
      </w:r>
      <w:r>
        <w:t xml:space="preserve"> — are responsible for planning and coordinating land, water and biodiversity activities within catchment and land protection regions.</w:t>
      </w:r>
      <w:r>
        <w:rPr>
          <w:rStyle w:val="FootnoteReference"/>
        </w:rPr>
        <w:footnoteReference w:id="55"/>
      </w:r>
    </w:p>
    <w:p w14:paraId="22FE8379" w14:textId="77777777" w:rsidR="003F26DA" w:rsidRPr="008035B1" w:rsidRDefault="003F26DA">
      <w:pPr>
        <w:pStyle w:val="04VIRTheading4"/>
      </w:pPr>
      <w:r w:rsidRPr="008035B1">
        <w:t>Cemetery trusts</w:t>
      </w:r>
    </w:p>
    <w:p w14:paraId="19067D72" w14:textId="77777777" w:rsidR="003F26DA" w:rsidRPr="008035B1" w:rsidRDefault="003F26DA">
      <w:pPr>
        <w:pStyle w:val="05Paragraph"/>
      </w:pPr>
      <w:r w:rsidRPr="008035B1">
        <w:t xml:space="preserve">This sector includes all Class A Cemetery Trusts under the </w:t>
      </w:r>
      <w:r w:rsidRPr="008035B1">
        <w:rPr>
          <w:i/>
          <w:iCs/>
        </w:rPr>
        <w:t>Cemeteries and Crematoria Act 2003</w:t>
      </w:r>
      <w:r w:rsidRPr="008035B1">
        <w:t xml:space="preserve"> (Vic). These trusts manage and maintain Victoria’s largest public cemeteries and memorial parks, such as the </w:t>
      </w:r>
      <w:r w:rsidRPr="008035B1">
        <w:rPr>
          <w:b/>
          <w:bCs/>
        </w:rPr>
        <w:t>Greater Metropolitan Cemeteries Trust</w:t>
      </w:r>
      <w:r w:rsidRPr="008035B1">
        <w:t xml:space="preserve">, </w:t>
      </w:r>
      <w:r>
        <w:t>which</w:t>
      </w:r>
      <w:r w:rsidRPr="008035B1">
        <w:t xml:space="preserve"> oversee</w:t>
      </w:r>
      <w:r>
        <w:t>s</w:t>
      </w:r>
      <w:r w:rsidRPr="008035B1">
        <w:t xml:space="preserve"> 19 locations across Melbourne.</w:t>
      </w:r>
      <w:r>
        <w:rPr>
          <w:rStyle w:val="FootnoteReference"/>
        </w:rPr>
        <w:footnoteReference w:id="56"/>
      </w:r>
    </w:p>
    <w:p w14:paraId="290732A4" w14:textId="77777777" w:rsidR="003F26DA" w:rsidRPr="008035B1" w:rsidRDefault="003F26DA">
      <w:pPr>
        <w:pStyle w:val="04VIRTheading4"/>
      </w:pPr>
      <w:r w:rsidRPr="008035B1">
        <w:t>Commercialisation</w:t>
      </w:r>
    </w:p>
    <w:p w14:paraId="142E8836" w14:textId="77777777" w:rsidR="003F26DA" w:rsidRPr="008035B1" w:rsidRDefault="003F26DA">
      <w:pPr>
        <w:pStyle w:val="05Paragraph"/>
      </w:pPr>
      <w:r w:rsidRPr="008035B1">
        <w:t xml:space="preserve">Entities in this sector focus on </w:t>
      </w:r>
      <w:r>
        <w:t xml:space="preserve">supporting </w:t>
      </w:r>
      <w:r w:rsidRPr="008035B1">
        <w:t xml:space="preserve">innovation and economic growth. </w:t>
      </w:r>
      <w:r>
        <w:t>Examples are</w:t>
      </w:r>
      <w:r w:rsidRPr="008035B1">
        <w:t xml:space="preserve"> </w:t>
      </w:r>
      <w:r w:rsidRPr="008035B1">
        <w:rPr>
          <w:b/>
          <w:bCs/>
        </w:rPr>
        <w:t>Breakthrough Victoria</w:t>
      </w:r>
      <w:r w:rsidRPr="008035B1">
        <w:t xml:space="preserve">, which invests in new technologies </w:t>
      </w:r>
      <w:r>
        <w:t xml:space="preserve">and businesses </w:t>
      </w:r>
      <w:r w:rsidRPr="008035B1">
        <w:t xml:space="preserve">to strengthen Victoria’s innovation ecosystem, and </w:t>
      </w:r>
      <w:r w:rsidRPr="008035B1">
        <w:rPr>
          <w:b/>
          <w:bCs/>
        </w:rPr>
        <w:t>Agriculture Victoria Services</w:t>
      </w:r>
      <w:r w:rsidRPr="008035B1">
        <w:t>, which commercialises technologies developed by the Department of Energy, Environment and Climate Action.</w:t>
      </w:r>
      <w:r>
        <w:rPr>
          <w:rStyle w:val="FootnoteReference"/>
        </w:rPr>
        <w:footnoteReference w:id="57"/>
      </w:r>
    </w:p>
    <w:p w14:paraId="582C2FCC" w14:textId="77777777" w:rsidR="003F26DA" w:rsidRPr="008035B1" w:rsidRDefault="003F26DA">
      <w:pPr>
        <w:pStyle w:val="04VIRTheading4"/>
      </w:pPr>
      <w:r w:rsidRPr="008035B1">
        <w:t>Community service</w:t>
      </w:r>
    </w:p>
    <w:p w14:paraId="32327715" w14:textId="77777777" w:rsidR="003F26DA" w:rsidRPr="008035B1" w:rsidRDefault="003F26DA">
      <w:pPr>
        <w:pStyle w:val="05Paragraph"/>
      </w:pPr>
      <w:r w:rsidRPr="008035B1">
        <w:t xml:space="preserve">Entities in this sector are dedicated to </w:t>
      </w:r>
      <w:r>
        <w:t xml:space="preserve">improving </w:t>
      </w:r>
      <w:r w:rsidRPr="008035B1">
        <w:t xml:space="preserve">access to </w:t>
      </w:r>
      <w:r>
        <w:t>important</w:t>
      </w:r>
      <w:r w:rsidRPr="008035B1">
        <w:t xml:space="preserve"> services and supporting community wellbeing. For instance, the </w:t>
      </w:r>
      <w:r w:rsidRPr="008035B1">
        <w:rPr>
          <w:b/>
          <w:bCs/>
        </w:rPr>
        <w:t>Victorian Law Foundation</w:t>
      </w:r>
      <w:r w:rsidRPr="008035B1">
        <w:t xml:space="preserve"> works to improve public understanding of the legal system, while </w:t>
      </w:r>
      <w:proofErr w:type="spellStart"/>
      <w:r w:rsidRPr="008035B1">
        <w:rPr>
          <w:b/>
          <w:bCs/>
        </w:rPr>
        <w:t>LanguageLoop</w:t>
      </w:r>
      <w:proofErr w:type="spellEnd"/>
      <w:r w:rsidRPr="008035B1">
        <w:rPr>
          <w:b/>
          <w:bCs/>
        </w:rPr>
        <w:t xml:space="preserve"> </w:t>
      </w:r>
      <w:r w:rsidRPr="008035B1">
        <w:t>(formerly the Victorian Interpreting and Translating Service) provides language services to Victorians with limited English proficiency, ensuring they can engage with public services and community life.</w:t>
      </w:r>
      <w:r>
        <w:rPr>
          <w:rStyle w:val="FootnoteReference"/>
        </w:rPr>
        <w:footnoteReference w:id="58"/>
      </w:r>
    </w:p>
    <w:p w14:paraId="550F2F87" w14:textId="77777777" w:rsidR="003F26DA" w:rsidRPr="008035B1" w:rsidRDefault="003F26DA">
      <w:pPr>
        <w:pStyle w:val="04VIRTheading4"/>
      </w:pPr>
      <w:r w:rsidRPr="008035B1">
        <w:t>Emergency services</w:t>
      </w:r>
    </w:p>
    <w:p w14:paraId="429F3226" w14:textId="77777777" w:rsidR="003F26DA" w:rsidRPr="008035B1" w:rsidRDefault="003F26DA">
      <w:pPr>
        <w:pStyle w:val="05Paragraph"/>
      </w:pPr>
      <w:r w:rsidRPr="008035B1">
        <w:t>Entities in this sector include</w:t>
      </w:r>
      <w:r>
        <w:t xml:space="preserve"> the </w:t>
      </w:r>
      <w:r w:rsidRPr="00822BFF">
        <w:rPr>
          <w:b/>
          <w:bCs/>
        </w:rPr>
        <w:t>CFA</w:t>
      </w:r>
      <w:r>
        <w:t xml:space="preserve">, which </w:t>
      </w:r>
      <w:r w:rsidRPr="008035B1">
        <w:t>provide</w:t>
      </w:r>
      <w:r>
        <w:t>s</w:t>
      </w:r>
      <w:r w:rsidRPr="008035B1">
        <w:t xml:space="preserve"> essential fire, rescue and emergency response services, with </w:t>
      </w:r>
      <w:r w:rsidRPr="008035B1">
        <w:rPr>
          <w:b/>
          <w:bCs/>
        </w:rPr>
        <w:t>Triple Zero Victoria</w:t>
      </w:r>
      <w:r w:rsidRPr="008035B1">
        <w:t xml:space="preserve"> handling 24-hour emergency call-taking, dispatch and communications for all emergency services.</w:t>
      </w:r>
      <w:r>
        <w:rPr>
          <w:rStyle w:val="FootnoteReference"/>
        </w:rPr>
        <w:footnoteReference w:id="59"/>
      </w:r>
    </w:p>
    <w:p w14:paraId="7053A90E" w14:textId="77777777" w:rsidR="003F26DA" w:rsidRPr="008035B1" w:rsidRDefault="003F26DA">
      <w:pPr>
        <w:pStyle w:val="04VIRTheading4"/>
      </w:pPr>
      <w:r w:rsidRPr="008035B1">
        <w:lastRenderedPageBreak/>
        <w:t>Facilities management</w:t>
      </w:r>
    </w:p>
    <w:p w14:paraId="54896257" w14:textId="6898A66A" w:rsidR="003F26DA" w:rsidRDefault="003F26DA">
      <w:pPr>
        <w:pStyle w:val="05Paragraph"/>
      </w:pPr>
      <w:r w:rsidRPr="008035B1">
        <w:t xml:space="preserve">Entities in this sector are responsible for the upkeep, operation and strategic development of some of Victoria’s </w:t>
      </w:r>
      <w:r>
        <w:t>important</w:t>
      </w:r>
      <w:r w:rsidRPr="008035B1">
        <w:t xml:space="preserve"> public spaces and infrastructure. These organisations manage a wide variety of facilities, ranging from cultural </w:t>
      </w:r>
      <w:r>
        <w:t>site</w:t>
      </w:r>
      <w:r w:rsidRPr="008035B1">
        <w:t xml:space="preserve">s and memorials to </w:t>
      </w:r>
      <w:r>
        <w:t>commercial activities</w:t>
      </w:r>
      <w:r w:rsidRPr="008035B1">
        <w:t xml:space="preserve">. For example, the </w:t>
      </w:r>
      <w:r w:rsidRPr="00B46FD4">
        <w:rPr>
          <w:b/>
          <w:bCs/>
        </w:rPr>
        <w:t>Shrine of Remembrance Trust</w:t>
      </w:r>
      <w:r w:rsidRPr="00D2166D">
        <w:t xml:space="preserve"> manages one of </w:t>
      </w:r>
      <w:r w:rsidR="00266682">
        <w:t>Victoria’s</w:t>
      </w:r>
      <w:r w:rsidRPr="00D2166D">
        <w:t xml:space="preserve"> most significant memorials</w:t>
      </w:r>
      <w:r>
        <w:t>, while the</w:t>
      </w:r>
      <w:r w:rsidRPr="008035B1">
        <w:rPr>
          <w:b/>
          <w:bCs/>
        </w:rPr>
        <w:t xml:space="preserve"> Melbourne Market Authority</w:t>
      </w:r>
      <w:r w:rsidRPr="008035B1">
        <w:t xml:space="preserve"> oversees the </w:t>
      </w:r>
      <w:r w:rsidR="009964A1">
        <w:t>Victoria’s</w:t>
      </w:r>
      <w:r w:rsidRPr="008035B1">
        <w:t xml:space="preserve"> wholesale fruit, vegetable and flower markets</w:t>
      </w:r>
      <w:r>
        <w:t xml:space="preserve"> and </w:t>
      </w:r>
      <w:r w:rsidRPr="0059451D">
        <w:rPr>
          <w:b/>
          <w:bCs/>
        </w:rPr>
        <w:t>Docklands Studios Melbourne</w:t>
      </w:r>
      <w:r>
        <w:t xml:space="preserve"> operates sound stages for film and television production.</w:t>
      </w:r>
      <w:r>
        <w:rPr>
          <w:rStyle w:val="FootnoteReference"/>
        </w:rPr>
        <w:footnoteReference w:id="60"/>
      </w:r>
    </w:p>
    <w:p w14:paraId="358E7EF2" w14:textId="77777777" w:rsidR="003F26DA" w:rsidRPr="008035B1" w:rsidRDefault="003F26DA">
      <w:pPr>
        <w:pStyle w:val="04VIRTheading4"/>
      </w:pPr>
      <w:r w:rsidRPr="008035B1">
        <w:t>Finance and insurance</w:t>
      </w:r>
    </w:p>
    <w:p w14:paraId="36A8CD80" w14:textId="77777777" w:rsidR="003F26DA" w:rsidRPr="008035B1" w:rsidRDefault="003F26DA">
      <w:pPr>
        <w:pStyle w:val="05Paragraph"/>
      </w:pPr>
      <w:r w:rsidRPr="008035B1">
        <w:t>This sector includes nine entities</w:t>
      </w:r>
      <w:r>
        <w:t xml:space="preserve"> that principally provide services to either the community (for example, </w:t>
      </w:r>
      <w:r w:rsidRPr="004102A8">
        <w:rPr>
          <w:b/>
          <w:bCs/>
        </w:rPr>
        <w:t>State Trustees Limited</w:t>
      </w:r>
      <w:r w:rsidRPr="00F94D00">
        <w:t xml:space="preserve"> provid</w:t>
      </w:r>
      <w:r>
        <w:t>es</w:t>
      </w:r>
      <w:r w:rsidRPr="00F94D00">
        <w:t xml:space="preserve"> administration, trustee and estate-related services</w:t>
      </w:r>
      <w:r>
        <w:t xml:space="preserve">) or to other public sector entities (for example, the </w:t>
      </w:r>
      <w:r w:rsidRPr="00300CD8">
        <w:rPr>
          <w:b/>
          <w:bCs/>
        </w:rPr>
        <w:t>Treasury Corporation of Victoria</w:t>
      </w:r>
      <w:r w:rsidRPr="004102A8">
        <w:t xml:space="preserve"> </w:t>
      </w:r>
      <w:r>
        <w:t xml:space="preserve">(TCV) </w:t>
      </w:r>
      <w:r w:rsidRPr="004102A8">
        <w:t>provides loans, short-term investment and financial advisory services for state and local government clients</w:t>
      </w:r>
      <w:r>
        <w:t>).</w:t>
      </w:r>
      <w:r>
        <w:rPr>
          <w:rStyle w:val="FootnoteReference"/>
        </w:rPr>
        <w:footnoteReference w:id="61"/>
      </w:r>
    </w:p>
    <w:p w14:paraId="04E07B33" w14:textId="77777777" w:rsidR="003F26DA" w:rsidRPr="008035B1" w:rsidRDefault="003F26DA">
      <w:pPr>
        <w:pStyle w:val="04VIRTheading4"/>
      </w:pPr>
      <w:r w:rsidRPr="008035B1">
        <w:t>Health</w:t>
      </w:r>
    </w:p>
    <w:p w14:paraId="32E302E2" w14:textId="67003A80" w:rsidR="003F26DA" w:rsidRDefault="003F26DA">
      <w:pPr>
        <w:pStyle w:val="05Paragraph"/>
      </w:pPr>
      <w:r w:rsidRPr="008035B1">
        <w:t xml:space="preserve">Entities in this sector play a vital role in safeguarding public health, ranging from life-saving screenings to managing health purchasing and promoting public wellbeing. For instance, the </w:t>
      </w:r>
      <w:r w:rsidRPr="008035B1">
        <w:rPr>
          <w:b/>
          <w:bCs/>
        </w:rPr>
        <w:t>Victorian Health Promotion Foundation</w:t>
      </w:r>
      <w:r w:rsidRPr="008035B1">
        <w:t xml:space="preserve"> advances public health through research, policy initiatives and health promotion campaigns.</w:t>
      </w:r>
      <w:r>
        <w:rPr>
          <w:rStyle w:val="FootnoteReference"/>
        </w:rPr>
        <w:footnoteReference w:id="62"/>
      </w:r>
      <w:r w:rsidRPr="008035B1">
        <w:t xml:space="preserve"> </w:t>
      </w:r>
    </w:p>
    <w:p w14:paraId="49F26A26" w14:textId="77777777" w:rsidR="003F26DA" w:rsidRDefault="003F26DA">
      <w:pPr>
        <w:pStyle w:val="05Paragraph"/>
      </w:pPr>
      <w:r w:rsidRPr="008035B1">
        <w:t xml:space="preserve">Most executives in public healthcare entities, particularly in public hospitals, are governed by the </w:t>
      </w:r>
      <w:r w:rsidRPr="008035B1">
        <w:rPr>
          <w:i/>
          <w:iCs/>
        </w:rPr>
        <w:t>Health Services Act 1988</w:t>
      </w:r>
      <w:r w:rsidRPr="008035B1">
        <w:t xml:space="preserve"> (Vic) and fall outside the scope of this Determination.</w:t>
      </w:r>
    </w:p>
    <w:p w14:paraId="73DF09AB" w14:textId="77777777" w:rsidR="003F26DA" w:rsidRDefault="003F26DA">
      <w:pPr>
        <w:pStyle w:val="04VIRTheading4"/>
      </w:pPr>
      <w:r>
        <w:t>L</w:t>
      </w:r>
      <w:r w:rsidRPr="008035B1">
        <w:t>and management</w:t>
      </w:r>
    </w:p>
    <w:p w14:paraId="4E82EB78" w14:textId="4F890A10" w:rsidR="003F26DA" w:rsidRPr="008035B1" w:rsidRDefault="003F26DA">
      <w:pPr>
        <w:pStyle w:val="05Paragraph"/>
      </w:pPr>
      <w:r>
        <w:t xml:space="preserve">Land management entities include, for example, </w:t>
      </w:r>
      <w:r w:rsidRPr="00531758">
        <w:rPr>
          <w:b/>
          <w:bCs/>
        </w:rPr>
        <w:t>Parks Victoria</w:t>
      </w:r>
      <w:r>
        <w:t xml:space="preserve"> and </w:t>
      </w:r>
      <w:r w:rsidRPr="00531758">
        <w:rPr>
          <w:b/>
          <w:bCs/>
        </w:rPr>
        <w:t>Gippsland</w:t>
      </w:r>
      <w:r>
        <w:t xml:space="preserve"> </w:t>
      </w:r>
      <w:r w:rsidRPr="00300CD8">
        <w:rPr>
          <w:b/>
          <w:bCs/>
        </w:rPr>
        <w:t>Ports</w:t>
      </w:r>
      <w:r w:rsidR="00C86409" w:rsidRPr="00750193">
        <w:t>,</w:t>
      </w:r>
      <w:r>
        <w:t xml:space="preserve"> which are responsible for directly managing the use and protection of public land and waterways</w:t>
      </w:r>
      <w:r w:rsidR="00C779F8">
        <w:t xml:space="preserve"> respectively</w:t>
      </w:r>
      <w:r>
        <w:t xml:space="preserve">. The </w:t>
      </w:r>
      <w:r w:rsidRPr="00531758">
        <w:rPr>
          <w:b/>
          <w:bCs/>
        </w:rPr>
        <w:t>Trust for Nature</w:t>
      </w:r>
      <w:r>
        <w:t xml:space="preserve"> also undertakes land management activities by working with private landowners to protect and restore habitats for native wildlife and plants.</w:t>
      </w:r>
      <w:r>
        <w:rPr>
          <w:rStyle w:val="FootnoteReference"/>
        </w:rPr>
        <w:footnoteReference w:id="63"/>
      </w:r>
    </w:p>
    <w:p w14:paraId="0F90284C" w14:textId="77777777" w:rsidR="003F26DA" w:rsidRPr="00186132" w:rsidRDefault="003F26DA">
      <w:pPr>
        <w:pStyle w:val="04VIRTheading4"/>
      </w:pPr>
      <w:r w:rsidRPr="00186132">
        <w:lastRenderedPageBreak/>
        <w:t>Planning</w:t>
      </w:r>
    </w:p>
    <w:p w14:paraId="2866ACF3" w14:textId="77777777" w:rsidR="003F26DA" w:rsidRDefault="003F26DA">
      <w:pPr>
        <w:pStyle w:val="05Paragraph"/>
      </w:pPr>
      <w:r w:rsidRPr="00186132">
        <w:t xml:space="preserve">Entities in the planning sector include </w:t>
      </w:r>
      <w:r w:rsidRPr="00186132">
        <w:rPr>
          <w:b/>
          <w:bCs/>
        </w:rPr>
        <w:t>Development Victoria</w:t>
      </w:r>
      <w:r w:rsidRPr="00186132">
        <w:t xml:space="preserve">, which undertakes civic and urban renewal projects, while </w:t>
      </w:r>
      <w:r w:rsidRPr="00186132">
        <w:rPr>
          <w:b/>
          <w:bCs/>
        </w:rPr>
        <w:t>Infrastructure Victoria</w:t>
      </w:r>
      <w:r w:rsidRPr="00186132">
        <w:t xml:space="preserve"> is an independent advisory body to the Victorian Government that prepares Victoria’s 30</w:t>
      </w:r>
      <w:r>
        <w:t>-</w:t>
      </w:r>
      <w:r w:rsidRPr="00186132">
        <w:t>year infrastructure strategy.</w:t>
      </w:r>
      <w:r w:rsidRPr="00186132">
        <w:rPr>
          <w:rStyle w:val="FootnoteReference"/>
        </w:rPr>
        <w:footnoteReference w:id="64"/>
      </w:r>
      <w:r>
        <w:t xml:space="preserve"> </w:t>
      </w:r>
    </w:p>
    <w:p w14:paraId="0605A8BE" w14:textId="77777777" w:rsidR="003F26DA" w:rsidRPr="008035B1" w:rsidRDefault="003F26DA">
      <w:pPr>
        <w:pStyle w:val="04VIRTheading4"/>
      </w:pPr>
      <w:r w:rsidRPr="008035B1">
        <w:t>Regulators</w:t>
      </w:r>
    </w:p>
    <w:p w14:paraId="222738EC" w14:textId="77777777" w:rsidR="003F26DA" w:rsidRPr="008035B1" w:rsidRDefault="003F26DA">
      <w:pPr>
        <w:pStyle w:val="05Paragraph"/>
      </w:pPr>
      <w:r w:rsidRPr="008035B1">
        <w:t xml:space="preserve">This sector includes diverse regulators like </w:t>
      </w:r>
      <w:proofErr w:type="spellStart"/>
      <w:r w:rsidRPr="008035B1">
        <w:rPr>
          <w:b/>
          <w:bCs/>
        </w:rPr>
        <w:t>PrimeSafe</w:t>
      </w:r>
      <w:proofErr w:type="spellEnd"/>
      <w:r w:rsidRPr="00DB79E0">
        <w:t>,</w:t>
      </w:r>
      <w:r w:rsidRPr="008035B1">
        <w:t xml:space="preserve"> which ensures the safety and standards of Victoria’s meat, seafood, poultry, and pet meat industries, and the </w:t>
      </w:r>
      <w:r w:rsidRPr="00AA2897">
        <w:rPr>
          <w:b/>
          <w:bCs/>
        </w:rPr>
        <w:t>Workplace Injury Commission</w:t>
      </w:r>
      <w:r w:rsidRPr="00AA2897">
        <w:t xml:space="preserve"> </w:t>
      </w:r>
      <w:r>
        <w:t xml:space="preserve">(formerly the </w:t>
      </w:r>
      <w:r w:rsidRPr="00D90539">
        <w:t>Accident Compensation Conciliation Service</w:t>
      </w:r>
      <w:r w:rsidRPr="008035B1">
        <w:t>), which facilitates the resolution of workplace injury compensation disputes.</w:t>
      </w:r>
      <w:r>
        <w:rPr>
          <w:rStyle w:val="FootnoteReference"/>
        </w:rPr>
        <w:footnoteReference w:id="65"/>
      </w:r>
    </w:p>
    <w:p w14:paraId="55BF7C8A" w14:textId="77777777" w:rsidR="003F26DA" w:rsidRPr="008035B1" w:rsidRDefault="003F26DA">
      <w:pPr>
        <w:pStyle w:val="04VIRTheading4"/>
      </w:pPr>
      <w:r w:rsidRPr="008035B1">
        <w:t>Sport and recreation</w:t>
      </w:r>
    </w:p>
    <w:p w14:paraId="2E19ACED" w14:textId="77777777" w:rsidR="003F26DA" w:rsidRDefault="003F26DA">
      <w:pPr>
        <w:pStyle w:val="05Paragraph"/>
      </w:pPr>
      <w:r w:rsidRPr="008035B1">
        <w:t xml:space="preserve">Entities in the sport and recreation sector play a crucial role in promoting active lifestyles, supporting elite athletes, and managing venues and events that are central to Victoria’s vibrant sporting culture. </w:t>
      </w:r>
    </w:p>
    <w:p w14:paraId="2A0BBE11" w14:textId="45D38EED" w:rsidR="003F26DA" w:rsidRPr="008035B1" w:rsidRDefault="003F26DA">
      <w:pPr>
        <w:pStyle w:val="05Paragraph"/>
      </w:pPr>
      <w:r w:rsidRPr="008035B1">
        <w:t xml:space="preserve">This sector includes organisations like the </w:t>
      </w:r>
      <w:r w:rsidRPr="008035B1">
        <w:rPr>
          <w:b/>
          <w:bCs/>
        </w:rPr>
        <w:t>Australian Grand Prix Corporation</w:t>
      </w:r>
      <w:r w:rsidRPr="008035B1">
        <w:t xml:space="preserve">, which is responsible for staging motorsport events, and the </w:t>
      </w:r>
      <w:r w:rsidRPr="008035B1">
        <w:rPr>
          <w:b/>
          <w:bCs/>
        </w:rPr>
        <w:t>Victorian Institute of Sport</w:t>
      </w:r>
      <w:r w:rsidRPr="008035B1">
        <w:t xml:space="preserve">, which provides high-performance programs for </w:t>
      </w:r>
      <w:r w:rsidR="00CC34CE">
        <w:t>Victoria’s</w:t>
      </w:r>
      <w:r w:rsidRPr="008035B1">
        <w:t xml:space="preserve"> top athletes.</w:t>
      </w:r>
      <w:r>
        <w:rPr>
          <w:rStyle w:val="FootnoteReference"/>
        </w:rPr>
        <w:footnoteReference w:id="66"/>
      </w:r>
      <w:r w:rsidRPr="008035B1">
        <w:t xml:space="preserve"> The sector also encompasses organisations dedicated to preserving natural and cultural heritage, like the </w:t>
      </w:r>
      <w:r w:rsidRPr="008035B1">
        <w:rPr>
          <w:b/>
          <w:bCs/>
        </w:rPr>
        <w:t>Royal</w:t>
      </w:r>
      <w:r>
        <w:rPr>
          <w:b/>
          <w:bCs/>
        </w:rPr>
        <w:t> </w:t>
      </w:r>
      <w:r w:rsidRPr="008035B1">
        <w:rPr>
          <w:b/>
          <w:bCs/>
        </w:rPr>
        <w:t>Botanic Gardens Board</w:t>
      </w:r>
      <w:r w:rsidRPr="008035B1">
        <w:t xml:space="preserve"> and </w:t>
      </w:r>
      <w:r w:rsidRPr="008035B1">
        <w:rPr>
          <w:b/>
          <w:bCs/>
        </w:rPr>
        <w:t>Zoological Parks and Gardens Board</w:t>
      </w:r>
      <w:r w:rsidRPr="008035B1">
        <w:t xml:space="preserve">, which manage </w:t>
      </w:r>
      <w:r>
        <w:t>important</w:t>
      </w:r>
      <w:r w:rsidRPr="008035B1">
        <w:t xml:space="preserve"> recreational spaces.</w:t>
      </w:r>
    </w:p>
    <w:p w14:paraId="1F874DF9" w14:textId="77777777" w:rsidR="003F26DA" w:rsidRPr="008035B1" w:rsidRDefault="003F26DA">
      <w:pPr>
        <w:pStyle w:val="04VIRTheading4"/>
      </w:pPr>
      <w:r w:rsidRPr="008035B1">
        <w:t>TAFE and other education</w:t>
      </w:r>
    </w:p>
    <w:p w14:paraId="24C6FAFD" w14:textId="70D4222B" w:rsidR="003F26DA" w:rsidRPr="008035B1" w:rsidRDefault="003F26DA">
      <w:pPr>
        <w:pStyle w:val="05Paragraph"/>
      </w:pPr>
      <w:r w:rsidRPr="008035B1">
        <w:t>This segment includes Victoria’s 12 TAFE</w:t>
      </w:r>
      <w:r w:rsidR="00AF1359">
        <w:t>s</w:t>
      </w:r>
      <w:r w:rsidRPr="008035B1">
        <w:t xml:space="preserve"> and other entities that provide educational services</w:t>
      </w:r>
      <w:r>
        <w:t xml:space="preserve"> and</w:t>
      </w:r>
      <w:r w:rsidRPr="008035B1">
        <w:t xml:space="preserve"> support</w:t>
      </w:r>
      <w:r>
        <w:t xml:space="preserve"> for migrants to Victoria</w:t>
      </w:r>
      <w:r w:rsidRPr="008035B1">
        <w:t xml:space="preserve">. For example, </w:t>
      </w:r>
      <w:r w:rsidRPr="008035B1">
        <w:rPr>
          <w:b/>
          <w:bCs/>
        </w:rPr>
        <w:t>AMES Australia</w:t>
      </w:r>
      <w:r w:rsidRPr="008035B1">
        <w:t xml:space="preserve"> offers English </w:t>
      </w:r>
      <w:r>
        <w:t>language programs</w:t>
      </w:r>
      <w:r w:rsidRPr="008035B1">
        <w:t>, employment services, and community engagement for migrants, refugees and asylum seekers.</w:t>
      </w:r>
      <w:r>
        <w:rPr>
          <w:rStyle w:val="FootnoteReference"/>
        </w:rPr>
        <w:footnoteReference w:id="67"/>
      </w:r>
    </w:p>
    <w:p w14:paraId="009771DD" w14:textId="77777777" w:rsidR="003F26DA" w:rsidRPr="008035B1" w:rsidRDefault="003F26DA">
      <w:pPr>
        <w:pStyle w:val="04VIRTheading4"/>
      </w:pPr>
      <w:r w:rsidRPr="008035B1">
        <w:t>Transport</w:t>
      </w:r>
    </w:p>
    <w:p w14:paraId="4CF7D65E" w14:textId="50661541" w:rsidR="003F26DA" w:rsidRPr="008035B1" w:rsidRDefault="003F26DA">
      <w:pPr>
        <w:pStyle w:val="05Paragraph"/>
      </w:pPr>
      <w:r w:rsidRPr="008035B1">
        <w:t xml:space="preserve">Transport entities </w:t>
      </w:r>
      <w:r>
        <w:t xml:space="preserve">are responsible for the </w:t>
      </w:r>
      <w:r w:rsidRPr="008035B1">
        <w:t>manage</w:t>
      </w:r>
      <w:r>
        <w:t>ment</w:t>
      </w:r>
      <w:r w:rsidRPr="008035B1">
        <w:t>, maintena</w:t>
      </w:r>
      <w:r>
        <w:t>nce</w:t>
      </w:r>
      <w:r w:rsidRPr="008035B1">
        <w:t>, and deliver</w:t>
      </w:r>
      <w:r>
        <w:t>y</w:t>
      </w:r>
      <w:r w:rsidRPr="008035B1">
        <w:t xml:space="preserve"> </w:t>
      </w:r>
      <w:r>
        <w:t xml:space="preserve">of key </w:t>
      </w:r>
      <w:r w:rsidRPr="008035B1">
        <w:t xml:space="preserve">infrastructure projects </w:t>
      </w:r>
      <w:r>
        <w:t xml:space="preserve">and transport services </w:t>
      </w:r>
      <w:r w:rsidRPr="008035B1">
        <w:t xml:space="preserve">across Victoria. Notable </w:t>
      </w:r>
      <w:r w:rsidRPr="008035B1">
        <w:lastRenderedPageBreak/>
        <w:t xml:space="preserve">examples include the </w:t>
      </w:r>
      <w:r>
        <w:rPr>
          <w:b/>
          <w:bCs/>
        </w:rPr>
        <w:t>Victorian Rail Track Corporation</w:t>
      </w:r>
      <w:r w:rsidRPr="008035B1">
        <w:t xml:space="preserve">, </w:t>
      </w:r>
      <w:r>
        <w:t>which oversees transport assets and infrastructure</w:t>
      </w:r>
      <w:r w:rsidRPr="008035B1">
        <w:t xml:space="preserve">, and </w:t>
      </w:r>
      <w:r w:rsidRPr="008035B1">
        <w:rPr>
          <w:b/>
          <w:bCs/>
        </w:rPr>
        <w:t>Ports Victoria</w:t>
      </w:r>
      <w:r w:rsidRPr="008035B1">
        <w:t xml:space="preserve">, </w:t>
      </w:r>
      <w:r>
        <w:t>which is responsible for maritime navigation and operation</w:t>
      </w:r>
      <w:r w:rsidR="00D63882">
        <w:t>al</w:t>
      </w:r>
      <w:r>
        <w:t xml:space="preserve"> safety </w:t>
      </w:r>
      <w:r w:rsidRPr="008035B1">
        <w:t xml:space="preserve">of </w:t>
      </w:r>
      <w:r w:rsidR="00D63882">
        <w:t>Victoria’s</w:t>
      </w:r>
      <w:r w:rsidRPr="008035B1">
        <w:t xml:space="preserve"> commercial ports and </w:t>
      </w:r>
      <w:r>
        <w:t>certain assets, such as Station Pier.</w:t>
      </w:r>
      <w:r>
        <w:rPr>
          <w:rStyle w:val="FootnoteReference"/>
        </w:rPr>
        <w:footnoteReference w:id="68"/>
      </w:r>
    </w:p>
    <w:p w14:paraId="5AE7BEFF" w14:textId="77777777" w:rsidR="003F26DA" w:rsidRPr="008035B1" w:rsidRDefault="003F26DA">
      <w:pPr>
        <w:pStyle w:val="04VIRTheading4"/>
      </w:pPr>
      <w:r w:rsidRPr="008035B1">
        <w:t>Water</w:t>
      </w:r>
    </w:p>
    <w:p w14:paraId="079722B1" w14:textId="77777777" w:rsidR="003F26DA" w:rsidRPr="008035B1" w:rsidRDefault="003F26DA">
      <w:pPr>
        <w:pStyle w:val="05Paragraph"/>
      </w:pPr>
      <w:r w:rsidRPr="008035B1">
        <w:t xml:space="preserve">Entities in this </w:t>
      </w:r>
      <w:r>
        <w:t>sector</w:t>
      </w:r>
      <w:r w:rsidRPr="008035B1">
        <w:t xml:space="preserve"> deliver services related to water</w:t>
      </w:r>
      <w:r>
        <w:t xml:space="preserve"> supply and </w:t>
      </w:r>
      <w:proofErr w:type="gramStart"/>
      <w:r>
        <w:t>waste water</w:t>
      </w:r>
      <w:proofErr w:type="gramEnd"/>
      <w:r>
        <w:t xml:space="preserve"> treatment</w:t>
      </w:r>
      <w:r w:rsidRPr="008035B1">
        <w:t xml:space="preserve">. They range from </w:t>
      </w:r>
      <w:r>
        <w:t xml:space="preserve">large metropolitan water corporations </w:t>
      </w:r>
      <w:r w:rsidRPr="008035B1">
        <w:t xml:space="preserve">like </w:t>
      </w:r>
      <w:proofErr w:type="gramStart"/>
      <w:r>
        <w:rPr>
          <w:b/>
          <w:bCs/>
        </w:rPr>
        <w:t>South East</w:t>
      </w:r>
      <w:proofErr w:type="gramEnd"/>
      <w:r>
        <w:rPr>
          <w:b/>
          <w:bCs/>
        </w:rPr>
        <w:t xml:space="preserve"> Water</w:t>
      </w:r>
      <w:r w:rsidRPr="008035B1">
        <w:t xml:space="preserve"> to regional water providers </w:t>
      </w:r>
      <w:r>
        <w:t>such as</w:t>
      </w:r>
      <w:r w:rsidRPr="008035B1">
        <w:t xml:space="preserve"> </w:t>
      </w:r>
      <w:r w:rsidRPr="008035B1">
        <w:rPr>
          <w:b/>
          <w:bCs/>
        </w:rPr>
        <w:t>Barwon Region Water Corporation</w:t>
      </w:r>
      <w:r>
        <w:t>.</w:t>
      </w:r>
    </w:p>
    <w:p w14:paraId="4C1AA2E9" w14:textId="3EF7F0C8" w:rsidR="003F26DA" w:rsidRPr="008656D6" w:rsidRDefault="00E91106" w:rsidP="00E91106">
      <w:pPr>
        <w:pStyle w:val="02VIRTHeading2"/>
      </w:pPr>
      <w:bookmarkStart w:id="41" w:name="_Toc185012358"/>
      <w:r>
        <w:t>2.4</w:t>
      </w:r>
      <w:r>
        <w:tab/>
      </w:r>
      <w:r w:rsidR="003F26DA" w:rsidRPr="008656D6">
        <w:t>Summary</w:t>
      </w:r>
      <w:bookmarkEnd w:id="41"/>
    </w:p>
    <w:p w14:paraId="34E8B0D8" w14:textId="77777777" w:rsidR="003F26DA" w:rsidRDefault="003F26DA">
      <w:pPr>
        <w:pStyle w:val="05Paragraph"/>
      </w:pPr>
      <w:r>
        <w:t>Public entities play an important role within the Victorian public sector, with a distinguishing feature being that they operate with greater autonomy than VPS bodies.</w:t>
      </w:r>
    </w:p>
    <w:p w14:paraId="5DD50D08" w14:textId="77777777" w:rsidR="003F26DA" w:rsidRDefault="003F26DA">
      <w:pPr>
        <w:pStyle w:val="05Paragraph"/>
      </w:pPr>
      <w:r>
        <w:t xml:space="preserve">Public entities undertake a mix of functions, including service delivery, overseeing publicly owned assets, regulating organisations and individuals and providing advice. They operate across a range of sectors and under a diverse suite of legal and governance arrangements. </w:t>
      </w:r>
    </w:p>
    <w:p w14:paraId="5161DF72" w14:textId="7AEAB0BD" w:rsidR="003F26DA" w:rsidRDefault="003F26DA">
      <w:pPr>
        <w:pStyle w:val="05Paragraph"/>
      </w:pPr>
      <w:r w:rsidRPr="003F5785">
        <w:t xml:space="preserve">The diversity and complexity of </w:t>
      </w:r>
      <w:r>
        <w:t>these</w:t>
      </w:r>
      <w:r w:rsidRPr="003F5785">
        <w:t xml:space="preserve"> entities </w:t>
      </w:r>
      <w:r>
        <w:t xml:space="preserve">has </w:t>
      </w:r>
      <w:r w:rsidRPr="003F5785">
        <w:t>inform</w:t>
      </w:r>
      <w:r>
        <w:t>ed</w:t>
      </w:r>
      <w:r w:rsidRPr="003F5785">
        <w:t xml:space="preserve"> the Tribunal’s </w:t>
      </w:r>
      <w:r>
        <w:t>discussion</w:t>
      </w:r>
      <w:r w:rsidRPr="003F5785">
        <w:t xml:space="preserve"> of the role of executives employed in these bodies</w:t>
      </w:r>
      <w:r>
        <w:t xml:space="preserve"> in Chapter 3</w:t>
      </w:r>
      <w:r w:rsidRPr="003F5785">
        <w:t>.</w:t>
      </w:r>
      <w:r>
        <w:t xml:space="preserve"> </w:t>
      </w:r>
      <w:r>
        <w:br w:type="page"/>
      </w:r>
    </w:p>
    <w:p w14:paraId="2E679764" w14:textId="420D196F" w:rsidR="00EB3C6E" w:rsidRDefault="003F26DA" w:rsidP="002F7028">
      <w:pPr>
        <w:pStyle w:val="01Chapterheading"/>
        <w:numPr>
          <w:ilvl w:val="0"/>
          <w:numId w:val="31"/>
        </w:numPr>
        <w:spacing w:after="0"/>
        <w:ind w:left="720"/>
      </w:pPr>
      <w:bookmarkStart w:id="42" w:name="_Toc185012359"/>
      <w:r>
        <w:lastRenderedPageBreak/>
        <w:t>R</w:t>
      </w:r>
      <w:r w:rsidRPr="00D8108E">
        <w:t>ole</w:t>
      </w:r>
      <w:r>
        <w:t>s</w:t>
      </w:r>
      <w:r w:rsidRPr="00D8108E">
        <w:t xml:space="preserve"> of </w:t>
      </w:r>
      <w:r>
        <w:t xml:space="preserve">public entity </w:t>
      </w:r>
      <w:r w:rsidRPr="00D8108E">
        <w:t>executiv</w:t>
      </w:r>
      <w:r>
        <w:t>es</w:t>
      </w:r>
      <w:bookmarkEnd w:id="42"/>
    </w:p>
    <w:p w14:paraId="062E7201" w14:textId="572798F7" w:rsidR="003F26DA" w:rsidRPr="00D8108E" w:rsidRDefault="003F26DA" w:rsidP="002F7028">
      <w:pPr>
        <w:pStyle w:val="05Paragraph"/>
        <w:spacing w:after="180"/>
      </w:pPr>
      <w:r w:rsidRPr="00D8108E">
        <w:rPr>
          <w:noProof/>
        </w:rPr>
        <w:drawing>
          <wp:inline distT="0" distB="0" distL="0" distR="0" wp14:anchorId="7C432D99" wp14:editId="38393A32">
            <wp:extent cx="2212975" cy="255905"/>
            <wp:effectExtent l="0" t="0" r="0" b="0"/>
            <wp:docPr id="116098532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3ED84650" w14:textId="77777777" w:rsidR="003F26DA" w:rsidRDefault="003F26DA">
      <w:pPr>
        <w:pStyle w:val="05Paragraph"/>
      </w:pPr>
      <w:r w:rsidRPr="00D8108E">
        <w:t>In making this Determination, the Tribunal co</w:t>
      </w:r>
      <w:r>
        <w:t>mprehensively reviewed</w:t>
      </w:r>
      <w:r w:rsidRPr="00D8108E">
        <w:t xml:space="preserve"> the role</w:t>
      </w:r>
      <w:r>
        <w:t>s</w:t>
      </w:r>
      <w:r w:rsidRPr="00D8108E">
        <w:t xml:space="preserve"> of executives employed in </w:t>
      </w:r>
      <w:r>
        <w:t>public entities,</w:t>
      </w:r>
      <w:r w:rsidRPr="00D8108E">
        <w:t xml:space="preserve"> </w:t>
      </w:r>
      <w:r>
        <w:t>including</w:t>
      </w:r>
      <w:r w:rsidRPr="00D8108E">
        <w:t xml:space="preserve"> how </w:t>
      </w:r>
      <w:r>
        <w:t xml:space="preserve">those roles </w:t>
      </w:r>
      <w:r w:rsidRPr="00D8108E">
        <w:t xml:space="preserve">have changed </w:t>
      </w:r>
      <w:r>
        <w:t>in the four years since it made the</w:t>
      </w:r>
      <w:r w:rsidRPr="00D8108E">
        <w:t xml:space="preserve"> 2020</w:t>
      </w:r>
      <w:r>
        <w:t xml:space="preserve"> PE </w:t>
      </w:r>
      <w:r w:rsidRPr="00D8108E">
        <w:t>Determination.</w:t>
      </w:r>
      <w:r>
        <w:rPr>
          <w:rStyle w:val="FootnoteReference"/>
        </w:rPr>
        <w:footnoteReference w:id="69"/>
      </w:r>
      <w:r>
        <w:t xml:space="preserve"> </w:t>
      </w:r>
    </w:p>
    <w:p w14:paraId="0A0E3C83" w14:textId="77777777" w:rsidR="003F26DA" w:rsidRDefault="003F26DA">
      <w:pPr>
        <w:pStyle w:val="05Paragraph"/>
        <w:rPr>
          <w:lang w:val="en-US"/>
        </w:rPr>
      </w:pPr>
      <w:r>
        <w:rPr>
          <w:lang w:val="en-US"/>
        </w:rPr>
        <w:t xml:space="preserve">As the Tribunal noted when it made the 2020 PE Determination, executives </w:t>
      </w:r>
      <w:r w:rsidRPr="00AC2878">
        <w:rPr>
          <w:lang w:val="en-US"/>
        </w:rPr>
        <w:t xml:space="preserve">are senior leaders responsible for delivering </w:t>
      </w:r>
      <w:proofErr w:type="spellStart"/>
      <w:r>
        <w:rPr>
          <w:lang w:val="en-US"/>
        </w:rPr>
        <w:t>organisational</w:t>
      </w:r>
      <w:proofErr w:type="spellEnd"/>
      <w:r>
        <w:rPr>
          <w:lang w:val="en-US"/>
        </w:rPr>
        <w:t xml:space="preserve"> objectives. </w:t>
      </w:r>
      <w:r>
        <w:t>Executives must uphold and demonstrate the values of the Code of Conduct for Victorian Public Sector Employees and support their staff to achieve high performance across the sector.</w:t>
      </w:r>
      <w:r>
        <w:rPr>
          <w:rFonts w:ascii="ZWAdobeF" w:hAnsi="ZWAdobeF" w:cs="ZWAdobeF"/>
          <w:sz w:val="2"/>
          <w:szCs w:val="2"/>
        </w:rPr>
        <w:t>17F</w:t>
      </w:r>
      <w:r>
        <w:rPr>
          <w:rStyle w:val="FootnoteReference"/>
        </w:rPr>
        <w:footnoteReference w:id="70"/>
      </w:r>
    </w:p>
    <w:p w14:paraId="5F343213" w14:textId="77777777" w:rsidR="003F26DA" w:rsidRDefault="003F26DA">
      <w:pPr>
        <w:pStyle w:val="05Paragraph"/>
        <w:rPr>
          <w:lang w:val="en-US"/>
        </w:rPr>
      </w:pPr>
      <w:r>
        <w:rPr>
          <w:lang w:val="en-US"/>
        </w:rPr>
        <w:t>The roles and responsibilities of public entity executives are many and varied, reflecting the diversity in functions and governance arrangements of entities within the sector.</w:t>
      </w:r>
    </w:p>
    <w:p w14:paraId="7071DD7D" w14:textId="77777777" w:rsidR="003F26DA" w:rsidRPr="003961B8" w:rsidRDefault="003F26DA">
      <w:pPr>
        <w:pStyle w:val="02VIRTHeading2"/>
      </w:pPr>
      <w:bookmarkStart w:id="43" w:name="_Toc59090122"/>
      <w:bookmarkStart w:id="44" w:name="_Toc97728588"/>
      <w:bookmarkStart w:id="45" w:name="_Toc171436629"/>
      <w:bookmarkStart w:id="46" w:name="_Toc171436841"/>
      <w:bookmarkStart w:id="47" w:name="_Toc185012360"/>
      <w:r>
        <w:t>3.1</w:t>
      </w:r>
      <w:r>
        <w:tab/>
      </w:r>
      <w:bookmarkEnd w:id="43"/>
      <w:bookmarkEnd w:id="44"/>
      <w:bookmarkEnd w:id="45"/>
      <w:bookmarkEnd w:id="46"/>
      <w:r>
        <w:t>Classification frameworks set expectations for executive roles</w:t>
      </w:r>
      <w:bookmarkEnd w:id="47"/>
    </w:p>
    <w:p w14:paraId="5B4AF567" w14:textId="5B8EB265" w:rsidR="003F26DA" w:rsidRDefault="003F26DA">
      <w:pPr>
        <w:pStyle w:val="05Paragraph"/>
        <w:rPr>
          <w:lang w:val="en-US"/>
        </w:rPr>
      </w:pPr>
      <w:bookmarkStart w:id="48" w:name="_Toc171436630"/>
      <w:bookmarkStart w:id="49" w:name="_Toc19554265"/>
      <w:r>
        <w:rPr>
          <w:lang w:val="en-US"/>
        </w:rPr>
        <w:t xml:space="preserve">There are two classification frameworks </w:t>
      </w:r>
      <w:r w:rsidRPr="00FD7090">
        <w:t>—</w:t>
      </w:r>
      <w:r>
        <w:rPr>
          <w:lang w:val="en-US"/>
        </w:rPr>
        <w:t xml:space="preserve"> both developed by the VPSC </w:t>
      </w:r>
      <w:r w:rsidRPr="00FD7090">
        <w:t>—</w:t>
      </w:r>
      <w:r>
        <w:rPr>
          <w:lang w:val="en-US"/>
        </w:rPr>
        <w:t xml:space="preserve"> that apply to executive roles in public entities, including CEO roles. These are:</w:t>
      </w:r>
    </w:p>
    <w:p w14:paraId="65B546F5" w14:textId="77777777" w:rsidR="003F26DA" w:rsidRDefault="003F26DA" w:rsidP="003F26DA">
      <w:pPr>
        <w:pStyle w:val="06VIRTBulletpoints"/>
        <w:ind w:left="357" w:hanging="357"/>
      </w:pPr>
      <w:r>
        <w:t>t</w:t>
      </w:r>
      <w:r w:rsidRPr="00DE17D2">
        <w:t xml:space="preserve">he </w:t>
      </w:r>
      <w:r w:rsidRPr="00DE17D2">
        <w:rPr>
          <w:i/>
          <w:iCs/>
        </w:rPr>
        <w:t>Victorian Public Service Executive Classification Framework</w:t>
      </w:r>
      <w:r w:rsidRPr="00DE17D2">
        <w:t xml:space="preserve"> (VPSECF)</w:t>
      </w:r>
      <w:r>
        <w:t>, which</w:t>
      </w:r>
      <w:r w:rsidRPr="00DE17D2">
        <w:t xml:space="preserve"> applies to</w:t>
      </w:r>
      <w:r>
        <w:t xml:space="preserve"> executives employed under Part 3 of the PAA, including some executives employed in public entities</w:t>
      </w:r>
      <w:r>
        <w:rPr>
          <w:rStyle w:val="FootnoteReference"/>
        </w:rPr>
        <w:footnoteReference w:id="71"/>
      </w:r>
    </w:p>
    <w:p w14:paraId="76701D56" w14:textId="77777777" w:rsidR="003F26DA" w:rsidRDefault="003F26DA" w:rsidP="003F26DA">
      <w:pPr>
        <w:pStyle w:val="06VIRTBulletpoints"/>
        <w:ind w:left="357" w:hanging="357"/>
      </w:pPr>
      <w:r>
        <w:t>t</w:t>
      </w:r>
      <w:r w:rsidRPr="00DE17D2">
        <w:t xml:space="preserve">he </w:t>
      </w:r>
      <w:r w:rsidRPr="00DE17D2">
        <w:rPr>
          <w:i/>
          <w:iCs/>
        </w:rPr>
        <w:t>Public Entity Executive Classification Framework</w:t>
      </w:r>
      <w:r w:rsidRPr="00DE17D2">
        <w:t xml:space="preserve"> (</w:t>
      </w:r>
      <w:r>
        <w:t>PE</w:t>
      </w:r>
      <w:r w:rsidRPr="00DE17D2">
        <w:t>ECF)</w:t>
      </w:r>
      <w:r>
        <w:t>, which</w:t>
      </w:r>
      <w:r w:rsidRPr="00DE17D2">
        <w:t xml:space="preserve"> applies to</w:t>
      </w:r>
      <w:r>
        <w:t xml:space="preserve"> all other executives employed in public entities.</w:t>
      </w:r>
    </w:p>
    <w:p w14:paraId="3003760B" w14:textId="04B6798B" w:rsidR="003F26DA" w:rsidRDefault="003F26DA">
      <w:pPr>
        <w:pStyle w:val="05Paragraph"/>
        <w:rPr>
          <w:lang w:val="en-US"/>
        </w:rPr>
      </w:pPr>
      <w:r>
        <w:rPr>
          <w:lang w:val="en-US"/>
        </w:rPr>
        <w:t xml:space="preserve">The </w:t>
      </w:r>
      <w:r w:rsidR="000C6CCD">
        <w:rPr>
          <w:lang w:val="en-US"/>
        </w:rPr>
        <w:t>PEER Policy</w:t>
      </w:r>
      <w:r>
        <w:rPr>
          <w:lang w:val="en-US"/>
        </w:rPr>
        <w:t xml:space="preserve"> requires public entities to facilitate the classification of all executive positions using either the PEECF or VPSECF.</w:t>
      </w:r>
      <w:r>
        <w:rPr>
          <w:rStyle w:val="FootnoteReference"/>
          <w:lang w:val="en-US"/>
        </w:rPr>
        <w:footnoteReference w:id="72"/>
      </w:r>
      <w:r w:rsidR="00902A38">
        <w:rPr>
          <w:lang w:val="en-US"/>
        </w:rPr>
        <w:t xml:space="preserve"> </w:t>
      </w:r>
      <w:r>
        <w:rPr>
          <w:lang w:val="en-US"/>
        </w:rPr>
        <w:t xml:space="preserve">The provisions of the PEER </w:t>
      </w:r>
      <w:r>
        <w:rPr>
          <w:lang w:val="en-US"/>
        </w:rPr>
        <w:lastRenderedPageBreak/>
        <w:t>Policy and the remuneration bands established by the Tribunal in 2020 are discussed in Chapter 4.</w:t>
      </w:r>
    </w:p>
    <w:p w14:paraId="0FD45838" w14:textId="4393830D" w:rsidR="003F26DA" w:rsidRDefault="003F26DA">
      <w:pPr>
        <w:pStyle w:val="03VIRTHeading3"/>
        <w:rPr>
          <w:lang w:val="en-US"/>
        </w:rPr>
      </w:pPr>
      <w:r>
        <w:rPr>
          <w:lang w:val="en-US"/>
        </w:rPr>
        <w:t xml:space="preserve">Work value factors reflect core competencies and accountabilities </w:t>
      </w:r>
    </w:p>
    <w:p w14:paraId="6EE23218" w14:textId="470217AA" w:rsidR="003F26DA" w:rsidRDefault="003F26DA" w:rsidP="00E6185E">
      <w:pPr>
        <w:pStyle w:val="05Paragraph"/>
        <w:rPr>
          <w:lang w:val="en-US"/>
        </w:rPr>
      </w:pPr>
      <w:r w:rsidRPr="18A50047">
        <w:t xml:space="preserve">The PEECF and VPSECF use a consistent work value assessment methodology, where executive positions are assessed against eight work </w:t>
      </w:r>
      <w:r>
        <w:t>value factors</w:t>
      </w:r>
      <w:r w:rsidRPr="18A50047">
        <w:t xml:space="preserve"> (referred to as ‘work </w:t>
      </w:r>
      <w:r>
        <w:t>level standards</w:t>
      </w:r>
      <w:r w:rsidRPr="18A50047">
        <w:t xml:space="preserve">’ under the </w:t>
      </w:r>
      <w:r>
        <w:t>VPSECF</w:t>
      </w:r>
      <w:r w:rsidRPr="18A50047">
        <w:t xml:space="preserve">). The work </w:t>
      </w:r>
      <w:r>
        <w:t>value factors</w:t>
      </w:r>
      <w:r w:rsidRPr="18A50047">
        <w:t xml:space="preserve"> reflect the core competencies and accountabilities of executive roles, and include ‘knowledge’, ‘judgement and risk’ and ‘resource management’ (Table 3.</w:t>
      </w:r>
      <w:r>
        <w:t>1</w:t>
      </w:r>
      <w:r w:rsidRPr="18A50047">
        <w:t>).</w:t>
      </w:r>
      <w:r w:rsidR="00902A38">
        <w:t xml:space="preserve"> </w:t>
      </w:r>
    </w:p>
    <w:p w14:paraId="76A8C192" w14:textId="77777777" w:rsidR="003F26DA" w:rsidRPr="009B2725" w:rsidRDefault="003F26DA">
      <w:pPr>
        <w:pStyle w:val="08Figuretableboxheading"/>
        <w:rPr>
          <w:vertAlign w:val="superscript"/>
          <w:lang w:val="en-US"/>
        </w:rPr>
      </w:pPr>
      <w:r>
        <w:rPr>
          <w:lang w:val="en-US"/>
        </w:rPr>
        <w:t>Table 3.1: Work value factors under the PEECF</w:t>
      </w:r>
      <w:r>
        <w:rPr>
          <w:vertAlign w:val="superscript"/>
          <w:lang w:val="en-US"/>
        </w:rPr>
        <w:t>(a)</w:t>
      </w:r>
    </w:p>
    <w:tbl>
      <w:tblPr>
        <w:tblStyle w:val="VIRTDeterminationTableStyle"/>
        <w:tblW w:w="0" w:type="auto"/>
        <w:tblInd w:w="5" w:type="dxa"/>
        <w:tblBorders>
          <w:top w:val="single" w:sz="4" w:space="0" w:color="26664E" w:themeColor="accent1"/>
          <w:left w:val="single" w:sz="4" w:space="0" w:color="26664E" w:themeColor="accent1"/>
          <w:bottom w:val="single" w:sz="4" w:space="0" w:color="26664E" w:themeColor="accent1"/>
          <w:right w:val="single" w:sz="4" w:space="0" w:color="26664E" w:themeColor="accent1"/>
          <w:insideH w:val="single" w:sz="4" w:space="0" w:color="26664E" w:themeColor="accent1"/>
          <w:insideV w:val="single" w:sz="4" w:space="0" w:color="26664E" w:themeColor="accent1"/>
        </w:tblBorders>
        <w:tblLook w:val="04A0" w:firstRow="1" w:lastRow="0" w:firstColumn="1" w:lastColumn="0" w:noHBand="0" w:noVBand="1"/>
      </w:tblPr>
      <w:tblGrid>
        <w:gridCol w:w="1696"/>
        <w:gridCol w:w="6803"/>
      </w:tblGrid>
      <w:tr w:rsidR="003F26DA" w14:paraId="6B31105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Borders>
              <w:left w:val="nil"/>
              <w:bottom w:val="none" w:sz="0" w:space="0" w:color="auto"/>
            </w:tcBorders>
          </w:tcPr>
          <w:p w14:paraId="4316EBCF" w14:textId="77777777" w:rsidR="003F26DA" w:rsidRPr="007E1AFB" w:rsidRDefault="003F26DA">
            <w:pPr>
              <w:pStyle w:val="Tableheaderrow"/>
              <w:rPr>
                <w:b/>
                <w:bCs/>
                <w:color w:val="FFFFFF" w:themeColor="background1"/>
                <w:lang w:val="en-US"/>
              </w:rPr>
            </w:pPr>
            <w:r w:rsidRPr="007E1AFB">
              <w:rPr>
                <w:b/>
                <w:bCs/>
                <w:color w:val="FFFFFF" w:themeColor="background1"/>
                <w:lang w:val="en-US"/>
              </w:rPr>
              <w:t>Competency</w:t>
            </w:r>
          </w:p>
        </w:tc>
        <w:tc>
          <w:tcPr>
            <w:tcW w:w="6803" w:type="dxa"/>
            <w:tcBorders>
              <w:left w:val="nil"/>
              <w:right w:val="nil"/>
            </w:tcBorders>
          </w:tcPr>
          <w:p w14:paraId="61614215" w14:textId="77777777" w:rsidR="003F26DA" w:rsidRPr="007E1AFB" w:rsidRDefault="003F26DA">
            <w:pPr>
              <w:pStyle w:val="Tableheaderrow"/>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7E1AFB">
              <w:rPr>
                <w:b/>
                <w:bCs/>
                <w:color w:val="FFFFFF" w:themeColor="background1"/>
                <w:lang w:val="en-US"/>
              </w:rPr>
              <w:t>De</w:t>
            </w:r>
            <w:r>
              <w:rPr>
                <w:b/>
                <w:bCs/>
                <w:color w:val="FFFFFF" w:themeColor="background1"/>
                <w:lang w:val="en-US"/>
              </w:rPr>
              <w:t>scription</w:t>
            </w:r>
          </w:p>
        </w:tc>
      </w:tr>
      <w:tr w:rsidR="003F26DA" w14:paraId="2A74F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il"/>
              <w:bottom w:val="none" w:sz="0" w:space="0" w:color="auto"/>
            </w:tcBorders>
          </w:tcPr>
          <w:p w14:paraId="544BFAD2" w14:textId="77777777" w:rsidR="003F26DA" w:rsidRPr="00D3280C" w:rsidRDefault="003F26DA">
            <w:pPr>
              <w:pStyle w:val="10Tabletext"/>
              <w:rPr>
                <w:bCs/>
              </w:rPr>
            </w:pPr>
            <w:r w:rsidRPr="00D3280C">
              <w:rPr>
                <w:bCs/>
              </w:rPr>
              <w:t>Knowledge</w:t>
            </w:r>
          </w:p>
        </w:tc>
        <w:tc>
          <w:tcPr>
            <w:tcW w:w="6803" w:type="dxa"/>
            <w:tcBorders>
              <w:top w:val="none" w:sz="0" w:space="0" w:color="auto"/>
              <w:left w:val="nil"/>
              <w:bottom w:val="none" w:sz="0" w:space="0" w:color="auto"/>
              <w:right w:val="nil"/>
            </w:tcBorders>
          </w:tcPr>
          <w:p w14:paraId="01E22CD3" w14:textId="77777777" w:rsidR="003F26DA" w:rsidRPr="00574EED"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lang w:val="en-US"/>
              </w:rPr>
            </w:pPr>
            <w:r>
              <w:t>L</w:t>
            </w:r>
            <w:r w:rsidRPr="00574EED">
              <w:t>evel of required knowledge, skills and expertise</w:t>
            </w:r>
          </w:p>
          <w:p w14:paraId="5CDE48A8" w14:textId="77777777" w:rsidR="003F26DA" w:rsidRPr="00574EED"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lang w:val="en-US"/>
              </w:rPr>
            </w:pPr>
            <w:r>
              <w:t>P</w:t>
            </w:r>
            <w:r w:rsidRPr="00574EED">
              <w:t>roficiency in a specialised discipline</w:t>
            </w:r>
          </w:p>
          <w:p w14:paraId="5696431A" w14:textId="77777777" w:rsidR="003F26DA" w:rsidRPr="00574EED"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lang w:val="en-US"/>
              </w:rPr>
            </w:pPr>
            <w:r>
              <w:t>L</w:t>
            </w:r>
            <w:r w:rsidRPr="00574EED">
              <w:t>evel of authority</w:t>
            </w:r>
          </w:p>
          <w:p w14:paraId="5D9926C4" w14:textId="77777777" w:rsidR="003F26DA" w:rsidRPr="00574EED"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lang w:val="en-US"/>
              </w:rPr>
            </w:pPr>
            <w:r>
              <w:t>D</w:t>
            </w:r>
            <w:r w:rsidRPr="00574EED">
              <w:t>epth of understanding of the work environment</w:t>
            </w:r>
          </w:p>
          <w:p w14:paraId="577123BD" w14:textId="77777777" w:rsidR="003F26DA"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lang w:val="en-US"/>
              </w:rPr>
            </w:pPr>
            <w:r>
              <w:t>W</w:t>
            </w:r>
            <w:r w:rsidRPr="00574EED">
              <w:t>hether a source of advice, and to whom</w:t>
            </w:r>
          </w:p>
        </w:tc>
      </w:tr>
      <w:tr w:rsidR="003F26DA" w14:paraId="1C58237B" w14:textId="77777777">
        <w:tc>
          <w:tcPr>
            <w:cnfStyle w:val="001000000000" w:firstRow="0" w:lastRow="0" w:firstColumn="1" w:lastColumn="0" w:oddVBand="0" w:evenVBand="0" w:oddHBand="0" w:evenHBand="0" w:firstRowFirstColumn="0" w:firstRowLastColumn="0" w:lastRowFirstColumn="0" w:lastRowLastColumn="0"/>
            <w:tcW w:w="1696" w:type="dxa"/>
            <w:tcBorders>
              <w:left w:val="nil"/>
            </w:tcBorders>
          </w:tcPr>
          <w:p w14:paraId="63539FA2" w14:textId="77777777" w:rsidR="003F26DA" w:rsidRPr="00D3280C" w:rsidRDefault="003F26DA">
            <w:pPr>
              <w:pStyle w:val="10Tabletext"/>
              <w:rPr>
                <w:bCs/>
              </w:rPr>
            </w:pPr>
            <w:r w:rsidRPr="00D3280C">
              <w:rPr>
                <w:bCs/>
              </w:rPr>
              <w:t>Relationships</w:t>
            </w:r>
          </w:p>
        </w:tc>
        <w:tc>
          <w:tcPr>
            <w:tcW w:w="6803" w:type="dxa"/>
            <w:tcBorders>
              <w:left w:val="nil"/>
              <w:right w:val="nil"/>
            </w:tcBorders>
          </w:tcPr>
          <w:p w14:paraId="1A1FF47A" w14:textId="77777777" w:rsidR="003F26DA"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R</w:t>
            </w:r>
            <w:r w:rsidRPr="00C20F15">
              <w:t>equirement to influence and negotiate</w:t>
            </w:r>
          </w:p>
          <w:p w14:paraId="56F2B201" w14:textId="77777777" w:rsidR="003F26DA"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L</w:t>
            </w:r>
            <w:r w:rsidRPr="00C20F15">
              <w:t>evel, frequency and quantity of interaction with stakeholders</w:t>
            </w:r>
          </w:p>
          <w:p w14:paraId="37A3A75B" w14:textId="77777777" w:rsidR="003F26DA" w:rsidRPr="003D1DA5"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A</w:t>
            </w:r>
            <w:r w:rsidRPr="00C20F15">
              <w:t>ssessment of the sensitivity and complexity of issues and interactions</w:t>
            </w:r>
          </w:p>
        </w:tc>
      </w:tr>
      <w:tr w:rsidR="003F26DA" w14:paraId="3C2825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il"/>
              <w:bottom w:val="none" w:sz="0" w:space="0" w:color="auto"/>
            </w:tcBorders>
          </w:tcPr>
          <w:p w14:paraId="7C55DBDA" w14:textId="77777777" w:rsidR="003F26DA" w:rsidRPr="00D3280C" w:rsidRDefault="003F26DA">
            <w:pPr>
              <w:pStyle w:val="10Tabletext"/>
              <w:rPr>
                <w:bCs/>
              </w:rPr>
            </w:pPr>
            <w:r w:rsidRPr="00D3280C">
              <w:rPr>
                <w:bCs/>
              </w:rPr>
              <w:t>Judgement and risk</w:t>
            </w:r>
          </w:p>
        </w:tc>
        <w:tc>
          <w:tcPr>
            <w:tcW w:w="6803" w:type="dxa"/>
            <w:tcBorders>
              <w:top w:val="none" w:sz="0" w:space="0" w:color="auto"/>
              <w:left w:val="nil"/>
              <w:bottom w:val="none" w:sz="0" w:space="0" w:color="auto"/>
              <w:right w:val="nil"/>
            </w:tcBorders>
          </w:tcPr>
          <w:p w14:paraId="04E046EA"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C</w:t>
            </w:r>
            <w:r w:rsidRPr="00C20F15">
              <w:t>omplexity of decision-making and risk assessment and mitigation associated with the position</w:t>
            </w:r>
          </w:p>
          <w:p w14:paraId="2B0D3748"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D</w:t>
            </w:r>
            <w:r w:rsidRPr="00C20F15">
              <w:t>egree of uncertainty and ambiguity</w:t>
            </w:r>
          </w:p>
          <w:p w14:paraId="350E8871"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C</w:t>
            </w:r>
            <w:r w:rsidRPr="00C20F15">
              <w:t>riticality of judgements and risks</w:t>
            </w:r>
          </w:p>
          <w:p w14:paraId="0995353D" w14:textId="77777777" w:rsidR="003F26DA" w:rsidRPr="003D1DA5"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 xml:space="preserve">Level </w:t>
            </w:r>
            <w:r w:rsidRPr="00C20F15">
              <w:t xml:space="preserve">at which the risk/judgement applies </w:t>
            </w:r>
            <w:r>
              <w:t>(</w:t>
            </w:r>
            <w:r w:rsidRPr="00C20F15">
              <w:t>e.g.</w:t>
            </w:r>
            <w:r>
              <w:t> </w:t>
            </w:r>
            <w:r w:rsidRPr="00C20F15">
              <w:t>organisational/state/nationwide</w:t>
            </w:r>
            <w:r>
              <w:t>)</w:t>
            </w:r>
          </w:p>
        </w:tc>
      </w:tr>
      <w:tr w:rsidR="003F26DA" w14:paraId="2B695A0E" w14:textId="77777777">
        <w:tc>
          <w:tcPr>
            <w:cnfStyle w:val="001000000000" w:firstRow="0" w:lastRow="0" w:firstColumn="1" w:lastColumn="0" w:oddVBand="0" w:evenVBand="0" w:oddHBand="0" w:evenHBand="0" w:firstRowFirstColumn="0" w:firstRowLastColumn="0" w:lastRowFirstColumn="0" w:lastRowLastColumn="0"/>
            <w:tcW w:w="1696" w:type="dxa"/>
            <w:tcBorders>
              <w:left w:val="nil"/>
            </w:tcBorders>
          </w:tcPr>
          <w:p w14:paraId="6B20418C" w14:textId="77777777" w:rsidR="003F26DA" w:rsidRPr="00D3280C" w:rsidRDefault="003F26DA">
            <w:pPr>
              <w:pStyle w:val="10Tabletext"/>
              <w:rPr>
                <w:bCs/>
              </w:rPr>
            </w:pPr>
            <w:r w:rsidRPr="00D3280C">
              <w:rPr>
                <w:bCs/>
              </w:rPr>
              <w:t>Independence</w:t>
            </w:r>
          </w:p>
          <w:p w14:paraId="4F7F7BD0" w14:textId="77777777" w:rsidR="003F26DA" w:rsidRPr="00D3280C" w:rsidRDefault="003F26DA">
            <w:pPr>
              <w:pStyle w:val="10Tabletext"/>
              <w:rPr>
                <w:bCs/>
                <w:lang w:val="en-US"/>
              </w:rPr>
            </w:pPr>
          </w:p>
        </w:tc>
        <w:tc>
          <w:tcPr>
            <w:tcW w:w="6803" w:type="dxa"/>
            <w:tcBorders>
              <w:left w:val="nil"/>
              <w:right w:val="nil"/>
            </w:tcBorders>
          </w:tcPr>
          <w:p w14:paraId="68BDC063" w14:textId="77777777" w:rsidR="003F26DA"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Requirement</w:t>
            </w:r>
            <w:r w:rsidRPr="005E63A0">
              <w:t xml:space="preserve"> to make decisions without support</w:t>
            </w:r>
          </w:p>
          <w:p w14:paraId="528A9066" w14:textId="77777777" w:rsidR="003F26DA"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A</w:t>
            </w:r>
            <w:r w:rsidRPr="005E63A0">
              <w:t>uthority and freedom to plan objectives</w:t>
            </w:r>
          </w:p>
          <w:p w14:paraId="28D26B41" w14:textId="77777777" w:rsidR="003F26DA" w:rsidRPr="003D1DA5"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R</w:t>
            </w:r>
            <w:r w:rsidRPr="005E63A0">
              <w:t>equirement to contribute to or lead strategic direction of the entity</w:t>
            </w:r>
          </w:p>
        </w:tc>
      </w:tr>
      <w:tr w:rsidR="003F26DA" w14:paraId="486EC0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il"/>
              <w:bottom w:val="none" w:sz="0" w:space="0" w:color="auto"/>
            </w:tcBorders>
          </w:tcPr>
          <w:p w14:paraId="03B0A2D5" w14:textId="77777777" w:rsidR="003F26DA" w:rsidRPr="00D3280C" w:rsidRDefault="003F26DA">
            <w:pPr>
              <w:pStyle w:val="10Tabletext"/>
              <w:rPr>
                <w:bCs/>
              </w:rPr>
            </w:pPr>
            <w:r w:rsidRPr="00D3280C">
              <w:rPr>
                <w:bCs/>
              </w:rPr>
              <w:t>Strategic change</w:t>
            </w:r>
          </w:p>
        </w:tc>
        <w:tc>
          <w:tcPr>
            <w:tcW w:w="6803" w:type="dxa"/>
            <w:tcBorders>
              <w:top w:val="none" w:sz="0" w:space="0" w:color="auto"/>
              <w:left w:val="nil"/>
              <w:bottom w:val="none" w:sz="0" w:space="0" w:color="auto"/>
              <w:right w:val="nil"/>
            </w:tcBorders>
          </w:tcPr>
          <w:p w14:paraId="2A636D64"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D</w:t>
            </w:r>
            <w:r w:rsidRPr="005A4F8C">
              <w:t>elivering change</w:t>
            </w:r>
          </w:p>
          <w:p w14:paraId="43686F04"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E</w:t>
            </w:r>
            <w:r w:rsidRPr="005A4F8C">
              <w:t>xtent of responsibility for</w:t>
            </w:r>
            <w:r>
              <w:t>,</w:t>
            </w:r>
            <w:r w:rsidRPr="005A4F8C">
              <w:t xml:space="preserve"> and level of complexity of</w:t>
            </w:r>
            <w:r>
              <w:t>,</w:t>
            </w:r>
            <w:r w:rsidRPr="005A4F8C">
              <w:t xml:space="preserve"> significant strategic change management</w:t>
            </w:r>
          </w:p>
          <w:p w14:paraId="1877D68E" w14:textId="77777777" w:rsidR="003F26DA" w:rsidRPr="003D1DA5"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C</w:t>
            </w:r>
            <w:r w:rsidRPr="005A4F8C">
              <w:t>ontribution to business improvement</w:t>
            </w:r>
          </w:p>
        </w:tc>
      </w:tr>
      <w:tr w:rsidR="003F26DA" w14:paraId="2A865323" w14:textId="77777777">
        <w:tc>
          <w:tcPr>
            <w:cnfStyle w:val="001000000000" w:firstRow="0" w:lastRow="0" w:firstColumn="1" w:lastColumn="0" w:oddVBand="0" w:evenVBand="0" w:oddHBand="0" w:evenHBand="0" w:firstRowFirstColumn="0" w:firstRowLastColumn="0" w:lastRowFirstColumn="0" w:lastRowLastColumn="0"/>
            <w:tcW w:w="1696" w:type="dxa"/>
            <w:tcBorders>
              <w:left w:val="nil"/>
            </w:tcBorders>
          </w:tcPr>
          <w:p w14:paraId="5BE95F08" w14:textId="77777777" w:rsidR="003F26DA" w:rsidRPr="00D3280C" w:rsidRDefault="003F26DA">
            <w:pPr>
              <w:pStyle w:val="10Tabletext"/>
              <w:rPr>
                <w:bCs/>
              </w:rPr>
            </w:pPr>
            <w:r w:rsidRPr="00D3280C">
              <w:rPr>
                <w:bCs/>
              </w:rPr>
              <w:t>Impact</w:t>
            </w:r>
          </w:p>
        </w:tc>
        <w:tc>
          <w:tcPr>
            <w:tcW w:w="6803" w:type="dxa"/>
            <w:tcBorders>
              <w:left w:val="nil"/>
              <w:right w:val="nil"/>
            </w:tcBorders>
          </w:tcPr>
          <w:p w14:paraId="22EFAF11" w14:textId="77777777" w:rsidR="003F26DA" w:rsidRDefault="003F26DA" w:rsidP="002D7FF4">
            <w:pPr>
              <w:pStyle w:val="11Bulletsinatable"/>
              <w:numPr>
                <w:ilvl w:val="0"/>
                <w:numId w:val="34"/>
              </w:numPr>
              <w:cnfStyle w:val="000000000000" w:firstRow="0" w:lastRow="0" w:firstColumn="0" w:lastColumn="0" w:oddVBand="0" w:evenVBand="0" w:oddHBand="0" w:evenHBand="0" w:firstRowFirstColumn="0" w:firstRowLastColumn="0" w:lastRowFirstColumn="0" w:lastRowLastColumn="0"/>
            </w:pPr>
            <w:r>
              <w:t>D</w:t>
            </w:r>
            <w:r w:rsidRPr="005A4F8C">
              <w:t>eveloping policy frameworks and the strategic direction of the entity</w:t>
            </w:r>
          </w:p>
          <w:p w14:paraId="601BEE00" w14:textId="77777777" w:rsidR="003F26DA" w:rsidRPr="003D1DA5" w:rsidRDefault="003F26DA" w:rsidP="002D7FF4">
            <w:pPr>
              <w:pStyle w:val="11Bulletsinatable"/>
              <w:numPr>
                <w:ilvl w:val="0"/>
                <w:numId w:val="34"/>
              </w:numPr>
              <w:cnfStyle w:val="000000000000" w:firstRow="0" w:lastRow="0" w:firstColumn="0" w:lastColumn="0" w:oddVBand="0" w:evenVBand="0" w:oddHBand="0" w:evenHBand="0" w:firstRowFirstColumn="0" w:firstRowLastColumn="0" w:lastRowFirstColumn="0" w:lastRowLastColumn="0"/>
            </w:pPr>
            <w:r>
              <w:t>S</w:t>
            </w:r>
            <w:r w:rsidRPr="005A4F8C">
              <w:t>cope of the position’s impact internally, into the sector, across the state or nationally/internationally</w:t>
            </w:r>
          </w:p>
        </w:tc>
      </w:tr>
      <w:tr w:rsidR="003F26DA" w14:paraId="6D5FDB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il"/>
              <w:bottom w:val="none" w:sz="0" w:space="0" w:color="auto"/>
            </w:tcBorders>
          </w:tcPr>
          <w:p w14:paraId="7E303715" w14:textId="77777777" w:rsidR="003F26DA" w:rsidRPr="00D3280C" w:rsidRDefault="003F26DA">
            <w:pPr>
              <w:pStyle w:val="10Tabletext"/>
              <w:rPr>
                <w:bCs/>
              </w:rPr>
            </w:pPr>
            <w:r w:rsidRPr="00D3280C">
              <w:rPr>
                <w:bCs/>
              </w:rPr>
              <w:t>Breadth</w:t>
            </w:r>
          </w:p>
          <w:p w14:paraId="1ABE2AE0" w14:textId="77777777" w:rsidR="003F26DA" w:rsidRPr="00D3280C" w:rsidRDefault="003F26DA">
            <w:pPr>
              <w:pStyle w:val="10Tabletext"/>
              <w:rPr>
                <w:bCs/>
                <w:lang w:val="en-US"/>
              </w:rPr>
            </w:pPr>
          </w:p>
        </w:tc>
        <w:tc>
          <w:tcPr>
            <w:tcW w:w="6803" w:type="dxa"/>
            <w:tcBorders>
              <w:top w:val="none" w:sz="0" w:space="0" w:color="auto"/>
              <w:left w:val="nil"/>
              <w:bottom w:val="none" w:sz="0" w:space="0" w:color="auto"/>
              <w:right w:val="nil"/>
            </w:tcBorders>
          </w:tcPr>
          <w:p w14:paraId="0C7F8BCD"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D</w:t>
            </w:r>
            <w:r w:rsidRPr="00707364">
              <w:t>iversity of activities and functions managed by the position</w:t>
            </w:r>
          </w:p>
          <w:p w14:paraId="1422E256" w14:textId="77777777" w:rsidR="003F26DA"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G</w:t>
            </w:r>
            <w:r w:rsidRPr="00707364">
              <w:t>eographical breadth of responsibility</w:t>
            </w:r>
          </w:p>
          <w:p w14:paraId="1951ACD3" w14:textId="77777777" w:rsidR="003F26DA" w:rsidRPr="003D1DA5" w:rsidRDefault="003F26DA" w:rsidP="002D7FF4">
            <w:pPr>
              <w:pStyle w:val="10Tabletext"/>
              <w:numPr>
                <w:ilvl w:val="0"/>
                <w:numId w:val="34"/>
              </w:numPr>
              <w:cnfStyle w:val="000000100000" w:firstRow="0" w:lastRow="0" w:firstColumn="0" w:lastColumn="0" w:oddVBand="0" w:evenVBand="0" w:oddHBand="1" w:evenHBand="0" w:firstRowFirstColumn="0" w:firstRowLastColumn="0" w:lastRowFirstColumn="0" w:lastRowLastColumn="0"/>
              <w:rPr>
                <w:bCs w:val="0"/>
              </w:rPr>
            </w:pPr>
            <w:r>
              <w:t>R</w:t>
            </w:r>
            <w:r w:rsidRPr="00707364">
              <w:t>ange of programs, projects and services managed by the position</w:t>
            </w:r>
          </w:p>
        </w:tc>
      </w:tr>
      <w:tr w:rsidR="003F26DA" w14:paraId="0476BD9A" w14:textId="77777777" w:rsidTr="00651809">
        <w:trPr>
          <w:trHeight w:val="665"/>
        </w:trPr>
        <w:tc>
          <w:tcPr>
            <w:cnfStyle w:val="001000000000" w:firstRow="0" w:lastRow="0" w:firstColumn="1" w:lastColumn="0" w:oddVBand="0" w:evenVBand="0" w:oddHBand="0" w:evenHBand="0" w:firstRowFirstColumn="0" w:firstRowLastColumn="0" w:lastRowFirstColumn="0" w:lastRowLastColumn="0"/>
            <w:tcW w:w="1696" w:type="dxa"/>
            <w:tcBorders>
              <w:left w:val="nil"/>
              <w:bottom w:val="single" w:sz="4" w:space="0" w:color="26664E" w:themeColor="accent1"/>
            </w:tcBorders>
          </w:tcPr>
          <w:p w14:paraId="116AA308" w14:textId="77777777" w:rsidR="003F26DA" w:rsidRPr="00D3280C" w:rsidRDefault="003F26DA">
            <w:pPr>
              <w:pStyle w:val="10Tabletext"/>
              <w:rPr>
                <w:bCs/>
              </w:rPr>
            </w:pPr>
            <w:r w:rsidRPr="00D3280C">
              <w:rPr>
                <w:bCs/>
              </w:rPr>
              <w:t>Resource management</w:t>
            </w:r>
          </w:p>
        </w:tc>
        <w:tc>
          <w:tcPr>
            <w:tcW w:w="6803" w:type="dxa"/>
            <w:tcBorders>
              <w:left w:val="nil"/>
              <w:bottom w:val="single" w:sz="4" w:space="0" w:color="26664E" w:themeColor="accent1"/>
              <w:right w:val="nil"/>
            </w:tcBorders>
          </w:tcPr>
          <w:p w14:paraId="42FD24BA" w14:textId="77777777" w:rsidR="003F26DA" w:rsidRPr="003D1DA5" w:rsidRDefault="003F26DA" w:rsidP="002D7FF4">
            <w:pPr>
              <w:pStyle w:val="11Bulletsinatable"/>
              <w:numPr>
                <w:ilvl w:val="0"/>
                <w:numId w:val="34"/>
              </w:numPr>
              <w:cnfStyle w:val="000000000000" w:firstRow="0" w:lastRow="0" w:firstColumn="0" w:lastColumn="0" w:oddVBand="0" w:evenVBand="0" w:oddHBand="0" w:evenHBand="0" w:firstRowFirstColumn="0" w:firstRowLastColumn="0" w:lastRowFirstColumn="0" w:lastRowLastColumn="0"/>
            </w:pPr>
            <w:r>
              <w:t>N</w:t>
            </w:r>
            <w:r w:rsidRPr="00B1165D">
              <w:t>umber of staff and size of resources and budget</w:t>
            </w:r>
          </w:p>
        </w:tc>
      </w:tr>
    </w:tbl>
    <w:p w14:paraId="5A54821A" w14:textId="77777777" w:rsidR="003F26DA" w:rsidRDefault="003F26DA">
      <w:pPr>
        <w:pStyle w:val="09Sourcesandnotesfortablesfiguresboxes"/>
        <w:rPr>
          <w:lang w:val="en-US"/>
        </w:rPr>
      </w:pPr>
      <w:r>
        <w:rPr>
          <w:lang w:val="en-US"/>
        </w:rPr>
        <w:t>Note: (a) The VPSECF features the same eight competencies, although some definitions vary slightly.</w:t>
      </w:r>
    </w:p>
    <w:p w14:paraId="77101262" w14:textId="30D48FBE" w:rsidR="003F26DA" w:rsidRDefault="003F26DA">
      <w:pPr>
        <w:pStyle w:val="09Sourcesandnotesfortablesfiguresboxes"/>
        <w:rPr>
          <w:lang w:val="en-US"/>
        </w:rPr>
      </w:pPr>
      <w:r>
        <w:rPr>
          <w:lang w:val="en-US"/>
        </w:rPr>
        <w:t xml:space="preserve">Source: </w:t>
      </w:r>
      <w:bookmarkStart w:id="50" w:name="_Hlk184042921"/>
      <w:r>
        <w:rPr>
          <w:lang w:val="en-US"/>
        </w:rPr>
        <w:t>VPSC (2022</w:t>
      </w:r>
      <w:r w:rsidR="00C03115">
        <w:rPr>
          <w:lang w:val="en-US"/>
        </w:rPr>
        <w:t>d</w:t>
      </w:r>
      <w:r>
        <w:rPr>
          <w:lang w:val="en-US"/>
        </w:rPr>
        <w:t>)</w:t>
      </w:r>
      <w:bookmarkEnd w:id="50"/>
      <w:r>
        <w:rPr>
          <w:lang w:val="en-US"/>
        </w:rPr>
        <w:t>.</w:t>
      </w:r>
    </w:p>
    <w:bookmarkEnd w:id="48"/>
    <w:bookmarkEnd w:id="49"/>
    <w:p w14:paraId="3E9E2BDE" w14:textId="77777777" w:rsidR="003F26DA" w:rsidRDefault="003F26DA">
      <w:pPr>
        <w:pStyle w:val="05Paragraph"/>
        <w:keepNext/>
        <w:jc w:val="left"/>
      </w:pPr>
      <w:r>
        <w:lastRenderedPageBreak/>
        <w:t>As the Tribunal noted in its 2024 VPS Determination, the work value factors/work level standards are:</w:t>
      </w:r>
      <w:r w:rsidRPr="0030270B">
        <w:rPr>
          <w:rStyle w:val="FootnoteReference"/>
          <w:iCs/>
        </w:rPr>
        <w:footnoteReference w:id="73"/>
      </w:r>
    </w:p>
    <w:p w14:paraId="5505BDA3" w14:textId="77777777" w:rsidR="003F26DA" w:rsidRDefault="003F26DA">
      <w:pPr>
        <w:pStyle w:val="07VIRTBreakouttext"/>
      </w:pPr>
      <w:r>
        <w:t xml:space="preserve">… </w:t>
      </w:r>
      <w:r w:rsidRPr="000B439B">
        <w:t xml:space="preserve">indicative, rather than prescriptive, offering a broad framework for executive classification decisions </w:t>
      </w:r>
      <w:r>
        <w:t xml:space="preserve">… </w:t>
      </w:r>
      <w:r w:rsidRPr="000B439B">
        <w:t xml:space="preserve">They focus on essential components, allowing flexibility for diverse positions, and require organisations to exercise judgement based on specific requirements. Definitions provided are general and need interpretation based on the unique characteristics of each position. This approach acknowledges the diversity of executive positions </w:t>
      </w:r>
      <w:r>
        <w:t>…</w:t>
      </w:r>
    </w:p>
    <w:p w14:paraId="5848F5D2" w14:textId="0CD857C2" w:rsidR="003F26DA" w:rsidRPr="00562D8C" w:rsidRDefault="003F26DA">
      <w:pPr>
        <w:pStyle w:val="05Paragraph"/>
      </w:pPr>
      <w:r w:rsidRPr="00562D8C">
        <w:t xml:space="preserve">Each position is scored on a scale from one to seven for each work </w:t>
      </w:r>
      <w:r>
        <w:t>value factor</w:t>
      </w:r>
      <w:r w:rsidRPr="00562D8C">
        <w:t xml:space="preserve">, providing an overall ‘work value score’ of up to 56 points. This score is used to determine the classification band for the position — </w:t>
      </w:r>
      <w:r>
        <w:t xml:space="preserve">for example, </w:t>
      </w:r>
      <w:r w:rsidRPr="00562D8C">
        <w:t>PESES-1, PESES</w:t>
      </w:r>
      <w:r>
        <w:noBreakHyphen/>
      </w:r>
      <w:r w:rsidRPr="00562D8C">
        <w:t>2 or PESES-3 (Table 3.</w:t>
      </w:r>
      <w:r>
        <w:t>2</w:t>
      </w:r>
      <w:r w:rsidRPr="00562D8C">
        <w:t>).</w:t>
      </w:r>
      <w:r>
        <w:t xml:space="preserve"> These classifications map onto the existing remuneration bands set by the Tribunal (Chapter 4).</w:t>
      </w:r>
    </w:p>
    <w:p w14:paraId="020B70CE" w14:textId="77777777" w:rsidR="003F26DA" w:rsidRPr="00562D8C" w:rsidRDefault="003F26DA">
      <w:pPr>
        <w:pStyle w:val="08Figuretableboxheading"/>
      </w:pPr>
      <w:r w:rsidRPr="00562D8C">
        <w:t>Table 3.</w:t>
      </w:r>
      <w:r>
        <w:t>2</w:t>
      </w:r>
      <w:r w:rsidRPr="00562D8C">
        <w:t>: Executive classification levels and corresponding work value scores</w:t>
      </w:r>
    </w:p>
    <w:tbl>
      <w:tblPr>
        <w:tblStyle w:val="VIRTDeterminationTableStyle"/>
        <w:tblW w:w="5000" w:type="pct"/>
        <w:tblInd w:w="0" w:type="dxa"/>
        <w:tblLook w:val="04A0" w:firstRow="1" w:lastRow="0" w:firstColumn="1" w:lastColumn="0" w:noHBand="0" w:noVBand="1"/>
      </w:tblPr>
      <w:tblGrid>
        <w:gridCol w:w="2834"/>
        <w:gridCol w:w="2835"/>
        <w:gridCol w:w="2835"/>
      </w:tblGrid>
      <w:tr w:rsidR="003F26DA" w14:paraId="2AE4B61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6" w:type="pct"/>
          </w:tcPr>
          <w:p w14:paraId="0BF33773" w14:textId="77777777" w:rsidR="003F26DA" w:rsidRPr="00562D8C" w:rsidRDefault="003F26DA">
            <w:pPr>
              <w:pStyle w:val="10Tabletext"/>
              <w:rPr>
                <w:color w:val="F8F8F8" w:themeColor="background2"/>
              </w:rPr>
            </w:pPr>
            <w:r w:rsidRPr="00562D8C">
              <w:rPr>
                <w:color w:val="F8F8F8" w:themeColor="background2"/>
              </w:rPr>
              <w:t>Work value score</w:t>
            </w:r>
          </w:p>
        </w:tc>
        <w:tc>
          <w:tcPr>
            <w:tcW w:w="1667" w:type="pct"/>
          </w:tcPr>
          <w:p w14:paraId="0CA2FB7E" w14:textId="77777777" w:rsidR="003F26DA" w:rsidRPr="00562D8C" w:rsidRDefault="003F26DA">
            <w:pPr>
              <w:pStyle w:val="10Tabletext"/>
              <w:cnfStyle w:val="100000000000" w:firstRow="1" w:lastRow="0" w:firstColumn="0" w:lastColumn="0" w:oddVBand="0" w:evenVBand="0" w:oddHBand="0" w:evenHBand="0" w:firstRowFirstColumn="0" w:firstRowLastColumn="0" w:lastRowFirstColumn="0" w:lastRowLastColumn="0"/>
              <w:rPr>
                <w:color w:val="F8F8F8" w:themeColor="background2"/>
              </w:rPr>
            </w:pPr>
            <w:r w:rsidRPr="00562D8C">
              <w:rPr>
                <w:color w:val="F8F8F8" w:themeColor="background2"/>
              </w:rPr>
              <w:t>PEECF band</w:t>
            </w:r>
          </w:p>
        </w:tc>
        <w:tc>
          <w:tcPr>
            <w:tcW w:w="1667" w:type="pct"/>
          </w:tcPr>
          <w:p w14:paraId="6396CA88" w14:textId="77777777" w:rsidR="003F26DA" w:rsidRPr="00562D8C" w:rsidRDefault="003F26DA">
            <w:pPr>
              <w:pStyle w:val="10Tabletext"/>
              <w:cnfStyle w:val="100000000000" w:firstRow="1" w:lastRow="0" w:firstColumn="0" w:lastColumn="0" w:oddVBand="0" w:evenVBand="0" w:oddHBand="0" w:evenHBand="0" w:firstRowFirstColumn="0" w:firstRowLastColumn="0" w:lastRowFirstColumn="0" w:lastRowLastColumn="0"/>
              <w:rPr>
                <w:color w:val="F8F8F8" w:themeColor="background2"/>
              </w:rPr>
            </w:pPr>
            <w:r w:rsidRPr="00562D8C">
              <w:rPr>
                <w:color w:val="F8F8F8" w:themeColor="background2"/>
              </w:rPr>
              <w:t>VPSECF band</w:t>
            </w:r>
          </w:p>
        </w:tc>
      </w:tr>
      <w:tr w:rsidR="003F26DA" w14:paraId="54795A0F"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26664E" w:themeColor="accent1"/>
            </w:tcBorders>
          </w:tcPr>
          <w:p w14:paraId="2329D4B7" w14:textId="77777777" w:rsidR="003F26DA" w:rsidRPr="00562D8C" w:rsidRDefault="003F26DA">
            <w:pPr>
              <w:pStyle w:val="10Tabletext"/>
              <w:rPr>
                <w:color w:val="auto"/>
              </w:rPr>
            </w:pPr>
            <w:r w:rsidRPr="00562D8C">
              <w:rPr>
                <w:color w:val="auto"/>
              </w:rPr>
              <w:t>21 – 35</w:t>
            </w:r>
          </w:p>
        </w:tc>
        <w:tc>
          <w:tcPr>
            <w:tcW w:w="1667" w:type="pct"/>
            <w:tcBorders>
              <w:bottom w:val="single" w:sz="4" w:space="0" w:color="26664E" w:themeColor="accent1"/>
            </w:tcBorders>
          </w:tcPr>
          <w:p w14:paraId="16D233D8" w14:textId="77777777" w:rsidR="003F26DA" w:rsidRPr="00562D8C" w:rsidRDefault="003F26DA">
            <w:pPr>
              <w:pStyle w:val="10Tabletext"/>
              <w:cnfStyle w:val="000000100000" w:firstRow="0" w:lastRow="0" w:firstColumn="0" w:lastColumn="0" w:oddVBand="0" w:evenVBand="0" w:oddHBand="1" w:evenHBand="0" w:firstRowFirstColumn="0" w:firstRowLastColumn="0" w:lastRowFirstColumn="0" w:lastRowLastColumn="0"/>
              <w:rPr>
                <w:color w:val="auto"/>
              </w:rPr>
            </w:pPr>
            <w:r w:rsidRPr="00562D8C">
              <w:t>PESES-1</w:t>
            </w:r>
          </w:p>
        </w:tc>
        <w:tc>
          <w:tcPr>
            <w:tcW w:w="1667" w:type="pct"/>
            <w:tcBorders>
              <w:bottom w:val="single" w:sz="4" w:space="0" w:color="26664E" w:themeColor="accent1"/>
            </w:tcBorders>
          </w:tcPr>
          <w:p w14:paraId="191BA443" w14:textId="77777777" w:rsidR="003F26DA" w:rsidRPr="00562D8C" w:rsidRDefault="003F26DA">
            <w:pPr>
              <w:pStyle w:val="10Tabletext"/>
              <w:cnfStyle w:val="000000100000" w:firstRow="0" w:lastRow="0" w:firstColumn="0" w:lastColumn="0" w:oddVBand="0" w:evenVBand="0" w:oddHBand="1" w:evenHBand="0" w:firstRowFirstColumn="0" w:firstRowLastColumn="0" w:lastRowFirstColumn="0" w:lastRowLastColumn="0"/>
              <w:rPr>
                <w:color w:val="auto"/>
              </w:rPr>
            </w:pPr>
            <w:r w:rsidRPr="00562D8C">
              <w:t>SES-1</w:t>
            </w:r>
          </w:p>
        </w:tc>
      </w:tr>
      <w:tr w:rsidR="003F26DA" w14:paraId="7B07BBEA" w14:textId="77777777" w:rsidTr="00651809">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26664E" w:themeColor="accent1"/>
              <w:bottom w:val="single" w:sz="4" w:space="0" w:color="26664E" w:themeColor="accent1"/>
            </w:tcBorders>
          </w:tcPr>
          <w:p w14:paraId="4E80C25F" w14:textId="77777777" w:rsidR="003F26DA" w:rsidRPr="00562D8C" w:rsidRDefault="003F26DA">
            <w:pPr>
              <w:pStyle w:val="10Tabletext"/>
              <w:rPr>
                <w:color w:val="auto"/>
              </w:rPr>
            </w:pPr>
            <w:r w:rsidRPr="00562D8C">
              <w:rPr>
                <w:color w:val="auto"/>
              </w:rPr>
              <w:t>36 – 47</w:t>
            </w:r>
          </w:p>
        </w:tc>
        <w:tc>
          <w:tcPr>
            <w:tcW w:w="1667" w:type="pct"/>
            <w:tcBorders>
              <w:top w:val="single" w:sz="4" w:space="0" w:color="26664E" w:themeColor="accent1"/>
              <w:bottom w:val="single" w:sz="4" w:space="0" w:color="26664E" w:themeColor="accent1"/>
            </w:tcBorders>
          </w:tcPr>
          <w:p w14:paraId="3CAD96F2" w14:textId="77777777" w:rsidR="003F26DA" w:rsidRPr="00562D8C" w:rsidRDefault="003F26DA">
            <w:pPr>
              <w:pStyle w:val="10Tabletext"/>
              <w:cnfStyle w:val="000000000000" w:firstRow="0" w:lastRow="0" w:firstColumn="0" w:lastColumn="0" w:oddVBand="0" w:evenVBand="0" w:oddHBand="0" w:evenHBand="0" w:firstRowFirstColumn="0" w:firstRowLastColumn="0" w:lastRowFirstColumn="0" w:lastRowLastColumn="0"/>
              <w:rPr>
                <w:color w:val="auto"/>
              </w:rPr>
            </w:pPr>
            <w:r w:rsidRPr="00562D8C">
              <w:t>PESES-2</w:t>
            </w:r>
          </w:p>
        </w:tc>
        <w:tc>
          <w:tcPr>
            <w:tcW w:w="1667" w:type="pct"/>
            <w:tcBorders>
              <w:top w:val="single" w:sz="4" w:space="0" w:color="26664E" w:themeColor="accent1"/>
              <w:bottom w:val="single" w:sz="4" w:space="0" w:color="26664E" w:themeColor="accent1"/>
            </w:tcBorders>
          </w:tcPr>
          <w:p w14:paraId="6A8492FC" w14:textId="77777777" w:rsidR="003F26DA" w:rsidRPr="00562D8C" w:rsidRDefault="003F26DA">
            <w:pPr>
              <w:pStyle w:val="10Tabletext"/>
              <w:cnfStyle w:val="000000000000" w:firstRow="0" w:lastRow="0" w:firstColumn="0" w:lastColumn="0" w:oddVBand="0" w:evenVBand="0" w:oddHBand="0" w:evenHBand="0" w:firstRowFirstColumn="0" w:firstRowLastColumn="0" w:lastRowFirstColumn="0" w:lastRowLastColumn="0"/>
              <w:rPr>
                <w:color w:val="auto"/>
              </w:rPr>
            </w:pPr>
            <w:r w:rsidRPr="00562D8C">
              <w:t>SES-2</w:t>
            </w:r>
          </w:p>
        </w:tc>
      </w:tr>
      <w:tr w:rsidR="003F26DA" w14:paraId="23F62E93"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26664E" w:themeColor="accent1"/>
              <w:bottom w:val="single" w:sz="4" w:space="0" w:color="26664E" w:themeColor="accent1"/>
            </w:tcBorders>
          </w:tcPr>
          <w:p w14:paraId="72C0EF33" w14:textId="77777777" w:rsidR="003F26DA" w:rsidRPr="00562D8C" w:rsidRDefault="003F26DA">
            <w:pPr>
              <w:pStyle w:val="10Tabletext"/>
              <w:rPr>
                <w:color w:val="auto"/>
              </w:rPr>
            </w:pPr>
            <w:r w:rsidRPr="00562D8C">
              <w:rPr>
                <w:color w:val="auto"/>
              </w:rPr>
              <w:t>48 – 56</w:t>
            </w:r>
          </w:p>
        </w:tc>
        <w:tc>
          <w:tcPr>
            <w:tcW w:w="1667" w:type="pct"/>
            <w:tcBorders>
              <w:top w:val="single" w:sz="4" w:space="0" w:color="26664E" w:themeColor="accent1"/>
              <w:bottom w:val="single" w:sz="4" w:space="0" w:color="26664E" w:themeColor="accent1"/>
            </w:tcBorders>
          </w:tcPr>
          <w:p w14:paraId="6EA566A5" w14:textId="77777777" w:rsidR="003F26DA" w:rsidRPr="00562D8C" w:rsidRDefault="003F26DA">
            <w:pPr>
              <w:pStyle w:val="10Tabletext"/>
              <w:cnfStyle w:val="000000100000" w:firstRow="0" w:lastRow="0" w:firstColumn="0" w:lastColumn="0" w:oddVBand="0" w:evenVBand="0" w:oddHBand="1" w:evenHBand="0" w:firstRowFirstColumn="0" w:firstRowLastColumn="0" w:lastRowFirstColumn="0" w:lastRowLastColumn="0"/>
              <w:rPr>
                <w:color w:val="auto"/>
              </w:rPr>
            </w:pPr>
            <w:r w:rsidRPr="00562D8C">
              <w:t>PESES-3</w:t>
            </w:r>
          </w:p>
        </w:tc>
        <w:tc>
          <w:tcPr>
            <w:tcW w:w="1667" w:type="pct"/>
            <w:tcBorders>
              <w:top w:val="single" w:sz="4" w:space="0" w:color="26664E" w:themeColor="accent1"/>
              <w:bottom w:val="single" w:sz="4" w:space="0" w:color="26664E" w:themeColor="accent1"/>
            </w:tcBorders>
          </w:tcPr>
          <w:p w14:paraId="5A5FB02A" w14:textId="77777777" w:rsidR="003F26DA" w:rsidRPr="00562D8C" w:rsidRDefault="003F26DA">
            <w:pPr>
              <w:pStyle w:val="10Tabletext"/>
              <w:cnfStyle w:val="000000100000" w:firstRow="0" w:lastRow="0" w:firstColumn="0" w:lastColumn="0" w:oddVBand="0" w:evenVBand="0" w:oddHBand="1" w:evenHBand="0" w:firstRowFirstColumn="0" w:firstRowLastColumn="0" w:lastRowFirstColumn="0" w:lastRowLastColumn="0"/>
              <w:rPr>
                <w:color w:val="auto"/>
              </w:rPr>
            </w:pPr>
            <w:r w:rsidRPr="00562D8C">
              <w:t>SES-3</w:t>
            </w:r>
          </w:p>
        </w:tc>
      </w:tr>
    </w:tbl>
    <w:p w14:paraId="366585C9" w14:textId="40916A9A" w:rsidR="003F26DA" w:rsidRDefault="003F26DA">
      <w:pPr>
        <w:pStyle w:val="09Sourcesandnotesfortablesfiguresboxes"/>
        <w:rPr>
          <w:lang w:val="en-US"/>
        </w:rPr>
      </w:pPr>
      <w:r>
        <w:rPr>
          <w:lang w:val="en-US"/>
        </w:rPr>
        <w:t>Source: VPSC (2022</w:t>
      </w:r>
      <w:r w:rsidR="00B66338">
        <w:rPr>
          <w:lang w:val="en-US"/>
        </w:rPr>
        <w:t>d</w:t>
      </w:r>
      <w:r>
        <w:rPr>
          <w:lang w:val="en-US"/>
        </w:rPr>
        <w:t>); VPSC (2022</w:t>
      </w:r>
      <w:r w:rsidR="00A8134B">
        <w:rPr>
          <w:lang w:val="en-US"/>
        </w:rPr>
        <w:t>g</w:t>
      </w:r>
      <w:r>
        <w:rPr>
          <w:lang w:val="en-US"/>
        </w:rPr>
        <w:t>)</w:t>
      </w:r>
      <w:r w:rsidR="00A8134B">
        <w:rPr>
          <w:lang w:val="en-US"/>
        </w:rPr>
        <w:t>.</w:t>
      </w:r>
    </w:p>
    <w:p w14:paraId="6FCA3553" w14:textId="08FBAD82" w:rsidR="003F26DA" w:rsidRDefault="003F26DA">
      <w:pPr>
        <w:pStyle w:val="05Paragraph"/>
      </w:pPr>
      <w:r w:rsidRPr="00562D8C">
        <w:t>Under the PEER Policy, positions that score fewer than 21 points are generally not considered to be executive positions for the purposes of the Tribunal’s Determinations. The</w:t>
      </w:r>
      <w:r w:rsidR="009D08C8">
        <w:t xml:space="preserve">re are </w:t>
      </w:r>
      <w:r w:rsidRPr="00562D8C">
        <w:t xml:space="preserve">exceptions </w:t>
      </w:r>
      <w:r w:rsidR="009D08C8">
        <w:t>for</w:t>
      </w:r>
      <w:r w:rsidRPr="00562D8C">
        <w:t xml:space="preserve"> public entity CEOs and </w:t>
      </w:r>
      <w:r w:rsidR="009D08C8">
        <w:t>similar</w:t>
      </w:r>
      <w:r w:rsidRPr="00562D8C">
        <w:t xml:space="preserve"> roles, which </w:t>
      </w:r>
      <w:proofErr w:type="gramStart"/>
      <w:r w:rsidRPr="00562D8C">
        <w:t>are considered to be</w:t>
      </w:r>
      <w:proofErr w:type="gramEnd"/>
      <w:r w:rsidRPr="00562D8C">
        <w:t xml:space="preserve"> executive positions irrespective of their work value score. </w:t>
      </w:r>
    </w:p>
    <w:p w14:paraId="3B6CB208" w14:textId="118DA164" w:rsidR="003F26DA" w:rsidRPr="00362253" w:rsidRDefault="003F26DA">
      <w:pPr>
        <w:pStyle w:val="05Paragraph"/>
      </w:pPr>
      <w:r>
        <w:t>The work value factors under the PEECF are</w:t>
      </w:r>
      <w:r w:rsidDel="006E5743">
        <w:t xml:space="preserve"> </w:t>
      </w:r>
      <w:r>
        <w:t xml:space="preserve">designed to capture </w:t>
      </w:r>
      <w:r w:rsidR="00BC4BFF">
        <w:t>all</w:t>
      </w:r>
      <w:r>
        <w:t xml:space="preserve"> executive roles and, recognising the diversity of CEO roles, provide for a public entity CEO to be assessed in any of the PESES bands.</w:t>
      </w:r>
      <w:r>
        <w:rPr>
          <w:rStyle w:val="FootnoteReference"/>
        </w:rPr>
        <w:footnoteReference w:id="74"/>
      </w:r>
      <w:r>
        <w:t xml:space="preserve"> </w:t>
      </w:r>
      <w:r w:rsidR="00BC4BFF">
        <w:t>In</w:t>
      </w:r>
      <w:r>
        <w:rPr>
          <w:lang w:val="en-US"/>
        </w:rPr>
        <w:t xml:space="preserve"> contrast, department Secretaries and the Victorian Public Sector Commissioner sit outside the classification framework (VPSECF) that applies to other executive positions in their </w:t>
      </w:r>
      <w:proofErr w:type="spellStart"/>
      <w:r>
        <w:rPr>
          <w:lang w:val="en-US"/>
        </w:rPr>
        <w:t>organisations</w:t>
      </w:r>
      <w:proofErr w:type="spellEnd"/>
      <w:r>
        <w:rPr>
          <w:lang w:val="en-US"/>
        </w:rPr>
        <w:t>.</w:t>
      </w:r>
    </w:p>
    <w:p w14:paraId="53F6A091" w14:textId="77777777" w:rsidR="003F26DA" w:rsidRDefault="003F26DA">
      <w:pPr>
        <w:pStyle w:val="03VIRTHeading3"/>
      </w:pPr>
      <w:r>
        <w:lastRenderedPageBreak/>
        <w:t>Executives in public entities perform diverse functions</w:t>
      </w:r>
    </w:p>
    <w:p w14:paraId="377AB557" w14:textId="101D617E" w:rsidR="003F26DA" w:rsidRDefault="003F26DA">
      <w:pPr>
        <w:pStyle w:val="05Paragraph"/>
      </w:pPr>
      <w:r>
        <w:t xml:space="preserve">The PEECF and VPSECF outline five work value streams, which reflect the principal functions of executives, including ‘delivery’, ‘policy’ and ‘project/portfolio and program’ (Table 3.3). While a given position may have responsibilities that span multiple work streams, the VPSC notes that </w:t>
      </w:r>
      <w:r w:rsidR="00D345F9">
        <w:t>the position</w:t>
      </w:r>
      <w:r>
        <w:t xml:space="preserve"> will likely make a more significant contribution in one or two work streams.</w:t>
      </w:r>
      <w:r>
        <w:rPr>
          <w:rStyle w:val="FootnoteReference"/>
        </w:rPr>
        <w:footnoteReference w:id="75"/>
      </w:r>
    </w:p>
    <w:p w14:paraId="798B9C33" w14:textId="77777777" w:rsidR="003F26DA" w:rsidRPr="00183C85" w:rsidRDefault="003F26DA">
      <w:pPr>
        <w:pStyle w:val="08Figuretableboxheading"/>
        <w:rPr>
          <w:vertAlign w:val="superscript"/>
        </w:rPr>
      </w:pPr>
      <w:r>
        <w:t>Table 3.3: Summary of work value streams under the PEECF</w:t>
      </w:r>
      <w:r>
        <w:rPr>
          <w:vertAlign w:val="superscript"/>
        </w:rPr>
        <w:t>(a)</w:t>
      </w:r>
    </w:p>
    <w:tbl>
      <w:tblPr>
        <w:tblStyle w:val="VIRTDeterminationTableStyle"/>
        <w:tblW w:w="0" w:type="auto"/>
        <w:tblInd w:w="5" w:type="dxa"/>
        <w:tblBorders>
          <w:top w:val="single" w:sz="4" w:space="0" w:color="26664E" w:themeColor="accent1"/>
          <w:left w:val="single" w:sz="4" w:space="0" w:color="26664E" w:themeColor="accent1"/>
          <w:bottom w:val="single" w:sz="4" w:space="0" w:color="26664E" w:themeColor="accent1"/>
          <w:right w:val="single" w:sz="4" w:space="0" w:color="26664E" w:themeColor="accent1"/>
          <w:insideH w:val="single" w:sz="4" w:space="0" w:color="26664E" w:themeColor="accent1"/>
          <w:insideV w:val="single" w:sz="4" w:space="0" w:color="26664E" w:themeColor="accent1"/>
        </w:tblBorders>
        <w:tblLook w:val="04A0" w:firstRow="1" w:lastRow="0" w:firstColumn="1" w:lastColumn="0" w:noHBand="0" w:noVBand="1"/>
      </w:tblPr>
      <w:tblGrid>
        <w:gridCol w:w="2184"/>
        <w:gridCol w:w="6315"/>
      </w:tblGrid>
      <w:tr w:rsidR="003F26DA" w14:paraId="458C0B9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84" w:type="dxa"/>
            <w:tcBorders>
              <w:left w:val="nil"/>
              <w:bottom w:val="none" w:sz="0" w:space="0" w:color="auto"/>
            </w:tcBorders>
          </w:tcPr>
          <w:p w14:paraId="7BF4494F" w14:textId="77777777" w:rsidR="003F26DA" w:rsidRPr="007E1AFB" w:rsidRDefault="003F26DA">
            <w:pPr>
              <w:pStyle w:val="Tableheaderrow"/>
              <w:rPr>
                <w:b/>
                <w:bCs/>
                <w:color w:val="FFFFFF" w:themeColor="background1"/>
                <w:lang w:val="en-US"/>
              </w:rPr>
            </w:pPr>
            <w:r>
              <w:rPr>
                <w:b/>
                <w:bCs/>
                <w:color w:val="FFFFFF" w:themeColor="background1"/>
                <w:lang w:val="en-US"/>
              </w:rPr>
              <w:t>Stream</w:t>
            </w:r>
          </w:p>
        </w:tc>
        <w:tc>
          <w:tcPr>
            <w:tcW w:w="6315" w:type="dxa"/>
            <w:tcBorders>
              <w:left w:val="nil"/>
              <w:right w:val="nil"/>
            </w:tcBorders>
          </w:tcPr>
          <w:p w14:paraId="65AD5468" w14:textId="77777777" w:rsidR="003F26DA" w:rsidRPr="007E1AFB" w:rsidRDefault="003F26DA">
            <w:pPr>
              <w:pStyle w:val="Tableheaderrow"/>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Pr>
                <w:b/>
                <w:bCs/>
                <w:color w:val="FFFFFF" w:themeColor="background1"/>
                <w:lang w:val="en-US"/>
              </w:rPr>
              <w:t>Description</w:t>
            </w:r>
          </w:p>
        </w:tc>
      </w:tr>
      <w:tr w:rsidR="003F26DA" w14:paraId="4BFA34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Borders>
              <w:top w:val="none" w:sz="0" w:space="0" w:color="auto"/>
              <w:left w:val="nil"/>
              <w:bottom w:val="none" w:sz="0" w:space="0" w:color="auto"/>
            </w:tcBorders>
          </w:tcPr>
          <w:p w14:paraId="28A5C30D" w14:textId="77777777" w:rsidR="003F26DA" w:rsidRPr="00D3280C" w:rsidRDefault="003F26DA">
            <w:pPr>
              <w:pStyle w:val="10Tabletext"/>
              <w:rPr>
                <w:bCs/>
              </w:rPr>
            </w:pPr>
            <w:r w:rsidRPr="00D3280C">
              <w:rPr>
                <w:bCs/>
              </w:rPr>
              <w:t>Delivery</w:t>
            </w:r>
          </w:p>
        </w:tc>
        <w:tc>
          <w:tcPr>
            <w:tcW w:w="6315" w:type="dxa"/>
            <w:tcBorders>
              <w:top w:val="none" w:sz="0" w:space="0" w:color="auto"/>
              <w:left w:val="nil"/>
              <w:bottom w:val="none" w:sz="0" w:space="0" w:color="auto"/>
              <w:right w:val="nil"/>
            </w:tcBorders>
          </w:tcPr>
          <w:p w14:paraId="7A3894B9" w14:textId="77777777" w:rsidR="003F26DA" w:rsidRPr="00D233C1"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pPr>
            <w:r w:rsidRPr="00D233C1">
              <w:t>A principal focus for an executive active in this stream is service delivery</w:t>
            </w:r>
            <w:r>
              <w:t>, which could:</w:t>
            </w:r>
          </w:p>
          <w:p w14:paraId="67AE7697" w14:textId="26A4AF53" w:rsidR="003F26DA" w:rsidRPr="00D233C1" w:rsidRDefault="003F26DA" w:rsidP="002D7FF4">
            <w:pPr>
              <w:pStyle w:val="11Bulletsinatable"/>
              <w:numPr>
                <w:ilvl w:val="0"/>
                <w:numId w:val="36"/>
              </w:numPr>
              <w:cnfStyle w:val="000000100000" w:firstRow="0" w:lastRow="0" w:firstColumn="0" w:lastColumn="0" w:oddVBand="0" w:evenVBand="0" w:oddHBand="1" w:evenHBand="0" w:firstRowFirstColumn="0" w:firstRowLastColumn="0" w:lastRowFirstColumn="0" w:lastRowLastColumn="0"/>
            </w:pPr>
            <w:r>
              <w:t>include providing</w:t>
            </w:r>
            <w:r w:rsidRPr="00D233C1">
              <w:t xml:space="preserve"> services within an organisation, such as financial, human resource or </w:t>
            </w:r>
            <w:r w:rsidR="00D345F9">
              <w:t>information technology</w:t>
            </w:r>
            <w:r w:rsidRPr="00D233C1">
              <w:t xml:space="preserve"> services</w:t>
            </w:r>
          </w:p>
          <w:p w14:paraId="2B086296" w14:textId="77777777" w:rsidR="003F26DA" w:rsidRPr="00D233C1" w:rsidRDefault="003F26DA" w:rsidP="002D7FF4">
            <w:pPr>
              <w:pStyle w:val="11Bulletsinatable"/>
              <w:numPr>
                <w:ilvl w:val="0"/>
                <w:numId w:val="36"/>
              </w:numPr>
              <w:cnfStyle w:val="000000100000" w:firstRow="0" w:lastRow="0" w:firstColumn="0" w:lastColumn="0" w:oddVBand="0" w:evenVBand="0" w:oddHBand="1" w:evenHBand="0" w:firstRowFirstColumn="0" w:firstRowLastColumn="0" w:lastRowFirstColumn="0" w:lastRowLastColumn="0"/>
            </w:pPr>
            <w:r w:rsidRPr="00D233C1">
              <w:t>reflect the position’s responsibility for the delivery of services and policy objectives within a sector</w:t>
            </w:r>
            <w:r>
              <w:t>.</w:t>
            </w:r>
          </w:p>
          <w:p w14:paraId="7BBAE543" w14:textId="77777777" w:rsidR="003F26DA" w:rsidRPr="00D233C1"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pPr>
            <w:r w:rsidRPr="00D233C1">
              <w:t xml:space="preserve">This would </w:t>
            </w:r>
            <w:r>
              <w:t>capture</w:t>
            </w:r>
            <w:r w:rsidRPr="00D233C1">
              <w:t xml:space="preserve"> many operational positions.</w:t>
            </w:r>
          </w:p>
        </w:tc>
      </w:tr>
      <w:tr w:rsidR="003F26DA" w14:paraId="0E2DB639" w14:textId="77777777">
        <w:tc>
          <w:tcPr>
            <w:cnfStyle w:val="001000000000" w:firstRow="0" w:lastRow="0" w:firstColumn="1" w:lastColumn="0" w:oddVBand="0" w:evenVBand="0" w:oddHBand="0" w:evenHBand="0" w:firstRowFirstColumn="0" w:firstRowLastColumn="0" w:lastRowFirstColumn="0" w:lastRowLastColumn="0"/>
            <w:tcW w:w="2184" w:type="dxa"/>
            <w:tcBorders>
              <w:left w:val="nil"/>
            </w:tcBorders>
          </w:tcPr>
          <w:p w14:paraId="58B161EA" w14:textId="77777777" w:rsidR="003F26DA" w:rsidRPr="00D3280C" w:rsidRDefault="003F26DA">
            <w:pPr>
              <w:pStyle w:val="10Tabletext"/>
              <w:rPr>
                <w:bCs/>
              </w:rPr>
            </w:pPr>
            <w:r w:rsidRPr="00D3280C">
              <w:rPr>
                <w:bCs/>
              </w:rPr>
              <w:t>Policy</w:t>
            </w:r>
          </w:p>
        </w:tc>
        <w:tc>
          <w:tcPr>
            <w:tcW w:w="6315" w:type="dxa"/>
            <w:tcBorders>
              <w:left w:val="nil"/>
              <w:right w:val="nil"/>
            </w:tcBorders>
          </w:tcPr>
          <w:p w14:paraId="28064299" w14:textId="77777777" w:rsidR="003F26DA" w:rsidRPr="00D233C1" w:rsidRDefault="003F26DA" w:rsidP="002D7FF4">
            <w:pPr>
              <w:pStyle w:val="11Bulletsinatable"/>
              <w:numPr>
                <w:ilvl w:val="0"/>
                <w:numId w:val="34"/>
              </w:numPr>
              <w:cnfStyle w:val="000000000000" w:firstRow="0" w:lastRow="0" w:firstColumn="0" w:lastColumn="0" w:oddVBand="0" w:evenVBand="0" w:oddHBand="0" w:evenHBand="0" w:firstRowFirstColumn="0" w:firstRowLastColumn="0" w:lastRowFirstColumn="0" w:lastRowLastColumn="0"/>
            </w:pPr>
            <w:r>
              <w:t>The focus of this stream is</w:t>
            </w:r>
            <w:r w:rsidRPr="00D233C1">
              <w:t xml:space="preserve"> policy formulation, implementation and advice.</w:t>
            </w:r>
          </w:p>
          <w:p w14:paraId="1335B356" w14:textId="77777777" w:rsidR="003F26DA" w:rsidRPr="00D233C1" w:rsidRDefault="003F26DA" w:rsidP="002D7FF4">
            <w:pPr>
              <w:pStyle w:val="11Bulletsinatable"/>
              <w:numPr>
                <w:ilvl w:val="0"/>
                <w:numId w:val="34"/>
              </w:numPr>
              <w:cnfStyle w:val="000000000000" w:firstRow="0" w:lastRow="0" w:firstColumn="0" w:lastColumn="0" w:oddVBand="0" w:evenVBand="0" w:oddHBand="0" w:evenHBand="0" w:firstRowFirstColumn="0" w:firstRowLastColumn="0" w:lastRowFirstColumn="0" w:lastRowLastColumn="0"/>
            </w:pPr>
            <w:r w:rsidRPr="00D233C1">
              <w:t>Other responsibilities include stakeholder consultati</w:t>
            </w:r>
            <w:r>
              <w:t>on</w:t>
            </w:r>
            <w:r w:rsidRPr="00D233C1">
              <w:t xml:space="preserve"> and articulation of policy, regulatory or financial measures and legislation.</w:t>
            </w:r>
          </w:p>
        </w:tc>
      </w:tr>
      <w:tr w:rsidR="003F26DA" w14:paraId="156B82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Borders>
              <w:top w:val="none" w:sz="0" w:space="0" w:color="auto"/>
              <w:left w:val="nil"/>
              <w:bottom w:val="none" w:sz="0" w:space="0" w:color="auto"/>
            </w:tcBorders>
          </w:tcPr>
          <w:p w14:paraId="0AB4633B" w14:textId="77777777" w:rsidR="003F26DA" w:rsidRPr="00D3280C" w:rsidRDefault="003F26DA">
            <w:pPr>
              <w:pStyle w:val="10Tabletext"/>
              <w:rPr>
                <w:bCs/>
              </w:rPr>
            </w:pPr>
            <w:r w:rsidRPr="00D3280C">
              <w:rPr>
                <w:bCs/>
              </w:rPr>
              <w:t>Project</w:t>
            </w:r>
            <w:r w:rsidRPr="00D3280C">
              <w:rPr>
                <w:bCs/>
                <w:vertAlign w:val="superscript"/>
              </w:rPr>
              <w:t>(b)</w:t>
            </w:r>
            <w:r w:rsidRPr="00D3280C">
              <w:rPr>
                <w:bCs/>
              </w:rPr>
              <w:t xml:space="preserve"> and program</w:t>
            </w:r>
          </w:p>
        </w:tc>
        <w:tc>
          <w:tcPr>
            <w:tcW w:w="6315" w:type="dxa"/>
            <w:tcBorders>
              <w:top w:val="none" w:sz="0" w:space="0" w:color="auto"/>
              <w:left w:val="nil"/>
              <w:bottom w:val="none" w:sz="0" w:space="0" w:color="auto"/>
              <w:right w:val="nil"/>
            </w:tcBorders>
          </w:tcPr>
          <w:p w14:paraId="454F7C97" w14:textId="77777777" w:rsidR="003F26DA" w:rsidRPr="00034365"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rPr>
                <w:rFonts w:ascii="VIC" w:hAnsi="VIC"/>
                <w:bCs/>
                <w:color w:val="000000"/>
              </w:rPr>
            </w:pPr>
            <w:r>
              <w:t>The focus of this stream is</w:t>
            </w:r>
            <w:r w:rsidRPr="00034365">
              <w:t xml:space="preserve"> planning, manag</w:t>
            </w:r>
            <w:r>
              <w:t xml:space="preserve">ing </w:t>
            </w:r>
            <w:r w:rsidRPr="00034365">
              <w:t>and implement</w:t>
            </w:r>
            <w:r>
              <w:t>ing</w:t>
            </w:r>
            <w:r w:rsidRPr="00034365">
              <w:t xml:space="preserve"> project and program initiatives.</w:t>
            </w:r>
          </w:p>
        </w:tc>
      </w:tr>
      <w:tr w:rsidR="003F26DA" w14:paraId="4C5FC75B" w14:textId="77777777">
        <w:tc>
          <w:tcPr>
            <w:cnfStyle w:val="001000000000" w:firstRow="0" w:lastRow="0" w:firstColumn="1" w:lastColumn="0" w:oddVBand="0" w:evenVBand="0" w:oddHBand="0" w:evenHBand="0" w:firstRowFirstColumn="0" w:firstRowLastColumn="0" w:lastRowFirstColumn="0" w:lastRowLastColumn="0"/>
            <w:tcW w:w="2184" w:type="dxa"/>
            <w:tcBorders>
              <w:left w:val="nil"/>
            </w:tcBorders>
          </w:tcPr>
          <w:p w14:paraId="587A3394" w14:textId="77777777" w:rsidR="003F26DA" w:rsidRPr="00D3280C" w:rsidRDefault="003F26DA">
            <w:pPr>
              <w:pStyle w:val="10Tabletext"/>
              <w:rPr>
                <w:bCs/>
              </w:rPr>
            </w:pPr>
            <w:r w:rsidRPr="00D3280C">
              <w:rPr>
                <w:bCs/>
              </w:rPr>
              <w:t>Regulatory</w:t>
            </w:r>
          </w:p>
          <w:p w14:paraId="63198EC1" w14:textId="77777777" w:rsidR="003F26DA" w:rsidRPr="00D3280C" w:rsidRDefault="003F26DA">
            <w:pPr>
              <w:pStyle w:val="10Tabletext"/>
              <w:rPr>
                <w:bCs/>
                <w:lang w:val="en-US"/>
              </w:rPr>
            </w:pPr>
          </w:p>
        </w:tc>
        <w:tc>
          <w:tcPr>
            <w:tcW w:w="6315" w:type="dxa"/>
            <w:tcBorders>
              <w:left w:val="nil"/>
              <w:right w:val="nil"/>
            </w:tcBorders>
          </w:tcPr>
          <w:p w14:paraId="668661B8" w14:textId="77777777" w:rsidR="003F26DA" w:rsidRPr="003D1DA5" w:rsidRDefault="003F26DA" w:rsidP="002D7FF4">
            <w:pPr>
              <w:pStyle w:val="10Tabletext"/>
              <w:numPr>
                <w:ilvl w:val="0"/>
                <w:numId w:val="34"/>
              </w:numPr>
              <w:cnfStyle w:val="000000000000" w:firstRow="0" w:lastRow="0" w:firstColumn="0" w:lastColumn="0" w:oddVBand="0" w:evenVBand="0" w:oddHBand="0" w:evenHBand="0" w:firstRowFirstColumn="0" w:firstRowLastColumn="0" w:lastRowFirstColumn="0" w:lastRowLastColumn="0"/>
              <w:rPr>
                <w:bCs w:val="0"/>
              </w:rPr>
            </w:pPr>
            <w:r>
              <w:t>The focus of this steam</w:t>
            </w:r>
            <w:r w:rsidRPr="00034365">
              <w:t xml:space="preserve"> </w:t>
            </w:r>
            <w:r>
              <w:t>is</w:t>
            </w:r>
            <w:r w:rsidRPr="00034365">
              <w:t xml:space="preserve"> information gathering</w:t>
            </w:r>
            <w:r>
              <w:t xml:space="preserve">, </w:t>
            </w:r>
            <w:r w:rsidRPr="00034365">
              <w:t>risk assessment and the design and implementation of compliance and enforcement programs.</w:t>
            </w:r>
          </w:p>
        </w:tc>
      </w:tr>
      <w:tr w:rsidR="003F26DA" w14:paraId="2DE065B1"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Borders>
              <w:left w:val="nil"/>
              <w:bottom w:val="single" w:sz="4" w:space="0" w:color="26664E" w:themeColor="accent1"/>
            </w:tcBorders>
          </w:tcPr>
          <w:p w14:paraId="116FBD09" w14:textId="77777777" w:rsidR="003F26DA" w:rsidRPr="00D3280C" w:rsidRDefault="003F26DA">
            <w:pPr>
              <w:pStyle w:val="10Tabletext"/>
              <w:rPr>
                <w:bCs/>
              </w:rPr>
            </w:pPr>
            <w:r w:rsidRPr="00D3280C">
              <w:rPr>
                <w:bCs/>
              </w:rPr>
              <w:t>Professional/specialist</w:t>
            </w:r>
          </w:p>
        </w:tc>
        <w:tc>
          <w:tcPr>
            <w:tcW w:w="6315" w:type="dxa"/>
            <w:tcBorders>
              <w:left w:val="nil"/>
              <w:bottom w:val="single" w:sz="4" w:space="0" w:color="26664E" w:themeColor="accent1"/>
              <w:right w:val="nil"/>
            </w:tcBorders>
          </w:tcPr>
          <w:p w14:paraId="06B3C6FC" w14:textId="77777777" w:rsidR="003F26DA" w:rsidRPr="00034365"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pPr>
            <w:r>
              <w:t>The focus of this stream</w:t>
            </w:r>
            <w:r w:rsidRPr="00034365">
              <w:t xml:space="preserve"> is the provision of </w:t>
            </w:r>
            <w:r>
              <w:t>complex</w:t>
            </w:r>
            <w:r w:rsidRPr="00034365">
              <w:t xml:space="preserve"> professional, specialist or strategic advice </w:t>
            </w:r>
            <w:r>
              <w:t>with</w:t>
            </w:r>
            <w:r w:rsidRPr="00034365">
              <w:t xml:space="preserve"> substantial risk and accountability.</w:t>
            </w:r>
          </w:p>
          <w:p w14:paraId="39E55450" w14:textId="77777777" w:rsidR="003F26DA" w:rsidRPr="00034365" w:rsidRDefault="003F26DA" w:rsidP="002D7FF4">
            <w:pPr>
              <w:pStyle w:val="11Bulletsinatable"/>
              <w:numPr>
                <w:ilvl w:val="0"/>
                <w:numId w:val="34"/>
              </w:numPr>
              <w:cnfStyle w:val="000000100000" w:firstRow="0" w:lastRow="0" w:firstColumn="0" w:lastColumn="0" w:oddVBand="0" w:evenVBand="0" w:oddHBand="1" w:evenHBand="0" w:firstRowFirstColumn="0" w:firstRowLastColumn="0" w:lastRowFirstColumn="0" w:lastRowLastColumn="0"/>
            </w:pPr>
            <w:r w:rsidRPr="00034365">
              <w:t>Advice is core to an entity’s business and has a primary influence on the entity’s adopted strategies, plans and targets.</w:t>
            </w:r>
          </w:p>
        </w:tc>
      </w:tr>
    </w:tbl>
    <w:p w14:paraId="14AA0EF8" w14:textId="7A3AA0B4" w:rsidR="003F26DA" w:rsidRDefault="003F26DA">
      <w:pPr>
        <w:pStyle w:val="09Sourcesandnotesfortablesfiguresboxes"/>
        <w:rPr>
          <w:lang w:val="en-US"/>
        </w:rPr>
      </w:pPr>
      <w:r>
        <w:rPr>
          <w:lang w:val="en-US"/>
        </w:rPr>
        <w:t>Note</w:t>
      </w:r>
      <w:r w:rsidR="00D345F9">
        <w:rPr>
          <w:lang w:val="en-US"/>
        </w:rPr>
        <w:t>s</w:t>
      </w:r>
      <w:r>
        <w:rPr>
          <w:lang w:val="en-US"/>
        </w:rPr>
        <w:t>: (a) The VPSECF features the same five streams, although some definitions vary slightly. (b) This work value stream is called ‘project and program’ under the PEECF and ‘portfolio and program’ under the VPSECF.</w:t>
      </w:r>
    </w:p>
    <w:p w14:paraId="5B0D0780" w14:textId="64CEFF86" w:rsidR="003F26DA" w:rsidRDefault="003F26DA">
      <w:pPr>
        <w:pStyle w:val="09Sourcesandnotesfortablesfiguresboxes"/>
        <w:rPr>
          <w:lang w:val="en-US"/>
        </w:rPr>
      </w:pPr>
      <w:r>
        <w:rPr>
          <w:lang w:val="en-US"/>
        </w:rPr>
        <w:t>Source: Adapted from VPSC (2022</w:t>
      </w:r>
      <w:r w:rsidR="001A5B7F">
        <w:rPr>
          <w:lang w:val="en-US"/>
        </w:rPr>
        <w:t>d</w:t>
      </w:r>
      <w:r>
        <w:rPr>
          <w:lang w:val="en-US"/>
        </w:rPr>
        <w:t>).</w:t>
      </w:r>
    </w:p>
    <w:p w14:paraId="1DE59750" w14:textId="77777777" w:rsidR="003F26DA" w:rsidRDefault="003F26DA">
      <w:pPr>
        <w:pStyle w:val="05Paragraph"/>
        <w:rPr>
          <w:lang w:val="en-US"/>
        </w:rPr>
      </w:pPr>
      <w:r>
        <w:rPr>
          <w:lang w:val="en-US"/>
        </w:rPr>
        <w:t xml:space="preserve">Executive positions are not scored against each of the work streams, unlike the work value factors. However, the associated work stream descriptors </w:t>
      </w:r>
      <w:r w:rsidRPr="005814BE">
        <w:rPr>
          <w:lang w:val="en-US"/>
        </w:rPr>
        <w:t>—</w:t>
      </w:r>
      <w:r>
        <w:rPr>
          <w:lang w:val="en-US"/>
        </w:rPr>
        <w:t xml:space="preserve"> which are provided for all work streams across each of PESES/SES bands </w:t>
      </w:r>
      <w:r w:rsidRPr="005814BE">
        <w:rPr>
          <w:lang w:val="en-US"/>
        </w:rPr>
        <w:t>—</w:t>
      </w:r>
      <w:r>
        <w:rPr>
          <w:lang w:val="en-US"/>
        </w:rPr>
        <w:t xml:space="preserve"> can be used to validate the provisional classification for a position based on its work value score.</w:t>
      </w:r>
      <w:r>
        <w:rPr>
          <w:rStyle w:val="FootnoteReference"/>
          <w:lang w:val="en-US"/>
        </w:rPr>
        <w:footnoteReference w:id="76"/>
      </w:r>
    </w:p>
    <w:p w14:paraId="0BEA9B6D" w14:textId="70C24EC2" w:rsidR="003F26DA" w:rsidRDefault="003F26DA">
      <w:pPr>
        <w:pStyle w:val="02VIRTHeading2"/>
        <w:rPr>
          <w:lang w:val="en-US"/>
        </w:rPr>
      </w:pPr>
      <w:bookmarkStart w:id="51" w:name="_Toc185012361"/>
      <w:r>
        <w:rPr>
          <w:lang w:val="en-US"/>
        </w:rPr>
        <w:lastRenderedPageBreak/>
        <w:t>3.2</w:t>
      </w:r>
      <w:r>
        <w:rPr>
          <w:lang w:val="en-US"/>
        </w:rPr>
        <w:tab/>
        <w:t xml:space="preserve">Each public entity is headed by a Chief Executive Officer (or </w:t>
      </w:r>
      <w:r w:rsidR="00B20D17">
        <w:rPr>
          <w:lang w:val="en-US"/>
        </w:rPr>
        <w:t>similar</w:t>
      </w:r>
      <w:r>
        <w:rPr>
          <w:lang w:val="en-US"/>
        </w:rPr>
        <w:t>)</w:t>
      </w:r>
      <w:bookmarkEnd w:id="51"/>
    </w:p>
    <w:p w14:paraId="42596363" w14:textId="05798858" w:rsidR="003F26DA" w:rsidRDefault="003F26DA">
      <w:pPr>
        <w:pStyle w:val="05Paragraph"/>
      </w:pPr>
      <w:r>
        <w:t xml:space="preserve">In most cases, a public entity’s governing body (usually a board of directors) employs a CEO (or </w:t>
      </w:r>
      <w:r w:rsidR="00B20D17">
        <w:t>similar</w:t>
      </w:r>
      <w:r>
        <w:t>) to support it to fulfill its responsibilities</w:t>
      </w:r>
      <w:r w:rsidRPr="00014AD0">
        <w:t>.</w:t>
      </w:r>
      <w:r>
        <w:rPr>
          <w:rStyle w:val="FootnoteReference"/>
        </w:rPr>
        <w:footnoteReference w:id="77"/>
      </w:r>
      <w:r>
        <w:t xml:space="preserve"> </w:t>
      </w:r>
      <w:r w:rsidRPr="00014AD0">
        <w:t xml:space="preserve">The </w:t>
      </w:r>
      <w:r>
        <w:t>governing body</w:t>
      </w:r>
      <w:r w:rsidRPr="00014AD0">
        <w:t xml:space="preserve"> is accountable to </w:t>
      </w:r>
      <w:r>
        <w:t>the government of the day (via the</w:t>
      </w:r>
      <w:r w:rsidRPr="00014AD0">
        <w:t xml:space="preserve"> responsible Minister</w:t>
      </w:r>
      <w:r>
        <w:t>)</w:t>
      </w:r>
      <w:r w:rsidRPr="00014AD0">
        <w:t xml:space="preserve"> for the exercise of its functions</w:t>
      </w:r>
      <w:r>
        <w:t>, while the CEO is accountable to the board for the entity’s performance.</w:t>
      </w:r>
      <w:r>
        <w:rPr>
          <w:rStyle w:val="FootnoteReference"/>
        </w:rPr>
        <w:footnoteReference w:id="78"/>
      </w:r>
    </w:p>
    <w:p w14:paraId="7A46AF0B" w14:textId="77777777" w:rsidR="003F26DA" w:rsidRDefault="003F26DA">
      <w:pPr>
        <w:pStyle w:val="05Paragraph"/>
      </w:pPr>
      <w:r>
        <w:t>In some instances, the government appoints an individual to be an entity’s governing body and CEO. For example, the CEO of V/Line Corporation is appointed by the responsible Minister (in consultation with the Treasurer) and supported by an advisory board.</w:t>
      </w:r>
      <w:r>
        <w:rPr>
          <w:rStyle w:val="FootnoteReference"/>
        </w:rPr>
        <w:footnoteReference w:id="79"/>
      </w:r>
    </w:p>
    <w:p w14:paraId="04B63049" w14:textId="77777777" w:rsidR="003F26DA" w:rsidRPr="00B2533E" w:rsidRDefault="003F26DA">
      <w:pPr>
        <w:pStyle w:val="05Paragraph"/>
        <w:rPr>
          <w:rStyle w:val="03VIRTHeading3Char"/>
          <w:color w:val="000000" w:themeColor="text1"/>
        </w:rPr>
      </w:pPr>
      <w:r>
        <w:t>As a public</w:t>
      </w:r>
      <w:r w:rsidRPr="00014AD0">
        <w:t xml:space="preserve"> entity’s powers and functions are </w:t>
      </w:r>
      <w:r>
        <w:t>usually</w:t>
      </w:r>
      <w:r w:rsidRPr="00014AD0">
        <w:t xml:space="preserve"> </w:t>
      </w:r>
      <w:r>
        <w:t xml:space="preserve">conferred on its governing body, the latter may </w:t>
      </w:r>
      <w:r w:rsidRPr="00014AD0">
        <w:t>delegate</w:t>
      </w:r>
      <w:r>
        <w:t xml:space="preserve"> some of these</w:t>
      </w:r>
      <w:r w:rsidRPr="00014AD0">
        <w:t xml:space="preserve"> to the CEO</w:t>
      </w:r>
      <w:r>
        <w:t xml:space="preserve"> (if separate to the governing body) and other senior staff, who then exercise them on the former’s behalf.</w:t>
      </w:r>
      <w:r>
        <w:rPr>
          <w:rStyle w:val="FootnoteReference"/>
        </w:rPr>
        <w:footnoteReference w:id="80"/>
      </w:r>
    </w:p>
    <w:p w14:paraId="5C671A96" w14:textId="77777777" w:rsidR="003F26DA" w:rsidRDefault="003F26DA">
      <w:pPr>
        <w:pStyle w:val="03VIRTHeading3"/>
      </w:pPr>
      <w:r>
        <w:t>CEOs are responsible for the day-to-day management of their entity</w:t>
      </w:r>
    </w:p>
    <w:p w14:paraId="7A73E3ED" w14:textId="77777777" w:rsidR="003F26DA" w:rsidRDefault="003F26DA">
      <w:pPr>
        <w:pStyle w:val="05Paragraph"/>
      </w:pPr>
      <w:r>
        <w:t xml:space="preserve">According to the VPSC, the role of a public entity CEO is ‘broad’ and </w:t>
      </w:r>
      <w:proofErr w:type="gramStart"/>
      <w:r>
        <w:t>multidimensional, and</w:t>
      </w:r>
      <w:proofErr w:type="gramEnd"/>
      <w:r>
        <w:t xml:space="preserve"> involves substantial accountabilities.</w:t>
      </w:r>
      <w:r>
        <w:rPr>
          <w:rStyle w:val="FootnoteReference"/>
        </w:rPr>
        <w:footnoteReference w:id="81"/>
      </w:r>
    </w:p>
    <w:p w14:paraId="4AFBE977" w14:textId="30B92562" w:rsidR="003F26DA" w:rsidRDefault="003F26DA">
      <w:pPr>
        <w:pStyle w:val="05Paragraph"/>
      </w:pPr>
      <w:r>
        <w:t xml:space="preserve">The CEO is the head of their organisation’s executive team and is responsible for day-to-day operations of the entity. The CEO implements the strategy approved by the governing </w:t>
      </w:r>
      <w:proofErr w:type="gramStart"/>
      <w:r>
        <w:t>body, and</w:t>
      </w:r>
      <w:proofErr w:type="gramEnd"/>
      <w:r>
        <w:t xml:space="preserve"> ensures that the organisation’s structure and processes meet its strategic and cultural needs.</w:t>
      </w:r>
      <w:r>
        <w:rPr>
          <w:rStyle w:val="FootnoteReference"/>
        </w:rPr>
        <w:footnoteReference w:id="82"/>
      </w:r>
      <w:r>
        <w:t xml:space="preserve"> For these reasons, the role of a public entity CEO has been described as being the ‘operational arm’ of the board.</w:t>
      </w:r>
      <w:r>
        <w:rPr>
          <w:rStyle w:val="FootnoteReference"/>
        </w:rPr>
        <w:footnoteReference w:id="83"/>
      </w:r>
    </w:p>
    <w:p w14:paraId="3D386980" w14:textId="4C1CBFFE" w:rsidR="003F26DA" w:rsidRDefault="003F26DA">
      <w:pPr>
        <w:pStyle w:val="05Paragraph"/>
        <w:keepNext/>
      </w:pPr>
      <w:r>
        <w:lastRenderedPageBreak/>
        <w:t>All public entity CEOs share a common set of responsibilities and tasks, regardless of the entity and its operating environment</w:t>
      </w:r>
      <w:r w:rsidR="00DB177F">
        <w:t xml:space="preserve"> </w:t>
      </w:r>
      <w:r w:rsidR="00B313F5">
        <w:t>(Table 3.4)</w:t>
      </w:r>
      <w:r>
        <w:t>. These include:</w:t>
      </w:r>
      <w:r>
        <w:rPr>
          <w:rStyle w:val="FootnoteReference"/>
        </w:rPr>
        <w:footnoteReference w:id="84"/>
      </w:r>
    </w:p>
    <w:p w14:paraId="38342339" w14:textId="77777777" w:rsidR="003F26DA" w:rsidRDefault="003F26DA" w:rsidP="003F26DA">
      <w:pPr>
        <w:pStyle w:val="06VIRTBulletpoints"/>
        <w:ind w:left="357" w:hanging="357"/>
      </w:pPr>
      <w:r>
        <w:rPr>
          <w:lang w:val="en-US"/>
        </w:rPr>
        <w:t>s</w:t>
      </w:r>
      <w:r w:rsidRPr="00BA2FE4">
        <w:rPr>
          <w:lang w:val="en-US"/>
        </w:rPr>
        <w:t>etting strategies to deliver the board’s priorities</w:t>
      </w:r>
    </w:p>
    <w:p w14:paraId="433825BD" w14:textId="77777777" w:rsidR="003F26DA" w:rsidRDefault="003F26DA" w:rsidP="003F26DA">
      <w:pPr>
        <w:pStyle w:val="06VIRTBulletpoints"/>
        <w:ind w:left="357" w:hanging="357"/>
      </w:pPr>
      <w:r>
        <w:t>managing the entity’s workforce, finances and assets</w:t>
      </w:r>
    </w:p>
    <w:p w14:paraId="5C0C89F1" w14:textId="77777777" w:rsidR="003F26DA" w:rsidRDefault="003F26DA" w:rsidP="003F26DA">
      <w:pPr>
        <w:pStyle w:val="06VIRTBulletpoints"/>
        <w:ind w:left="357" w:hanging="357"/>
      </w:pPr>
      <w:r>
        <w:t>managing compliance with legislation and government policies.</w:t>
      </w:r>
    </w:p>
    <w:p w14:paraId="6814CAEC" w14:textId="71C39334" w:rsidR="003F26DA" w:rsidRDefault="003F26DA">
      <w:pPr>
        <w:pStyle w:val="05Paragraph"/>
      </w:pPr>
      <w:r w:rsidRPr="00377CE2">
        <w:t>The CEO is also responsible for providing accurate and timely advice to the board and the entity’s key stakeholders, including about the entity’s performance as well as emerging risks and challenges. In particular, the CEO must establish an effective working relationship with their portfolio department, which serves as the principal source of advice to the responsible Minister on matters related to the entity and provides the latter with support on administrative and governance matters.</w:t>
      </w:r>
      <w:r w:rsidRPr="00377CE2">
        <w:rPr>
          <w:rStyle w:val="FootnoteReference"/>
        </w:rPr>
        <w:footnoteReference w:id="85"/>
      </w:r>
      <w:r w:rsidRPr="00377CE2">
        <w:t xml:space="preserve"> To enable departments — and specifically department Secretaries — to carry out these functions, CEOs must ensure that the entity provides information to the responsible Secretary.</w:t>
      </w:r>
      <w:r w:rsidRPr="00377CE2">
        <w:rPr>
          <w:rStyle w:val="FootnoteReference"/>
        </w:rPr>
        <w:footnoteReference w:id="86"/>
      </w:r>
    </w:p>
    <w:p w14:paraId="00B9C0EA" w14:textId="77777777" w:rsidR="003F26DA" w:rsidRDefault="003F26DA">
      <w:pPr>
        <w:pStyle w:val="08Figuretableboxheading"/>
      </w:pPr>
      <w:r>
        <w:t>Table 3.4: General responsibilities of public entity CEOs</w:t>
      </w:r>
    </w:p>
    <w:tbl>
      <w:tblPr>
        <w:tblStyle w:val="VIRTDeterminationTableStyle"/>
        <w:tblW w:w="8500" w:type="dxa"/>
        <w:tblInd w:w="5" w:type="dxa"/>
        <w:tblLook w:val="04A0" w:firstRow="1" w:lastRow="0" w:firstColumn="1" w:lastColumn="0" w:noHBand="0" w:noVBand="1"/>
      </w:tblPr>
      <w:tblGrid>
        <w:gridCol w:w="8500"/>
      </w:tblGrid>
      <w:tr w:rsidR="003F26DA" w14:paraId="0803D0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tcPr>
          <w:p w14:paraId="712A8A2D" w14:textId="77777777" w:rsidR="003F26DA" w:rsidRDefault="003F26DA">
            <w:pPr>
              <w:pStyle w:val="10Tabletext"/>
            </w:pPr>
            <w:r>
              <w:t>Responsibility</w:t>
            </w:r>
          </w:p>
        </w:tc>
      </w:tr>
      <w:tr w:rsidR="003F26DA" w14:paraId="42192D84"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bottom w:val="single" w:sz="4" w:space="0" w:color="26664E" w:themeColor="accent1"/>
            </w:tcBorders>
          </w:tcPr>
          <w:p w14:paraId="15719977" w14:textId="77777777" w:rsidR="003F26DA" w:rsidRPr="00BA2FE4" w:rsidRDefault="003F26DA">
            <w:pPr>
              <w:pStyle w:val="10Tabletext"/>
              <w:rPr>
                <w:color w:val="auto"/>
              </w:rPr>
            </w:pPr>
            <w:r>
              <w:rPr>
                <w:color w:val="auto"/>
              </w:rPr>
              <w:t>S</w:t>
            </w:r>
            <w:r w:rsidRPr="00BA2FE4">
              <w:rPr>
                <w:color w:val="auto"/>
              </w:rPr>
              <w:t xml:space="preserve">upporting the board in articulating and promoting the entity’s vision </w:t>
            </w:r>
          </w:p>
        </w:tc>
      </w:tr>
      <w:tr w:rsidR="003F26DA" w14:paraId="5D8FC7EA"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5AF3FF23" w14:textId="77777777" w:rsidR="003F26DA" w:rsidRPr="00BA2FE4" w:rsidRDefault="003F26DA">
            <w:pPr>
              <w:pStyle w:val="10Tabletext"/>
              <w:rPr>
                <w:color w:val="auto"/>
              </w:rPr>
            </w:pPr>
            <w:r>
              <w:rPr>
                <w:color w:val="auto"/>
              </w:rPr>
              <w:t>P</w:t>
            </w:r>
            <w:r w:rsidRPr="00BA2FE4">
              <w:rPr>
                <w:color w:val="auto"/>
              </w:rPr>
              <w:t>roviding authoritative advice to the board, Minister, department, staff and stakeholders</w:t>
            </w:r>
          </w:p>
        </w:tc>
      </w:tr>
      <w:tr w:rsidR="003F26DA" w14:paraId="317AE554"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6FF552EB" w14:textId="77777777" w:rsidR="003F26DA" w:rsidRPr="00BA2FE4" w:rsidRDefault="003F26DA">
            <w:pPr>
              <w:pStyle w:val="10Tabletext"/>
              <w:rPr>
                <w:color w:val="auto"/>
              </w:rPr>
            </w:pPr>
            <w:r>
              <w:rPr>
                <w:color w:val="auto"/>
              </w:rPr>
              <w:t>E</w:t>
            </w:r>
            <w:r w:rsidRPr="00BA2FE4">
              <w:rPr>
                <w:color w:val="auto"/>
              </w:rPr>
              <w:t>stablishing and delivering plans that detail how the entity’s vision will lead to tangible outcomes</w:t>
            </w:r>
          </w:p>
        </w:tc>
      </w:tr>
      <w:tr w:rsidR="003F26DA" w14:paraId="25931F41"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52BC86FB" w14:textId="77777777" w:rsidR="003F26DA" w:rsidRPr="00BA2FE4" w:rsidRDefault="003F26DA">
            <w:pPr>
              <w:pStyle w:val="10Tabletext"/>
              <w:rPr>
                <w:color w:val="auto"/>
              </w:rPr>
            </w:pPr>
            <w:r>
              <w:rPr>
                <w:color w:val="auto"/>
              </w:rPr>
              <w:t>M</w:t>
            </w:r>
            <w:r w:rsidRPr="00BA2FE4">
              <w:rPr>
                <w:color w:val="auto"/>
              </w:rPr>
              <w:t>anaging compliance and reporting</w:t>
            </w:r>
          </w:p>
        </w:tc>
      </w:tr>
      <w:tr w:rsidR="003F26DA" w14:paraId="0AFE3302"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1822D2D0" w14:textId="77777777" w:rsidR="003F26DA" w:rsidRPr="00BA2FE4" w:rsidRDefault="003F26DA">
            <w:pPr>
              <w:pStyle w:val="10Tabletext"/>
              <w:rPr>
                <w:color w:val="auto"/>
                <w:sz w:val="24"/>
                <w:szCs w:val="24"/>
              </w:rPr>
            </w:pPr>
            <w:r>
              <w:rPr>
                <w:rFonts w:cs="Arial"/>
                <w:color w:val="auto"/>
                <w:lang w:val="en-US"/>
              </w:rPr>
              <w:t>S</w:t>
            </w:r>
            <w:r w:rsidRPr="00BA2FE4">
              <w:rPr>
                <w:rFonts w:cs="Arial"/>
                <w:color w:val="auto"/>
                <w:lang w:val="en-US"/>
              </w:rPr>
              <w:t>etting strategies to deliver the board’s priorities and meet entity obligations</w:t>
            </w:r>
          </w:p>
        </w:tc>
      </w:tr>
      <w:tr w:rsidR="003F26DA" w14:paraId="36BA2B2F"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54F7851A" w14:textId="77777777" w:rsidR="003F26DA" w:rsidRPr="00BA2FE4" w:rsidRDefault="003F26DA">
            <w:pPr>
              <w:pStyle w:val="10Tabletext"/>
              <w:rPr>
                <w:color w:val="auto"/>
                <w:sz w:val="24"/>
                <w:szCs w:val="24"/>
              </w:rPr>
            </w:pPr>
            <w:r>
              <w:rPr>
                <w:rFonts w:cs="Arial"/>
                <w:color w:val="auto"/>
                <w:lang w:val="en-US"/>
              </w:rPr>
              <w:t>E</w:t>
            </w:r>
            <w:r w:rsidRPr="00BA2FE4">
              <w:rPr>
                <w:rFonts w:cs="Arial"/>
                <w:color w:val="auto"/>
                <w:lang w:val="en-US"/>
              </w:rPr>
              <w:t xml:space="preserve">stablishing and managing relationships (together with the board) with other </w:t>
            </w:r>
            <w:proofErr w:type="spellStart"/>
            <w:r w:rsidRPr="00BA2FE4">
              <w:rPr>
                <w:rFonts w:cs="Arial"/>
                <w:color w:val="auto"/>
                <w:lang w:val="en-US"/>
              </w:rPr>
              <w:t>organisations</w:t>
            </w:r>
            <w:proofErr w:type="spellEnd"/>
          </w:p>
        </w:tc>
      </w:tr>
      <w:tr w:rsidR="003F26DA" w14:paraId="6426B9F0"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1F1783C4" w14:textId="77777777" w:rsidR="003F26DA" w:rsidRPr="00BA2FE4" w:rsidRDefault="003F26DA">
            <w:pPr>
              <w:pStyle w:val="10Tabletext"/>
              <w:rPr>
                <w:color w:val="auto"/>
              </w:rPr>
            </w:pPr>
            <w:r>
              <w:rPr>
                <w:color w:val="auto"/>
              </w:rPr>
              <w:t>E</w:t>
            </w:r>
            <w:r w:rsidRPr="00BA2FE4">
              <w:rPr>
                <w:color w:val="auto"/>
              </w:rPr>
              <w:t>stablishing and revising the way the entity is designed to ensure effective and efficient delivery of outcomes</w:t>
            </w:r>
          </w:p>
        </w:tc>
      </w:tr>
      <w:tr w:rsidR="003F26DA" w14:paraId="7BF6FEC3"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3CB80DD2" w14:textId="77777777" w:rsidR="003F26DA" w:rsidRPr="00BA2FE4" w:rsidRDefault="003F26DA">
            <w:pPr>
              <w:pStyle w:val="10Tabletext"/>
              <w:rPr>
                <w:color w:val="auto"/>
              </w:rPr>
            </w:pPr>
            <w:r>
              <w:rPr>
                <w:color w:val="auto"/>
              </w:rPr>
              <w:t>I</w:t>
            </w:r>
            <w:r w:rsidRPr="00BA2FE4">
              <w:rPr>
                <w:color w:val="auto"/>
              </w:rPr>
              <w:t>dentifying and managing risk</w:t>
            </w:r>
          </w:p>
        </w:tc>
      </w:tr>
      <w:tr w:rsidR="003F26DA" w14:paraId="6D4066E6"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4D987800" w14:textId="77777777" w:rsidR="003F26DA" w:rsidRPr="00BA2FE4" w:rsidRDefault="003F26DA">
            <w:pPr>
              <w:pStyle w:val="10Tabletext"/>
              <w:rPr>
                <w:color w:val="auto"/>
                <w:sz w:val="24"/>
                <w:szCs w:val="24"/>
              </w:rPr>
            </w:pPr>
            <w:r>
              <w:rPr>
                <w:rFonts w:cs="Arial"/>
                <w:color w:val="auto"/>
                <w:lang w:val="en-US"/>
              </w:rPr>
              <w:t>E</w:t>
            </w:r>
            <w:r w:rsidRPr="00BA2FE4">
              <w:rPr>
                <w:rFonts w:cs="Arial"/>
                <w:color w:val="auto"/>
                <w:lang w:val="en-US"/>
              </w:rPr>
              <w:t>stablishing and managing the entity’s reputation</w:t>
            </w:r>
          </w:p>
        </w:tc>
      </w:tr>
      <w:tr w:rsidR="003F26DA" w14:paraId="6FBA45A5"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5AB869A8" w14:textId="77777777" w:rsidR="003F26DA" w:rsidRPr="00BA2FE4" w:rsidRDefault="003F26DA">
            <w:pPr>
              <w:pStyle w:val="10Tabletext"/>
              <w:rPr>
                <w:color w:val="auto"/>
              </w:rPr>
            </w:pPr>
            <w:r>
              <w:rPr>
                <w:color w:val="auto"/>
              </w:rPr>
              <w:t>M</w:t>
            </w:r>
            <w:r w:rsidRPr="00BA2FE4">
              <w:rPr>
                <w:color w:val="auto"/>
              </w:rPr>
              <w:t>anaging the entity’s finances and assets</w:t>
            </w:r>
          </w:p>
        </w:tc>
      </w:tr>
      <w:tr w:rsidR="003F26DA" w14:paraId="4663EC80"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580EAF32" w14:textId="77777777" w:rsidR="003F26DA" w:rsidRPr="00BA2FE4" w:rsidRDefault="003F26DA">
            <w:pPr>
              <w:pStyle w:val="10Tabletext"/>
              <w:rPr>
                <w:color w:val="auto"/>
                <w:sz w:val="24"/>
                <w:szCs w:val="24"/>
              </w:rPr>
            </w:pPr>
            <w:r>
              <w:rPr>
                <w:rFonts w:cs="Arial"/>
                <w:color w:val="auto"/>
                <w:lang w:val="en-US"/>
              </w:rPr>
              <w:t>L</w:t>
            </w:r>
            <w:r w:rsidRPr="00BA2FE4">
              <w:rPr>
                <w:rFonts w:cs="Arial"/>
                <w:color w:val="auto"/>
                <w:lang w:val="en-US"/>
              </w:rPr>
              <w:t>eading and managing the entity’s workforce</w:t>
            </w:r>
          </w:p>
        </w:tc>
      </w:tr>
      <w:tr w:rsidR="003F26DA" w14:paraId="57071379" w14:textId="77777777" w:rsidTr="0065180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26664E" w:themeColor="accent1"/>
              <w:bottom w:val="single" w:sz="4" w:space="0" w:color="26664E" w:themeColor="accent1"/>
            </w:tcBorders>
          </w:tcPr>
          <w:p w14:paraId="0274D474" w14:textId="77777777" w:rsidR="003F26DA" w:rsidRPr="00BA2FE4" w:rsidRDefault="003F26DA">
            <w:pPr>
              <w:pStyle w:val="10Tabletext"/>
              <w:rPr>
                <w:color w:val="auto"/>
              </w:rPr>
            </w:pPr>
            <w:r>
              <w:rPr>
                <w:color w:val="auto"/>
              </w:rPr>
              <w:t>E</w:t>
            </w:r>
            <w:r w:rsidRPr="00BA2FE4">
              <w:rPr>
                <w:color w:val="auto"/>
              </w:rPr>
              <w:t xml:space="preserve">stablishing a productive workplace culture </w:t>
            </w:r>
          </w:p>
        </w:tc>
      </w:tr>
    </w:tbl>
    <w:p w14:paraId="4582DEAD" w14:textId="4E0F4BE9" w:rsidR="003F26DA" w:rsidRDefault="003F26DA">
      <w:pPr>
        <w:pStyle w:val="09Sourcesandnotesfortablesfiguresboxes"/>
      </w:pPr>
      <w:r>
        <w:t>Source: VPSC (2022</w:t>
      </w:r>
      <w:r w:rsidR="00F55B91">
        <w:t>f</w:t>
      </w:r>
      <w:r>
        <w:t>), pp. 17-19.</w:t>
      </w:r>
    </w:p>
    <w:p w14:paraId="48A57BE6" w14:textId="77777777" w:rsidR="003F26DA" w:rsidRPr="00AB0EA3" w:rsidRDefault="003F26DA" w:rsidP="00AB0EA3">
      <w:pPr>
        <w:pStyle w:val="05Paragraph"/>
        <w:rPr>
          <w:rStyle w:val="03VIRTHeading3Char"/>
          <w:rFonts w:ascii="Calibri Light" w:hAnsi="Calibri Light"/>
          <w:color w:val="auto"/>
          <w:spacing w:val="0"/>
          <w:sz w:val="26"/>
        </w:rPr>
      </w:pPr>
      <w:r w:rsidRPr="00AB0EA3">
        <w:rPr>
          <w:rStyle w:val="03VIRTHeading3Char"/>
          <w:rFonts w:ascii="Calibri Light" w:hAnsi="Calibri Light"/>
          <w:color w:val="auto"/>
          <w:spacing w:val="0"/>
          <w:sz w:val="26"/>
        </w:rPr>
        <w:t>The roles of public entity CEOs also vary based on the needs of the entity and the industry and environment in which it operates. In this regard, CEO roles reflect the diversity of public entities themselves. For example:</w:t>
      </w:r>
    </w:p>
    <w:p w14:paraId="0F8EF35C" w14:textId="77777777" w:rsidR="003F26DA" w:rsidRPr="00AB0EA3" w:rsidRDefault="003F26DA" w:rsidP="00AB0EA3">
      <w:pPr>
        <w:pStyle w:val="06VIRTBulletpoints"/>
        <w:rPr>
          <w:rStyle w:val="03VIRTHeading3Char"/>
          <w:rFonts w:ascii="Calibri Light" w:hAnsi="Calibri Light" w:cs="Calibri"/>
          <w:color w:val="auto"/>
          <w:spacing w:val="0"/>
          <w:sz w:val="26"/>
        </w:rPr>
      </w:pPr>
      <w:r w:rsidRPr="00AB0EA3">
        <w:rPr>
          <w:rStyle w:val="03VIRTHeading3Char"/>
          <w:rFonts w:ascii="Calibri Light" w:hAnsi="Calibri Light" w:cs="Calibri"/>
          <w:color w:val="auto"/>
          <w:spacing w:val="0"/>
          <w:sz w:val="26"/>
        </w:rPr>
        <w:lastRenderedPageBreak/>
        <w:t>climate change is a particular focus for water and land management entities and some emergency services entities (e.g. CFA)</w:t>
      </w:r>
    </w:p>
    <w:p w14:paraId="7A1ACADD" w14:textId="77777777" w:rsidR="003F26DA" w:rsidRPr="00AB0EA3" w:rsidRDefault="003F26DA" w:rsidP="00AB0EA3">
      <w:pPr>
        <w:pStyle w:val="06VIRTBulletpoints"/>
        <w:rPr>
          <w:rStyle w:val="03VIRTHeading3Char"/>
          <w:rFonts w:ascii="Calibri Light" w:hAnsi="Calibri Light" w:cs="Calibri"/>
          <w:color w:val="auto"/>
          <w:spacing w:val="0"/>
          <w:sz w:val="26"/>
        </w:rPr>
      </w:pPr>
      <w:r w:rsidRPr="00AB0EA3">
        <w:rPr>
          <w:rStyle w:val="03VIRTHeading3Char"/>
          <w:rFonts w:ascii="Calibri Light" w:hAnsi="Calibri Light" w:cs="Calibri"/>
          <w:color w:val="auto"/>
          <w:spacing w:val="0"/>
          <w:sz w:val="26"/>
        </w:rPr>
        <w:t>TAFEs and other education providers must establish and maintain relationships across industries to support students undertaking vocational training</w:t>
      </w:r>
    </w:p>
    <w:p w14:paraId="70E57432" w14:textId="77777777" w:rsidR="003F26DA" w:rsidRPr="00AB0EA3" w:rsidRDefault="003F26DA" w:rsidP="00AB0EA3">
      <w:pPr>
        <w:pStyle w:val="06VIRTBulletpoints"/>
        <w:rPr>
          <w:rStyle w:val="03VIRTHeading3Char"/>
          <w:rFonts w:ascii="Calibri Light" w:hAnsi="Calibri Light" w:cs="Calibri"/>
          <w:color w:val="auto"/>
          <w:spacing w:val="0"/>
          <w:sz w:val="26"/>
        </w:rPr>
      </w:pPr>
      <w:r w:rsidRPr="00AB0EA3">
        <w:rPr>
          <w:rStyle w:val="03VIRTHeading3Char"/>
          <w:rFonts w:ascii="Calibri Light" w:hAnsi="Calibri Light" w:cs="Calibri"/>
          <w:color w:val="auto"/>
          <w:spacing w:val="0"/>
          <w:sz w:val="26"/>
        </w:rPr>
        <w:t xml:space="preserve">regional entities may face </w:t>
      </w:r>
      <w:proofErr w:type="gramStart"/>
      <w:r w:rsidRPr="00AB0EA3">
        <w:rPr>
          <w:rStyle w:val="03VIRTHeading3Char"/>
          <w:rFonts w:ascii="Calibri Light" w:hAnsi="Calibri Light" w:cs="Calibri"/>
          <w:color w:val="auto"/>
          <w:spacing w:val="0"/>
          <w:sz w:val="26"/>
        </w:rPr>
        <w:t>particular challenges</w:t>
      </w:r>
      <w:proofErr w:type="gramEnd"/>
      <w:r w:rsidRPr="00AB0EA3">
        <w:rPr>
          <w:rStyle w:val="03VIRTHeading3Char"/>
          <w:rFonts w:ascii="Calibri Light" w:hAnsi="Calibri Light" w:cs="Calibri"/>
          <w:color w:val="auto"/>
          <w:spacing w:val="0"/>
          <w:sz w:val="26"/>
        </w:rPr>
        <w:t xml:space="preserve"> in managing the staff and resources necessary to fulfil the entity’s obligations efficiently and effectively.</w:t>
      </w:r>
    </w:p>
    <w:p w14:paraId="2DA7A25E" w14:textId="77777777" w:rsidR="003F26DA" w:rsidRDefault="003F26DA">
      <w:pPr>
        <w:pStyle w:val="05Paragraph"/>
      </w:pPr>
      <w:r w:rsidRPr="002A45AB">
        <w:t xml:space="preserve">The CEOs of some entities are also responsible for managing significant balance sheets and/or investment programs. WorkSafe Victoria manages the </w:t>
      </w:r>
      <w:proofErr w:type="spellStart"/>
      <w:r w:rsidRPr="002A45AB">
        <w:t>WorkCover</w:t>
      </w:r>
      <w:proofErr w:type="spellEnd"/>
      <w:r w:rsidRPr="002A45AB">
        <w:t xml:space="preserve"> insurance scheme and had over $29 billion in outstanding insurance claims </w:t>
      </w:r>
      <w:proofErr w:type="gramStart"/>
      <w:r w:rsidRPr="002A45AB">
        <w:t>at</w:t>
      </w:r>
      <w:proofErr w:type="gramEnd"/>
      <w:r w:rsidRPr="002A45AB">
        <w:t> 30 June 2024.</w:t>
      </w:r>
      <w:r w:rsidRPr="002A45AB">
        <w:rPr>
          <w:rStyle w:val="FootnoteReference"/>
        </w:rPr>
        <w:footnoteReference w:id="87"/>
      </w:r>
      <w:r w:rsidRPr="002A45AB">
        <w:t xml:space="preserve"> The North East Link State Tolling Corporation is responsible for funding the delivery and operations of the North East Link Primary Package (Tunnels), with a total estimated investment of around $14 billion.</w:t>
      </w:r>
      <w:r w:rsidRPr="002A45AB">
        <w:rPr>
          <w:rStyle w:val="FootnoteReference"/>
        </w:rPr>
        <w:footnoteReference w:id="88"/>
      </w:r>
    </w:p>
    <w:p w14:paraId="130CC1E6" w14:textId="77777777" w:rsidR="003F26DA" w:rsidRDefault="003F26DA">
      <w:pPr>
        <w:pStyle w:val="05Paragraph"/>
        <w:rPr>
          <w:rStyle w:val="03VIRTHeading3Char"/>
          <w:color w:val="000000" w:themeColor="text1"/>
        </w:rPr>
      </w:pPr>
      <w:r>
        <w:t xml:space="preserve">Around 10 per cent of prescribed public entities, including many water corporations, are headed by a Managing Director (MD). In addition to fulfilling the responsibilities of a CEO described above, MDs sit on the board of their entity and perform the duties of a board director, including attending board meetings and complying with the </w:t>
      </w:r>
      <w:r w:rsidRPr="009622DD">
        <w:rPr>
          <w:i/>
          <w:iCs/>
        </w:rPr>
        <w:t>Code of Conduct for Director</w:t>
      </w:r>
      <w:r>
        <w:rPr>
          <w:i/>
          <w:iCs/>
        </w:rPr>
        <w:t>s</w:t>
      </w:r>
      <w:r w:rsidRPr="009622DD">
        <w:rPr>
          <w:i/>
          <w:iCs/>
        </w:rPr>
        <w:t xml:space="preserve"> of Victorian Public Entities</w:t>
      </w:r>
      <w:r>
        <w:t>.</w:t>
      </w:r>
    </w:p>
    <w:p w14:paraId="6B774E8C" w14:textId="77777777" w:rsidR="003F26DA" w:rsidRDefault="003F26DA">
      <w:pPr>
        <w:pStyle w:val="05Paragraph"/>
        <w:keepNext/>
        <w:rPr>
          <w:rStyle w:val="03VIRTHeading3Char"/>
        </w:rPr>
      </w:pPr>
      <w:r w:rsidRPr="00377CE2">
        <w:rPr>
          <w:rStyle w:val="03VIRTHeading3Char"/>
        </w:rPr>
        <w:t>CEOs may be subject to public scrutiny</w:t>
      </w:r>
    </w:p>
    <w:p w14:paraId="5B0D4153" w14:textId="77777777" w:rsidR="003F26DA" w:rsidRDefault="003F26DA">
      <w:pPr>
        <w:pStyle w:val="05Paragraph"/>
      </w:pPr>
      <w:r>
        <w:t>The VPSC has noted that the Victorian community has a ‘sense of ownership’ towards public entities, resulting in a high degree of public scrutiny.</w:t>
      </w:r>
      <w:r>
        <w:rPr>
          <w:rStyle w:val="FootnoteReference"/>
        </w:rPr>
        <w:footnoteReference w:id="89"/>
      </w:r>
      <w:r>
        <w:t xml:space="preserve"> This may partly be related to public entities’ use of public funds and resources (although some entities operate on a partial or fully commercial basis), as well as the role played by many entities in delivering goods and services to the community.</w:t>
      </w:r>
    </w:p>
    <w:p w14:paraId="268FFFB8" w14:textId="77777777" w:rsidR="003F26DA" w:rsidRPr="00AB0EA3" w:rsidRDefault="003F26DA">
      <w:pPr>
        <w:pStyle w:val="05Paragraph"/>
      </w:pPr>
      <w:r>
        <w:t>While the governing body of an entity is ultimately accountable for its performanc</w:t>
      </w:r>
      <w:r w:rsidRPr="00AB0EA3">
        <w:t>e, CEOs — as the most senior executive and public face of their entity — may also be subject to public scrutiny.</w:t>
      </w:r>
    </w:p>
    <w:p w14:paraId="7D520544" w14:textId="632D5BB6" w:rsidR="003F26DA" w:rsidRDefault="003F26DA">
      <w:pPr>
        <w:pStyle w:val="05Paragraph"/>
      </w:pPr>
      <w:r w:rsidRPr="00AB0EA3">
        <w:t xml:space="preserve">Since 2016, </w:t>
      </w:r>
      <w:r w:rsidR="00B9469A">
        <w:t xml:space="preserve">some </w:t>
      </w:r>
      <w:r w:rsidRPr="00AB0EA3">
        <w:t xml:space="preserve">CEOs have appeared as witnesses (alongside department Secretaries and Deputy Secretaries) at Public Accounts and Estimates Committee </w:t>
      </w:r>
      <w:r w:rsidRPr="00AB0EA3">
        <w:lastRenderedPageBreak/>
        <w:t>(PAEC) inquiries into annual financial and performance outcomes.</w:t>
      </w:r>
      <w:r w:rsidRPr="00AB0EA3">
        <w:rPr>
          <w:rStyle w:val="FootnoteReference"/>
        </w:rPr>
        <w:footnoteReference w:id="90"/>
      </w:r>
      <w:r w:rsidRPr="00AB0EA3">
        <w:t xml:space="preserve"> For example, the PAEC hearing held on 18 November 2024 (part of the inquiry into the 2023-24 financial and performance outcomes) featured the CEOs of six public entities, including TCV and the Essential Services Commission.</w:t>
      </w:r>
      <w:r w:rsidRPr="00AB0EA3">
        <w:rPr>
          <w:rStyle w:val="FootnoteReference"/>
        </w:rPr>
        <w:footnoteReference w:id="91"/>
      </w:r>
    </w:p>
    <w:p w14:paraId="4EA0F039" w14:textId="77777777" w:rsidR="003F26DA" w:rsidRDefault="003F26DA">
      <w:pPr>
        <w:pStyle w:val="05Paragraph"/>
      </w:pPr>
      <w:r>
        <w:t>CEOs may also be required to front ad hoc parliamentary inquiries (often with the entity’s board chair), such as those held in response to a major incident or issue involving their entity.</w:t>
      </w:r>
      <w:r w:rsidDel="003B4D4D">
        <w:t xml:space="preserve"> </w:t>
      </w:r>
      <w:r>
        <w:t>Some recent examples are:</w:t>
      </w:r>
    </w:p>
    <w:p w14:paraId="0F2C918D" w14:textId="77777777" w:rsidR="003F26DA" w:rsidRDefault="003F26DA" w:rsidP="003F26DA">
      <w:pPr>
        <w:pStyle w:val="06VIRTBulletpoints"/>
        <w:ind w:left="357" w:hanging="357"/>
      </w:pPr>
      <w:r>
        <w:t>the MD of Melbourne Water Corporation fronted an inquiry into the 2022 Victorian flood event, including the flooding of the Maribyrnong River</w:t>
      </w:r>
      <w:r>
        <w:rPr>
          <w:rStyle w:val="FootnoteReference"/>
        </w:rPr>
        <w:footnoteReference w:id="92"/>
      </w:r>
    </w:p>
    <w:p w14:paraId="3BD895B4" w14:textId="77777777" w:rsidR="003F26DA" w:rsidRDefault="003F26DA" w:rsidP="003F26DA">
      <w:pPr>
        <w:pStyle w:val="06VIRTBulletpoints"/>
        <w:ind w:left="357" w:hanging="357"/>
      </w:pPr>
      <w:r w:rsidRPr="00377CE2">
        <w:t>the CEO of the Game Management Authority front</w:t>
      </w:r>
      <w:r>
        <w:t>ed</w:t>
      </w:r>
      <w:r w:rsidRPr="00377CE2">
        <w:t xml:space="preserve"> a</w:t>
      </w:r>
      <w:r>
        <w:t>n</w:t>
      </w:r>
      <w:r w:rsidRPr="00377CE2">
        <w:t xml:space="preserve"> inquiry into Victoria’s recreational native bird hunting arrangements, specifically duck and quail hunting</w:t>
      </w:r>
      <w:r>
        <w:t>.</w:t>
      </w:r>
      <w:r>
        <w:rPr>
          <w:rStyle w:val="FootnoteReference"/>
        </w:rPr>
        <w:footnoteReference w:id="93"/>
      </w:r>
    </w:p>
    <w:p w14:paraId="7EF3FF2A" w14:textId="068753CD" w:rsidR="003F26DA" w:rsidRDefault="003F26DA">
      <w:pPr>
        <w:pStyle w:val="05Paragraph"/>
      </w:pPr>
      <w:r>
        <w:t>In addition to scrutiny from the Parliament, the actions of public entities (including CEOs) are scrutinised by various integrity bodies, including the Victorian Ombudsman, the Independent Broad</w:t>
      </w:r>
      <w:r>
        <w:noBreakHyphen/>
        <w:t>based Anti</w:t>
      </w:r>
      <w:r>
        <w:noBreakHyphen/>
        <w:t>corruption Commission (IBAC) and VAGO.</w:t>
      </w:r>
    </w:p>
    <w:p w14:paraId="7190FA39" w14:textId="77777777" w:rsidR="003F26DA" w:rsidRDefault="003F26DA">
      <w:pPr>
        <w:pStyle w:val="05Paragraph"/>
        <w:keepNext/>
      </w:pPr>
      <w:r>
        <w:t>For instance, VAGO has the power to conduct performance audits of public sector bodies, including public entities. These audits extend beyond the examination of financial statements to encompass broader issues of significance to the Victorian community, including whether a public entity is:</w:t>
      </w:r>
      <w:r>
        <w:rPr>
          <w:rStyle w:val="FootnoteReference"/>
        </w:rPr>
        <w:footnoteReference w:id="94"/>
      </w:r>
    </w:p>
    <w:p w14:paraId="61DC423C" w14:textId="77777777" w:rsidR="003F26DA" w:rsidRDefault="003F26DA" w:rsidP="003F26DA">
      <w:pPr>
        <w:pStyle w:val="06VIRTBulletpoints"/>
        <w:ind w:left="357" w:hanging="357"/>
      </w:pPr>
      <w:r>
        <w:t>meeting its aims effectively</w:t>
      </w:r>
    </w:p>
    <w:p w14:paraId="59E5D66E" w14:textId="77777777" w:rsidR="003F26DA" w:rsidRDefault="003F26DA" w:rsidP="003F26DA">
      <w:pPr>
        <w:pStyle w:val="06VIRTBulletpoints"/>
        <w:ind w:left="357" w:hanging="357"/>
      </w:pPr>
      <w:r>
        <w:t>using its resources economically and efficiently</w:t>
      </w:r>
    </w:p>
    <w:p w14:paraId="6160239C" w14:textId="77777777" w:rsidR="003F26DA" w:rsidRDefault="003F26DA" w:rsidP="003F26DA">
      <w:pPr>
        <w:pStyle w:val="06VIRTBulletpoints"/>
        <w:ind w:left="357" w:hanging="357"/>
      </w:pPr>
      <w:r>
        <w:t>complying with relevant legislation.</w:t>
      </w:r>
    </w:p>
    <w:p w14:paraId="4042F5DB" w14:textId="77777777" w:rsidR="003F26DA" w:rsidRDefault="003F26DA">
      <w:pPr>
        <w:pStyle w:val="05Paragraph"/>
      </w:pPr>
      <w:r>
        <w:t xml:space="preserve">An example of such an audit is </w:t>
      </w:r>
      <w:r w:rsidRPr="00B01D25">
        <w:rPr>
          <w:i/>
          <w:iCs/>
        </w:rPr>
        <w:t>Reducing the Illegal Disposal of Asbestos</w:t>
      </w:r>
      <w:r>
        <w:t xml:space="preserve">, which was tabled in the Parliament in November 2023. This audit examined whether responsible agencies, including four public entities (the Environment Protection Authority, Parks Victoria, Sustainability Victoria and WorkSafe Victoria) had put effective measures in place to reduce the illegal disposal of asbestos. VAGO </w:t>
      </w:r>
      <w:r>
        <w:lastRenderedPageBreak/>
        <w:t>recommended specific actions, including better availability of information on legal asbestos disposal options and improved collaboration between relevant agencies to reduce illegal dumping.</w:t>
      </w:r>
      <w:r>
        <w:rPr>
          <w:rStyle w:val="FootnoteReference"/>
        </w:rPr>
        <w:footnoteReference w:id="95"/>
      </w:r>
    </w:p>
    <w:p w14:paraId="63DEB8C2" w14:textId="77777777" w:rsidR="003F26DA" w:rsidRDefault="003F26DA">
      <w:pPr>
        <w:pStyle w:val="02VIRTHeading2"/>
      </w:pPr>
      <w:bookmarkStart w:id="52" w:name="_Toc185012362"/>
      <w:r>
        <w:t>3.3</w:t>
      </w:r>
      <w:r>
        <w:tab/>
        <w:t>Other public entity executives support the CEO</w:t>
      </w:r>
      <w:bookmarkEnd w:id="52"/>
    </w:p>
    <w:p w14:paraId="7262E163" w14:textId="4EF32032" w:rsidR="003F26DA" w:rsidRDefault="003F26DA">
      <w:pPr>
        <w:pStyle w:val="05Paragraph"/>
        <w:keepNext/>
      </w:pPr>
      <w:r>
        <w:t xml:space="preserve">In most cases, CEOs employ other executives to support them to deliver the </w:t>
      </w:r>
      <w:r w:rsidR="00897423">
        <w:t>entity’s</w:t>
      </w:r>
      <w:r>
        <w:t xml:space="preserve"> objectives. While the roles of individual executives vary from entity to entity and between industries, the Tribunal’s 2020 PE Determination identified the following general responsibilities, which are substantively unchanged:</w:t>
      </w:r>
      <w:r>
        <w:rPr>
          <w:rStyle w:val="FootnoteReference"/>
        </w:rPr>
        <w:footnoteReference w:id="96"/>
      </w:r>
    </w:p>
    <w:p w14:paraId="566D76EB" w14:textId="77777777" w:rsidR="003F26DA" w:rsidRPr="005138AA" w:rsidRDefault="003F26DA" w:rsidP="003F26DA">
      <w:pPr>
        <w:pStyle w:val="06VIRTBulletpoints"/>
        <w:ind w:left="357" w:hanging="357"/>
      </w:pPr>
      <w:r w:rsidRPr="005138AA">
        <w:t>implementing strategic direction</w:t>
      </w:r>
    </w:p>
    <w:p w14:paraId="4077FB33" w14:textId="77777777" w:rsidR="003F26DA" w:rsidRPr="005138AA" w:rsidRDefault="003F26DA" w:rsidP="003F26DA">
      <w:pPr>
        <w:pStyle w:val="06VIRTBulletpoints"/>
        <w:ind w:left="357" w:hanging="357"/>
      </w:pPr>
      <w:r w:rsidRPr="005138AA">
        <w:t>providing leadership and improv</w:t>
      </w:r>
      <w:r>
        <w:t>ing</w:t>
      </w:r>
      <w:r w:rsidRPr="005138AA">
        <w:t xml:space="preserve"> </w:t>
      </w:r>
      <w:r>
        <w:t xml:space="preserve">performance </w:t>
      </w:r>
      <w:r w:rsidRPr="005138AA">
        <w:t>by deciding how goals will be achieved and priorities set</w:t>
      </w:r>
    </w:p>
    <w:p w14:paraId="55ECA799" w14:textId="77777777" w:rsidR="003F26DA" w:rsidRPr="005138AA" w:rsidRDefault="003F26DA" w:rsidP="003F26DA">
      <w:pPr>
        <w:pStyle w:val="06VIRTBulletpoints"/>
        <w:ind w:left="357" w:hanging="357"/>
      </w:pPr>
      <w:r w:rsidRPr="005138AA">
        <w:t>providing authoritative advice to the CEO</w:t>
      </w:r>
    </w:p>
    <w:p w14:paraId="72E66AC7" w14:textId="77777777" w:rsidR="003F26DA" w:rsidRPr="005138AA" w:rsidRDefault="003F26DA" w:rsidP="003F26DA">
      <w:pPr>
        <w:pStyle w:val="06VIRTBulletpoints"/>
        <w:ind w:left="357" w:hanging="357"/>
      </w:pPr>
      <w:r w:rsidRPr="005138AA">
        <w:t>managing close liaison and effective relationships with stakeholders</w:t>
      </w:r>
    </w:p>
    <w:p w14:paraId="0C9B381A" w14:textId="77777777" w:rsidR="003F26DA" w:rsidRPr="005138AA" w:rsidRDefault="003F26DA" w:rsidP="003F26DA">
      <w:pPr>
        <w:pStyle w:val="06VIRTBulletpoints"/>
        <w:ind w:left="357" w:hanging="357"/>
      </w:pPr>
      <w:r w:rsidRPr="005138AA">
        <w:t>ensuring compliance with legislation, directives, policies, regulations and processes</w:t>
      </w:r>
    </w:p>
    <w:p w14:paraId="39C3EED3" w14:textId="77777777" w:rsidR="003F26DA" w:rsidRDefault="003F26DA" w:rsidP="003F26DA">
      <w:pPr>
        <w:pStyle w:val="06VIRTBulletpoints"/>
        <w:ind w:left="357" w:hanging="357"/>
      </w:pPr>
      <w:r w:rsidRPr="005138AA">
        <w:t>managing and mitigating risk.</w:t>
      </w:r>
    </w:p>
    <w:p w14:paraId="2CADE307" w14:textId="77777777" w:rsidR="003F26DA" w:rsidRDefault="003F26DA">
      <w:pPr>
        <w:pStyle w:val="05Paragraph"/>
      </w:pPr>
      <w:r>
        <w:t>Executives may be responsible for managing teams of staff and/or overseeing corporate functions, such as human resources, procurement, information and communications technology (ICT), finance and legal.</w:t>
      </w:r>
    </w:p>
    <w:p w14:paraId="25EB5D3C" w14:textId="4447D73F" w:rsidR="003F26DA" w:rsidRDefault="003F26DA">
      <w:pPr>
        <w:pStyle w:val="05Paragraph"/>
      </w:pPr>
      <w:r>
        <w:t xml:space="preserve">In contrast with the VPS, position titles </w:t>
      </w:r>
      <w:r w:rsidR="003B541C">
        <w:t>are</w:t>
      </w:r>
      <w:r>
        <w:t xml:space="preserve"> not standardised across public entities. According to the VPSC, this is to acknowledge the diverse nature of public entities.</w:t>
      </w:r>
      <w:r>
        <w:rPr>
          <w:rStyle w:val="FootnoteReference"/>
        </w:rPr>
        <w:footnoteReference w:id="97"/>
      </w:r>
      <w:r>
        <w:t xml:space="preserve"> Nonetheless, common position titles identified by the Tribunal include:</w:t>
      </w:r>
    </w:p>
    <w:p w14:paraId="51648A88" w14:textId="2BCB65DE" w:rsidR="003F26DA" w:rsidRDefault="003F26DA" w:rsidP="003F26DA">
      <w:pPr>
        <w:pStyle w:val="06VIRTBulletpoints"/>
        <w:ind w:left="357" w:hanging="357"/>
      </w:pPr>
      <w:r>
        <w:t xml:space="preserve">‘C-level’ positions </w:t>
      </w:r>
      <w:bookmarkStart w:id="53" w:name="_Hlk178002904"/>
      <w:r w:rsidRPr="00FD7090">
        <w:t>—</w:t>
      </w:r>
      <w:bookmarkEnd w:id="53"/>
      <w:r>
        <w:t xml:space="preserve"> for example, Chief Operating Officer, Chief Financial Officer</w:t>
      </w:r>
      <w:r w:rsidR="003B541C">
        <w:t xml:space="preserve"> and</w:t>
      </w:r>
      <w:r>
        <w:t xml:space="preserve"> Chief Information Officer</w:t>
      </w:r>
    </w:p>
    <w:p w14:paraId="1923650A" w14:textId="77777777" w:rsidR="003F26DA" w:rsidRDefault="003F26DA" w:rsidP="003F26DA">
      <w:pPr>
        <w:pStyle w:val="06VIRTBulletpoints"/>
        <w:ind w:left="357" w:hanging="357"/>
      </w:pPr>
      <w:r>
        <w:t>Executive General Manager</w:t>
      </w:r>
    </w:p>
    <w:p w14:paraId="7DE7FE1B" w14:textId="77777777" w:rsidR="003F26DA" w:rsidRDefault="003F26DA" w:rsidP="003F26DA">
      <w:pPr>
        <w:pStyle w:val="06VIRTBulletpoints"/>
        <w:ind w:left="357" w:hanging="357"/>
      </w:pPr>
      <w:r>
        <w:t>General Manager</w:t>
      </w:r>
    </w:p>
    <w:p w14:paraId="480C4AF8" w14:textId="77777777" w:rsidR="003F26DA" w:rsidRDefault="003F26DA" w:rsidP="003F26DA">
      <w:pPr>
        <w:pStyle w:val="06VIRTBulletpoints"/>
        <w:ind w:left="357" w:hanging="357"/>
      </w:pPr>
      <w:r>
        <w:t>Executive Director</w:t>
      </w:r>
    </w:p>
    <w:p w14:paraId="1AA4DAFF" w14:textId="77777777" w:rsidR="003F26DA" w:rsidRDefault="003F26DA" w:rsidP="003F26DA">
      <w:pPr>
        <w:pStyle w:val="06VIRTBulletpoints"/>
        <w:ind w:left="357" w:hanging="357"/>
      </w:pPr>
      <w:r>
        <w:t>Director.</w:t>
      </w:r>
    </w:p>
    <w:p w14:paraId="41722661" w14:textId="77777777" w:rsidR="003F26DA" w:rsidRDefault="003F26DA">
      <w:pPr>
        <w:pStyle w:val="05Paragraph"/>
        <w:keepNext/>
      </w:pPr>
      <w:r>
        <w:lastRenderedPageBreak/>
        <w:t xml:space="preserve">Public entities may also employ executives in specialist or ‘niche’ roles, which require specific expertise and may be unique to the entity or industry in which they operate. Examples of such roles are specialist investment roles at the </w:t>
      </w:r>
      <w:r w:rsidRPr="00E0391C">
        <w:t xml:space="preserve">Victorian Funds Management Corporation </w:t>
      </w:r>
      <w:r>
        <w:t>(VFMC) and TCV, Harbour Master at Ports Victoria and Chief Actuary at WorkSafe Victoria.</w:t>
      </w:r>
    </w:p>
    <w:p w14:paraId="5337247D" w14:textId="77777777" w:rsidR="003F26DA" w:rsidRDefault="003F26DA">
      <w:pPr>
        <w:pStyle w:val="05Paragraph"/>
        <w:keepNext/>
      </w:pPr>
      <w:r w:rsidRPr="00BD5192">
        <w:t xml:space="preserve">The Tribunal heard that the distinctive operating environment and governance arrangements of public entities (relative to the VPS and private sector organisations) require executives to possess a range of skills and competencies. In addition to possessing technical or specialist skills, executives may also be required to navigate the public sector context, including </w:t>
      </w:r>
      <w:r>
        <w:t>relationships</w:t>
      </w:r>
      <w:r w:rsidRPr="00BD5192">
        <w:t xml:space="preserve"> </w:t>
      </w:r>
      <w:r>
        <w:t xml:space="preserve">with </w:t>
      </w:r>
      <w:r w:rsidRPr="00BD5192">
        <w:t>portfolio departments and Ministers, and engaging with the entity’s board.</w:t>
      </w:r>
      <w:r>
        <w:t xml:space="preserve"> </w:t>
      </w:r>
    </w:p>
    <w:p w14:paraId="057FB3AB" w14:textId="77777777" w:rsidR="003F26DA" w:rsidRDefault="003F26DA">
      <w:pPr>
        <w:pStyle w:val="05Paragraph"/>
        <w:keepNext/>
      </w:pPr>
      <w:r>
        <w:t xml:space="preserve">Similarly, the Tribunal heard that executives in smaller entities may be required to ‘wear multiple hats’ </w:t>
      </w:r>
      <w:bookmarkStart w:id="54" w:name="_Hlk178239842"/>
      <w:r w:rsidRPr="00FD7090">
        <w:t>—</w:t>
      </w:r>
      <w:bookmarkEnd w:id="54"/>
      <w:r>
        <w:t xml:space="preserve"> that is, they may have responsibility for a broader array of functions and activities than executives in larger entities.</w:t>
      </w:r>
      <w:r>
        <w:rPr>
          <w:rStyle w:val="FootnoteReference"/>
        </w:rPr>
        <w:footnoteReference w:id="98"/>
      </w:r>
      <w:r>
        <w:t xml:space="preserve"> However, while executives in larger entities may have a narrower scope of responsibilities (as responsibilities are able to be distributed among more executive positions), they are likely to manage larger budgets and workforces.</w:t>
      </w:r>
    </w:p>
    <w:p w14:paraId="0F1C5BF3" w14:textId="77777777" w:rsidR="003F26DA" w:rsidRDefault="003F26DA">
      <w:pPr>
        <w:pStyle w:val="02VIRTHeading2"/>
      </w:pPr>
      <w:bookmarkStart w:id="55" w:name="_Toc185012363"/>
      <w:r>
        <w:t>3.4</w:t>
      </w:r>
      <w:r>
        <w:tab/>
        <w:t>The public sector operating environment has changed over the past four years</w:t>
      </w:r>
      <w:bookmarkEnd w:id="55"/>
    </w:p>
    <w:p w14:paraId="4E002EED" w14:textId="77777777" w:rsidR="003F26DA" w:rsidRPr="003565E0" w:rsidRDefault="003F26DA">
      <w:pPr>
        <w:pStyle w:val="05Paragraph"/>
      </w:pPr>
      <w:r w:rsidRPr="003565E0">
        <w:t>The Tribunal’s 2024 VPS Determination identified several changes to the public sector operating environment that have occurred in the last four years</w:t>
      </w:r>
      <w:r>
        <w:t xml:space="preserve"> with implications for the roles of executives, including executives in public entities. These included</w:t>
      </w:r>
      <w:r w:rsidRPr="003565E0">
        <w:t>:</w:t>
      </w:r>
      <w:r>
        <w:rPr>
          <w:rStyle w:val="FootnoteReference"/>
        </w:rPr>
        <w:footnoteReference w:id="99"/>
      </w:r>
    </w:p>
    <w:p w14:paraId="78151608" w14:textId="77777777" w:rsidR="003F26DA" w:rsidRPr="003565E0" w:rsidRDefault="003F26DA" w:rsidP="003F26DA">
      <w:pPr>
        <w:pStyle w:val="06VIRTBulletpoints"/>
        <w:ind w:left="357" w:hanging="357"/>
      </w:pPr>
      <w:r w:rsidRPr="003565E0">
        <w:t xml:space="preserve">the implementation of savings and efficiency measures across </w:t>
      </w:r>
      <w:r>
        <w:t>government</w:t>
      </w:r>
    </w:p>
    <w:p w14:paraId="5BFB2C3D" w14:textId="77777777" w:rsidR="003F26DA" w:rsidRPr="003565E0" w:rsidRDefault="003F26DA" w:rsidP="003F26DA">
      <w:pPr>
        <w:pStyle w:val="06VIRTBulletpoints"/>
        <w:ind w:left="357" w:hanging="357"/>
      </w:pPr>
      <w:r w:rsidRPr="003565E0">
        <w:t>shifts in ways of working</w:t>
      </w:r>
      <w:r>
        <w:t>, including the increased prevalence of flexible and hybrid working arrangements</w:t>
      </w:r>
    </w:p>
    <w:p w14:paraId="4DDCF966" w14:textId="28E84E33" w:rsidR="003F26DA" w:rsidRDefault="004D1848" w:rsidP="003F26DA">
      <w:pPr>
        <w:pStyle w:val="06VIRTBulletpoints"/>
        <w:ind w:left="357" w:hanging="357"/>
      </w:pPr>
      <w:r>
        <w:t xml:space="preserve">government </w:t>
      </w:r>
      <w:r w:rsidR="003F26DA" w:rsidRPr="003565E0">
        <w:t>commitment</w:t>
      </w:r>
      <w:r>
        <w:t>s</w:t>
      </w:r>
      <w:r w:rsidR="003F26DA" w:rsidRPr="003565E0">
        <w:t xml:space="preserve"> to improving gender equality, diversity and inclusion</w:t>
      </w:r>
    </w:p>
    <w:p w14:paraId="3158A4B5" w14:textId="77777777" w:rsidR="003F26DA" w:rsidRPr="003565E0" w:rsidRDefault="003F26DA" w:rsidP="003F26DA">
      <w:pPr>
        <w:pStyle w:val="06VIRTBulletpoints"/>
        <w:ind w:left="357" w:hanging="357"/>
      </w:pPr>
      <w:r w:rsidRPr="003565E0">
        <w:t>a greater focus on integrity and adherence to public sector values.</w:t>
      </w:r>
    </w:p>
    <w:p w14:paraId="65F86C41" w14:textId="4CD24766" w:rsidR="00143600" w:rsidRDefault="00143600" w:rsidP="00C9537B">
      <w:pPr>
        <w:pStyle w:val="03VIRTHeading3"/>
      </w:pPr>
      <w:r>
        <w:lastRenderedPageBreak/>
        <w:t>Implementation of savings and efficiency measures</w:t>
      </w:r>
    </w:p>
    <w:p w14:paraId="30B387C0" w14:textId="7E7FE8D0" w:rsidR="003F26DA" w:rsidRDefault="003F26DA">
      <w:pPr>
        <w:pStyle w:val="05Paragraph"/>
      </w:pPr>
      <w:r>
        <w:t xml:space="preserve">Between 2019-20 and 2022-23, the Victorian Government incurred significant one-off expenditure and revenue </w:t>
      </w:r>
      <w:r w:rsidR="00205E26">
        <w:t xml:space="preserve">impacts in </w:t>
      </w:r>
      <w:r>
        <w:t>respond</w:t>
      </w:r>
      <w:r w:rsidR="00205E26">
        <w:t>ing</w:t>
      </w:r>
      <w:r>
        <w:t xml:space="preserve"> to the health and economic impacts of the COVID-19 pandemic. This included significant investments in the health system and the provision of grants and tax relief to businesses and economic assistance to households. In total, the Government has estimated the cost of those measures (excluding funding received from the Commonwealth Government) to be around $31.5 billion.</w:t>
      </w:r>
      <w:r>
        <w:rPr>
          <w:rStyle w:val="FootnoteReference"/>
        </w:rPr>
        <w:footnoteReference w:id="100"/>
      </w:r>
    </w:p>
    <w:p w14:paraId="726B9BFA" w14:textId="68319D51" w:rsidR="003F26DA" w:rsidRDefault="003F26DA">
      <w:pPr>
        <w:pStyle w:val="05Paragraph"/>
      </w:pPr>
      <w:r w:rsidRPr="00B836A1">
        <w:t>In May 2023, as part of the 2023-24 Budget, the Victorian Government announced a COVID Debt Repayment Plan to help repay the State’s COVID debt. The plan encompasses a range of savings and efficiency measures expected to generate $2.1 billion over four years.</w:t>
      </w:r>
      <w:r>
        <w:rPr>
          <w:rStyle w:val="FootnoteReference"/>
        </w:rPr>
        <w:footnoteReference w:id="101"/>
      </w:r>
      <w:r w:rsidRPr="00B836A1">
        <w:t xml:space="preserve"> The </w:t>
      </w:r>
      <w:r>
        <w:rPr>
          <w:i/>
        </w:rPr>
        <w:t xml:space="preserve">2024-25 </w:t>
      </w:r>
      <w:r w:rsidR="00352AE8" w:rsidRPr="004B4490">
        <w:rPr>
          <w:i/>
        </w:rPr>
        <w:t xml:space="preserve">Victorian </w:t>
      </w:r>
      <w:r w:rsidRPr="004B4490">
        <w:rPr>
          <w:i/>
        </w:rPr>
        <w:t>Budget</w:t>
      </w:r>
      <w:r w:rsidR="00352AE8" w:rsidRPr="00B836A1">
        <w:t xml:space="preserve"> </w:t>
      </w:r>
      <w:r w:rsidR="00352AE8">
        <w:t>(</w:t>
      </w:r>
      <w:r w:rsidRPr="00B836A1">
        <w:t>2024-25 Budget</w:t>
      </w:r>
      <w:r w:rsidR="00352AE8">
        <w:t>)</w:t>
      </w:r>
      <w:r w:rsidRPr="00B836A1">
        <w:t xml:space="preserve"> included further measures, such as the consolidation of certain services and rephasing of expenditure, expected to realise savings of $1.8 billion over five years.</w:t>
      </w:r>
      <w:r w:rsidRPr="00B836A1">
        <w:rPr>
          <w:rStyle w:val="FootnoteReference"/>
        </w:rPr>
        <w:footnoteReference w:id="102"/>
      </w:r>
    </w:p>
    <w:p w14:paraId="3395FC54" w14:textId="0260AF2C" w:rsidR="0090093B" w:rsidRDefault="0090093B" w:rsidP="00C9537B">
      <w:pPr>
        <w:pStyle w:val="03VIRTHeading3"/>
      </w:pPr>
      <w:r>
        <w:t>Flexible and hybrid working</w:t>
      </w:r>
    </w:p>
    <w:p w14:paraId="254BADBF" w14:textId="76E78B8A" w:rsidR="003F26DA" w:rsidRDefault="003F26DA">
      <w:pPr>
        <w:pStyle w:val="05Paragraph"/>
      </w:pPr>
      <w:r>
        <w:t xml:space="preserve">Another </w:t>
      </w:r>
      <w:r w:rsidR="0090093B">
        <w:t>impact</w:t>
      </w:r>
      <w:r>
        <w:t xml:space="preserve"> of</w:t>
      </w:r>
      <w:r w:rsidRPr="00127E14">
        <w:t xml:space="preserve"> the COVID-19 pandemic has been </w:t>
      </w:r>
      <w:r>
        <w:t xml:space="preserve">the </w:t>
      </w:r>
      <w:r w:rsidRPr="00127E14">
        <w:t xml:space="preserve">increased </w:t>
      </w:r>
      <w:r>
        <w:t xml:space="preserve">prevalence of hybrid and </w:t>
      </w:r>
      <w:r w:rsidRPr="00127E14">
        <w:t>flexible working arrangements, particularly for office</w:t>
      </w:r>
      <w:r>
        <w:noBreakHyphen/>
      </w:r>
      <w:r w:rsidRPr="00127E14">
        <w:t xml:space="preserve">based </w:t>
      </w:r>
      <w:r>
        <w:t>staff</w:t>
      </w:r>
      <w:r w:rsidRPr="00127E14">
        <w:t>.</w:t>
      </w:r>
      <w:r>
        <w:rPr>
          <w:rStyle w:val="FootnoteReference"/>
        </w:rPr>
        <w:footnoteReference w:id="103"/>
      </w:r>
      <w:r>
        <w:t xml:space="preserve"> </w:t>
      </w:r>
      <w:r w:rsidRPr="00885616">
        <w:t xml:space="preserve">The VPSC’s </w:t>
      </w:r>
      <w:r w:rsidRPr="00E629FB">
        <w:rPr>
          <w:i/>
          <w:iCs/>
        </w:rPr>
        <w:t>Flexible work policy</w:t>
      </w:r>
      <w:r>
        <w:t>, which</w:t>
      </w:r>
      <w:r w:rsidRPr="00885616">
        <w:t xml:space="preserve"> applies to all VPS staff </w:t>
      </w:r>
      <w:r>
        <w:t>(</w:t>
      </w:r>
      <w:r w:rsidRPr="00885616">
        <w:t>including executives</w:t>
      </w:r>
      <w:r>
        <w:t xml:space="preserve"> in public entities employed under Part 3 of the PAA),</w:t>
      </w:r>
      <w:r w:rsidRPr="00885616">
        <w:t xml:space="preserve"> states that flexible work is the </w:t>
      </w:r>
      <w:r>
        <w:t>G</w:t>
      </w:r>
      <w:r w:rsidRPr="00885616">
        <w:t xml:space="preserve">overnment’s </w:t>
      </w:r>
      <w:r>
        <w:t>‘</w:t>
      </w:r>
      <w:r w:rsidRPr="00885616">
        <w:t>default position’</w:t>
      </w:r>
      <w:r>
        <w:t xml:space="preserve">. The policy </w:t>
      </w:r>
      <w:r w:rsidRPr="00885616">
        <w:t>provides examples of flexible work</w:t>
      </w:r>
      <w:r>
        <w:t>,</w:t>
      </w:r>
      <w:r w:rsidRPr="00885616">
        <w:t xml:space="preserve"> including compressed work weeks, flexible start and finish times and flexible daily schedules.</w:t>
      </w:r>
      <w:r>
        <w:rPr>
          <w:rStyle w:val="FootnoteReference"/>
        </w:rPr>
        <w:footnoteReference w:id="104"/>
      </w:r>
    </w:p>
    <w:p w14:paraId="7B93320A" w14:textId="680DFD89" w:rsidR="00207E85" w:rsidRDefault="00207E85" w:rsidP="00C9537B">
      <w:pPr>
        <w:pStyle w:val="03VIRTHeading3"/>
      </w:pPr>
      <w:r>
        <w:t xml:space="preserve">Commitments to improving </w:t>
      </w:r>
      <w:r w:rsidR="00432BA1">
        <w:t>diversity</w:t>
      </w:r>
    </w:p>
    <w:p w14:paraId="5AE450E1" w14:textId="77777777" w:rsidR="003F26DA" w:rsidRDefault="003F26DA">
      <w:pPr>
        <w:pStyle w:val="05Paragraph"/>
      </w:pPr>
      <w:r w:rsidRPr="00482A77">
        <w:t xml:space="preserve">Under the </w:t>
      </w:r>
      <w:r w:rsidRPr="00B33E1E">
        <w:rPr>
          <w:i/>
          <w:iCs/>
        </w:rPr>
        <w:t>Gender Equality Act 2020</w:t>
      </w:r>
      <w:r w:rsidRPr="00A94D13">
        <w:t xml:space="preserve"> (Vic)</w:t>
      </w:r>
      <w:r w:rsidRPr="00482A77">
        <w:t xml:space="preserve">, public sector organisations </w:t>
      </w:r>
      <w:r>
        <w:t xml:space="preserve">(including public entities) </w:t>
      </w:r>
      <w:r w:rsidRPr="00482A77">
        <w:t>are required to prepare a Gender Equality Action Plan</w:t>
      </w:r>
      <w:r>
        <w:t xml:space="preserve"> and</w:t>
      </w:r>
      <w:r w:rsidRPr="00482A77">
        <w:t xml:space="preserve"> report on progress </w:t>
      </w:r>
      <w:r>
        <w:t>towards</w:t>
      </w:r>
      <w:r w:rsidRPr="00482A77">
        <w:t xml:space="preserve"> improving workplace gender equality every two years.</w:t>
      </w:r>
      <w:r>
        <w:rPr>
          <w:rStyle w:val="FootnoteReference"/>
        </w:rPr>
        <w:footnoteReference w:id="105"/>
      </w:r>
      <w:r>
        <w:t xml:space="preserve"> In addition, the</w:t>
      </w:r>
      <w:r w:rsidRPr="00482A77">
        <w:t xml:space="preserve"> Government</w:t>
      </w:r>
      <w:r>
        <w:t>’s</w:t>
      </w:r>
      <w:r w:rsidRPr="00482A77">
        <w:t xml:space="preserve"> gender equality strategy and action plan</w:t>
      </w:r>
      <w:r>
        <w:t xml:space="preserve"> has the </w:t>
      </w:r>
      <w:r>
        <w:lastRenderedPageBreak/>
        <w:t>objectives of achieving</w:t>
      </w:r>
      <w:r w:rsidRPr="00482A77">
        <w:t xml:space="preserve"> gender parity in </w:t>
      </w:r>
      <w:r>
        <w:t xml:space="preserve">CEO and </w:t>
      </w:r>
      <w:r w:rsidRPr="00482A77">
        <w:t xml:space="preserve">senior leadership positions </w:t>
      </w:r>
      <w:r>
        <w:t xml:space="preserve">and halving the gender pay gap </w:t>
      </w:r>
      <w:r w:rsidRPr="00482A77">
        <w:t xml:space="preserve">within the public sector </w:t>
      </w:r>
      <w:r>
        <w:t>by 2028</w:t>
      </w:r>
      <w:r w:rsidRPr="00482A77">
        <w:t>.</w:t>
      </w:r>
      <w:r>
        <w:rPr>
          <w:rStyle w:val="FootnoteReference"/>
        </w:rPr>
        <w:footnoteReference w:id="106"/>
      </w:r>
    </w:p>
    <w:p w14:paraId="65AC8AFD" w14:textId="22D9AD0C" w:rsidR="00432BA1" w:rsidRDefault="00432BA1" w:rsidP="00A16EF4">
      <w:pPr>
        <w:pStyle w:val="03VIRTHeading3"/>
      </w:pPr>
      <w:r>
        <w:t>Greater focus on integrity</w:t>
      </w:r>
    </w:p>
    <w:p w14:paraId="03FFB1EA" w14:textId="68E20BA2" w:rsidR="003F26DA" w:rsidRPr="00C849A4" w:rsidRDefault="003F26DA">
      <w:pPr>
        <w:pStyle w:val="05Paragraph"/>
      </w:pPr>
      <w:r w:rsidRPr="00B836A1">
        <w:t>There has been an increased focus on integrity and public sector values in recent years, driven by several recent inquiries and reports which scrutinised the actions of the Australian and Victorian public sectors.</w:t>
      </w:r>
      <w:r w:rsidRPr="00B836A1">
        <w:rPr>
          <w:rStyle w:val="FootnoteReference"/>
        </w:rPr>
        <w:footnoteReference w:id="107"/>
      </w:r>
      <w:r w:rsidRPr="00B836A1">
        <w:t xml:space="preserve"> These include: the judicial inquiry into Victoria’s COVID-19 Hotel Quarantine Program; the Independent Review of the Australian Public Service led by David </w:t>
      </w:r>
      <w:proofErr w:type="spellStart"/>
      <w:r w:rsidRPr="00B836A1">
        <w:t>Thodey</w:t>
      </w:r>
      <w:proofErr w:type="spellEnd"/>
      <w:r w:rsidRPr="00B836A1">
        <w:t xml:space="preserve"> AO; the Royal Commission into the Australian Government’s </w:t>
      </w:r>
      <w:proofErr w:type="spellStart"/>
      <w:r w:rsidRPr="00B836A1">
        <w:t>Robodebt</w:t>
      </w:r>
      <w:proofErr w:type="spellEnd"/>
      <w:r w:rsidRPr="00B836A1">
        <w:t xml:space="preserve"> Scheme; Operation Watts, a joint investigation by the Victorian Ombudsman and IBAC into allegations of corruption involving public officials; </w:t>
      </w:r>
      <w:r>
        <w:t xml:space="preserve">and </w:t>
      </w:r>
      <w:r w:rsidRPr="00B836A1">
        <w:t>the Victorian Ombudsman’s report on the alleged politicisation of the Victorian public sector.</w:t>
      </w:r>
      <w:r w:rsidRPr="00B836A1">
        <w:rPr>
          <w:rStyle w:val="FootnoteReference"/>
        </w:rPr>
        <w:footnoteReference w:id="108"/>
      </w:r>
    </w:p>
    <w:p w14:paraId="03592040" w14:textId="43302045" w:rsidR="003F26DA" w:rsidRDefault="003F26DA">
      <w:pPr>
        <w:pStyle w:val="05Paragraph"/>
      </w:pPr>
      <w:r w:rsidRPr="00F947CB">
        <w:t xml:space="preserve">In response, </w:t>
      </w:r>
      <w:r>
        <w:t xml:space="preserve">department </w:t>
      </w:r>
      <w:r w:rsidRPr="00F947CB">
        <w:t xml:space="preserve">Secretaries and the Victorian Public Sector Commissioner have issued </w:t>
      </w:r>
      <w:r>
        <w:t>statements and additional</w:t>
      </w:r>
      <w:r w:rsidRPr="00F947CB">
        <w:t xml:space="preserve"> guidance </w:t>
      </w:r>
      <w:r>
        <w:t xml:space="preserve">to </w:t>
      </w:r>
      <w:r w:rsidRPr="00F947CB">
        <w:t xml:space="preserve">assist </w:t>
      </w:r>
      <w:r>
        <w:t xml:space="preserve">public sector </w:t>
      </w:r>
      <w:r w:rsidRPr="00F947CB">
        <w:t xml:space="preserve">executives and </w:t>
      </w:r>
      <w:r>
        <w:t xml:space="preserve">their </w:t>
      </w:r>
      <w:r w:rsidRPr="00F947CB">
        <w:t xml:space="preserve">staff </w:t>
      </w:r>
      <w:r>
        <w:t>to</w:t>
      </w:r>
      <w:r w:rsidRPr="00F947CB">
        <w:t xml:space="preserve"> </w:t>
      </w:r>
      <w:r>
        <w:t xml:space="preserve">understand and </w:t>
      </w:r>
      <w:r w:rsidRPr="00F947CB">
        <w:t xml:space="preserve">fulfill their </w:t>
      </w:r>
      <w:r>
        <w:t xml:space="preserve">integrity </w:t>
      </w:r>
      <w:r w:rsidRPr="00F947CB">
        <w:t>obligations.</w:t>
      </w:r>
      <w:r>
        <w:t xml:space="preserve"> For example, in 2024, </w:t>
      </w:r>
      <w:r w:rsidRPr="00F947CB">
        <w:t>the VPSC</w:t>
      </w:r>
      <w:r>
        <w:t xml:space="preserve"> updated its </w:t>
      </w:r>
      <w:proofErr w:type="gramStart"/>
      <w:r w:rsidRPr="0057431A">
        <w:rPr>
          <w:i/>
          <w:iCs/>
        </w:rPr>
        <w:t>Public</w:t>
      </w:r>
      <w:proofErr w:type="gramEnd"/>
      <w:r w:rsidRPr="0057431A">
        <w:rPr>
          <w:i/>
          <w:iCs/>
        </w:rPr>
        <w:t xml:space="preserve"> sector integrity framework</w:t>
      </w:r>
      <w:r>
        <w:t>. The framework identified seven ‘domains of integrity’ needed to build and sustain public sector integrity, including leadership, culture and risk management. It also outlined the benefits of acting with integrity, such as increased public trust.</w:t>
      </w:r>
      <w:r>
        <w:rPr>
          <w:rStyle w:val="FootnoteReference"/>
        </w:rPr>
        <w:footnoteReference w:id="109"/>
      </w:r>
    </w:p>
    <w:p w14:paraId="0D36DA3F" w14:textId="08543FCB" w:rsidR="003F26DA" w:rsidRDefault="003F26DA" w:rsidP="00A16EF4">
      <w:pPr>
        <w:pStyle w:val="05Paragraph"/>
        <w:keepNext/>
      </w:pPr>
      <w:r>
        <w:t xml:space="preserve">In addition, the Tribunal heard about factors that are specific to public entities and certain </w:t>
      </w:r>
      <w:proofErr w:type="gramStart"/>
      <w:r>
        <w:t>industries, or</w:t>
      </w:r>
      <w:proofErr w:type="gramEnd"/>
      <w:r>
        <w:t xml:space="preserve"> may particularly impact executives in those entities or industries. </w:t>
      </w:r>
      <w:r w:rsidRPr="00123CC9">
        <w:t>For example</w:t>
      </w:r>
      <w:r>
        <w:t>:</w:t>
      </w:r>
    </w:p>
    <w:p w14:paraId="0C5F4FB3" w14:textId="29E622BA" w:rsidR="003F26DA" w:rsidRPr="009264C7" w:rsidRDefault="003F26DA" w:rsidP="003F26DA">
      <w:pPr>
        <w:pStyle w:val="06VIRTBulletpoints"/>
        <w:ind w:left="357" w:hanging="357"/>
      </w:pPr>
      <w:r w:rsidRPr="009264C7">
        <w:t xml:space="preserve">the </w:t>
      </w:r>
      <w:r w:rsidR="00BE4AEA">
        <w:t xml:space="preserve">CFA </w:t>
      </w:r>
      <w:r w:rsidRPr="009264C7">
        <w:t>submission highlighted the impact of the Government’s fire services reforms</w:t>
      </w:r>
    </w:p>
    <w:p w14:paraId="3F812AF8" w14:textId="48F5D535" w:rsidR="003F26DA" w:rsidRPr="009264C7" w:rsidRDefault="003F26DA" w:rsidP="003F26DA">
      <w:pPr>
        <w:pStyle w:val="06VIRTBulletpoints"/>
        <w:ind w:left="357" w:hanging="357"/>
      </w:pPr>
      <w:r w:rsidRPr="009264C7" w:rsidDel="00811552">
        <w:t xml:space="preserve">the </w:t>
      </w:r>
      <w:proofErr w:type="spellStart"/>
      <w:r w:rsidR="00BE4AEA" w:rsidRPr="009264C7">
        <w:t>VicWater</w:t>
      </w:r>
      <w:proofErr w:type="spellEnd"/>
      <w:r w:rsidR="00BE4AEA" w:rsidRPr="009264C7" w:rsidDel="00811552">
        <w:t xml:space="preserve"> </w:t>
      </w:r>
      <w:r w:rsidRPr="009264C7" w:rsidDel="00811552">
        <w:t>submission</w:t>
      </w:r>
      <w:r>
        <w:t xml:space="preserve"> </w:t>
      </w:r>
      <w:r w:rsidRPr="009264C7">
        <w:t xml:space="preserve">cited growing risks around climate change and cyber security </w:t>
      </w:r>
      <w:r>
        <w:t>with implications for</w:t>
      </w:r>
      <w:r w:rsidRPr="009264C7">
        <w:t xml:space="preserve"> critical infrastructure/systems and customer data, in addition to new and enhanced regulatory obligations (e.g.</w:t>
      </w:r>
      <w:r>
        <w:t> </w:t>
      </w:r>
      <w:r w:rsidRPr="009264C7">
        <w:t xml:space="preserve">the General Environmental Duty under the </w:t>
      </w:r>
      <w:r w:rsidRPr="00CE105C">
        <w:rPr>
          <w:i/>
          <w:iCs/>
        </w:rPr>
        <w:t>Environment Protection Act 2017</w:t>
      </w:r>
      <w:r w:rsidRPr="009264C7">
        <w:t xml:space="preserve"> (Vic))</w:t>
      </w:r>
      <w:r w:rsidRPr="00A867D7">
        <w:t>.</w:t>
      </w:r>
      <w:r>
        <w:rPr>
          <w:rStyle w:val="FootnoteReference"/>
        </w:rPr>
        <w:footnoteReference w:id="110"/>
      </w:r>
    </w:p>
    <w:p w14:paraId="595A34A0" w14:textId="77777777" w:rsidR="003F26DA" w:rsidRPr="00B836A1" w:rsidRDefault="003F26DA" w:rsidP="00FD50B1">
      <w:pPr>
        <w:pStyle w:val="02VIRTHeading2"/>
      </w:pPr>
      <w:bookmarkStart w:id="56" w:name="_Toc185012364"/>
      <w:r w:rsidRPr="00B836A1">
        <w:lastRenderedPageBreak/>
        <w:t>3.</w:t>
      </w:r>
      <w:r>
        <w:t>5</w:t>
      </w:r>
      <w:r w:rsidRPr="00B836A1">
        <w:tab/>
        <w:t>Executives reported that most aspects of their roles had grown in the last four years</w:t>
      </w:r>
      <w:bookmarkEnd w:id="56"/>
    </w:p>
    <w:p w14:paraId="74A1B15E" w14:textId="77777777" w:rsidR="003F26DA" w:rsidRPr="00B836A1" w:rsidRDefault="003F26DA" w:rsidP="00A16EF4">
      <w:pPr>
        <w:pStyle w:val="05Paragraph"/>
      </w:pPr>
      <w:r w:rsidRPr="00B836A1">
        <w:t xml:space="preserve">The Tribunal’s executive questionnaire asked respondents to indicate whether each of the work </w:t>
      </w:r>
      <w:r>
        <w:t xml:space="preserve">value factors/work </w:t>
      </w:r>
      <w:r w:rsidRPr="00B836A1">
        <w:t>level standards under the PEECF and VPSECF — which, as previously discussed, reflect the core competencies and accountabilities of executive roles — had ‘reduced’, ‘grown’ or remained ‘unchanged’ over the last four years (Figure 3.1).</w:t>
      </w:r>
    </w:p>
    <w:p w14:paraId="7A1E5BC8" w14:textId="77777777" w:rsidR="003F26DA" w:rsidRPr="00B836A1" w:rsidRDefault="003F26DA" w:rsidP="00A16EF4">
      <w:pPr>
        <w:pStyle w:val="05Paragraph"/>
      </w:pPr>
      <w:proofErr w:type="gramStart"/>
      <w:r w:rsidRPr="00B836A1">
        <w:t>A majority of</w:t>
      </w:r>
      <w:proofErr w:type="gramEnd"/>
      <w:r w:rsidRPr="00B836A1">
        <w:t xml:space="preserve"> respondents selected ‘grown’ for seven of the eight </w:t>
      </w:r>
      <w:r>
        <w:t>factors</w:t>
      </w:r>
      <w:r w:rsidRPr="00B836A1">
        <w:t>. For example, over 80 per cent of respondents reported that the components of their role related to ‘strategic change’ and ‘judgement and risk’ had grown.</w:t>
      </w:r>
    </w:p>
    <w:p w14:paraId="79B3F293" w14:textId="5464EEE2" w:rsidR="003F26DA" w:rsidRPr="00B836A1" w:rsidRDefault="003F26DA">
      <w:pPr>
        <w:keepNext/>
        <w:spacing w:after="60"/>
        <w:rPr>
          <w:b/>
          <w:color w:val="26664E" w:themeColor="accent1"/>
          <w:sz w:val="24"/>
        </w:rPr>
      </w:pPr>
      <w:r w:rsidRPr="00B836A1">
        <w:rPr>
          <w:b/>
          <w:color w:val="26664E" w:themeColor="accent1"/>
          <w:sz w:val="24"/>
        </w:rPr>
        <w:t xml:space="preserve">Figure 3.1: Summary of responses to question 19 — </w:t>
      </w:r>
      <w:r w:rsidR="008D3418">
        <w:rPr>
          <w:b/>
          <w:color w:val="26664E" w:themeColor="accent1"/>
          <w:sz w:val="24"/>
        </w:rPr>
        <w:t>changes</w:t>
      </w:r>
      <w:r w:rsidRPr="00B836A1">
        <w:rPr>
          <w:b/>
          <w:color w:val="26664E" w:themeColor="accent1"/>
          <w:sz w:val="24"/>
        </w:rPr>
        <w:t xml:space="preserve"> in executive </w:t>
      </w:r>
      <w:r w:rsidR="008D3418">
        <w:rPr>
          <w:b/>
          <w:color w:val="26664E" w:themeColor="accent1"/>
          <w:sz w:val="24"/>
        </w:rPr>
        <w:t>roles</w:t>
      </w:r>
    </w:p>
    <w:p w14:paraId="076DF967" w14:textId="3233C3B7" w:rsidR="003F26DA" w:rsidRPr="00B836A1" w:rsidRDefault="005D7B0E" w:rsidP="008452F5">
      <w:pPr>
        <w:pStyle w:val="05Paragraph"/>
      </w:pPr>
      <w:r>
        <w:rPr>
          <w:noProof/>
        </w:rPr>
        <w:drawing>
          <wp:inline distT="0" distB="0" distL="0" distR="0" wp14:anchorId="35B1F3F9" wp14:editId="0BDA55BF">
            <wp:extent cx="5395595" cy="3103245"/>
            <wp:effectExtent l="0" t="0" r="0" b="1905"/>
            <wp:docPr id="76690081" name="Picture 2" descr="A chart showing the proportion of respondents to the executive questionnaire who, for each work value factor, indicated that factor had reduced, grown or remained the same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0081" name="Picture 2" descr="A chart showing the proportion of respondents to the executive questionnaire who, for each work value factor, indicated that factor had reduced, grown or remained the same over the last four yea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5595" cy="3103245"/>
                    </a:xfrm>
                    <a:prstGeom prst="rect">
                      <a:avLst/>
                    </a:prstGeom>
                    <a:noFill/>
                  </pic:spPr>
                </pic:pic>
              </a:graphicData>
            </a:graphic>
          </wp:inline>
        </w:drawing>
      </w:r>
    </w:p>
    <w:p w14:paraId="21058B9C" w14:textId="1B0B1F7F" w:rsidR="003F26DA" w:rsidRPr="00B836A1" w:rsidRDefault="003F26DA">
      <w:pPr>
        <w:pStyle w:val="09Sourcesandnotesfortablesfiguresboxes"/>
      </w:pPr>
      <w:r w:rsidRPr="00B836A1">
        <w:t xml:space="preserve">Note: </w:t>
      </w:r>
      <w:r w:rsidR="00A13186">
        <w:t xml:space="preserve">The question asked was </w:t>
      </w:r>
      <w:r w:rsidR="00A13186" w:rsidRPr="00A13186">
        <w:t>‘Over the past four years, how have the following components of your role changed? If you have worked in more than one executive role in the last four years, please respond based on your longest role’</w:t>
      </w:r>
      <w:r w:rsidR="00994CAC">
        <w:t xml:space="preserve">, which received </w:t>
      </w:r>
      <w:r w:rsidRPr="00B836A1">
        <w:t>279 responses.</w:t>
      </w:r>
    </w:p>
    <w:p w14:paraId="6CC99312" w14:textId="77777777" w:rsidR="003F26DA" w:rsidRPr="00B836A1" w:rsidRDefault="003F26DA">
      <w:pPr>
        <w:pStyle w:val="09Sourcesandnotesfortablesfiguresboxes"/>
      </w:pPr>
      <w:r w:rsidRPr="00B836A1">
        <w:t>Source: Tribunal analysis of data from executive questionnaire.</w:t>
      </w:r>
    </w:p>
    <w:p w14:paraId="0C1C0A9C" w14:textId="69F6447B" w:rsidR="003F26DA" w:rsidRPr="00B836A1" w:rsidRDefault="00957CAC" w:rsidP="00213D8C">
      <w:pPr>
        <w:pStyle w:val="05Paragraph"/>
        <w:keepNext/>
      </w:pPr>
      <w:r>
        <w:t xml:space="preserve">Of these factors, </w:t>
      </w:r>
      <w:r w:rsidR="00B31EDC">
        <w:t xml:space="preserve">only </w:t>
      </w:r>
      <w:r w:rsidR="003F26DA" w:rsidRPr="00B836A1">
        <w:t xml:space="preserve">‘Independence’ was </w:t>
      </w:r>
      <w:r w:rsidR="00B31EDC">
        <w:t>cited by</w:t>
      </w:r>
      <w:r w:rsidR="003F26DA" w:rsidRPr="00B836A1">
        <w:t xml:space="preserve"> </w:t>
      </w:r>
      <w:proofErr w:type="gramStart"/>
      <w:r w:rsidR="003F26DA" w:rsidRPr="00B836A1">
        <w:t>a majority of</w:t>
      </w:r>
      <w:proofErr w:type="gramEnd"/>
      <w:r w:rsidR="003F26DA" w:rsidRPr="00B836A1">
        <w:t xml:space="preserve"> respondents </w:t>
      </w:r>
      <w:r w:rsidR="00B31EDC">
        <w:t>as having</w:t>
      </w:r>
      <w:r w:rsidR="003F26DA" w:rsidRPr="00B836A1">
        <w:t xml:space="preserve"> either reduced or remained unchanged. This suggests that some executives </w:t>
      </w:r>
      <w:r w:rsidR="003F26DA" w:rsidRPr="00B836A1">
        <w:lastRenderedPageBreak/>
        <w:t>may feel constrained in their ability to make decisions and exercise independent judgement. According to one executive:</w:t>
      </w:r>
    </w:p>
    <w:p w14:paraId="2ACFB9E5" w14:textId="77777777" w:rsidR="003F26DA" w:rsidRPr="00B836A1" w:rsidRDefault="003F26DA" w:rsidP="00A95FF2">
      <w:pPr>
        <w:pStyle w:val="07VIRTBreakouttext"/>
        <w:rPr>
          <w:i w:val="0"/>
        </w:rPr>
      </w:pPr>
      <w:r w:rsidRPr="00B836A1">
        <w:t>The last five years have seen … lower thresholds for centralised oversight … and reduced reliance on judgement as a feature of executive decision</w:t>
      </w:r>
      <w:r w:rsidRPr="00B836A1">
        <w:noBreakHyphen/>
        <w:t>making.</w:t>
      </w:r>
    </w:p>
    <w:p w14:paraId="7E1B5B02" w14:textId="34F53508" w:rsidR="003F26DA" w:rsidRPr="00B836A1" w:rsidRDefault="003F26DA" w:rsidP="00A95FF2">
      <w:pPr>
        <w:pStyle w:val="05Paragraph"/>
      </w:pPr>
      <w:r w:rsidRPr="00B836A1">
        <w:t xml:space="preserve">The results were broadly similar for both CEOs and </w:t>
      </w:r>
      <w:r>
        <w:t>other</w:t>
      </w:r>
      <w:r w:rsidRPr="00B836A1">
        <w:t xml:space="preserve"> executives. However, </w:t>
      </w:r>
      <w:r>
        <w:t>other</w:t>
      </w:r>
      <w:r w:rsidRPr="00B836A1">
        <w:t xml:space="preserve"> executives </w:t>
      </w:r>
      <w:r>
        <w:t>were more likely to</w:t>
      </w:r>
      <w:r w:rsidRPr="00B836A1">
        <w:t xml:space="preserve"> report that their ‘independence’ had grown </w:t>
      </w:r>
      <w:r>
        <w:t>(49 per cent) than</w:t>
      </w:r>
      <w:r w:rsidRPr="00B836A1">
        <w:t xml:space="preserve"> </w:t>
      </w:r>
      <w:r>
        <w:t xml:space="preserve">CEOs </w:t>
      </w:r>
      <w:r w:rsidRPr="00B836A1">
        <w:t>(</w:t>
      </w:r>
      <w:r>
        <w:t xml:space="preserve">25 </w:t>
      </w:r>
      <w:r w:rsidRPr="00B836A1">
        <w:t>per</w:t>
      </w:r>
      <w:r>
        <w:t xml:space="preserve"> </w:t>
      </w:r>
      <w:r w:rsidRPr="00B836A1">
        <w:t xml:space="preserve">cent). </w:t>
      </w:r>
      <w:r>
        <w:t>S</w:t>
      </w:r>
      <w:r w:rsidRPr="00B836A1">
        <w:t>ome CEOs specifically commented on the relationship between their entity and portfolio department, suggesting that department oversight was seen as inhibiting their entity’s independence and/or influence</w:t>
      </w:r>
      <w:r w:rsidR="00CC246C">
        <w:t xml:space="preserve"> </w:t>
      </w:r>
      <w:r w:rsidR="00CC246C" w:rsidRPr="00B836A1">
        <w:t>(Box 3.1)</w:t>
      </w:r>
      <w:r w:rsidRPr="00B836A1">
        <w:t>.</w:t>
      </w:r>
    </w:p>
    <w:p w14:paraId="7A7F4D3D" w14:textId="77777777" w:rsidR="003F26DA" w:rsidRPr="00B836A1" w:rsidRDefault="003F26DA">
      <w:pPr>
        <w:keepNext/>
        <w:spacing w:after="60"/>
        <w:rPr>
          <w:b/>
          <w:color w:val="26664E" w:themeColor="accent1"/>
          <w:sz w:val="24"/>
        </w:rPr>
      </w:pPr>
      <w:r w:rsidRPr="00B836A1">
        <w:rPr>
          <w:b/>
          <w:color w:val="26664E" w:themeColor="accent1"/>
          <w:sz w:val="24"/>
        </w:rPr>
        <w:t>Box 3.1: Extracts from the executive questionnaire — role of portfolio department</w:t>
      </w:r>
    </w:p>
    <w:p w14:paraId="00C3248F" w14:textId="77777777" w:rsidR="003F26DA" w:rsidRPr="00B836A1" w:rsidRDefault="003F26DA">
      <w:pPr>
        <w:spacing w:after="0"/>
      </w:pPr>
      <w:r w:rsidRPr="00B836A1">
        <w:rPr>
          <w:noProof/>
        </w:rPr>
        <mc:AlternateContent>
          <mc:Choice Requires="wps">
            <w:drawing>
              <wp:inline distT="0" distB="0" distL="0" distR="0" wp14:anchorId="36756D5A" wp14:editId="51F0F202">
                <wp:extent cx="5509260" cy="2059200"/>
                <wp:effectExtent l="0" t="0" r="15240" b="17780"/>
                <wp:docPr id="463829007" name="Rectangle 1"/>
                <wp:cNvGraphicFramePr/>
                <a:graphic xmlns:a="http://schemas.openxmlformats.org/drawingml/2006/main">
                  <a:graphicData uri="http://schemas.microsoft.com/office/word/2010/wordprocessingShape">
                    <wps:wsp>
                      <wps:cNvSpPr/>
                      <wps:spPr>
                        <a:xfrm>
                          <a:off x="0" y="0"/>
                          <a:ext cx="5509260" cy="2059200"/>
                        </a:xfrm>
                        <a:prstGeom prst="rect">
                          <a:avLst/>
                        </a:prstGeom>
                        <a:noFill/>
                        <a:ln w="19050" cap="flat" cmpd="sng" algn="ctr">
                          <a:solidFill>
                            <a:srgbClr val="148A5D"/>
                          </a:solidFill>
                          <a:prstDash val="solid"/>
                        </a:ln>
                        <a:effectLst/>
                      </wps:spPr>
                      <wps:txbx>
                        <w:txbxContent>
                          <w:p w14:paraId="5E6EB294" w14:textId="77777777" w:rsidR="003F26DA" w:rsidRDefault="003F26DA">
                            <w:pPr>
                              <w:pStyle w:val="12BoxText"/>
                            </w:pPr>
                            <w:r>
                              <w:t>‘</w:t>
                            </w:r>
                            <w:r w:rsidRPr="005A3777">
                              <w:t>Direction from department is unclear, takes a long time and lacks depth (management by memo without understanding of impact). Only news from them is bad news (problems and criticism). Direction creates and amplifies clashes between its participants rather than bringing together.</w:t>
                            </w:r>
                            <w:r>
                              <w:t>’</w:t>
                            </w:r>
                          </w:p>
                          <w:p w14:paraId="57C5B713" w14:textId="77777777" w:rsidR="003F26DA" w:rsidRDefault="003F26DA">
                            <w:pPr>
                              <w:pStyle w:val="12BoxText"/>
                              <w:spacing w:before="0"/>
                            </w:pPr>
                          </w:p>
                          <w:p w14:paraId="570D2F8A" w14:textId="77777777" w:rsidR="003F26DA" w:rsidRDefault="003F26DA">
                            <w:pPr>
                              <w:pStyle w:val="12BoxText"/>
                              <w:spacing w:before="0"/>
                            </w:pPr>
                            <w:r>
                              <w:t>‘</w:t>
                            </w:r>
                            <w:r w:rsidRPr="005F7927">
                              <w:t xml:space="preserve">Often the reach in from the portfolio department does not advance the freedom to plan or promote public value outcomes, but rather inhibits through </w:t>
                            </w:r>
                            <w:r>
                              <w:t>…</w:t>
                            </w:r>
                            <w:r w:rsidRPr="005F7927">
                              <w:t xml:space="preserve"> red tape. The relationship between entity and department is inhibited by a focus </w:t>
                            </w:r>
                            <w:r>
                              <w:t>…</w:t>
                            </w:r>
                            <w:r w:rsidRPr="005F7927">
                              <w:t xml:space="preserve"> </w:t>
                            </w:r>
                            <w:r>
                              <w:t>[on]</w:t>
                            </w:r>
                            <w:r w:rsidRPr="005F7927">
                              <w:t xml:space="preserve"> oversight as opposed to collaboration, facilitation and advancing the business at hand.</w:t>
                            </w:r>
                            <w:r>
                              <w:t>’</w:t>
                            </w:r>
                            <w:r w:rsidRPr="005F7927" w:rsidDel="005F7927">
                              <w:t xml:space="preserve"> </w:t>
                            </w:r>
                          </w:p>
                          <w:p w14:paraId="2FE5A098" w14:textId="77777777" w:rsidR="003F26DA" w:rsidRDefault="003F26DA">
                            <w:pPr>
                              <w:pStyle w:val="12BoxText"/>
                              <w:spacing w:before="0"/>
                            </w:pPr>
                          </w:p>
                          <w:p w14:paraId="174EAA6F" w14:textId="77777777" w:rsidR="003F26DA" w:rsidRPr="00DE2AE7" w:rsidRDefault="003F26DA">
                            <w:pPr>
                              <w:pStyle w:val="12BoxText"/>
                              <w:spacing w:before="0"/>
                            </w:pPr>
                            <w:r>
                              <w:t>‘</w:t>
                            </w:r>
                            <w:r w:rsidRPr="005A3777">
                              <w:t>Our influence as an agency is progressively eroded by our lead department.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756D5A" id="_x0000_s1027" style="width:433.8pt;height:16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" filled="f" strokecolor="#148a5d" strokeweight="1.5pt">
                <v:textbox>
                  <w:txbxContent>
                    <w:p w14:paraId="5E6EB294" w14:textId="77777777" w:rsidR="003F26DA" w:rsidRDefault="003F26DA">
                      <w:pPr>
                        <w:pStyle w:val="12BoxText"/>
                      </w:pPr>
                      <w:r>
                        <w:t>‘</w:t>
                      </w:r>
                      <w:r w:rsidRPr="005A3777">
                        <w:t>Direction from department is unclear, takes a long time and lacks depth (management by memo without understanding of impact). Only news from them is bad news (problems and criticism). Direction creates and amplifies clashes between its participants rather than bringing together.</w:t>
                      </w:r>
                      <w:r>
                        <w:t>’</w:t>
                      </w:r>
                    </w:p>
                    <w:p w14:paraId="57C5B713" w14:textId="77777777" w:rsidR="003F26DA" w:rsidRDefault="003F26DA">
                      <w:pPr>
                        <w:pStyle w:val="12BoxText"/>
                        <w:spacing w:before="0"/>
                      </w:pPr>
                    </w:p>
                    <w:p w14:paraId="570D2F8A" w14:textId="77777777" w:rsidR="003F26DA" w:rsidRDefault="003F26DA">
                      <w:pPr>
                        <w:pStyle w:val="12BoxText"/>
                        <w:spacing w:before="0"/>
                      </w:pPr>
                      <w:r>
                        <w:t>‘</w:t>
                      </w:r>
                      <w:r w:rsidRPr="005F7927">
                        <w:t xml:space="preserve">Often the reach in from the portfolio department does not advance the freedom to plan or promote public value outcomes, but rather inhibits through </w:t>
                      </w:r>
                      <w:r>
                        <w:t>…</w:t>
                      </w:r>
                      <w:r w:rsidRPr="005F7927">
                        <w:t xml:space="preserve"> red tape. The relationship between entity and department is inhibited by a focus </w:t>
                      </w:r>
                      <w:r>
                        <w:t>…</w:t>
                      </w:r>
                      <w:r w:rsidRPr="005F7927">
                        <w:t xml:space="preserve"> </w:t>
                      </w:r>
                      <w:r>
                        <w:t>[on]</w:t>
                      </w:r>
                      <w:r w:rsidRPr="005F7927">
                        <w:t xml:space="preserve"> oversight as opposed to collaboration, facilitation and advancing the business at hand.</w:t>
                      </w:r>
                      <w:r>
                        <w:t>’</w:t>
                      </w:r>
                      <w:r w:rsidRPr="005F7927" w:rsidDel="005F7927">
                        <w:t xml:space="preserve"> </w:t>
                      </w:r>
                    </w:p>
                    <w:p w14:paraId="2FE5A098" w14:textId="77777777" w:rsidR="003F26DA" w:rsidRDefault="003F26DA">
                      <w:pPr>
                        <w:pStyle w:val="12BoxText"/>
                        <w:spacing w:before="0"/>
                      </w:pPr>
                    </w:p>
                    <w:p w14:paraId="174EAA6F" w14:textId="77777777" w:rsidR="003F26DA" w:rsidRPr="00DE2AE7" w:rsidRDefault="003F26DA">
                      <w:pPr>
                        <w:pStyle w:val="12BoxText"/>
                        <w:spacing w:before="0"/>
                      </w:pPr>
                      <w:r>
                        <w:t>‘</w:t>
                      </w:r>
                      <w:r w:rsidRPr="005A3777">
                        <w:t>Our influence as an agency is progressively eroded by our lead department.</w:t>
                      </w:r>
                      <w:r>
                        <w:t>’</w:t>
                      </w:r>
                    </w:p>
                  </w:txbxContent>
                </v:textbox>
                <w10:anchorlock/>
              </v:rect>
            </w:pict>
          </mc:Fallback>
        </mc:AlternateContent>
      </w:r>
    </w:p>
    <w:p w14:paraId="595E3E1E" w14:textId="77777777" w:rsidR="003F26DA" w:rsidRPr="00B836A1" w:rsidRDefault="003F26DA">
      <w:pPr>
        <w:pStyle w:val="09Sourcesandnotesfortablesfiguresboxes"/>
      </w:pPr>
      <w:r w:rsidRPr="00B836A1">
        <w:t>Source: Free-text responses from CEOs to the Tribunal’s executive questionnaire.</w:t>
      </w:r>
    </w:p>
    <w:p w14:paraId="0F81D946" w14:textId="77777777" w:rsidR="003F26DA" w:rsidRPr="00B836A1" w:rsidRDefault="003F26DA" w:rsidP="00A95FF2">
      <w:pPr>
        <w:pStyle w:val="05Paragraph"/>
      </w:pPr>
      <w:r w:rsidRPr="00B836A1">
        <w:t xml:space="preserve">The results also closely mirror those of the Tribunal’s earlier questionnaire </w:t>
      </w:r>
      <w:r>
        <w:t>sent to</w:t>
      </w:r>
      <w:r w:rsidRPr="00B836A1">
        <w:t xml:space="preserve"> VPS executives, which it used to inform the 2024 VPS Determination. Indeed, VPS executives similarly reported that most components of their roles had grown over the past four years, </w:t>
      </w:r>
      <w:proofErr w:type="gramStart"/>
      <w:r w:rsidRPr="00B836A1">
        <w:t>with the exception of</w:t>
      </w:r>
      <w:proofErr w:type="gramEnd"/>
      <w:r w:rsidRPr="00B836A1">
        <w:t xml:space="preserve"> ‘independence’.</w:t>
      </w:r>
      <w:r w:rsidRPr="00B836A1">
        <w:rPr>
          <w:vertAlign w:val="superscript"/>
        </w:rPr>
        <w:footnoteReference w:id="111"/>
      </w:r>
    </w:p>
    <w:p w14:paraId="0378FF3E" w14:textId="3EBD8436" w:rsidR="003F26DA" w:rsidRPr="004A1BBC" w:rsidRDefault="003F26DA">
      <w:pPr>
        <w:pStyle w:val="05Paragraph"/>
      </w:pPr>
      <w:r w:rsidRPr="004A1BBC">
        <w:t>The remainder</w:t>
      </w:r>
      <w:r>
        <w:t xml:space="preserve"> of this section examines two themes regarding the nature of the changes to executive roles over the past four years.</w:t>
      </w:r>
      <w:r w:rsidR="00CC246C">
        <w:t xml:space="preserve"> These relate to resource pressures and complexity.</w:t>
      </w:r>
    </w:p>
    <w:p w14:paraId="53E49276" w14:textId="77777777" w:rsidR="003F26DA" w:rsidRDefault="003F26DA">
      <w:pPr>
        <w:pStyle w:val="03VIRTHeading3"/>
      </w:pPr>
      <w:r w:rsidRPr="00C63A73">
        <w:lastRenderedPageBreak/>
        <w:t>Budget and resource pressures appear to be increasing executive workloads</w:t>
      </w:r>
    </w:p>
    <w:p w14:paraId="02D3A7C4" w14:textId="0785D43A" w:rsidR="003F26DA" w:rsidRDefault="003F26DA">
      <w:pPr>
        <w:pStyle w:val="05Paragraph"/>
      </w:pPr>
      <w:r w:rsidRPr="00DF6060">
        <w:t>The savings and efficiency measures introduced in recent budgets have included initiatives across public entities. Depending on the entity, these can take the form of efficiency dividends, capital repatriations, grants or reduced funding.</w:t>
      </w:r>
      <w:r w:rsidRPr="00DF6060">
        <w:rPr>
          <w:rStyle w:val="FootnoteReference"/>
        </w:rPr>
        <w:footnoteReference w:id="112"/>
      </w:r>
    </w:p>
    <w:p w14:paraId="0CD7B717" w14:textId="0B3D39DF" w:rsidR="003F26DA" w:rsidRDefault="003F26DA">
      <w:pPr>
        <w:pStyle w:val="05Paragraph"/>
      </w:pPr>
      <w:r>
        <w:t xml:space="preserve">The impact of these measures on </w:t>
      </w:r>
      <w:proofErr w:type="gramStart"/>
      <w:r>
        <w:t>particular public</w:t>
      </w:r>
      <w:proofErr w:type="gramEnd"/>
      <w:r>
        <w:t xml:space="preserve"> entities is difficult to quantify. However, responses to the Tribunal’s executive questionnaire indicate that some entities and/or business units are experiencing budget and resource pressures (Box</w:t>
      </w:r>
      <w:r w:rsidR="00A6286A">
        <w:t> </w:t>
      </w:r>
      <w:r>
        <w:t>3.2</w:t>
      </w:r>
      <w:r w:rsidR="00A6286A">
        <w:t>)</w:t>
      </w:r>
      <w:r>
        <w:t>. These may also reflect the lingering effects of the COVID-19 pandemic, particularly on entities that lost revenue due to pandemic-related restrictions.</w:t>
      </w:r>
    </w:p>
    <w:p w14:paraId="4A979944" w14:textId="77777777" w:rsidR="003F26DA" w:rsidRDefault="003F26DA">
      <w:pPr>
        <w:pStyle w:val="08Figuretableboxheading"/>
      </w:pPr>
      <w:r>
        <w:t xml:space="preserve">Box 3.2: Extracts from the executive questionnaire </w:t>
      </w:r>
      <w:r w:rsidRPr="00EA27C1">
        <w:t>—</w:t>
      </w:r>
      <w:r>
        <w:t xml:space="preserve"> budget and resourcing pressures</w:t>
      </w:r>
    </w:p>
    <w:p w14:paraId="34DFA11B" w14:textId="77777777" w:rsidR="003F26DA" w:rsidRDefault="003F26DA">
      <w:pPr>
        <w:pStyle w:val="05Paragraph"/>
      </w:pPr>
      <w:r>
        <w:rPr>
          <w:noProof/>
        </w:rPr>
        <mc:AlternateContent>
          <mc:Choice Requires="wps">
            <w:drawing>
              <wp:inline distT="0" distB="0" distL="0" distR="0" wp14:anchorId="2381082D" wp14:editId="03874F65">
                <wp:extent cx="5509260" cy="4118775"/>
                <wp:effectExtent l="0" t="0" r="15240" b="15240"/>
                <wp:docPr id="1050982268" name="Rectangle 1"/>
                <wp:cNvGraphicFramePr/>
                <a:graphic xmlns:a="http://schemas.openxmlformats.org/drawingml/2006/main">
                  <a:graphicData uri="http://schemas.microsoft.com/office/word/2010/wordprocessingShape">
                    <wps:wsp>
                      <wps:cNvSpPr/>
                      <wps:spPr>
                        <a:xfrm>
                          <a:off x="0" y="0"/>
                          <a:ext cx="5509260" cy="4118775"/>
                        </a:xfrm>
                        <a:prstGeom prst="rect">
                          <a:avLst/>
                        </a:prstGeom>
                        <a:noFill/>
                        <a:ln w="19050">
                          <a:solidFill>
                            <a:schemeClr val="accent2"/>
                          </a:solidFill>
                        </a:ln>
                        <a:effectLst/>
                      </wps:spPr>
                      <wps:style>
                        <a:lnRef idx="1">
                          <a:schemeClr val="accent1"/>
                        </a:lnRef>
                        <a:fillRef idx="3">
                          <a:schemeClr val="accent1"/>
                        </a:fillRef>
                        <a:effectRef idx="2">
                          <a:schemeClr val="accent1"/>
                        </a:effectRef>
                        <a:fontRef idx="minor">
                          <a:schemeClr val="lt1"/>
                        </a:fontRef>
                      </wps:style>
                      <wps:txbx>
                        <w:txbxContent>
                          <w:p w14:paraId="055249AD" w14:textId="77777777" w:rsidR="003F26DA" w:rsidRPr="00CA515D" w:rsidRDefault="003F26DA">
                            <w:pPr>
                              <w:pStyle w:val="12BoxText"/>
                              <w:spacing w:before="0" w:after="120"/>
                              <w:rPr>
                                <w:b/>
                                <w:bCs/>
                              </w:rPr>
                            </w:pPr>
                            <w:r w:rsidRPr="00CA515D">
                              <w:rPr>
                                <w:b/>
                                <w:bCs/>
                              </w:rPr>
                              <w:t>CEO</w:t>
                            </w:r>
                            <w:r>
                              <w:rPr>
                                <w:b/>
                                <w:bCs/>
                              </w:rPr>
                              <w:t>s</w:t>
                            </w:r>
                          </w:p>
                          <w:p w14:paraId="40E11BA8" w14:textId="77777777" w:rsidR="003F26DA" w:rsidRDefault="003F26DA">
                            <w:pPr>
                              <w:pStyle w:val="12BoxText"/>
                              <w:spacing w:before="0"/>
                            </w:pPr>
                            <w:r w:rsidRPr="00DE2AE7">
                              <w:t>‘Financial constraint means more expected by less within own business.’</w:t>
                            </w:r>
                          </w:p>
                          <w:p w14:paraId="16EEE383" w14:textId="77777777" w:rsidR="003F26DA" w:rsidRDefault="003F26DA">
                            <w:pPr>
                              <w:pStyle w:val="12BoxText"/>
                              <w:spacing w:before="0"/>
                            </w:pPr>
                          </w:p>
                          <w:p w14:paraId="659AC625" w14:textId="50352714" w:rsidR="003F26DA" w:rsidRDefault="003F26DA">
                            <w:pPr>
                              <w:pStyle w:val="12BoxText"/>
                              <w:spacing w:before="0"/>
                            </w:pPr>
                            <w:r>
                              <w:t>‘</w:t>
                            </w:r>
                            <w:r w:rsidRPr="00DE2AE7">
                              <w:t xml:space="preserve">Challenging macro-economic environment has placed significant financial pressure on the organisation and sector, resulting in substantially lower revenue requiring large expenditure reductions, including an </w:t>
                            </w:r>
                            <w:r w:rsidR="004B52EA">
                              <w:t>[organisation]</w:t>
                            </w:r>
                            <w:r w:rsidRPr="00DE2AE7">
                              <w:t xml:space="preserve"> restructure and across the board executive cuts and staff redundancies.</w:t>
                            </w:r>
                            <w:r>
                              <w:t>’</w:t>
                            </w:r>
                          </w:p>
                          <w:p w14:paraId="7DB06410" w14:textId="77777777" w:rsidR="003F26DA" w:rsidRDefault="003F26DA">
                            <w:pPr>
                              <w:pStyle w:val="12BoxText"/>
                              <w:spacing w:before="0"/>
                            </w:pPr>
                          </w:p>
                          <w:p w14:paraId="72FBA5DB" w14:textId="77777777" w:rsidR="003F26DA" w:rsidRPr="00DE2AE7" w:rsidRDefault="003F26DA">
                            <w:pPr>
                              <w:pStyle w:val="12BoxText"/>
                              <w:spacing w:before="0"/>
                            </w:pPr>
                            <w:r w:rsidRPr="00DE2AE7">
                              <w:t>‘Lack of government funding/ proposed budget cuts require augmentation of revenue from other sources …’</w:t>
                            </w:r>
                          </w:p>
                          <w:p w14:paraId="3B16C010" w14:textId="77777777" w:rsidR="003F26DA" w:rsidRPr="00CA515D" w:rsidRDefault="003F26DA">
                            <w:pPr>
                              <w:pStyle w:val="12BoxText"/>
                              <w:spacing w:after="120"/>
                              <w:jc w:val="both"/>
                              <w:rPr>
                                <w:b/>
                                <w:bCs/>
                              </w:rPr>
                            </w:pPr>
                            <w:r>
                              <w:rPr>
                                <w:b/>
                                <w:bCs/>
                              </w:rPr>
                              <w:t>Other executives</w:t>
                            </w:r>
                          </w:p>
                          <w:p w14:paraId="72D3093D" w14:textId="4FA4E36D" w:rsidR="003F26DA" w:rsidRPr="00DE2AE7" w:rsidRDefault="003F26DA">
                            <w:pPr>
                              <w:pStyle w:val="12BoxText"/>
                              <w:spacing w:before="0"/>
                            </w:pPr>
                            <w:r w:rsidRPr="00DE2AE7">
                              <w:t xml:space="preserve">‘Victoria’s economic climate has driven efficiency savings which can only be realised by </w:t>
                            </w:r>
                            <w:r w:rsidR="002A2C01">
                              <w:t>[full</w:t>
                            </w:r>
                            <w:r w:rsidR="002A2C01">
                              <w:noBreakHyphen/>
                              <w:t>time equivalent]</w:t>
                            </w:r>
                            <w:r w:rsidRPr="00DE2AE7">
                              <w:t xml:space="preserve"> reduction while demand for services is increasing.’</w:t>
                            </w:r>
                          </w:p>
                          <w:p w14:paraId="25166ACA" w14:textId="77777777" w:rsidR="003F26DA" w:rsidRDefault="003F26DA">
                            <w:pPr>
                              <w:pStyle w:val="12BoxText"/>
                              <w:spacing w:before="0"/>
                            </w:pPr>
                          </w:p>
                          <w:p w14:paraId="680B8426" w14:textId="77777777" w:rsidR="003F26DA" w:rsidRPr="00DE2AE7" w:rsidRDefault="003F26DA">
                            <w:pPr>
                              <w:pStyle w:val="12BoxText"/>
                              <w:spacing w:before="0"/>
                            </w:pPr>
                            <w:r w:rsidRPr="00DE2AE7">
                              <w:t>‘There is the need to do more with less …’</w:t>
                            </w:r>
                          </w:p>
                          <w:p w14:paraId="1CD98B8F" w14:textId="77777777" w:rsidR="003F26DA" w:rsidRDefault="003F26DA">
                            <w:pPr>
                              <w:pStyle w:val="12BoxText"/>
                              <w:spacing w:before="0"/>
                            </w:pPr>
                          </w:p>
                          <w:p w14:paraId="60CBBA0C" w14:textId="77777777" w:rsidR="003F26DA" w:rsidRPr="00DE2AE7" w:rsidRDefault="003F26DA">
                            <w:pPr>
                              <w:pStyle w:val="12BoxText"/>
                              <w:spacing w:before="0"/>
                            </w:pPr>
                            <w:r w:rsidRPr="00DE2AE7">
                              <w:t>‘… resourcing and budgets have shrunk in real terms …’</w:t>
                            </w:r>
                          </w:p>
                          <w:p w14:paraId="02AD5B0B" w14:textId="77777777" w:rsidR="003F26DA" w:rsidRDefault="003F26DA">
                            <w:pPr>
                              <w:pStyle w:val="12BoxText"/>
                              <w:spacing w:before="0"/>
                            </w:pPr>
                          </w:p>
                          <w:p w14:paraId="4F8A7210" w14:textId="77777777" w:rsidR="003F26DA" w:rsidRPr="00DE2AE7" w:rsidRDefault="003F26DA">
                            <w:pPr>
                              <w:pStyle w:val="12BoxText"/>
                              <w:spacing w:before="0"/>
                            </w:pPr>
                            <w:r w:rsidRPr="00DE2AE7">
                              <w:t>‘… not replacing roles l</w:t>
                            </w:r>
                            <w:r>
                              <w:t>o</w:t>
                            </w:r>
                            <w:r w:rsidRPr="00DE2AE7">
                              <w:t>st in natural attrition as well as actively restructuring to downsize staffing costs.’</w:t>
                            </w:r>
                          </w:p>
                          <w:p w14:paraId="0D46AB15" w14:textId="77777777" w:rsidR="003F26DA" w:rsidRDefault="003F26DA">
                            <w:pPr>
                              <w:pStyle w:val="12BoxText"/>
                              <w:spacing w:before="0"/>
                            </w:pPr>
                          </w:p>
                          <w:p w14:paraId="6B1DF1E2" w14:textId="77777777" w:rsidR="003F26DA" w:rsidRPr="00DE2AE7" w:rsidRDefault="003F26DA">
                            <w:pPr>
                              <w:pStyle w:val="12BoxText"/>
                              <w:spacing w:before="0"/>
                            </w:pPr>
                            <w:r w:rsidRPr="00DE2AE7">
                              <w:t>‘Budgets and resources across the board have reduced in the last 4 years.’</w:t>
                            </w:r>
                          </w:p>
                          <w:p w14:paraId="76D56036" w14:textId="77777777" w:rsidR="003F26DA" w:rsidRPr="00DE2AE7" w:rsidRDefault="003F26DA">
                            <w:pPr>
                              <w:pStyle w:val="12BoxText"/>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1082D" id="_x0000_s1028" style="width:433.8pt;height:32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" filled="f" strokecolor="#148a5d [3205]" strokeweight="1.5pt">
                <v:textbox>
                  <w:txbxContent>
                    <w:p w14:paraId="055249AD" w14:textId="77777777" w:rsidR="003F26DA" w:rsidRPr="00CA515D" w:rsidRDefault="003F26DA">
                      <w:pPr>
                        <w:pStyle w:val="12BoxText"/>
                        <w:spacing w:before="0" w:after="120"/>
                        <w:rPr>
                          <w:b/>
                          <w:bCs/>
                        </w:rPr>
                      </w:pPr>
                      <w:r w:rsidRPr="00CA515D">
                        <w:rPr>
                          <w:b/>
                          <w:bCs/>
                        </w:rPr>
                        <w:t>CEO</w:t>
                      </w:r>
                      <w:r>
                        <w:rPr>
                          <w:b/>
                          <w:bCs/>
                        </w:rPr>
                        <w:t>s</w:t>
                      </w:r>
                    </w:p>
                    <w:p w14:paraId="40E11BA8" w14:textId="77777777" w:rsidR="003F26DA" w:rsidRDefault="003F26DA">
                      <w:pPr>
                        <w:pStyle w:val="12BoxText"/>
                        <w:spacing w:before="0"/>
                      </w:pPr>
                      <w:r w:rsidRPr="00DE2AE7">
                        <w:t>‘Financial constraint means more expected by less within own business.’</w:t>
                      </w:r>
                    </w:p>
                    <w:p w14:paraId="16EEE383" w14:textId="77777777" w:rsidR="003F26DA" w:rsidRDefault="003F26DA">
                      <w:pPr>
                        <w:pStyle w:val="12BoxText"/>
                        <w:spacing w:before="0"/>
                      </w:pPr>
                    </w:p>
                    <w:p w14:paraId="659AC625" w14:textId="50352714" w:rsidR="003F26DA" w:rsidRDefault="003F26DA">
                      <w:pPr>
                        <w:pStyle w:val="12BoxText"/>
                        <w:spacing w:before="0"/>
                      </w:pPr>
                      <w:r>
                        <w:t>‘</w:t>
                      </w:r>
                      <w:r w:rsidRPr="00DE2AE7">
                        <w:t xml:space="preserve">Challenging macro-economic environment has placed significant financial pressure on the organisation and sector, resulting in substantially lower revenue requiring large expenditure reductions, including an </w:t>
                      </w:r>
                      <w:r w:rsidR="004B52EA">
                        <w:t>[organisation]</w:t>
                      </w:r>
                      <w:r w:rsidRPr="00DE2AE7">
                        <w:t xml:space="preserve"> restructure and across the board executive cuts and staff redundancies.</w:t>
                      </w:r>
                      <w:r>
                        <w:t>’</w:t>
                      </w:r>
                    </w:p>
                    <w:p w14:paraId="7DB06410" w14:textId="77777777" w:rsidR="003F26DA" w:rsidRDefault="003F26DA">
                      <w:pPr>
                        <w:pStyle w:val="12BoxText"/>
                        <w:spacing w:before="0"/>
                      </w:pPr>
                    </w:p>
                    <w:p w14:paraId="72FBA5DB" w14:textId="77777777" w:rsidR="003F26DA" w:rsidRPr="00DE2AE7" w:rsidRDefault="003F26DA">
                      <w:pPr>
                        <w:pStyle w:val="12BoxText"/>
                        <w:spacing w:before="0"/>
                      </w:pPr>
                      <w:r w:rsidRPr="00DE2AE7">
                        <w:t>‘Lack of government funding/ proposed budget cuts require augmentation of revenue from other sources …’</w:t>
                      </w:r>
                    </w:p>
                    <w:p w14:paraId="3B16C010" w14:textId="77777777" w:rsidR="003F26DA" w:rsidRPr="00CA515D" w:rsidRDefault="003F26DA">
                      <w:pPr>
                        <w:pStyle w:val="12BoxText"/>
                        <w:spacing w:after="120"/>
                        <w:jc w:val="both"/>
                        <w:rPr>
                          <w:b/>
                          <w:bCs/>
                        </w:rPr>
                      </w:pPr>
                      <w:r>
                        <w:rPr>
                          <w:b/>
                          <w:bCs/>
                        </w:rPr>
                        <w:t>Other executives</w:t>
                      </w:r>
                    </w:p>
                    <w:p w14:paraId="72D3093D" w14:textId="4FA4E36D" w:rsidR="003F26DA" w:rsidRPr="00DE2AE7" w:rsidRDefault="003F26DA">
                      <w:pPr>
                        <w:pStyle w:val="12BoxText"/>
                        <w:spacing w:before="0"/>
                      </w:pPr>
                      <w:r w:rsidRPr="00DE2AE7">
                        <w:t xml:space="preserve">‘Victoria’s economic climate has driven efficiency savings which can only be realised by </w:t>
                      </w:r>
                      <w:r w:rsidR="002A2C01">
                        <w:t>[full</w:t>
                      </w:r>
                      <w:r w:rsidR="002A2C01">
                        <w:noBreakHyphen/>
                        <w:t>time equivalent]</w:t>
                      </w:r>
                      <w:r w:rsidRPr="00DE2AE7">
                        <w:t xml:space="preserve"> reduction while demand for services is increasing.’</w:t>
                      </w:r>
                    </w:p>
                    <w:p w14:paraId="25166ACA" w14:textId="77777777" w:rsidR="003F26DA" w:rsidRDefault="003F26DA">
                      <w:pPr>
                        <w:pStyle w:val="12BoxText"/>
                        <w:spacing w:before="0"/>
                      </w:pPr>
                    </w:p>
                    <w:p w14:paraId="680B8426" w14:textId="77777777" w:rsidR="003F26DA" w:rsidRPr="00DE2AE7" w:rsidRDefault="003F26DA">
                      <w:pPr>
                        <w:pStyle w:val="12BoxText"/>
                        <w:spacing w:before="0"/>
                      </w:pPr>
                      <w:r w:rsidRPr="00DE2AE7">
                        <w:t>‘There is the need to do more with less …’</w:t>
                      </w:r>
                    </w:p>
                    <w:p w14:paraId="1CD98B8F" w14:textId="77777777" w:rsidR="003F26DA" w:rsidRDefault="003F26DA">
                      <w:pPr>
                        <w:pStyle w:val="12BoxText"/>
                        <w:spacing w:before="0"/>
                      </w:pPr>
                    </w:p>
                    <w:p w14:paraId="60CBBA0C" w14:textId="77777777" w:rsidR="003F26DA" w:rsidRPr="00DE2AE7" w:rsidRDefault="003F26DA">
                      <w:pPr>
                        <w:pStyle w:val="12BoxText"/>
                        <w:spacing w:before="0"/>
                      </w:pPr>
                      <w:r w:rsidRPr="00DE2AE7">
                        <w:t>‘… resourcing and budgets have shrunk in real terms …’</w:t>
                      </w:r>
                    </w:p>
                    <w:p w14:paraId="02AD5B0B" w14:textId="77777777" w:rsidR="003F26DA" w:rsidRDefault="003F26DA">
                      <w:pPr>
                        <w:pStyle w:val="12BoxText"/>
                        <w:spacing w:before="0"/>
                      </w:pPr>
                    </w:p>
                    <w:p w14:paraId="4F8A7210" w14:textId="77777777" w:rsidR="003F26DA" w:rsidRPr="00DE2AE7" w:rsidRDefault="003F26DA">
                      <w:pPr>
                        <w:pStyle w:val="12BoxText"/>
                        <w:spacing w:before="0"/>
                      </w:pPr>
                      <w:r w:rsidRPr="00DE2AE7">
                        <w:t>‘… not replacing roles l</w:t>
                      </w:r>
                      <w:r>
                        <w:t>o</w:t>
                      </w:r>
                      <w:r w:rsidRPr="00DE2AE7">
                        <w:t>st in natural attrition as well as actively restructuring to downsize staffing costs.’</w:t>
                      </w:r>
                    </w:p>
                    <w:p w14:paraId="0D46AB15" w14:textId="77777777" w:rsidR="003F26DA" w:rsidRDefault="003F26DA">
                      <w:pPr>
                        <w:pStyle w:val="12BoxText"/>
                        <w:spacing w:before="0"/>
                      </w:pPr>
                    </w:p>
                    <w:p w14:paraId="6B1DF1E2" w14:textId="77777777" w:rsidR="003F26DA" w:rsidRPr="00DE2AE7" w:rsidRDefault="003F26DA">
                      <w:pPr>
                        <w:pStyle w:val="12BoxText"/>
                        <w:spacing w:before="0"/>
                      </w:pPr>
                      <w:r w:rsidRPr="00DE2AE7">
                        <w:t>‘Budgets and resources across the board have reduced in the last 4 years.’</w:t>
                      </w:r>
                    </w:p>
                    <w:p w14:paraId="76D56036" w14:textId="77777777" w:rsidR="003F26DA" w:rsidRPr="00DE2AE7" w:rsidRDefault="003F26DA">
                      <w:pPr>
                        <w:pStyle w:val="12BoxText"/>
                        <w:spacing w:before="0"/>
                      </w:pPr>
                    </w:p>
                  </w:txbxContent>
                </v:textbox>
                <w10:anchorlock/>
              </v:rect>
            </w:pict>
          </mc:Fallback>
        </mc:AlternateContent>
      </w:r>
    </w:p>
    <w:p w14:paraId="02346A72" w14:textId="77777777" w:rsidR="003F26DA" w:rsidRDefault="003F26DA">
      <w:pPr>
        <w:pStyle w:val="09Sourcesandnotesfortablesfiguresboxes"/>
      </w:pPr>
      <w:r>
        <w:t>Source: Free-text responses to the Tribunal’s executive questionnaire.</w:t>
      </w:r>
    </w:p>
    <w:p w14:paraId="2FE43E87" w14:textId="77777777" w:rsidR="003F26DA" w:rsidRDefault="003F26DA">
      <w:pPr>
        <w:pStyle w:val="05Paragraph"/>
      </w:pPr>
      <w:r>
        <w:t xml:space="preserve">At the same time, the expectations placed on public entities by both government and the public to perform their functions effectively and deliver high quality services may not have changed, and in some cases appear to have increased. In </w:t>
      </w:r>
      <w:r>
        <w:lastRenderedPageBreak/>
        <w:t xml:space="preserve">this respect, the submission from </w:t>
      </w:r>
      <w:proofErr w:type="spellStart"/>
      <w:r>
        <w:t>VicWater</w:t>
      </w:r>
      <w:proofErr w:type="spellEnd"/>
      <w:r>
        <w:t xml:space="preserve"> noted that its member organisations are required to fund and deliver major capital works programs to support a growing population, while providing ‘additional financial contributions to government through efficiency dividends’.</w:t>
      </w:r>
    </w:p>
    <w:p w14:paraId="623F93D7" w14:textId="77777777" w:rsidR="003F26DA" w:rsidRDefault="003F26DA">
      <w:pPr>
        <w:pStyle w:val="05Paragraph"/>
      </w:pPr>
      <w:r>
        <w:t>In some cases, budget and resource pressures were reported to be contributing to increased workloads among executives. For example, one executive who responded to the Tribunal’s questionnaire commented:</w:t>
      </w:r>
    </w:p>
    <w:p w14:paraId="3C1784EF" w14:textId="77777777" w:rsidR="003F26DA" w:rsidRDefault="003F26DA">
      <w:pPr>
        <w:pStyle w:val="07VIRTBreakouttext"/>
      </w:pPr>
      <w:r>
        <w:t xml:space="preserve">The lack of resources has meant that I have had to carry </w:t>
      </w:r>
      <w:proofErr w:type="spellStart"/>
      <w:r>
        <w:t>alot</w:t>
      </w:r>
      <w:proofErr w:type="spellEnd"/>
      <w:r>
        <w:t xml:space="preserve"> of tasks which I should have delegated to my team, and this has kept me away from doing more valuable work for the organisation.</w:t>
      </w:r>
    </w:p>
    <w:p w14:paraId="6D5398E4" w14:textId="77777777" w:rsidR="003F26DA" w:rsidRDefault="003F26DA">
      <w:pPr>
        <w:pStyle w:val="05Paragraph"/>
        <w:keepNext/>
      </w:pPr>
      <w:r>
        <w:t>Similarly, another executive said that:</w:t>
      </w:r>
    </w:p>
    <w:p w14:paraId="3B1D5B63" w14:textId="77777777" w:rsidR="003F26DA" w:rsidRDefault="003F26DA">
      <w:pPr>
        <w:pStyle w:val="07VIRTBreakouttext"/>
      </w:pPr>
      <w:r>
        <w:t xml:space="preserve">The components of the role have grown … with no growth to resources or budget. In </w:t>
      </w:r>
      <w:proofErr w:type="gramStart"/>
      <w:r>
        <w:t>fact</w:t>
      </w:r>
      <w:proofErr w:type="gramEnd"/>
      <w:r>
        <w:t xml:space="preserve"> we’ve experienced reductions to budget …. The impact quite often is felt in work life balance </w:t>
      </w:r>
      <w:proofErr w:type="spellStart"/>
      <w:r>
        <w:t>i.e</w:t>
      </w:r>
      <w:proofErr w:type="spellEnd"/>
      <w:r>
        <w:t xml:space="preserve"> executives are working longer hours to keep up.</w:t>
      </w:r>
    </w:p>
    <w:p w14:paraId="7047C8D7" w14:textId="77777777" w:rsidR="003F26DA" w:rsidRDefault="003F26DA">
      <w:pPr>
        <w:pStyle w:val="03VIRTHeading3"/>
      </w:pPr>
      <w:r>
        <w:t>Executives reported that their roles are more complex than four years ago</w:t>
      </w:r>
    </w:p>
    <w:p w14:paraId="0CF0E52E" w14:textId="77777777" w:rsidR="003F26DA" w:rsidRDefault="003F26DA">
      <w:pPr>
        <w:pStyle w:val="05Paragraph"/>
      </w:pPr>
      <w:r>
        <w:t>Many executives who responded to the Tribunal’s questionnaire reported that their roles have increased in complexity and scope over the last four years (Box 3.3). Factors commonly cited by executives included:</w:t>
      </w:r>
    </w:p>
    <w:p w14:paraId="1094DFF8" w14:textId="77777777" w:rsidR="003F26DA" w:rsidRDefault="003F26DA" w:rsidP="003F26DA">
      <w:pPr>
        <w:pStyle w:val="06VIRTBulletpoints"/>
        <w:ind w:left="357" w:hanging="357"/>
      </w:pPr>
      <w:r>
        <w:t>increased regulatory and compliance obligations</w:t>
      </w:r>
    </w:p>
    <w:p w14:paraId="3A60E0CC" w14:textId="77777777" w:rsidR="003F26DA" w:rsidRDefault="003F26DA" w:rsidP="003F26DA">
      <w:pPr>
        <w:pStyle w:val="06VIRTBulletpoints"/>
        <w:ind w:left="357" w:hanging="357"/>
      </w:pPr>
      <w:r>
        <w:t>an evolving and generally heightened risk environment</w:t>
      </w:r>
    </w:p>
    <w:p w14:paraId="319CB253" w14:textId="77777777" w:rsidR="003F26DA" w:rsidRDefault="003F26DA" w:rsidP="003F26DA">
      <w:pPr>
        <w:pStyle w:val="06VIRTBulletpoints"/>
        <w:ind w:left="357" w:hanging="357"/>
      </w:pPr>
      <w:r>
        <w:t>legislative changes and government policies/priorities</w:t>
      </w:r>
    </w:p>
    <w:p w14:paraId="6371E72D" w14:textId="77777777" w:rsidR="003F26DA" w:rsidRDefault="003F26DA" w:rsidP="003F26DA">
      <w:pPr>
        <w:pStyle w:val="06VIRTBulletpoints"/>
        <w:ind w:left="357" w:hanging="357"/>
      </w:pPr>
      <w:r>
        <w:t>increased complexity of stakeholder relationships.</w:t>
      </w:r>
    </w:p>
    <w:p w14:paraId="5D04BC41" w14:textId="77777777" w:rsidR="00D829DA" w:rsidRDefault="00D829DA" w:rsidP="00D829DA">
      <w:pPr>
        <w:pStyle w:val="05Paragraph"/>
      </w:pPr>
      <w:r>
        <w:t xml:space="preserve">These factors may also be a trigger for broader organisational changes that can increase the complexity of executive roles. This is because, as the organisation’s most senior leaders, executives are expected to drive and manage such changes. For example, </w:t>
      </w:r>
      <w:proofErr w:type="spellStart"/>
      <w:r>
        <w:t>VicWater</w:t>
      </w:r>
      <w:proofErr w:type="spellEnd"/>
      <w:r>
        <w:t xml:space="preserve"> observed that executives in water corporations are required to </w:t>
      </w:r>
      <w:r w:rsidRPr="00EF6079">
        <w:t xml:space="preserve">manage significant organisational </w:t>
      </w:r>
      <w:r>
        <w:t>change</w:t>
      </w:r>
      <w:r w:rsidRPr="00EF6079">
        <w:t xml:space="preserve"> programs </w:t>
      </w:r>
      <w:r>
        <w:t>in addition to their business-as-usual activities.</w:t>
      </w:r>
    </w:p>
    <w:p w14:paraId="23BE9F10" w14:textId="77777777" w:rsidR="003F26DA" w:rsidRDefault="003F26DA">
      <w:pPr>
        <w:pStyle w:val="08Figuretableboxheading"/>
      </w:pPr>
      <w:r>
        <w:lastRenderedPageBreak/>
        <w:t xml:space="preserve">Box 3.3: Extracts from the executive questionnaire </w:t>
      </w:r>
      <w:r w:rsidRPr="00EA27C1">
        <w:t>—</w:t>
      </w:r>
      <w:r>
        <w:t xml:space="preserve"> complexity of executive roles</w:t>
      </w:r>
    </w:p>
    <w:p w14:paraId="62E8EA00" w14:textId="77777777" w:rsidR="003F26DA" w:rsidRDefault="003F26DA">
      <w:pPr>
        <w:pStyle w:val="05Paragraph"/>
      </w:pPr>
      <w:r>
        <w:rPr>
          <w:noProof/>
        </w:rPr>
        <mc:AlternateContent>
          <mc:Choice Requires="wps">
            <w:drawing>
              <wp:inline distT="0" distB="0" distL="0" distR="0" wp14:anchorId="71C647F7" wp14:editId="0F84509E">
                <wp:extent cx="5509260" cy="4705350"/>
                <wp:effectExtent l="0" t="0" r="15240" b="19050"/>
                <wp:docPr id="1803945320" name="Rectangle 1"/>
                <wp:cNvGraphicFramePr/>
                <a:graphic xmlns:a="http://schemas.openxmlformats.org/drawingml/2006/main">
                  <a:graphicData uri="http://schemas.microsoft.com/office/word/2010/wordprocessingShape">
                    <wps:wsp>
                      <wps:cNvSpPr/>
                      <wps:spPr>
                        <a:xfrm>
                          <a:off x="0" y="0"/>
                          <a:ext cx="5509260" cy="4705350"/>
                        </a:xfrm>
                        <a:prstGeom prst="rect">
                          <a:avLst/>
                        </a:prstGeom>
                        <a:noFill/>
                        <a:ln w="19050">
                          <a:solidFill>
                            <a:schemeClr val="accent2"/>
                          </a:solidFill>
                        </a:ln>
                        <a:effectLst/>
                      </wps:spPr>
                      <wps:style>
                        <a:lnRef idx="1">
                          <a:schemeClr val="accent1"/>
                        </a:lnRef>
                        <a:fillRef idx="3">
                          <a:schemeClr val="accent1"/>
                        </a:fillRef>
                        <a:effectRef idx="2">
                          <a:schemeClr val="accent1"/>
                        </a:effectRef>
                        <a:fontRef idx="minor">
                          <a:schemeClr val="lt1"/>
                        </a:fontRef>
                      </wps:style>
                      <wps:txbx>
                        <w:txbxContent>
                          <w:p w14:paraId="081E0B3F" w14:textId="77777777" w:rsidR="003F26DA" w:rsidRDefault="003F26DA">
                            <w:pPr>
                              <w:pStyle w:val="12BoxText"/>
                              <w:spacing w:before="0" w:after="120"/>
                              <w:rPr>
                                <w:b/>
                                <w:bCs/>
                              </w:rPr>
                            </w:pPr>
                            <w:r w:rsidRPr="00A32011">
                              <w:rPr>
                                <w:b/>
                                <w:bCs/>
                              </w:rPr>
                              <w:t>CEOs</w:t>
                            </w:r>
                          </w:p>
                          <w:p w14:paraId="03A22FF4" w14:textId="77777777" w:rsidR="003F26DA" w:rsidRPr="00DE2AE7" w:rsidRDefault="003F26DA">
                            <w:pPr>
                              <w:pStyle w:val="12BoxText"/>
                              <w:spacing w:before="0"/>
                            </w:pPr>
                            <w:r w:rsidRPr="00DE2AE7">
                              <w:t>‘</w:t>
                            </w:r>
                            <w:r>
                              <w:t xml:space="preserve">The water sector is seeing a convergence of increasing uncertainty and complexity, coupled with an </w:t>
                            </w:r>
                            <w:proofErr w:type="gramStart"/>
                            <w:r>
                              <w:t>ever increasing</w:t>
                            </w:r>
                            <w:proofErr w:type="gramEnd"/>
                            <w:r>
                              <w:t xml:space="preserve"> focus on compliance, ratcheting up of regulations, and ever increasing compliance related reporting to regulators and government.’</w:t>
                            </w:r>
                          </w:p>
                          <w:p w14:paraId="001662BC" w14:textId="77777777" w:rsidR="003F26DA" w:rsidRDefault="003F26DA">
                            <w:pPr>
                              <w:pStyle w:val="12BoxText"/>
                              <w:spacing w:before="0"/>
                            </w:pPr>
                          </w:p>
                          <w:p w14:paraId="75D67786" w14:textId="77777777" w:rsidR="003F26DA" w:rsidRDefault="003F26DA">
                            <w:pPr>
                              <w:pStyle w:val="12BoxText"/>
                              <w:spacing w:before="0"/>
                              <w:rPr>
                                <w:b/>
                                <w:bCs/>
                              </w:rPr>
                            </w:pPr>
                            <w:r>
                              <w:t>‘The role of public entity executive[s] is expanding rapidly. Expectations to effectively manage … a wider range of risks (for example, climate change, cyber security) … requires a greater degree of innovation, strategic planning and capacity to deal with ambiguity and complexity.’</w:t>
                            </w:r>
                          </w:p>
                          <w:p w14:paraId="3FB4367C" w14:textId="77777777" w:rsidR="003F26DA" w:rsidRDefault="003F26DA">
                            <w:pPr>
                              <w:pStyle w:val="12BoxText"/>
                              <w:spacing w:before="0"/>
                            </w:pPr>
                          </w:p>
                          <w:p w14:paraId="7F9AFC66" w14:textId="77777777" w:rsidR="003F26DA" w:rsidRDefault="003F26DA">
                            <w:pPr>
                              <w:pStyle w:val="12BoxText"/>
                              <w:spacing w:before="0"/>
                            </w:pPr>
                            <w:r>
                              <w:t>‘Changing government policy has [increased] strategic complexity and uncertainty with respect to coastal Crown land management. The impact of climate changes is already increasing public risks and complexity of risk management. Public expectations combined with policy changes have increased the complexity of relationships.’</w:t>
                            </w:r>
                          </w:p>
                          <w:p w14:paraId="77D1CE96" w14:textId="77777777" w:rsidR="003F26DA" w:rsidRDefault="003F26DA">
                            <w:pPr>
                              <w:pStyle w:val="12BoxText"/>
                              <w:spacing w:before="0"/>
                            </w:pPr>
                          </w:p>
                          <w:p w14:paraId="46EF424F" w14:textId="77777777" w:rsidR="003F26DA" w:rsidRPr="00DE2AE7" w:rsidRDefault="003F26DA">
                            <w:pPr>
                              <w:pStyle w:val="12BoxText"/>
                              <w:spacing w:before="0"/>
                            </w:pPr>
                            <w:r>
                              <w:t>‘The need to be across more strategic issues, changes in regulation, legislation, digitisation, societal and govt expectations, sustainability etc all contribute to an increasing complexity and changing nature of role.’</w:t>
                            </w:r>
                          </w:p>
                          <w:p w14:paraId="304FC77F" w14:textId="77777777" w:rsidR="003F26DA" w:rsidRPr="00A32011" w:rsidRDefault="003F26DA">
                            <w:pPr>
                              <w:pStyle w:val="12BoxText"/>
                              <w:spacing w:after="120"/>
                              <w:rPr>
                                <w:b/>
                                <w:bCs/>
                              </w:rPr>
                            </w:pPr>
                            <w:r w:rsidRPr="00A32011">
                              <w:rPr>
                                <w:b/>
                                <w:bCs/>
                              </w:rPr>
                              <w:t>Other executives</w:t>
                            </w:r>
                          </w:p>
                          <w:p w14:paraId="7FA52208" w14:textId="77777777" w:rsidR="003F26DA" w:rsidRDefault="003F26DA">
                            <w:pPr>
                              <w:pStyle w:val="12BoxText"/>
                              <w:spacing w:before="0"/>
                            </w:pPr>
                            <w:r w:rsidRPr="00DE2AE7">
                              <w:t>‘</w:t>
                            </w:r>
                            <w:r>
                              <w:t>The changing legislative environment increases the level of accountability of the role. I have taken on additional functions not part of my original [position description]. Risk environment continues to evolve and high level of cyber security risk</w:t>
                            </w:r>
                            <w:r w:rsidRPr="00DE2AE7">
                              <w:t>.’</w:t>
                            </w:r>
                          </w:p>
                          <w:p w14:paraId="7D17975F" w14:textId="77777777" w:rsidR="003F26DA" w:rsidRDefault="003F26DA">
                            <w:pPr>
                              <w:pStyle w:val="12BoxText"/>
                              <w:spacing w:before="0"/>
                            </w:pPr>
                          </w:p>
                          <w:p w14:paraId="4812AEF4" w14:textId="4C71D17E" w:rsidR="003F26DA" w:rsidRDefault="003F26DA">
                            <w:pPr>
                              <w:pStyle w:val="12BoxText"/>
                              <w:spacing w:before="0"/>
                            </w:pPr>
                            <w:r>
                              <w:t>‘The role is becoming increasingly difficult to deliver [due] to increases in scope (new funding programs, constant [information technology] and cybersecurity changes) whilst red tape increases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C647F7" id="_x0000_s1029" style="width:433.8pt;height:3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" filled="f" strokecolor="#148a5d [3205]" strokeweight="1.5pt">
                <v:textbox>
                  <w:txbxContent>
                    <w:p w14:paraId="081E0B3F" w14:textId="77777777" w:rsidR="003F26DA" w:rsidRDefault="003F26DA">
                      <w:pPr>
                        <w:pStyle w:val="12BoxText"/>
                        <w:spacing w:before="0" w:after="120"/>
                        <w:rPr>
                          <w:b/>
                          <w:bCs/>
                        </w:rPr>
                      </w:pPr>
                      <w:r w:rsidRPr="00A32011">
                        <w:rPr>
                          <w:b/>
                          <w:bCs/>
                        </w:rPr>
                        <w:t>CEOs</w:t>
                      </w:r>
                    </w:p>
                    <w:p w14:paraId="03A22FF4" w14:textId="77777777" w:rsidR="003F26DA" w:rsidRPr="00DE2AE7" w:rsidRDefault="003F26DA">
                      <w:pPr>
                        <w:pStyle w:val="12BoxText"/>
                        <w:spacing w:before="0"/>
                      </w:pPr>
                      <w:r w:rsidRPr="00DE2AE7">
                        <w:t>‘</w:t>
                      </w:r>
                      <w:r>
                        <w:t xml:space="preserve">The water sector is seeing a convergence of increasing uncertainty and complexity, coupled with an </w:t>
                      </w:r>
                      <w:proofErr w:type="gramStart"/>
                      <w:r>
                        <w:t>ever increasing</w:t>
                      </w:r>
                      <w:proofErr w:type="gramEnd"/>
                      <w:r>
                        <w:t xml:space="preserve"> focus on compliance, ratcheting up of regulations, and ever increasing compliance related reporting to regulators and government.’</w:t>
                      </w:r>
                    </w:p>
                    <w:p w14:paraId="001662BC" w14:textId="77777777" w:rsidR="003F26DA" w:rsidRDefault="003F26DA">
                      <w:pPr>
                        <w:pStyle w:val="12BoxText"/>
                        <w:spacing w:before="0"/>
                      </w:pPr>
                    </w:p>
                    <w:p w14:paraId="75D67786" w14:textId="77777777" w:rsidR="003F26DA" w:rsidRDefault="003F26DA">
                      <w:pPr>
                        <w:pStyle w:val="12BoxText"/>
                        <w:spacing w:before="0"/>
                        <w:rPr>
                          <w:b/>
                          <w:bCs/>
                        </w:rPr>
                      </w:pPr>
                      <w:r>
                        <w:t>‘The role of public entity executive[s] is expanding rapidly. Expectations to effectively manage … a wider range of risks (for example, climate change, cyber security) … requires a greater degree of innovation, strategic planning and capacity to deal with ambiguity and complexity.’</w:t>
                      </w:r>
                    </w:p>
                    <w:p w14:paraId="3FB4367C" w14:textId="77777777" w:rsidR="003F26DA" w:rsidRDefault="003F26DA">
                      <w:pPr>
                        <w:pStyle w:val="12BoxText"/>
                        <w:spacing w:before="0"/>
                      </w:pPr>
                    </w:p>
                    <w:p w14:paraId="7F9AFC66" w14:textId="77777777" w:rsidR="003F26DA" w:rsidRDefault="003F26DA">
                      <w:pPr>
                        <w:pStyle w:val="12BoxText"/>
                        <w:spacing w:before="0"/>
                      </w:pPr>
                      <w:r>
                        <w:t>‘Changing government policy has [increased] strategic complexity and uncertainty with respect to coastal Crown land management. The impact of climate changes is already increasing public risks and complexity of risk management. Public expectations combined with policy changes have increased the complexity of relationships.’</w:t>
                      </w:r>
                    </w:p>
                    <w:p w14:paraId="77D1CE96" w14:textId="77777777" w:rsidR="003F26DA" w:rsidRDefault="003F26DA">
                      <w:pPr>
                        <w:pStyle w:val="12BoxText"/>
                        <w:spacing w:before="0"/>
                      </w:pPr>
                    </w:p>
                    <w:p w14:paraId="46EF424F" w14:textId="77777777" w:rsidR="003F26DA" w:rsidRPr="00DE2AE7" w:rsidRDefault="003F26DA">
                      <w:pPr>
                        <w:pStyle w:val="12BoxText"/>
                        <w:spacing w:before="0"/>
                      </w:pPr>
                      <w:r>
                        <w:t>‘The need to be across more strategic issues, changes in regulation, legislation, digitisation, societal and govt expectations, sustainability etc all contribute to an increasing complexity and changing nature of role.’</w:t>
                      </w:r>
                    </w:p>
                    <w:p w14:paraId="304FC77F" w14:textId="77777777" w:rsidR="003F26DA" w:rsidRPr="00A32011" w:rsidRDefault="003F26DA">
                      <w:pPr>
                        <w:pStyle w:val="12BoxText"/>
                        <w:spacing w:after="120"/>
                        <w:rPr>
                          <w:b/>
                          <w:bCs/>
                        </w:rPr>
                      </w:pPr>
                      <w:r w:rsidRPr="00A32011">
                        <w:rPr>
                          <w:b/>
                          <w:bCs/>
                        </w:rPr>
                        <w:t>Other executives</w:t>
                      </w:r>
                    </w:p>
                    <w:p w14:paraId="7FA52208" w14:textId="77777777" w:rsidR="003F26DA" w:rsidRDefault="003F26DA">
                      <w:pPr>
                        <w:pStyle w:val="12BoxText"/>
                        <w:spacing w:before="0"/>
                      </w:pPr>
                      <w:r w:rsidRPr="00DE2AE7">
                        <w:t>‘</w:t>
                      </w:r>
                      <w:r>
                        <w:t>The changing legislative environment increases the level of accountability of the role. I have taken on additional functions not part of my original [position description]. Risk environment continues to evolve and high level of cyber security risk</w:t>
                      </w:r>
                      <w:r w:rsidRPr="00DE2AE7">
                        <w:t>.’</w:t>
                      </w:r>
                    </w:p>
                    <w:p w14:paraId="7D17975F" w14:textId="77777777" w:rsidR="003F26DA" w:rsidRDefault="003F26DA">
                      <w:pPr>
                        <w:pStyle w:val="12BoxText"/>
                        <w:spacing w:before="0"/>
                      </w:pPr>
                    </w:p>
                    <w:p w14:paraId="4812AEF4" w14:textId="4C71D17E" w:rsidR="003F26DA" w:rsidRDefault="003F26DA">
                      <w:pPr>
                        <w:pStyle w:val="12BoxText"/>
                        <w:spacing w:before="0"/>
                      </w:pPr>
                      <w:r>
                        <w:t>‘The role is becoming increasingly difficult to deliver [due] to increases in scope (new funding programs, constant [information technology] and cybersecurity changes) whilst red tape increases …’</w:t>
                      </w:r>
                    </w:p>
                  </w:txbxContent>
                </v:textbox>
                <w10:anchorlock/>
              </v:rect>
            </w:pict>
          </mc:Fallback>
        </mc:AlternateContent>
      </w:r>
    </w:p>
    <w:p w14:paraId="1C65DCE4" w14:textId="77777777" w:rsidR="003F26DA" w:rsidRDefault="003F26DA">
      <w:pPr>
        <w:pStyle w:val="09Sourcesandnotesfortablesfiguresboxes"/>
      </w:pPr>
      <w:r>
        <w:t>Source: Free-text responses to the Tribunal’s executive questionnaire.</w:t>
      </w:r>
    </w:p>
    <w:p w14:paraId="155EAE28" w14:textId="77777777" w:rsidR="003F26DA" w:rsidRPr="00564810" w:rsidRDefault="003F26DA">
      <w:pPr>
        <w:pStyle w:val="05Paragraph"/>
        <w:rPr>
          <w:spacing w:val="-6"/>
        </w:rPr>
      </w:pPr>
      <w:r w:rsidRPr="00564810">
        <w:rPr>
          <w:spacing w:val="-6"/>
        </w:rPr>
        <w:t>Other factors that may impact the complexity of executive roles include broader changes to working practices — particularly flexible and hybrid working arrangements.</w:t>
      </w:r>
    </w:p>
    <w:p w14:paraId="6C4BE1A3" w14:textId="77777777" w:rsidR="003F26DA" w:rsidRDefault="003F26DA">
      <w:pPr>
        <w:pStyle w:val="05Paragraph"/>
      </w:pPr>
      <w:r>
        <w:t xml:space="preserve">According to the </w:t>
      </w:r>
      <w:r w:rsidRPr="00127E14">
        <w:t>VPSC</w:t>
      </w:r>
      <w:r>
        <w:t xml:space="preserve">’s 2023 </w:t>
      </w:r>
      <w:r w:rsidRPr="00B12766">
        <w:rPr>
          <w:i/>
          <w:iCs/>
        </w:rPr>
        <w:t>People matter survey</w:t>
      </w:r>
      <w:r>
        <w:t>,</w:t>
      </w:r>
      <w:r w:rsidRPr="00127E14">
        <w:t xml:space="preserve"> </w:t>
      </w:r>
      <w:r>
        <w:t>almost a third</w:t>
      </w:r>
      <w:r w:rsidRPr="00127E14">
        <w:t xml:space="preserve"> of </w:t>
      </w:r>
      <w:r>
        <w:t>public sector</w:t>
      </w:r>
      <w:r w:rsidRPr="00127E14">
        <w:t xml:space="preserve"> employees are choosing to work remotely </w:t>
      </w:r>
      <w:r>
        <w:t xml:space="preserve">at least </w:t>
      </w:r>
      <w:r w:rsidRPr="00127E14">
        <w:t>some of the time.</w:t>
      </w:r>
      <w:r>
        <w:t xml:space="preserve"> This increases to over 40 per cent for staff working in ‘water and land management’ and ‘TAFE and other education’, and falls to below 20 per cent for staff in ‘police and emergency services’ and ‘public health care’.</w:t>
      </w:r>
      <w:r>
        <w:rPr>
          <w:rStyle w:val="FootnoteReference"/>
        </w:rPr>
        <w:footnoteReference w:id="113"/>
      </w:r>
      <w:r>
        <w:t xml:space="preserve"> This variance likely reflects the fact that it is not possible or practical for frontline staff in certain entities, particularly emergency services and health entities, to perform their roles remotely, including due to operational requirements.</w:t>
      </w:r>
    </w:p>
    <w:p w14:paraId="361C1164" w14:textId="77777777" w:rsidR="003F26DA" w:rsidRPr="00CA5B04" w:rsidRDefault="003F26DA">
      <w:pPr>
        <w:pStyle w:val="05Paragraph"/>
        <w:rPr>
          <w:spacing w:val="-4"/>
        </w:rPr>
      </w:pPr>
      <w:r w:rsidRPr="00CA5B04">
        <w:rPr>
          <w:spacing w:val="-4"/>
        </w:rPr>
        <w:lastRenderedPageBreak/>
        <w:t xml:space="preserve">Individual entities have adopted their own policies and approaches towards flexible working, in some cases as part of a broader EVP. For example, ‘flexible working’ is one of the objectives of Melbourne Water’s </w:t>
      </w:r>
      <w:r w:rsidRPr="00CA5B04">
        <w:rPr>
          <w:i/>
          <w:iCs/>
          <w:spacing w:val="-4"/>
        </w:rPr>
        <w:t>Diversity and Inclusion Strategy 2020-25</w:t>
      </w:r>
      <w:r w:rsidRPr="00CA5B04">
        <w:rPr>
          <w:spacing w:val="-4"/>
        </w:rPr>
        <w:t>, while the VFMC states that it has embedded hybrid and flexible working by ‘empowering teams to develop and implement Balanced Lives Team Agreements’.</w:t>
      </w:r>
      <w:r w:rsidRPr="00CA5B04">
        <w:rPr>
          <w:rStyle w:val="FootnoteReference"/>
          <w:spacing w:val="-4"/>
        </w:rPr>
        <w:footnoteReference w:id="114"/>
      </w:r>
    </w:p>
    <w:p w14:paraId="6DD407CF" w14:textId="1D2D655A" w:rsidR="003F26DA" w:rsidRPr="00D05FCD" w:rsidRDefault="003F26DA">
      <w:pPr>
        <w:pStyle w:val="05Paragraph"/>
        <w:keepNext/>
      </w:pPr>
      <w:r w:rsidRPr="00D05FCD">
        <w:t>While the suitability and feasibility of hybrid work will vary between entities and sectors, some challenges for executives in navigating a hybrid workplace include:</w:t>
      </w:r>
    </w:p>
    <w:p w14:paraId="7A3C9246" w14:textId="77777777" w:rsidR="003F26DA" w:rsidRDefault="003F26DA" w:rsidP="003F26DA">
      <w:pPr>
        <w:pStyle w:val="06VIRTBulletpoints"/>
        <w:ind w:left="357" w:hanging="357"/>
      </w:pPr>
      <w:r>
        <w:t>building digital skills, which are essential to enabling leaders to share and collaborate with their employees regardless of time, place or setting</w:t>
      </w:r>
      <w:r>
        <w:rPr>
          <w:rStyle w:val="FootnoteReference"/>
        </w:rPr>
        <w:footnoteReference w:id="115"/>
      </w:r>
    </w:p>
    <w:p w14:paraId="00C46DDC" w14:textId="77777777" w:rsidR="003F26DA" w:rsidRDefault="003F26DA" w:rsidP="003F26DA">
      <w:pPr>
        <w:pStyle w:val="06VIRTBulletpoints"/>
        <w:ind w:left="357" w:hanging="357"/>
      </w:pPr>
      <w:r>
        <w:t>managing performance, including having difficult conversations virtually</w:t>
      </w:r>
      <w:r>
        <w:rPr>
          <w:rStyle w:val="FootnoteReference"/>
        </w:rPr>
        <w:footnoteReference w:id="116"/>
      </w:r>
    </w:p>
    <w:p w14:paraId="0AB75017" w14:textId="77777777" w:rsidR="003F26DA" w:rsidRPr="00E46273" w:rsidRDefault="003F26DA" w:rsidP="003F26DA">
      <w:pPr>
        <w:pStyle w:val="06VIRTBulletpoints"/>
        <w:ind w:left="357" w:hanging="357"/>
        <w:rPr>
          <w:spacing w:val="-4"/>
          <w:kern w:val="16"/>
        </w:rPr>
      </w:pPr>
      <w:r w:rsidRPr="00E46273">
        <w:rPr>
          <w:spacing w:val="-4"/>
          <w:kern w:val="16"/>
        </w:rPr>
        <w:t>accounting for the lack of incidental interaction between leaders and staff, which requires a more proactive approach to coordinating and delegating tasks</w:t>
      </w:r>
      <w:r w:rsidRPr="00E46273">
        <w:rPr>
          <w:rStyle w:val="FootnoteReference"/>
          <w:spacing w:val="-4"/>
          <w:kern w:val="16"/>
        </w:rPr>
        <w:footnoteReference w:id="117"/>
      </w:r>
    </w:p>
    <w:p w14:paraId="35883A8E" w14:textId="77777777" w:rsidR="003F26DA" w:rsidRDefault="003F26DA" w:rsidP="003F26DA">
      <w:pPr>
        <w:pStyle w:val="06VIRTBulletpoints"/>
        <w:ind w:left="357" w:hanging="357"/>
      </w:pPr>
      <w:r w:rsidRPr="00A94D13">
        <w:t>adapting the physical workplace for the needs of hybrid work, such as increased use of collaborative spaces.</w:t>
      </w:r>
      <w:r>
        <w:rPr>
          <w:rStyle w:val="FootnoteReference"/>
        </w:rPr>
        <w:footnoteReference w:id="118"/>
      </w:r>
    </w:p>
    <w:p w14:paraId="463B2168" w14:textId="77777777" w:rsidR="003F26DA" w:rsidRDefault="003F26DA">
      <w:pPr>
        <w:pStyle w:val="02VIRTHeading2"/>
      </w:pPr>
      <w:bookmarkStart w:id="57" w:name="_Toc185012365"/>
      <w:r>
        <w:t>3.6</w:t>
      </w:r>
      <w:r>
        <w:tab/>
        <w:t>Summary</w:t>
      </w:r>
      <w:bookmarkEnd w:id="57"/>
    </w:p>
    <w:p w14:paraId="657D5D68" w14:textId="77777777" w:rsidR="003F26DA" w:rsidRPr="00CA5B04" w:rsidRDefault="003F26DA">
      <w:pPr>
        <w:pStyle w:val="05Paragraph"/>
        <w:rPr>
          <w:spacing w:val="-4"/>
          <w:lang w:val="en-US"/>
        </w:rPr>
      </w:pPr>
      <w:r w:rsidRPr="00CA5B04">
        <w:rPr>
          <w:spacing w:val="-4"/>
          <w:lang w:val="en-US"/>
        </w:rPr>
        <w:t>Public entity executives are senior leaders responsible for delivering their entity’s objectives.</w:t>
      </w:r>
    </w:p>
    <w:p w14:paraId="15755BB1" w14:textId="77777777" w:rsidR="003F26DA" w:rsidRDefault="003F26DA">
      <w:pPr>
        <w:pStyle w:val="05Paragraph"/>
        <w:rPr>
          <w:lang w:val="en-US"/>
        </w:rPr>
      </w:pPr>
      <w:r>
        <w:rPr>
          <w:lang w:val="en-US"/>
        </w:rPr>
        <w:t xml:space="preserve">Public entity CEOs are responsible for managing the day-to-day operations of their </w:t>
      </w:r>
      <w:proofErr w:type="gramStart"/>
      <w:r>
        <w:rPr>
          <w:lang w:val="en-US"/>
        </w:rPr>
        <w:t>entity, and</w:t>
      </w:r>
      <w:proofErr w:type="gramEnd"/>
      <w:r>
        <w:rPr>
          <w:lang w:val="en-US"/>
        </w:rPr>
        <w:t xml:space="preserve"> are accountable to the governing body for the entity’s performance. CEOs also employ entity staff, including other executives.</w:t>
      </w:r>
    </w:p>
    <w:p w14:paraId="524B40E9" w14:textId="77777777" w:rsidR="003F26DA" w:rsidRDefault="003F26DA">
      <w:pPr>
        <w:pStyle w:val="05Paragraph"/>
        <w:rPr>
          <w:lang w:val="en-US"/>
        </w:rPr>
      </w:pPr>
      <w:r>
        <w:rPr>
          <w:lang w:val="en-US"/>
        </w:rPr>
        <w:t>Executive roles vary from entity to entity and across industries. Common responsibilities of executives include managing teams of staff, delivering services and programs, developing policy, implementing compliance and enforcement programs, and providing technical or specialist advice in their areas of expertise.</w:t>
      </w:r>
    </w:p>
    <w:p w14:paraId="2C05F98C" w14:textId="601495A4" w:rsidR="003F26DA" w:rsidRDefault="003F26DA">
      <w:pPr>
        <w:pStyle w:val="05Paragraph"/>
        <w:rPr>
          <w:lang w:val="en-US"/>
        </w:rPr>
      </w:pPr>
      <w:r>
        <w:rPr>
          <w:lang w:val="en-US"/>
        </w:rPr>
        <w:t>The operating environment for public entities and their executives has changed since the Tribunal made its 2020 PE Determination. Executives reported that their roles have increased in scale and complexity due to increased compliance obligations, budget and resource pressures, and government priorities.</w:t>
      </w:r>
      <w:r>
        <w:rPr>
          <w:lang w:val="en-US"/>
        </w:rPr>
        <w:br w:type="page"/>
      </w:r>
    </w:p>
    <w:p w14:paraId="0210BFE7" w14:textId="77777777" w:rsidR="003F26DA" w:rsidRDefault="003F26DA" w:rsidP="002F7028">
      <w:pPr>
        <w:pStyle w:val="01Chapterheading"/>
        <w:numPr>
          <w:ilvl w:val="0"/>
          <w:numId w:val="31"/>
        </w:numPr>
        <w:spacing w:after="0"/>
        <w:ind w:left="720"/>
      </w:pPr>
      <w:bookmarkStart w:id="58" w:name="_Toc185012366"/>
      <w:r>
        <w:lastRenderedPageBreak/>
        <w:t>Existing employment and remuneration arrangements</w:t>
      </w:r>
      <w:bookmarkEnd w:id="58"/>
    </w:p>
    <w:p w14:paraId="579EC254" w14:textId="4B0FC3FB" w:rsidR="003F26DA" w:rsidRDefault="003F26DA" w:rsidP="002F7028">
      <w:pPr>
        <w:pStyle w:val="05Paragraph"/>
        <w:spacing w:after="180"/>
      </w:pPr>
    </w:p>
    <w:p w14:paraId="00920051" w14:textId="77777777" w:rsidR="003F26DA" w:rsidRDefault="003F26DA">
      <w:pPr>
        <w:pStyle w:val="05Paragraph"/>
      </w:pPr>
      <w:r>
        <w:t>In making this Determination, the Tribunal comprehensively reviewed the existing employment arrangements and remuneration provided to executives employed in prescribed public entities.</w:t>
      </w:r>
      <w:r>
        <w:rPr>
          <w:rStyle w:val="FootnoteReference"/>
        </w:rPr>
        <w:footnoteReference w:id="119"/>
      </w:r>
    </w:p>
    <w:p w14:paraId="7C22C7D6" w14:textId="77777777" w:rsidR="003F26DA" w:rsidRDefault="003F26DA">
      <w:pPr>
        <w:pStyle w:val="02VIRTHeading2"/>
      </w:pPr>
      <w:bookmarkStart w:id="59" w:name="_Toc185012367"/>
      <w:r w:rsidRPr="00340BC3">
        <w:t>4.1</w:t>
      </w:r>
      <w:r w:rsidRPr="00340BC3">
        <w:tab/>
      </w:r>
      <w:r>
        <w:t>Several whole of government policies guide executive employment</w:t>
      </w:r>
      <w:bookmarkEnd w:id="59"/>
    </w:p>
    <w:p w14:paraId="5D596796" w14:textId="77777777" w:rsidR="003F26DA" w:rsidRDefault="003F26DA">
      <w:pPr>
        <w:pStyle w:val="05Paragraph"/>
      </w:pPr>
      <w:r>
        <w:t>The PAA sets, or gives legal force to, several standards and policies that public entities must comply with.</w:t>
      </w:r>
    </w:p>
    <w:p w14:paraId="49E7BAD6" w14:textId="77777777" w:rsidR="003F26DA" w:rsidRDefault="003F26DA">
      <w:pPr>
        <w:pStyle w:val="05Paragraph"/>
      </w:pPr>
      <w:r>
        <w:t xml:space="preserve">These include the PEER Policy, which supports consistent and transparent executive employment and remuneration arrangements in prescribed public entities. The PEER Policy </w:t>
      </w:r>
      <w:r w:rsidRPr="00C17B94">
        <w:t>has been updated on several occasions, most recently on 4 July 2024.</w:t>
      </w:r>
    </w:p>
    <w:p w14:paraId="59F7794F" w14:textId="77777777" w:rsidR="003F26DA" w:rsidRDefault="003F26DA">
      <w:pPr>
        <w:pStyle w:val="05Paragraph"/>
      </w:pPr>
      <w:r>
        <w:t>Prescribed public entities are required to comply with the PEER Policy, which sets overarching requirements relating to the classification of executive roles and the remuneration of executives.</w:t>
      </w:r>
      <w:r>
        <w:rPr>
          <w:rStyle w:val="FootnoteReference"/>
        </w:rPr>
        <w:footnoteReference w:id="120"/>
      </w:r>
      <w:r>
        <w:t xml:space="preserve"> It also sets mandatory contractual terms and conditions for public entity executives, which are discussed further below. </w:t>
      </w:r>
    </w:p>
    <w:p w14:paraId="05F5B62D" w14:textId="113A1319" w:rsidR="003F26DA" w:rsidRDefault="003F26DA">
      <w:pPr>
        <w:pStyle w:val="05Paragraph"/>
      </w:pPr>
      <w:r>
        <w:t xml:space="preserve">Some public entities employ some, or all, of their executives under Part 3 of the PAA, which generally applies to the employment of executives in public service bodies. While the rules that apply to executives employed under Part 3 of the PAA (SES executives) are broadly the same as for other public entity executives (PESES executives), there are several differences, which are discussed below. </w:t>
      </w:r>
    </w:p>
    <w:p w14:paraId="3E5A9418" w14:textId="77777777" w:rsidR="003F26DA" w:rsidRDefault="003F26DA">
      <w:pPr>
        <w:pStyle w:val="05Paragraph"/>
      </w:pPr>
      <w:r>
        <w:t xml:space="preserve">The VPSC has published the </w:t>
      </w:r>
      <w:r w:rsidRPr="00CF7938">
        <w:rPr>
          <w:i/>
          <w:iCs/>
        </w:rPr>
        <w:t xml:space="preserve">Public Entity Executive Handbook </w:t>
      </w:r>
      <w:r>
        <w:t xml:space="preserve">(PE Handbook) to support public entities with understanding applicable executive employment policies and procedures. The VPSC’s </w:t>
      </w:r>
      <w:r w:rsidRPr="00A003B0">
        <w:rPr>
          <w:i/>
          <w:iCs/>
        </w:rPr>
        <w:t>VPS Executive Employment Handbook</w:t>
      </w:r>
      <w:r>
        <w:t xml:space="preserve"> (VPS Handbook) provides guidance on the employment of SES executives. </w:t>
      </w:r>
    </w:p>
    <w:p w14:paraId="33F03BF4" w14:textId="77777777" w:rsidR="003F26DA" w:rsidRDefault="003F26DA">
      <w:pPr>
        <w:pStyle w:val="03VIRTHeading3"/>
      </w:pPr>
      <w:r>
        <w:lastRenderedPageBreak/>
        <w:t xml:space="preserve">The PEER Policy explains who is considered an executive </w:t>
      </w:r>
    </w:p>
    <w:p w14:paraId="2238D450" w14:textId="77777777" w:rsidR="003F26DA" w:rsidRDefault="003F26DA">
      <w:pPr>
        <w:pStyle w:val="05Paragraph"/>
      </w:pPr>
      <w:r>
        <w:t xml:space="preserve">The PEER Policy defines who is considered an executive for the purpose of that policy and the Tribunal’s Determinations. </w:t>
      </w:r>
    </w:p>
    <w:p w14:paraId="7935BE47" w14:textId="77777777" w:rsidR="003F26DA" w:rsidRDefault="003F26DA">
      <w:pPr>
        <w:pStyle w:val="05Paragraph"/>
      </w:pPr>
      <w:r>
        <w:t>Generally, an entity’s executives include its CEO (or equivalent) and staff in roles that have been classified under the PEECF with a work value score of at least 21. If a role is yet to be classified, it is considered an executive role in the meantime if the total remuneration package (TRP) is equal to or higher than the base of the SES-1 remuneration band, which — as of 1 July 2024 — is $225,000 per annum.</w:t>
      </w:r>
      <w:r>
        <w:rPr>
          <w:rStyle w:val="FootnoteReference"/>
        </w:rPr>
        <w:footnoteReference w:id="121"/>
      </w:r>
      <w:r>
        <w:t xml:space="preserve"> </w:t>
      </w:r>
    </w:p>
    <w:p w14:paraId="1DD192FF" w14:textId="77777777" w:rsidR="003F26DA" w:rsidRDefault="003F26DA">
      <w:pPr>
        <w:pStyle w:val="05Paragraph"/>
      </w:pPr>
      <w:r>
        <w:t>Despite the above, the following staff are not considered to be executives:</w:t>
      </w:r>
      <w:r>
        <w:rPr>
          <w:rStyle w:val="FootnoteReference"/>
        </w:rPr>
        <w:footnoteReference w:id="122"/>
      </w:r>
    </w:p>
    <w:p w14:paraId="0C00F504" w14:textId="77777777" w:rsidR="003F26DA" w:rsidRDefault="003F26DA" w:rsidP="003F26DA">
      <w:pPr>
        <w:pStyle w:val="06VIRTBulletpoints"/>
        <w:ind w:left="357" w:hanging="357"/>
      </w:pPr>
      <w:r>
        <w:t>staff whose remuneration rates are specified by an award or enterprise agreement</w:t>
      </w:r>
    </w:p>
    <w:p w14:paraId="1BC44CA8" w14:textId="77777777" w:rsidR="003F26DA" w:rsidRDefault="003F26DA" w:rsidP="003F26DA">
      <w:pPr>
        <w:pStyle w:val="06VIRTBulletpoints"/>
        <w:ind w:left="357" w:hanging="357"/>
      </w:pPr>
      <w:r>
        <w:t>technical specialists who meet one of the criteria outlined above, but do not have a people management function</w:t>
      </w:r>
    </w:p>
    <w:p w14:paraId="54BD9755" w14:textId="77777777" w:rsidR="003F26DA" w:rsidRDefault="003F26DA" w:rsidP="003F26DA">
      <w:pPr>
        <w:pStyle w:val="06VIRTBulletpoints"/>
        <w:ind w:left="357" w:hanging="357"/>
      </w:pPr>
      <w:r>
        <w:t>statutory or prerogative office holders appointed to public entities.</w:t>
      </w:r>
    </w:p>
    <w:p w14:paraId="08636A9A" w14:textId="77777777" w:rsidR="003F26DA" w:rsidRDefault="003F26DA">
      <w:pPr>
        <w:pStyle w:val="05Paragraph"/>
      </w:pPr>
      <w:r>
        <w:t>The PEER Policy and the Tribunal’s Determinations also apply to SES executives employed in public entities.</w:t>
      </w:r>
      <w:r>
        <w:rPr>
          <w:rStyle w:val="FootnoteReference"/>
        </w:rPr>
        <w:footnoteReference w:id="123"/>
      </w:r>
      <w:r>
        <w:t xml:space="preserve"> </w:t>
      </w:r>
    </w:p>
    <w:p w14:paraId="68FD5DCD" w14:textId="77777777" w:rsidR="003F26DA" w:rsidRDefault="003F26DA">
      <w:pPr>
        <w:pStyle w:val="03VIRTHeading3"/>
      </w:pPr>
      <w:r>
        <w:t>Executive roles are classified using government frameworks</w:t>
      </w:r>
    </w:p>
    <w:p w14:paraId="5B0462BA" w14:textId="77777777" w:rsidR="003F26DA" w:rsidRDefault="003F26DA">
      <w:pPr>
        <w:pStyle w:val="05Paragraph"/>
      </w:pPr>
      <w:r>
        <w:t>The PEER Policy requires public entities to facilitate the classification of all executive positions, using classification frameworks issued by the VPSC. The PEECF applies to PESES executives and the VPSECF applies to SES executives.</w:t>
      </w:r>
      <w:r>
        <w:rPr>
          <w:rStyle w:val="FootnoteReference"/>
        </w:rPr>
        <w:footnoteReference w:id="124"/>
      </w:r>
    </w:p>
    <w:p w14:paraId="524C70EE" w14:textId="77777777" w:rsidR="003F26DA" w:rsidRPr="00B01A06" w:rsidRDefault="003F26DA">
      <w:pPr>
        <w:pStyle w:val="05Paragraph"/>
        <w:rPr>
          <w:spacing w:val="-4"/>
        </w:rPr>
      </w:pPr>
      <w:r w:rsidRPr="00B01A06">
        <w:rPr>
          <w:spacing w:val="-4"/>
        </w:rPr>
        <w:t>As explained in Chapter 3, the PEECF comprises eight work value factors that are used to determine work value scores. Each role is scored on a scale of one to seven for each factor, providing an overall work value score of up to 56. The final score determines the appropriate classification to the PESES-1, PESES</w:t>
      </w:r>
      <w:r w:rsidRPr="00B01A06">
        <w:rPr>
          <w:spacing w:val="-4"/>
        </w:rPr>
        <w:noBreakHyphen/>
        <w:t>2 or PESES-3 band. The VPSECF also uses eight factors, scores each factor on a scale of one to seven to provide a work value score of up to 56, and classifies roles into three SES levels. While the PEECF aligns closely with the VPSECF, it was modified to better reflect the accountabilities and responsibilities of public entity CEOs and other executives.</w:t>
      </w:r>
      <w:r w:rsidRPr="00B01A06">
        <w:rPr>
          <w:rStyle w:val="FootnoteReference"/>
          <w:spacing w:val="-4"/>
        </w:rPr>
        <w:footnoteReference w:id="125"/>
      </w:r>
      <w:r w:rsidRPr="00B01A06">
        <w:rPr>
          <w:spacing w:val="-4"/>
        </w:rPr>
        <w:t xml:space="preserve"> </w:t>
      </w:r>
    </w:p>
    <w:p w14:paraId="599541DC" w14:textId="77777777" w:rsidR="003F26DA" w:rsidRPr="00A874D8" w:rsidRDefault="003F26DA">
      <w:pPr>
        <w:pStyle w:val="05Paragraph"/>
      </w:pPr>
      <w:r w:rsidRPr="00A874D8">
        <w:lastRenderedPageBreak/>
        <w:t xml:space="preserve">The description of the work </w:t>
      </w:r>
      <w:r>
        <w:t>value factors</w:t>
      </w:r>
      <w:r w:rsidRPr="00A874D8">
        <w:t xml:space="preserve"> in the PEECF differ from those in the VPSECF, reflecting differences between public entities and public service bodies. For example, to achieve </w:t>
      </w:r>
      <w:r>
        <w:t xml:space="preserve">a </w:t>
      </w:r>
      <w:r w:rsidRPr="00A874D8">
        <w:t>score of at least five for the ‘relationship’ factor, the:</w:t>
      </w:r>
    </w:p>
    <w:p w14:paraId="4E0C883C" w14:textId="77777777" w:rsidR="003F26DA" w:rsidRPr="00A874D8" w:rsidRDefault="003F26DA" w:rsidP="003F26DA">
      <w:pPr>
        <w:pStyle w:val="06VIRTBulletpoints"/>
        <w:ind w:left="357" w:hanging="357"/>
      </w:pPr>
      <w:r w:rsidRPr="00A874D8">
        <w:t>VPSECF requires the role to provide highly influential, strategic advice to Secretaries, Deputy Secretaries and Ministers</w:t>
      </w:r>
    </w:p>
    <w:p w14:paraId="51D3548A" w14:textId="77777777" w:rsidR="003F26DA" w:rsidRPr="00A874D8" w:rsidRDefault="003F26DA" w:rsidP="003F26DA">
      <w:pPr>
        <w:pStyle w:val="06VIRTBulletpoints"/>
        <w:ind w:left="357" w:hanging="357"/>
      </w:pPr>
      <w:r w:rsidRPr="00A874D8">
        <w:t>PEECF requires the role to provide highly influential, strategic advice to the organisation Chair, departments and Ministers.</w:t>
      </w:r>
    </w:p>
    <w:p w14:paraId="335F1DCE" w14:textId="77777777" w:rsidR="003F26DA" w:rsidRDefault="003F26DA">
      <w:pPr>
        <w:pStyle w:val="05Paragraph"/>
      </w:pPr>
      <w:r>
        <w:t xml:space="preserve">The Tribunal provided an overview of the </w:t>
      </w:r>
      <w:proofErr w:type="gramStart"/>
      <w:r>
        <w:t>VPSECF</w:t>
      </w:r>
      <w:proofErr w:type="gramEnd"/>
      <w:r>
        <w:t xml:space="preserve"> and the SES classification bands in its </w:t>
      </w:r>
      <w:r w:rsidRPr="00E9054B">
        <w:t>2024 VPS Determination</w:t>
      </w:r>
      <w:r>
        <w:t>.</w:t>
      </w:r>
      <w:r>
        <w:rPr>
          <w:rStyle w:val="FootnoteReference"/>
        </w:rPr>
        <w:footnoteReference w:id="126"/>
      </w:r>
    </w:p>
    <w:p w14:paraId="63074259" w14:textId="77777777" w:rsidR="003F26DA" w:rsidRDefault="003F26DA">
      <w:pPr>
        <w:pStyle w:val="05Paragraph"/>
      </w:pPr>
      <w:r>
        <w:t>A current work value assessment must be undertaken, and the role classified, where:</w:t>
      </w:r>
      <w:r>
        <w:rPr>
          <w:rStyle w:val="FootnoteReference"/>
        </w:rPr>
        <w:footnoteReference w:id="127"/>
      </w:r>
    </w:p>
    <w:p w14:paraId="28893A5B" w14:textId="77777777" w:rsidR="003F26DA" w:rsidRDefault="003F26DA" w:rsidP="003F26DA">
      <w:pPr>
        <w:pStyle w:val="06VIRTBulletpoints"/>
        <w:ind w:left="357" w:hanging="357"/>
      </w:pPr>
      <w:r>
        <w:t>a new executive role is created</w:t>
      </w:r>
    </w:p>
    <w:p w14:paraId="33908FB9" w14:textId="77777777" w:rsidR="003F26DA" w:rsidRDefault="003F26DA" w:rsidP="003F26DA">
      <w:pPr>
        <w:pStyle w:val="06VIRTBulletpoints"/>
        <w:ind w:left="357" w:hanging="357"/>
      </w:pPr>
      <w:r>
        <w:t>an expiring contract is renewed</w:t>
      </w:r>
    </w:p>
    <w:p w14:paraId="4BE67DCE" w14:textId="77777777" w:rsidR="003F26DA" w:rsidRDefault="003F26DA" w:rsidP="003F26DA">
      <w:pPr>
        <w:pStyle w:val="06VIRTBulletpoints"/>
        <w:ind w:left="357" w:hanging="357"/>
      </w:pPr>
      <w:r>
        <w:t xml:space="preserve">an executive’s remuneration is adjusted, other than </w:t>
      </w:r>
      <w:proofErr w:type="gramStart"/>
      <w:r>
        <w:t>as a result of</w:t>
      </w:r>
      <w:proofErr w:type="gramEnd"/>
      <w:r>
        <w:t xml:space="preserve"> a whole-of-government annual adjustment process. </w:t>
      </w:r>
    </w:p>
    <w:p w14:paraId="64751A41" w14:textId="77777777" w:rsidR="003F26DA" w:rsidRPr="003E01C8" w:rsidRDefault="003F26DA">
      <w:pPr>
        <w:pStyle w:val="05Paragraph"/>
      </w:pPr>
      <w:r>
        <w:t xml:space="preserve">Prior to the introduction of the PEECF in </w:t>
      </w:r>
      <w:r w:rsidRPr="00B0292B">
        <w:t>2020,</w:t>
      </w:r>
      <w:r>
        <w:t xml:space="preserve"> there was no whole-of-government policy for classifying PESES executive roles. The VPSC was initially responsible for undertaking and moderating the classification of executive positions, but each public entity assumed responsibility for classifying its executive roles from July 2024. A public entity is required to consult with its portfolio department before finalising a work value assessment for a new position, or if a change to a classification for an existing </w:t>
      </w:r>
      <w:r w:rsidRPr="003E01C8">
        <w:t>position is proposed.</w:t>
      </w:r>
      <w:r w:rsidRPr="003E01C8">
        <w:rPr>
          <w:rStyle w:val="FootnoteReference"/>
        </w:rPr>
        <w:footnoteReference w:id="128"/>
      </w:r>
      <w:r w:rsidRPr="003E01C8">
        <w:t xml:space="preserve"> Table 4.1 shows the distribution of executives in public entities in each classification. </w:t>
      </w:r>
    </w:p>
    <w:p w14:paraId="7B7D2852" w14:textId="1B1D10BA" w:rsidR="003F26DA" w:rsidRDefault="003F26DA">
      <w:pPr>
        <w:pStyle w:val="08Figuretableboxheading"/>
        <w:rPr>
          <w:highlight w:val="green"/>
        </w:rPr>
      </w:pPr>
      <w:r>
        <w:t xml:space="preserve">Table 4.1: </w:t>
      </w:r>
      <w:r w:rsidRPr="008927A7">
        <w:t xml:space="preserve">Distribution of executive roles by classification, </w:t>
      </w:r>
      <w:r w:rsidR="00C04815">
        <w:t xml:space="preserve">as </w:t>
      </w:r>
      <w:proofErr w:type="gramStart"/>
      <w:r w:rsidR="00C04815">
        <w:t>at</w:t>
      </w:r>
      <w:proofErr w:type="gramEnd"/>
      <w:r w:rsidR="00C04815">
        <w:t xml:space="preserve"> </w:t>
      </w:r>
      <w:r w:rsidRPr="008927A7">
        <w:t>30 June 2023</w:t>
      </w:r>
    </w:p>
    <w:tbl>
      <w:tblPr>
        <w:tblStyle w:val="VIRTDeterminationTableStyle"/>
        <w:tblW w:w="0" w:type="auto"/>
        <w:tblInd w:w="0" w:type="dxa"/>
        <w:tblLook w:val="04A0" w:firstRow="1" w:lastRow="0" w:firstColumn="1" w:lastColumn="0" w:noHBand="0" w:noVBand="1"/>
      </w:tblPr>
      <w:tblGrid>
        <w:gridCol w:w="2127"/>
        <w:gridCol w:w="3685"/>
        <w:gridCol w:w="2692"/>
      </w:tblGrid>
      <w:tr w:rsidR="003F26DA" w14:paraId="101E2236" w14:textId="77777777">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127" w:type="dxa"/>
          </w:tcPr>
          <w:p w14:paraId="0B80C389" w14:textId="77777777" w:rsidR="003F26DA" w:rsidRPr="00B07B06" w:rsidRDefault="003F26DA">
            <w:pPr>
              <w:pStyle w:val="10Tabletext"/>
              <w:keepNext/>
              <w:rPr>
                <w:noProof/>
                <w:color w:val="F8F8F8" w:themeColor="background2"/>
              </w:rPr>
            </w:pPr>
            <w:r w:rsidRPr="00B07B06">
              <w:rPr>
                <w:noProof/>
                <w:color w:val="F8F8F8" w:themeColor="background2"/>
              </w:rPr>
              <w:t>Classification</w:t>
            </w:r>
          </w:p>
        </w:tc>
        <w:tc>
          <w:tcPr>
            <w:tcW w:w="3685" w:type="dxa"/>
          </w:tcPr>
          <w:p w14:paraId="65DA080E" w14:textId="77777777" w:rsidR="003F26DA" w:rsidRPr="00B07B06"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sidRPr="00B07B06">
              <w:rPr>
                <w:noProof/>
                <w:color w:val="F8F8F8" w:themeColor="background2"/>
              </w:rPr>
              <w:t>Number of executives</w:t>
            </w:r>
          </w:p>
        </w:tc>
        <w:tc>
          <w:tcPr>
            <w:tcW w:w="2692" w:type="dxa"/>
          </w:tcPr>
          <w:p w14:paraId="7873DE25" w14:textId="77777777" w:rsidR="003F26DA" w:rsidRPr="00B07B06"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b w:val="0"/>
                <w:bCs/>
                <w:noProof/>
                <w:color w:val="F8F8F8" w:themeColor="background2"/>
              </w:rPr>
            </w:pPr>
            <w:r>
              <w:rPr>
                <w:noProof/>
                <w:color w:val="F8F8F8" w:themeColor="background2"/>
              </w:rPr>
              <w:t>Per cent of all executives</w:t>
            </w:r>
          </w:p>
        </w:tc>
      </w:tr>
      <w:tr w:rsidR="003F26DA" w14:paraId="1BF33B99" w14:textId="77777777" w:rsidTr="0065180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26664E" w:themeColor="accent1"/>
            </w:tcBorders>
            <w:shd w:val="clear" w:color="auto" w:fill="auto"/>
          </w:tcPr>
          <w:p w14:paraId="6F133354" w14:textId="77777777" w:rsidR="003F26DA" w:rsidRPr="00A27D4B" w:rsidRDefault="003F26DA">
            <w:pPr>
              <w:pStyle w:val="10Tabletext"/>
              <w:keepNext/>
              <w:rPr>
                <w:noProof/>
                <w:color w:val="auto"/>
              </w:rPr>
            </w:pPr>
            <w:r>
              <w:rPr>
                <w:noProof/>
                <w:color w:val="auto"/>
              </w:rPr>
              <w:t>PESES-1/SES-1</w:t>
            </w:r>
          </w:p>
        </w:tc>
        <w:tc>
          <w:tcPr>
            <w:tcW w:w="3685" w:type="dxa"/>
            <w:tcBorders>
              <w:bottom w:val="single" w:sz="4" w:space="0" w:color="26664E" w:themeColor="accent1"/>
            </w:tcBorders>
            <w:shd w:val="clear" w:color="auto" w:fill="auto"/>
          </w:tcPr>
          <w:p w14:paraId="4EA502D1"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549</w:t>
            </w:r>
          </w:p>
        </w:tc>
        <w:tc>
          <w:tcPr>
            <w:tcW w:w="2692" w:type="dxa"/>
            <w:tcBorders>
              <w:bottom w:val="single" w:sz="4" w:space="0" w:color="26664E" w:themeColor="accent1"/>
            </w:tcBorders>
            <w:shd w:val="clear" w:color="auto" w:fill="auto"/>
          </w:tcPr>
          <w:p w14:paraId="2B69FBF2"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52</w:t>
            </w:r>
          </w:p>
        </w:tc>
      </w:tr>
      <w:tr w:rsidR="003F26DA" w14:paraId="7896F7C3" w14:textId="77777777" w:rsidTr="00651809">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26664E" w:themeColor="accent1"/>
              <w:bottom w:val="single" w:sz="4" w:space="0" w:color="26664E" w:themeColor="accent1"/>
            </w:tcBorders>
            <w:shd w:val="clear" w:color="auto" w:fill="auto"/>
          </w:tcPr>
          <w:p w14:paraId="5D421766" w14:textId="77777777" w:rsidR="003F26DA" w:rsidRDefault="003F26DA">
            <w:pPr>
              <w:pStyle w:val="10Tabletext"/>
              <w:keepNext/>
              <w:rPr>
                <w:noProof/>
                <w:color w:val="auto"/>
              </w:rPr>
            </w:pPr>
            <w:r>
              <w:rPr>
                <w:noProof/>
                <w:color w:val="auto"/>
              </w:rPr>
              <w:t>PESES-2/SES-2</w:t>
            </w:r>
          </w:p>
        </w:tc>
        <w:tc>
          <w:tcPr>
            <w:tcW w:w="3685" w:type="dxa"/>
            <w:tcBorders>
              <w:top w:val="single" w:sz="4" w:space="0" w:color="26664E" w:themeColor="accent1"/>
              <w:bottom w:val="single" w:sz="4" w:space="0" w:color="26664E" w:themeColor="accent1"/>
            </w:tcBorders>
            <w:shd w:val="clear" w:color="auto" w:fill="auto"/>
          </w:tcPr>
          <w:p w14:paraId="4B889472"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427</w:t>
            </w:r>
          </w:p>
        </w:tc>
        <w:tc>
          <w:tcPr>
            <w:tcW w:w="2692" w:type="dxa"/>
            <w:tcBorders>
              <w:top w:val="single" w:sz="4" w:space="0" w:color="26664E" w:themeColor="accent1"/>
              <w:bottom w:val="single" w:sz="4" w:space="0" w:color="26664E" w:themeColor="accent1"/>
            </w:tcBorders>
            <w:shd w:val="clear" w:color="auto" w:fill="auto"/>
          </w:tcPr>
          <w:p w14:paraId="51B3C4EF"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41</w:t>
            </w:r>
          </w:p>
        </w:tc>
      </w:tr>
      <w:tr w:rsidR="003F26DA" w14:paraId="7C16BBFD"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26664E" w:themeColor="accent1"/>
              <w:bottom w:val="single" w:sz="4" w:space="0" w:color="26664E" w:themeColor="accent1"/>
            </w:tcBorders>
            <w:shd w:val="clear" w:color="auto" w:fill="auto"/>
          </w:tcPr>
          <w:p w14:paraId="52ABE61B" w14:textId="77777777" w:rsidR="003F26DA" w:rsidRDefault="003F26DA">
            <w:pPr>
              <w:pStyle w:val="10Tabletext"/>
              <w:keepNext/>
              <w:rPr>
                <w:noProof/>
                <w:color w:val="auto"/>
              </w:rPr>
            </w:pPr>
            <w:r>
              <w:rPr>
                <w:noProof/>
                <w:color w:val="auto"/>
              </w:rPr>
              <w:t>PESES-3/SES-3</w:t>
            </w:r>
          </w:p>
        </w:tc>
        <w:tc>
          <w:tcPr>
            <w:tcW w:w="3685" w:type="dxa"/>
            <w:tcBorders>
              <w:top w:val="single" w:sz="4" w:space="0" w:color="26664E" w:themeColor="accent1"/>
              <w:bottom w:val="single" w:sz="4" w:space="0" w:color="26664E" w:themeColor="accent1"/>
            </w:tcBorders>
            <w:shd w:val="clear" w:color="auto" w:fill="auto"/>
          </w:tcPr>
          <w:p w14:paraId="27A773CD"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73</w:t>
            </w:r>
          </w:p>
        </w:tc>
        <w:tc>
          <w:tcPr>
            <w:tcW w:w="2692" w:type="dxa"/>
            <w:tcBorders>
              <w:top w:val="single" w:sz="4" w:space="0" w:color="26664E" w:themeColor="accent1"/>
              <w:bottom w:val="single" w:sz="4" w:space="0" w:color="26664E" w:themeColor="accent1"/>
            </w:tcBorders>
            <w:shd w:val="clear" w:color="auto" w:fill="auto"/>
          </w:tcPr>
          <w:p w14:paraId="5E1238B7"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7</w:t>
            </w:r>
          </w:p>
        </w:tc>
      </w:tr>
    </w:tbl>
    <w:p w14:paraId="4493321C" w14:textId="77777777" w:rsidR="003F26DA" w:rsidRPr="00B45670" w:rsidRDefault="003F26DA">
      <w:pPr>
        <w:pStyle w:val="09Sourcesandnotesfortablesfiguresboxes"/>
        <w:tabs>
          <w:tab w:val="left" w:pos="2685"/>
        </w:tabs>
        <w:rPr>
          <w:highlight w:val="yellow"/>
        </w:rPr>
      </w:pPr>
      <w:r>
        <w:t>Source: Tribunal analysis of VPSC data.</w:t>
      </w:r>
    </w:p>
    <w:p w14:paraId="5DF6333D" w14:textId="77777777" w:rsidR="003F26DA" w:rsidRDefault="003F26DA">
      <w:pPr>
        <w:pStyle w:val="03VIRTHeading3"/>
      </w:pPr>
      <w:r>
        <w:lastRenderedPageBreak/>
        <w:t>Executive contracts must include mandatory terms</w:t>
      </w:r>
    </w:p>
    <w:p w14:paraId="4918878C" w14:textId="77777777" w:rsidR="003F26DA" w:rsidRDefault="003F26DA">
      <w:pPr>
        <w:pStyle w:val="05Paragraph"/>
      </w:pPr>
      <w:r>
        <w:t>The PEER Policy outlines mandatory terms which prescribed public entities must include in each executive’s employment contract (Table 4.2).</w:t>
      </w:r>
    </w:p>
    <w:p w14:paraId="4D14DE46" w14:textId="77777777" w:rsidR="003F26DA" w:rsidRDefault="003F26DA">
      <w:pPr>
        <w:pStyle w:val="08Figuretableboxheading"/>
      </w:pPr>
      <w:r>
        <w:t>Table 4.2: Summary of mandatory employment conditions</w:t>
      </w:r>
    </w:p>
    <w:tbl>
      <w:tblPr>
        <w:tblStyle w:val="VIRTDeterminationTableStyle"/>
        <w:tblW w:w="5000" w:type="pct"/>
        <w:tblInd w:w="0" w:type="dxa"/>
        <w:tblLook w:val="04A0" w:firstRow="1" w:lastRow="0" w:firstColumn="1" w:lastColumn="0" w:noHBand="0" w:noVBand="1"/>
      </w:tblPr>
      <w:tblGrid>
        <w:gridCol w:w="2551"/>
        <w:gridCol w:w="5953"/>
      </w:tblGrid>
      <w:tr w:rsidR="003F26DA" w14:paraId="2C387E3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00" w:type="pct"/>
          </w:tcPr>
          <w:p w14:paraId="34A00A28" w14:textId="77777777" w:rsidR="003F26DA" w:rsidRPr="00A27D4B" w:rsidRDefault="003F26DA">
            <w:pPr>
              <w:pStyle w:val="10Tabletext"/>
              <w:rPr>
                <w:noProof/>
                <w:color w:val="F8F8F8" w:themeColor="background2"/>
              </w:rPr>
            </w:pPr>
            <w:r>
              <w:rPr>
                <w:noProof/>
                <w:color w:val="F8F8F8" w:themeColor="background2"/>
              </w:rPr>
              <w:t>Provision</w:t>
            </w:r>
          </w:p>
        </w:tc>
        <w:tc>
          <w:tcPr>
            <w:tcW w:w="3500" w:type="pct"/>
          </w:tcPr>
          <w:p w14:paraId="7AB27B7E" w14:textId="77777777" w:rsidR="003F26DA" w:rsidRPr="00A27D4B" w:rsidRDefault="003F26DA">
            <w:pPr>
              <w:pStyle w:val="10Tabletex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Conditions</w:t>
            </w:r>
          </w:p>
        </w:tc>
      </w:tr>
      <w:tr w:rsidR="003F26DA" w14:paraId="505977AE"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bottom w:val="single" w:sz="4" w:space="0" w:color="26664E" w:themeColor="accent1"/>
            </w:tcBorders>
          </w:tcPr>
          <w:p w14:paraId="0E4FF8E7" w14:textId="77777777" w:rsidR="003F26DA" w:rsidRPr="00A27D4B" w:rsidRDefault="003F26DA">
            <w:pPr>
              <w:pStyle w:val="10Tabletext"/>
            </w:pPr>
            <w:r w:rsidRPr="00CF31FE">
              <w:rPr>
                <w:color w:val="auto"/>
              </w:rPr>
              <w:t>Contract term</w:t>
            </w:r>
          </w:p>
        </w:tc>
        <w:tc>
          <w:tcPr>
            <w:tcW w:w="3500" w:type="pct"/>
            <w:tcBorders>
              <w:bottom w:val="single" w:sz="4" w:space="0" w:color="26664E" w:themeColor="accent1"/>
            </w:tcBorders>
          </w:tcPr>
          <w:p w14:paraId="2D0C6A5F" w14:textId="77777777" w:rsidR="003F26DA" w:rsidRPr="00A27D4B" w:rsidRDefault="003F26DA">
            <w:pPr>
              <w:pStyle w:val="10Tabletext"/>
              <w:cnfStyle w:val="000000100000" w:firstRow="0" w:lastRow="0" w:firstColumn="0" w:lastColumn="0" w:oddVBand="0" w:evenVBand="0" w:oddHBand="1" w:evenHBand="0" w:firstRowFirstColumn="0" w:firstRowLastColumn="0" w:lastRowFirstColumn="0" w:lastRowLastColumn="0"/>
              <w:rPr>
                <w:noProof/>
                <w:color w:val="auto"/>
              </w:rPr>
            </w:pPr>
            <w:r w:rsidRPr="00CF31FE">
              <w:rPr>
                <w:color w:val="auto"/>
              </w:rPr>
              <w:t>Maximum contract term is up to five years.</w:t>
            </w:r>
          </w:p>
        </w:tc>
      </w:tr>
      <w:tr w:rsidR="003F26DA" w14:paraId="1328ECF4" w14:textId="77777777" w:rsidTr="00651809">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26664E" w:themeColor="accent1"/>
              <w:bottom w:val="single" w:sz="4" w:space="0" w:color="26664E" w:themeColor="accent1"/>
            </w:tcBorders>
          </w:tcPr>
          <w:p w14:paraId="13513EC2" w14:textId="77777777" w:rsidR="003F26DA" w:rsidRPr="00A27D4B" w:rsidRDefault="003F26DA">
            <w:pPr>
              <w:pStyle w:val="10Tabletext"/>
              <w:rPr>
                <w:noProof/>
                <w:color w:val="auto"/>
                <w:vertAlign w:val="superscript"/>
              </w:rPr>
            </w:pPr>
            <w:r w:rsidRPr="00CF31FE">
              <w:rPr>
                <w:color w:val="auto"/>
              </w:rPr>
              <w:t>Total remuneration package</w:t>
            </w:r>
          </w:p>
        </w:tc>
        <w:tc>
          <w:tcPr>
            <w:tcW w:w="3500" w:type="pct"/>
            <w:tcBorders>
              <w:top w:val="single" w:sz="4" w:space="0" w:color="26664E" w:themeColor="accent1"/>
              <w:bottom w:val="single" w:sz="4" w:space="0" w:color="26664E" w:themeColor="accent1"/>
            </w:tcBorders>
          </w:tcPr>
          <w:p w14:paraId="2EE14536" w14:textId="77777777" w:rsidR="003F26DA" w:rsidRPr="00A27D4B" w:rsidRDefault="003F26DA">
            <w:pPr>
              <w:pStyle w:val="10Tabletext"/>
              <w:cnfStyle w:val="000000000000" w:firstRow="0" w:lastRow="0" w:firstColumn="0" w:lastColumn="0" w:oddVBand="0" w:evenVBand="0" w:oddHBand="0" w:evenHBand="0" w:firstRowFirstColumn="0" w:firstRowLastColumn="0" w:lastRowFirstColumn="0" w:lastRowLastColumn="0"/>
              <w:rPr>
                <w:noProof/>
                <w:color w:val="auto"/>
              </w:rPr>
            </w:pPr>
            <w:r w:rsidRPr="00CF31FE">
              <w:rPr>
                <w:color w:val="auto"/>
              </w:rPr>
              <w:t>TRP includes base salary, superannuation contributions, employment benefits (i.e. non-salary) and the annual cost to the employer of providing the non-monetary benefits, including any fringe benefits tax payable.</w:t>
            </w:r>
          </w:p>
        </w:tc>
      </w:tr>
      <w:tr w:rsidR="003F26DA" w14:paraId="0FC6C5B2"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26664E" w:themeColor="accent1"/>
              <w:bottom w:val="single" w:sz="4" w:space="0" w:color="26664E" w:themeColor="accent1"/>
            </w:tcBorders>
          </w:tcPr>
          <w:p w14:paraId="2417194B" w14:textId="77777777" w:rsidR="003F26DA" w:rsidRPr="00A27D4B" w:rsidRDefault="003F26DA">
            <w:pPr>
              <w:pStyle w:val="10Tabletext"/>
              <w:rPr>
                <w:noProof/>
                <w:color w:val="auto"/>
                <w:vertAlign w:val="superscript"/>
              </w:rPr>
            </w:pPr>
            <w:r w:rsidRPr="00CF31FE">
              <w:rPr>
                <w:color w:val="auto"/>
              </w:rPr>
              <w:t>Termination</w:t>
            </w:r>
          </w:p>
        </w:tc>
        <w:tc>
          <w:tcPr>
            <w:tcW w:w="3500" w:type="pct"/>
            <w:tcBorders>
              <w:top w:val="single" w:sz="4" w:space="0" w:color="26664E" w:themeColor="accent1"/>
              <w:bottom w:val="single" w:sz="4" w:space="0" w:color="26664E" w:themeColor="accent1"/>
            </w:tcBorders>
          </w:tcPr>
          <w:p w14:paraId="2532251E" w14:textId="77777777" w:rsidR="003F26DA" w:rsidRPr="00A27D4B" w:rsidRDefault="003F26DA">
            <w:pPr>
              <w:pStyle w:val="10Tabletext"/>
              <w:cnfStyle w:val="000000100000" w:firstRow="0" w:lastRow="0" w:firstColumn="0" w:lastColumn="0" w:oddVBand="0" w:evenVBand="0" w:oddHBand="1" w:evenHBand="0" w:firstRowFirstColumn="0" w:firstRowLastColumn="0" w:lastRowFirstColumn="0" w:lastRowLastColumn="0"/>
              <w:rPr>
                <w:noProof/>
                <w:color w:val="auto"/>
              </w:rPr>
            </w:pPr>
            <w:r w:rsidRPr="00CF31FE">
              <w:rPr>
                <w:color w:val="auto"/>
              </w:rPr>
              <w:t>Employer may terminate a contract by providing the executive with four months’ notice in writing.</w:t>
            </w:r>
          </w:p>
        </w:tc>
      </w:tr>
      <w:tr w:rsidR="003F26DA" w14:paraId="6358E957" w14:textId="77777777" w:rsidTr="00651809">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26664E" w:themeColor="accent1"/>
              <w:bottom w:val="single" w:sz="4" w:space="0" w:color="26664E" w:themeColor="accent1"/>
            </w:tcBorders>
          </w:tcPr>
          <w:p w14:paraId="579AF051" w14:textId="77777777" w:rsidR="003F26DA" w:rsidRPr="00A27D4B" w:rsidRDefault="003F26DA">
            <w:pPr>
              <w:pStyle w:val="10Tabletext"/>
              <w:rPr>
                <w:noProof/>
                <w:color w:val="auto"/>
              </w:rPr>
            </w:pPr>
            <w:r w:rsidRPr="00CF31FE">
              <w:rPr>
                <w:color w:val="auto"/>
              </w:rPr>
              <w:t>No compensation for termination</w:t>
            </w:r>
          </w:p>
        </w:tc>
        <w:tc>
          <w:tcPr>
            <w:tcW w:w="3500" w:type="pct"/>
            <w:tcBorders>
              <w:top w:val="single" w:sz="4" w:space="0" w:color="26664E" w:themeColor="accent1"/>
              <w:bottom w:val="single" w:sz="4" w:space="0" w:color="26664E" w:themeColor="accent1"/>
            </w:tcBorders>
          </w:tcPr>
          <w:p w14:paraId="6E02252C" w14:textId="77777777" w:rsidR="003F26DA" w:rsidRPr="00A27D4B" w:rsidRDefault="003F26DA">
            <w:pPr>
              <w:pStyle w:val="10Tabletext"/>
              <w:cnfStyle w:val="000000000000" w:firstRow="0" w:lastRow="0" w:firstColumn="0" w:lastColumn="0" w:oddVBand="0" w:evenVBand="0" w:oddHBand="0" w:evenHBand="0" w:firstRowFirstColumn="0" w:firstRowLastColumn="0" w:lastRowFirstColumn="0" w:lastRowLastColumn="0"/>
              <w:rPr>
                <w:noProof/>
                <w:color w:val="auto"/>
              </w:rPr>
            </w:pPr>
            <w:r w:rsidRPr="00CF31FE">
              <w:rPr>
                <w:color w:val="auto"/>
              </w:rPr>
              <w:t>No compensation for termination of a contract beyond payment in lieu of notice and accrued leave.</w:t>
            </w:r>
            <w:r>
              <w:rPr>
                <w:color w:val="auto"/>
              </w:rPr>
              <w:t xml:space="preserve"> An unexpired portion of a contract may only be paid out in exceptional circumstances, with the written consent of the relevant department Secretary.</w:t>
            </w:r>
          </w:p>
        </w:tc>
      </w:tr>
      <w:tr w:rsidR="003F26DA" w14:paraId="0B839726"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26664E" w:themeColor="accent1"/>
              <w:bottom w:val="single" w:sz="4" w:space="0" w:color="26664E" w:themeColor="accent1"/>
            </w:tcBorders>
          </w:tcPr>
          <w:p w14:paraId="64FC9F39" w14:textId="77777777" w:rsidR="003F26DA" w:rsidRPr="00CF31FE" w:rsidRDefault="003F26DA">
            <w:pPr>
              <w:pStyle w:val="10Tabletext"/>
              <w:rPr>
                <w:color w:val="auto"/>
              </w:rPr>
            </w:pPr>
            <w:r>
              <w:rPr>
                <w:color w:val="auto"/>
              </w:rPr>
              <w:t>Bonus opportunities</w:t>
            </w:r>
          </w:p>
        </w:tc>
        <w:tc>
          <w:tcPr>
            <w:tcW w:w="3500" w:type="pct"/>
            <w:tcBorders>
              <w:top w:val="single" w:sz="4" w:space="0" w:color="26664E" w:themeColor="accent1"/>
              <w:bottom w:val="single" w:sz="4" w:space="0" w:color="26664E" w:themeColor="accent1"/>
            </w:tcBorders>
          </w:tcPr>
          <w:p w14:paraId="4A7527C5" w14:textId="77777777" w:rsidR="003F26DA" w:rsidRPr="00CF31FE" w:rsidRDefault="003F26DA">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Subject to limited exceptions, all new or renewed executive contracts </w:t>
            </w:r>
            <w:proofErr w:type="gramStart"/>
            <w:r>
              <w:rPr>
                <w:color w:val="auto"/>
              </w:rPr>
              <w:t>entered into</w:t>
            </w:r>
            <w:proofErr w:type="gramEnd"/>
            <w:r>
              <w:rPr>
                <w:color w:val="auto"/>
              </w:rPr>
              <w:t xml:space="preserve"> from 4 February 2020 must not include a bonus opportunity. </w:t>
            </w:r>
            <w:r w:rsidRPr="00F9511E">
              <w:rPr>
                <w:color w:val="auto"/>
              </w:rPr>
              <w:t xml:space="preserve">The maximum bonus opportunity available to public entity executives employed </w:t>
            </w:r>
            <w:r>
              <w:rPr>
                <w:color w:val="auto"/>
              </w:rPr>
              <w:t xml:space="preserve">before 4 February 2020 is either 17 per cent or 20 per cent. </w:t>
            </w:r>
          </w:p>
        </w:tc>
      </w:tr>
    </w:tbl>
    <w:p w14:paraId="524A3378" w14:textId="306BEB03" w:rsidR="003F26DA" w:rsidRDefault="003F26DA">
      <w:pPr>
        <w:pStyle w:val="09Sourcesandnotesfortablesfiguresboxes"/>
      </w:pPr>
      <w:r w:rsidRPr="0001372A">
        <w:t>Source</w:t>
      </w:r>
      <w:r w:rsidRPr="00A27D4B">
        <w:t xml:space="preserve">: </w:t>
      </w:r>
      <w:r w:rsidR="00267572" w:rsidRPr="00267572">
        <w:t xml:space="preserve">State Government of Victoria (2024c), </w:t>
      </w:r>
      <w:r w:rsidRPr="00B01A06">
        <w:t>cl</w:t>
      </w:r>
      <w:r w:rsidR="001D7BF3" w:rsidRPr="00B01A06">
        <w:t>ause</w:t>
      </w:r>
      <w:r w:rsidR="00267572">
        <w:t>s</w:t>
      </w:r>
      <w:r w:rsidRPr="00B01A06">
        <w:t xml:space="preserve"> 7</w:t>
      </w:r>
      <w:r w:rsidR="001D7BF3" w:rsidRPr="00B01A06">
        <w:t>-</w:t>
      </w:r>
      <w:r w:rsidRPr="00B01A06">
        <w:t>8</w:t>
      </w:r>
      <w:r w:rsidRPr="001D7BF3">
        <w:t>.</w:t>
      </w:r>
    </w:p>
    <w:p w14:paraId="03A551F2" w14:textId="113ADE86" w:rsidR="003F26DA" w:rsidRDefault="003F26DA">
      <w:pPr>
        <w:pStyle w:val="05Paragraph"/>
      </w:pPr>
      <w:r>
        <w:t>To support public entities, the VPSC has developed a standard contract for employing PESES executives, which incorporates the mandatory employment conditions. While use of the standard contract is not mandatory, it is strongly encouraged and the VPSC data indicate</w:t>
      </w:r>
      <w:r w:rsidR="001D7BF3">
        <w:t>s</w:t>
      </w:r>
      <w:r>
        <w:t xml:space="preserve"> that, as </w:t>
      </w:r>
      <w:proofErr w:type="gramStart"/>
      <w:r>
        <w:t>at</w:t>
      </w:r>
      <w:proofErr w:type="gramEnd"/>
      <w:r>
        <w:t xml:space="preserve"> 30 June 2023, the vast majority (close to 90 per cent) of PESES executives are employed using the standard contract.</w:t>
      </w:r>
      <w:r>
        <w:rPr>
          <w:rStyle w:val="FootnoteReference"/>
        </w:rPr>
        <w:footnoteReference w:id="129"/>
      </w:r>
      <w:r>
        <w:t xml:space="preserve"> </w:t>
      </w:r>
    </w:p>
    <w:p w14:paraId="78457219" w14:textId="77777777" w:rsidR="003F26DA" w:rsidRDefault="003F26DA">
      <w:pPr>
        <w:pStyle w:val="05Paragraph"/>
      </w:pPr>
      <w:r>
        <w:t>The VPSC has also developed a standard contract for VPS executives. Use of that contract is mandatory for SES executives.</w:t>
      </w:r>
      <w:r>
        <w:rPr>
          <w:rStyle w:val="FootnoteReference"/>
        </w:rPr>
        <w:footnoteReference w:id="130"/>
      </w:r>
      <w:r>
        <w:t xml:space="preserve"> </w:t>
      </w:r>
    </w:p>
    <w:p w14:paraId="1B372A56" w14:textId="55CD25C0" w:rsidR="003F26DA" w:rsidRDefault="003F26DA">
      <w:pPr>
        <w:pStyle w:val="05Paragraph"/>
      </w:pPr>
      <w:r>
        <w:t>As the PESES standard contract is not mandatory, employers have greater discretion in setting employment terms and conditions for individual executives, for example</w:t>
      </w:r>
      <w:r w:rsidR="006E0DBE">
        <w:t>,</w:t>
      </w:r>
      <w:r>
        <w:t xml:space="preserve"> in relation to leave entitlements.</w:t>
      </w:r>
    </w:p>
    <w:p w14:paraId="2E5FE575" w14:textId="083572AB" w:rsidR="003F26DA" w:rsidRDefault="003F26DA">
      <w:pPr>
        <w:pStyle w:val="05Paragraph"/>
      </w:pPr>
      <w:r>
        <w:t xml:space="preserve">In a </w:t>
      </w:r>
      <w:r w:rsidR="005B445E">
        <w:t xml:space="preserve">2018 </w:t>
      </w:r>
      <w:r>
        <w:t>review, the VPSC found</w:t>
      </w:r>
      <w:r w:rsidDel="00A66019">
        <w:t xml:space="preserve"> </w:t>
      </w:r>
      <w:r>
        <w:t>little evidence linking bonuses to higher performance and recommended phasing them out.</w:t>
      </w:r>
      <w:r>
        <w:rPr>
          <w:rStyle w:val="FootnoteReference"/>
        </w:rPr>
        <w:footnoteReference w:id="131"/>
      </w:r>
      <w:r>
        <w:t xml:space="preserve"> This recommendation was </w:t>
      </w:r>
      <w:r>
        <w:lastRenderedPageBreak/>
        <w:t>accepted by the Victorian Government and implemented in 2020 via the PEER Policy. An exemption was provided for a limited number of investment</w:t>
      </w:r>
      <w:r w:rsidR="00D83C7A">
        <w:t>-</w:t>
      </w:r>
      <w:r>
        <w:t>related roles in the VFMC and TCV, which continue to be eligible for bonuses.</w:t>
      </w:r>
      <w:r>
        <w:rPr>
          <w:rStyle w:val="FootnoteReference"/>
        </w:rPr>
        <w:footnoteReference w:id="132"/>
      </w:r>
      <w:r>
        <w:t xml:space="preserve"> </w:t>
      </w:r>
    </w:p>
    <w:p w14:paraId="2FF28688" w14:textId="77777777" w:rsidR="003F26DA" w:rsidRDefault="003F26DA">
      <w:pPr>
        <w:pStyle w:val="05Paragraph"/>
      </w:pPr>
      <w:r>
        <w:t>Public entities were required to offer to buy</w:t>
      </w:r>
      <w:r>
        <w:noBreakHyphen/>
        <w:t>out bonus opportunities from existing executive contracts. From 4 February 2020, public entities are prohibited from including bonuses in new executive contracts. As executive contracts may be no longer than five years in duration, bonus opportunities should be fully phased out by 5 February 2025.</w:t>
      </w:r>
      <w:r>
        <w:rPr>
          <w:rStyle w:val="FootnoteReference"/>
        </w:rPr>
        <w:footnoteReference w:id="133"/>
      </w:r>
      <w:r>
        <w:t xml:space="preserve"> </w:t>
      </w:r>
      <w:r w:rsidRPr="00712C3D">
        <w:t xml:space="preserve">As </w:t>
      </w:r>
      <w:proofErr w:type="gramStart"/>
      <w:r w:rsidRPr="00712C3D">
        <w:t>at</w:t>
      </w:r>
      <w:proofErr w:type="gramEnd"/>
      <w:r w:rsidRPr="00712C3D">
        <w:t xml:space="preserve"> 30 June 2023, 30 executive roles outside of the VFMC and TCV still have a bon</w:t>
      </w:r>
      <w:r>
        <w:t>us opportunity.</w:t>
      </w:r>
      <w:r>
        <w:rPr>
          <w:rStyle w:val="FootnoteReference"/>
        </w:rPr>
        <w:footnoteReference w:id="134"/>
      </w:r>
    </w:p>
    <w:p w14:paraId="061FDEC2" w14:textId="33EB1F69" w:rsidR="003F26DA" w:rsidRDefault="003F26DA">
      <w:pPr>
        <w:pStyle w:val="03VIRTHeading3"/>
      </w:pPr>
      <w:r w:rsidRPr="003E01C8">
        <w:t>SES executives</w:t>
      </w:r>
      <w:r w:rsidR="00D83C7A">
        <w:t xml:space="preserve"> have a right of return</w:t>
      </w:r>
    </w:p>
    <w:p w14:paraId="0FB179AB" w14:textId="210F4503" w:rsidR="003F26DA" w:rsidRDefault="003F26DA">
      <w:pPr>
        <w:pStyle w:val="05Paragraph"/>
      </w:pPr>
      <w:r>
        <w:t>Under the PAA, SES executives are entitled to a ‘right of return’</w:t>
      </w:r>
      <w:r w:rsidR="00D83C7A">
        <w:t xml:space="preserve"> in certain circumstances</w:t>
      </w:r>
      <w:r>
        <w:t xml:space="preserve">. If the ‘right of return’ provision is exercised, the executive is entitled to be employed in the highest classification of </w:t>
      </w:r>
      <w:r w:rsidR="00055352">
        <w:t xml:space="preserve">a </w:t>
      </w:r>
      <w:r>
        <w:t>non</w:t>
      </w:r>
      <w:r>
        <w:noBreakHyphen/>
        <w:t>executive role,</w:t>
      </w:r>
      <w:r>
        <w:rPr>
          <w:rStyle w:val="FootnoteReference"/>
        </w:rPr>
        <w:footnoteReference w:id="135"/>
      </w:r>
      <w:r>
        <w:t xml:space="preserve"> currently the VPS Grade 7 Senior Technical Specialist classification.</w:t>
      </w:r>
    </w:p>
    <w:p w14:paraId="269549A6" w14:textId="77777777" w:rsidR="003F26DA" w:rsidRDefault="003F26DA">
      <w:pPr>
        <w:pStyle w:val="05Paragraph"/>
      </w:pPr>
      <w:r>
        <w:t>The right of return is available where an executive’s contract is terminated for reasons other than misconduct, or the contract has expired, provided that:</w:t>
      </w:r>
      <w:r>
        <w:rPr>
          <w:rStyle w:val="FootnoteReference"/>
        </w:rPr>
        <w:footnoteReference w:id="136"/>
      </w:r>
    </w:p>
    <w:p w14:paraId="48372571" w14:textId="77777777" w:rsidR="003F26DA" w:rsidRDefault="003F26DA" w:rsidP="003F26DA">
      <w:pPr>
        <w:pStyle w:val="06VIRTBulletpoints"/>
        <w:ind w:left="357" w:hanging="357"/>
      </w:pPr>
      <w:r>
        <w:t>the executive was employed as a non-executive VPS employee immediately prior to becoming an executive</w:t>
      </w:r>
    </w:p>
    <w:p w14:paraId="06A44C7A" w14:textId="77777777" w:rsidR="003F26DA" w:rsidRDefault="003F26DA" w:rsidP="003F26DA">
      <w:pPr>
        <w:pStyle w:val="06VIRTBulletpoints"/>
        <w:ind w:left="357" w:hanging="357"/>
      </w:pPr>
      <w:r>
        <w:t>the executive has been continuously employed as an executive ever since.</w:t>
      </w:r>
    </w:p>
    <w:p w14:paraId="6816916D" w14:textId="77777777" w:rsidR="003F26DA" w:rsidRPr="00452DD4" w:rsidRDefault="003F26DA">
      <w:pPr>
        <w:pStyle w:val="05Paragraph"/>
      </w:pPr>
      <w:r>
        <w:t xml:space="preserve">There is no equivalent legislative provision for PESES executives. </w:t>
      </w:r>
    </w:p>
    <w:p w14:paraId="44D5E9C6" w14:textId="77777777" w:rsidR="003F26DA" w:rsidRDefault="003F26DA">
      <w:pPr>
        <w:pStyle w:val="02VIRTHeading2"/>
      </w:pPr>
      <w:bookmarkStart w:id="60" w:name="_Toc185012368"/>
      <w:r>
        <w:t>4.2</w:t>
      </w:r>
      <w:r>
        <w:tab/>
        <w:t>The Tribunal sets the value of the executive remuneration bands</w:t>
      </w:r>
      <w:bookmarkEnd w:id="60"/>
    </w:p>
    <w:p w14:paraId="5D762F56" w14:textId="77777777" w:rsidR="003F26DA" w:rsidRDefault="003F26DA">
      <w:pPr>
        <w:pStyle w:val="05Paragraph"/>
      </w:pPr>
      <w:r>
        <w:t xml:space="preserve">The PEER Policy states that public entities must ensure that the remuneration of each executive is within the relevant remuneration band set by the Tribunal. The remuneration of an executive may exceed the maximum of the relevant remuneration band only if the employer has obtained and considered the </w:t>
      </w:r>
      <w:r>
        <w:lastRenderedPageBreak/>
        <w:t>Tribunal’s advice on the proposed remuneration.</w:t>
      </w:r>
      <w:r>
        <w:rPr>
          <w:rStyle w:val="FootnoteReference"/>
        </w:rPr>
        <w:footnoteReference w:id="137"/>
      </w:r>
      <w:r>
        <w:t xml:space="preserve"> The employer is not bound to accept the Tribunal’s advice.</w:t>
      </w:r>
    </w:p>
    <w:p w14:paraId="1A02F15A" w14:textId="77777777" w:rsidR="003F26DA" w:rsidRDefault="003F26DA">
      <w:pPr>
        <w:pStyle w:val="03VIRTHeading3"/>
      </w:pPr>
      <w:r>
        <w:t xml:space="preserve">The remuneration bands are expressed in terms of a TRP </w:t>
      </w:r>
    </w:p>
    <w:p w14:paraId="7DF1CDE0" w14:textId="77777777" w:rsidR="003F26DA" w:rsidRDefault="003F26DA">
      <w:pPr>
        <w:pStyle w:val="05Paragraph"/>
      </w:pPr>
      <w:r>
        <w:t>The PEER Policy and VPS Handbook explain that for both PESES and SES executives, TRP consists of:</w:t>
      </w:r>
      <w:r>
        <w:rPr>
          <w:rStyle w:val="FootnoteReference"/>
        </w:rPr>
        <w:footnoteReference w:id="138"/>
      </w:r>
    </w:p>
    <w:p w14:paraId="407415D1" w14:textId="77777777" w:rsidR="003F26DA" w:rsidRDefault="003F26DA" w:rsidP="003F26DA">
      <w:pPr>
        <w:pStyle w:val="06VIRTBulletpoints"/>
        <w:ind w:left="357" w:hanging="357"/>
      </w:pPr>
      <w:r w:rsidRPr="0015212C">
        <w:t>base salary</w:t>
      </w:r>
    </w:p>
    <w:p w14:paraId="4075CE1D" w14:textId="77777777" w:rsidR="003F26DA" w:rsidRDefault="003F26DA" w:rsidP="003F26DA">
      <w:pPr>
        <w:pStyle w:val="06VIRTBulletpoints"/>
        <w:ind w:left="357" w:hanging="357"/>
      </w:pPr>
      <w:r w:rsidRPr="0015212C">
        <w:t xml:space="preserve">superannuation contributions </w:t>
      </w:r>
    </w:p>
    <w:p w14:paraId="02710A8D" w14:textId="77777777" w:rsidR="003F26DA" w:rsidRDefault="003F26DA" w:rsidP="003F26DA">
      <w:pPr>
        <w:pStyle w:val="06VIRTBulletpoints"/>
        <w:ind w:left="357" w:hanging="357"/>
      </w:pPr>
      <w:r w:rsidRPr="0015212C">
        <w:t xml:space="preserve">employment benefits (i.e. non-salary) </w:t>
      </w:r>
    </w:p>
    <w:p w14:paraId="45AE78CC" w14:textId="77777777" w:rsidR="003F26DA" w:rsidRDefault="003F26DA" w:rsidP="003F26DA">
      <w:pPr>
        <w:pStyle w:val="06VIRTBulletpoints"/>
        <w:ind w:left="357" w:hanging="357"/>
      </w:pPr>
      <w:r w:rsidRPr="0015212C">
        <w:t>the annual cost to the employer of providing the non-monetary benefits, including any fringe benefits tax payable</w:t>
      </w:r>
      <w:r>
        <w:t>.</w:t>
      </w:r>
    </w:p>
    <w:p w14:paraId="515CFF14" w14:textId="77777777" w:rsidR="003F26DA" w:rsidRDefault="003F26DA">
      <w:pPr>
        <w:pStyle w:val="05Paragraph"/>
      </w:pPr>
      <w:r>
        <w:t xml:space="preserve">Each of these TRP components must be </w:t>
      </w:r>
      <w:proofErr w:type="gramStart"/>
      <w:r>
        <w:t>taken into account</w:t>
      </w:r>
      <w:proofErr w:type="gramEnd"/>
      <w:r>
        <w:t xml:space="preserve"> for the purpose of determining whether an executive’s remuneration falls within the relevant band set by the Tribunal.</w:t>
      </w:r>
    </w:p>
    <w:p w14:paraId="77B2925B" w14:textId="77777777" w:rsidR="003F26DA" w:rsidRDefault="003F26DA">
      <w:pPr>
        <w:pStyle w:val="05Paragraph"/>
      </w:pPr>
      <w:r>
        <w:t>The PE Handbook and VPS Handbook explain that executives may choose to include non-salary benefits in their TRP as part of a salary sacrifice arrangement, such as the executive vehicle scheme, a novated leasing arrangement or their employer’s health insurance scheme.</w:t>
      </w:r>
      <w:r>
        <w:rPr>
          <w:rStyle w:val="FootnoteReference"/>
        </w:rPr>
        <w:footnoteReference w:id="139"/>
      </w:r>
    </w:p>
    <w:p w14:paraId="18A5A313" w14:textId="77777777" w:rsidR="003F26DA" w:rsidRDefault="003F26DA">
      <w:pPr>
        <w:pStyle w:val="05Paragraph"/>
      </w:pPr>
      <w:r>
        <w:t xml:space="preserve">Public entities are required to make superannuation contributions for executives in line with the </w:t>
      </w:r>
      <w:r w:rsidRPr="005C37CD">
        <w:rPr>
          <w:i/>
          <w:iCs/>
        </w:rPr>
        <w:t>Superannuation Guarantee (Administration</w:t>
      </w:r>
      <w:r>
        <w:rPr>
          <w:i/>
          <w:iCs/>
        </w:rPr>
        <w:t>)</w:t>
      </w:r>
      <w:r w:rsidRPr="005C37CD">
        <w:rPr>
          <w:i/>
          <w:iCs/>
        </w:rPr>
        <w:t xml:space="preserve"> Act 1992</w:t>
      </w:r>
      <w:r>
        <w:t xml:space="preserve"> (</w:t>
      </w:r>
      <w:proofErr w:type="spellStart"/>
      <w:r>
        <w:t>Cth</w:t>
      </w:r>
      <w:proofErr w:type="spellEnd"/>
      <w:r>
        <w:t>).</w:t>
      </w:r>
      <w:r>
        <w:rPr>
          <w:rStyle w:val="FootnoteReference"/>
        </w:rPr>
        <w:footnoteReference w:id="140"/>
      </w:r>
      <w:r>
        <w:t xml:space="preserve"> Public entities may pay higher superannuation contributions than required under Commonwealth law, for example as part of a salary sacrifice arrangement requested by an executive, under the terms of the executive’s employment contract or as part of the entity’s remuneration policy.</w:t>
      </w:r>
    </w:p>
    <w:p w14:paraId="256DC6AD" w14:textId="4AA67C38" w:rsidR="003F26DA" w:rsidRPr="00EF50E7" w:rsidRDefault="003F26DA">
      <w:pPr>
        <w:pStyle w:val="05Paragraph"/>
      </w:pPr>
      <w:r>
        <w:t>Some executives are members of public sector defined benefit superannuation schemes. Most of these schemes are closed to new members — the exception is the Emergency Services Superannuation Scheme, which is only open to operational emergency services workers. These schemes are established by legislation and have prescribed levels of employer and employee contributions.</w:t>
      </w:r>
      <w:r>
        <w:rPr>
          <w:rStyle w:val="FootnoteReference"/>
        </w:rPr>
        <w:footnoteReference w:id="141"/>
      </w:r>
      <w:r>
        <w:t xml:space="preserve"> </w:t>
      </w:r>
      <w:r w:rsidR="00943BD9">
        <w:t xml:space="preserve"> </w:t>
      </w:r>
    </w:p>
    <w:p w14:paraId="7F6BAC37" w14:textId="77777777" w:rsidR="003F26DA" w:rsidRDefault="003F26DA">
      <w:pPr>
        <w:pStyle w:val="03VIRTHeading3"/>
      </w:pPr>
      <w:r>
        <w:lastRenderedPageBreak/>
        <w:t>Most executives are paid within the relevant band</w:t>
      </w:r>
    </w:p>
    <w:p w14:paraId="60BAC439" w14:textId="77777777" w:rsidR="003F26DA" w:rsidRDefault="003F26DA">
      <w:pPr>
        <w:pStyle w:val="05Paragraph"/>
      </w:pPr>
      <w:r>
        <w:t xml:space="preserve">The </w:t>
      </w:r>
      <w:r w:rsidRPr="00886C27">
        <w:t>2020 PE Determination</w:t>
      </w:r>
      <w:r>
        <w:t xml:space="preserve"> established a single, unified remuneration framework for all PESES executives. The Tribunal created three distinct and contiguous remuneration bands aligned with the executive classification structure under the PEECF.</w:t>
      </w:r>
    </w:p>
    <w:p w14:paraId="78069D7D" w14:textId="5F384FDB" w:rsidR="003F26DA" w:rsidRDefault="003F26DA">
      <w:pPr>
        <w:pStyle w:val="05Paragraph"/>
      </w:pPr>
      <w:r>
        <w:t>The Tribunal decided to broadly align the value</w:t>
      </w:r>
      <w:r w:rsidR="00325CD2">
        <w:t>s</w:t>
      </w:r>
      <w:r>
        <w:t xml:space="preserve"> of the remuneration bands for PESES executives with the values of the SES remuneration bands for executives employed in public service bodies. The key exception was that the PESES-1 band was split into two portions, with the lower portion reserved for </w:t>
      </w:r>
      <w:r w:rsidRPr="00871C2B">
        <w:t>CEOs</w:t>
      </w:r>
      <w:r>
        <w:t xml:space="preserve"> of some small public entities and the higher portion aligned to the SES-1 band. That provide</w:t>
      </w:r>
      <w:r w:rsidR="00325CD2">
        <w:t>d</w:t>
      </w:r>
      <w:r>
        <w:t xml:space="preserve"> smaller public entities, in particular entities that employ</w:t>
      </w:r>
      <w:r w:rsidR="009678AF">
        <w:t>ed</w:t>
      </w:r>
      <w:r>
        <w:t xml:space="preserve"> a single executive, with an appropriate degree of flexibility to set their CEO’s remuneration. </w:t>
      </w:r>
      <w:r w:rsidRPr="00712C3D">
        <w:t>According to the VPSC’s data, as of 30 June 2023, four CEOs were paid in the lower portion of the band.</w:t>
      </w:r>
      <w:r>
        <w:t xml:space="preserve"> </w:t>
      </w:r>
    </w:p>
    <w:p w14:paraId="30D4BBFF" w14:textId="4E063562" w:rsidR="003F26DA" w:rsidRDefault="003F26DA">
      <w:pPr>
        <w:pStyle w:val="05Paragraph"/>
      </w:pPr>
      <w:r>
        <w:t xml:space="preserve">The </w:t>
      </w:r>
      <w:r w:rsidRPr="00886C27">
        <w:t>2020 PE Determination</w:t>
      </w:r>
      <w:r>
        <w:t xml:space="preserve"> also set the remuneration bands for SES executives employed in public entities. The Tribunal noted that, as a matter of convention, that group of executives had been remunerated in accordance with the remuneration bands that appl</w:t>
      </w:r>
      <w:r w:rsidR="009678AF">
        <w:t>ied</w:t>
      </w:r>
      <w:r>
        <w:t xml:space="preserve"> to executives employed in public service bodies. The Tribunal chose to retain that practice when it made its </w:t>
      </w:r>
      <w:r w:rsidRPr="00886C27">
        <w:t>2020 PE Determination</w:t>
      </w:r>
      <w:r>
        <w:t xml:space="preserve">. </w:t>
      </w:r>
      <w:r w:rsidR="009678AF">
        <w:t>I</w:t>
      </w:r>
      <w:r>
        <w:t>t specified that the relevant remuneration band for an SES executive in a public entity correspond</w:t>
      </w:r>
      <w:r w:rsidR="005C1404">
        <w:t>ed</w:t>
      </w:r>
      <w:r>
        <w:t xml:space="preserve"> to that </w:t>
      </w:r>
      <w:r w:rsidR="00331370">
        <w:t>for</w:t>
      </w:r>
      <w:r>
        <w:t xml:space="preserve"> an </w:t>
      </w:r>
      <w:r w:rsidR="00331370">
        <w:t xml:space="preserve">SES </w:t>
      </w:r>
      <w:r>
        <w:t xml:space="preserve">executive </w:t>
      </w:r>
      <w:r w:rsidR="00331370">
        <w:t xml:space="preserve">in </w:t>
      </w:r>
      <w:r>
        <w:t xml:space="preserve">the latest </w:t>
      </w:r>
      <w:r w:rsidR="00331370">
        <w:t xml:space="preserve">VPS </w:t>
      </w:r>
      <w:r>
        <w:t>Determination.</w:t>
      </w:r>
      <w:r>
        <w:rPr>
          <w:rStyle w:val="FootnoteReference"/>
        </w:rPr>
        <w:footnoteReference w:id="142"/>
      </w:r>
    </w:p>
    <w:p w14:paraId="6C3CFB94" w14:textId="77777777" w:rsidR="003F26DA" w:rsidRDefault="003F26DA">
      <w:pPr>
        <w:pStyle w:val="05Paragraph"/>
      </w:pPr>
      <w:r>
        <w:t xml:space="preserve">In accordance with legislative requirements, the Tribunal made Determinations in 2021, 2022 and 2023 providing for annual adjustments to the values of the remuneration bands set in the </w:t>
      </w:r>
      <w:r w:rsidRPr="00886C27">
        <w:t>2020 PE Determination</w:t>
      </w:r>
      <w:r>
        <w:t xml:space="preserve">. The Tribunal’s annual adjustment Determinations have maintained the broad alignment of the PESES and SES remuneration bands. However, the bands have not been aligned since 1 July 2024, </w:t>
      </w:r>
      <w:proofErr w:type="gramStart"/>
      <w:r>
        <w:t>as a result of</w:t>
      </w:r>
      <w:proofErr w:type="gramEnd"/>
      <w:r>
        <w:t xml:space="preserve"> changes to the SES bands made by the Tribunal in its </w:t>
      </w:r>
      <w:r w:rsidRPr="00886C27">
        <w:t>2024 VPS Determination</w:t>
      </w:r>
      <w:r w:rsidRPr="006E5285">
        <w:t>.</w:t>
      </w:r>
      <w:r>
        <w:t xml:space="preserve"> The values of the PESES and SES bands before making the 2024 PE Determination are shown in Figure 4.1. </w:t>
      </w:r>
    </w:p>
    <w:p w14:paraId="7A8C43B7" w14:textId="77777777" w:rsidR="003F26DA" w:rsidRPr="00037A37" w:rsidRDefault="003F26DA">
      <w:pPr>
        <w:pStyle w:val="Figureheading"/>
      </w:pPr>
      <w:r>
        <w:lastRenderedPageBreak/>
        <w:t>Fi</w:t>
      </w:r>
      <w:r w:rsidRPr="00037A37">
        <w:t xml:space="preserve">gure </w:t>
      </w:r>
      <w:r>
        <w:t>4</w:t>
      </w:r>
      <w:r w:rsidRPr="00037A37">
        <w:t>.</w:t>
      </w:r>
      <w:r>
        <w:t>1</w:t>
      </w:r>
      <w:r w:rsidRPr="00037A37">
        <w:t xml:space="preserve">: Values of the </w:t>
      </w:r>
      <w:r>
        <w:t xml:space="preserve">PESES and SES </w:t>
      </w:r>
      <w:r w:rsidRPr="00037A37">
        <w:t>executive remuneration bands</w:t>
      </w:r>
      <w:r>
        <w:t>, from</w:t>
      </w:r>
      <w:r w:rsidRPr="00037A37">
        <w:t xml:space="preserve"> 1 July 202</w:t>
      </w:r>
      <w:r>
        <w:t>4</w:t>
      </w:r>
    </w:p>
    <w:p w14:paraId="720EB37F" w14:textId="510917D4" w:rsidR="003F26DA" w:rsidRDefault="00A03C63">
      <w:pPr>
        <w:keepNext/>
        <w:rPr>
          <w:rStyle w:val="NotesfortablesfiguresChar"/>
        </w:rPr>
      </w:pPr>
      <w:r>
        <w:rPr>
          <w:rStyle w:val="NotesfortablesfiguresChar"/>
          <w:noProof/>
        </w:rPr>
        <w:drawing>
          <wp:inline distT="0" distB="0" distL="0" distR="0" wp14:anchorId="66AD1B60" wp14:editId="6E9E8A46">
            <wp:extent cx="5608955" cy="3520440"/>
            <wp:effectExtent l="0" t="0" r="0" b="3810"/>
            <wp:docPr id="1004451610" name="Picture 33" descr="A chart showing the values of the PESES and SES bands from 1 Jul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1610" name="Picture 33" descr="A chart showing the values of the PESES and SES bands from 1 July 2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955" cy="3520440"/>
                    </a:xfrm>
                    <a:prstGeom prst="rect">
                      <a:avLst/>
                    </a:prstGeom>
                    <a:noFill/>
                  </pic:spPr>
                </pic:pic>
              </a:graphicData>
            </a:graphic>
          </wp:inline>
        </w:drawing>
      </w:r>
    </w:p>
    <w:p w14:paraId="3908FE42" w14:textId="2DC007AC" w:rsidR="003F26DA" w:rsidRPr="00600F97" w:rsidRDefault="003F26DA">
      <w:pPr>
        <w:pStyle w:val="Notesfortablesfigures"/>
        <w:rPr>
          <w:spacing w:val="-4"/>
        </w:rPr>
      </w:pPr>
      <w:r w:rsidRPr="00600F97">
        <w:rPr>
          <w:spacing w:val="-4"/>
        </w:rPr>
        <w:t xml:space="preserve">Note: (a) The </w:t>
      </w:r>
      <w:r w:rsidR="00600F97" w:rsidRPr="00600F97">
        <w:rPr>
          <w:spacing w:val="-4"/>
        </w:rPr>
        <w:t>lighter</w:t>
      </w:r>
      <w:r w:rsidR="004E3A0C" w:rsidRPr="00600F97">
        <w:rPr>
          <w:spacing w:val="-4"/>
        </w:rPr>
        <w:t xml:space="preserve"> </w:t>
      </w:r>
      <w:r w:rsidRPr="00600F97">
        <w:rPr>
          <w:spacing w:val="-4"/>
        </w:rPr>
        <w:t>portion of the PESES-1 band ($151,134 to $216,375) is reserved for CEOs with a work value under 21.</w:t>
      </w:r>
    </w:p>
    <w:p w14:paraId="290EEBD7" w14:textId="33843D71" w:rsidR="003F26DA" w:rsidRDefault="003F26DA" w:rsidP="00B76B9A">
      <w:pPr>
        <w:pStyle w:val="09Sourcesandnotesfortablesfiguresboxes"/>
        <w:rPr>
          <w:rStyle w:val="NotesfortablesfiguresChar"/>
        </w:rPr>
      </w:pPr>
      <w:r w:rsidRPr="00D069F7">
        <w:rPr>
          <w:rStyle w:val="NotesfortablesfiguresChar"/>
        </w:rPr>
        <w:t>Source</w:t>
      </w:r>
      <w:r w:rsidR="005024B3">
        <w:rPr>
          <w:rStyle w:val="NotesfortablesfiguresChar"/>
        </w:rPr>
        <w:t>s</w:t>
      </w:r>
      <w:r w:rsidRPr="00D069F7">
        <w:rPr>
          <w:rStyle w:val="NotesfortablesfiguresChar"/>
        </w:rPr>
        <w:t xml:space="preserve">: </w:t>
      </w:r>
      <w:r w:rsidR="003B3D19">
        <w:rPr>
          <w:rStyle w:val="NotesfortablesfiguresChar"/>
        </w:rPr>
        <w:t>Tribunal</w:t>
      </w:r>
      <w:r w:rsidRPr="00D069F7">
        <w:rPr>
          <w:rStyle w:val="NotesfortablesfiguresChar"/>
        </w:rPr>
        <w:t xml:space="preserve"> </w:t>
      </w:r>
      <w:r w:rsidR="003B3D19">
        <w:rPr>
          <w:rStyle w:val="NotesfortablesfiguresChar"/>
        </w:rPr>
        <w:t xml:space="preserve">(2023), </w:t>
      </w:r>
      <w:r w:rsidRPr="00D069F7">
        <w:rPr>
          <w:rStyle w:val="NotesfortablesfiguresChar"/>
        </w:rPr>
        <w:t>(202</w:t>
      </w:r>
      <w:r>
        <w:rPr>
          <w:rStyle w:val="NotesfortablesfiguresChar"/>
        </w:rPr>
        <w:t>4</w:t>
      </w:r>
      <w:r w:rsidRPr="00D069F7">
        <w:rPr>
          <w:rStyle w:val="NotesfortablesfiguresChar"/>
        </w:rPr>
        <w:t>).</w:t>
      </w:r>
    </w:p>
    <w:p w14:paraId="3C7A63FC" w14:textId="77777777" w:rsidR="003F26DA" w:rsidRDefault="003F26DA">
      <w:pPr>
        <w:pStyle w:val="03VIRTHeading3"/>
      </w:pPr>
      <w:r>
        <w:t>Executives may be paid above the relevant remuneration band</w:t>
      </w:r>
    </w:p>
    <w:p w14:paraId="3E5A7BF6" w14:textId="77777777" w:rsidR="003F26DA" w:rsidRDefault="003F26DA">
      <w:pPr>
        <w:pStyle w:val="05Paragraph"/>
      </w:pPr>
      <w:r>
        <w:t>Under the PEER Policy and VIRTIPS Act, a public entity may only pay an executive above the relevant remuneration band if they request and consider the Tribunal’s advice on the proposal. Advice must be sought in the case of mid</w:t>
      </w:r>
      <w:r>
        <w:noBreakHyphen/>
        <w:t>contract remuneration adjustments, reappointments, new appointments and temporary appointments.</w:t>
      </w:r>
      <w:r>
        <w:rPr>
          <w:rStyle w:val="FootnoteReference"/>
        </w:rPr>
        <w:footnoteReference w:id="143"/>
      </w:r>
    </w:p>
    <w:p w14:paraId="305255CC" w14:textId="77777777" w:rsidR="003F26DA" w:rsidRDefault="003F26DA">
      <w:pPr>
        <w:pStyle w:val="05Paragraph"/>
      </w:pPr>
      <w:r>
        <w:t xml:space="preserve">Since the </w:t>
      </w:r>
      <w:r w:rsidRPr="00CE6747">
        <w:t>2020 PE Determination</w:t>
      </w:r>
      <w:r>
        <w:t xml:space="preserve"> first set the remuneration bands for executives in public entities, the </w:t>
      </w:r>
      <w:r w:rsidRPr="00CE6747">
        <w:t>Tribunal</w:t>
      </w:r>
      <w:r>
        <w:t xml:space="preserve"> has received approximately 70 requests for advice. Around a third of the requests have come from the VFMC</w:t>
      </w:r>
      <w:r w:rsidRPr="00CE6747">
        <w:t xml:space="preserve"> (</w:t>
      </w:r>
      <w:r>
        <w:t>Figure 4.2).</w:t>
      </w:r>
    </w:p>
    <w:p w14:paraId="61B24D3F" w14:textId="5990EB18" w:rsidR="003F26DA" w:rsidRDefault="003F26DA" w:rsidP="000F0B65">
      <w:pPr>
        <w:pStyle w:val="08Figuretableboxheading"/>
      </w:pPr>
      <w:r>
        <w:lastRenderedPageBreak/>
        <w:t>Figure 4.2: Requests for Tribunal advice, public entity executives</w:t>
      </w:r>
      <w:r w:rsidR="000C63AF">
        <w:t>, 2020-21 to 2024-25</w:t>
      </w:r>
    </w:p>
    <w:p w14:paraId="075C0F25" w14:textId="6F8BA159" w:rsidR="00D75A17" w:rsidRDefault="005D7B0E">
      <w:pPr>
        <w:pStyle w:val="09Sourcesandnotesfortablesfiguresboxes"/>
      </w:pPr>
      <w:r>
        <w:rPr>
          <w:noProof/>
        </w:rPr>
        <w:drawing>
          <wp:inline distT="0" distB="0" distL="0" distR="0" wp14:anchorId="1D1D8BBF" wp14:editId="6061700F">
            <wp:extent cx="5328285" cy="2792095"/>
            <wp:effectExtent l="0" t="0" r="5715" b="8255"/>
            <wp:docPr id="456708485" name="Picture 4" descr="A column chart showing the number of requests for advice each year since 2020-21, broken down into requests from the VFMC and requests from other public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08485" name="Picture 4" descr="A column chart showing the number of requests for advice each year since 2020-21, broken down into requests from the VFMC and requests from other public entit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8285" cy="2792095"/>
                    </a:xfrm>
                    <a:prstGeom prst="rect">
                      <a:avLst/>
                    </a:prstGeom>
                    <a:noFill/>
                  </pic:spPr>
                </pic:pic>
              </a:graphicData>
            </a:graphic>
          </wp:inline>
        </w:drawing>
      </w:r>
    </w:p>
    <w:p w14:paraId="0F09063C" w14:textId="72E6A7ED" w:rsidR="003F26DA" w:rsidRDefault="003F26DA">
      <w:pPr>
        <w:pStyle w:val="09Sourcesandnotesfortablesfiguresboxes"/>
      </w:pPr>
      <w:r>
        <w:t>Notes: Data for 2024-25 inc</w:t>
      </w:r>
      <w:r w:rsidRPr="004D6B32">
        <w:t>luded up to 30 November 2024. Inc</w:t>
      </w:r>
      <w:r>
        <w:t>ludes requests for advice for new appointments, re</w:t>
      </w:r>
      <w:r w:rsidR="00AD4887">
        <w:noBreakHyphen/>
      </w:r>
      <w:r>
        <w:t>appointments and mid-contract adjustments. The Suburban Rail Loop Authority became a public entity in December 2021 and is included in the data for part of 2021-22 and subsequent financial years.</w:t>
      </w:r>
    </w:p>
    <w:p w14:paraId="6840D528" w14:textId="77777777" w:rsidR="003F26DA" w:rsidRDefault="003F26DA">
      <w:pPr>
        <w:pStyle w:val="09Sourcesandnotesfortablesfiguresboxes"/>
        <w:tabs>
          <w:tab w:val="left" w:pos="2685"/>
        </w:tabs>
      </w:pPr>
      <w:r>
        <w:t>So</w:t>
      </w:r>
      <w:r w:rsidRPr="004C409B">
        <w:t>urce: Tribunal data.</w:t>
      </w:r>
    </w:p>
    <w:p w14:paraId="61B2B198" w14:textId="77777777" w:rsidR="003F26DA" w:rsidRPr="003E01C8" w:rsidRDefault="003F26DA">
      <w:pPr>
        <w:pStyle w:val="05Paragraph"/>
      </w:pPr>
      <w:r w:rsidRPr="003E01C8">
        <w:t xml:space="preserve">Table 4.3 shows the percentage of executives paid above the band in public entities as </w:t>
      </w:r>
      <w:proofErr w:type="gramStart"/>
      <w:r w:rsidRPr="003E01C8">
        <w:t>at</w:t>
      </w:r>
      <w:proofErr w:type="gramEnd"/>
      <w:r w:rsidRPr="003E01C8">
        <w:t xml:space="preserve"> 30 June 2023, based on the VPSC’s </w:t>
      </w:r>
      <w:r>
        <w:t xml:space="preserve">executive </w:t>
      </w:r>
      <w:r w:rsidRPr="003E01C8">
        <w:t xml:space="preserve">workforce data. </w:t>
      </w:r>
      <w:r>
        <w:t>The Tribunal’s analysis indicates that a</w:t>
      </w:r>
      <w:r w:rsidRPr="003E01C8">
        <w:t xml:space="preserve"> greater proportion of PESES</w:t>
      </w:r>
      <w:r w:rsidRPr="003E01C8">
        <w:noBreakHyphen/>
        <w:t>1/SES-1 and PESES</w:t>
      </w:r>
      <w:r w:rsidRPr="003E01C8">
        <w:noBreakHyphen/>
        <w:t>3/SES-3 executives in public entities are paid above the band than in public service bodies.</w:t>
      </w:r>
      <w:r>
        <w:rPr>
          <w:rStyle w:val="FootnoteReference"/>
        </w:rPr>
        <w:footnoteReference w:id="144"/>
      </w:r>
      <w:r w:rsidRPr="003E01C8">
        <w:t xml:space="preserve"> </w:t>
      </w:r>
    </w:p>
    <w:p w14:paraId="1F53FC99" w14:textId="396CE00F" w:rsidR="003F26DA" w:rsidRDefault="003F26DA" w:rsidP="00B04D43">
      <w:pPr>
        <w:pStyle w:val="08Figuretableboxheading"/>
      </w:pPr>
      <w:r w:rsidRPr="003E01C8">
        <w:t xml:space="preserve">Table 4.3: </w:t>
      </w:r>
      <w:r>
        <w:t>Public entity e</w:t>
      </w:r>
      <w:r w:rsidRPr="003E01C8">
        <w:t xml:space="preserve">xecutives paid above the band, </w:t>
      </w:r>
      <w:r w:rsidR="00F52305">
        <w:t xml:space="preserve">as </w:t>
      </w:r>
      <w:proofErr w:type="gramStart"/>
      <w:r w:rsidR="00F52305">
        <w:t>at</w:t>
      </w:r>
      <w:proofErr w:type="gramEnd"/>
      <w:r w:rsidR="00F52305">
        <w:t xml:space="preserve"> </w:t>
      </w:r>
      <w:r w:rsidRPr="003E01C8">
        <w:t>30 June 2023</w:t>
      </w:r>
    </w:p>
    <w:tbl>
      <w:tblPr>
        <w:tblStyle w:val="VIRTDeterminationTableStyle"/>
        <w:tblW w:w="0" w:type="auto"/>
        <w:tblInd w:w="0" w:type="dxa"/>
        <w:tblLook w:val="04A0" w:firstRow="1" w:lastRow="0" w:firstColumn="1" w:lastColumn="0" w:noHBand="0" w:noVBand="1"/>
      </w:tblPr>
      <w:tblGrid>
        <w:gridCol w:w="2127"/>
        <w:gridCol w:w="2976"/>
        <w:gridCol w:w="3401"/>
      </w:tblGrid>
      <w:tr w:rsidR="003F26DA" w14:paraId="2FE7C767" w14:textId="77777777">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2127" w:type="dxa"/>
          </w:tcPr>
          <w:p w14:paraId="740E2E07" w14:textId="77777777" w:rsidR="003F26DA" w:rsidRDefault="003F26DA" w:rsidP="00B04D43">
            <w:pPr>
              <w:pStyle w:val="10Tabletext"/>
              <w:keepNext/>
              <w:rPr>
                <w:noProof/>
                <w:color w:val="F8F8F8" w:themeColor="background2"/>
              </w:rPr>
            </w:pPr>
            <w:r>
              <w:rPr>
                <w:noProof/>
                <w:color w:val="F8F8F8" w:themeColor="background2"/>
              </w:rPr>
              <w:t>Classification</w:t>
            </w:r>
          </w:p>
        </w:tc>
        <w:tc>
          <w:tcPr>
            <w:tcW w:w="2976" w:type="dxa"/>
            <w:shd w:val="clear" w:color="auto" w:fill="26664E"/>
          </w:tcPr>
          <w:p w14:paraId="5F08C870" w14:textId="77777777" w:rsidR="003F26DA" w:rsidRPr="00C4701C" w:rsidRDefault="003F26DA" w:rsidP="00B04D43">
            <w:pPr>
              <w:pStyle w:val="10Tabletext"/>
              <w:keepNext/>
              <w:tabs>
                <w:tab w:val="center" w:pos="1380"/>
              </w:tabs>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sidRPr="00C4701C">
              <w:rPr>
                <w:noProof/>
                <w:color w:val="F8F8F8" w:themeColor="background2"/>
              </w:rPr>
              <w:t>Number</w:t>
            </w:r>
          </w:p>
        </w:tc>
        <w:tc>
          <w:tcPr>
            <w:tcW w:w="3401" w:type="dxa"/>
          </w:tcPr>
          <w:p w14:paraId="6EFE614D" w14:textId="77777777" w:rsidR="003F26DA" w:rsidRPr="00C4701C" w:rsidRDefault="003F26DA" w:rsidP="00B04D43">
            <w:pPr>
              <w:pStyle w:val="10Tabletext"/>
              <w:keepN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Per cent of all executives in band</w:t>
            </w:r>
          </w:p>
        </w:tc>
      </w:tr>
      <w:tr w:rsidR="003F26DA" w14:paraId="4C4C2BF3" w14:textId="77777777" w:rsidTr="0065180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26664E" w:themeColor="accent1"/>
            </w:tcBorders>
            <w:shd w:val="clear" w:color="auto" w:fill="auto"/>
          </w:tcPr>
          <w:p w14:paraId="69D97AC7" w14:textId="77777777" w:rsidR="003F26DA" w:rsidRPr="00A27D4B" w:rsidRDefault="003F26DA" w:rsidP="00B04D43">
            <w:pPr>
              <w:pStyle w:val="10Tabletext"/>
              <w:keepNext/>
              <w:rPr>
                <w:noProof/>
                <w:color w:val="auto"/>
              </w:rPr>
            </w:pPr>
            <w:r>
              <w:rPr>
                <w:noProof/>
                <w:color w:val="auto"/>
              </w:rPr>
              <w:t>PESES-1/SES-1</w:t>
            </w:r>
          </w:p>
        </w:tc>
        <w:tc>
          <w:tcPr>
            <w:tcW w:w="2976" w:type="dxa"/>
            <w:tcBorders>
              <w:bottom w:val="single" w:sz="4" w:space="0" w:color="26664E" w:themeColor="accent1"/>
            </w:tcBorders>
            <w:shd w:val="clear" w:color="auto" w:fill="auto"/>
          </w:tcPr>
          <w:p w14:paraId="5748259E" w14:textId="77777777" w:rsidR="003F26DA" w:rsidRDefault="003F26DA" w:rsidP="00B04D43">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44</w:t>
            </w:r>
          </w:p>
        </w:tc>
        <w:tc>
          <w:tcPr>
            <w:tcW w:w="3401" w:type="dxa"/>
            <w:tcBorders>
              <w:bottom w:val="single" w:sz="4" w:space="0" w:color="26664E" w:themeColor="accent1"/>
            </w:tcBorders>
            <w:shd w:val="clear" w:color="auto" w:fill="auto"/>
          </w:tcPr>
          <w:p w14:paraId="05D80BDF" w14:textId="77777777" w:rsidR="003F26DA" w:rsidRDefault="003F26DA" w:rsidP="00B04D43">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8.0</w:t>
            </w:r>
          </w:p>
        </w:tc>
      </w:tr>
      <w:tr w:rsidR="003F26DA" w14:paraId="2FB80AF7" w14:textId="77777777" w:rsidTr="00651809">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26664E" w:themeColor="accent1"/>
              <w:bottom w:val="single" w:sz="4" w:space="0" w:color="26664E" w:themeColor="accent1"/>
            </w:tcBorders>
            <w:shd w:val="clear" w:color="auto" w:fill="auto"/>
          </w:tcPr>
          <w:p w14:paraId="213EDD20" w14:textId="77777777" w:rsidR="003F26DA" w:rsidRDefault="003F26DA" w:rsidP="00B04D43">
            <w:pPr>
              <w:pStyle w:val="10Tabletext"/>
              <w:keepNext/>
              <w:rPr>
                <w:noProof/>
                <w:color w:val="auto"/>
              </w:rPr>
            </w:pPr>
            <w:r>
              <w:rPr>
                <w:noProof/>
                <w:color w:val="auto"/>
              </w:rPr>
              <w:t>PESES-2/SES-2</w:t>
            </w:r>
          </w:p>
        </w:tc>
        <w:tc>
          <w:tcPr>
            <w:tcW w:w="2976" w:type="dxa"/>
            <w:tcBorders>
              <w:top w:val="single" w:sz="4" w:space="0" w:color="26664E" w:themeColor="accent1"/>
              <w:bottom w:val="single" w:sz="4" w:space="0" w:color="26664E" w:themeColor="accent1"/>
            </w:tcBorders>
            <w:shd w:val="clear" w:color="auto" w:fill="auto"/>
          </w:tcPr>
          <w:p w14:paraId="03B5D1EC" w14:textId="77777777" w:rsidR="003F26DA" w:rsidRDefault="003F26DA" w:rsidP="00B04D43">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21</w:t>
            </w:r>
          </w:p>
        </w:tc>
        <w:tc>
          <w:tcPr>
            <w:tcW w:w="3401" w:type="dxa"/>
            <w:tcBorders>
              <w:top w:val="single" w:sz="4" w:space="0" w:color="26664E" w:themeColor="accent1"/>
              <w:bottom w:val="single" w:sz="4" w:space="0" w:color="26664E" w:themeColor="accent1"/>
            </w:tcBorders>
            <w:shd w:val="clear" w:color="auto" w:fill="auto"/>
          </w:tcPr>
          <w:p w14:paraId="7142EE2C" w14:textId="77777777" w:rsidR="003F26DA" w:rsidRDefault="003F26DA" w:rsidP="00B04D43">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4.9</w:t>
            </w:r>
          </w:p>
        </w:tc>
      </w:tr>
      <w:tr w:rsidR="003F26DA" w14:paraId="64490704"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26664E" w:themeColor="accent1"/>
              <w:bottom w:val="single" w:sz="4" w:space="0" w:color="26664E" w:themeColor="accent1"/>
            </w:tcBorders>
            <w:shd w:val="clear" w:color="auto" w:fill="auto"/>
          </w:tcPr>
          <w:p w14:paraId="42897EAC" w14:textId="77777777" w:rsidR="003F26DA" w:rsidRDefault="003F26DA" w:rsidP="00B04D43">
            <w:pPr>
              <w:pStyle w:val="10Tabletext"/>
              <w:keepNext/>
              <w:rPr>
                <w:noProof/>
                <w:color w:val="auto"/>
              </w:rPr>
            </w:pPr>
            <w:r>
              <w:rPr>
                <w:noProof/>
                <w:color w:val="auto"/>
              </w:rPr>
              <w:t>PESES-3/SES-3</w:t>
            </w:r>
          </w:p>
        </w:tc>
        <w:tc>
          <w:tcPr>
            <w:tcW w:w="2976" w:type="dxa"/>
            <w:tcBorders>
              <w:top w:val="single" w:sz="4" w:space="0" w:color="26664E" w:themeColor="accent1"/>
              <w:bottom w:val="single" w:sz="4" w:space="0" w:color="26664E" w:themeColor="accent1"/>
            </w:tcBorders>
            <w:shd w:val="clear" w:color="auto" w:fill="auto"/>
          </w:tcPr>
          <w:p w14:paraId="2FCD5744" w14:textId="77777777" w:rsidR="003F26DA" w:rsidRDefault="003F26DA" w:rsidP="00B04D43">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10</w:t>
            </w:r>
          </w:p>
        </w:tc>
        <w:tc>
          <w:tcPr>
            <w:tcW w:w="3401" w:type="dxa"/>
            <w:tcBorders>
              <w:top w:val="single" w:sz="4" w:space="0" w:color="26664E" w:themeColor="accent1"/>
              <w:bottom w:val="single" w:sz="4" w:space="0" w:color="26664E" w:themeColor="accent1"/>
            </w:tcBorders>
            <w:shd w:val="clear" w:color="auto" w:fill="auto"/>
          </w:tcPr>
          <w:p w14:paraId="739989D1" w14:textId="77777777" w:rsidR="003F26DA" w:rsidRDefault="003F26DA" w:rsidP="00B04D43">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13.7</w:t>
            </w:r>
          </w:p>
        </w:tc>
      </w:tr>
    </w:tbl>
    <w:p w14:paraId="609F1A77" w14:textId="77777777" w:rsidR="003F26DA" w:rsidRDefault="003F26DA">
      <w:pPr>
        <w:pStyle w:val="09Sourcesandnotesfortablesfiguresboxes"/>
        <w:tabs>
          <w:tab w:val="left" w:pos="2685"/>
        </w:tabs>
        <w:rPr>
          <w:highlight w:val="yellow"/>
        </w:rPr>
      </w:pPr>
      <w:r>
        <w:t>Source: Tribunal analysis of VPSC data.</w:t>
      </w:r>
    </w:p>
    <w:p w14:paraId="52C7244A" w14:textId="77777777" w:rsidR="003F26DA" w:rsidRDefault="003F26DA">
      <w:pPr>
        <w:pStyle w:val="02VIRTHeading2"/>
      </w:pPr>
      <w:bookmarkStart w:id="61" w:name="_Toc185012369"/>
      <w:r>
        <w:t>4.3</w:t>
      </w:r>
      <w:r>
        <w:tab/>
        <w:t>Bespoke remuneration frameworks apply to some public entities</w:t>
      </w:r>
      <w:bookmarkEnd w:id="61"/>
    </w:p>
    <w:p w14:paraId="3CC81BA7" w14:textId="77777777" w:rsidR="003F26DA" w:rsidRDefault="003F26DA">
      <w:pPr>
        <w:pStyle w:val="05Paragraph"/>
      </w:pPr>
      <w:r>
        <w:t xml:space="preserve">While the PEER Policy and remuneration bands set by the Tribunal apply to all public entities, in some cases these are supplemented by policies that are specific to a particular sector or entity. Two examples are summarised below. </w:t>
      </w:r>
    </w:p>
    <w:p w14:paraId="63D9974E" w14:textId="77777777" w:rsidR="003F26DA" w:rsidRDefault="003F26DA">
      <w:pPr>
        <w:pStyle w:val="05Paragraph"/>
      </w:pPr>
      <w:r>
        <w:lastRenderedPageBreak/>
        <w:t>The Minister for Training and Skills has issued a Ministerial Direction, which requires TAFE institutes to apply additional criteria when setting executive remuneration. The Direction sets thresholds within the remuneration bands and requires each TAFE to substantiate to the Department of Jobs, Skills, Industry and Regions that it has complied with applicable rules if setting an executive’s remuneration above the relevant threshold (Table 4.4).</w:t>
      </w:r>
      <w:r>
        <w:rPr>
          <w:rStyle w:val="FootnoteReference"/>
        </w:rPr>
        <w:footnoteReference w:id="145"/>
      </w:r>
    </w:p>
    <w:p w14:paraId="2D8E69AC" w14:textId="77777777" w:rsidR="003F26DA" w:rsidRDefault="003F26DA">
      <w:pPr>
        <w:pStyle w:val="08Figuretableboxheading"/>
      </w:pPr>
      <w:r>
        <w:t>Table 4.4: TAFE salary substantiation thresholds set by Ministerial Direction</w:t>
      </w:r>
    </w:p>
    <w:tbl>
      <w:tblPr>
        <w:tblStyle w:val="VIRTDeterminationTableStyle"/>
        <w:tblW w:w="5000" w:type="pct"/>
        <w:tblInd w:w="0" w:type="dxa"/>
        <w:tblLook w:val="04A0" w:firstRow="1" w:lastRow="0" w:firstColumn="1" w:lastColumn="0" w:noHBand="0" w:noVBand="1"/>
      </w:tblPr>
      <w:tblGrid>
        <w:gridCol w:w="1844"/>
        <w:gridCol w:w="2551"/>
        <w:gridCol w:w="4109"/>
      </w:tblGrid>
      <w:tr w:rsidR="003F26DA" w14:paraId="1E1C7D9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4" w:type="pct"/>
          </w:tcPr>
          <w:p w14:paraId="4B78B942" w14:textId="77777777" w:rsidR="003F26DA" w:rsidRPr="00A27D4B" w:rsidRDefault="003F26DA">
            <w:pPr>
              <w:pStyle w:val="10Tabletext"/>
              <w:keepNext/>
              <w:rPr>
                <w:noProof/>
                <w:color w:val="F8F8F8" w:themeColor="background2"/>
              </w:rPr>
            </w:pPr>
            <w:r>
              <w:rPr>
                <w:noProof/>
                <w:color w:val="F8F8F8" w:themeColor="background2"/>
              </w:rPr>
              <w:t>Work value score</w:t>
            </w:r>
          </w:p>
        </w:tc>
        <w:tc>
          <w:tcPr>
            <w:tcW w:w="1500" w:type="pct"/>
          </w:tcPr>
          <w:p w14:paraId="716807A5" w14:textId="77777777" w:rsidR="003F26DA" w:rsidRDefault="003F26DA">
            <w:pPr>
              <w:pStyle w:val="10Tabletext"/>
              <w:keepNex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Classification (position within classification band)</w:t>
            </w:r>
          </w:p>
        </w:tc>
        <w:tc>
          <w:tcPr>
            <w:tcW w:w="2416" w:type="pct"/>
          </w:tcPr>
          <w:p w14:paraId="3EFA29A5" w14:textId="77777777" w:rsidR="003F26DA"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 xml:space="preserve">Salary substantiation threshold </w:t>
            </w:r>
            <w:r>
              <w:rPr>
                <w:noProof/>
                <w:color w:val="F8F8F8" w:themeColor="background2"/>
              </w:rPr>
              <w:br/>
              <w:t>(% above base of remuneration band)</w:t>
            </w:r>
          </w:p>
        </w:tc>
      </w:tr>
      <w:tr w:rsidR="003F26DA" w14:paraId="0F613999"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bottom w:val="single" w:sz="4" w:space="0" w:color="26664E" w:themeColor="accent1"/>
            </w:tcBorders>
            <w:shd w:val="clear" w:color="auto" w:fill="D1F5EB" w:themeFill="accent5" w:themeFillTint="33"/>
          </w:tcPr>
          <w:p w14:paraId="460A5A0D" w14:textId="77777777" w:rsidR="003F26DA" w:rsidRPr="00A27D4B" w:rsidRDefault="003F26DA">
            <w:pPr>
              <w:pStyle w:val="10Tabletext"/>
              <w:keepNext/>
              <w:rPr>
                <w:noProof/>
                <w:color w:val="auto"/>
              </w:rPr>
            </w:pPr>
            <w:r>
              <w:rPr>
                <w:noProof/>
                <w:color w:val="auto"/>
              </w:rPr>
              <w:t>21 to 25</w:t>
            </w:r>
          </w:p>
        </w:tc>
        <w:tc>
          <w:tcPr>
            <w:tcW w:w="1500" w:type="pct"/>
            <w:tcBorders>
              <w:bottom w:val="single" w:sz="4" w:space="0" w:color="26664E" w:themeColor="accent1"/>
            </w:tcBorders>
            <w:shd w:val="clear" w:color="auto" w:fill="D1F5EB" w:themeFill="accent5" w:themeFillTint="33"/>
          </w:tcPr>
          <w:p w14:paraId="162D82E9"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t>PESES-1 (low)</w:t>
            </w:r>
          </w:p>
        </w:tc>
        <w:tc>
          <w:tcPr>
            <w:tcW w:w="2416" w:type="pct"/>
            <w:tcBorders>
              <w:bottom w:val="single" w:sz="4" w:space="0" w:color="26664E" w:themeColor="accent1"/>
            </w:tcBorders>
            <w:shd w:val="clear" w:color="auto" w:fill="D1F5EB" w:themeFill="accent5" w:themeFillTint="33"/>
          </w:tcPr>
          <w:p w14:paraId="6B03E47B"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50</w:t>
            </w:r>
          </w:p>
        </w:tc>
      </w:tr>
      <w:tr w:rsidR="003F26DA" w14:paraId="33E93D78" w14:textId="77777777" w:rsidTr="00651809">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D1F5EB" w:themeFill="accent5" w:themeFillTint="33"/>
          </w:tcPr>
          <w:p w14:paraId="1FEB6040" w14:textId="77777777" w:rsidR="003F26DA" w:rsidRDefault="003F26DA">
            <w:pPr>
              <w:pStyle w:val="10Tabletext"/>
              <w:keepNext/>
              <w:rPr>
                <w:noProof/>
                <w:color w:val="auto"/>
              </w:rPr>
            </w:pPr>
            <w:r>
              <w:rPr>
                <w:noProof/>
                <w:color w:val="auto"/>
              </w:rPr>
              <w:t>26 to 30</w:t>
            </w:r>
          </w:p>
        </w:tc>
        <w:tc>
          <w:tcPr>
            <w:tcW w:w="1500" w:type="pct"/>
            <w:tcBorders>
              <w:top w:val="single" w:sz="4" w:space="0" w:color="26664E" w:themeColor="accent1"/>
              <w:bottom w:val="single" w:sz="4" w:space="0" w:color="26664E" w:themeColor="accent1"/>
            </w:tcBorders>
            <w:shd w:val="clear" w:color="auto" w:fill="D1F5EB" w:themeFill="accent5" w:themeFillTint="33"/>
          </w:tcPr>
          <w:p w14:paraId="23D83D89"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t>PESES-1 (medium)</w:t>
            </w:r>
          </w:p>
        </w:tc>
        <w:tc>
          <w:tcPr>
            <w:tcW w:w="2416" w:type="pct"/>
            <w:tcBorders>
              <w:top w:val="single" w:sz="4" w:space="0" w:color="26664E" w:themeColor="accent1"/>
              <w:bottom w:val="single" w:sz="4" w:space="0" w:color="26664E" w:themeColor="accent1"/>
            </w:tcBorders>
            <w:shd w:val="clear" w:color="auto" w:fill="D1F5EB" w:themeFill="accent5" w:themeFillTint="33"/>
          </w:tcPr>
          <w:p w14:paraId="39BD72C8"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60</w:t>
            </w:r>
          </w:p>
        </w:tc>
      </w:tr>
      <w:tr w:rsidR="003F26DA" w14:paraId="66A0BB2D"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D1F5EB" w:themeFill="accent5" w:themeFillTint="33"/>
          </w:tcPr>
          <w:p w14:paraId="15E80421" w14:textId="77777777" w:rsidR="003F26DA" w:rsidRDefault="003F26DA">
            <w:pPr>
              <w:pStyle w:val="10Tabletext"/>
              <w:keepNext/>
              <w:rPr>
                <w:noProof/>
                <w:color w:val="auto"/>
              </w:rPr>
            </w:pPr>
            <w:r>
              <w:rPr>
                <w:noProof/>
                <w:color w:val="auto"/>
              </w:rPr>
              <w:t>31 to 35</w:t>
            </w:r>
          </w:p>
        </w:tc>
        <w:tc>
          <w:tcPr>
            <w:tcW w:w="1500" w:type="pct"/>
            <w:tcBorders>
              <w:top w:val="single" w:sz="4" w:space="0" w:color="26664E" w:themeColor="accent1"/>
              <w:bottom w:val="single" w:sz="4" w:space="0" w:color="26664E" w:themeColor="accent1"/>
            </w:tcBorders>
            <w:shd w:val="clear" w:color="auto" w:fill="D1F5EB" w:themeFill="accent5" w:themeFillTint="33"/>
          </w:tcPr>
          <w:p w14:paraId="00F3302C"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t>PESES-1 (high)</w:t>
            </w:r>
          </w:p>
        </w:tc>
        <w:tc>
          <w:tcPr>
            <w:tcW w:w="2416" w:type="pct"/>
            <w:tcBorders>
              <w:top w:val="single" w:sz="4" w:space="0" w:color="26664E" w:themeColor="accent1"/>
              <w:bottom w:val="single" w:sz="4" w:space="0" w:color="26664E" w:themeColor="accent1"/>
            </w:tcBorders>
            <w:shd w:val="clear" w:color="auto" w:fill="D1F5EB" w:themeFill="accent5" w:themeFillTint="33"/>
          </w:tcPr>
          <w:p w14:paraId="0C8BB4B8"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65</w:t>
            </w:r>
          </w:p>
        </w:tc>
      </w:tr>
      <w:tr w:rsidR="003F26DA" w14:paraId="7608EFBC" w14:textId="77777777" w:rsidTr="00651809">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DEE6E4" w:themeFill="accent4" w:themeFillTint="33"/>
          </w:tcPr>
          <w:p w14:paraId="3F39ABDD" w14:textId="77777777" w:rsidR="003F26DA" w:rsidRPr="00A27D4B" w:rsidRDefault="003F26DA">
            <w:pPr>
              <w:pStyle w:val="10Tabletext"/>
              <w:keepNext/>
              <w:rPr>
                <w:noProof/>
                <w:color w:val="auto"/>
              </w:rPr>
            </w:pPr>
            <w:r>
              <w:rPr>
                <w:noProof/>
                <w:color w:val="auto"/>
              </w:rPr>
              <w:t>36 to 39</w:t>
            </w:r>
          </w:p>
        </w:tc>
        <w:tc>
          <w:tcPr>
            <w:tcW w:w="1500" w:type="pct"/>
            <w:tcBorders>
              <w:top w:val="single" w:sz="4" w:space="0" w:color="26664E" w:themeColor="accent1"/>
              <w:bottom w:val="single" w:sz="4" w:space="0" w:color="26664E" w:themeColor="accent1"/>
            </w:tcBorders>
            <w:shd w:val="clear" w:color="auto" w:fill="DEE6E4" w:themeFill="accent4" w:themeFillTint="33"/>
          </w:tcPr>
          <w:p w14:paraId="22831ED8"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t>PESES-2 (low)</w:t>
            </w:r>
          </w:p>
        </w:tc>
        <w:tc>
          <w:tcPr>
            <w:tcW w:w="2416" w:type="pct"/>
            <w:tcBorders>
              <w:top w:val="single" w:sz="4" w:space="0" w:color="26664E" w:themeColor="accent1"/>
              <w:bottom w:val="single" w:sz="4" w:space="0" w:color="26664E" w:themeColor="accent1"/>
            </w:tcBorders>
            <w:shd w:val="clear" w:color="auto" w:fill="DEE6E4" w:themeFill="accent4" w:themeFillTint="33"/>
          </w:tcPr>
          <w:p w14:paraId="1B430AFB"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5</w:t>
            </w:r>
          </w:p>
        </w:tc>
      </w:tr>
      <w:tr w:rsidR="003F26DA" w14:paraId="04AA042D"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DEE6E4" w:themeFill="accent4" w:themeFillTint="33"/>
          </w:tcPr>
          <w:p w14:paraId="4FE1F41C" w14:textId="77777777" w:rsidR="003F26DA" w:rsidRDefault="003F26DA">
            <w:pPr>
              <w:pStyle w:val="10Tabletext"/>
              <w:keepNext/>
              <w:rPr>
                <w:noProof/>
                <w:color w:val="auto"/>
              </w:rPr>
            </w:pPr>
            <w:r>
              <w:rPr>
                <w:noProof/>
                <w:color w:val="auto"/>
              </w:rPr>
              <w:t>40 to 43</w:t>
            </w:r>
          </w:p>
        </w:tc>
        <w:tc>
          <w:tcPr>
            <w:tcW w:w="1500" w:type="pct"/>
            <w:tcBorders>
              <w:top w:val="single" w:sz="4" w:space="0" w:color="26664E" w:themeColor="accent1"/>
              <w:bottom w:val="single" w:sz="4" w:space="0" w:color="26664E" w:themeColor="accent1"/>
            </w:tcBorders>
            <w:shd w:val="clear" w:color="auto" w:fill="DEE6E4" w:themeFill="accent4" w:themeFillTint="33"/>
          </w:tcPr>
          <w:p w14:paraId="2A5EB6E8"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t>PESES-2 (medium)</w:t>
            </w:r>
          </w:p>
        </w:tc>
        <w:tc>
          <w:tcPr>
            <w:tcW w:w="2416" w:type="pct"/>
            <w:tcBorders>
              <w:top w:val="single" w:sz="4" w:space="0" w:color="26664E" w:themeColor="accent1"/>
              <w:bottom w:val="single" w:sz="4" w:space="0" w:color="26664E" w:themeColor="accent1"/>
            </w:tcBorders>
            <w:shd w:val="clear" w:color="auto" w:fill="DEE6E4" w:themeFill="accent4" w:themeFillTint="33"/>
          </w:tcPr>
          <w:p w14:paraId="0E9BA8DE"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15</w:t>
            </w:r>
          </w:p>
        </w:tc>
      </w:tr>
      <w:tr w:rsidR="003F26DA" w14:paraId="4F18B6E6" w14:textId="77777777" w:rsidTr="00651809">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DEE6E4" w:themeFill="accent4" w:themeFillTint="33"/>
          </w:tcPr>
          <w:p w14:paraId="096ED651" w14:textId="77777777" w:rsidR="003F26DA" w:rsidRDefault="003F26DA">
            <w:pPr>
              <w:pStyle w:val="10Tabletext"/>
              <w:keepNext/>
              <w:rPr>
                <w:noProof/>
                <w:color w:val="auto"/>
              </w:rPr>
            </w:pPr>
            <w:r>
              <w:rPr>
                <w:noProof/>
                <w:color w:val="auto"/>
              </w:rPr>
              <w:t>44 to 47</w:t>
            </w:r>
          </w:p>
        </w:tc>
        <w:tc>
          <w:tcPr>
            <w:tcW w:w="1500" w:type="pct"/>
            <w:tcBorders>
              <w:top w:val="single" w:sz="4" w:space="0" w:color="26664E" w:themeColor="accent1"/>
              <w:bottom w:val="single" w:sz="4" w:space="0" w:color="26664E" w:themeColor="accent1"/>
            </w:tcBorders>
            <w:shd w:val="clear" w:color="auto" w:fill="DEE6E4" w:themeFill="accent4" w:themeFillTint="33"/>
          </w:tcPr>
          <w:p w14:paraId="7C209C17"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t>PESES-2 (high)</w:t>
            </w:r>
          </w:p>
        </w:tc>
        <w:tc>
          <w:tcPr>
            <w:tcW w:w="2416" w:type="pct"/>
            <w:tcBorders>
              <w:top w:val="single" w:sz="4" w:space="0" w:color="26664E" w:themeColor="accent1"/>
              <w:bottom w:val="single" w:sz="4" w:space="0" w:color="26664E" w:themeColor="accent1"/>
            </w:tcBorders>
            <w:shd w:val="clear" w:color="auto" w:fill="DEE6E4" w:themeFill="accent4" w:themeFillTint="33"/>
          </w:tcPr>
          <w:p w14:paraId="0A11272E"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w:t>
            </w:r>
          </w:p>
        </w:tc>
      </w:tr>
      <w:tr w:rsidR="003F26DA" w14:paraId="690A175F"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E2F1E6" w:themeFill="accent3" w:themeFillTint="33"/>
          </w:tcPr>
          <w:p w14:paraId="022D6F53" w14:textId="77777777" w:rsidR="003F26DA" w:rsidRPr="00A27D4B" w:rsidRDefault="003F26DA">
            <w:pPr>
              <w:pStyle w:val="10Tabletext"/>
              <w:keepNext/>
              <w:rPr>
                <w:noProof/>
                <w:color w:val="auto"/>
              </w:rPr>
            </w:pPr>
            <w:r>
              <w:rPr>
                <w:noProof/>
                <w:color w:val="auto"/>
              </w:rPr>
              <w:t>48 to 50</w:t>
            </w:r>
          </w:p>
        </w:tc>
        <w:tc>
          <w:tcPr>
            <w:tcW w:w="1500" w:type="pct"/>
            <w:tcBorders>
              <w:top w:val="single" w:sz="4" w:space="0" w:color="26664E" w:themeColor="accent1"/>
              <w:bottom w:val="single" w:sz="4" w:space="0" w:color="26664E" w:themeColor="accent1"/>
            </w:tcBorders>
            <w:shd w:val="clear" w:color="auto" w:fill="E2F1E6" w:themeFill="accent3" w:themeFillTint="33"/>
          </w:tcPr>
          <w:p w14:paraId="2414677F"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t>PESES-3 (low)</w:t>
            </w:r>
          </w:p>
        </w:tc>
        <w:tc>
          <w:tcPr>
            <w:tcW w:w="2416" w:type="pct"/>
            <w:tcBorders>
              <w:top w:val="single" w:sz="4" w:space="0" w:color="26664E" w:themeColor="accent1"/>
              <w:bottom w:val="single" w:sz="4" w:space="0" w:color="26664E" w:themeColor="accent1"/>
            </w:tcBorders>
            <w:shd w:val="clear" w:color="auto" w:fill="E2F1E6" w:themeFill="accent3" w:themeFillTint="33"/>
          </w:tcPr>
          <w:p w14:paraId="3DD32A49"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5</w:t>
            </w:r>
          </w:p>
        </w:tc>
      </w:tr>
      <w:tr w:rsidR="003F26DA" w14:paraId="145D150D" w14:textId="77777777" w:rsidTr="00651809">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E2F1E6" w:themeFill="accent3" w:themeFillTint="33"/>
          </w:tcPr>
          <w:p w14:paraId="432F8415" w14:textId="77777777" w:rsidR="003F26DA" w:rsidRDefault="003F26DA">
            <w:pPr>
              <w:pStyle w:val="10Tabletext"/>
              <w:keepNext/>
              <w:rPr>
                <w:noProof/>
                <w:color w:val="auto"/>
              </w:rPr>
            </w:pPr>
            <w:r>
              <w:rPr>
                <w:noProof/>
                <w:color w:val="auto"/>
              </w:rPr>
              <w:t>51 to 53</w:t>
            </w:r>
          </w:p>
        </w:tc>
        <w:tc>
          <w:tcPr>
            <w:tcW w:w="1500" w:type="pct"/>
            <w:tcBorders>
              <w:top w:val="single" w:sz="4" w:space="0" w:color="26664E" w:themeColor="accent1"/>
              <w:bottom w:val="single" w:sz="4" w:space="0" w:color="26664E" w:themeColor="accent1"/>
            </w:tcBorders>
            <w:shd w:val="clear" w:color="auto" w:fill="E2F1E6" w:themeFill="accent3" w:themeFillTint="33"/>
          </w:tcPr>
          <w:p w14:paraId="10EAFB0A"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t>PESES-3 (medium)</w:t>
            </w:r>
          </w:p>
        </w:tc>
        <w:tc>
          <w:tcPr>
            <w:tcW w:w="2416" w:type="pct"/>
            <w:tcBorders>
              <w:top w:val="single" w:sz="4" w:space="0" w:color="26664E" w:themeColor="accent1"/>
              <w:bottom w:val="single" w:sz="4" w:space="0" w:color="26664E" w:themeColor="accent1"/>
            </w:tcBorders>
            <w:shd w:val="clear" w:color="auto" w:fill="E2F1E6" w:themeFill="accent3" w:themeFillTint="33"/>
          </w:tcPr>
          <w:p w14:paraId="21AD6735"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15</w:t>
            </w:r>
          </w:p>
        </w:tc>
      </w:tr>
      <w:tr w:rsidR="003F26DA" w14:paraId="651E1E90" w14:textId="77777777" w:rsidTr="0065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pct"/>
            <w:tcBorders>
              <w:top w:val="single" w:sz="4" w:space="0" w:color="26664E" w:themeColor="accent1"/>
              <w:bottom w:val="single" w:sz="4" w:space="0" w:color="26664E" w:themeColor="accent1"/>
            </w:tcBorders>
            <w:shd w:val="clear" w:color="auto" w:fill="E2F1E6" w:themeFill="accent3" w:themeFillTint="33"/>
          </w:tcPr>
          <w:p w14:paraId="51FD616C" w14:textId="77777777" w:rsidR="003F26DA" w:rsidRDefault="003F26DA">
            <w:pPr>
              <w:pStyle w:val="10Tabletext"/>
              <w:keepNext/>
              <w:rPr>
                <w:noProof/>
                <w:color w:val="auto"/>
              </w:rPr>
            </w:pPr>
            <w:r>
              <w:rPr>
                <w:noProof/>
                <w:color w:val="auto"/>
              </w:rPr>
              <w:t>54 to 56</w:t>
            </w:r>
          </w:p>
        </w:tc>
        <w:tc>
          <w:tcPr>
            <w:tcW w:w="1500" w:type="pct"/>
            <w:tcBorders>
              <w:top w:val="single" w:sz="4" w:space="0" w:color="26664E" w:themeColor="accent1"/>
              <w:bottom w:val="single" w:sz="4" w:space="0" w:color="26664E" w:themeColor="accent1"/>
            </w:tcBorders>
            <w:shd w:val="clear" w:color="auto" w:fill="E2F1E6" w:themeFill="accent3" w:themeFillTint="33"/>
          </w:tcPr>
          <w:p w14:paraId="008F53F0"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t>PESES-3 (high)</w:t>
            </w:r>
          </w:p>
        </w:tc>
        <w:tc>
          <w:tcPr>
            <w:tcW w:w="2416" w:type="pct"/>
            <w:tcBorders>
              <w:top w:val="single" w:sz="4" w:space="0" w:color="26664E" w:themeColor="accent1"/>
              <w:bottom w:val="single" w:sz="4" w:space="0" w:color="26664E" w:themeColor="accent1"/>
            </w:tcBorders>
            <w:shd w:val="clear" w:color="auto" w:fill="E2F1E6" w:themeFill="accent3" w:themeFillTint="33"/>
          </w:tcPr>
          <w:p w14:paraId="1593E0A7"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20</w:t>
            </w:r>
          </w:p>
        </w:tc>
      </w:tr>
    </w:tbl>
    <w:p w14:paraId="4F8772FC" w14:textId="145BE6D6" w:rsidR="003F26DA" w:rsidRDefault="003F26DA">
      <w:pPr>
        <w:pStyle w:val="09Sourcesandnotesfortablesfiguresboxes"/>
      </w:pPr>
      <w:r>
        <w:t xml:space="preserve">Source: </w:t>
      </w:r>
      <w:r w:rsidRPr="00E40CDD">
        <w:t xml:space="preserve">Education and Training Reform Act 2006 Ministerial Direction TAFE </w:t>
      </w:r>
      <w:r w:rsidR="009345BF">
        <w:t>I</w:t>
      </w:r>
      <w:r w:rsidRPr="00E40CDD">
        <w:t>nstitute Executive Remuneration (No. 2</w:t>
      </w:r>
      <w:r w:rsidRPr="0076536D">
        <w:t>).</w:t>
      </w:r>
      <w:r>
        <w:t xml:space="preserve"> </w:t>
      </w:r>
    </w:p>
    <w:p w14:paraId="1A5308AA" w14:textId="3601363D" w:rsidR="003F26DA" w:rsidRDefault="003F26DA">
      <w:pPr>
        <w:pStyle w:val="05Paragraph"/>
      </w:pPr>
      <w:r>
        <w:t>The CFA explained in its submission that it has chosen to adapt the PEECF and remuneration bands to develop its own bespoke framework. It has created sub</w:t>
      </w:r>
      <w:r w:rsidR="00E550B0">
        <w:noBreakHyphen/>
      </w:r>
      <w:r>
        <w:t xml:space="preserve">bands by splitting the PESES-2 and PESES-3 remuneration bands in half, </w:t>
      </w:r>
      <w:proofErr w:type="gramStart"/>
      <w:r>
        <w:t>in order to</w:t>
      </w:r>
      <w:proofErr w:type="gramEnd"/>
      <w:r>
        <w:t xml:space="preserve"> accommodate its executive structure and work streams (Table 4.5).</w:t>
      </w:r>
    </w:p>
    <w:p w14:paraId="7E80106F" w14:textId="7BE2BAE8" w:rsidR="003F26DA" w:rsidRDefault="003F26DA">
      <w:pPr>
        <w:pStyle w:val="08Figuretableboxheading"/>
      </w:pPr>
      <w:r>
        <w:t xml:space="preserve">Table 4.5: </w:t>
      </w:r>
      <w:r w:rsidR="00586E5F">
        <w:t>CFA</w:t>
      </w:r>
      <w:r>
        <w:t xml:space="preserve"> executive levels and remuneration ranges</w:t>
      </w:r>
    </w:p>
    <w:tbl>
      <w:tblPr>
        <w:tblStyle w:val="VIRTDeterminationTableStyle"/>
        <w:tblW w:w="0" w:type="auto"/>
        <w:tblInd w:w="0" w:type="dxa"/>
        <w:tblBorders>
          <w:top w:val="single" w:sz="4" w:space="0" w:color="26664E" w:themeColor="accent1"/>
          <w:bottom w:val="single" w:sz="4" w:space="0" w:color="26664E" w:themeColor="accent1"/>
          <w:insideH w:val="single" w:sz="4" w:space="0" w:color="26664E" w:themeColor="accent1"/>
        </w:tblBorders>
        <w:tblLook w:val="04A0" w:firstRow="1" w:lastRow="0" w:firstColumn="1" w:lastColumn="0" w:noHBand="0" w:noVBand="1"/>
      </w:tblPr>
      <w:tblGrid>
        <w:gridCol w:w="2127"/>
        <w:gridCol w:w="2268"/>
        <w:gridCol w:w="1559"/>
        <w:gridCol w:w="2550"/>
      </w:tblGrid>
      <w:tr w:rsidR="003F26DA" w14:paraId="215793F2" w14:textId="77777777" w:rsidTr="007231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120378C0" w14:textId="77777777" w:rsidR="003F26DA" w:rsidRDefault="003F26DA">
            <w:pPr>
              <w:pStyle w:val="10Tabletext"/>
              <w:keepNext/>
              <w:rPr>
                <w:noProof/>
                <w:color w:val="F8F8F8" w:themeColor="background2"/>
              </w:rPr>
            </w:pPr>
            <w:r>
              <w:rPr>
                <w:noProof/>
                <w:color w:val="F8F8F8" w:themeColor="background2"/>
              </w:rPr>
              <w:t>Org level</w:t>
            </w:r>
          </w:p>
        </w:tc>
        <w:tc>
          <w:tcPr>
            <w:tcW w:w="2268" w:type="dxa"/>
          </w:tcPr>
          <w:p w14:paraId="2A3C0C22" w14:textId="77777777" w:rsidR="003F26DA" w:rsidRPr="00A27D4B" w:rsidRDefault="003F26DA">
            <w:pPr>
              <w:pStyle w:val="10Tabletext"/>
              <w:keepNex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Position</w:t>
            </w:r>
          </w:p>
        </w:tc>
        <w:tc>
          <w:tcPr>
            <w:tcW w:w="1559" w:type="dxa"/>
          </w:tcPr>
          <w:p w14:paraId="5CAA3889" w14:textId="77777777" w:rsidR="003F26DA" w:rsidRDefault="003F26DA">
            <w:pPr>
              <w:pStyle w:val="10Tabletext"/>
              <w:keepNex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Benchmarked classification</w:t>
            </w:r>
          </w:p>
        </w:tc>
        <w:tc>
          <w:tcPr>
            <w:tcW w:w="2550" w:type="dxa"/>
          </w:tcPr>
          <w:p w14:paraId="0947C4DA" w14:textId="77777777" w:rsidR="003F26DA"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noProof/>
                <w:color w:val="F8F8F8" w:themeColor="background2"/>
              </w:rPr>
            </w:pPr>
            <w:r>
              <w:rPr>
                <w:noProof/>
                <w:color w:val="F8F8F8" w:themeColor="background2"/>
              </w:rPr>
              <w:t>Remuneration range</w:t>
            </w:r>
            <w:r>
              <w:rPr>
                <w:noProof/>
                <w:color w:val="F8F8F8" w:themeColor="background2"/>
              </w:rPr>
              <w:br/>
              <w:t>($ per annum)</w:t>
            </w:r>
          </w:p>
        </w:tc>
      </w:tr>
      <w:tr w:rsidR="003F26DA" w14:paraId="36D77FA6" w14:textId="77777777" w:rsidTr="007231E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7D37FF5" w14:textId="77777777" w:rsidR="003F26DA" w:rsidRPr="00A27D4B" w:rsidRDefault="003F26DA">
            <w:pPr>
              <w:pStyle w:val="10Tabletext"/>
              <w:keepNext/>
              <w:rPr>
                <w:noProof/>
                <w:color w:val="auto"/>
              </w:rPr>
            </w:pPr>
            <w:r>
              <w:rPr>
                <w:noProof/>
                <w:color w:val="auto"/>
              </w:rPr>
              <w:t>Corporate Services 1</w:t>
            </w:r>
          </w:p>
        </w:tc>
        <w:tc>
          <w:tcPr>
            <w:tcW w:w="2268" w:type="dxa"/>
            <w:shd w:val="clear" w:color="auto" w:fill="auto"/>
          </w:tcPr>
          <w:p w14:paraId="47E0BA10" w14:textId="77777777" w:rsidR="003F26DA" w:rsidRPr="00A27D4B"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CEO</w:t>
            </w:r>
          </w:p>
        </w:tc>
        <w:tc>
          <w:tcPr>
            <w:tcW w:w="1559" w:type="dxa"/>
            <w:shd w:val="clear" w:color="auto" w:fill="auto"/>
          </w:tcPr>
          <w:p w14:paraId="134ECC69"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PESES-3b</w:t>
            </w:r>
          </w:p>
        </w:tc>
        <w:tc>
          <w:tcPr>
            <w:tcW w:w="2550" w:type="dxa"/>
            <w:shd w:val="clear" w:color="auto" w:fill="auto"/>
          </w:tcPr>
          <w:p w14:paraId="51048E64"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467,225 to 533,431</w:t>
            </w:r>
          </w:p>
        </w:tc>
      </w:tr>
      <w:tr w:rsidR="003F26DA" w14:paraId="4E50A07D" w14:textId="77777777" w:rsidTr="007231EF">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448DDAC" w14:textId="77777777" w:rsidR="003F26DA" w:rsidRDefault="003F26DA">
            <w:pPr>
              <w:pStyle w:val="10Tabletext"/>
              <w:keepNext/>
              <w:rPr>
                <w:noProof/>
                <w:color w:val="auto"/>
              </w:rPr>
            </w:pPr>
            <w:r>
              <w:rPr>
                <w:noProof/>
                <w:color w:val="auto"/>
              </w:rPr>
              <w:t>Chief Officer 1</w:t>
            </w:r>
          </w:p>
        </w:tc>
        <w:tc>
          <w:tcPr>
            <w:tcW w:w="2268" w:type="dxa"/>
            <w:shd w:val="clear" w:color="auto" w:fill="auto"/>
          </w:tcPr>
          <w:p w14:paraId="7A6CC534"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Chief Officer</w:t>
            </w:r>
          </w:p>
        </w:tc>
        <w:tc>
          <w:tcPr>
            <w:tcW w:w="1559" w:type="dxa"/>
            <w:shd w:val="clear" w:color="auto" w:fill="auto"/>
          </w:tcPr>
          <w:p w14:paraId="39D66529"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PESES-3a</w:t>
            </w:r>
          </w:p>
        </w:tc>
        <w:tc>
          <w:tcPr>
            <w:tcW w:w="2550" w:type="dxa"/>
            <w:shd w:val="clear" w:color="auto" w:fill="auto"/>
          </w:tcPr>
          <w:p w14:paraId="70F3A6BD"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401,018 to 467,225</w:t>
            </w:r>
          </w:p>
        </w:tc>
      </w:tr>
      <w:tr w:rsidR="003F26DA" w14:paraId="2A9B8DCF" w14:textId="77777777" w:rsidTr="007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629B0C2" w14:textId="77777777" w:rsidR="003F26DA" w:rsidRDefault="003F26DA">
            <w:pPr>
              <w:pStyle w:val="10Tabletext"/>
              <w:keepNext/>
              <w:rPr>
                <w:noProof/>
                <w:color w:val="auto"/>
              </w:rPr>
            </w:pPr>
            <w:r>
              <w:rPr>
                <w:noProof/>
                <w:color w:val="auto"/>
              </w:rPr>
              <w:t>Corporate Services 2</w:t>
            </w:r>
          </w:p>
        </w:tc>
        <w:tc>
          <w:tcPr>
            <w:tcW w:w="2268" w:type="dxa"/>
            <w:shd w:val="clear" w:color="auto" w:fill="auto"/>
          </w:tcPr>
          <w:p w14:paraId="086EB1AF"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Group General Manager</w:t>
            </w:r>
          </w:p>
        </w:tc>
        <w:tc>
          <w:tcPr>
            <w:tcW w:w="1559" w:type="dxa"/>
            <w:shd w:val="clear" w:color="auto" w:fill="auto"/>
          </w:tcPr>
          <w:p w14:paraId="19A34AB0"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PESES-2b</w:t>
            </w:r>
          </w:p>
        </w:tc>
        <w:tc>
          <w:tcPr>
            <w:tcW w:w="2550" w:type="dxa"/>
            <w:shd w:val="clear" w:color="auto" w:fill="auto"/>
          </w:tcPr>
          <w:p w14:paraId="2874F9B0"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340,128 to 401,017</w:t>
            </w:r>
          </w:p>
        </w:tc>
      </w:tr>
      <w:tr w:rsidR="003F26DA" w14:paraId="0655E868" w14:textId="77777777" w:rsidTr="007231EF">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C9C12DF" w14:textId="77777777" w:rsidR="003F26DA" w:rsidRPr="00A27D4B" w:rsidRDefault="003F26DA">
            <w:pPr>
              <w:pStyle w:val="10Tabletext"/>
              <w:keepNext/>
              <w:rPr>
                <w:noProof/>
                <w:color w:val="auto"/>
              </w:rPr>
            </w:pPr>
            <w:r>
              <w:rPr>
                <w:noProof/>
                <w:color w:val="auto"/>
              </w:rPr>
              <w:t>Chief Officer 2</w:t>
            </w:r>
          </w:p>
        </w:tc>
        <w:tc>
          <w:tcPr>
            <w:tcW w:w="2268" w:type="dxa"/>
            <w:shd w:val="clear" w:color="auto" w:fill="auto"/>
          </w:tcPr>
          <w:p w14:paraId="7A8CB23A" w14:textId="77777777" w:rsidR="003F26DA" w:rsidRPr="00A27D4B"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Deputy Chief Officer</w:t>
            </w:r>
          </w:p>
        </w:tc>
        <w:tc>
          <w:tcPr>
            <w:tcW w:w="1559" w:type="dxa"/>
            <w:shd w:val="clear" w:color="auto" w:fill="auto"/>
          </w:tcPr>
          <w:p w14:paraId="029E4446"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PESES-2a</w:t>
            </w:r>
          </w:p>
        </w:tc>
        <w:tc>
          <w:tcPr>
            <w:tcW w:w="2550" w:type="dxa"/>
            <w:shd w:val="clear" w:color="auto" w:fill="auto"/>
          </w:tcPr>
          <w:p w14:paraId="0CADE5CF"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279,239 to 340,128</w:t>
            </w:r>
          </w:p>
        </w:tc>
      </w:tr>
      <w:tr w:rsidR="003F26DA" w14:paraId="6422DD5A" w14:textId="77777777" w:rsidTr="007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8C19CB7" w14:textId="77777777" w:rsidR="003F26DA" w:rsidRDefault="003F26DA">
            <w:pPr>
              <w:pStyle w:val="10Tabletext"/>
              <w:keepNext/>
              <w:rPr>
                <w:noProof/>
                <w:color w:val="auto"/>
              </w:rPr>
            </w:pPr>
            <w:r>
              <w:rPr>
                <w:noProof/>
                <w:color w:val="auto"/>
              </w:rPr>
              <w:t>Corporate Services 3</w:t>
            </w:r>
          </w:p>
        </w:tc>
        <w:tc>
          <w:tcPr>
            <w:tcW w:w="2268" w:type="dxa"/>
            <w:shd w:val="clear" w:color="auto" w:fill="auto"/>
          </w:tcPr>
          <w:p w14:paraId="26A5D2E1"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General Manager</w:t>
            </w:r>
          </w:p>
        </w:tc>
        <w:tc>
          <w:tcPr>
            <w:tcW w:w="1559" w:type="dxa"/>
            <w:shd w:val="clear" w:color="auto" w:fill="auto"/>
          </w:tcPr>
          <w:p w14:paraId="4297CFBD"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PESES-2a</w:t>
            </w:r>
          </w:p>
        </w:tc>
        <w:tc>
          <w:tcPr>
            <w:tcW w:w="2550" w:type="dxa"/>
            <w:shd w:val="clear" w:color="auto" w:fill="auto"/>
          </w:tcPr>
          <w:p w14:paraId="550962DF"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279,239 to 340,128</w:t>
            </w:r>
          </w:p>
        </w:tc>
      </w:tr>
      <w:tr w:rsidR="003F26DA" w14:paraId="577B22B2" w14:textId="77777777" w:rsidTr="007231EF">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892A575" w14:textId="77777777" w:rsidR="003F26DA" w:rsidRDefault="003F26DA">
            <w:pPr>
              <w:pStyle w:val="10Tabletext"/>
              <w:keepNext/>
              <w:rPr>
                <w:noProof/>
                <w:color w:val="auto"/>
              </w:rPr>
            </w:pPr>
            <w:r>
              <w:rPr>
                <w:noProof/>
                <w:color w:val="auto"/>
              </w:rPr>
              <w:t>Chief Officer 3</w:t>
            </w:r>
          </w:p>
        </w:tc>
        <w:tc>
          <w:tcPr>
            <w:tcW w:w="2268" w:type="dxa"/>
            <w:shd w:val="clear" w:color="auto" w:fill="auto"/>
          </w:tcPr>
          <w:p w14:paraId="1CE2323A"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Head of …</w:t>
            </w:r>
          </w:p>
        </w:tc>
        <w:tc>
          <w:tcPr>
            <w:tcW w:w="1559" w:type="dxa"/>
            <w:shd w:val="clear" w:color="auto" w:fill="auto"/>
          </w:tcPr>
          <w:p w14:paraId="2CADA1CE" w14:textId="77777777" w:rsidR="003F26DA" w:rsidRDefault="003F26DA">
            <w:pPr>
              <w:pStyle w:val="10Tabletext"/>
              <w:keepNex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PESES-1</w:t>
            </w:r>
          </w:p>
        </w:tc>
        <w:tc>
          <w:tcPr>
            <w:tcW w:w="2550" w:type="dxa"/>
            <w:shd w:val="clear" w:color="auto" w:fill="auto"/>
          </w:tcPr>
          <w:p w14:paraId="1C25214C" w14:textId="77777777" w:rsidR="003F26DA"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216,376 to 279,238</w:t>
            </w:r>
          </w:p>
        </w:tc>
      </w:tr>
      <w:tr w:rsidR="003F26DA" w14:paraId="1FE6AC21" w14:textId="77777777" w:rsidTr="00723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29EEE872" w14:textId="77777777" w:rsidR="003F26DA" w:rsidRPr="00A27D4B" w:rsidRDefault="003F26DA">
            <w:pPr>
              <w:pStyle w:val="10Tabletext"/>
              <w:keepNext/>
              <w:rPr>
                <w:noProof/>
                <w:color w:val="auto"/>
              </w:rPr>
            </w:pPr>
            <w:r>
              <w:rPr>
                <w:noProof/>
                <w:color w:val="auto"/>
              </w:rPr>
              <w:t>Corporate Services 4</w:t>
            </w:r>
          </w:p>
        </w:tc>
        <w:tc>
          <w:tcPr>
            <w:tcW w:w="2268" w:type="dxa"/>
            <w:shd w:val="clear" w:color="auto" w:fill="auto"/>
          </w:tcPr>
          <w:p w14:paraId="4D5838D3" w14:textId="77777777" w:rsidR="003F26DA" w:rsidRPr="00A27D4B"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Head of …</w:t>
            </w:r>
          </w:p>
        </w:tc>
        <w:tc>
          <w:tcPr>
            <w:tcW w:w="1559" w:type="dxa"/>
            <w:shd w:val="clear" w:color="auto" w:fill="auto"/>
          </w:tcPr>
          <w:p w14:paraId="4C88E792" w14:textId="77777777" w:rsidR="003F26DA" w:rsidRDefault="003F26DA">
            <w:pPr>
              <w:pStyle w:val="10Tabletext"/>
              <w:keepNex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PESES-1</w:t>
            </w:r>
          </w:p>
        </w:tc>
        <w:tc>
          <w:tcPr>
            <w:tcW w:w="2550" w:type="dxa"/>
            <w:shd w:val="clear" w:color="auto" w:fill="auto"/>
          </w:tcPr>
          <w:p w14:paraId="3B289B9D" w14:textId="77777777" w:rsidR="003F26DA"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216,376 to 279,238</w:t>
            </w:r>
          </w:p>
        </w:tc>
      </w:tr>
    </w:tbl>
    <w:p w14:paraId="6F663C83" w14:textId="77777777" w:rsidR="003F26DA" w:rsidRDefault="003F26DA">
      <w:pPr>
        <w:pStyle w:val="09Sourcesandnotesfortablesfiguresboxes"/>
      </w:pPr>
      <w:r>
        <w:t xml:space="preserve">Source: CFA submission, p. 2. </w:t>
      </w:r>
    </w:p>
    <w:p w14:paraId="402C5537" w14:textId="77777777" w:rsidR="003F26DA" w:rsidRDefault="003F26DA">
      <w:pPr>
        <w:pStyle w:val="02VIRTHeading2"/>
      </w:pPr>
      <w:bookmarkStart w:id="62" w:name="_Toc185012370"/>
      <w:r>
        <w:lastRenderedPageBreak/>
        <w:t>4.4</w:t>
      </w:r>
      <w:r>
        <w:tab/>
        <w:t>Employers set the remuneration of individual executives</w:t>
      </w:r>
      <w:bookmarkEnd w:id="62"/>
    </w:p>
    <w:p w14:paraId="7FCE00E8" w14:textId="77777777" w:rsidR="003F26DA" w:rsidRDefault="003F26DA">
      <w:pPr>
        <w:pStyle w:val="05Paragraph"/>
      </w:pPr>
      <w:r>
        <w:t>Subject to the requirements of the PEER Policy and VIRTIPS Act explained above, employers have discretion in setting an individual executive’s remuneration. For example, an employer may choose to position executive TRPs towards the base, or top of the remuneration band.</w:t>
      </w:r>
    </w:p>
    <w:p w14:paraId="1D05D3FF" w14:textId="77777777" w:rsidR="003F26DA" w:rsidRPr="00B95CC2" w:rsidRDefault="003F26DA">
      <w:pPr>
        <w:pStyle w:val="05Paragraph"/>
      </w:pPr>
      <w:r>
        <w:t xml:space="preserve">In practice, the remuneration of public entity executives tends to be distributed relatively evenly across each band, while executive remuneration in public service bodies tends to </w:t>
      </w:r>
      <w:r w:rsidRPr="00B95CC2">
        <w:t xml:space="preserve">be clustered towards the bottom of each band.  </w:t>
      </w:r>
    </w:p>
    <w:p w14:paraId="03A2A01A" w14:textId="77777777" w:rsidR="003F26DA" w:rsidRPr="00B95CC2" w:rsidRDefault="003F26DA">
      <w:pPr>
        <w:pStyle w:val="05Paragraph"/>
      </w:pPr>
      <w:r>
        <w:t>Data published by</w:t>
      </w:r>
      <w:r w:rsidRPr="00B95CC2">
        <w:t xml:space="preserve"> the VPSC </w:t>
      </w:r>
      <w:r>
        <w:t>show</w:t>
      </w:r>
      <w:r w:rsidRPr="00B95CC2" w:rsidDel="001D577B">
        <w:t xml:space="preserve"> </w:t>
      </w:r>
      <w:r w:rsidRPr="00B95CC2">
        <w:t>that</w:t>
      </w:r>
      <w:r>
        <w:t>,</w:t>
      </w:r>
      <w:r w:rsidRPr="00B95CC2">
        <w:t xml:space="preserve"> between 2021 and 2023, the average TRP of public entity executives grew faster than that of public service executives.</w:t>
      </w:r>
      <w:r>
        <w:rPr>
          <w:rStyle w:val="FootnoteReference"/>
        </w:rPr>
        <w:footnoteReference w:id="146"/>
      </w:r>
      <w:r w:rsidRPr="00B95CC2">
        <w:t xml:space="preserve"> </w:t>
      </w:r>
    </w:p>
    <w:p w14:paraId="10E4BD58" w14:textId="77777777" w:rsidR="003F26DA" w:rsidRPr="00B95CC2" w:rsidRDefault="003F26DA">
      <w:pPr>
        <w:pStyle w:val="05Paragraph"/>
      </w:pPr>
      <w:r w:rsidRPr="00B95CC2">
        <w:t xml:space="preserve">The Tribunal compared the average and median TRP of executives in public entities and public service bodies, as </w:t>
      </w:r>
      <w:proofErr w:type="gramStart"/>
      <w:r w:rsidRPr="00B95CC2">
        <w:t>at</w:t>
      </w:r>
      <w:proofErr w:type="gramEnd"/>
      <w:r w:rsidRPr="00B95CC2">
        <w:t xml:space="preserve"> 30 June 2023 (Table 4.6). At each classification level, the average and median TRP was higher in public entities than in public service bodies. The difference was most pronounced at the PESES-3/SES-3 classification, and least pronounced at the PESES-2/SES-2 classification. </w:t>
      </w:r>
    </w:p>
    <w:p w14:paraId="32409FC7" w14:textId="58B651B1" w:rsidR="003F26DA" w:rsidRDefault="003F26DA">
      <w:pPr>
        <w:pStyle w:val="08Figuretableboxheading"/>
      </w:pPr>
      <w:r w:rsidRPr="00B95CC2">
        <w:t xml:space="preserve">Table 4.6: Average and median TRP of executives by classification </w:t>
      </w:r>
      <w:r w:rsidR="00586E5F">
        <w:t xml:space="preserve">as </w:t>
      </w:r>
      <w:proofErr w:type="gramStart"/>
      <w:r w:rsidR="00586E5F">
        <w:t>at</w:t>
      </w:r>
      <w:proofErr w:type="gramEnd"/>
      <w:r w:rsidR="00586E5F">
        <w:t xml:space="preserve"> </w:t>
      </w:r>
      <w:r w:rsidRPr="00B95CC2">
        <w:t>30 June 2023</w:t>
      </w:r>
    </w:p>
    <w:tbl>
      <w:tblPr>
        <w:tblStyle w:val="VIRTDeterminationTableStyle"/>
        <w:tblW w:w="5000" w:type="pct"/>
        <w:tblInd w:w="0" w:type="dxa"/>
        <w:tblBorders>
          <w:top w:val="single" w:sz="4" w:space="0" w:color="26664E" w:themeColor="accent1"/>
          <w:bottom w:val="single" w:sz="4" w:space="0" w:color="26664E" w:themeColor="accent1"/>
          <w:insideH w:val="single" w:sz="4" w:space="0" w:color="26664E" w:themeColor="accent1"/>
        </w:tblBorders>
        <w:tblLook w:val="04A0" w:firstRow="1" w:lastRow="0" w:firstColumn="1" w:lastColumn="0" w:noHBand="0" w:noVBand="1"/>
      </w:tblPr>
      <w:tblGrid>
        <w:gridCol w:w="1863"/>
        <w:gridCol w:w="2214"/>
        <w:gridCol w:w="2214"/>
        <w:gridCol w:w="2213"/>
      </w:tblGrid>
      <w:tr w:rsidR="003F26DA" w14:paraId="6A056B26" w14:textId="77777777" w:rsidTr="00A873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5" w:type="pct"/>
            <w:tcBorders>
              <w:top w:val="single" w:sz="4" w:space="0" w:color="26664E" w:themeColor="accent1"/>
            </w:tcBorders>
          </w:tcPr>
          <w:p w14:paraId="17138A4D" w14:textId="042F0D88" w:rsidR="003F26DA" w:rsidRPr="0002422C" w:rsidRDefault="0002422C">
            <w:pPr>
              <w:pStyle w:val="10Tabletext"/>
              <w:keepNext/>
              <w:rPr>
                <w:noProof/>
                <w:color w:val="auto"/>
              </w:rPr>
            </w:pPr>
            <w:r w:rsidRPr="0002422C">
              <w:rPr>
                <w:noProof/>
                <w:color w:val="F8F8F8" w:themeColor="background2"/>
              </w:rPr>
              <w:t>Classification</w:t>
            </w:r>
          </w:p>
        </w:tc>
        <w:tc>
          <w:tcPr>
            <w:tcW w:w="1302" w:type="pct"/>
            <w:shd w:val="clear" w:color="auto" w:fill="26664E"/>
          </w:tcPr>
          <w:p w14:paraId="63AD576E" w14:textId="439AB965" w:rsidR="003F26DA" w:rsidRPr="00C4701C"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b w:val="0"/>
                <w:bCs/>
                <w:noProof/>
              </w:rPr>
            </w:pPr>
            <w:r w:rsidRPr="00C4701C">
              <w:rPr>
                <w:noProof/>
              </w:rPr>
              <w:t>Public entities</w:t>
            </w:r>
            <w:r w:rsidR="00A873C2">
              <w:rPr>
                <w:noProof/>
              </w:rPr>
              <w:t xml:space="preserve"> ($ p.a.)</w:t>
            </w:r>
          </w:p>
        </w:tc>
        <w:tc>
          <w:tcPr>
            <w:tcW w:w="1302" w:type="pct"/>
            <w:shd w:val="clear" w:color="auto" w:fill="26664E"/>
          </w:tcPr>
          <w:p w14:paraId="0BFFFE4A" w14:textId="4E0B13FC" w:rsidR="003F26DA" w:rsidRPr="00C4701C"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b w:val="0"/>
                <w:bCs/>
                <w:noProof/>
              </w:rPr>
            </w:pPr>
            <w:r w:rsidRPr="00C4701C">
              <w:rPr>
                <w:noProof/>
              </w:rPr>
              <w:t>Public service</w:t>
            </w:r>
            <w:r w:rsidR="00A873C2">
              <w:rPr>
                <w:noProof/>
              </w:rPr>
              <w:t xml:space="preserve"> ($ p.a.)</w:t>
            </w:r>
          </w:p>
        </w:tc>
        <w:tc>
          <w:tcPr>
            <w:tcW w:w="1302" w:type="pct"/>
            <w:shd w:val="clear" w:color="auto" w:fill="26664E"/>
          </w:tcPr>
          <w:p w14:paraId="76CB22DD" w14:textId="1A0A8FC7" w:rsidR="003F26DA" w:rsidRPr="0025416A" w:rsidRDefault="003F26DA">
            <w:pPr>
              <w:pStyle w:val="10Tabletext"/>
              <w:keepNext/>
              <w:jc w:val="right"/>
              <w:cnfStyle w:val="100000000000" w:firstRow="1" w:lastRow="0" w:firstColumn="0" w:lastColumn="0" w:oddVBand="0" w:evenVBand="0" w:oddHBand="0" w:evenHBand="0" w:firstRowFirstColumn="0" w:firstRowLastColumn="0" w:lastRowFirstColumn="0" w:lastRowLastColumn="0"/>
              <w:rPr>
                <w:b w:val="0"/>
                <w:vertAlign w:val="superscript"/>
              </w:rPr>
            </w:pPr>
            <w:r w:rsidRPr="00C4701C">
              <w:rPr>
                <w:noProof/>
              </w:rPr>
              <w:t>Difference</w:t>
            </w:r>
            <w:r>
              <w:rPr>
                <w:noProof/>
                <w:vertAlign w:val="superscript"/>
              </w:rPr>
              <w:t>(a)</w:t>
            </w:r>
            <w:r w:rsidR="00A873C2">
              <w:rPr>
                <w:noProof/>
              </w:rPr>
              <w:t xml:space="preserve"> ($ p.a.)</w:t>
            </w:r>
          </w:p>
        </w:tc>
      </w:tr>
      <w:tr w:rsidR="003F26DA" w14:paraId="5A649EE6" w14:textId="77777777" w:rsidTr="00A8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tcPr>
          <w:p w14:paraId="6CEC7C2D" w14:textId="77777777" w:rsidR="003F26DA" w:rsidRPr="00BB4E42" w:rsidRDefault="003F26DA">
            <w:pPr>
              <w:pStyle w:val="10Tabletext"/>
              <w:keepNext/>
              <w:rPr>
                <w:noProof/>
                <w:color w:val="auto"/>
              </w:rPr>
            </w:pPr>
            <w:r>
              <w:rPr>
                <w:noProof/>
                <w:color w:val="auto"/>
              </w:rPr>
              <w:t>PESES-1/SES-1</w:t>
            </w:r>
          </w:p>
        </w:tc>
        <w:tc>
          <w:tcPr>
            <w:tcW w:w="1302" w:type="pct"/>
            <w:shd w:val="clear" w:color="auto" w:fill="auto"/>
          </w:tcPr>
          <w:p w14:paraId="4764AF5A" w14:textId="77777777" w:rsidR="003F26DA" w:rsidRPr="00BB4E42"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240/235</w:t>
            </w:r>
          </w:p>
        </w:tc>
        <w:tc>
          <w:tcPr>
            <w:tcW w:w="1302" w:type="pct"/>
            <w:shd w:val="clear" w:color="auto" w:fill="auto"/>
          </w:tcPr>
          <w:p w14:paraId="7CA7E3D6" w14:textId="77777777" w:rsidR="003F26DA" w:rsidRPr="00BB4E42"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226/221</w:t>
            </w:r>
          </w:p>
        </w:tc>
        <w:tc>
          <w:tcPr>
            <w:tcW w:w="1302" w:type="pct"/>
            <w:shd w:val="clear" w:color="auto" w:fill="auto"/>
          </w:tcPr>
          <w:p w14:paraId="4FDC8845" w14:textId="77777777" w:rsidR="003F26DA" w:rsidRPr="00BB4E42" w:rsidRDefault="003F26DA">
            <w:pPr>
              <w:pStyle w:val="10Tabletext"/>
              <w:keepN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14/14</w:t>
            </w:r>
          </w:p>
        </w:tc>
      </w:tr>
      <w:tr w:rsidR="003F26DA" w14:paraId="626CCC4D" w14:textId="77777777" w:rsidTr="00A873C2">
        <w:tc>
          <w:tcPr>
            <w:cnfStyle w:val="001000000000" w:firstRow="0" w:lastRow="0" w:firstColumn="1" w:lastColumn="0" w:oddVBand="0" w:evenVBand="0" w:oddHBand="0" w:evenHBand="0" w:firstRowFirstColumn="0" w:firstRowLastColumn="0" w:lastRowFirstColumn="0" w:lastRowLastColumn="0"/>
            <w:tcW w:w="1095" w:type="pct"/>
            <w:shd w:val="clear" w:color="auto" w:fill="auto"/>
          </w:tcPr>
          <w:p w14:paraId="6130C39B" w14:textId="77777777" w:rsidR="003F26DA" w:rsidRPr="00BB4E42" w:rsidRDefault="003F26DA">
            <w:pPr>
              <w:pStyle w:val="10Tabletext"/>
              <w:keepNext/>
              <w:rPr>
                <w:noProof/>
                <w:color w:val="auto"/>
              </w:rPr>
            </w:pPr>
            <w:r>
              <w:rPr>
                <w:noProof/>
                <w:color w:val="auto"/>
              </w:rPr>
              <w:t>PESES-2/SES-2</w:t>
            </w:r>
          </w:p>
        </w:tc>
        <w:tc>
          <w:tcPr>
            <w:tcW w:w="1302" w:type="pct"/>
            <w:shd w:val="clear" w:color="auto" w:fill="auto"/>
          </w:tcPr>
          <w:p w14:paraId="26CCFA49" w14:textId="77777777" w:rsidR="003F26DA" w:rsidRPr="00BB4E42"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316/303</w:t>
            </w:r>
          </w:p>
        </w:tc>
        <w:tc>
          <w:tcPr>
            <w:tcW w:w="1302" w:type="pct"/>
            <w:shd w:val="clear" w:color="auto" w:fill="auto"/>
          </w:tcPr>
          <w:p w14:paraId="20AA885B" w14:textId="77777777" w:rsidR="003F26DA" w:rsidRPr="00BB4E42"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309/300</w:t>
            </w:r>
          </w:p>
        </w:tc>
        <w:tc>
          <w:tcPr>
            <w:tcW w:w="1302" w:type="pct"/>
            <w:shd w:val="clear" w:color="auto" w:fill="auto"/>
          </w:tcPr>
          <w:p w14:paraId="493DC9A0" w14:textId="77777777" w:rsidR="003F26DA" w:rsidRPr="00BB4E42" w:rsidRDefault="003F26DA">
            <w:pPr>
              <w:pStyle w:val="10Tabletext"/>
              <w:keepN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6/3</w:t>
            </w:r>
          </w:p>
        </w:tc>
      </w:tr>
      <w:tr w:rsidR="003F26DA" w14:paraId="524882C8" w14:textId="77777777" w:rsidTr="00A8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shd w:val="clear" w:color="auto" w:fill="auto"/>
          </w:tcPr>
          <w:p w14:paraId="02E68343" w14:textId="77777777" w:rsidR="003F26DA" w:rsidRPr="00BB4E42" w:rsidRDefault="003F26DA">
            <w:pPr>
              <w:pStyle w:val="10Tabletext"/>
              <w:rPr>
                <w:noProof/>
                <w:color w:val="auto"/>
              </w:rPr>
            </w:pPr>
            <w:r>
              <w:rPr>
                <w:noProof/>
                <w:color w:val="auto"/>
              </w:rPr>
              <w:t>PESES-3/SES-3</w:t>
            </w:r>
          </w:p>
        </w:tc>
        <w:tc>
          <w:tcPr>
            <w:tcW w:w="1302" w:type="pct"/>
            <w:shd w:val="clear" w:color="auto" w:fill="auto"/>
          </w:tcPr>
          <w:p w14:paraId="60465A49" w14:textId="77777777" w:rsidR="003F26DA" w:rsidRPr="00BB4E42" w:rsidRDefault="003F26DA">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462/444</w:t>
            </w:r>
          </w:p>
        </w:tc>
        <w:tc>
          <w:tcPr>
            <w:tcW w:w="1302" w:type="pct"/>
            <w:shd w:val="clear" w:color="auto" w:fill="auto"/>
          </w:tcPr>
          <w:p w14:paraId="06027E2A" w14:textId="77777777" w:rsidR="003F26DA" w:rsidRPr="00BB4E42" w:rsidRDefault="003F26DA">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432/410</w:t>
            </w:r>
          </w:p>
        </w:tc>
        <w:tc>
          <w:tcPr>
            <w:tcW w:w="1302" w:type="pct"/>
            <w:shd w:val="clear" w:color="auto" w:fill="auto"/>
          </w:tcPr>
          <w:p w14:paraId="28AEBAFF" w14:textId="77777777" w:rsidR="003F26DA" w:rsidRPr="00BB4E42" w:rsidRDefault="003F26DA">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30/34</w:t>
            </w:r>
          </w:p>
        </w:tc>
      </w:tr>
    </w:tbl>
    <w:p w14:paraId="42CE0AB2" w14:textId="77777777" w:rsidR="003F26DA" w:rsidRDefault="003F26DA">
      <w:pPr>
        <w:pStyle w:val="09Sourcesandnotesfortablesfiguresboxes"/>
      </w:pPr>
      <w:r>
        <w:t>Note: (a) Discrepancies reflect the impact of rounding.</w:t>
      </w:r>
    </w:p>
    <w:p w14:paraId="757D38E9" w14:textId="77777777" w:rsidR="003F26DA" w:rsidRDefault="003F26DA">
      <w:pPr>
        <w:pStyle w:val="09Sourcesandnotesfortablesfiguresboxes"/>
      </w:pPr>
      <w:r>
        <w:t xml:space="preserve">Source: </w:t>
      </w:r>
      <w:r w:rsidRPr="00522856">
        <w:t>Tribunal analysis of VPSC data</w:t>
      </w:r>
      <w:r>
        <w:t>.</w:t>
      </w:r>
    </w:p>
    <w:p w14:paraId="5FFD3236" w14:textId="77777777" w:rsidR="003F26DA" w:rsidRDefault="003F26DA">
      <w:pPr>
        <w:pStyle w:val="05Paragraph"/>
      </w:pPr>
      <w:r>
        <w:t xml:space="preserve">The Tribunal has issued guidelines with respect to the placement of executives employed in prescribed public entities within the remuneration bands. The PE Guidelines complement this Determination by assisting employers to identify and consider relevant factors when setting and reviewing an executive’s remuneration. Stakeholder feedback on the Guidelines and the Tribunal’s changes to them are discussed in Chapter 8. </w:t>
      </w:r>
    </w:p>
    <w:p w14:paraId="0F7C2D4B" w14:textId="668C8983" w:rsidR="003F26DA" w:rsidRDefault="003F26DA">
      <w:pPr>
        <w:pStyle w:val="05Paragraph"/>
      </w:pPr>
      <w:r>
        <w:t>More generally, the PAA requires public sector body Heads, including public entity CEOs, to establish employment processes that ensure:</w:t>
      </w:r>
      <w:r>
        <w:rPr>
          <w:rStyle w:val="FootnoteReference"/>
        </w:rPr>
        <w:footnoteReference w:id="147"/>
      </w:r>
      <w:r>
        <w:t xml:space="preserve"> </w:t>
      </w:r>
    </w:p>
    <w:p w14:paraId="29E24A66" w14:textId="77777777" w:rsidR="003F26DA" w:rsidRPr="00A923F5" w:rsidRDefault="003F26DA" w:rsidP="003F26DA">
      <w:pPr>
        <w:pStyle w:val="06VIRTBulletpoints"/>
        <w:ind w:left="357" w:hanging="357"/>
      </w:pPr>
      <w:r w:rsidRPr="00A923F5">
        <w:lastRenderedPageBreak/>
        <w:t>employment decisions are based on merit</w:t>
      </w:r>
    </w:p>
    <w:p w14:paraId="694CEEB6" w14:textId="77777777" w:rsidR="003F26DA" w:rsidRPr="00A923F5" w:rsidRDefault="003F26DA" w:rsidP="003F26DA">
      <w:pPr>
        <w:pStyle w:val="06VIRTBulletpoints"/>
        <w:ind w:left="357" w:hanging="357"/>
      </w:pPr>
      <w:r w:rsidRPr="00A923F5">
        <w:t>employees are treated fairly and reasonably</w:t>
      </w:r>
    </w:p>
    <w:p w14:paraId="476EBD25" w14:textId="77777777" w:rsidR="003F26DA" w:rsidRPr="00A923F5" w:rsidRDefault="003F26DA" w:rsidP="003F26DA">
      <w:pPr>
        <w:pStyle w:val="06VIRTBulletpoints"/>
        <w:ind w:left="357" w:hanging="357"/>
      </w:pPr>
      <w:r w:rsidRPr="00A923F5">
        <w:t>equal employment opportunity is provided</w:t>
      </w:r>
    </w:p>
    <w:p w14:paraId="7E5B0609" w14:textId="77777777" w:rsidR="003F26DA" w:rsidRPr="00A923F5" w:rsidRDefault="003F26DA" w:rsidP="003F26DA">
      <w:pPr>
        <w:pStyle w:val="06VIRTBulletpoints"/>
        <w:ind w:left="357" w:hanging="357"/>
      </w:pPr>
      <w:r w:rsidRPr="00A923F5">
        <w:t>human rights as set out in the Charter of Human Rights and Responsibilities are upheld</w:t>
      </w:r>
    </w:p>
    <w:p w14:paraId="0503800F" w14:textId="77777777" w:rsidR="003F26DA" w:rsidRPr="00A923F5" w:rsidRDefault="003F26DA" w:rsidP="003F26DA">
      <w:pPr>
        <w:pStyle w:val="06VIRTBulletpoints"/>
        <w:ind w:left="357" w:hanging="357"/>
      </w:pPr>
      <w:r w:rsidRPr="00A923F5">
        <w:t>public sector employees have a reasonable avenue of redress against unfair or unreasonable treatment.</w:t>
      </w:r>
    </w:p>
    <w:p w14:paraId="72546B6E" w14:textId="77777777" w:rsidR="003F26DA" w:rsidRDefault="003F26DA">
      <w:pPr>
        <w:pStyle w:val="05Paragraph"/>
      </w:pPr>
      <w:r>
        <w:t>The VPSC encourages public entities to establish an executive remuneration committee, to ensure that a consistent and rigorous approach is taken to setting and adjusting executive remuneration. It notes that for smaller public entities, it may be appropriate for this role to be undertaken by the entity’s board.</w:t>
      </w:r>
      <w:r>
        <w:rPr>
          <w:rStyle w:val="FootnoteReference"/>
        </w:rPr>
        <w:footnoteReference w:id="148"/>
      </w:r>
      <w:r>
        <w:t xml:space="preserve"> </w:t>
      </w:r>
    </w:p>
    <w:p w14:paraId="2BAA4CB4" w14:textId="77777777" w:rsidR="003F26DA" w:rsidRDefault="003F26DA">
      <w:pPr>
        <w:pStyle w:val="03VIRTHeading3"/>
      </w:pPr>
      <w:r>
        <w:t>Executive remuneration is reviewed annually</w:t>
      </w:r>
    </w:p>
    <w:p w14:paraId="3F4D650A" w14:textId="1A2F23B4" w:rsidR="003F26DA" w:rsidRDefault="003F26DA">
      <w:pPr>
        <w:pStyle w:val="05Paragraph"/>
      </w:pPr>
      <w:r>
        <w:t xml:space="preserve">The standard contract issued by the VPSC provides that the employer will review an executive’s remuneration on </w:t>
      </w:r>
      <w:r w:rsidR="00B077C0">
        <w:t xml:space="preserve">an </w:t>
      </w:r>
      <w:r>
        <w:t>annual basis, subject to Government policy.</w:t>
      </w:r>
      <w:r>
        <w:rPr>
          <w:rStyle w:val="FootnoteReference"/>
        </w:rPr>
        <w:footnoteReference w:id="149"/>
      </w:r>
    </w:p>
    <w:p w14:paraId="172A0DB2" w14:textId="77777777" w:rsidR="003F26DA" w:rsidRDefault="003F26DA">
      <w:pPr>
        <w:pStyle w:val="05Paragraph"/>
      </w:pPr>
      <w:r>
        <w:t>Each year, the Premier sets an ‘annual adjustment guideline rate’, which is a salary increase that employers may pass on to executives and senior office holders. Employers have a general discretion to increase executive salaries by up to the guideline rate, although it is not mandatory.</w:t>
      </w:r>
      <w:r w:rsidRPr="00D61459">
        <w:t xml:space="preserve"> </w:t>
      </w:r>
      <w:r>
        <w:t>The guideline rate for 2024-25, which applied from 1 July 2024, is 3 per cent.</w:t>
      </w:r>
      <w:r>
        <w:rPr>
          <w:rStyle w:val="FootnoteReference"/>
        </w:rPr>
        <w:footnoteReference w:id="150"/>
      </w:r>
      <w:r>
        <w:t xml:space="preserve"> </w:t>
      </w:r>
    </w:p>
    <w:p w14:paraId="435C3011" w14:textId="77777777" w:rsidR="003F26DA" w:rsidRDefault="003F26DA">
      <w:pPr>
        <w:pStyle w:val="05Paragraph"/>
      </w:pPr>
      <w:r>
        <w:t>The standard contract also states that the employer may agree to undertake a remuneration review at any time, if requested by the executive. However, a review does not guarantee an increase to remuneration.</w:t>
      </w:r>
      <w:r>
        <w:rPr>
          <w:rStyle w:val="FootnoteReference"/>
        </w:rPr>
        <w:footnoteReference w:id="151"/>
      </w:r>
    </w:p>
    <w:p w14:paraId="42ACE42D" w14:textId="77777777" w:rsidR="003F26DA" w:rsidRDefault="003F26DA">
      <w:pPr>
        <w:pStyle w:val="05Paragraph"/>
      </w:pPr>
      <w:r>
        <w:t xml:space="preserve">Under Commonwealth law, the minimum superannuation entitlements that employers must pay in respect of their employees periodically increase. Increases typically take effect at the start of a financial year. As explained in Box 4.2, prescribed public entities may be required to separately adjust the remuneration of their executives to take those increases into account. </w:t>
      </w:r>
    </w:p>
    <w:p w14:paraId="7DBA70AE" w14:textId="77777777" w:rsidR="003F26DA" w:rsidRPr="000114D3" w:rsidRDefault="003F26DA" w:rsidP="00B04D43">
      <w:pPr>
        <w:pStyle w:val="08Figuretableboxheading"/>
      </w:pPr>
      <w:bookmarkStart w:id="63" w:name="_Toc170393536"/>
      <w:r w:rsidRPr="000114D3">
        <w:lastRenderedPageBreak/>
        <w:t xml:space="preserve">Box </w:t>
      </w:r>
      <w:r>
        <w:t>4</w:t>
      </w:r>
      <w:r w:rsidRPr="000114D3">
        <w:t>.</w:t>
      </w:r>
      <w:r>
        <w:t>2</w:t>
      </w:r>
      <w:r w:rsidRPr="000114D3">
        <w:t xml:space="preserve">: </w:t>
      </w:r>
      <w:r>
        <w:t>Increases to minimum e</w:t>
      </w:r>
      <w:r w:rsidRPr="000114D3">
        <w:t>mployer superannuation contributions for executives who are members of an accumulation scheme</w:t>
      </w:r>
      <w:bookmarkEnd w:id="63"/>
    </w:p>
    <w:p w14:paraId="7481B759" w14:textId="77777777" w:rsidR="003F26DA" w:rsidRPr="000114D3" w:rsidRDefault="003F26DA" w:rsidP="00B04D43">
      <w:pPr>
        <w:pStyle w:val="05Paragraph"/>
        <w:keepNext/>
      </w:pPr>
      <w:r w:rsidRPr="000114D3">
        <w:rPr>
          <w:noProof/>
        </w:rPr>
        <mc:AlternateContent>
          <mc:Choice Requires="wps">
            <w:drawing>
              <wp:inline distT="0" distB="0" distL="0" distR="0" wp14:anchorId="35E3FCE7" wp14:editId="0669FBF8">
                <wp:extent cx="5400040" cy="3672590"/>
                <wp:effectExtent l="0" t="0" r="10160" b="23495"/>
                <wp:docPr id="844938728" name="Text Box 844938728"/>
                <wp:cNvGraphicFramePr/>
                <a:graphic xmlns:a="http://schemas.openxmlformats.org/drawingml/2006/main">
                  <a:graphicData uri="http://schemas.microsoft.com/office/word/2010/wordprocessingShape">
                    <wps:wsp>
                      <wps:cNvSpPr txBox="1"/>
                      <wps:spPr>
                        <a:xfrm>
                          <a:off x="0" y="0"/>
                          <a:ext cx="5400040" cy="3672590"/>
                        </a:xfrm>
                        <a:prstGeom prst="rect">
                          <a:avLst/>
                        </a:prstGeom>
                        <a:noFill/>
                        <a:ln w="19050">
                          <a:solidFill>
                            <a:srgbClr val="148A5D"/>
                          </a:solidFill>
                        </a:ln>
                      </wps:spPr>
                      <wps:txbx>
                        <w:txbxContent>
                          <w:p w14:paraId="65C4A039" w14:textId="77777777" w:rsidR="003F26DA" w:rsidRPr="0026026E" w:rsidRDefault="003F26DA">
                            <w:pPr>
                              <w:pStyle w:val="12BoxText"/>
                            </w:pPr>
                            <w:r w:rsidRPr="0026026E">
                              <w:t>The superannuation guarantee (SG)</w:t>
                            </w:r>
                            <w:r>
                              <w:t xml:space="preserve"> </w:t>
                            </w:r>
                            <w:r w:rsidRPr="0026026E">
                              <w:t>and maximum superannuation contribution base (MSCB) apply to executives who are members of an accumulation scheme.</w:t>
                            </w:r>
                          </w:p>
                          <w:p w14:paraId="4343915C" w14:textId="77777777" w:rsidR="003F26DA" w:rsidRPr="0026026E" w:rsidRDefault="003F26DA">
                            <w:pPr>
                              <w:pStyle w:val="12BoxText"/>
                            </w:pPr>
                            <w:r w:rsidRPr="0026026E">
                              <w:t xml:space="preserve">The SG is the minimum amount of employer superannuation contributions to which an employee is entitled, expressed as a percentage of the employee’s ‘ordinary time </w:t>
                            </w:r>
                            <w:proofErr w:type="gramStart"/>
                            <w:r w:rsidRPr="0026026E">
                              <w:t>earnings’</w:t>
                            </w:r>
                            <w:proofErr w:type="gramEnd"/>
                            <w:r w:rsidRPr="0026026E">
                              <w:t>. The MSCB serves to limit the ‘ordinary time earnings’ that are used to calculate an employee’s superannuation entitlements – that is, earnings over the MSCB are not counted for the purpose of calculating entitlements.</w:t>
                            </w:r>
                          </w:p>
                          <w:p w14:paraId="122C4A6B" w14:textId="77777777" w:rsidR="003F26DA" w:rsidRPr="0026026E" w:rsidRDefault="003F26DA">
                            <w:pPr>
                              <w:pStyle w:val="12BoxText"/>
                            </w:pPr>
                            <w:r w:rsidRPr="0026026E">
                              <w:t>The superannuation entitlements of executives in an accumulation scheme may change from year to year due to the indexation of the MSCB or changes to the SG rate.</w:t>
                            </w:r>
                          </w:p>
                          <w:p w14:paraId="482FB619" w14:textId="77777777" w:rsidR="003F26DA" w:rsidRPr="0026026E" w:rsidRDefault="003F26DA">
                            <w:pPr>
                              <w:pStyle w:val="12BoxText"/>
                            </w:pPr>
                            <w:r w:rsidRPr="0026026E">
                              <w:t>On 1 July 2024:</w:t>
                            </w:r>
                          </w:p>
                          <w:p w14:paraId="6969C501" w14:textId="77777777" w:rsidR="003F26DA" w:rsidRPr="0026026E" w:rsidRDefault="003F26DA" w:rsidP="003F26DA">
                            <w:pPr>
                              <w:pStyle w:val="13Boxbullets"/>
                              <w:ind w:left="502"/>
                            </w:pPr>
                            <w:r w:rsidRPr="0026026E">
                              <w:t xml:space="preserve">the SG </w:t>
                            </w:r>
                            <w:r>
                              <w:t xml:space="preserve">rate </w:t>
                            </w:r>
                            <w:r w:rsidRPr="0026026E">
                              <w:t>increase</w:t>
                            </w:r>
                            <w:r>
                              <w:t>d</w:t>
                            </w:r>
                            <w:r w:rsidRPr="0026026E">
                              <w:t xml:space="preserve"> from 11 per cent to 11.5 per cent</w:t>
                            </w:r>
                          </w:p>
                          <w:p w14:paraId="19B7B518" w14:textId="77777777" w:rsidR="003F26DA" w:rsidRDefault="003F26DA" w:rsidP="003F26DA">
                            <w:pPr>
                              <w:pStyle w:val="13Boxbullets"/>
                              <w:ind w:left="502"/>
                            </w:pPr>
                            <w:r w:rsidRPr="0026026E">
                              <w:t>the MSCB increase</w:t>
                            </w:r>
                            <w:r>
                              <w:t>d</w:t>
                            </w:r>
                            <w:r w:rsidRPr="0026026E">
                              <w:t xml:space="preserve"> from $249,080 per annum to $260,280 per annum.</w:t>
                            </w:r>
                          </w:p>
                          <w:p w14:paraId="37AB2B9E" w14:textId="77777777" w:rsidR="003F26DA" w:rsidRPr="0026026E" w:rsidRDefault="003F26DA">
                            <w:pPr>
                              <w:pStyle w:val="12BoxText"/>
                            </w:pPr>
                            <w:r>
                              <w:t xml:space="preserve">The SG rate is scheduled to increase to 12 per cent on 1 July 2025. The value of the MSCB from that date is not known at the time of this Determination. </w:t>
                            </w:r>
                          </w:p>
                          <w:p w14:paraId="3CB51455" w14:textId="77777777" w:rsidR="003F26DA" w:rsidRPr="0026026E" w:rsidRDefault="003F26DA">
                            <w:pPr>
                              <w:pStyle w:val="12BoxText"/>
                            </w:pPr>
                            <w:r w:rsidRPr="0026026E">
                              <w:t xml:space="preserve">The </w:t>
                            </w:r>
                            <w:r>
                              <w:t xml:space="preserve">PE </w:t>
                            </w:r>
                            <w:r w:rsidRPr="0026026E">
                              <w:t xml:space="preserve">Handbook </w:t>
                            </w:r>
                            <w:r>
                              <w:t>explains that public entities that employ executives using the standard contract must bear the cost of increases to both the SG and MSCB</w:t>
                            </w:r>
                            <w:r w:rsidRPr="0026026E">
                              <w:t>. This means that the salary and other components of TRP cannot be reduced to offset changes to Commonwealth superannuation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E3FCE7" id="_x0000_t202" coordsize="21600,21600" o:spt="202" path="m,l,21600r21600,l21600,xe">
                <v:stroke joinstyle="miter"/>
                <v:path gradientshapeok="t" o:connecttype="rect"/>
              </v:shapetype>
              <v:shape id="Text Box 844938728" o:spid="_x0000_s1030" type="#_x0000_t202" style="width:425.2pt;height:2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" filled="f" strokecolor="#148a5d" strokeweight="1.5pt">
                <v:textbox>
                  <w:txbxContent>
                    <w:p w14:paraId="65C4A039" w14:textId="77777777" w:rsidR="003F26DA" w:rsidRPr="0026026E" w:rsidRDefault="003F26DA">
                      <w:pPr>
                        <w:pStyle w:val="12BoxText"/>
                      </w:pPr>
                      <w:r w:rsidRPr="0026026E">
                        <w:t>The superannuation guarantee (SG)</w:t>
                      </w:r>
                      <w:r>
                        <w:t xml:space="preserve"> </w:t>
                      </w:r>
                      <w:r w:rsidRPr="0026026E">
                        <w:t>and maximum superannuation contribution base (MSCB) apply to executives who are members of an accumulation scheme.</w:t>
                      </w:r>
                    </w:p>
                    <w:p w14:paraId="4343915C" w14:textId="77777777" w:rsidR="003F26DA" w:rsidRPr="0026026E" w:rsidRDefault="003F26DA">
                      <w:pPr>
                        <w:pStyle w:val="12BoxText"/>
                      </w:pPr>
                      <w:r w:rsidRPr="0026026E">
                        <w:t xml:space="preserve">The SG is the minimum amount of employer superannuation contributions to which an employee is entitled, expressed as a percentage of the employee’s ‘ordinary time </w:t>
                      </w:r>
                      <w:proofErr w:type="gramStart"/>
                      <w:r w:rsidRPr="0026026E">
                        <w:t>earnings’</w:t>
                      </w:r>
                      <w:proofErr w:type="gramEnd"/>
                      <w:r w:rsidRPr="0026026E">
                        <w:t>. The MSCB serves to limit the ‘ordinary time earnings’ that are used to calculate an employee’s superannuation entitlements – that is, earnings over the MSCB are not counted for the purpose of calculating entitlements.</w:t>
                      </w:r>
                    </w:p>
                    <w:p w14:paraId="122C4A6B" w14:textId="77777777" w:rsidR="003F26DA" w:rsidRPr="0026026E" w:rsidRDefault="003F26DA">
                      <w:pPr>
                        <w:pStyle w:val="12BoxText"/>
                      </w:pPr>
                      <w:r w:rsidRPr="0026026E">
                        <w:t>The superannuation entitlements of executives in an accumulation scheme may change from year to year due to the indexation of the MSCB or changes to the SG rate.</w:t>
                      </w:r>
                    </w:p>
                    <w:p w14:paraId="482FB619" w14:textId="77777777" w:rsidR="003F26DA" w:rsidRPr="0026026E" w:rsidRDefault="003F26DA">
                      <w:pPr>
                        <w:pStyle w:val="12BoxText"/>
                      </w:pPr>
                      <w:r w:rsidRPr="0026026E">
                        <w:t>On 1 July 2024:</w:t>
                      </w:r>
                    </w:p>
                    <w:p w14:paraId="6969C501" w14:textId="77777777" w:rsidR="003F26DA" w:rsidRPr="0026026E" w:rsidRDefault="003F26DA" w:rsidP="003F26DA">
                      <w:pPr>
                        <w:pStyle w:val="13Boxbullets"/>
                        <w:ind w:left="502"/>
                      </w:pPr>
                      <w:r w:rsidRPr="0026026E">
                        <w:t xml:space="preserve">the SG </w:t>
                      </w:r>
                      <w:r>
                        <w:t xml:space="preserve">rate </w:t>
                      </w:r>
                      <w:r w:rsidRPr="0026026E">
                        <w:t>increase</w:t>
                      </w:r>
                      <w:r>
                        <w:t>d</w:t>
                      </w:r>
                      <w:r w:rsidRPr="0026026E">
                        <w:t xml:space="preserve"> from 11 per cent to 11.5 per cent</w:t>
                      </w:r>
                    </w:p>
                    <w:p w14:paraId="19B7B518" w14:textId="77777777" w:rsidR="003F26DA" w:rsidRDefault="003F26DA" w:rsidP="003F26DA">
                      <w:pPr>
                        <w:pStyle w:val="13Boxbullets"/>
                        <w:ind w:left="502"/>
                      </w:pPr>
                      <w:r w:rsidRPr="0026026E">
                        <w:t>the MSCB increase</w:t>
                      </w:r>
                      <w:r>
                        <w:t>d</w:t>
                      </w:r>
                      <w:r w:rsidRPr="0026026E">
                        <w:t xml:space="preserve"> from $249,080 per annum to $260,280 per annum.</w:t>
                      </w:r>
                    </w:p>
                    <w:p w14:paraId="37AB2B9E" w14:textId="77777777" w:rsidR="003F26DA" w:rsidRPr="0026026E" w:rsidRDefault="003F26DA">
                      <w:pPr>
                        <w:pStyle w:val="12BoxText"/>
                      </w:pPr>
                      <w:r>
                        <w:t xml:space="preserve">The SG rate is scheduled to increase to 12 per cent on 1 July 2025. The value of the MSCB from that date is not known at the time of this Determination. </w:t>
                      </w:r>
                    </w:p>
                    <w:p w14:paraId="3CB51455" w14:textId="77777777" w:rsidR="003F26DA" w:rsidRPr="0026026E" w:rsidRDefault="003F26DA">
                      <w:pPr>
                        <w:pStyle w:val="12BoxText"/>
                      </w:pPr>
                      <w:r w:rsidRPr="0026026E">
                        <w:t xml:space="preserve">The </w:t>
                      </w:r>
                      <w:r>
                        <w:t xml:space="preserve">PE </w:t>
                      </w:r>
                      <w:r w:rsidRPr="0026026E">
                        <w:t xml:space="preserve">Handbook </w:t>
                      </w:r>
                      <w:r>
                        <w:t>explains that public entities that employ executives using the standard contract must bear the cost of increases to both the SG and MSCB</w:t>
                      </w:r>
                      <w:r w:rsidRPr="0026026E">
                        <w:t>. This means that the salary and other components of TRP cannot be reduced to offset changes to Commonwealth superannuation obligations.</w:t>
                      </w:r>
                    </w:p>
                  </w:txbxContent>
                </v:textbox>
                <w10:anchorlock/>
              </v:shape>
            </w:pict>
          </mc:Fallback>
        </mc:AlternateContent>
      </w:r>
    </w:p>
    <w:p w14:paraId="2F63C027" w14:textId="0F896E3E" w:rsidR="003F26DA" w:rsidRDefault="003F26DA">
      <w:pPr>
        <w:pStyle w:val="09Sourcesandnotesfortablesfiguresboxes"/>
      </w:pPr>
      <w:r w:rsidRPr="000114D3">
        <w:t xml:space="preserve">Sources: </w:t>
      </w:r>
      <w:r w:rsidR="0079387E" w:rsidRPr="001C6644">
        <w:t>PE Handbook</w:t>
      </w:r>
      <w:r w:rsidR="0079387E">
        <w:t>,</w:t>
      </w:r>
      <w:r w:rsidR="0079387E" w:rsidRPr="001C6644">
        <w:t xml:space="preserve"> p</w:t>
      </w:r>
      <w:r w:rsidR="0079387E">
        <w:t>.</w:t>
      </w:r>
      <w:r w:rsidR="0079387E" w:rsidRPr="001C6644">
        <w:t xml:space="preserve"> 43</w:t>
      </w:r>
      <w:r w:rsidR="0079387E">
        <w:t xml:space="preserve">; </w:t>
      </w:r>
      <w:r w:rsidRPr="003276D0">
        <w:rPr>
          <w:i/>
          <w:iCs/>
        </w:rPr>
        <w:t>Superannuation Guarantee (Administration) Act 1992</w:t>
      </w:r>
      <w:r w:rsidRPr="000114D3">
        <w:t xml:space="preserve"> (</w:t>
      </w:r>
      <w:proofErr w:type="spellStart"/>
      <w:r w:rsidRPr="000114D3">
        <w:t>Ct</w:t>
      </w:r>
      <w:r w:rsidRPr="001C6644">
        <w:t>h</w:t>
      </w:r>
      <w:proofErr w:type="spellEnd"/>
      <w:r w:rsidRPr="001C6644">
        <w:t>)</w:t>
      </w:r>
      <w:r w:rsidR="0079387E">
        <w:t>.</w:t>
      </w:r>
    </w:p>
    <w:p w14:paraId="20CF6486" w14:textId="77777777" w:rsidR="003F26DA" w:rsidRDefault="003F26DA">
      <w:pPr>
        <w:pStyle w:val="02VIRTHeading2"/>
      </w:pPr>
      <w:bookmarkStart w:id="64" w:name="_Toc185012371"/>
      <w:r>
        <w:t>4.5</w:t>
      </w:r>
      <w:r>
        <w:tab/>
        <w:t>Summary</w:t>
      </w:r>
      <w:bookmarkEnd w:id="64"/>
    </w:p>
    <w:p w14:paraId="4F501FAD" w14:textId="7DD232D8" w:rsidR="003F26DA" w:rsidRDefault="003F26DA">
      <w:pPr>
        <w:pStyle w:val="05Paragraph"/>
      </w:pPr>
      <w:r>
        <w:t xml:space="preserve">The PAA and PEER Policy set the overarching framework for the employment of executives in prescribed public entities. While most executives employed in prescribed public entities are PESES executives, some are employed </w:t>
      </w:r>
      <w:r w:rsidR="00BE6A2B">
        <w:t>under</w:t>
      </w:r>
      <w:r>
        <w:t xml:space="preserve"> SES </w:t>
      </w:r>
      <w:r w:rsidR="00BE6A2B">
        <w:t>arrangements</w:t>
      </w:r>
      <w:r>
        <w:t>. While the rules that apply to PESES and SES executives are broadly the same, there are several key differen</w:t>
      </w:r>
      <w:r w:rsidRPr="003E01C8">
        <w:t>ces. For example, while SES executives must be employed using a standard contract, a mandatory contract does not apply to PESES executives. That means employers have greater discretion in setting employment terms and conditions for PESES executives. In addition, SES executives are entitled to a ‘right of return’</w:t>
      </w:r>
      <w:r w:rsidR="00BE6A2B">
        <w:t xml:space="preserve"> in certain circumstances</w:t>
      </w:r>
      <w:r w:rsidRPr="003E01C8">
        <w:t>.</w:t>
      </w:r>
      <w:r>
        <w:t xml:space="preserve"> </w:t>
      </w:r>
    </w:p>
    <w:p w14:paraId="4FDC1620" w14:textId="77777777" w:rsidR="003F26DA" w:rsidRDefault="003F26DA">
      <w:pPr>
        <w:pStyle w:val="05Paragraph"/>
      </w:pPr>
      <w:r>
        <w:t>The Tribunal is responsible for determining the values of the remuneration bands for public entity executives. A remuneration band structure consisting of three distinct and contiguous bands for PESES executives, aligned to the PEECF, has been in place since 2020.</w:t>
      </w:r>
    </w:p>
    <w:p w14:paraId="4949A124" w14:textId="54196E1C" w:rsidR="003F26DA" w:rsidRDefault="003F26DA">
      <w:pPr>
        <w:pStyle w:val="05Paragraph"/>
      </w:pPr>
      <w:r>
        <w:t xml:space="preserve">Employers retain the power to set the remuneration of individual executives and must seek the Tribunal’s advice if they propose to pay an executive above the </w:t>
      </w:r>
      <w:r>
        <w:lastRenderedPageBreak/>
        <w:t xml:space="preserve">relevant remuneration band. Whole-of-government processes and policies are in place to guide the periodic review and adjustment of executive remuneration. </w:t>
      </w:r>
      <w:r>
        <w:br w:type="page"/>
      </w:r>
    </w:p>
    <w:p w14:paraId="70117B74" w14:textId="77777777" w:rsidR="003F26DA" w:rsidRDefault="003F26DA" w:rsidP="002F7028">
      <w:pPr>
        <w:pStyle w:val="01Chapterheading"/>
        <w:numPr>
          <w:ilvl w:val="0"/>
          <w:numId w:val="31"/>
        </w:numPr>
        <w:spacing w:after="0"/>
        <w:ind w:left="709"/>
      </w:pPr>
      <w:bookmarkStart w:id="65" w:name="_Toc185012372"/>
      <w:r>
        <w:lastRenderedPageBreak/>
        <w:t>Labour market considerations</w:t>
      </w:r>
      <w:bookmarkEnd w:id="65"/>
    </w:p>
    <w:p w14:paraId="69B9F2D8" w14:textId="36DE5EBC" w:rsidR="003F26DA" w:rsidRDefault="003F26DA" w:rsidP="002F7028">
      <w:pPr>
        <w:pStyle w:val="05Paragraph"/>
        <w:spacing w:after="180"/>
      </w:pPr>
    </w:p>
    <w:p w14:paraId="1DA64347" w14:textId="77777777" w:rsidR="003F26DA" w:rsidRPr="000B5528" w:rsidRDefault="003F26DA">
      <w:pPr>
        <w:pStyle w:val="05Paragraph"/>
        <w:rPr>
          <w:noProof/>
          <w:lang w:eastAsia="en-AU"/>
        </w:rPr>
      </w:pPr>
      <w:r w:rsidRPr="000B5528">
        <w:rPr>
          <w:noProof/>
          <w:lang w:eastAsia="en-AU"/>
        </w:rPr>
        <w:t xml:space="preserve">In making its Determination, the Tribunal </w:t>
      </w:r>
      <w:r>
        <w:rPr>
          <w:noProof/>
          <w:lang w:eastAsia="en-AU"/>
        </w:rPr>
        <w:t>examined</w:t>
      </w:r>
      <w:r w:rsidRPr="000B5528">
        <w:rPr>
          <w:noProof/>
          <w:lang w:eastAsia="en-AU"/>
        </w:rPr>
        <w:t xml:space="preserve"> the key characteristics of the</w:t>
      </w:r>
      <w:r>
        <w:rPr>
          <w:noProof/>
          <w:lang w:eastAsia="en-AU"/>
        </w:rPr>
        <w:t xml:space="preserve"> market for public entity executives.</w:t>
      </w:r>
    </w:p>
    <w:p w14:paraId="0E6FC979" w14:textId="77777777" w:rsidR="003F26DA" w:rsidRPr="000B5528" w:rsidRDefault="003F26DA">
      <w:pPr>
        <w:pStyle w:val="05Paragraph"/>
        <w:rPr>
          <w:noProof/>
          <w:lang w:eastAsia="en-AU"/>
        </w:rPr>
      </w:pPr>
      <w:r w:rsidRPr="000B5528">
        <w:rPr>
          <w:noProof/>
          <w:lang w:eastAsia="en-AU"/>
        </w:rPr>
        <w:t>Stated simply, labour markets match the supply of labour from employees with the demand for that labour from employers. In t</w:t>
      </w:r>
      <w:r>
        <w:rPr>
          <w:noProof/>
          <w:lang w:eastAsia="en-AU"/>
        </w:rPr>
        <w:t>he public entity context</w:t>
      </w:r>
      <w:r w:rsidRPr="000B5528">
        <w:rPr>
          <w:noProof/>
          <w:lang w:eastAsia="en-AU"/>
        </w:rPr>
        <w:t xml:space="preserve">, this means the supply of individuals with the necessary skills, experience and willingness to take on an executive role, and the demand for their services from </w:t>
      </w:r>
      <w:r>
        <w:rPr>
          <w:noProof/>
          <w:lang w:eastAsia="en-AU"/>
        </w:rPr>
        <w:t>public entity</w:t>
      </w:r>
      <w:r w:rsidRPr="000B5528">
        <w:rPr>
          <w:noProof/>
          <w:lang w:eastAsia="en-AU"/>
        </w:rPr>
        <w:t xml:space="preserve"> employers and market competitors.</w:t>
      </w:r>
    </w:p>
    <w:p w14:paraId="7190CFCA" w14:textId="77777777" w:rsidR="003F26DA" w:rsidRPr="000B5528" w:rsidRDefault="003F26DA">
      <w:pPr>
        <w:pStyle w:val="05Paragraph"/>
      </w:pPr>
      <w:r w:rsidRPr="000B5528">
        <w:t xml:space="preserve">The various data, observations and analyses set out in this chapter, </w:t>
      </w:r>
      <w:r>
        <w:t xml:space="preserve">as well as the </w:t>
      </w:r>
      <w:r w:rsidRPr="000B5528">
        <w:t xml:space="preserve">economic and financial analysis in </w:t>
      </w:r>
      <w:r>
        <w:t>C</w:t>
      </w:r>
      <w:r w:rsidRPr="000B5528">
        <w:t xml:space="preserve">hapter 6, will be brought together in </w:t>
      </w:r>
      <w:r>
        <w:t>C</w:t>
      </w:r>
      <w:r w:rsidRPr="000B5528">
        <w:t>hapter</w:t>
      </w:r>
      <w:r>
        <w:t> </w:t>
      </w:r>
      <w:r w:rsidRPr="000B5528">
        <w:t>7 to explain the Tribunal’s decision on the values of the remuneration bands.</w:t>
      </w:r>
    </w:p>
    <w:p w14:paraId="5B80785C" w14:textId="77777777" w:rsidR="003F26DA" w:rsidRPr="003961B8" w:rsidRDefault="003F26DA">
      <w:pPr>
        <w:pStyle w:val="02VIRTHeading2"/>
      </w:pPr>
      <w:bookmarkStart w:id="66" w:name="_Toc185012373"/>
      <w:r>
        <w:t>5.1</w:t>
      </w:r>
      <w:r>
        <w:tab/>
        <w:t>Broader labour market conditions are tight, with some signs of easing</w:t>
      </w:r>
      <w:bookmarkEnd w:id="66"/>
    </w:p>
    <w:p w14:paraId="6A96448D" w14:textId="77777777" w:rsidR="003F26DA" w:rsidRPr="000B5528" w:rsidRDefault="003F26DA">
      <w:pPr>
        <w:pStyle w:val="05Paragraph"/>
      </w:pPr>
      <w:r w:rsidRPr="000B5528">
        <w:t xml:space="preserve">The ‘market’ for </w:t>
      </w:r>
      <w:r>
        <w:t>public entity</w:t>
      </w:r>
      <w:r w:rsidRPr="000B5528">
        <w:t xml:space="preserve"> executives is influenced by conditions in the broader labour market. This is because, to a certain extent, </w:t>
      </w:r>
      <w:r>
        <w:t>public entities c</w:t>
      </w:r>
      <w:r w:rsidRPr="000B5528">
        <w:t xml:space="preserve">ompete for executive talent with firms in the for-profit and not-for-profit sectors looking to employ executives with similar skills, knowledge and experience, as well as public </w:t>
      </w:r>
      <w:r>
        <w:t>sectors</w:t>
      </w:r>
      <w:r w:rsidRPr="000B5528">
        <w:t xml:space="preserve"> in other Australian jurisdictions.</w:t>
      </w:r>
    </w:p>
    <w:p w14:paraId="21D0BAFA" w14:textId="77777777" w:rsidR="003F26DA" w:rsidRPr="000B5528" w:rsidRDefault="003F26DA">
      <w:pPr>
        <w:pStyle w:val="05Paragraph"/>
      </w:pPr>
      <w:r w:rsidRPr="000B5528">
        <w:t>Conditions in the broader</w:t>
      </w:r>
      <w:r>
        <w:t xml:space="preserve"> Australian</w:t>
      </w:r>
      <w:r w:rsidRPr="000B5528">
        <w:t xml:space="preserve"> labour market </w:t>
      </w:r>
      <w:r>
        <w:t>have recently been</w:t>
      </w:r>
      <w:r w:rsidRPr="000B5528">
        <w:t xml:space="preserve"> tight by historical standards. </w:t>
      </w:r>
    </w:p>
    <w:p w14:paraId="5FA1D5EB" w14:textId="67E819B8" w:rsidR="003F26DA" w:rsidRDefault="003F26DA">
      <w:pPr>
        <w:pStyle w:val="05Paragraph"/>
      </w:pPr>
      <w:r>
        <w:t xml:space="preserve">Table 5.1 shows that </w:t>
      </w:r>
      <w:r w:rsidRPr="000B5528">
        <w:t xml:space="preserve">Australian labour market conditions are tighter across a range of indicators than they were before the Tribunal made its 2020 Determination, though </w:t>
      </w:r>
      <w:r w:rsidR="005915DA">
        <w:t>severa</w:t>
      </w:r>
      <w:r w:rsidR="00D710C8">
        <w:t>l indicators point to easing conditions</w:t>
      </w:r>
      <w:r w:rsidRPr="000B5528">
        <w:t xml:space="preserve"> in recent times. </w:t>
      </w:r>
      <w:r w:rsidRPr="00E6782D">
        <w:t xml:space="preserve">For example, the </w:t>
      </w:r>
      <w:r w:rsidR="00FA0898">
        <w:t>seasonally adjusted</w:t>
      </w:r>
      <w:r w:rsidRPr="00E6782D">
        <w:t xml:space="preserve"> national unemployment rate fell from an average of 5.</w:t>
      </w:r>
      <w:r>
        <w:t>6</w:t>
      </w:r>
      <w:r w:rsidRPr="00E6782D">
        <w:t xml:space="preserve"> per cent in 20</w:t>
      </w:r>
      <w:r w:rsidR="00164E3F">
        <w:t>19-</w:t>
      </w:r>
      <w:r>
        <w:t>20</w:t>
      </w:r>
      <w:r w:rsidRPr="00E6782D">
        <w:t xml:space="preserve"> to an average of 3.</w:t>
      </w:r>
      <w:r>
        <w:t>9</w:t>
      </w:r>
      <w:r w:rsidRPr="00E6782D">
        <w:t> per cent in 2023</w:t>
      </w:r>
      <w:r>
        <w:t>-24</w:t>
      </w:r>
      <w:r w:rsidRPr="00774000">
        <w:t>.</w:t>
      </w:r>
    </w:p>
    <w:p w14:paraId="416A2255" w14:textId="77777777" w:rsidR="00810FFC" w:rsidRDefault="00810FFC">
      <w:pPr>
        <w:spacing w:before="0" w:after="80" w:line="240" w:lineRule="auto"/>
        <w:jc w:val="left"/>
        <w:rPr>
          <w:rFonts w:cs="Arial"/>
          <w:color w:val="auto"/>
          <w:szCs w:val="20"/>
        </w:rPr>
      </w:pPr>
      <w:r>
        <w:br w:type="page"/>
      </w:r>
    </w:p>
    <w:p w14:paraId="5E98950D" w14:textId="3D0AD10A" w:rsidR="003F26DA" w:rsidRPr="00C63F57" w:rsidRDefault="003F26DA">
      <w:pPr>
        <w:pStyle w:val="08Figuretableboxheading"/>
      </w:pPr>
      <w:bookmarkStart w:id="67" w:name="_Toc170393544"/>
      <w:r w:rsidRPr="00DA3D20">
        <w:lastRenderedPageBreak/>
        <w:t>Table 5.1: Changes in selected indicators of spare capacity in the Australian labour market, 2019 to 2024</w:t>
      </w:r>
      <w:bookmarkEnd w:id="67"/>
    </w:p>
    <w:tbl>
      <w:tblPr>
        <w:tblStyle w:val="Glossary"/>
        <w:tblW w:w="8504" w:type="dxa"/>
        <w:tblBorders>
          <w:top w:val="single" w:sz="4" w:space="0" w:color="26664E" w:themeColor="accent1"/>
          <w:bottom w:val="single" w:sz="4" w:space="0" w:color="26664E" w:themeColor="accent1"/>
          <w:insideH w:val="single" w:sz="4" w:space="0" w:color="26664E" w:themeColor="accent1"/>
        </w:tblBorders>
        <w:tblLook w:val="04A0" w:firstRow="1" w:lastRow="0" w:firstColumn="1" w:lastColumn="0" w:noHBand="0" w:noVBand="1"/>
      </w:tblPr>
      <w:tblGrid>
        <w:gridCol w:w="3851"/>
        <w:gridCol w:w="1622"/>
        <w:gridCol w:w="1622"/>
        <w:gridCol w:w="1409"/>
      </w:tblGrid>
      <w:tr w:rsidR="003F26DA" w:rsidRPr="000B5528" w14:paraId="3CD0E07E" w14:textId="77777777" w:rsidTr="0013642A">
        <w:trPr>
          <w:cnfStyle w:val="100000000000" w:firstRow="1" w:lastRow="0" w:firstColumn="0" w:lastColumn="0" w:oddVBand="0" w:evenVBand="0" w:oddHBand="0" w:evenHBand="0" w:firstRowFirstColumn="0" w:firstRowLastColumn="0" w:lastRowFirstColumn="0" w:lastRowLastColumn="0"/>
        </w:trPr>
        <w:tc>
          <w:tcPr>
            <w:tcW w:w="3851" w:type="dxa"/>
            <w:shd w:val="clear" w:color="auto" w:fill="26664E" w:themeFill="accent1"/>
          </w:tcPr>
          <w:p w14:paraId="1E9AF728" w14:textId="77777777" w:rsidR="003F26DA" w:rsidRPr="00C63F57" w:rsidRDefault="003F26DA">
            <w:pPr>
              <w:pStyle w:val="10Tabletext"/>
              <w:keepNext/>
              <w:rPr>
                <w:color w:val="FFFFFF" w:themeColor="background1"/>
              </w:rPr>
            </w:pPr>
            <w:r w:rsidRPr="00C63F57">
              <w:rPr>
                <w:color w:val="FFFFFF" w:themeColor="background1"/>
              </w:rPr>
              <w:t>Indicator</w:t>
            </w:r>
            <w:r w:rsidRPr="00C63F57">
              <w:rPr>
                <w:color w:val="FFFFFF" w:themeColor="background1"/>
                <w:vertAlign w:val="superscript"/>
              </w:rPr>
              <w:t>(a)</w:t>
            </w:r>
          </w:p>
        </w:tc>
        <w:tc>
          <w:tcPr>
            <w:tcW w:w="1622" w:type="dxa"/>
            <w:shd w:val="clear" w:color="auto" w:fill="26664E" w:themeFill="accent1"/>
          </w:tcPr>
          <w:p w14:paraId="3A086E6E" w14:textId="2DE6993C" w:rsidR="003F26DA" w:rsidRPr="00C63F57" w:rsidRDefault="003F26DA">
            <w:pPr>
              <w:pStyle w:val="10Tabletext"/>
              <w:keepNext/>
              <w:jc w:val="right"/>
              <w:rPr>
                <w:color w:val="FFFFFF" w:themeColor="background1"/>
              </w:rPr>
            </w:pPr>
            <w:r w:rsidRPr="00C63F57">
              <w:rPr>
                <w:color w:val="FFFFFF" w:themeColor="background1"/>
              </w:rPr>
              <w:t>Average value in 20</w:t>
            </w:r>
            <w:r w:rsidR="000A6151">
              <w:rPr>
                <w:color w:val="FFFFFF" w:themeColor="background1"/>
              </w:rPr>
              <w:t>19-</w:t>
            </w:r>
            <w:r>
              <w:rPr>
                <w:color w:val="FFFFFF" w:themeColor="background1"/>
              </w:rPr>
              <w:t>20</w:t>
            </w:r>
          </w:p>
        </w:tc>
        <w:tc>
          <w:tcPr>
            <w:tcW w:w="1622" w:type="dxa"/>
            <w:shd w:val="clear" w:color="auto" w:fill="26664E" w:themeFill="accent1"/>
          </w:tcPr>
          <w:p w14:paraId="708154F0" w14:textId="77777777" w:rsidR="003F26DA" w:rsidRPr="00C63F57" w:rsidRDefault="003F26DA">
            <w:pPr>
              <w:pStyle w:val="10Tabletext"/>
              <w:keepNext/>
              <w:jc w:val="right"/>
              <w:rPr>
                <w:color w:val="FFFFFF" w:themeColor="background1"/>
              </w:rPr>
            </w:pPr>
            <w:r w:rsidRPr="00C63F57">
              <w:rPr>
                <w:color w:val="FFFFFF" w:themeColor="background1"/>
              </w:rPr>
              <w:t>Average value in 2023</w:t>
            </w:r>
            <w:r>
              <w:rPr>
                <w:color w:val="FFFFFF" w:themeColor="background1"/>
              </w:rPr>
              <w:t>-24</w:t>
            </w:r>
          </w:p>
        </w:tc>
        <w:tc>
          <w:tcPr>
            <w:tcW w:w="1409" w:type="dxa"/>
            <w:shd w:val="clear" w:color="auto" w:fill="26664E" w:themeFill="accent1"/>
          </w:tcPr>
          <w:p w14:paraId="2CA4795E" w14:textId="77777777" w:rsidR="003F26DA" w:rsidRPr="00C63F57" w:rsidRDefault="003F26DA">
            <w:pPr>
              <w:pStyle w:val="10Tabletext"/>
              <w:keepNext/>
              <w:jc w:val="right"/>
              <w:rPr>
                <w:color w:val="FFFFFF" w:themeColor="background1"/>
              </w:rPr>
            </w:pPr>
            <w:r w:rsidRPr="00C63F57">
              <w:rPr>
                <w:color w:val="FFFFFF" w:themeColor="background1"/>
              </w:rPr>
              <w:t>Current value</w:t>
            </w:r>
          </w:p>
        </w:tc>
      </w:tr>
      <w:tr w:rsidR="003F26DA" w:rsidRPr="000B5528" w14:paraId="7BE810D6" w14:textId="77777777" w:rsidTr="0013642A">
        <w:tc>
          <w:tcPr>
            <w:tcW w:w="3851" w:type="dxa"/>
          </w:tcPr>
          <w:p w14:paraId="34411758" w14:textId="77777777" w:rsidR="003F26DA" w:rsidRPr="000B5528" w:rsidRDefault="003F26DA">
            <w:pPr>
              <w:pStyle w:val="10Tabletext"/>
              <w:rPr>
                <w:vertAlign w:val="superscript"/>
              </w:rPr>
            </w:pPr>
            <w:r w:rsidRPr="000B5528">
              <w:t>Unemployment rate (</w:t>
            </w:r>
            <w:proofErr w:type="gramStart"/>
            <w:r w:rsidRPr="000B5528">
              <w:t>%)</w:t>
            </w:r>
            <w:r w:rsidRPr="000B5528">
              <w:rPr>
                <w:vertAlign w:val="superscript"/>
              </w:rPr>
              <w:t>(</w:t>
            </w:r>
            <w:proofErr w:type="gramEnd"/>
            <w:r>
              <w:rPr>
                <w:vertAlign w:val="superscript"/>
              </w:rPr>
              <w:t>b</w:t>
            </w:r>
            <w:r w:rsidRPr="000B5528">
              <w:rPr>
                <w:vertAlign w:val="superscript"/>
              </w:rPr>
              <w:t>)</w:t>
            </w:r>
          </w:p>
        </w:tc>
        <w:tc>
          <w:tcPr>
            <w:tcW w:w="1622" w:type="dxa"/>
          </w:tcPr>
          <w:p w14:paraId="40294F14" w14:textId="1D03BDA0" w:rsidR="003F26DA" w:rsidRPr="00B63431" w:rsidRDefault="003F26DA">
            <w:pPr>
              <w:pStyle w:val="10Tabletext"/>
              <w:jc w:val="right"/>
            </w:pPr>
            <w:r w:rsidRPr="00B63431">
              <w:t>5.</w:t>
            </w:r>
            <w:r>
              <w:t>6</w:t>
            </w:r>
          </w:p>
        </w:tc>
        <w:tc>
          <w:tcPr>
            <w:tcW w:w="1622" w:type="dxa"/>
          </w:tcPr>
          <w:p w14:paraId="0BCB9061" w14:textId="77777777" w:rsidR="003F26DA" w:rsidRPr="000B5528" w:rsidRDefault="003F26DA">
            <w:pPr>
              <w:pStyle w:val="10Tabletext"/>
              <w:jc w:val="right"/>
              <w:rPr>
                <w:vertAlign w:val="superscript"/>
              </w:rPr>
            </w:pPr>
            <w:r w:rsidRPr="000B5528">
              <w:t>3.</w:t>
            </w:r>
            <w:r>
              <w:t>9</w:t>
            </w:r>
          </w:p>
        </w:tc>
        <w:tc>
          <w:tcPr>
            <w:tcW w:w="1409" w:type="dxa"/>
          </w:tcPr>
          <w:p w14:paraId="1B6E921D" w14:textId="320A6542" w:rsidR="003F26DA" w:rsidRPr="00AD39BE" w:rsidRDefault="001155ED">
            <w:pPr>
              <w:pStyle w:val="10Tabletext"/>
              <w:jc w:val="right"/>
              <w:rPr>
                <w:highlight w:val="yellow"/>
                <w:vertAlign w:val="superscript"/>
              </w:rPr>
            </w:pPr>
            <w:r>
              <w:t>3.9</w:t>
            </w:r>
            <w:r w:rsidR="003F26DA" w:rsidRPr="00C41A74">
              <w:rPr>
                <w:vertAlign w:val="superscript"/>
              </w:rPr>
              <w:t>(</w:t>
            </w:r>
            <w:r w:rsidR="00565538">
              <w:rPr>
                <w:vertAlign w:val="superscript"/>
              </w:rPr>
              <w:t>e</w:t>
            </w:r>
            <w:r w:rsidR="003F26DA" w:rsidRPr="00C41A74">
              <w:rPr>
                <w:vertAlign w:val="superscript"/>
              </w:rPr>
              <w:t>)</w:t>
            </w:r>
          </w:p>
        </w:tc>
      </w:tr>
      <w:tr w:rsidR="003F26DA" w:rsidRPr="000B5528" w14:paraId="3C28D184" w14:textId="77777777" w:rsidTr="0013642A">
        <w:tc>
          <w:tcPr>
            <w:tcW w:w="3851" w:type="dxa"/>
          </w:tcPr>
          <w:p w14:paraId="10DAEBB0" w14:textId="77777777" w:rsidR="003F26DA" w:rsidRPr="000B5528" w:rsidRDefault="003F26DA">
            <w:pPr>
              <w:pStyle w:val="10Tabletext"/>
            </w:pPr>
            <w:r w:rsidRPr="000B5528">
              <w:t>Underemployment rate (</w:t>
            </w:r>
            <w:proofErr w:type="gramStart"/>
            <w:r w:rsidRPr="000B5528">
              <w:t>%)</w:t>
            </w:r>
            <w:r w:rsidRPr="000B5528">
              <w:rPr>
                <w:vertAlign w:val="superscript"/>
              </w:rPr>
              <w:t>(</w:t>
            </w:r>
            <w:proofErr w:type="gramEnd"/>
            <w:r>
              <w:rPr>
                <w:vertAlign w:val="superscript"/>
              </w:rPr>
              <w:t>b</w:t>
            </w:r>
            <w:r w:rsidRPr="000B5528">
              <w:rPr>
                <w:vertAlign w:val="superscript"/>
              </w:rPr>
              <w:t>)</w:t>
            </w:r>
          </w:p>
        </w:tc>
        <w:tc>
          <w:tcPr>
            <w:tcW w:w="1622" w:type="dxa"/>
          </w:tcPr>
          <w:p w14:paraId="399081D9" w14:textId="77777777" w:rsidR="003F26DA" w:rsidRPr="00B63431" w:rsidRDefault="003F26DA">
            <w:pPr>
              <w:pStyle w:val="10Tabletext"/>
              <w:jc w:val="right"/>
            </w:pPr>
            <w:r>
              <w:t>9.5</w:t>
            </w:r>
          </w:p>
        </w:tc>
        <w:tc>
          <w:tcPr>
            <w:tcW w:w="1622" w:type="dxa"/>
          </w:tcPr>
          <w:p w14:paraId="77D24389" w14:textId="77777777" w:rsidR="003F26DA" w:rsidRPr="000B5528" w:rsidRDefault="003F26DA">
            <w:pPr>
              <w:pStyle w:val="10Tabletext"/>
              <w:jc w:val="right"/>
              <w:rPr>
                <w:vertAlign w:val="superscript"/>
              </w:rPr>
            </w:pPr>
            <w:r w:rsidRPr="000B5528">
              <w:t>6.</w:t>
            </w:r>
            <w:r>
              <w:t>5</w:t>
            </w:r>
          </w:p>
        </w:tc>
        <w:tc>
          <w:tcPr>
            <w:tcW w:w="1409" w:type="dxa"/>
          </w:tcPr>
          <w:p w14:paraId="5875D993" w14:textId="57C6B0F9" w:rsidR="003F26DA" w:rsidRPr="00AD39BE" w:rsidRDefault="001155ED">
            <w:pPr>
              <w:pStyle w:val="10Tabletext"/>
              <w:jc w:val="right"/>
              <w:rPr>
                <w:highlight w:val="yellow"/>
              </w:rPr>
            </w:pPr>
            <w:r>
              <w:t>6.1</w:t>
            </w:r>
            <w:r w:rsidR="003F26DA" w:rsidRPr="00C41A74">
              <w:rPr>
                <w:vertAlign w:val="superscript"/>
              </w:rPr>
              <w:t>(</w:t>
            </w:r>
            <w:r w:rsidR="00565538">
              <w:rPr>
                <w:vertAlign w:val="superscript"/>
              </w:rPr>
              <w:t>e</w:t>
            </w:r>
            <w:r w:rsidR="003F26DA" w:rsidRPr="00C41A74">
              <w:rPr>
                <w:vertAlign w:val="superscript"/>
              </w:rPr>
              <w:t>)</w:t>
            </w:r>
          </w:p>
        </w:tc>
      </w:tr>
      <w:tr w:rsidR="003F26DA" w:rsidRPr="000B5528" w14:paraId="026D565A" w14:textId="77777777" w:rsidTr="0013642A">
        <w:tc>
          <w:tcPr>
            <w:tcW w:w="3851" w:type="dxa"/>
          </w:tcPr>
          <w:p w14:paraId="04FA8B20" w14:textId="77777777" w:rsidR="003F26DA" w:rsidRPr="000B5528" w:rsidRDefault="003F26DA">
            <w:pPr>
              <w:pStyle w:val="10Tabletext"/>
            </w:pPr>
            <w:r w:rsidRPr="000B5528">
              <w:t>Unemployed persons per job vacancy</w:t>
            </w:r>
            <w:r w:rsidRPr="000B5528">
              <w:rPr>
                <w:vertAlign w:val="superscript"/>
              </w:rPr>
              <w:t>(</w:t>
            </w:r>
            <w:r>
              <w:rPr>
                <w:vertAlign w:val="superscript"/>
              </w:rPr>
              <w:t>b</w:t>
            </w:r>
            <w:r w:rsidRPr="000B5528">
              <w:rPr>
                <w:vertAlign w:val="superscript"/>
              </w:rPr>
              <w:t>)</w:t>
            </w:r>
          </w:p>
        </w:tc>
        <w:tc>
          <w:tcPr>
            <w:tcW w:w="1622" w:type="dxa"/>
          </w:tcPr>
          <w:p w14:paraId="1AB7F9C2" w14:textId="66990EA7" w:rsidR="003F26DA" w:rsidRPr="00B63431" w:rsidRDefault="003F26DA">
            <w:pPr>
              <w:pStyle w:val="10Tabletext"/>
              <w:jc w:val="right"/>
            </w:pPr>
            <w:r>
              <w:t>4</w:t>
            </w:r>
            <w:r w:rsidRPr="00B63431">
              <w:t>.1</w:t>
            </w:r>
            <w:r w:rsidR="00565538" w:rsidRPr="008F4C29">
              <w:rPr>
                <w:vertAlign w:val="superscript"/>
              </w:rPr>
              <w:t>(d)</w:t>
            </w:r>
          </w:p>
        </w:tc>
        <w:tc>
          <w:tcPr>
            <w:tcW w:w="1622" w:type="dxa"/>
          </w:tcPr>
          <w:p w14:paraId="1EF5449F" w14:textId="24776003" w:rsidR="003F26DA" w:rsidRPr="000B5528" w:rsidRDefault="003F26DA">
            <w:pPr>
              <w:pStyle w:val="10Tabletext"/>
              <w:jc w:val="right"/>
              <w:rPr>
                <w:vertAlign w:val="superscript"/>
              </w:rPr>
            </w:pPr>
            <w:r w:rsidRPr="000B5528">
              <w:t>1.</w:t>
            </w:r>
            <w:r>
              <w:t>5</w:t>
            </w:r>
            <w:r w:rsidR="00565538" w:rsidRPr="004A2001">
              <w:rPr>
                <w:vertAlign w:val="superscript"/>
              </w:rPr>
              <w:t>(d)</w:t>
            </w:r>
          </w:p>
        </w:tc>
        <w:tc>
          <w:tcPr>
            <w:tcW w:w="1409" w:type="dxa"/>
          </w:tcPr>
          <w:p w14:paraId="425643A1" w14:textId="7D8AF26C" w:rsidR="003F26DA" w:rsidRPr="009901C5" w:rsidRDefault="003F26DA">
            <w:pPr>
              <w:pStyle w:val="10Tabletext"/>
              <w:jc w:val="right"/>
            </w:pPr>
            <w:r w:rsidRPr="009901C5">
              <w:t>1.</w:t>
            </w:r>
            <w:r>
              <w:t>9</w:t>
            </w:r>
            <w:r w:rsidRPr="009901C5">
              <w:rPr>
                <w:vertAlign w:val="superscript"/>
              </w:rPr>
              <w:t>(</w:t>
            </w:r>
            <w:r w:rsidR="00565538">
              <w:rPr>
                <w:vertAlign w:val="superscript"/>
              </w:rPr>
              <w:t>f</w:t>
            </w:r>
            <w:r w:rsidRPr="009901C5">
              <w:rPr>
                <w:vertAlign w:val="superscript"/>
              </w:rPr>
              <w:t>)</w:t>
            </w:r>
          </w:p>
        </w:tc>
      </w:tr>
      <w:tr w:rsidR="003F26DA" w:rsidRPr="000B5528" w14:paraId="30966EF0" w14:textId="77777777" w:rsidTr="0013642A">
        <w:tc>
          <w:tcPr>
            <w:tcW w:w="3851" w:type="dxa"/>
          </w:tcPr>
          <w:p w14:paraId="37966C86" w14:textId="77777777" w:rsidR="003F26DA" w:rsidRPr="000B5528" w:rsidRDefault="003F26DA">
            <w:pPr>
              <w:pStyle w:val="10Tabletext"/>
            </w:pPr>
            <w:r w:rsidRPr="000B5528">
              <w:t>Job vacancies as share of total employment</w:t>
            </w:r>
            <w:r>
              <w:t xml:space="preserve"> (</w:t>
            </w:r>
            <w:proofErr w:type="gramStart"/>
            <w:r>
              <w:t>%)</w:t>
            </w:r>
            <w:r w:rsidRPr="000B5528">
              <w:rPr>
                <w:vertAlign w:val="superscript"/>
              </w:rPr>
              <w:t>(</w:t>
            </w:r>
            <w:proofErr w:type="gramEnd"/>
            <w:r>
              <w:rPr>
                <w:vertAlign w:val="superscript"/>
              </w:rPr>
              <w:t>c</w:t>
            </w:r>
            <w:r w:rsidRPr="000B5528">
              <w:rPr>
                <w:vertAlign w:val="superscript"/>
              </w:rPr>
              <w:t>)</w:t>
            </w:r>
          </w:p>
        </w:tc>
        <w:tc>
          <w:tcPr>
            <w:tcW w:w="1622" w:type="dxa"/>
          </w:tcPr>
          <w:p w14:paraId="20CE2282" w14:textId="7DECDF1C" w:rsidR="003F26DA" w:rsidRPr="00B63431" w:rsidRDefault="003F26DA">
            <w:pPr>
              <w:pStyle w:val="10Tabletext"/>
              <w:jc w:val="right"/>
            </w:pPr>
            <w:r w:rsidRPr="00B63431">
              <w:t>1.</w:t>
            </w:r>
            <w:r>
              <w:t>6</w:t>
            </w:r>
            <w:r w:rsidR="00565538" w:rsidRPr="004A2001">
              <w:rPr>
                <w:vertAlign w:val="superscript"/>
              </w:rPr>
              <w:t>(d)</w:t>
            </w:r>
          </w:p>
        </w:tc>
        <w:tc>
          <w:tcPr>
            <w:tcW w:w="1622" w:type="dxa"/>
          </w:tcPr>
          <w:p w14:paraId="1F0E86D5" w14:textId="01826E00" w:rsidR="003F26DA" w:rsidRPr="000B5528" w:rsidRDefault="003F26DA">
            <w:pPr>
              <w:pStyle w:val="10Tabletext"/>
              <w:jc w:val="right"/>
            </w:pPr>
            <w:r>
              <w:t>2.6</w:t>
            </w:r>
            <w:r w:rsidR="00565538" w:rsidRPr="004A2001">
              <w:rPr>
                <w:vertAlign w:val="superscript"/>
              </w:rPr>
              <w:t>(d)</w:t>
            </w:r>
          </w:p>
        </w:tc>
        <w:tc>
          <w:tcPr>
            <w:tcW w:w="1409" w:type="dxa"/>
          </w:tcPr>
          <w:p w14:paraId="0B57564D" w14:textId="1AEA5403" w:rsidR="003F26DA" w:rsidRPr="009901C5" w:rsidRDefault="003F26DA">
            <w:pPr>
              <w:pStyle w:val="10Tabletext"/>
              <w:jc w:val="right"/>
              <w:rPr>
                <w:vertAlign w:val="superscript"/>
              </w:rPr>
            </w:pPr>
            <w:r w:rsidRPr="009901C5">
              <w:t>2.</w:t>
            </w:r>
            <w:r>
              <w:t>3</w:t>
            </w:r>
            <w:r w:rsidRPr="009901C5">
              <w:rPr>
                <w:vertAlign w:val="superscript"/>
              </w:rPr>
              <w:t>(</w:t>
            </w:r>
            <w:r w:rsidR="00565538">
              <w:rPr>
                <w:vertAlign w:val="superscript"/>
              </w:rPr>
              <w:t>f</w:t>
            </w:r>
            <w:r w:rsidRPr="009901C5">
              <w:rPr>
                <w:vertAlign w:val="superscript"/>
              </w:rPr>
              <w:t>)</w:t>
            </w:r>
          </w:p>
        </w:tc>
      </w:tr>
      <w:tr w:rsidR="003F26DA" w:rsidRPr="000B5528" w14:paraId="3BCBECF7" w14:textId="77777777" w:rsidTr="0013642A">
        <w:tc>
          <w:tcPr>
            <w:tcW w:w="3851" w:type="dxa"/>
          </w:tcPr>
          <w:p w14:paraId="162AB20D" w14:textId="77777777" w:rsidR="003F26DA" w:rsidRPr="000B5528" w:rsidRDefault="003F26DA">
            <w:pPr>
              <w:pStyle w:val="10Tabletext"/>
            </w:pPr>
            <w:r w:rsidRPr="000B5528">
              <w:t>Job advertisements as share of labour force (</w:t>
            </w:r>
            <w:proofErr w:type="gramStart"/>
            <w:r w:rsidRPr="000B5528">
              <w:t>%)</w:t>
            </w:r>
            <w:r w:rsidRPr="000B5528">
              <w:rPr>
                <w:vertAlign w:val="superscript"/>
              </w:rPr>
              <w:t>(</w:t>
            </w:r>
            <w:proofErr w:type="gramEnd"/>
            <w:r>
              <w:rPr>
                <w:vertAlign w:val="superscript"/>
              </w:rPr>
              <w:t>c</w:t>
            </w:r>
            <w:r w:rsidRPr="000B5528">
              <w:rPr>
                <w:vertAlign w:val="superscript"/>
              </w:rPr>
              <w:t>)</w:t>
            </w:r>
          </w:p>
        </w:tc>
        <w:tc>
          <w:tcPr>
            <w:tcW w:w="1622" w:type="dxa"/>
          </w:tcPr>
          <w:p w14:paraId="7EFD4D6C" w14:textId="77777777" w:rsidR="003F26DA" w:rsidRPr="00B63431" w:rsidRDefault="003F26DA">
            <w:pPr>
              <w:pStyle w:val="10Tabletext"/>
              <w:jc w:val="right"/>
            </w:pPr>
            <w:r w:rsidRPr="00B63431">
              <w:t>1.</w:t>
            </w:r>
            <w:r>
              <w:t>1</w:t>
            </w:r>
          </w:p>
        </w:tc>
        <w:tc>
          <w:tcPr>
            <w:tcW w:w="1622" w:type="dxa"/>
          </w:tcPr>
          <w:p w14:paraId="56902AFC" w14:textId="77777777" w:rsidR="003F26DA" w:rsidRPr="000B5528" w:rsidRDefault="003F26DA">
            <w:pPr>
              <w:pStyle w:val="10Tabletext"/>
              <w:jc w:val="right"/>
            </w:pPr>
            <w:r w:rsidRPr="000B5528">
              <w:t>1.</w:t>
            </w:r>
            <w:r>
              <w:t>7</w:t>
            </w:r>
          </w:p>
        </w:tc>
        <w:tc>
          <w:tcPr>
            <w:tcW w:w="1409" w:type="dxa"/>
          </w:tcPr>
          <w:p w14:paraId="73CDDE09" w14:textId="1BEA2E88" w:rsidR="003F26DA" w:rsidRPr="00AD39BE" w:rsidRDefault="001155ED">
            <w:pPr>
              <w:pStyle w:val="10Tabletext"/>
              <w:jc w:val="right"/>
              <w:rPr>
                <w:highlight w:val="yellow"/>
              </w:rPr>
            </w:pPr>
            <w:r>
              <w:t>1.5</w:t>
            </w:r>
            <w:r w:rsidR="003F26DA" w:rsidRPr="00C41A74">
              <w:rPr>
                <w:vertAlign w:val="superscript"/>
              </w:rPr>
              <w:t>(</w:t>
            </w:r>
            <w:r w:rsidR="003B4AE4">
              <w:rPr>
                <w:vertAlign w:val="superscript"/>
              </w:rPr>
              <w:t>e</w:t>
            </w:r>
            <w:r w:rsidR="003F26DA" w:rsidRPr="00C41A74">
              <w:rPr>
                <w:vertAlign w:val="superscript"/>
              </w:rPr>
              <w:t>)</w:t>
            </w:r>
          </w:p>
        </w:tc>
      </w:tr>
    </w:tbl>
    <w:p w14:paraId="194E9693" w14:textId="4114B4DA" w:rsidR="003F26DA" w:rsidRPr="00DA3D20" w:rsidRDefault="003F26DA">
      <w:pPr>
        <w:pStyle w:val="09Sourcesandnotesfortablesfiguresboxes"/>
        <w:rPr>
          <w:spacing w:val="-2"/>
        </w:rPr>
      </w:pPr>
      <w:r w:rsidRPr="00DA3D20">
        <w:rPr>
          <w:spacing w:val="-2"/>
        </w:rPr>
        <w:t xml:space="preserve">Notes: (a) All data are seasonally adjusted. (b) Lower value indicates a tighter labour market. (c) Higher value indicates a tighter labour market. </w:t>
      </w:r>
      <w:r w:rsidR="003B4AE4" w:rsidRPr="00DA3D20">
        <w:rPr>
          <w:spacing w:val="-2"/>
        </w:rPr>
        <w:t xml:space="preserve">(d) </w:t>
      </w:r>
      <w:r w:rsidR="003E6F7F" w:rsidRPr="00DA3D20">
        <w:rPr>
          <w:spacing w:val="-2"/>
        </w:rPr>
        <w:t xml:space="preserve">Financial year data is from the </w:t>
      </w:r>
      <w:r w:rsidR="001B4F97">
        <w:rPr>
          <w:spacing w:val="-2"/>
        </w:rPr>
        <w:t>September</w:t>
      </w:r>
      <w:r w:rsidR="003E6F7F" w:rsidRPr="00DA3D20">
        <w:rPr>
          <w:spacing w:val="-2"/>
        </w:rPr>
        <w:t xml:space="preserve"> quarter to the </w:t>
      </w:r>
      <w:r w:rsidR="001B4F97">
        <w:rPr>
          <w:spacing w:val="-2"/>
        </w:rPr>
        <w:t>June</w:t>
      </w:r>
      <w:r w:rsidR="003E6F7F" w:rsidRPr="00DA3D20">
        <w:rPr>
          <w:spacing w:val="-2"/>
        </w:rPr>
        <w:t xml:space="preserve"> quarter. </w:t>
      </w:r>
      <w:r w:rsidRPr="00DA3D20">
        <w:rPr>
          <w:spacing w:val="-2"/>
        </w:rPr>
        <w:t>(</w:t>
      </w:r>
      <w:r w:rsidR="003B4AE4" w:rsidRPr="00DA3D20">
        <w:rPr>
          <w:spacing w:val="-2"/>
        </w:rPr>
        <w:t>e</w:t>
      </w:r>
      <w:r w:rsidRPr="00DA3D20">
        <w:rPr>
          <w:spacing w:val="-2"/>
        </w:rPr>
        <w:t xml:space="preserve">) Value </w:t>
      </w:r>
      <w:proofErr w:type="gramStart"/>
      <w:r w:rsidRPr="00DA3D20">
        <w:rPr>
          <w:spacing w:val="-2"/>
        </w:rPr>
        <w:t>at</w:t>
      </w:r>
      <w:proofErr w:type="gramEnd"/>
      <w:r w:rsidRPr="00DA3D20">
        <w:rPr>
          <w:spacing w:val="-2"/>
        </w:rPr>
        <w:t xml:space="preserve"> November</w:t>
      </w:r>
      <w:r w:rsidRPr="00DA3D20" w:rsidDel="00922F0E">
        <w:rPr>
          <w:spacing w:val="-2"/>
        </w:rPr>
        <w:t xml:space="preserve"> </w:t>
      </w:r>
      <w:r w:rsidRPr="00DA3D20">
        <w:rPr>
          <w:spacing w:val="-2"/>
        </w:rPr>
        <w:t>2024. (</w:t>
      </w:r>
      <w:r w:rsidR="003B4AE4" w:rsidRPr="00DA3D20">
        <w:rPr>
          <w:spacing w:val="-2"/>
        </w:rPr>
        <w:t>f</w:t>
      </w:r>
      <w:r w:rsidRPr="00DA3D20">
        <w:rPr>
          <w:spacing w:val="-2"/>
        </w:rPr>
        <w:t xml:space="preserve">) Value </w:t>
      </w:r>
      <w:proofErr w:type="gramStart"/>
      <w:r w:rsidRPr="00DA3D20">
        <w:rPr>
          <w:spacing w:val="-2"/>
        </w:rPr>
        <w:t>at</w:t>
      </w:r>
      <w:proofErr w:type="gramEnd"/>
      <w:r w:rsidRPr="00DA3D20">
        <w:rPr>
          <w:spacing w:val="-2"/>
        </w:rPr>
        <w:t xml:space="preserve"> August 2024.</w:t>
      </w:r>
    </w:p>
    <w:p w14:paraId="76F34CE2" w14:textId="2DD8EA67" w:rsidR="003F26DA" w:rsidRPr="00DE3B57" w:rsidRDefault="003F26DA">
      <w:pPr>
        <w:pStyle w:val="09Sourcesandnotesfortablesfiguresboxes"/>
      </w:pPr>
      <w:r w:rsidRPr="004777E5">
        <w:t>Sources: ABS</w:t>
      </w:r>
      <w:r w:rsidR="00251FDB" w:rsidRPr="004777E5">
        <w:t xml:space="preserve"> (2024e)</w:t>
      </w:r>
      <w:r w:rsidRPr="004777E5">
        <w:t>;</w:t>
      </w:r>
      <w:r w:rsidRPr="00FB597D">
        <w:t xml:space="preserve"> ABS</w:t>
      </w:r>
      <w:r w:rsidR="0047367B" w:rsidRPr="00FB597D">
        <w:t xml:space="preserve"> (2024</w:t>
      </w:r>
      <w:r w:rsidR="00506E36" w:rsidRPr="00FB597D">
        <w:t>d)</w:t>
      </w:r>
      <w:r w:rsidR="004C2BDC" w:rsidRPr="00FB597D">
        <w:t xml:space="preserve">; </w:t>
      </w:r>
      <w:r w:rsidRPr="00FB597D">
        <w:t>J</w:t>
      </w:r>
      <w:r w:rsidR="00270C39" w:rsidRPr="00FB597D">
        <w:t>SA (2024b)</w:t>
      </w:r>
      <w:r w:rsidRPr="00FB597D">
        <w:t>.</w:t>
      </w:r>
      <w:r w:rsidR="00506E36">
        <w:t xml:space="preserve"> </w:t>
      </w:r>
      <w:r w:rsidR="004777E5">
        <w:t xml:space="preserve"> </w:t>
      </w:r>
    </w:p>
    <w:p w14:paraId="6ED95EE1" w14:textId="77777777" w:rsidR="003F26DA" w:rsidRDefault="003F26DA">
      <w:pPr>
        <w:pStyle w:val="05Paragraph"/>
        <w:keepNext/>
      </w:pPr>
      <w:r>
        <w:t xml:space="preserve">The Reserve Bank of Australia (RBA) published a </w:t>
      </w:r>
      <w:r w:rsidRPr="00262A53">
        <w:rPr>
          <w:i/>
          <w:iCs/>
        </w:rPr>
        <w:t>Statement on Monetary Policy – November 2024</w:t>
      </w:r>
      <w:r w:rsidRPr="00AD39BE">
        <w:rPr>
          <w:i/>
          <w:iCs/>
        </w:rPr>
        <w:t xml:space="preserve"> </w:t>
      </w:r>
      <w:r w:rsidRPr="00D474A8">
        <w:t>which</w:t>
      </w:r>
      <w:r>
        <w:t xml:space="preserve"> noted that l</w:t>
      </w:r>
      <w:r w:rsidRPr="00565E44">
        <w:t>abour market conditions remain</w:t>
      </w:r>
      <w:r>
        <w:t>ed</w:t>
      </w:r>
      <w:r w:rsidRPr="00565E44">
        <w:t xml:space="preserve"> tight relative to full employment</w:t>
      </w:r>
      <w:r>
        <w:t xml:space="preserve">, </w:t>
      </w:r>
      <w:r w:rsidRPr="00565E44">
        <w:t>although the easing in some key indicators ha</w:t>
      </w:r>
      <w:r>
        <w:t>d</w:t>
      </w:r>
      <w:r w:rsidRPr="00565E44">
        <w:t xml:space="preserve"> recently stalled or modestly reversed</w:t>
      </w:r>
      <w:r>
        <w:t>.</w:t>
      </w:r>
      <w:r>
        <w:rPr>
          <w:rStyle w:val="FootnoteReference"/>
        </w:rPr>
        <w:footnoteReference w:id="152"/>
      </w:r>
      <w:r>
        <w:t xml:space="preserve"> </w:t>
      </w:r>
    </w:p>
    <w:p w14:paraId="2419C36B" w14:textId="71238329" w:rsidR="003F26DA" w:rsidRDefault="003F26DA">
      <w:pPr>
        <w:pStyle w:val="05Paragraph"/>
      </w:pPr>
      <w:r>
        <w:t xml:space="preserve">In October 2024, Jobs and Skills Australia (JSA) reported ‘resilience’ in the Australian labour market, albeit with emerging signs of softening. JSA noted that employers </w:t>
      </w:r>
      <w:r w:rsidRPr="004204B9">
        <w:t>are filling vacancies more easily</w:t>
      </w:r>
      <w:r>
        <w:t>, and that partial forward indicators of labour demand — such as its</w:t>
      </w:r>
      <w:r w:rsidRPr="0012260D">
        <w:rPr>
          <w:rFonts w:eastAsia="Arial" w:cs="Times New Roman"/>
          <w:i/>
          <w:iCs/>
        </w:rPr>
        <w:t xml:space="preserve"> </w:t>
      </w:r>
      <w:r>
        <w:rPr>
          <w:rFonts w:eastAsia="Arial" w:cs="Times New Roman"/>
          <w:i/>
          <w:iCs/>
        </w:rPr>
        <w:t xml:space="preserve">Internet Vacancy Index </w:t>
      </w:r>
      <w:r>
        <w:t xml:space="preserve">— are pointing to easing conditions </w:t>
      </w:r>
      <w:proofErr w:type="gramStart"/>
      <w:r>
        <w:t>in the near future</w:t>
      </w:r>
      <w:proofErr w:type="gramEnd"/>
      <w:r w:rsidRPr="004204B9">
        <w:t>.</w:t>
      </w:r>
      <w:r>
        <w:rPr>
          <w:rStyle w:val="FootnoteReference"/>
        </w:rPr>
        <w:footnoteReference w:id="153"/>
      </w:r>
      <w:r>
        <w:t xml:space="preserve"> </w:t>
      </w:r>
    </w:p>
    <w:p w14:paraId="0B6AA615" w14:textId="2F2393A1" w:rsidR="003F26DA" w:rsidRDefault="003F26DA">
      <w:pPr>
        <w:pStyle w:val="05Paragraph"/>
        <w:keepNext/>
      </w:pPr>
      <w:r w:rsidRPr="000760C8">
        <w:t xml:space="preserve">At the time of making the Determination, the Victorian </w:t>
      </w:r>
      <w:r w:rsidR="00AA1039">
        <w:t xml:space="preserve">seasonally adjusted </w:t>
      </w:r>
      <w:r w:rsidRPr="000760C8">
        <w:t xml:space="preserve">unemployment rate of </w:t>
      </w:r>
      <w:proofErr w:type="gramStart"/>
      <w:r w:rsidRPr="000760C8">
        <w:t>4.</w:t>
      </w:r>
      <w:r w:rsidR="00147C9F">
        <w:t>2</w:t>
      </w:r>
      <w:r w:rsidRPr="000760C8">
        <w:t xml:space="preserve"> </w:t>
      </w:r>
      <w:r>
        <w:t> </w:t>
      </w:r>
      <w:r w:rsidRPr="000760C8">
        <w:t>per</w:t>
      </w:r>
      <w:proofErr w:type="gramEnd"/>
      <w:r w:rsidRPr="000760C8">
        <w:t xml:space="preserve"> cent was higher than the national rate, although annual employment growth of </w:t>
      </w:r>
      <w:r w:rsidR="008F4595">
        <w:t>3.5</w:t>
      </w:r>
      <w:r w:rsidRPr="000760C8">
        <w:t xml:space="preserve"> per cent was above the Australian rate of </w:t>
      </w:r>
      <w:r w:rsidR="008F4595">
        <w:t>2.4</w:t>
      </w:r>
      <w:r w:rsidR="00774000">
        <w:t> </w:t>
      </w:r>
      <w:r w:rsidRPr="000760C8">
        <w:t>per</w:t>
      </w:r>
      <w:r w:rsidR="00774000">
        <w:t> </w:t>
      </w:r>
      <w:r w:rsidRPr="000760C8">
        <w:t>cent, indicating a strong overall labour market.</w:t>
      </w:r>
      <w:r w:rsidR="004E0AE3">
        <w:rPr>
          <w:rStyle w:val="FootnoteReference"/>
        </w:rPr>
        <w:footnoteReference w:id="154"/>
      </w:r>
      <w:r w:rsidRPr="000760C8">
        <w:t xml:space="preserve">  </w:t>
      </w:r>
    </w:p>
    <w:p w14:paraId="15722EAD" w14:textId="77777777" w:rsidR="003F26DA" w:rsidRDefault="003F26DA">
      <w:pPr>
        <w:pStyle w:val="02VIRTHeading2"/>
      </w:pPr>
      <w:bookmarkStart w:id="68" w:name="_Toc185012374"/>
      <w:r w:rsidRPr="00B71894">
        <w:t>5.</w:t>
      </w:r>
      <w:r>
        <w:t>2</w:t>
      </w:r>
      <w:r>
        <w:tab/>
        <w:t>The demand for public entity executives can vary over time</w:t>
      </w:r>
      <w:bookmarkEnd w:id="68"/>
      <w:r>
        <w:t xml:space="preserve">  </w:t>
      </w:r>
    </w:p>
    <w:p w14:paraId="58755B6B" w14:textId="15772AD2" w:rsidR="003F26DA" w:rsidRDefault="003F26DA">
      <w:pPr>
        <w:pStyle w:val="05Paragraph"/>
        <w:rPr>
          <w:noProof/>
          <w:lang w:eastAsia="en-AU"/>
        </w:rPr>
      </w:pPr>
      <w:r>
        <w:rPr>
          <w:noProof/>
          <w:lang w:eastAsia="en-AU"/>
        </w:rPr>
        <w:t xml:space="preserve">As discussed in Chapters 2 and 3 respectively, there is considerable diversity and complexity in the scope and design of public entities and in the nature of executive roles in these entities. This means that depending on the sector in which they operate, individual public entities will experience different demand for executives, </w:t>
      </w:r>
      <w:r>
        <w:rPr>
          <w:noProof/>
          <w:lang w:eastAsia="en-AU"/>
        </w:rPr>
        <w:lastRenderedPageBreak/>
        <w:t>depending on the priorities of the government of the day and external factors (e.g.</w:t>
      </w:r>
      <w:r w:rsidR="00F37CC1">
        <w:rPr>
          <w:noProof/>
          <w:lang w:eastAsia="en-AU"/>
        </w:rPr>
        <w:t> </w:t>
      </w:r>
      <w:r>
        <w:rPr>
          <w:noProof/>
          <w:lang w:eastAsia="en-AU"/>
        </w:rPr>
        <w:t xml:space="preserve">the need to invest in ICT expertise to strengthen cybersecurity systems). </w:t>
      </w:r>
    </w:p>
    <w:p w14:paraId="2940F708" w14:textId="77777777" w:rsidR="003F26DA" w:rsidRPr="009B36A3" w:rsidRDefault="003F26DA">
      <w:pPr>
        <w:pStyle w:val="05Paragraph"/>
        <w:rPr>
          <w:noProof/>
          <w:lang w:eastAsia="en-AU"/>
        </w:rPr>
      </w:pPr>
      <w:r w:rsidRPr="009B36A3">
        <w:rPr>
          <w:noProof/>
          <w:lang w:eastAsia="en-AU"/>
        </w:rPr>
        <w:t xml:space="preserve">In addition, the number of </w:t>
      </w:r>
      <w:r>
        <w:rPr>
          <w:noProof/>
          <w:lang w:eastAsia="en-AU"/>
        </w:rPr>
        <w:t>public entities</w:t>
      </w:r>
      <w:r w:rsidRPr="009B36A3">
        <w:rPr>
          <w:noProof/>
          <w:lang w:eastAsia="en-AU"/>
        </w:rPr>
        <w:t>, and by extension, their executive numbers, have varied over time. For example, in 2020, there were 139 </w:t>
      </w:r>
      <w:r>
        <w:rPr>
          <w:noProof/>
          <w:lang w:eastAsia="en-AU"/>
        </w:rPr>
        <w:t>public entities</w:t>
      </w:r>
      <w:r w:rsidRPr="009B36A3">
        <w:rPr>
          <w:noProof/>
          <w:lang w:eastAsia="en-AU"/>
        </w:rPr>
        <w:t xml:space="preserve"> employing approximately 800 executives, whereas, as discussed in </w:t>
      </w:r>
      <w:r>
        <w:t>Chapter</w:t>
      </w:r>
      <w:r w:rsidRPr="009B36A3">
        <w:t> 2</w:t>
      </w:r>
      <w:r w:rsidRPr="009B36A3">
        <w:rPr>
          <w:noProof/>
          <w:lang w:eastAsia="en-AU"/>
        </w:rPr>
        <w:t xml:space="preserve">, there were </w:t>
      </w:r>
      <w:r>
        <w:rPr>
          <w:noProof/>
          <w:lang w:eastAsia="en-AU"/>
        </w:rPr>
        <w:t>143</w:t>
      </w:r>
      <w:r w:rsidRPr="009B36A3">
        <w:rPr>
          <w:noProof/>
          <w:lang w:eastAsia="en-AU"/>
        </w:rPr>
        <w:t xml:space="preserve"> </w:t>
      </w:r>
      <w:r>
        <w:rPr>
          <w:noProof/>
          <w:lang w:eastAsia="en-AU"/>
        </w:rPr>
        <w:t>public entities</w:t>
      </w:r>
      <w:r w:rsidRPr="009B36A3">
        <w:rPr>
          <w:noProof/>
          <w:lang w:eastAsia="en-AU"/>
        </w:rPr>
        <w:t xml:space="preserve"> employing </w:t>
      </w:r>
      <w:r w:rsidRPr="009B36A3">
        <w:rPr>
          <w:lang w:eastAsia="en-AU"/>
        </w:rPr>
        <w:t>1,050</w:t>
      </w:r>
      <w:r w:rsidRPr="009B36A3">
        <w:rPr>
          <w:noProof/>
          <w:lang w:eastAsia="en-AU"/>
        </w:rPr>
        <w:t xml:space="preserve"> executives at 30 June 2023.</w:t>
      </w:r>
      <w:r w:rsidRPr="009B36A3">
        <w:rPr>
          <w:rStyle w:val="FootnoteReference"/>
          <w:noProof/>
          <w:lang w:eastAsia="en-AU"/>
        </w:rPr>
        <w:footnoteReference w:id="155"/>
      </w:r>
      <w:r w:rsidRPr="009B36A3">
        <w:rPr>
          <w:noProof/>
          <w:lang w:eastAsia="en-AU"/>
        </w:rPr>
        <w:t xml:space="preserve"> </w:t>
      </w:r>
    </w:p>
    <w:p w14:paraId="3C51BB9C" w14:textId="77777777" w:rsidR="003F26DA" w:rsidRDefault="003F26DA">
      <w:pPr>
        <w:pStyle w:val="05Paragraph"/>
        <w:rPr>
          <w:noProof/>
          <w:lang w:eastAsia="en-AU"/>
        </w:rPr>
      </w:pPr>
      <w:r w:rsidRPr="009B36A3">
        <w:rPr>
          <w:noProof/>
          <w:lang w:eastAsia="en-AU"/>
        </w:rPr>
        <w:t xml:space="preserve">This increase reflects a number of factors discussed in </w:t>
      </w:r>
      <w:r>
        <w:rPr>
          <w:noProof/>
          <w:lang w:eastAsia="en-AU"/>
        </w:rPr>
        <w:t>C</w:t>
      </w:r>
      <w:r w:rsidRPr="009B36A3">
        <w:rPr>
          <w:noProof/>
          <w:lang w:eastAsia="en-AU"/>
        </w:rPr>
        <w:t xml:space="preserve">hapter 2, including changes to the definition of a </w:t>
      </w:r>
      <w:r>
        <w:rPr>
          <w:noProof/>
          <w:lang w:eastAsia="en-AU"/>
        </w:rPr>
        <w:t>public entity</w:t>
      </w:r>
      <w:r w:rsidRPr="009B36A3">
        <w:rPr>
          <w:noProof/>
          <w:lang w:eastAsia="en-AU"/>
        </w:rPr>
        <w:t xml:space="preserve"> as well as</w:t>
      </w:r>
      <w:r w:rsidRPr="009B36A3" w:rsidDel="001232CB">
        <w:rPr>
          <w:noProof/>
          <w:lang w:eastAsia="en-AU"/>
        </w:rPr>
        <w:t xml:space="preserve"> </w:t>
      </w:r>
      <w:r w:rsidRPr="009B36A3">
        <w:rPr>
          <w:noProof/>
          <w:lang w:eastAsia="en-AU"/>
        </w:rPr>
        <w:t>the creation of new entities (e.g. Breakthrough Victoria) and mergers and consolidations of entities (e.g. the abolition of waste and resource recovery groups and the transfer of their functions to Recycling Victoria).</w:t>
      </w:r>
      <w:r>
        <w:rPr>
          <w:noProof/>
          <w:lang w:eastAsia="en-AU"/>
        </w:rPr>
        <w:t xml:space="preserve"> </w:t>
      </w:r>
    </w:p>
    <w:p w14:paraId="26971103" w14:textId="77777777" w:rsidR="003F26DA" w:rsidRPr="00A23ED5" w:rsidRDefault="003F26DA">
      <w:pPr>
        <w:pStyle w:val="05Paragraph"/>
        <w:rPr>
          <w:noProof/>
          <w:lang w:eastAsia="en-AU"/>
        </w:rPr>
      </w:pPr>
      <w:r>
        <w:rPr>
          <w:noProof/>
          <w:lang w:eastAsia="en-AU"/>
        </w:rPr>
        <w:t xml:space="preserve">There have also been increases in the number of executives employed in some entities as the scale and scope of their activities change. For example, while noting that the Suburban Rail Loop Authority was recategorised from an AO to a public entity in 2021, the number of executives it employed increased from </w:t>
      </w:r>
      <w:r w:rsidRPr="00090D75">
        <w:rPr>
          <w:lang w:eastAsia="en-AU"/>
        </w:rPr>
        <w:t>22 to 78 between 2020 and 2023</w:t>
      </w:r>
      <w:r>
        <w:rPr>
          <w:noProof/>
          <w:lang w:eastAsia="en-AU"/>
        </w:rPr>
        <w:t>.</w:t>
      </w:r>
      <w:r>
        <w:rPr>
          <w:rStyle w:val="FootnoteReference"/>
          <w:noProof/>
          <w:lang w:eastAsia="en-AU"/>
        </w:rPr>
        <w:footnoteReference w:id="156"/>
      </w:r>
    </w:p>
    <w:p w14:paraId="0C74628E" w14:textId="77777777" w:rsidR="003F26DA" w:rsidRDefault="003F26DA">
      <w:pPr>
        <w:pStyle w:val="02VIRTHeading2"/>
      </w:pPr>
      <w:bookmarkStart w:id="69" w:name="_Toc185012375"/>
      <w:r>
        <w:t>5.3</w:t>
      </w:r>
      <w:r>
        <w:tab/>
        <w:t>There are some challenges in sourcing executives</w:t>
      </w:r>
      <w:bookmarkEnd w:id="69"/>
    </w:p>
    <w:p w14:paraId="67F5997B" w14:textId="77777777" w:rsidR="003F26DA" w:rsidRDefault="003F26DA">
      <w:pPr>
        <w:pStyle w:val="05Paragraph"/>
      </w:pPr>
      <w:r>
        <w:t>Public entities</w:t>
      </w:r>
      <w:r w:rsidRPr="00CE492A">
        <w:t xml:space="preserve"> need to source appropriately skilled executives to perform their functions and meet their objectives. Executives may be sourced internally (e.g. via promotion or lateral movement) or externally (e.g. from </w:t>
      </w:r>
      <w:r>
        <w:t>other public sector bodies</w:t>
      </w:r>
      <w:r w:rsidRPr="00CE492A">
        <w:t xml:space="preserve"> or the for-profit sector). </w:t>
      </w:r>
      <w:r>
        <w:t xml:space="preserve">In some </w:t>
      </w:r>
      <w:proofErr w:type="gramStart"/>
      <w:r>
        <w:t>cases</w:t>
      </w:r>
      <w:proofErr w:type="gramEnd"/>
      <w:r>
        <w:t xml:space="preserve"> public entities are in direct competition with the private sector for executives with specialist skills and experience.</w:t>
      </w:r>
    </w:p>
    <w:p w14:paraId="540DF0DA" w14:textId="77777777" w:rsidR="003F26DA" w:rsidRDefault="003F26DA">
      <w:pPr>
        <w:pStyle w:val="05Paragraph"/>
      </w:pPr>
      <w:r w:rsidRPr="00CE492A">
        <w:t>Responses to the Tribunal’s questionnaire indicate</w:t>
      </w:r>
      <w:r>
        <w:t>d</w:t>
      </w:r>
      <w:r w:rsidRPr="00CE492A">
        <w:t xml:space="preserve"> that </w:t>
      </w:r>
      <w:r>
        <w:t>public entity</w:t>
      </w:r>
      <w:r w:rsidRPr="00CE492A">
        <w:t xml:space="preserve"> executives are </w:t>
      </w:r>
      <w:r>
        <w:t>recruited from a variety of sources</w:t>
      </w:r>
      <w:r w:rsidRPr="00CE492A">
        <w:t>.</w:t>
      </w:r>
      <w:r>
        <w:t xml:space="preserve"> </w:t>
      </w:r>
      <w:r w:rsidRPr="00CE492A">
        <w:t xml:space="preserve">For example, </w:t>
      </w:r>
      <w:r>
        <w:t>around 23 per cent of all respondents reported that, immediately prior to their current role, they were employed in their current entity. Of the 23 per cent, 17 per cent were in non</w:t>
      </w:r>
      <w:r>
        <w:noBreakHyphen/>
        <w:t xml:space="preserve">executive roles and 6 per cent were in a different executive role. </w:t>
      </w:r>
    </w:p>
    <w:p w14:paraId="35DDCDFD" w14:textId="77777777" w:rsidR="003F26DA" w:rsidRDefault="003F26DA">
      <w:pPr>
        <w:pStyle w:val="05Paragraph"/>
      </w:pPr>
      <w:r>
        <w:lastRenderedPageBreak/>
        <w:t xml:space="preserve">Around </w:t>
      </w:r>
      <w:r w:rsidRPr="009022E2">
        <w:t xml:space="preserve">20 per cent </w:t>
      </w:r>
      <w:r>
        <w:t>of respondents sta</w:t>
      </w:r>
      <w:r w:rsidRPr="009022E2">
        <w:t>ted that their prior role was in the for-profit sector</w:t>
      </w:r>
      <w:r>
        <w:t xml:space="preserve">, while just over 15 per cent had been employed in a different public entity as either an executive (11 per cent) or non-executive (4 per cent). </w:t>
      </w:r>
    </w:p>
    <w:p w14:paraId="193420E1" w14:textId="77777777" w:rsidR="003F26DA" w:rsidRPr="00FF2802" w:rsidRDefault="003F26DA">
      <w:pPr>
        <w:pStyle w:val="05Paragraph"/>
      </w:pPr>
      <w:r w:rsidRPr="00FF2802">
        <w:t xml:space="preserve">Consistent with conditions in the broader economy outlined above, participants in the Tribunal’s roundtables indicated that labour market pressures for </w:t>
      </w:r>
      <w:r>
        <w:t>public entity</w:t>
      </w:r>
      <w:r w:rsidRPr="00FF2802">
        <w:t xml:space="preserve"> executives had slightly eased. This included the construction sector — as some projects have progressed from construction to operation — but there remain</w:t>
      </w:r>
      <w:r>
        <w:t>s</w:t>
      </w:r>
      <w:r w:rsidRPr="00FF2802">
        <w:t xml:space="preserve"> a significant infrastructure pipeline which is having spillover effects on other sectors. </w:t>
      </w:r>
    </w:p>
    <w:p w14:paraId="7FDE1387" w14:textId="77777777" w:rsidR="003F26DA" w:rsidRPr="00FF2802" w:rsidRDefault="003F26DA">
      <w:pPr>
        <w:pStyle w:val="05Paragraph"/>
      </w:pPr>
      <w:r w:rsidRPr="00FF2802">
        <w:t xml:space="preserve">Some stakeholders also noted a degree of labour market segmentation for </w:t>
      </w:r>
      <w:r>
        <w:t>public entities</w:t>
      </w:r>
      <w:r w:rsidRPr="00FF2802">
        <w:t xml:space="preserve"> in terms of geography, sector and talent, including that:</w:t>
      </w:r>
    </w:p>
    <w:p w14:paraId="05A0204D" w14:textId="77777777" w:rsidR="003F26DA" w:rsidRPr="00FF2802" w:rsidRDefault="003F26DA" w:rsidP="003F26DA">
      <w:pPr>
        <w:pStyle w:val="06VIRTBulletpoints"/>
        <w:ind w:left="357" w:hanging="357"/>
      </w:pPr>
      <w:r w:rsidRPr="00FF2802">
        <w:t>Attracting executives to regional areas is a consistent challenge, where challenges include having to ‘recruit the whole family’ (including partners who may also have to change jobs), although once employed executives may be inclined to stay for a longer period for lifestyle reasons.</w:t>
      </w:r>
    </w:p>
    <w:p w14:paraId="6B03DFFE" w14:textId="010FDDA5" w:rsidR="003F26DA" w:rsidRPr="00FF2802" w:rsidRDefault="003F26DA" w:rsidP="003F26DA">
      <w:pPr>
        <w:pStyle w:val="06VIRTBulletpoints"/>
        <w:ind w:left="357" w:hanging="357"/>
      </w:pPr>
      <w:r w:rsidRPr="00FF2802">
        <w:t xml:space="preserve">There can be thin labour markets for executives with bespoke skills and experience required for some </w:t>
      </w:r>
      <w:r>
        <w:t>public entity</w:t>
      </w:r>
      <w:r w:rsidRPr="00FF2802">
        <w:t xml:space="preserve"> roles</w:t>
      </w:r>
      <w:r w:rsidR="000F4A35">
        <w:t>.</w:t>
      </w:r>
      <w:r w:rsidRPr="00FF2802">
        <w:t xml:space="preserve"> </w:t>
      </w:r>
    </w:p>
    <w:p w14:paraId="0EB5120E" w14:textId="47032CB1" w:rsidR="003F26DA" w:rsidRPr="00FF2802" w:rsidRDefault="003F26DA" w:rsidP="003F26DA">
      <w:pPr>
        <w:pStyle w:val="06VIRTBulletpoints"/>
        <w:ind w:left="357" w:hanging="357"/>
      </w:pPr>
      <w:r w:rsidRPr="00FF2802">
        <w:t xml:space="preserve">While long-standing market pressures remained for construction, engineering and project delivery skills, there were also pressures for specific skillsets in intellectual property law, risk management and </w:t>
      </w:r>
      <w:r>
        <w:t>ICT</w:t>
      </w:r>
      <w:r w:rsidRPr="00FF2802">
        <w:t xml:space="preserve"> (particularly for information security given the prevalence of legacy systems in the public sector).</w:t>
      </w:r>
    </w:p>
    <w:p w14:paraId="53826373" w14:textId="1EE0F4B7" w:rsidR="003F26DA" w:rsidRDefault="003F26DA">
      <w:pPr>
        <w:pStyle w:val="05Paragraph"/>
      </w:pPr>
      <w:r w:rsidRPr="00CE492A">
        <w:t xml:space="preserve">Several </w:t>
      </w:r>
      <w:r>
        <w:t xml:space="preserve">written </w:t>
      </w:r>
      <w:r w:rsidRPr="00CE492A">
        <w:t xml:space="preserve">submissions </w:t>
      </w:r>
      <w:r>
        <w:t xml:space="preserve">also </w:t>
      </w:r>
      <w:r w:rsidRPr="00CE492A">
        <w:t xml:space="preserve">noted challenges in sourcing appropriately skilled executives, reflecting tight conditions in the broader labour market. For example, </w:t>
      </w:r>
      <w:proofErr w:type="spellStart"/>
      <w:r w:rsidRPr="00CE492A">
        <w:t>VicWater</w:t>
      </w:r>
      <w:proofErr w:type="spellEnd"/>
      <w:r w:rsidRPr="00CE492A">
        <w:t xml:space="preserve"> noted recruitment difficulties associated with a strong labour market and competition from other public sector employers, including for ‘in-demand’ role</w:t>
      </w:r>
      <w:r>
        <w:t>s</w:t>
      </w:r>
      <w:r w:rsidRPr="00CE492A">
        <w:t xml:space="preserve"> in I</w:t>
      </w:r>
      <w:r>
        <w:t>C</w:t>
      </w:r>
      <w:r w:rsidRPr="00CE492A">
        <w:t>T/cyber, finance</w:t>
      </w:r>
      <w:r w:rsidR="00623412">
        <w:t xml:space="preserve"> and </w:t>
      </w:r>
      <w:r w:rsidRPr="00CE492A">
        <w:t>commercial disciplines, capital project delivery</w:t>
      </w:r>
      <w:r w:rsidR="00623412">
        <w:t xml:space="preserve"> and </w:t>
      </w:r>
      <w:r w:rsidRPr="00CE492A">
        <w:t>management</w:t>
      </w:r>
      <w:r w:rsidR="00623412">
        <w:t>,</w:t>
      </w:r>
      <w:r w:rsidRPr="00CE492A">
        <w:t xml:space="preserve"> and specialised services in relation to water and wastewater management. </w:t>
      </w:r>
    </w:p>
    <w:p w14:paraId="4C2E0DBD" w14:textId="77777777" w:rsidR="003F26DA" w:rsidRPr="00CE492A" w:rsidRDefault="003F26DA">
      <w:pPr>
        <w:pStyle w:val="05Paragraph"/>
      </w:pPr>
      <w:proofErr w:type="spellStart"/>
      <w:r w:rsidRPr="00CE492A">
        <w:t>VicWater</w:t>
      </w:r>
      <w:proofErr w:type="spellEnd"/>
      <w:r w:rsidRPr="00CE492A">
        <w:t xml:space="preserve"> also noted additional challenges for water corporations in regional areas, citing factors such as a smaller and less diverse labour market, competition with other regional employers and unwillingness of high calibre candidates to relocate to regional areas.</w:t>
      </w:r>
    </w:p>
    <w:p w14:paraId="1DD1F922" w14:textId="77777777" w:rsidR="003F26DA" w:rsidRDefault="003F26DA" w:rsidP="00A923F5">
      <w:pPr>
        <w:pStyle w:val="05Paragraph"/>
        <w:keepNext/>
      </w:pPr>
      <w:r>
        <w:lastRenderedPageBreak/>
        <w:t xml:space="preserve">The CFA submission noted </w:t>
      </w:r>
      <w:r w:rsidRPr="0030176C">
        <w:t xml:space="preserve">current market conditions and pressures </w:t>
      </w:r>
      <w:r>
        <w:t>are</w:t>
      </w:r>
      <w:r w:rsidRPr="0030176C">
        <w:t xml:space="preserve"> affect</w:t>
      </w:r>
      <w:r>
        <w:t>ing</w:t>
      </w:r>
      <w:r w:rsidRPr="0030176C">
        <w:t xml:space="preserve"> the ability of public entities to attract and retain executives</w:t>
      </w:r>
      <w:r>
        <w:t>:</w:t>
      </w:r>
    </w:p>
    <w:p w14:paraId="1B4F4F4B" w14:textId="77777777" w:rsidR="003F26DA" w:rsidRDefault="003F26DA">
      <w:pPr>
        <w:pStyle w:val="07VIRTBreakouttext"/>
      </w:pPr>
      <w:r w:rsidRPr="00242DD1">
        <w:t>Executives with specialised skills and experience in high demand, such as those involved in ICT and project management, tend to command higher compensation in the private sector, making it harder for public entities to compete. Furthermore, location and relocation challenges arise as private sector organisations may sometimes allow fully remote working conditions, whereas public sector roles typically require Victorian residency.</w:t>
      </w:r>
    </w:p>
    <w:p w14:paraId="4CA19DBA" w14:textId="77777777" w:rsidR="003F26DA" w:rsidRDefault="003F26DA">
      <w:pPr>
        <w:pStyle w:val="05Paragraph"/>
      </w:pPr>
      <w:r>
        <w:t>These submissions align with JSA’s research into occupational shortages</w:t>
      </w:r>
      <w:r>
        <w:rPr>
          <w:rStyle w:val="FootnoteReference"/>
        </w:rPr>
        <w:footnoteReference w:id="157"/>
      </w:r>
      <w:r>
        <w:t xml:space="preserve"> across Australia, which found that the ‘Professionals’ group of occupations comprised 48 per cent of occupations in shortage in 2023 and 2024. This group includes the fields of engineering and ICT.</w:t>
      </w:r>
      <w:r>
        <w:rPr>
          <w:rStyle w:val="FootnoteReference"/>
        </w:rPr>
        <w:footnoteReference w:id="158"/>
      </w:r>
      <w:r w:rsidDel="00D14EAF">
        <w:t xml:space="preserve"> </w:t>
      </w:r>
    </w:p>
    <w:p w14:paraId="6F2CCC39" w14:textId="1D5B56B3" w:rsidR="003F26DA" w:rsidRPr="00733E72" w:rsidRDefault="003F26DA">
      <w:pPr>
        <w:pStyle w:val="02VIRTHeading2"/>
      </w:pPr>
      <w:bookmarkStart w:id="70" w:name="_Toc185012376"/>
      <w:r>
        <w:t>5.4</w:t>
      </w:r>
      <w:r>
        <w:tab/>
      </w:r>
      <w:r w:rsidRPr="00733E72">
        <w:t>Remuneration is a</w:t>
      </w:r>
      <w:r>
        <w:t xml:space="preserve"> factor</w:t>
      </w:r>
      <w:r w:rsidRPr="00733E72">
        <w:t xml:space="preserve"> in the attraction and retention of executives</w:t>
      </w:r>
      <w:bookmarkEnd w:id="70"/>
    </w:p>
    <w:p w14:paraId="24A396E0" w14:textId="77777777" w:rsidR="003F26DA" w:rsidRDefault="003F26DA">
      <w:pPr>
        <w:pStyle w:val="05Paragraph"/>
      </w:pPr>
      <w:r>
        <w:t>In general, r</w:t>
      </w:r>
      <w:r w:rsidRPr="0011097C">
        <w:t xml:space="preserve">emuneration </w:t>
      </w:r>
      <w:r>
        <w:t>plays a role in attracting and retaining the talent required by a public entity</w:t>
      </w:r>
      <w:r w:rsidDel="00F1221E">
        <w:t xml:space="preserve"> </w:t>
      </w:r>
      <w:r>
        <w:t xml:space="preserve">to achieve its objectives. While the Tribunal does not set individual executive remuneration, it seeks to ensure that remuneration bands are sufficiently competitive with the private sector and other </w:t>
      </w:r>
      <w:r w:rsidRPr="00913BCD">
        <w:t>public sector jurisdictions with which Victoria competes for talent.</w:t>
      </w:r>
    </w:p>
    <w:p w14:paraId="32DFE611" w14:textId="4304D228" w:rsidR="003F26DA" w:rsidRPr="00FF2802" w:rsidRDefault="003F26DA">
      <w:pPr>
        <w:pStyle w:val="05Paragraph"/>
      </w:pPr>
      <w:r w:rsidRPr="00FF2802">
        <w:t>Participants in the Tribunal’s roundtables generally agreed that public sector remuneration is set at the lower end of the market — and significantly below market rates in some cases — but acknowledged that the public sector does not target the top range of the market. In some sectors, participants noted that remuneration for comparable VPS roles was higher than they were able to offer.</w:t>
      </w:r>
    </w:p>
    <w:p w14:paraId="5289FA15" w14:textId="77777777" w:rsidR="003F26DA" w:rsidRDefault="003F26DA">
      <w:pPr>
        <w:pStyle w:val="05Paragraph"/>
      </w:pPr>
      <w:r w:rsidRPr="00FF2802">
        <w:t xml:space="preserve">Some participants noted they are generally (but not always) able to fill executive roles within the existing remuneration </w:t>
      </w:r>
      <w:proofErr w:type="gramStart"/>
      <w:r w:rsidRPr="00FF2802">
        <w:t>bands, but</w:t>
      </w:r>
      <w:proofErr w:type="gramEnd"/>
      <w:r w:rsidRPr="00FF2802">
        <w:t xml:space="preserve"> would not necessarily be able to attract the most suitable person. </w:t>
      </w:r>
      <w:proofErr w:type="gramStart"/>
      <w:r w:rsidRPr="00FF2802">
        <w:t>As a consequence</w:t>
      </w:r>
      <w:proofErr w:type="gramEnd"/>
      <w:r w:rsidRPr="00FF2802">
        <w:t>, employers may then incur additional costs due to extended vacancies (with associated impacts on other staff) and for professional development or coaching.</w:t>
      </w:r>
      <w:r>
        <w:t xml:space="preserve"> </w:t>
      </w:r>
    </w:p>
    <w:p w14:paraId="124BE4A7" w14:textId="77777777" w:rsidR="003F26DA" w:rsidRPr="00733E72" w:rsidRDefault="003F26DA">
      <w:pPr>
        <w:pStyle w:val="05Paragraph"/>
      </w:pPr>
      <w:r>
        <w:lastRenderedPageBreak/>
        <w:t>The Tribunal’s questionnaire also identified challenges for public entities in recruiting executives in specialist areas including digital and technology, finance and insurance, legal and engineering. Respondents involved in</w:t>
      </w:r>
      <w:r w:rsidRPr="00733E72">
        <w:t xml:space="preserve"> executive recruitment</w:t>
      </w:r>
      <w:r>
        <w:t xml:space="preserve"> were asked</w:t>
      </w:r>
      <w:r w:rsidRPr="00733E72">
        <w:t xml:space="preserve"> to identify the factors affecting the willingness of potential candidates to apply for executive positions or accept an employment offer.</w:t>
      </w:r>
      <w:r>
        <w:t xml:space="preserve"> Respondents were able to choose more than one factor.</w:t>
      </w:r>
      <w:r w:rsidRPr="00733E72">
        <w:t xml:space="preserve"> ‘Total remuneration package is too low’ was chosen by around 9</w:t>
      </w:r>
      <w:r>
        <w:t>5</w:t>
      </w:r>
      <w:r w:rsidRPr="00733E72">
        <w:t xml:space="preserve"> per cent of respondents and was by far the most common response (Figure </w:t>
      </w:r>
      <w:r>
        <w:t>5</w:t>
      </w:r>
      <w:r w:rsidRPr="00733E72">
        <w:t>.</w:t>
      </w:r>
      <w:r>
        <w:t>1</w:t>
      </w:r>
      <w:r w:rsidRPr="00733E72">
        <w:t>).</w:t>
      </w:r>
    </w:p>
    <w:p w14:paraId="048F992A" w14:textId="77777777" w:rsidR="003F26DA" w:rsidRPr="00FF2802" w:rsidRDefault="003F26DA">
      <w:pPr>
        <w:pStyle w:val="08Figuretableboxheading"/>
      </w:pPr>
      <w:bookmarkStart w:id="71" w:name="_Toc170393549"/>
      <w:r w:rsidRPr="00FF2802">
        <w:t xml:space="preserve">Figure 5.1: Executive questionnaire — factors affecting potential candidates’ interest in applying for, or accepting, executive employment in a </w:t>
      </w:r>
      <w:bookmarkEnd w:id="71"/>
      <w:r w:rsidRPr="00FF2802">
        <w:t>public entity</w:t>
      </w:r>
    </w:p>
    <w:p w14:paraId="13F3801B" w14:textId="172C7B95" w:rsidR="003F26DA" w:rsidRPr="005722E9" w:rsidRDefault="0008018B">
      <w:pPr>
        <w:pStyle w:val="05Paragraph"/>
      </w:pPr>
      <w:r>
        <w:rPr>
          <w:noProof/>
        </w:rPr>
        <w:drawing>
          <wp:inline distT="0" distB="0" distL="0" distR="0" wp14:anchorId="57C6AEAB" wp14:editId="1D0C18F7">
            <wp:extent cx="5367600" cy="2498400"/>
            <wp:effectExtent l="0" t="0" r="5080" b="0"/>
            <wp:docPr id="1023285028" name="Picture 2" descr="A bar chart showing responses to the question ‘What factors do you think are affecting potential candidates' interest in applying for, or accepting employment offers? Please select all that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85028" name="Picture 2" descr="A bar chart showing responses to the question ‘What factors do you think are affecting potential candidates' interest in applying for, or accepting employment offers? Please select all that appl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67600" cy="2498400"/>
                    </a:xfrm>
                    <a:prstGeom prst="rect">
                      <a:avLst/>
                    </a:prstGeom>
                    <a:noFill/>
                  </pic:spPr>
                </pic:pic>
              </a:graphicData>
            </a:graphic>
          </wp:inline>
        </w:drawing>
      </w:r>
    </w:p>
    <w:p w14:paraId="7F8646D9" w14:textId="77777777" w:rsidR="003F26DA" w:rsidRPr="0025644A" w:rsidRDefault="003F26DA">
      <w:pPr>
        <w:pStyle w:val="09Sourcesandnotesfortablesfiguresboxes"/>
        <w:rPr>
          <w:rFonts w:eastAsia="Rockwell" w:cs="Times New Roman"/>
          <w:color w:val="000000"/>
        </w:rPr>
      </w:pPr>
      <w:r w:rsidRPr="0025644A">
        <w:t>Note: The figure shows responses to the question ‘What factors do you think are affecting potential candidates' interest in applying for, or accepting employment offers? Please select all that apply.’ 80 responses were received.</w:t>
      </w:r>
    </w:p>
    <w:p w14:paraId="5D58F821" w14:textId="77777777" w:rsidR="003F26DA" w:rsidRPr="0025644A" w:rsidRDefault="003F26DA">
      <w:pPr>
        <w:pStyle w:val="09Sourcesandnotesfortablesfiguresboxes"/>
        <w:rPr>
          <w:rFonts w:eastAsia="Rockwell" w:cs="Times New Roman"/>
          <w:color w:val="000000"/>
        </w:rPr>
      </w:pPr>
      <w:r w:rsidRPr="0025644A">
        <w:t>Source: Tribunal analysis of responses to executive questionnaire.</w:t>
      </w:r>
    </w:p>
    <w:p w14:paraId="3933E939" w14:textId="77777777" w:rsidR="003F26DA" w:rsidRPr="000277DF" w:rsidRDefault="003F26DA">
      <w:pPr>
        <w:pStyle w:val="05Paragraph"/>
      </w:pPr>
      <w:r w:rsidRPr="000277DF">
        <w:t>Inadequate levels of remuneration were also cited as a key factor by:</w:t>
      </w:r>
    </w:p>
    <w:p w14:paraId="17870461" w14:textId="77777777" w:rsidR="003F26DA" w:rsidRPr="000277DF" w:rsidRDefault="003F26DA" w:rsidP="003F26DA">
      <w:pPr>
        <w:pStyle w:val="06VIRTBulletpoints"/>
      </w:pPr>
      <w:r w:rsidRPr="000277DF">
        <w:rPr>
          <w:noProof/>
          <w:lang w:eastAsia="en-AU"/>
        </w:rPr>
        <w:t>around 75 per cent of respondents who reported an increase in the rate at which executives we</w:t>
      </w:r>
      <w:r w:rsidRPr="000277DF">
        <w:t>re voluntarily departing their organisation</w:t>
      </w:r>
    </w:p>
    <w:p w14:paraId="31BFBA75" w14:textId="77777777" w:rsidR="003F26DA" w:rsidRPr="000277DF" w:rsidRDefault="003F26DA" w:rsidP="003F26DA">
      <w:pPr>
        <w:pStyle w:val="06VIRTBulletpoints"/>
        <w:rPr>
          <w:noProof/>
          <w:lang w:eastAsia="en-AU"/>
        </w:rPr>
      </w:pPr>
      <w:r w:rsidRPr="000277DF">
        <w:t>around half of</w:t>
      </w:r>
      <w:r w:rsidRPr="000277DF">
        <w:rPr>
          <w:noProof/>
          <w:lang w:eastAsia="en-AU"/>
        </w:rPr>
        <w:t xml:space="preserve"> executives who indicated an intention to leave their role within the next year.</w:t>
      </w:r>
    </w:p>
    <w:p w14:paraId="2360DD58" w14:textId="77777777" w:rsidR="003F26DA" w:rsidRPr="00FB2D9E" w:rsidRDefault="003F26DA">
      <w:pPr>
        <w:pStyle w:val="05Paragraph"/>
      </w:pPr>
      <w:r>
        <w:t>However, the relationship between recruitment difficulties and remuneration is not straightforward. For example, JSA reported that at the national level, employers rarely adjust wages to fill vacancies, preferring other strategies such as continuing to advertise, restructuring the organisation or giving up on filling the position.</w:t>
      </w:r>
      <w:r>
        <w:rPr>
          <w:rStyle w:val="FootnoteReference"/>
        </w:rPr>
        <w:footnoteReference w:id="159"/>
      </w:r>
      <w:r>
        <w:t xml:space="preserve"> </w:t>
      </w:r>
    </w:p>
    <w:p w14:paraId="56182D58" w14:textId="77777777" w:rsidR="003F26DA" w:rsidRDefault="003F26DA">
      <w:pPr>
        <w:pStyle w:val="02VIRTHeading2"/>
      </w:pPr>
      <w:bookmarkStart w:id="72" w:name="_Toc185012377"/>
      <w:r>
        <w:lastRenderedPageBreak/>
        <w:t xml:space="preserve">5.5 </w:t>
      </w:r>
      <w:r>
        <w:tab/>
        <w:t>Remuneration relativities between executive and non-executive staff have narrowed</w:t>
      </w:r>
      <w:bookmarkEnd w:id="72"/>
    </w:p>
    <w:p w14:paraId="0D60E70C" w14:textId="77777777" w:rsidR="004A6C99" w:rsidRDefault="003F26DA">
      <w:pPr>
        <w:rPr>
          <w:color w:val="000000" w:themeColor="text1"/>
        </w:rPr>
      </w:pPr>
      <w:r w:rsidRPr="002E12AD">
        <w:rPr>
          <w:color w:val="000000" w:themeColor="text1"/>
        </w:rPr>
        <w:t>In its 2020 PE Determination, the Tribunal examined the relativities between public entity executive and non-executive remuneration.</w:t>
      </w:r>
      <w:r>
        <w:rPr>
          <w:rStyle w:val="FootnoteReference"/>
          <w:color w:val="000000" w:themeColor="text1"/>
        </w:rPr>
        <w:footnoteReference w:id="160"/>
      </w:r>
      <w:r w:rsidRPr="002E12AD">
        <w:rPr>
          <w:color w:val="000000" w:themeColor="text1"/>
        </w:rPr>
        <w:t xml:space="preserve"> It found that many (although not all) non-executive employees in public entities are remunerated based on rates set in enterprise agreements. </w:t>
      </w:r>
    </w:p>
    <w:p w14:paraId="78906188" w14:textId="029E48F1" w:rsidR="003F26DA" w:rsidRPr="002E12AD" w:rsidRDefault="003F26DA">
      <w:pPr>
        <w:rPr>
          <w:color w:val="000000" w:themeColor="text1"/>
        </w:rPr>
      </w:pPr>
      <w:r w:rsidRPr="002E12AD">
        <w:rPr>
          <w:color w:val="000000" w:themeColor="text1"/>
        </w:rPr>
        <w:t>The Tribunal considered that the value ranges of the executive remuneration bands should enable public entities to</w:t>
      </w:r>
      <w:r>
        <w:t xml:space="preserve"> </w:t>
      </w:r>
      <w:r w:rsidRPr="002E12AD">
        <w:rPr>
          <w:color w:val="000000" w:themeColor="text1"/>
        </w:rPr>
        <w:t>offer their executives higher remuneration than that provided under their respective enterprise agreements, as this would:</w:t>
      </w:r>
    </w:p>
    <w:p w14:paraId="55FA9312" w14:textId="77777777" w:rsidR="003F26DA" w:rsidRDefault="003F26DA" w:rsidP="003F26DA">
      <w:pPr>
        <w:pStyle w:val="06VIRTBulletpoints"/>
        <w:ind w:left="357" w:hanging="357"/>
      </w:pPr>
      <w:r w:rsidRPr="001F71A0">
        <w:t>recognise</w:t>
      </w:r>
      <w:r>
        <w:t xml:space="preserve"> executive roles generally have a higher work value</w:t>
      </w:r>
    </w:p>
    <w:p w14:paraId="08E8EC57" w14:textId="77777777" w:rsidR="003F26DA" w:rsidRDefault="003F26DA" w:rsidP="003F26DA">
      <w:pPr>
        <w:pStyle w:val="06VIRTBulletpoints"/>
        <w:ind w:left="357" w:hanging="357"/>
      </w:pPr>
      <w:r w:rsidRPr="001F71A0">
        <w:t>reflect</w:t>
      </w:r>
      <w:r>
        <w:t xml:space="preserve"> that executive roles carry greater risk, and may</w:t>
      </w:r>
      <w:r w:rsidRPr="001F71A0">
        <w:t xml:space="preserve"> </w:t>
      </w:r>
      <w:r>
        <w:t>come with lower security of employment</w:t>
      </w:r>
    </w:p>
    <w:p w14:paraId="6ABF6E11" w14:textId="77777777" w:rsidR="003F26DA" w:rsidRDefault="003F26DA" w:rsidP="003F26DA">
      <w:pPr>
        <w:pStyle w:val="06VIRTBulletpoints"/>
        <w:ind w:left="357" w:hanging="357"/>
      </w:pPr>
      <w:r w:rsidRPr="001F71A0">
        <w:t>provide</w:t>
      </w:r>
      <w:r>
        <w:t xml:space="preserve"> non-executive employees with an incentive to apply for executive roles. </w:t>
      </w:r>
    </w:p>
    <w:p w14:paraId="4CEE5F50" w14:textId="22FB803C" w:rsidR="003F26DA" w:rsidRDefault="003F26DA">
      <w:pPr>
        <w:pStyle w:val="05Paragraph"/>
      </w:pPr>
      <w:r>
        <w:t>In this Determination, the Tribunal sought stakeholder views about the appropriateness of the relativities between non-executive and executive remuneration. Stakeholders agreed that m</w:t>
      </w:r>
      <w:r w:rsidRPr="00A92284">
        <w:t>aintaining</w:t>
      </w:r>
      <w:r>
        <w:t xml:space="preserve"> remuneration relativities is necessary</w:t>
      </w:r>
      <w:r w:rsidRPr="00A92284">
        <w:t xml:space="preserve"> to attract executive talent and ensure </w:t>
      </w:r>
      <w:r>
        <w:t xml:space="preserve">fair compensation. For example, </w:t>
      </w:r>
      <w:r w:rsidR="00B23575" w:rsidRPr="005722E9">
        <w:t>one de</w:t>
      </w:r>
      <w:r w:rsidR="0047246C" w:rsidRPr="005722E9">
        <w:t>-identified</w:t>
      </w:r>
      <w:r w:rsidRPr="005722E9">
        <w:t xml:space="preserve"> submission noted</w:t>
      </w:r>
      <w:r>
        <w:t>:</w:t>
      </w:r>
    </w:p>
    <w:p w14:paraId="6FCB516F" w14:textId="77777777" w:rsidR="003F26DA" w:rsidRDefault="003F26DA">
      <w:pPr>
        <w:pStyle w:val="07VIRTBreakouttext"/>
      </w:pPr>
      <w:r>
        <w:t>Executives are expected to meet higher obligations and expectations, including strategic decision-making, leadership responsibilities, and accountability for the overall performance of the entity. Non-executives, while important, do not carry the same level of responsibility and accountability.</w:t>
      </w:r>
    </w:p>
    <w:p w14:paraId="65FFF334" w14:textId="2D8A8A35" w:rsidR="003F26DA" w:rsidRDefault="003F26DA">
      <w:pPr>
        <w:pStyle w:val="05Paragraph"/>
      </w:pPr>
      <w:r>
        <w:t xml:space="preserve">Some stakeholders commented that the gap between non-executive and executive remuneration has narrowed. For example, </w:t>
      </w:r>
      <w:r w:rsidRPr="005722E9">
        <w:t>another de</w:t>
      </w:r>
      <w:r w:rsidR="0047246C" w:rsidRPr="005722E9">
        <w:t>-</w:t>
      </w:r>
      <w:r w:rsidRPr="005722E9">
        <w:t>identified submission</w:t>
      </w:r>
      <w:r w:rsidRPr="0047246C">
        <w:t xml:space="preserve"> </w:t>
      </w:r>
      <w:r>
        <w:t>noted that:</w:t>
      </w:r>
    </w:p>
    <w:p w14:paraId="2721F0AD" w14:textId="77777777" w:rsidR="003F26DA" w:rsidRDefault="003F26DA">
      <w:pPr>
        <w:pStyle w:val="07VIRTBreakouttext"/>
      </w:pPr>
      <w:r w:rsidRPr="00A818FC">
        <w:t xml:space="preserve">As the government wages policy is applied through Enterprise Agreement negotiations, the relativity between executives and non-executives has </w:t>
      </w:r>
      <w:r w:rsidRPr="00A818FC">
        <w:lastRenderedPageBreak/>
        <w:t>shrunk over the past few years, particularly when there was no guideline rate increase approved by the Premier, or, when executive increases were lower than the government wages policy.</w:t>
      </w:r>
    </w:p>
    <w:p w14:paraId="5C1AEE12" w14:textId="77777777" w:rsidR="003F26DA" w:rsidRDefault="003F26DA">
      <w:pPr>
        <w:pStyle w:val="05Paragraph"/>
      </w:pPr>
      <w:r w:rsidRPr="003B0E36">
        <w:t xml:space="preserve">Roundtable participants cited narrow relativities — in terms of remuneration and other terms and conditions, such as job security — as a constraint on the pool of internal candidates for promotion for some </w:t>
      </w:r>
      <w:r>
        <w:rPr>
          <w:noProof/>
          <w:lang w:eastAsia="en-AU"/>
        </w:rPr>
        <w:t>public entities</w:t>
      </w:r>
      <w:r w:rsidRPr="003B0E36">
        <w:t>. This was of particular concern to some entities where non-executives were entitled to specific allowances under enterprise agreements.</w:t>
      </w:r>
    </w:p>
    <w:p w14:paraId="102BFE7C" w14:textId="00853297" w:rsidR="003F26DA" w:rsidRDefault="003F26DA">
      <w:pPr>
        <w:pStyle w:val="05Paragraph"/>
      </w:pPr>
      <w:r w:rsidRPr="006E6B2C">
        <w:t>The Tribunal’s questionnaire asked current executives if they consider the difference in remuneration between executives and non</w:t>
      </w:r>
      <w:r>
        <w:noBreakHyphen/>
      </w:r>
      <w:r w:rsidRPr="006E6B2C">
        <w:t xml:space="preserve">executives to be appropriate. Respondents expressed mixed views, with around 42 per cent of respondents indicating the gap </w:t>
      </w:r>
      <w:r w:rsidR="00D87991">
        <w:t>is</w:t>
      </w:r>
      <w:r w:rsidRPr="006E6B2C">
        <w:t xml:space="preserve"> ‘about right</w:t>
      </w:r>
      <w:r>
        <w:t>’</w:t>
      </w:r>
      <w:r w:rsidRPr="006E6B2C">
        <w:t xml:space="preserve">, around 40 per cent indicating </w:t>
      </w:r>
      <w:r w:rsidR="00AF735A">
        <w:t xml:space="preserve">it </w:t>
      </w:r>
      <w:r w:rsidRPr="006E6B2C">
        <w:t>is ‘too small’</w:t>
      </w:r>
      <w:r w:rsidR="00AF735A">
        <w:t xml:space="preserve"> and</w:t>
      </w:r>
      <w:r w:rsidRPr="006E6B2C">
        <w:t xml:space="preserve"> 11 per cent selecting ‘too large’, while around </w:t>
      </w:r>
      <w:r>
        <w:t>7</w:t>
      </w:r>
      <w:r w:rsidRPr="006E6B2C">
        <w:t xml:space="preserve"> per cent did not know.</w:t>
      </w:r>
      <w:r>
        <w:t xml:space="preserve"> Several respondents commented that the gap between executive and non</w:t>
      </w:r>
      <w:r>
        <w:noBreakHyphen/>
        <w:t>executive roles had narrowed, including due to enterprise agreement outcomes resulting in relatively higher salary adjustments for non-executives. Other respondents questioned whether executive remuneration levels adequately reflected the breadth of responsibilities and risk carried at the executive level (Box 5.1).</w:t>
      </w:r>
    </w:p>
    <w:p w14:paraId="02CE9BA4" w14:textId="77777777" w:rsidR="003F26DA" w:rsidRDefault="003F26DA">
      <w:pPr>
        <w:pStyle w:val="08Figuretableboxheading"/>
      </w:pPr>
      <w:r w:rsidRPr="00471D38">
        <w:t xml:space="preserve">Box </w:t>
      </w:r>
      <w:r>
        <w:t>5</w:t>
      </w:r>
      <w:r w:rsidRPr="00471D38">
        <w:t>.</w:t>
      </w:r>
      <w:r>
        <w:t>1: Public entity executive views about the differences in remuneration between non-executives and executives in their organisation – selected views</w:t>
      </w:r>
    </w:p>
    <w:p w14:paraId="4B3585B8" w14:textId="77777777" w:rsidR="003F26DA" w:rsidRDefault="003F26DA">
      <w:pPr>
        <w:pStyle w:val="09Sourcesandnotesfortablesfiguresboxes"/>
      </w:pPr>
      <w:r w:rsidRPr="00AD72D9">
        <w:rPr>
          <w:noProof/>
        </w:rPr>
        <mc:AlternateContent>
          <mc:Choice Requires="wps">
            <w:drawing>
              <wp:inline distT="0" distB="0" distL="0" distR="0" wp14:anchorId="358ECF69" wp14:editId="42B7C71C">
                <wp:extent cx="5396400" cy="2025650"/>
                <wp:effectExtent l="0" t="0" r="13970" b="12700"/>
                <wp:docPr id="1381820894" name="Text Box 1381820894"/>
                <wp:cNvGraphicFramePr/>
                <a:graphic xmlns:a="http://schemas.openxmlformats.org/drawingml/2006/main">
                  <a:graphicData uri="http://schemas.microsoft.com/office/word/2010/wordprocessingShape">
                    <wps:wsp>
                      <wps:cNvSpPr txBox="1"/>
                      <wps:spPr>
                        <a:xfrm>
                          <a:off x="0" y="0"/>
                          <a:ext cx="5396400" cy="2025650"/>
                        </a:xfrm>
                        <a:prstGeom prst="rect">
                          <a:avLst/>
                        </a:prstGeom>
                        <a:solidFill>
                          <a:sysClr val="window" lastClr="FFFFFF"/>
                        </a:solidFill>
                        <a:ln w="19050">
                          <a:solidFill>
                            <a:srgbClr val="148A5D"/>
                          </a:solidFill>
                        </a:ln>
                      </wps:spPr>
                      <wps:txbx>
                        <w:txbxContent>
                          <w:p w14:paraId="0EA6A337" w14:textId="77777777" w:rsidR="003F26DA" w:rsidRDefault="003F26DA">
                            <w:pPr>
                              <w:pStyle w:val="12BoxText"/>
                            </w:pPr>
                            <w:r>
                              <w:t>‘There is very minimal gap for much larger risk’.</w:t>
                            </w:r>
                          </w:p>
                          <w:p w14:paraId="29D02011" w14:textId="77777777" w:rsidR="003F26DA" w:rsidRDefault="003F26DA">
                            <w:pPr>
                              <w:pStyle w:val="12BoxText"/>
                            </w:pPr>
                            <w:r>
                              <w:t>‘The gap has clearly narrowed over the recent medium term such that it is now too small’.</w:t>
                            </w:r>
                          </w:p>
                          <w:p w14:paraId="306AF0A9" w14:textId="77777777" w:rsidR="003F26DA" w:rsidRDefault="003F26DA">
                            <w:pPr>
                              <w:pStyle w:val="12BoxText"/>
                            </w:pPr>
                            <w:r>
                              <w:t xml:space="preserve">‘Gap is getting smaller and smaller with VPS Enterprise Agreements typically affording far greater percentage wage growth than at the executive </w:t>
                            </w:r>
                            <w:proofErr w:type="gramStart"/>
                            <w:r>
                              <w:t>levels’</w:t>
                            </w:r>
                            <w:proofErr w:type="gramEnd"/>
                            <w:r>
                              <w:t>.</w:t>
                            </w:r>
                          </w:p>
                          <w:p w14:paraId="119F5DFC" w14:textId="240F695F" w:rsidR="003F26DA" w:rsidRDefault="003F26DA">
                            <w:pPr>
                              <w:pStyle w:val="12BoxText"/>
                            </w:pPr>
                            <w:r>
                              <w:t xml:space="preserve">‘There is a significant gap between the highest paid non-executive role and the executive roles. Higher remunerated non-executive roles would </w:t>
                            </w:r>
                            <w:r w:rsidR="00AF735A">
                              <w:t>…</w:t>
                            </w:r>
                            <w:r>
                              <w:t xml:space="preserve"> attract higher skilled managers.’</w:t>
                            </w:r>
                          </w:p>
                          <w:p w14:paraId="29E5572D" w14:textId="0143533C" w:rsidR="003F26DA" w:rsidRDefault="003F26DA">
                            <w:pPr>
                              <w:pStyle w:val="12BoxText"/>
                            </w:pPr>
                            <w:r>
                              <w:t xml:space="preserve">‘The breadth and consequence of the responsibilities borne by a CEO are so much more significant than those carried out by non-executives, but without the commensurate compensation for that additional burden. </w:t>
                            </w:r>
                            <w:r w:rsidR="004D02B5">
                              <w:t>[</w:t>
                            </w:r>
                            <w:r>
                              <w:t>It</w:t>
                            </w:r>
                            <w:r w:rsidR="004D02B5">
                              <w:t>’</w:t>
                            </w:r>
                            <w:r>
                              <w:t>s</w:t>
                            </w:r>
                            <w:r w:rsidR="004D02B5">
                              <w:t>]</w:t>
                            </w:r>
                            <w:r>
                              <w:t xml:space="preserve"> just not worth it’.</w:t>
                            </w:r>
                          </w:p>
                          <w:p w14:paraId="5E4E2FE3" w14:textId="77777777" w:rsidR="003F26DA" w:rsidRDefault="003F26DA">
                            <w:pPr>
                              <w:pStyle w:val="12BoxText"/>
                            </w:pPr>
                          </w:p>
                          <w:p w14:paraId="78900FCC" w14:textId="77777777" w:rsidR="003F26DA" w:rsidRDefault="003F26DA">
                            <w:pPr>
                              <w:pStyle w:val="12BoxText"/>
                            </w:pPr>
                          </w:p>
                          <w:p w14:paraId="49BAFA5F" w14:textId="77777777" w:rsidR="003F26DA" w:rsidRDefault="003F26DA">
                            <w:pPr>
                              <w:pStyle w:val="12BoxText"/>
                            </w:pPr>
                          </w:p>
                          <w:p w14:paraId="2523F2B1" w14:textId="77777777" w:rsidR="003F26DA" w:rsidRDefault="003F26DA">
                            <w:pPr>
                              <w:pStyle w:val="12BoxText"/>
                            </w:pPr>
                          </w:p>
                          <w:p w14:paraId="6F224485" w14:textId="77777777" w:rsidR="003F26DA" w:rsidRDefault="003F26DA">
                            <w:pPr>
                              <w:pStyle w:val="12BoxText"/>
                            </w:pPr>
                          </w:p>
                          <w:p w14:paraId="10AB8274" w14:textId="77777777" w:rsidR="003F26DA" w:rsidRPr="00C23454" w:rsidRDefault="003F26DA">
                            <w:pPr>
                              <w:pStyle w:val="13Boxbullets"/>
                              <w:numPr>
                                <w:ilvl w:val="0"/>
                                <w:numId w:val="0"/>
                              </w:numPr>
                              <w:ind w:left="502"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8ECF69" id="Text Box 1381820894" o:spid="_x0000_s1031" type="#_x0000_t202" style="width:42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" fillcolor="window" strokecolor="#148a5d" strokeweight="1.5pt">
                <v:textbox>
                  <w:txbxContent>
                    <w:p w14:paraId="0EA6A337" w14:textId="77777777" w:rsidR="003F26DA" w:rsidRDefault="003F26DA">
                      <w:pPr>
                        <w:pStyle w:val="12BoxText"/>
                      </w:pPr>
                      <w:r>
                        <w:t>‘There is very minimal gap for much larger risk’.</w:t>
                      </w:r>
                    </w:p>
                    <w:p w14:paraId="29D02011" w14:textId="77777777" w:rsidR="003F26DA" w:rsidRDefault="003F26DA">
                      <w:pPr>
                        <w:pStyle w:val="12BoxText"/>
                      </w:pPr>
                      <w:r>
                        <w:t>‘The gap has clearly narrowed over the recent medium term such that it is now too small’.</w:t>
                      </w:r>
                    </w:p>
                    <w:p w14:paraId="306AF0A9" w14:textId="77777777" w:rsidR="003F26DA" w:rsidRDefault="003F26DA">
                      <w:pPr>
                        <w:pStyle w:val="12BoxText"/>
                      </w:pPr>
                      <w:r>
                        <w:t xml:space="preserve">‘Gap is getting smaller and smaller with VPS Enterprise Agreements typically affording far greater percentage wage growth than at the executive </w:t>
                      </w:r>
                      <w:proofErr w:type="gramStart"/>
                      <w:r>
                        <w:t>levels’</w:t>
                      </w:r>
                      <w:proofErr w:type="gramEnd"/>
                      <w:r>
                        <w:t>.</w:t>
                      </w:r>
                    </w:p>
                    <w:p w14:paraId="119F5DFC" w14:textId="240F695F" w:rsidR="003F26DA" w:rsidRDefault="003F26DA">
                      <w:pPr>
                        <w:pStyle w:val="12BoxText"/>
                      </w:pPr>
                      <w:r>
                        <w:t xml:space="preserve">‘There is a significant gap between the highest paid non-executive role and the executive roles. Higher remunerated non-executive roles would </w:t>
                      </w:r>
                      <w:r w:rsidR="00AF735A">
                        <w:t>…</w:t>
                      </w:r>
                      <w:r>
                        <w:t xml:space="preserve"> attract higher skilled managers.’</w:t>
                      </w:r>
                    </w:p>
                    <w:p w14:paraId="29E5572D" w14:textId="0143533C" w:rsidR="003F26DA" w:rsidRDefault="003F26DA">
                      <w:pPr>
                        <w:pStyle w:val="12BoxText"/>
                      </w:pPr>
                      <w:r>
                        <w:t xml:space="preserve">‘The breadth and consequence of the responsibilities borne by a CEO are so much more significant than those carried out by non-executives, but without the commensurate compensation for that additional burden. </w:t>
                      </w:r>
                      <w:r w:rsidR="004D02B5">
                        <w:t>[</w:t>
                      </w:r>
                      <w:r>
                        <w:t>It</w:t>
                      </w:r>
                      <w:r w:rsidR="004D02B5">
                        <w:t>’</w:t>
                      </w:r>
                      <w:r>
                        <w:t>s</w:t>
                      </w:r>
                      <w:r w:rsidR="004D02B5">
                        <w:t>]</w:t>
                      </w:r>
                      <w:r>
                        <w:t xml:space="preserve"> just not worth it’.</w:t>
                      </w:r>
                    </w:p>
                    <w:p w14:paraId="5E4E2FE3" w14:textId="77777777" w:rsidR="003F26DA" w:rsidRDefault="003F26DA">
                      <w:pPr>
                        <w:pStyle w:val="12BoxText"/>
                      </w:pPr>
                    </w:p>
                    <w:p w14:paraId="78900FCC" w14:textId="77777777" w:rsidR="003F26DA" w:rsidRDefault="003F26DA">
                      <w:pPr>
                        <w:pStyle w:val="12BoxText"/>
                      </w:pPr>
                    </w:p>
                    <w:p w14:paraId="49BAFA5F" w14:textId="77777777" w:rsidR="003F26DA" w:rsidRDefault="003F26DA">
                      <w:pPr>
                        <w:pStyle w:val="12BoxText"/>
                      </w:pPr>
                    </w:p>
                    <w:p w14:paraId="2523F2B1" w14:textId="77777777" w:rsidR="003F26DA" w:rsidRDefault="003F26DA">
                      <w:pPr>
                        <w:pStyle w:val="12BoxText"/>
                      </w:pPr>
                    </w:p>
                    <w:p w14:paraId="6F224485" w14:textId="77777777" w:rsidR="003F26DA" w:rsidRDefault="003F26DA">
                      <w:pPr>
                        <w:pStyle w:val="12BoxText"/>
                      </w:pPr>
                    </w:p>
                    <w:p w14:paraId="10AB8274" w14:textId="77777777" w:rsidR="003F26DA" w:rsidRPr="00C23454" w:rsidRDefault="003F26DA">
                      <w:pPr>
                        <w:pStyle w:val="13Boxbullets"/>
                        <w:numPr>
                          <w:ilvl w:val="0"/>
                          <w:numId w:val="0"/>
                        </w:numPr>
                        <w:ind w:left="502" w:hanging="360"/>
                      </w:pPr>
                    </w:p>
                  </w:txbxContent>
                </v:textbox>
                <w10:anchorlock/>
              </v:shape>
            </w:pict>
          </mc:Fallback>
        </mc:AlternateContent>
      </w:r>
    </w:p>
    <w:p w14:paraId="5F57C4F4" w14:textId="77777777" w:rsidR="003F26DA" w:rsidRDefault="003F26DA">
      <w:pPr>
        <w:pStyle w:val="09Sourcesandnotesfortablesfiguresboxes"/>
      </w:pPr>
      <w:r w:rsidRPr="00AD72D9">
        <w:t>Source</w:t>
      </w:r>
      <w:r>
        <w:t>s</w:t>
      </w:r>
      <w:r w:rsidRPr="00AD72D9">
        <w:t xml:space="preserve">: </w:t>
      </w:r>
      <w:r>
        <w:t>Responses to the executive questionnaire.</w:t>
      </w:r>
    </w:p>
    <w:p w14:paraId="452B9EB4" w14:textId="77777777" w:rsidR="003F26DA" w:rsidRDefault="003F26DA">
      <w:pPr>
        <w:pStyle w:val="02VIRTHeading2"/>
        <w:rPr>
          <w:highlight w:val="yellow"/>
        </w:rPr>
      </w:pPr>
      <w:bookmarkStart w:id="73" w:name="_Toc185012378"/>
      <w:r w:rsidRPr="00111AEF">
        <w:t>5.</w:t>
      </w:r>
      <w:r>
        <w:t>6</w:t>
      </w:r>
      <w:r>
        <w:tab/>
      </w:r>
      <w:r w:rsidRPr="00F73CB7">
        <w:t>The remuneration bands are positioned towards the lower end of the market</w:t>
      </w:r>
      <w:bookmarkEnd w:id="73"/>
    </w:p>
    <w:p w14:paraId="357445F8" w14:textId="10F28634" w:rsidR="003F26DA" w:rsidRDefault="003F26DA">
      <w:pPr>
        <w:pStyle w:val="05Paragraph"/>
      </w:pPr>
      <w:r>
        <w:t xml:space="preserve">As discussed in Chapter 4, the Tribunal’s 2020 PE Determination set the values of the remuneration bands to broadly align with the remuneration bands set for </w:t>
      </w:r>
      <w:r>
        <w:lastRenderedPageBreak/>
        <w:t>executives employed in VPS bodies.</w:t>
      </w:r>
      <w:r>
        <w:rPr>
          <w:rStyle w:val="FootnoteReference"/>
        </w:rPr>
        <w:footnoteReference w:id="161"/>
      </w:r>
      <w:r>
        <w:t xml:space="preserve"> At that time, the Tribunal observed that broad alignment of the VPS and public entity remuneration bands would further promote mobility between the VPS and public entities, retention of executives and fairness in remuneration outcomes across the public sector.</w:t>
      </w:r>
      <w:r>
        <w:rPr>
          <w:rStyle w:val="FootnoteReference"/>
        </w:rPr>
        <w:footnoteReference w:id="162"/>
      </w:r>
      <w:r>
        <w:t xml:space="preserve"> Subsequent annual adjustment</w:t>
      </w:r>
      <w:r w:rsidR="004D02B5">
        <w:t>s</w:t>
      </w:r>
      <w:r>
        <w:t xml:space="preserve"> to the values of the remuneration bands have maintained this broad alignment. </w:t>
      </w:r>
    </w:p>
    <w:p w14:paraId="48AD081F" w14:textId="431326F9" w:rsidR="003F26DA" w:rsidRDefault="003F26DA">
      <w:pPr>
        <w:pStyle w:val="05Paragraph"/>
      </w:pPr>
      <w:r>
        <w:t xml:space="preserve">For its 2024 VPS Determination, the Tribunal </w:t>
      </w:r>
      <w:r w:rsidRPr="00BD4888">
        <w:t>commissioned Mercer Consulting to undertake work value assessments and remuneration benchmarking for VPS executive roles and provide advice on market positioning. Mercer found that compared to 2020, VPS remuneration — particularly for senior executives — had fallen below the 15th percentile of the A</w:t>
      </w:r>
      <w:r>
        <w:t>ustralian General Market</w:t>
      </w:r>
      <w:r w:rsidRPr="00BD4888">
        <w:t>.</w:t>
      </w:r>
      <w:r>
        <w:rPr>
          <w:rStyle w:val="FootnoteReference"/>
        </w:rPr>
        <w:footnoteReference w:id="163"/>
      </w:r>
      <w:r w:rsidRPr="00BD4888">
        <w:t xml:space="preserve"> The Tribunal considered this advice in its decision to increase the values of the remuneration bands </w:t>
      </w:r>
      <w:r w:rsidR="00D77D0E">
        <w:t xml:space="preserve">for VPS executives </w:t>
      </w:r>
      <w:r w:rsidRPr="00BD4888">
        <w:t>by between 4.0 and 4.5 per cent.</w:t>
      </w:r>
      <w:r w:rsidRPr="00BD4888">
        <w:rPr>
          <w:rStyle w:val="FootnoteReference"/>
        </w:rPr>
        <w:footnoteReference w:id="164"/>
      </w:r>
    </w:p>
    <w:p w14:paraId="4E76B439" w14:textId="77777777" w:rsidR="003F26DA" w:rsidRDefault="003F26DA">
      <w:pPr>
        <w:pStyle w:val="05Paragraph"/>
      </w:pPr>
      <w:r>
        <w:t xml:space="preserve">The Tribunal invited stakeholders to comment on whether the </w:t>
      </w:r>
      <w:r w:rsidRPr="00C473F1">
        <w:t xml:space="preserve">values of the existing remuneration bands </w:t>
      </w:r>
      <w:r>
        <w:t xml:space="preserve">are </w:t>
      </w:r>
      <w:r w:rsidRPr="00C473F1">
        <w:t>competitive in terms of attracting and retaining executive talent, noting that an employer must seek and consider the Tribunal’s advice if they propose to pay an executive above the band</w:t>
      </w:r>
      <w:r>
        <w:t xml:space="preserve">. </w:t>
      </w:r>
    </w:p>
    <w:p w14:paraId="3AECC998" w14:textId="77777777" w:rsidR="003F26DA" w:rsidRPr="003B0E36" w:rsidRDefault="003F26DA">
      <w:pPr>
        <w:pStyle w:val="05Paragraph"/>
      </w:pPr>
      <w:r w:rsidRPr="003B0E36">
        <w:t>The VSB submission commented that:</w:t>
      </w:r>
    </w:p>
    <w:p w14:paraId="28FEB2B9" w14:textId="3613DD93" w:rsidR="003F26DA" w:rsidRPr="0008647A" w:rsidRDefault="003F26DA">
      <w:pPr>
        <w:pStyle w:val="07VIRTBreakouttext"/>
      </w:pPr>
      <w:r w:rsidRPr="003B0E36">
        <w:t xml:space="preserve">The executive remuneration bands are sufficiently flexible for the vast majority of </w:t>
      </w:r>
      <w:r>
        <w:t>[</w:t>
      </w:r>
      <w:r>
        <w:rPr>
          <w:noProof/>
          <w:lang w:eastAsia="en-AU"/>
        </w:rPr>
        <w:t>public entities</w:t>
      </w:r>
      <w:r>
        <w:t>]</w:t>
      </w:r>
      <w:r w:rsidR="00462403">
        <w:t xml:space="preserve"> </w:t>
      </w:r>
      <w:r w:rsidRPr="003B0E36">
        <w:t>… Competitive pressures from the private sector have been and continue to be a reality when seeking to recruit or retain an employee in the public sector. VSB considers this is one of a multitude of factors an employer must consider, and that this is also a consideration for many VPS employers.</w:t>
      </w:r>
    </w:p>
    <w:p w14:paraId="4E1B2944" w14:textId="77777777" w:rsidR="003F26DA" w:rsidRPr="00D94E24" w:rsidRDefault="003F26DA">
      <w:pPr>
        <w:pStyle w:val="05Paragraph"/>
      </w:pPr>
      <w:r w:rsidRPr="00D94E24">
        <w:t xml:space="preserve">The VSB submission also supported maintaining alignment of the VPS and </w:t>
      </w:r>
      <w:r>
        <w:t>public entity</w:t>
      </w:r>
      <w:r w:rsidRPr="00D94E24">
        <w:t xml:space="preserve"> executive remuneration bands, citing similarities across executive roles:</w:t>
      </w:r>
    </w:p>
    <w:p w14:paraId="030AE92D" w14:textId="77777777" w:rsidR="003F26DA" w:rsidRPr="00D94E24" w:rsidRDefault="003F26DA">
      <w:pPr>
        <w:pStyle w:val="07VIRTBreakouttext"/>
      </w:pPr>
      <w:r w:rsidRPr="00D94E24">
        <w:t xml:space="preserve">VSB’s view is the remuneration framework should remain consistent across the VPS and </w:t>
      </w:r>
      <w:r>
        <w:t>[public entities]</w:t>
      </w:r>
      <w:r w:rsidRPr="00D94E24">
        <w:t xml:space="preserve">, unless there are compelling reasons otherwise. As the </w:t>
      </w:r>
      <w:r>
        <w:t>[public entity]</w:t>
      </w:r>
      <w:r w:rsidRPr="00D94E24">
        <w:t xml:space="preserve"> executive role remains broadly comparable with their </w:t>
      </w:r>
      <w:r w:rsidRPr="00D94E24">
        <w:lastRenderedPageBreak/>
        <w:t xml:space="preserve">VPS counterparts, the VPS and </w:t>
      </w:r>
      <w:r>
        <w:t>[public entity]</w:t>
      </w:r>
      <w:r w:rsidRPr="00D94E24">
        <w:t xml:space="preserve"> executive remuneration bands should also remain consistent.</w:t>
      </w:r>
    </w:p>
    <w:p w14:paraId="54A02429" w14:textId="77777777" w:rsidR="003F26DA" w:rsidRDefault="003F26DA">
      <w:pPr>
        <w:pStyle w:val="05Paragraph"/>
      </w:pPr>
      <w:r w:rsidRPr="00D94E24">
        <w:t xml:space="preserve">Most participants in the Tribunal’s roundtables expressed the view that the current structure and values of the remuneration bands were broadly appropriate, while noting challenges in setting a single remuneration framework for a diverse </w:t>
      </w:r>
      <w:r>
        <w:t>public entity</w:t>
      </w:r>
      <w:r w:rsidRPr="00D94E24">
        <w:t xml:space="preserve"> cohort. Participants also generally agreed that the VPS and </w:t>
      </w:r>
      <w:r>
        <w:t>public entity</w:t>
      </w:r>
      <w:r w:rsidRPr="00D94E24">
        <w:t xml:space="preserve"> remuneration bands should continue to be aligned, with this arrangement contributing to a common overarching ‘public purpose’ and reinforcing that the public sector values apply regardless of organisation form.</w:t>
      </w:r>
    </w:p>
    <w:p w14:paraId="1E98174F" w14:textId="7C3E620A" w:rsidR="003F26DA" w:rsidRDefault="003F26DA">
      <w:pPr>
        <w:pStyle w:val="05Paragraph"/>
      </w:pPr>
      <w:r>
        <w:t>Some</w:t>
      </w:r>
      <w:r w:rsidDel="008D3A5E">
        <w:t xml:space="preserve"> </w:t>
      </w:r>
      <w:r>
        <w:t>submitters noted difficulties in attracting and retaining public entity executives within the remuneration bands set by the Tribunal (Box 5.2). Submitters commented that</w:t>
      </w:r>
      <w:r w:rsidR="001F1684">
        <w:t>,</w:t>
      </w:r>
      <w:r>
        <w:t xml:space="preserve"> as the lower end of the bands were not considered competitive, particularly for PESES-1 or SES-1 roles, market positioning was often chosen at the middle to higher end of the bands. </w:t>
      </w:r>
    </w:p>
    <w:p w14:paraId="4BC2F715" w14:textId="77777777" w:rsidR="003F26DA" w:rsidRDefault="003F26DA">
      <w:pPr>
        <w:pStyle w:val="05Paragraph"/>
      </w:pPr>
      <w:r>
        <w:t xml:space="preserve">The </w:t>
      </w:r>
      <w:proofErr w:type="spellStart"/>
      <w:r>
        <w:t>VicWater</w:t>
      </w:r>
      <w:proofErr w:type="spellEnd"/>
      <w:r>
        <w:t xml:space="preserve"> submission also drew attention to base salary being supplemented by bonuses in competitor sectors. Under the PEER policy, bonuses are not available to public entity executives, other than for a small number of specialist finance-related roles.</w:t>
      </w:r>
    </w:p>
    <w:p w14:paraId="118DC21D" w14:textId="77777777" w:rsidR="003F26DA" w:rsidRDefault="003F26DA">
      <w:pPr>
        <w:pStyle w:val="08Figuretableboxheading"/>
      </w:pPr>
      <w:r w:rsidRPr="00471D38">
        <w:t xml:space="preserve">Box </w:t>
      </w:r>
      <w:r>
        <w:t>5</w:t>
      </w:r>
      <w:r w:rsidRPr="00471D38">
        <w:t>.</w:t>
      </w:r>
      <w:r>
        <w:t xml:space="preserve">2: Public entity </w:t>
      </w:r>
      <w:r w:rsidRPr="00D81C55">
        <w:t xml:space="preserve">views about the </w:t>
      </w:r>
      <w:r>
        <w:t>competitiveness of the remuneration bands – selected views</w:t>
      </w:r>
    </w:p>
    <w:p w14:paraId="065C9214" w14:textId="77777777" w:rsidR="003F26DA" w:rsidRDefault="003F26DA">
      <w:pPr>
        <w:pStyle w:val="09Sourcesandnotesfortablesfiguresboxes"/>
      </w:pPr>
      <w:r w:rsidRPr="00AD72D9">
        <w:rPr>
          <w:noProof/>
        </w:rPr>
        <mc:AlternateContent>
          <mc:Choice Requires="wps">
            <w:drawing>
              <wp:inline distT="0" distB="0" distL="0" distR="0" wp14:anchorId="1F5E6074" wp14:editId="02A70F78">
                <wp:extent cx="5396400" cy="3142211"/>
                <wp:effectExtent l="0" t="0" r="13970" b="20320"/>
                <wp:docPr id="1806354127" name="Text Box 1806354127"/>
                <wp:cNvGraphicFramePr/>
                <a:graphic xmlns:a="http://schemas.openxmlformats.org/drawingml/2006/main">
                  <a:graphicData uri="http://schemas.microsoft.com/office/word/2010/wordprocessingShape">
                    <wps:wsp>
                      <wps:cNvSpPr txBox="1"/>
                      <wps:spPr>
                        <a:xfrm>
                          <a:off x="0" y="0"/>
                          <a:ext cx="5396400" cy="3142211"/>
                        </a:xfrm>
                        <a:prstGeom prst="rect">
                          <a:avLst/>
                        </a:prstGeom>
                        <a:solidFill>
                          <a:sysClr val="window" lastClr="FFFFFF"/>
                        </a:solidFill>
                        <a:ln w="19050">
                          <a:solidFill>
                            <a:srgbClr val="148A5D"/>
                          </a:solidFill>
                        </a:ln>
                      </wps:spPr>
                      <wps:txbx>
                        <w:txbxContent>
                          <w:p w14:paraId="1EB8516B" w14:textId="77777777" w:rsidR="003F26DA" w:rsidRDefault="003F26DA" w:rsidP="00B54286">
                            <w:pPr>
                              <w:pStyle w:val="12BoxText"/>
                            </w:pPr>
                            <w:r>
                              <w:t>‘VMIA has been able to attract and retain Executives within the PESES bands. However, in all instances we have had to recruit at the higher end of the bands. For attraction and retention purposes, the lower end of the bands does not meet candidate and market demands.’ (VMIA submission)</w:t>
                            </w:r>
                          </w:p>
                          <w:p w14:paraId="20182EF8" w14:textId="6CEDCF78" w:rsidR="003F26DA" w:rsidRDefault="003F26DA" w:rsidP="00B54286">
                            <w:pPr>
                              <w:pStyle w:val="12BoxText"/>
                            </w:pPr>
                            <w:r>
                              <w:t>‘</w:t>
                            </w:r>
                            <w:r w:rsidRPr="00B21941">
                              <w:t>One notable trend is the increasing difficulty in appointing suitable candidates for highly specialised or skilled roles classified within the PESES 1 band</w:t>
                            </w:r>
                            <w:r w:rsidR="005B36E2">
                              <w:t xml:space="preserve"> </w:t>
                            </w:r>
                            <w:r>
                              <w:t xml:space="preserve">… </w:t>
                            </w:r>
                            <w:r w:rsidRPr="00B21941">
                              <w:t>This disparity between candidate expectations and the current remuneration bands has resulted in several promising candidates either withdrawing from the process or accepting more lucrative offers elsewhere</w:t>
                            </w:r>
                            <w:r w:rsidR="005B36E2">
                              <w:t>.</w:t>
                            </w:r>
                            <w:r>
                              <w:t>’ (CFA submission).</w:t>
                            </w:r>
                          </w:p>
                          <w:p w14:paraId="5ACEA34E" w14:textId="712FF0DC" w:rsidR="003F26DA" w:rsidRDefault="003F26DA" w:rsidP="00B54286">
                            <w:pPr>
                              <w:pStyle w:val="12BoxText"/>
                            </w:pPr>
                            <w:r>
                              <w:t>‘</w:t>
                            </w:r>
                            <w:r w:rsidRPr="00DE7147">
                              <w:t>GHCMA does not believe the existing bands are competitive, particularly in attracting high quality people in regional areas</w:t>
                            </w:r>
                            <w:r w:rsidR="005B36E2">
                              <w:t>.</w:t>
                            </w:r>
                            <w:r>
                              <w:t>’ (GHCMA submission).</w:t>
                            </w:r>
                          </w:p>
                          <w:p w14:paraId="445BBE8D" w14:textId="4418D505" w:rsidR="003F26DA" w:rsidRPr="00C23454" w:rsidRDefault="003F26DA">
                            <w:pPr>
                              <w:pStyle w:val="12BoxText"/>
                            </w:pPr>
                            <w:r>
                              <w:t xml:space="preserve">‘Advice from the search firm is that the middle of the market is realistic positioning, noting the competition for excellent executive candidates with comparable sectors such as private sector utilities, construction and consulting. This still drives interest from candidates seeking purpose or values alignment in their </w:t>
                            </w:r>
                            <w:proofErr w:type="gramStart"/>
                            <w:r>
                              <w:t>work, but</w:t>
                            </w:r>
                            <w:proofErr w:type="gramEnd"/>
                            <w:r>
                              <w:t xml:space="preserve"> allows a reasonably competitive position.</w:t>
                            </w:r>
                            <w:r w:rsidR="00A16D05">
                              <w:t>’</w:t>
                            </w:r>
                            <w:r>
                              <w:t xml:space="preserve"> (</w:t>
                            </w:r>
                            <w:proofErr w:type="spellStart"/>
                            <w:r>
                              <w:t>VicWater</w:t>
                            </w:r>
                            <w:proofErr w:type="spellEnd"/>
                            <w:r>
                              <w:t xml:space="preserve">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5E6074" id="Text Box 1806354127" o:spid="_x0000_s1032" type="#_x0000_t202" style="width:424.9pt;height:2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" fillcolor="window" strokecolor="#148a5d" strokeweight="1.5pt">
                <v:textbox>
                  <w:txbxContent>
                    <w:p w14:paraId="1EB8516B" w14:textId="77777777" w:rsidR="003F26DA" w:rsidRDefault="003F26DA" w:rsidP="00B54286">
                      <w:pPr>
                        <w:pStyle w:val="12BoxText"/>
                      </w:pPr>
                      <w:r>
                        <w:t>‘VMIA has been able to attract and retain Executives within the PESES bands. However, in all instances we have had to recruit at the higher end of the bands. For attraction and retention purposes, the lower end of the bands does not meet candidate and market demands.’ (VMIA submission)</w:t>
                      </w:r>
                    </w:p>
                    <w:p w14:paraId="20182EF8" w14:textId="6CEDCF78" w:rsidR="003F26DA" w:rsidRDefault="003F26DA" w:rsidP="00B54286">
                      <w:pPr>
                        <w:pStyle w:val="12BoxText"/>
                      </w:pPr>
                      <w:r>
                        <w:t>‘</w:t>
                      </w:r>
                      <w:r w:rsidRPr="00B21941">
                        <w:t>One notable trend is the increasing difficulty in appointing suitable candidates for highly specialised or skilled roles classified within the PESES 1 band</w:t>
                      </w:r>
                      <w:r w:rsidR="005B36E2">
                        <w:t xml:space="preserve"> </w:t>
                      </w:r>
                      <w:r>
                        <w:t xml:space="preserve">… </w:t>
                      </w:r>
                      <w:r w:rsidRPr="00B21941">
                        <w:t>This disparity between candidate expectations and the current remuneration bands has resulted in several promising candidates either withdrawing from the process or accepting more lucrative offers elsewhere</w:t>
                      </w:r>
                      <w:r w:rsidR="005B36E2">
                        <w:t>.</w:t>
                      </w:r>
                      <w:r>
                        <w:t>’ (CFA submission).</w:t>
                      </w:r>
                    </w:p>
                    <w:p w14:paraId="5ACEA34E" w14:textId="712FF0DC" w:rsidR="003F26DA" w:rsidRDefault="003F26DA" w:rsidP="00B54286">
                      <w:pPr>
                        <w:pStyle w:val="12BoxText"/>
                      </w:pPr>
                      <w:r>
                        <w:t>‘</w:t>
                      </w:r>
                      <w:r w:rsidRPr="00DE7147">
                        <w:t>GHCMA does not believe the existing bands are competitive, particularly in attracting high quality people in regional areas</w:t>
                      </w:r>
                      <w:r w:rsidR="005B36E2">
                        <w:t>.</w:t>
                      </w:r>
                      <w:r>
                        <w:t>’ (GHCMA submission).</w:t>
                      </w:r>
                    </w:p>
                    <w:p w14:paraId="445BBE8D" w14:textId="4418D505" w:rsidR="003F26DA" w:rsidRPr="00C23454" w:rsidRDefault="003F26DA">
                      <w:pPr>
                        <w:pStyle w:val="12BoxText"/>
                      </w:pPr>
                      <w:r>
                        <w:t xml:space="preserve">‘Advice from the search firm is that the middle of the market is realistic positioning, noting the competition for excellent executive candidates with comparable sectors such as private sector utilities, construction and consulting. This still drives interest from candidates seeking purpose or values alignment in their </w:t>
                      </w:r>
                      <w:proofErr w:type="gramStart"/>
                      <w:r>
                        <w:t>work, but</w:t>
                      </w:r>
                      <w:proofErr w:type="gramEnd"/>
                      <w:r>
                        <w:t xml:space="preserve"> allows a reasonably competitive position.</w:t>
                      </w:r>
                      <w:r w:rsidR="00A16D05">
                        <w:t>’</w:t>
                      </w:r>
                      <w:r>
                        <w:t xml:space="preserve"> (</w:t>
                      </w:r>
                      <w:proofErr w:type="spellStart"/>
                      <w:r>
                        <w:t>VicWater</w:t>
                      </w:r>
                      <w:proofErr w:type="spellEnd"/>
                      <w:r>
                        <w:t xml:space="preserve"> submission)</w:t>
                      </w:r>
                    </w:p>
                  </w:txbxContent>
                </v:textbox>
                <w10:anchorlock/>
              </v:shape>
            </w:pict>
          </mc:Fallback>
        </mc:AlternateContent>
      </w:r>
    </w:p>
    <w:p w14:paraId="285CBDF1" w14:textId="77777777" w:rsidR="003F26DA" w:rsidRDefault="003F26DA">
      <w:pPr>
        <w:pStyle w:val="09Sourcesandnotesfortablesfiguresboxes"/>
      </w:pPr>
      <w:r>
        <w:t>Sources: Submissions to the Determination.</w:t>
      </w:r>
    </w:p>
    <w:p w14:paraId="08EF94A1" w14:textId="77777777" w:rsidR="003F26DA" w:rsidRDefault="003F26DA">
      <w:pPr>
        <w:pStyle w:val="05Paragraph"/>
      </w:pPr>
      <w:r w:rsidRPr="000B5528">
        <w:lastRenderedPageBreak/>
        <w:t xml:space="preserve">A majority (55 per cent) of respondents to the Tribunal’s questionnaire did not consider the existing </w:t>
      </w:r>
      <w:r w:rsidRPr="003B3DA7">
        <w:t>remuneration</w:t>
      </w:r>
      <w:r w:rsidRPr="000B5528">
        <w:t xml:space="preserve"> bands to be competitive for the type of work they do. </w:t>
      </w:r>
      <w:r>
        <w:t>Many</w:t>
      </w:r>
      <w:r w:rsidRPr="000B5528">
        <w:t xml:space="preserve"> respondents </w:t>
      </w:r>
      <w:r>
        <w:t xml:space="preserve">commented that higher levels of remuneration, including bonuses, are available for comparable roles in the private sector. However, some respondents also acknowledged that the attraction of public sector employment lay in making a difference to the community (Box 5.3). </w:t>
      </w:r>
    </w:p>
    <w:p w14:paraId="6A25A24D" w14:textId="437229B8" w:rsidR="003F26DA" w:rsidRDefault="003F26DA">
      <w:pPr>
        <w:pStyle w:val="05Paragraph"/>
      </w:pPr>
      <w:proofErr w:type="gramStart"/>
      <w:r>
        <w:t>Particular concerns</w:t>
      </w:r>
      <w:proofErr w:type="gramEnd"/>
      <w:r>
        <w:t xml:space="preserve"> were expressed regarding the competitiveness of the </w:t>
      </w:r>
      <w:r w:rsidR="00A16D05">
        <w:t>PE</w:t>
      </w:r>
      <w:r>
        <w:t xml:space="preserve">SES-1 and SES-1 remuneration bands, along with challenges in attracting specialist skills such as legal, finance and technology. Some respondents commented that remuneration for non-uniformed operational executive roles in the emergency services sector relative to non-executive roles was also considered uncompetitive, given expectations to attend out of business hours emergencies and differences in superannuation entitlements. </w:t>
      </w:r>
    </w:p>
    <w:p w14:paraId="40D05E8E" w14:textId="77777777" w:rsidR="003F26DA" w:rsidRDefault="003F26DA">
      <w:pPr>
        <w:pStyle w:val="08Figuretableboxheading"/>
      </w:pPr>
      <w:r w:rsidRPr="00471D38">
        <w:t xml:space="preserve">Box </w:t>
      </w:r>
      <w:r>
        <w:t>5</w:t>
      </w:r>
      <w:r w:rsidRPr="00471D38">
        <w:t>.</w:t>
      </w:r>
      <w:r>
        <w:t>3: Public entity executive views about the competitiveness of the existing remuneration bands – selected views</w:t>
      </w:r>
    </w:p>
    <w:p w14:paraId="14C84DB9" w14:textId="77777777" w:rsidR="003F26DA" w:rsidRDefault="003F26DA">
      <w:pPr>
        <w:pStyle w:val="09Sourcesandnotesfortablesfiguresboxes"/>
      </w:pPr>
      <w:r w:rsidRPr="00AD72D9">
        <w:rPr>
          <w:noProof/>
        </w:rPr>
        <mc:AlternateContent>
          <mc:Choice Requires="wps">
            <w:drawing>
              <wp:inline distT="0" distB="0" distL="0" distR="0" wp14:anchorId="5E093374" wp14:editId="2207C036">
                <wp:extent cx="5396400" cy="3723437"/>
                <wp:effectExtent l="0" t="0" r="13970" b="10795"/>
                <wp:docPr id="459303705" name="Text Box 459303705"/>
                <wp:cNvGraphicFramePr/>
                <a:graphic xmlns:a="http://schemas.openxmlformats.org/drawingml/2006/main">
                  <a:graphicData uri="http://schemas.microsoft.com/office/word/2010/wordprocessingShape">
                    <wps:wsp>
                      <wps:cNvSpPr txBox="1"/>
                      <wps:spPr>
                        <a:xfrm>
                          <a:off x="0" y="0"/>
                          <a:ext cx="5396400" cy="3723437"/>
                        </a:xfrm>
                        <a:prstGeom prst="rect">
                          <a:avLst/>
                        </a:prstGeom>
                        <a:solidFill>
                          <a:sysClr val="window" lastClr="FFFFFF"/>
                        </a:solidFill>
                        <a:ln w="19050">
                          <a:solidFill>
                            <a:srgbClr val="148A5D"/>
                          </a:solidFill>
                        </a:ln>
                      </wps:spPr>
                      <wps:txbx>
                        <w:txbxContent>
                          <w:p w14:paraId="0EAA118D" w14:textId="71A38912" w:rsidR="003F26DA" w:rsidRDefault="003F26DA">
                            <w:pPr>
                              <w:pStyle w:val="12BoxText"/>
                            </w:pPr>
                            <w:r>
                              <w:t>‘Speaking with multiple recruiters, remuneration in the not-for-profit sector is equivalent while the for-profit sector is 10-50% higher</w:t>
                            </w:r>
                            <w:r w:rsidR="00C0091A">
                              <w:t>.</w:t>
                            </w:r>
                            <w:r>
                              <w:t>’</w:t>
                            </w:r>
                          </w:p>
                          <w:p w14:paraId="2D6FF809" w14:textId="2A2DFBF6" w:rsidR="003F26DA" w:rsidRDefault="003F26DA">
                            <w:pPr>
                              <w:pStyle w:val="12BoxText"/>
                            </w:pPr>
                            <w:r>
                              <w:t>‘The infrastructure pipeline across Australia combined with the big build has created a significant gap between private and public sectors</w:t>
                            </w:r>
                            <w:r w:rsidR="00C0091A">
                              <w:t>.</w:t>
                            </w:r>
                            <w:r>
                              <w:t>’</w:t>
                            </w:r>
                          </w:p>
                          <w:p w14:paraId="3B8B3262" w14:textId="1F27A426" w:rsidR="003F26DA" w:rsidRDefault="003F26DA">
                            <w:pPr>
                              <w:pStyle w:val="12BoxText"/>
                            </w:pPr>
                            <w:r>
                              <w:t>‘Due to the nature of our business, we have to recruit from the for-profit financial services sector, and we typically find that the remuneration bands are not competitive for comparable levels of expertise and responsibility</w:t>
                            </w:r>
                            <w:r w:rsidR="00C0091A">
                              <w:t>.</w:t>
                            </w:r>
                            <w:r>
                              <w:t>’</w:t>
                            </w:r>
                          </w:p>
                          <w:p w14:paraId="6618AD85" w14:textId="6702B154" w:rsidR="003F26DA" w:rsidRDefault="003F26DA">
                            <w:pPr>
                              <w:pStyle w:val="12BoxText"/>
                            </w:pPr>
                            <w:r>
                              <w:t>‘For the combination of legal and strategic judgement required it is not competitive compared to private market</w:t>
                            </w:r>
                            <w:r w:rsidR="00C0091A">
                              <w:t>.</w:t>
                            </w:r>
                            <w:r>
                              <w:t>’</w:t>
                            </w:r>
                          </w:p>
                          <w:p w14:paraId="5BC5B1F0" w14:textId="06F4CA14" w:rsidR="003F26DA" w:rsidRDefault="003F26DA">
                            <w:pPr>
                              <w:pStyle w:val="12BoxText"/>
                            </w:pPr>
                            <w:r>
                              <w:t xml:space="preserve">‘SES banding is </w:t>
                            </w:r>
                            <w:proofErr w:type="gramStart"/>
                            <w:r>
                              <w:t>conservative</w:t>
                            </w:r>
                            <w:proofErr w:type="gramEnd"/>
                            <w:r>
                              <w:t xml:space="preserve"> and lack of bonus scheme or equity scheme makes it challenging to compete with private practice</w:t>
                            </w:r>
                            <w:r w:rsidR="00C0091A">
                              <w:t>.</w:t>
                            </w:r>
                            <w:r>
                              <w:t>’</w:t>
                            </w:r>
                          </w:p>
                          <w:p w14:paraId="4A48303C" w14:textId="5B7244D8" w:rsidR="003F26DA" w:rsidRDefault="003F26DA">
                            <w:pPr>
                              <w:pStyle w:val="12BoxText"/>
                            </w:pPr>
                            <w:r>
                              <w:t>‘… I do not work in the VPS for remuneration (it is my choice to do so). I would say VPS is 25</w:t>
                            </w:r>
                            <w:r>
                              <w:noBreakHyphen/>
                              <w:t xml:space="preserve">40% under what you can get paid in the private sector. For the workload and pressure within VPS currently and the foreseeable future (resource reductions – already past tipping point), there should </w:t>
                            </w:r>
                            <w:r w:rsidR="00EC4DFA">
                              <w:t xml:space="preserve">[be] </w:t>
                            </w:r>
                            <w:r>
                              <w:t>a review of remuneration bands for SES-1/2</w:t>
                            </w:r>
                            <w:r w:rsidR="00C0091A">
                              <w:t>.</w:t>
                            </w:r>
                            <w:r>
                              <w:t>’</w:t>
                            </w:r>
                          </w:p>
                          <w:p w14:paraId="4E6F44CA" w14:textId="77394BC7" w:rsidR="003F26DA" w:rsidRPr="00C23454" w:rsidRDefault="003F26DA">
                            <w:pPr>
                              <w:pStyle w:val="12BoxText"/>
                            </w:pPr>
                            <w:r>
                              <w:t>‘I have governance skills in both the private and public sector which is unusual. The bands are not competitive for people who have private sector experience. They would need to want to work for the Government for other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093374" id="Text Box 459303705" o:spid="_x0000_s1033" type="#_x0000_t202" style="width:424.9pt;height:2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" fillcolor="window" strokecolor="#148a5d" strokeweight="1.5pt">
                <v:textbox>
                  <w:txbxContent>
                    <w:p w14:paraId="0EAA118D" w14:textId="71A38912" w:rsidR="003F26DA" w:rsidRDefault="003F26DA">
                      <w:pPr>
                        <w:pStyle w:val="12BoxText"/>
                      </w:pPr>
                      <w:r>
                        <w:t>‘Speaking with multiple recruiters, remuneration in the not-for-profit sector is equivalent while the for-profit sector is 10-50% higher</w:t>
                      </w:r>
                      <w:r w:rsidR="00C0091A">
                        <w:t>.</w:t>
                      </w:r>
                      <w:r>
                        <w:t>’</w:t>
                      </w:r>
                    </w:p>
                    <w:p w14:paraId="2D6FF809" w14:textId="2A2DFBF6" w:rsidR="003F26DA" w:rsidRDefault="003F26DA">
                      <w:pPr>
                        <w:pStyle w:val="12BoxText"/>
                      </w:pPr>
                      <w:r>
                        <w:t>‘The infrastructure pipeline across Australia combined with the big build has created a significant gap between private and public sectors</w:t>
                      </w:r>
                      <w:r w:rsidR="00C0091A">
                        <w:t>.</w:t>
                      </w:r>
                      <w:r>
                        <w:t>’</w:t>
                      </w:r>
                    </w:p>
                    <w:p w14:paraId="3B8B3262" w14:textId="1F27A426" w:rsidR="003F26DA" w:rsidRDefault="003F26DA">
                      <w:pPr>
                        <w:pStyle w:val="12BoxText"/>
                      </w:pPr>
                      <w:r>
                        <w:t>‘Due to the nature of our business, we have to recruit from the for-profit financial services sector, and we typically find that the remuneration bands are not competitive for comparable levels of expertise and responsibility</w:t>
                      </w:r>
                      <w:r w:rsidR="00C0091A">
                        <w:t>.</w:t>
                      </w:r>
                      <w:r>
                        <w:t>’</w:t>
                      </w:r>
                    </w:p>
                    <w:p w14:paraId="6618AD85" w14:textId="6702B154" w:rsidR="003F26DA" w:rsidRDefault="003F26DA">
                      <w:pPr>
                        <w:pStyle w:val="12BoxText"/>
                      </w:pPr>
                      <w:r>
                        <w:t>‘For the combination of legal and strategic judgement required it is not competitive compared to private market</w:t>
                      </w:r>
                      <w:r w:rsidR="00C0091A">
                        <w:t>.</w:t>
                      </w:r>
                      <w:r>
                        <w:t>’</w:t>
                      </w:r>
                    </w:p>
                    <w:p w14:paraId="5BC5B1F0" w14:textId="06F4CA14" w:rsidR="003F26DA" w:rsidRDefault="003F26DA">
                      <w:pPr>
                        <w:pStyle w:val="12BoxText"/>
                      </w:pPr>
                      <w:r>
                        <w:t xml:space="preserve">‘SES banding is </w:t>
                      </w:r>
                      <w:proofErr w:type="gramStart"/>
                      <w:r>
                        <w:t>conservative</w:t>
                      </w:r>
                      <w:proofErr w:type="gramEnd"/>
                      <w:r>
                        <w:t xml:space="preserve"> and lack of bonus scheme or equity scheme makes it challenging to compete with private practice</w:t>
                      </w:r>
                      <w:r w:rsidR="00C0091A">
                        <w:t>.</w:t>
                      </w:r>
                      <w:r>
                        <w:t>’</w:t>
                      </w:r>
                    </w:p>
                    <w:p w14:paraId="4A48303C" w14:textId="5B7244D8" w:rsidR="003F26DA" w:rsidRDefault="003F26DA">
                      <w:pPr>
                        <w:pStyle w:val="12BoxText"/>
                      </w:pPr>
                      <w:r>
                        <w:t>‘… I do not work in the VPS for remuneration (it is my choice to do so). I would say VPS is 25</w:t>
                      </w:r>
                      <w:r>
                        <w:noBreakHyphen/>
                        <w:t xml:space="preserve">40% under what you can get paid in the private sector. For the workload and pressure within VPS currently and the foreseeable future (resource reductions – already past tipping point), there should </w:t>
                      </w:r>
                      <w:r w:rsidR="00EC4DFA">
                        <w:t xml:space="preserve">[be] </w:t>
                      </w:r>
                      <w:r>
                        <w:t>a review of remuneration bands for SES-1/2</w:t>
                      </w:r>
                      <w:r w:rsidR="00C0091A">
                        <w:t>.</w:t>
                      </w:r>
                      <w:r>
                        <w:t>’</w:t>
                      </w:r>
                    </w:p>
                    <w:p w14:paraId="4E6F44CA" w14:textId="77394BC7" w:rsidR="003F26DA" w:rsidRPr="00C23454" w:rsidRDefault="003F26DA">
                      <w:pPr>
                        <w:pStyle w:val="12BoxText"/>
                      </w:pPr>
                      <w:r>
                        <w:t>‘I have governance skills in both the private and public sector which is unusual. The bands are not competitive for people who have private sector experience. They would need to want to work for the Government for other reasons.’</w:t>
                      </w:r>
                    </w:p>
                  </w:txbxContent>
                </v:textbox>
                <w10:anchorlock/>
              </v:shape>
            </w:pict>
          </mc:Fallback>
        </mc:AlternateContent>
      </w:r>
    </w:p>
    <w:p w14:paraId="635A6767" w14:textId="77777777" w:rsidR="003F26DA" w:rsidRPr="000B5528" w:rsidRDefault="003F26DA">
      <w:pPr>
        <w:pStyle w:val="09Sourcesandnotesfortablesfiguresboxes"/>
      </w:pPr>
      <w:r w:rsidRPr="00AD72D9">
        <w:t xml:space="preserve">Source: </w:t>
      </w:r>
      <w:r>
        <w:t>Responses to the executive questionnaire.</w:t>
      </w:r>
    </w:p>
    <w:p w14:paraId="1E3DD946" w14:textId="77777777" w:rsidR="003F26DA" w:rsidRDefault="003F26DA">
      <w:pPr>
        <w:pStyle w:val="05Paragraph"/>
      </w:pPr>
      <w:r>
        <w:t xml:space="preserve">Finally, the questionnaire asked executives how satisfied or unsatisfied they were with their current remuneration, considering the work they do. Results were mixed, with a similar percentage of respondents, around 30 per cent, selecting either ‘satisfied’ or ‘dissatisfied’. Some respondents commented on remuneration </w:t>
      </w:r>
      <w:r>
        <w:lastRenderedPageBreak/>
        <w:t>not necessarily reflecting the growing scope and complexity of executive roles, while others highlighted that remuneration was not a key driver of their choice of employment (Box 5.4).</w:t>
      </w:r>
    </w:p>
    <w:p w14:paraId="45C519C3" w14:textId="77777777" w:rsidR="003F26DA" w:rsidRDefault="003F26DA">
      <w:pPr>
        <w:pStyle w:val="05Paragraph"/>
      </w:pPr>
      <w:r w:rsidRPr="00FB2D9E">
        <w:t xml:space="preserve">Notwithstanding these responses, </w:t>
      </w:r>
      <w:r>
        <w:t xml:space="preserve">over 85 </w:t>
      </w:r>
      <w:r w:rsidRPr="00FB2D9E">
        <w:t xml:space="preserve">per cent of executives who responded to the questionnaire indicated an intention to remain as a </w:t>
      </w:r>
      <w:r>
        <w:t>public entity</w:t>
      </w:r>
      <w:r w:rsidRPr="00FB2D9E">
        <w:t xml:space="preserve"> executive for at least the next year, including around </w:t>
      </w:r>
      <w:r>
        <w:t>45</w:t>
      </w:r>
      <w:r w:rsidRPr="00FB2D9E">
        <w:t xml:space="preserve"> per cent who intend to stay for over three years. Notably, among executives who indicated an intention to stay for one year or more, the factors most influencing their decision included </w:t>
      </w:r>
      <w:r>
        <w:t xml:space="preserve">belief in the purpose of their organisation or role (64 per cent), </w:t>
      </w:r>
      <w:r w:rsidRPr="00FB2D9E">
        <w:t xml:space="preserve">the type/nature of the work (59 per cent) and remuneration (44 per cent). </w:t>
      </w:r>
    </w:p>
    <w:p w14:paraId="357A24AF" w14:textId="77777777" w:rsidR="003F26DA" w:rsidRDefault="003F26DA">
      <w:pPr>
        <w:pStyle w:val="08Figuretableboxheading"/>
      </w:pPr>
      <w:r w:rsidRPr="00471D38">
        <w:t xml:space="preserve">Box </w:t>
      </w:r>
      <w:r>
        <w:t>5</w:t>
      </w:r>
      <w:r w:rsidRPr="00471D38">
        <w:t>.</w:t>
      </w:r>
      <w:r>
        <w:t>4: Public entity executive views about the level of satisfaction with</w:t>
      </w:r>
      <w:r w:rsidDel="00B24F02">
        <w:t xml:space="preserve"> </w:t>
      </w:r>
      <w:r>
        <w:t>their own remuneration – selected views</w:t>
      </w:r>
    </w:p>
    <w:p w14:paraId="29DE150F" w14:textId="77777777" w:rsidR="003F26DA" w:rsidRDefault="003F26DA">
      <w:pPr>
        <w:pStyle w:val="09Sourcesandnotesfortablesfiguresboxes"/>
      </w:pPr>
      <w:r w:rsidRPr="00AD72D9">
        <w:rPr>
          <w:noProof/>
        </w:rPr>
        <mc:AlternateContent>
          <mc:Choice Requires="wps">
            <w:drawing>
              <wp:inline distT="0" distB="0" distL="0" distR="0" wp14:anchorId="1E65A4A5" wp14:editId="3C6A1D4A">
                <wp:extent cx="5396400" cy="2713939"/>
                <wp:effectExtent l="0" t="0" r="13970" b="10795"/>
                <wp:docPr id="846032258" name="Text Box 846032258"/>
                <wp:cNvGraphicFramePr/>
                <a:graphic xmlns:a="http://schemas.openxmlformats.org/drawingml/2006/main">
                  <a:graphicData uri="http://schemas.microsoft.com/office/word/2010/wordprocessingShape">
                    <wps:wsp>
                      <wps:cNvSpPr txBox="1"/>
                      <wps:spPr>
                        <a:xfrm>
                          <a:off x="0" y="0"/>
                          <a:ext cx="5396400" cy="2713939"/>
                        </a:xfrm>
                        <a:prstGeom prst="rect">
                          <a:avLst/>
                        </a:prstGeom>
                        <a:solidFill>
                          <a:sysClr val="window" lastClr="FFFFFF"/>
                        </a:solidFill>
                        <a:ln w="19050">
                          <a:solidFill>
                            <a:srgbClr val="148A5D"/>
                          </a:solidFill>
                        </a:ln>
                      </wps:spPr>
                      <wps:txbx>
                        <w:txbxContent>
                          <w:p w14:paraId="1DAECECE" w14:textId="6153173C" w:rsidR="003F26DA" w:rsidRDefault="003F26DA">
                            <w:pPr>
                              <w:pStyle w:val="12BoxText"/>
                            </w:pPr>
                            <w:r>
                              <w:t>‘The remuneration does not account for the hours worked or the expectations of the knowledge, skills and experience</w:t>
                            </w:r>
                            <w:r w:rsidR="00EC4DFA">
                              <w:t>.</w:t>
                            </w:r>
                            <w:r>
                              <w:t>’</w:t>
                            </w:r>
                          </w:p>
                          <w:p w14:paraId="56406B02" w14:textId="08D71469" w:rsidR="003F26DA" w:rsidRDefault="003F26DA">
                            <w:pPr>
                              <w:pStyle w:val="12BoxText"/>
                            </w:pPr>
                            <w:r>
                              <w:t>‘Considering the scope and size of the role, I don’t think that the salary reflects that. It is an arduous process to apply for salary review and the process does not seem to result in a market salary</w:t>
                            </w:r>
                            <w:r w:rsidR="00EC4DFA">
                              <w:t>.</w:t>
                            </w:r>
                            <w:r>
                              <w:t>’</w:t>
                            </w:r>
                          </w:p>
                          <w:p w14:paraId="00561215" w14:textId="60CCB9E1" w:rsidR="003F26DA" w:rsidRDefault="003F26DA">
                            <w:pPr>
                              <w:pStyle w:val="12BoxText"/>
                            </w:pPr>
                            <w:r>
                              <w:t>‘I came into the role taking a pay cut and since then my role and responsibility has expanded without increased compensation</w:t>
                            </w:r>
                            <w:r w:rsidR="00EC4DFA">
                              <w:t>.</w:t>
                            </w:r>
                            <w:r>
                              <w:t>’</w:t>
                            </w:r>
                          </w:p>
                          <w:p w14:paraId="010067C1" w14:textId="77777777" w:rsidR="003F26DA" w:rsidRDefault="003F26DA">
                            <w:pPr>
                              <w:pStyle w:val="12BoxText"/>
                            </w:pPr>
                            <w:r>
                              <w:t>‘I enjoy working for the organisation that I do. However, it should be noted that the remuneration is not at all competitive with what is easily and readily available in similar roles elsewhere.’</w:t>
                            </w:r>
                          </w:p>
                          <w:p w14:paraId="07990C78" w14:textId="11811828" w:rsidR="003F26DA" w:rsidRDefault="003F26DA">
                            <w:pPr>
                              <w:pStyle w:val="12BoxText"/>
                            </w:pPr>
                            <w:r>
                              <w:t>‘Wouldn’t be working here if remuneration was the key driver – however the treatment of executives remuneration is poor and bears no relativity to actual performance and the market</w:t>
                            </w:r>
                            <w:r w:rsidR="00EC4DFA">
                              <w:t>.</w:t>
                            </w:r>
                            <w:r>
                              <w:t>’</w:t>
                            </w:r>
                          </w:p>
                          <w:p w14:paraId="157FFFAC" w14:textId="77777777" w:rsidR="003F26DA" w:rsidRDefault="003F26DA">
                            <w:pPr>
                              <w:pStyle w:val="12BoxText"/>
                            </w:pPr>
                          </w:p>
                          <w:p w14:paraId="6A801863" w14:textId="77777777" w:rsidR="003F26DA" w:rsidRDefault="003F26DA">
                            <w:pPr>
                              <w:pStyle w:val="12BoxText"/>
                            </w:pPr>
                          </w:p>
                          <w:p w14:paraId="4F3482ED" w14:textId="77777777" w:rsidR="003F26DA" w:rsidRDefault="003F26DA">
                            <w:pPr>
                              <w:pStyle w:val="12BoxText"/>
                            </w:pPr>
                          </w:p>
                          <w:p w14:paraId="2C8FACB1" w14:textId="77777777" w:rsidR="003F26DA" w:rsidRDefault="003F26DA">
                            <w:pPr>
                              <w:pStyle w:val="12BoxText"/>
                            </w:pPr>
                          </w:p>
                          <w:p w14:paraId="1EE0E00A" w14:textId="77777777" w:rsidR="003F26DA" w:rsidRDefault="003F26DA">
                            <w:pPr>
                              <w:pStyle w:val="12BoxText"/>
                            </w:pPr>
                          </w:p>
                          <w:p w14:paraId="33FF9C07" w14:textId="77777777" w:rsidR="003F26DA" w:rsidRPr="00C23454" w:rsidRDefault="003F26DA">
                            <w:pPr>
                              <w:pStyle w:val="13Boxbullets"/>
                              <w:numPr>
                                <w:ilvl w:val="0"/>
                                <w:numId w:val="0"/>
                              </w:numPr>
                              <w:ind w:left="502"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65A4A5" id="Text Box 846032258" o:spid="_x0000_s1034" type="#_x0000_t202" style="width:424.9pt;height:2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" fillcolor="window" strokecolor="#148a5d" strokeweight="1.5pt">
                <v:textbox>
                  <w:txbxContent>
                    <w:p w14:paraId="1DAECECE" w14:textId="6153173C" w:rsidR="003F26DA" w:rsidRDefault="003F26DA">
                      <w:pPr>
                        <w:pStyle w:val="12BoxText"/>
                      </w:pPr>
                      <w:r>
                        <w:t>‘The remuneration does not account for the hours worked or the expectations of the knowledge, skills and experience</w:t>
                      </w:r>
                      <w:r w:rsidR="00EC4DFA">
                        <w:t>.</w:t>
                      </w:r>
                      <w:r>
                        <w:t>’</w:t>
                      </w:r>
                    </w:p>
                    <w:p w14:paraId="56406B02" w14:textId="08D71469" w:rsidR="003F26DA" w:rsidRDefault="003F26DA">
                      <w:pPr>
                        <w:pStyle w:val="12BoxText"/>
                      </w:pPr>
                      <w:r>
                        <w:t>‘Considering the scope and size of the role, I don’t think that the salary reflects that. It is an arduous process to apply for salary review and the process does not seem to result in a market salary</w:t>
                      </w:r>
                      <w:r w:rsidR="00EC4DFA">
                        <w:t>.</w:t>
                      </w:r>
                      <w:r>
                        <w:t>’</w:t>
                      </w:r>
                    </w:p>
                    <w:p w14:paraId="00561215" w14:textId="60CCB9E1" w:rsidR="003F26DA" w:rsidRDefault="003F26DA">
                      <w:pPr>
                        <w:pStyle w:val="12BoxText"/>
                      </w:pPr>
                      <w:r>
                        <w:t>‘I came into the role taking a pay cut and since then my role and responsibility has expanded without increased compensation</w:t>
                      </w:r>
                      <w:r w:rsidR="00EC4DFA">
                        <w:t>.</w:t>
                      </w:r>
                      <w:r>
                        <w:t>’</w:t>
                      </w:r>
                    </w:p>
                    <w:p w14:paraId="010067C1" w14:textId="77777777" w:rsidR="003F26DA" w:rsidRDefault="003F26DA">
                      <w:pPr>
                        <w:pStyle w:val="12BoxText"/>
                      </w:pPr>
                      <w:r>
                        <w:t>‘I enjoy working for the organisation that I do. However, it should be noted that the remuneration is not at all competitive with what is easily and readily available in similar roles elsewhere.’</w:t>
                      </w:r>
                    </w:p>
                    <w:p w14:paraId="07990C78" w14:textId="11811828" w:rsidR="003F26DA" w:rsidRDefault="003F26DA">
                      <w:pPr>
                        <w:pStyle w:val="12BoxText"/>
                      </w:pPr>
                      <w:r>
                        <w:t>‘Wouldn’t be working here if remuneration was the key driver – however the treatment of executives remuneration is poor and bears no relativity to actual performance and the market</w:t>
                      </w:r>
                      <w:r w:rsidR="00EC4DFA">
                        <w:t>.</w:t>
                      </w:r>
                      <w:r>
                        <w:t>’</w:t>
                      </w:r>
                    </w:p>
                    <w:p w14:paraId="157FFFAC" w14:textId="77777777" w:rsidR="003F26DA" w:rsidRDefault="003F26DA">
                      <w:pPr>
                        <w:pStyle w:val="12BoxText"/>
                      </w:pPr>
                    </w:p>
                    <w:p w14:paraId="6A801863" w14:textId="77777777" w:rsidR="003F26DA" w:rsidRDefault="003F26DA">
                      <w:pPr>
                        <w:pStyle w:val="12BoxText"/>
                      </w:pPr>
                    </w:p>
                    <w:p w14:paraId="4F3482ED" w14:textId="77777777" w:rsidR="003F26DA" w:rsidRDefault="003F26DA">
                      <w:pPr>
                        <w:pStyle w:val="12BoxText"/>
                      </w:pPr>
                    </w:p>
                    <w:p w14:paraId="2C8FACB1" w14:textId="77777777" w:rsidR="003F26DA" w:rsidRDefault="003F26DA">
                      <w:pPr>
                        <w:pStyle w:val="12BoxText"/>
                      </w:pPr>
                    </w:p>
                    <w:p w14:paraId="1EE0E00A" w14:textId="77777777" w:rsidR="003F26DA" w:rsidRDefault="003F26DA">
                      <w:pPr>
                        <w:pStyle w:val="12BoxText"/>
                      </w:pPr>
                    </w:p>
                    <w:p w14:paraId="33FF9C07" w14:textId="77777777" w:rsidR="003F26DA" w:rsidRPr="00C23454" w:rsidRDefault="003F26DA">
                      <w:pPr>
                        <w:pStyle w:val="13Boxbullets"/>
                        <w:numPr>
                          <w:ilvl w:val="0"/>
                          <w:numId w:val="0"/>
                        </w:numPr>
                        <w:ind w:left="502" w:hanging="360"/>
                      </w:pPr>
                    </w:p>
                  </w:txbxContent>
                </v:textbox>
                <w10:anchorlock/>
              </v:shape>
            </w:pict>
          </mc:Fallback>
        </mc:AlternateContent>
      </w:r>
    </w:p>
    <w:p w14:paraId="47DA9EDD" w14:textId="77777777" w:rsidR="003F26DA" w:rsidRDefault="003F26DA">
      <w:pPr>
        <w:pStyle w:val="09Sourcesandnotesfortablesfiguresboxes"/>
      </w:pPr>
      <w:r>
        <w:t>Note: The question asked was ‘How satisfied or unsatisfied are you with your current remuneration considering the type of work you do’?</w:t>
      </w:r>
    </w:p>
    <w:p w14:paraId="290D69E4" w14:textId="77777777" w:rsidR="003F26DA" w:rsidRDefault="003F26DA">
      <w:pPr>
        <w:pStyle w:val="09Sourcesandnotesfortablesfiguresboxes"/>
      </w:pPr>
      <w:r w:rsidRPr="00AD72D9">
        <w:t>Source</w:t>
      </w:r>
      <w:r>
        <w:t>s</w:t>
      </w:r>
      <w:r w:rsidRPr="00AD72D9">
        <w:t xml:space="preserve">: </w:t>
      </w:r>
      <w:r>
        <w:t xml:space="preserve">Responses to the executive questionnaire. </w:t>
      </w:r>
    </w:p>
    <w:p w14:paraId="02A40EFF" w14:textId="77777777" w:rsidR="003F26DA" w:rsidRDefault="003F26DA">
      <w:pPr>
        <w:pStyle w:val="02VIRTHeading2"/>
      </w:pPr>
      <w:bookmarkStart w:id="74" w:name="_Toc185012379"/>
      <w:r>
        <w:t>5.7</w:t>
      </w:r>
      <w:r>
        <w:tab/>
        <w:t>The public sector employee value proposition is changing</w:t>
      </w:r>
      <w:bookmarkEnd w:id="74"/>
    </w:p>
    <w:p w14:paraId="6AE004D5" w14:textId="28625B90" w:rsidR="003F26DA" w:rsidRDefault="003F26DA">
      <w:pPr>
        <w:pStyle w:val="05Paragraph"/>
      </w:pPr>
      <w:r w:rsidRPr="0054715A">
        <w:t>The EVP can be defined as the set of benefits — both monetary and non-monetary — that employers provide to their employees in exchange for their contribution and commitment.</w:t>
      </w:r>
      <w:r>
        <w:t xml:space="preserve"> Traditionally, the public sector EVP has included provision of a broad</w:t>
      </w:r>
      <w:r w:rsidR="00CF42E6">
        <w:t>er</w:t>
      </w:r>
      <w:r>
        <w:t xml:space="preserve"> range of career pathways and development opportunities, </w:t>
      </w:r>
      <w:r w:rsidR="00CF42E6">
        <w:t xml:space="preserve">greater </w:t>
      </w:r>
      <w:r>
        <w:t>security of employment and access to flexible working arrangements, relative to the private sector.</w:t>
      </w:r>
    </w:p>
    <w:p w14:paraId="2F264210" w14:textId="77777777" w:rsidR="003F26DA" w:rsidRDefault="003F26DA">
      <w:pPr>
        <w:pStyle w:val="05Paragraph"/>
      </w:pPr>
      <w:r>
        <w:lastRenderedPageBreak/>
        <w:t xml:space="preserve">Roundtable participants noted that the EVP remains an attraction factor for many </w:t>
      </w:r>
      <w:r>
        <w:rPr>
          <w:noProof/>
          <w:lang w:eastAsia="en-AU"/>
        </w:rPr>
        <w:t>public entities</w:t>
      </w:r>
      <w:r>
        <w:t>, based on:</w:t>
      </w:r>
    </w:p>
    <w:p w14:paraId="69C132C2" w14:textId="77777777" w:rsidR="003F26DA" w:rsidRPr="00D94E24" w:rsidRDefault="003F26DA" w:rsidP="003F26DA">
      <w:pPr>
        <w:pStyle w:val="06VIRTBulletpoints"/>
        <w:ind w:left="357" w:hanging="357"/>
      </w:pPr>
      <w:r w:rsidRPr="00D94E24">
        <w:t>delivery of public value and service to the community, including a more direct ability to deliver outcomes or specific projects (compared to VPS bodies)</w:t>
      </w:r>
    </w:p>
    <w:p w14:paraId="33C5193D" w14:textId="77777777" w:rsidR="003F26DA" w:rsidRPr="00D94E24" w:rsidRDefault="003F26DA" w:rsidP="003F26DA">
      <w:pPr>
        <w:pStyle w:val="06VIRTBulletpoints"/>
        <w:ind w:left="357" w:hanging="357"/>
      </w:pPr>
      <w:r w:rsidRPr="00D94E24">
        <w:t>executives sharing the purpose and values of the organisation</w:t>
      </w:r>
    </w:p>
    <w:p w14:paraId="2B660E0E" w14:textId="77777777" w:rsidR="003F26DA" w:rsidRPr="00D94E24" w:rsidRDefault="003F26DA" w:rsidP="003F26DA">
      <w:pPr>
        <w:pStyle w:val="06VIRTBulletpoints"/>
        <w:ind w:left="357" w:hanging="357"/>
      </w:pPr>
      <w:r w:rsidRPr="00D94E24">
        <w:t>the value of public sector experience for future employment</w:t>
      </w:r>
    </w:p>
    <w:p w14:paraId="05360136" w14:textId="77777777" w:rsidR="003F26DA" w:rsidRPr="00D94E24" w:rsidRDefault="003F26DA" w:rsidP="003F26DA">
      <w:pPr>
        <w:pStyle w:val="06VIRTBulletpoints"/>
        <w:ind w:left="357" w:hanging="357"/>
      </w:pPr>
      <w:r w:rsidRPr="00D94E24">
        <w:t>work/life balance, flexible working arrangements and lifestyle choices for individual executives</w:t>
      </w:r>
    </w:p>
    <w:p w14:paraId="03D92B18" w14:textId="77777777" w:rsidR="003F26DA" w:rsidRPr="00D94E24" w:rsidRDefault="003F26DA" w:rsidP="003F26DA">
      <w:pPr>
        <w:pStyle w:val="06VIRTBulletpoints"/>
        <w:ind w:left="357" w:hanging="357"/>
      </w:pPr>
      <w:r w:rsidRPr="00D94E24">
        <w:t xml:space="preserve">for smaller </w:t>
      </w:r>
      <w:r>
        <w:rPr>
          <w:noProof/>
          <w:lang w:eastAsia="en-AU"/>
        </w:rPr>
        <w:t>public entities</w:t>
      </w:r>
      <w:r w:rsidRPr="00D94E24">
        <w:t xml:space="preserve">, the opportunity for a new CEO to significantly reform the organisation. </w:t>
      </w:r>
    </w:p>
    <w:p w14:paraId="3D56ED38" w14:textId="6BB88D93" w:rsidR="003F26DA" w:rsidRDefault="003F26DA">
      <w:pPr>
        <w:pStyle w:val="05Paragraph"/>
      </w:pPr>
      <w:r w:rsidRPr="00D94E24">
        <w:t xml:space="preserve">On the other hand, the Tribunal also heard that the public sector EVP for executives has diminished over recent years. One example given was commercial lawyers hired from the private sector </w:t>
      </w:r>
      <w:r w:rsidR="002C60EF">
        <w:t>who</w:t>
      </w:r>
      <w:r w:rsidRPr="00D94E24">
        <w:t xml:space="preserve"> were motivated to improve community </w:t>
      </w:r>
      <w:proofErr w:type="gramStart"/>
      <w:r w:rsidRPr="00D94E24">
        <w:t>outcomes, but</w:t>
      </w:r>
      <w:proofErr w:type="gramEnd"/>
      <w:r w:rsidRPr="00D94E24">
        <w:t xml:space="preserve"> returned to the private sector after finding their work/life balance comparable to their private sector counterparts but with lower remuneration.</w:t>
      </w:r>
      <w:r>
        <w:t xml:space="preserve"> </w:t>
      </w:r>
    </w:p>
    <w:p w14:paraId="4AD74B58" w14:textId="7608DCFE" w:rsidR="003F26DA" w:rsidRDefault="003F26DA">
      <w:pPr>
        <w:pStyle w:val="05Paragraph"/>
      </w:pPr>
      <w:r>
        <w:t xml:space="preserve">Participants also noted that the private sector may offer more flexible work arrangements, while in terms of job security, the PEER </w:t>
      </w:r>
      <w:r w:rsidR="002C60EF">
        <w:t>P</w:t>
      </w:r>
      <w:r>
        <w:t xml:space="preserve">olicy provides for termination without notice and that </w:t>
      </w:r>
      <w:r w:rsidRPr="00EA2E7B">
        <w:t>an unexpired portion of a contract may only be paid out in exceptional circumstances</w:t>
      </w:r>
      <w:r>
        <w:t>.</w:t>
      </w:r>
    </w:p>
    <w:p w14:paraId="40724C2E" w14:textId="77777777" w:rsidR="003F26DA" w:rsidRDefault="003F26DA">
      <w:pPr>
        <w:pStyle w:val="05Paragraph"/>
      </w:pPr>
      <w:r>
        <w:t xml:space="preserve">The submission from </w:t>
      </w:r>
      <w:proofErr w:type="spellStart"/>
      <w:r>
        <w:t>VicWater</w:t>
      </w:r>
      <w:proofErr w:type="spellEnd"/>
      <w:r>
        <w:t xml:space="preserve"> highlighted the changing nature of the public sector EVP relative to the private sector following the COVID-19 pandemic:</w:t>
      </w:r>
    </w:p>
    <w:p w14:paraId="7BE1590C" w14:textId="77777777" w:rsidR="003F26DA" w:rsidRDefault="003F26DA">
      <w:pPr>
        <w:pStyle w:val="07VIRTBreakouttext"/>
      </w:pPr>
      <w:r w:rsidRPr="00383AE9">
        <w:t xml:space="preserve">Post-pandemic, </w:t>
      </w:r>
      <w:proofErr w:type="gramStart"/>
      <w:r w:rsidRPr="00383AE9">
        <w:t>the majority of</w:t>
      </w:r>
      <w:proofErr w:type="gramEnd"/>
      <w:r w:rsidRPr="00383AE9">
        <w:t xml:space="preserve"> both public and private sector employers now offer flexible and hybrid working as a standard condition of employment. There are very few options for non-financial benefits to be offered, apart from car and parking arrangements and salary continuance insurance. Moreover, public entity executives are subject to stringent accountability measures which mean that their access to gifts, benefits and hospitality is more constrained than their private sector counterparts. </w:t>
      </w:r>
    </w:p>
    <w:p w14:paraId="0F22277C" w14:textId="02FD3CBD" w:rsidR="003F26DA" w:rsidRDefault="003F26DA">
      <w:pPr>
        <w:pStyle w:val="07VIRTBreakouttext"/>
      </w:pPr>
      <w:r w:rsidRPr="00383AE9">
        <w:t>In our members’ experience, their ‘employee value proposition’, as compared to the private sector, is the opportunity to work in a purpose</w:t>
      </w:r>
      <w:r w:rsidR="0058591A">
        <w:noBreakHyphen/>
      </w:r>
      <w:r w:rsidRPr="00383AE9">
        <w:t xml:space="preserve">driven organisation and the ability to have a positive impact in the community. While a candidate may be prepared to accept a lower salary to have a role that aligns with their purpose and values, it is not reasonable to </w:t>
      </w:r>
      <w:r w:rsidRPr="00383AE9">
        <w:lastRenderedPageBreak/>
        <w:t>expect a candidate to accept a significantly lower salary than they could expect to earn in a similar role in the private sector</w:t>
      </w:r>
      <w:r w:rsidR="0058591A">
        <w:t>.</w:t>
      </w:r>
    </w:p>
    <w:p w14:paraId="2C5178EB" w14:textId="77777777" w:rsidR="003F26DA" w:rsidRDefault="003F26DA">
      <w:pPr>
        <w:pStyle w:val="02VIRTHeading2"/>
      </w:pPr>
      <w:bookmarkStart w:id="75" w:name="_Toc185012380"/>
      <w:r>
        <w:t>5.8</w:t>
      </w:r>
      <w:r>
        <w:tab/>
        <w:t>Summary</w:t>
      </w:r>
      <w:bookmarkEnd w:id="75"/>
    </w:p>
    <w:p w14:paraId="4C98A40A" w14:textId="77777777" w:rsidR="003F26DA" w:rsidRDefault="003F26DA">
      <w:pPr>
        <w:pStyle w:val="05Paragraph"/>
      </w:pPr>
      <w:r>
        <w:t>Conditions in the Australian labour market have tightened since the Tribunal made the 2020 PE Determination, though there are signs of easing. Within the broad market for public entity executive roles, the supply of executives is generally matching demand, although recruitment difficulties are reported for some specialist roles.</w:t>
      </w:r>
    </w:p>
    <w:p w14:paraId="16D9F737" w14:textId="77777777" w:rsidR="003F26DA" w:rsidRDefault="003F26DA">
      <w:pPr>
        <w:pStyle w:val="05Paragraph"/>
      </w:pPr>
      <w:r>
        <w:t xml:space="preserve">The Tribunal has traditionally broadly aligned the values of the remuneration bands for public entity executives with those for VPS executives, which are positioned at the lower end of the market. In setting these bands, the Tribunal has </w:t>
      </w:r>
      <w:proofErr w:type="gramStart"/>
      <w:r>
        <w:t>taken into account</w:t>
      </w:r>
      <w:proofErr w:type="gramEnd"/>
      <w:r>
        <w:t xml:space="preserve"> that an employer can pay an executive above the relevant bands, after seeking and considering advice from the Tribunal. Most stakeholders supported continued alignment of the bands.</w:t>
      </w:r>
    </w:p>
    <w:p w14:paraId="42EDBBD1" w14:textId="3EC21C52" w:rsidR="003F26DA" w:rsidRDefault="003F26DA">
      <w:pPr>
        <w:pStyle w:val="05Paragraph"/>
      </w:pPr>
      <w:r>
        <w:t xml:space="preserve">Some stakeholders commented that the lower end of the bands </w:t>
      </w:r>
      <w:proofErr w:type="gramStart"/>
      <w:r>
        <w:t>were</w:t>
      </w:r>
      <w:proofErr w:type="gramEnd"/>
      <w:r>
        <w:t xml:space="preserve"> not competitive, particularly for PESES</w:t>
      </w:r>
      <w:r>
        <w:noBreakHyphen/>
        <w:t>1/SES-1 roles, while others drew attention to the lack of bonus or incentive structures as negatively affecting competitiveness. However, some stakeholders also highlighted that remuneration is not necessarily the key driver in employment decisions, with a key attraction of public sector employment continuing to be in making a difference to the community.</w:t>
      </w:r>
      <w:r>
        <w:br w:type="page"/>
      </w:r>
    </w:p>
    <w:p w14:paraId="34E4BA4C" w14:textId="77777777" w:rsidR="003F26DA" w:rsidRDefault="003F26DA" w:rsidP="002F7028">
      <w:pPr>
        <w:pStyle w:val="01Chapterheading"/>
        <w:numPr>
          <w:ilvl w:val="0"/>
          <w:numId w:val="31"/>
        </w:numPr>
        <w:spacing w:after="0"/>
        <w:ind w:left="709" w:hanging="709"/>
      </w:pPr>
      <w:bookmarkStart w:id="76" w:name="_Toc185012381"/>
      <w:r>
        <w:lastRenderedPageBreak/>
        <w:t>Economic and financial considerations</w:t>
      </w:r>
      <w:bookmarkEnd w:id="76"/>
    </w:p>
    <w:p w14:paraId="45CBCE8D" w14:textId="0BE51104" w:rsidR="003F26DA" w:rsidRDefault="003F26DA" w:rsidP="002F7028">
      <w:pPr>
        <w:pStyle w:val="05Paragraph"/>
        <w:spacing w:after="180"/>
      </w:pPr>
    </w:p>
    <w:p w14:paraId="36BFC201" w14:textId="77777777" w:rsidR="003F26DA" w:rsidRDefault="003F26DA">
      <w:pPr>
        <w:pStyle w:val="05Paragraph"/>
      </w:pPr>
      <w:r>
        <w:t>The Tribunal is required to consider the following factors when making this Determination:</w:t>
      </w:r>
      <w:r>
        <w:rPr>
          <w:rStyle w:val="FootnoteReference"/>
        </w:rPr>
        <w:footnoteReference w:id="165"/>
      </w:r>
    </w:p>
    <w:p w14:paraId="75825E7A" w14:textId="77777777" w:rsidR="003F26DA" w:rsidRDefault="003F26DA" w:rsidP="005C4A3A">
      <w:pPr>
        <w:pStyle w:val="06VIRTBulletpoints"/>
        <w:spacing w:before="60" w:after="60"/>
        <w:ind w:left="357" w:hanging="357"/>
      </w:pPr>
      <w:r>
        <w:t>current and projected economic conditions and trends</w:t>
      </w:r>
    </w:p>
    <w:p w14:paraId="256F5E6A" w14:textId="77777777" w:rsidR="003F26DA" w:rsidRDefault="003F26DA" w:rsidP="00BF5220">
      <w:pPr>
        <w:pStyle w:val="06VIRTBulletpoints"/>
      </w:pPr>
      <w:r>
        <w:t>the financial position and fiscal strategy of the State of Victoria</w:t>
      </w:r>
    </w:p>
    <w:p w14:paraId="3C85D828" w14:textId="77777777" w:rsidR="003F26DA" w:rsidRDefault="003F26DA" w:rsidP="00BF5220">
      <w:pPr>
        <w:pStyle w:val="06VIRTBulletpoints"/>
      </w:pPr>
      <w:r>
        <w:t>any statement or policy issued by the Government of Victoria which is in force with respect to its wages policy (or equivalent).</w:t>
      </w:r>
    </w:p>
    <w:p w14:paraId="75C25397" w14:textId="2A54CA91" w:rsidR="003F26DA" w:rsidRDefault="003F26DA" w:rsidP="005C4A3A">
      <w:pPr>
        <w:pStyle w:val="05Paragraph"/>
        <w:spacing w:before="120"/>
      </w:pPr>
      <w:r>
        <w:t xml:space="preserve">The following discussion of economic conditions and Victoria’s financial position is informed by the Tribunal’s analysis for its 2024 VPS Determination, plus the latest information and data from a range of sources up to </w:t>
      </w:r>
      <w:r w:rsidR="000F06C2">
        <w:t>13</w:t>
      </w:r>
      <w:r>
        <w:t xml:space="preserve"> December 2024.</w:t>
      </w:r>
    </w:p>
    <w:p w14:paraId="3B0DB8A0" w14:textId="77777777" w:rsidR="003F26DA" w:rsidRDefault="003F26DA" w:rsidP="00037221">
      <w:pPr>
        <w:pStyle w:val="02VIRTHeading2"/>
        <w:spacing w:before="120" w:after="120"/>
      </w:pPr>
      <w:bookmarkStart w:id="77" w:name="_Toc185012382"/>
      <w:r>
        <w:t>6.1</w:t>
      </w:r>
      <w:r>
        <w:tab/>
        <w:t>Current economic conditions</w:t>
      </w:r>
      <w:bookmarkEnd w:id="77"/>
    </w:p>
    <w:p w14:paraId="187093D7" w14:textId="4EE75A43" w:rsidR="003F26DA" w:rsidRDefault="003F26DA" w:rsidP="00037221">
      <w:pPr>
        <w:pStyle w:val="05Paragraph"/>
        <w:spacing w:before="120"/>
      </w:pPr>
      <w:r>
        <w:t xml:space="preserve">The Tribunal’s understanding of current economic conditions draws on the latest data on key economic indicators published by the </w:t>
      </w:r>
      <w:r w:rsidR="00476997" w:rsidRPr="00476997">
        <w:t xml:space="preserve">Australian Bureau of Statistics </w:t>
      </w:r>
      <w:r w:rsidR="00476997">
        <w:t>(</w:t>
      </w:r>
      <w:r>
        <w:t>ABS</w:t>
      </w:r>
      <w:r w:rsidR="00476997">
        <w:t>)</w:t>
      </w:r>
      <w:r>
        <w:t xml:space="preserve">, along with statements from the RBA and the </w:t>
      </w:r>
      <w:r w:rsidRPr="005A481E">
        <w:rPr>
          <w:i/>
        </w:rPr>
        <w:t>2024-25 Victorian Budget Update</w:t>
      </w:r>
      <w:r w:rsidR="00C269B3">
        <w:rPr>
          <w:i/>
        </w:rPr>
        <w:t xml:space="preserve"> </w:t>
      </w:r>
      <w:r w:rsidR="00C269B3" w:rsidRPr="00C269B3">
        <w:rPr>
          <w:iCs/>
        </w:rPr>
        <w:t>(2024-25 Budget Update)</w:t>
      </w:r>
      <w:r>
        <w:t xml:space="preserve">. </w:t>
      </w:r>
    </w:p>
    <w:p w14:paraId="31E45E0C" w14:textId="77777777" w:rsidR="003F26DA" w:rsidRDefault="003F26DA">
      <w:pPr>
        <w:pStyle w:val="05Paragraph"/>
      </w:pPr>
      <w:r>
        <w:t>A high-level overview of the latest economic conditions in Australia and Victoria is provided in Figure 6.1 and described in further detail below.</w:t>
      </w:r>
    </w:p>
    <w:p w14:paraId="20F8BC04" w14:textId="57957DF0" w:rsidR="003F26DA" w:rsidRDefault="003F26DA" w:rsidP="00556DC2">
      <w:pPr>
        <w:pStyle w:val="08Figuretableboxheading"/>
        <w:keepNext w:val="0"/>
        <w:spacing w:before="120" w:after="0"/>
      </w:pPr>
      <w:r w:rsidRPr="002D71B5">
        <w:t>Figure 6.1: Overview of Australian and Victorian economic conditions, December 2024</w:t>
      </w:r>
    </w:p>
    <w:p w14:paraId="628B619B" w14:textId="6D251E60" w:rsidR="00EE751E" w:rsidRDefault="002334ED" w:rsidP="002334ED">
      <w:pPr>
        <w:spacing w:before="0" w:after="80" w:line="240" w:lineRule="auto"/>
        <w:jc w:val="center"/>
      </w:pPr>
      <w:r>
        <w:rPr>
          <w:noProof/>
        </w:rPr>
        <w:drawing>
          <wp:inline distT="0" distB="0" distL="0" distR="0" wp14:anchorId="1539DE91" wp14:editId="0BF33C34">
            <wp:extent cx="5205600" cy="2304000"/>
            <wp:effectExtent l="0" t="0" r="0" b="1270"/>
            <wp:docPr id="1964145986" name="Picture 1" descr="A figure which provides an overview of Australian and Victorian economic conditions at Dec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5986" name="Picture 1" descr="A figure which provides an overview of Australian and Victorian economic conditions at December 20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05600" cy="2304000"/>
                    </a:xfrm>
                    <a:prstGeom prst="rect">
                      <a:avLst/>
                    </a:prstGeom>
                    <a:noFill/>
                  </pic:spPr>
                </pic:pic>
              </a:graphicData>
            </a:graphic>
          </wp:inline>
        </w:drawing>
      </w:r>
    </w:p>
    <w:p w14:paraId="35922F89" w14:textId="61F61AD3" w:rsidR="003F26DA" w:rsidRDefault="003F26DA">
      <w:pPr>
        <w:pStyle w:val="03VIRTHeading3"/>
      </w:pPr>
      <w:r w:rsidRPr="00E54912">
        <w:lastRenderedPageBreak/>
        <w:t>Economic growth</w:t>
      </w:r>
      <w:r>
        <w:t xml:space="preserve"> has continued to slow </w:t>
      </w:r>
      <w:r w:rsidRPr="00E54912">
        <w:t>as cost-of-living pressures and interest rates weigh on consumption</w:t>
      </w:r>
    </w:p>
    <w:p w14:paraId="443664CD" w14:textId="77777777" w:rsidR="003F26DA" w:rsidRDefault="003F26DA">
      <w:pPr>
        <w:pStyle w:val="05Paragraph"/>
      </w:pPr>
      <w:r>
        <w:t>Economic growth has continued to slow in both Australia and Victoria after the post COVID-19 peak in 2021-22.</w:t>
      </w:r>
    </w:p>
    <w:p w14:paraId="75C5DD18" w14:textId="69844FB3" w:rsidR="003F26DA" w:rsidRDefault="003F26DA">
      <w:pPr>
        <w:pStyle w:val="05Paragraph"/>
      </w:pPr>
      <w:r>
        <w:t xml:space="preserve">Annual growth in real </w:t>
      </w:r>
      <w:r w:rsidR="00816EFE">
        <w:t>G</w:t>
      </w:r>
      <w:r>
        <w:t xml:space="preserve">ross </w:t>
      </w:r>
      <w:r w:rsidR="00816EFE">
        <w:t>D</w:t>
      </w:r>
      <w:r>
        <w:t xml:space="preserve">omestic </w:t>
      </w:r>
      <w:r w:rsidR="00816EFE">
        <w:t>P</w:t>
      </w:r>
      <w:r>
        <w:t>roduct (GDP) was 1.4 per cent in 2023-24, less than half the growth rate in the previous year (Figure 6</w:t>
      </w:r>
      <w:r w:rsidRPr="00774000">
        <w:t>.</w:t>
      </w:r>
      <w:r w:rsidR="0007737D" w:rsidRPr="00FC0687">
        <w:t>2</w:t>
      </w:r>
      <w:r w:rsidRPr="00774000">
        <w:t>).</w:t>
      </w:r>
      <w:r w:rsidRPr="00774000">
        <w:rPr>
          <w:rStyle w:val="FootnoteReference"/>
        </w:rPr>
        <w:footnoteReference w:id="166"/>
      </w:r>
      <w:r>
        <w:t xml:space="preserve"> According to the ABS, while there have now been </w:t>
      </w:r>
      <w:r w:rsidR="001328FB">
        <w:t xml:space="preserve">twelve </w:t>
      </w:r>
      <w:r>
        <w:t xml:space="preserve">consecutive quarters of economic growth, GDP growth </w:t>
      </w:r>
      <w:r w:rsidR="001328FB">
        <w:t>through the year to Septem</w:t>
      </w:r>
      <w:r w:rsidR="00BD1215">
        <w:t>b</w:t>
      </w:r>
      <w:r w:rsidR="001328FB">
        <w:t xml:space="preserve">er </w:t>
      </w:r>
      <w:r w:rsidR="00CA37F0">
        <w:t>2024</w:t>
      </w:r>
      <w:r>
        <w:t xml:space="preserve"> </w:t>
      </w:r>
      <w:r w:rsidR="00F17DE4">
        <w:t xml:space="preserve">(0.8 per cent) </w:t>
      </w:r>
      <w:r>
        <w:t xml:space="preserve">was the lowest </w:t>
      </w:r>
      <w:r w:rsidR="00E85315">
        <w:t>since the</w:t>
      </w:r>
      <w:r w:rsidR="00452DDA">
        <w:t xml:space="preserve"> December quarter 2020</w:t>
      </w:r>
      <w:r w:rsidR="00A04493">
        <w:t>, which was affected by the pandemic</w:t>
      </w:r>
      <w:r>
        <w:t>.</w:t>
      </w:r>
      <w:r>
        <w:rPr>
          <w:rStyle w:val="FootnoteReference"/>
        </w:rPr>
        <w:footnoteReference w:id="167"/>
      </w:r>
    </w:p>
    <w:p w14:paraId="42BFCCA4" w14:textId="07A6DFEB" w:rsidR="003F26DA" w:rsidRDefault="003F26DA">
      <w:pPr>
        <w:pStyle w:val="05Paragraph"/>
      </w:pPr>
      <w:r>
        <w:t xml:space="preserve">Growth in Victoria’s real </w:t>
      </w:r>
      <w:r w:rsidR="002A2C01">
        <w:t>G</w:t>
      </w:r>
      <w:r>
        <w:t xml:space="preserve">ross </w:t>
      </w:r>
      <w:r w:rsidR="002A2C01">
        <w:t>S</w:t>
      </w:r>
      <w:r>
        <w:t xml:space="preserve">tate </w:t>
      </w:r>
      <w:r w:rsidR="002A2C01">
        <w:t>P</w:t>
      </w:r>
      <w:r>
        <w:t>roduct (GSP) was 1.5 per cent in 2023-24, slightly above GDP growth, but down from 3.4 per cent in 2022-23 and below the long-run average growth rate of 3.0 per cent prior to the COVID-19 pandemic.</w:t>
      </w:r>
      <w:r>
        <w:rPr>
          <w:rStyle w:val="FootnoteReference"/>
        </w:rPr>
        <w:footnoteReference w:id="168"/>
      </w:r>
    </w:p>
    <w:p w14:paraId="531A9135" w14:textId="38D206B9" w:rsidR="003F26DA" w:rsidRDefault="003F26DA">
      <w:pPr>
        <w:pStyle w:val="08Figuretableboxheading"/>
      </w:pPr>
      <w:r w:rsidRPr="00301631">
        <w:t>Figure 6</w:t>
      </w:r>
      <w:r w:rsidRPr="00774000">
        <w:t>.</w:t>
      </w:r>
      <w:r w:rsidR="00AB2F15" w:rsidRPr="00FC0687">
        <w:t>2</w:t>
      </w:r>
      <w:r w:rsidRPr="00774000">
        <w:t>: Annual</w:t>
      </w:r>
      <w:r w:rsidRPr="00301631">
        <w:t xml:space="preserve"> growth in real GDP </w:t>
      </w:r>
      <w:r w:rsidRPr="005469A7">
        <w:t xml:space="preserve">and </w:t>
      </w:r>
      <w:r>
        <w:t xml:space="preserve">real Victorian </w:t>
      </w:r>
      <w:r w:rsidRPr="005469A7">
        <w:t>GSP, June quarter 2019 to June quarter 2024</w:t>
      </w:r>
    </w:p>
    <w:p w14:paraId="3D419218" w14:textId="1182465B" w:rsidR="003F26DA" w:rsidRDefault="005D7B0E">
      <w:pPr>
        <w:pStyle w:val="05Paragraph"/>
      </w:pPr>
      <w:r>
        <w:rPr>
          <w:noProof/>
        </w:rPr>
        <w:drawing>
          <wp:inline distT="0" distB="0" distL="0" distR="0" wp14:anchorId="143F3333" wp14:editId="10192F07">
            <wp:extent cx="5383530" cy="2859405"/>
            <wp:effectExtent l="0" t="0" r="7620" b="0"/>
            <wp:docPr id="704351311" name="Picture 5" descr="A column chart showing annual growth in real GDP and real Victorian GSP between the June quarter 2019 and the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51311" name="Picture 5" descr="A column chart showing annual growth in real GDP and real Victorian GSP between the June quarter 2019 and the June quarter 20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3530" cy="2859405"/>
                    </a:xfrm>
                    <a:prstGeom prst="rect">
                      <a:avLst/>
                    </a:prstGeom>
                    <a:noFill/>
                  </pic:spPr>
                </pic:pic>
              </a:graphicData>
            </a:graphic>
          </wp:inline>
        </w:drawing>
      </w:r>
    </w:p>
    <w:p w14:paraId="178E7584" w14:textId="71C177E2" w:rsidR="003F26DA" w:rsidRDefault="003F26DA">
      <w:pPr>
        <w:pStyle w:val="09Sourcesandnotesfortablesfiguresboxes"/>
      </w:pPr>
      <w:r w:rsidRPr="007D0084">
        <w:t xml:space="preserve">Source: </w:t>
      </w:r>
      <w:r w:rsidR="00FB5394" w:rsidRPr="007D0084">
        <w:t>ABS (2024b).</w:t>
      </w:r>
    </w:p>
    <w:p w14:paraId="4F3F17C7" w14:textId="7747C2B4" w:rsidR="003F26DA" w:rsidRDefault="003F26DA">
      <w:pPr>
        <w:pStyle w:val="05Paragraph"/>
      </w:pPr>
      <w:r>
        <w:t xml:space="preserve">The RBA noted that growth in the year to June 2024 was underpinned by strong public demand, reflecting the provision of Commonwealth disability and aged care </w:t>
      </w:r>
      <w:r>
        <w:lastRenderedPageBreak/>
        <w:t>benefits to households.</w:t>
      </w:r>
      <w:r>
        <w:rPr>
          <w:rStyle w:val="FootnoteReference"/>
        </w:rPr>
        <w:footnoteReference w:id="169"/>
      </w:r>
      <w:r>
        <w:t xml:space="preserve"> Conversely, private demand was weak, with </w:t>
      </w:r>
      <w:proofErr w:type="gramStart"/>
      <w:r>
        <w:t>lower than expected</w:t>
      </w:r>
      <w:proofErr w:type="gramEnd"/>
      <w:r>
        <w:t xml:space="preserve"> growth in household consumption owing to the impact of previous falls in real disposable incomes and tight financial conditions. Business investment, while still contributing to GDP growth, also slowed compared to 2022-23, </w:t>
      </w:r>
      <w:r w:rsidR="00576802">
        <w:t>due in part to persistent</w:t>
      </w:r>
      <w:r>
        <w:t xml:space="preserve"> construction cost pressures.</w:t>
      </w:r>
      <w:r w:rsidR="002760C5">
        <w:rPr>
          <w:rStyle w:val="FootnoteReference"/>
        </w:rPr>
        <w:footnoteReference w:id="170"/>
      </w:r>
    </w:p>
    <w:p w14:paraId="42800A6E" w14:textId="6048BE58" w:rsidR="003F26DA" w:rsidRDefault="002760C5">
      <w:pPr>
        <w:pStyle w:val="05Paragraph"/>
      </w:pPr>
      <w:r>
        <w:t>According to the 2024-25 Budget Update, g</w:t>
      </w:r>
      <w:r w:rsidR="003F26DA" w:rsidRPr="00963110">
        <w:t xml:space="preserve">rowth in the Victorian economy in 2023-24 </w:t>
      </w:r>
      <w:r w:rsidR="00752A9A">
        <w:t>was underpinned by</w:t>
      </w:r>
      <w:r w:rsidR="003F26DA" w:rsidRPr="00963110">
        <w:t xml:space="preserve"> public demand </w:t>
      </w:r>
      <w:r w:rsidR="00752A9A">
        <w:t xml:space="preserve">and business </w:t>
      </w:r>
      <w:r w:rsidR="00C117E0">
        <w:t>investment, while</w:t>
      </w:r>
      <w:r w:rsidR="003F26DA" w:rsidRPr="00963110">
        <w:t xml:space="preserve"> household consumption </w:t>
      </w:r>
      <w:r w:rsidR="00C117E0">
        <w:t>was subdued</w:t>
      </w:r>
      <w:r w:rsidR="003F26DA" w:rsidRPr="00963110">
        <w:t>.</w:t>
      </w:r>
      <w:r w:rsidR="003F26DA" w:rsidRPr="00963110">
        <w:rPr>
          <w:rStyle w:val="FootnoteReference"/>
        </w:rPr>
        <w:footnoteReference w:id="171"/>
      </w:r>
      <w:r w:rsidR="003F26DA">
        <w:t xml:space="preserve"> </w:t>
      </w:r>
    </w:p>
    <w:p w14:paraId="451CEF55" w14:textId="77777777" w:rsidR="003F26DA" w:rsidRDefault="003F26DA">
      <w:pPr>
        <w:pStyle w:val="05Paragraph"/>
      </w:pPr>
      <w:r w:rsidRPr="00616F5A">
        <w:t xml:space="preserve">Population growth has rebounded significantly since Australia’s international borders were re-opened in early </w:t>
      </w:r>
      <w:proofErr w:type="gramStart"/>
      <w:r w:rsidRPr="00616F5A">
        <w:t>2022</w:t>
      </w:r>
      <w:r>
        <w:t>,</w:t>
      </w:r>
      <w:r w:rsidRPr="00616F5A">
        <w:t xml:space="preserve"> and</w:t>
      </w:r>
      <w:proofErr w:type="gramEnd"/>
      <w:r w:rsidRPr="00616F5A">
        <w:t xml:space="preserve"> has exceeded economic growth</w:t>
      </w:r>
      <w:r>
        <w:t xml:space="preserve"> in recent times. </w:t>
      </w:r>
      <w:r w:rsidRPr="003459A4">
        <w:t>This is reflected in declining real GDP per capita and real GSP per capita, which fell 1.0 per cent and 1.2 per cent respectively in 2023-24.</w:t>
      </w:r>
      <w:r w:rsidRPr="003459A4">
        <w:rPr>
          <w:rStyle w:val="FootnoteReference"/>
        </w:rPr>
        <w:footnoteReference w:id="172"/>
      </w:r>
    </w:p>
    <w:p w14:paraId="021673C3" w14:textId="3589B276" w:rsidR="003F26DA" w:rsidRDefault="003F26DA">
      <w:pPr>
        <w:pStyle w:val="05Paragraph"/>
      </w:pPr>
      <w:r>
        <w:t xml:space="preserve">Productivity growth, which is a key driver of long-term economic growth and higher living standards, has continued to be weak. </w:t>
      </w:r>
      <w:bookmarkStart w:id="78" w:name="_Hlk183531022"/>
      <w:r w:rsidRPr="00866630">
        <w:t xml:space="preserve">ABS data show </w:t>
      </w:r>
      <w:r>
        <w:t xml:space="preserve">that labour productivity — measured by </w:t>
      </w:r>
      <w:r w:rsidRPr="00866630">
        <w:t>GDP per hour worked —</w:t>
      </w:r>
      <w:r>
        <w:t xml:space="preserve"> </w:t>
      </w:r>
      <w:r w:rsidR="001427F2">
        <w:t>fell</w:t>
      </w:r>
      <w:r>
        <w:t xml:space="preserve"> by 0.</w:t>
      </w:r>
      <w:r w:rsidR="001427F2">
        <w:t>8</w:t>
      </w:r>
      <w:r>
        <w:t xml:space="preserve"> per cent through the year to </w:t>
      </w:r>
      <w:r w:rsidR="001427F2">
        <w:t>September</w:t>
      </w:r>
      <w:r>
        <w:t xml:space="preserve"> 2024.</w:t>
      </w:r>
      <w:r>
        <w:rPr>
          <w:rStyle w:val="FootnoteReference"/>
        </w:rPr>
        <w:footnoteReference w:id="173"/>
      </w:r>
      <w:r>
        <w:t xml:space="preserve"> The RBA noted that productivity growth has been weak in both the market and non-market sectors and that this is weigh</w:t>
      </w:r>
      <w:r w:rsidR="00BC2CDB">
        <w:t>ing</w:t>
      </w:r>
      <w:r>
        <w:t xml:space="preserve"> on economic growth.</w:t>
      </w:r>
      <w:r>
        <w:rPr>
          <w:rStyle w:val="FootnoteReference"/>
        </w:rPr>
        <w:footnoteReference w:id="174"/>
      </w:r>
      <w:r>
        <w:t xml:space="preserve"> </w:t>
      </w:r>
    </w:p>
    <w:bookmarkEnd w:id="78"/>
    <w:p w14:paraId="3263B830" w14:textId="77777777" w:rsidR="003F26DA" w:rsidRDefault="003F26DA">
      <w:pPr>
        <w:pStyle w:val="03VIRTHeading3"/>
      </w:pPr>
      <w:r w:rsidRPr="00495CE0">
        <w:t xml:space="preserve">Inflation has </w:t>
      </w:r>
      <w:r>
        <w:t xml:space="preserve">continued to </w:t>
      </w:r>
      <w:r w:rsidRPr="00495CE0">
        <w:t>moderate</w:t>
      </w:r>
    </w:p>
    <w:p w14:paraId="369DD3B2" w14:textId="77777777" w:rsidR="003F26DA" w:rsidRDefault="003F26DA">
      <w:pPr>
        <w:pStyle w:val="05Paragraph"/>
      </w:pPr>
      <w:r w:rsidRPr="00FF6F46">
        <w:t xml:space="preserve">Headline inflation has </w:t>
      </w:r>
      <w:r>
        <w:t xml:space="preserve">continued to </w:t>
      </w:r>
      <w:r w:rsidRPr="00FF6F46">
        <w:t xml:space="preserve">moderate in </w:t>
      </w:r>
      <w:r>
        <w:t xml:space="preserve">both Australia and </w:t>
      </w:r>
      <w:r w:rsidRPr="00FF6F46">
        <w:t>Victoria</w:t>
      </w:r>
      <w:r>
        <w:t xml:space="preserve">. </w:t>
      </w:r>
    </w:p>
    <w:p w14:paraId="5FCF1E5E" w14:textId="77777777" w:rsidR="003F26DA" w:rsidRDefault="003F26DA">
      <w:pPr>
        <w:pStyle w:val="05Paragraph"/>
      </w:pPr>
      <w:r>
        <w:t>The Australian All Groups Consumer Price Index (CPI) increased by 0.2 percent in the September quarter 2024 and 2.8 per cent through the year.</w:t>
      </w:r>
      <w:r>
        <w:rPr>
          <w:rStyle w:val="FootnoteReference"/>
        </w:rPr>
        <w:footnoteReference w:id="175"/>
      </w:r>
      <w:r>
        <w:t xml:space="preserve"> Higher prices in the September quarter for some goods and services, including ‘recreation and culture’ (+1.3 per cent) and ‘food and non-alcoholic beverages’ (+0.6 per cent), were mostly offset by falls in ‘electricity’ (-17.3 per cent) and ‘automotive fuel’ (</w:t>
      </w:r>
      <w:r>
        <w:noBreakHyphen/>
        <w:t xml:space="preserve">6.7 per cent). </w:t>
      </w:r>
    </w:p>
    <w:p w14:paraId="27CCD9A9" w14:textId="77777777" w:rsidR="003F26DA" w:rsidRDefault="003F26DA">
      <w:pPr>
        <w:pStyle w:val="05Paragraph"/>
      </w:pPr>
      <w:r>
        <w:lastRenderedPageBreak/>
        <w:t>However, the fall in electricity prices reflected temporary bill rebates for households from the Commonwealth and some state governments. Excluding these policy measures, the ABS estimated that electricity prices would have increased by 0.7 per cent in the quarter.</w:t>
      </w:r>
      <w:r>
        <w:rPr>
          <w:rStyle w:val="FootnoteReference"/>
        </w:rPr>
        <w:footnoteReference w:id="176"/>
      </w:r>
    </w:p>
    <w:p w14:paraId="78C6F63E" w14:textId="3C7BDCE3" w:rsidR="003F26DA" w:rsidRDefault="003F26DA">
      <w:pPr>
        <w:pStyle w:val="05Paragraph"/>
      </w:pPr>
      <w:r>
        <w:t>While headline inflation is currently within the RBA’s 2</w:t>
      </w:r>
      <w:r w:rsidR="00775067">
        <w:t>-</w:t>
      </w:r>
      <w:r>
        <w:t xml:space="preserve">3 per cent target band, </w:t>
      </w:r>
      <w:r w:rsidR="006D52DB">
        <w:t xml:space="preserve">trimmed mean inflation — </w:t>
      </w:r>
      <w:r>
        <w:t>the RBA’s preferred measure of underlying inflation</w:t>
      </w:r>
      <w:r w:rsidR="0065715F">
        <w:t xml:space="preserve"> </w:t>
      </w:r>
      <w:r>
        <w:t>— remains above the band.</w:t>
      </w:r>
      <w:r>
        <w:rPr>
          <w:rStyle w:val="FootnoteReference"/>
        </w:rPr>
        <w:footnoteReference w:id="177"/>
      </w:r>
      <w:r>
        <w:t xml:space="preserve"> Annual trimmed mean inflation was 3.5 per cent in the September quarter</w:t>
      </w:r>
      <w:r w:rsidR="0065715F">
        <w:t xml:space="preserve"> 2024</w:t>
      </w:r>
      <w:r>
        <w:t xml:space="preserve">, down from a peak of 6.8 per cent in the December </w:t>
      </w:r>
      <w:r w:rsidR="006F6206">
        <w:t xml:space="preserve">quarter </w:t>
      </w:r>
      <w:r>
        <w:t>2022.</w:t>
      </w:r>
      <w:r w:rsidR="008D27B1">
        <w:rPr>
          <w:rStyle w:val="FootnoteReference"/>
        </w:rPr>
        <w:footnoteReference w:id="178"/>
      </w:r>
    </w:p>
    <w:p w14:paraId="03E19E2A" w14:textId="4399E1DD" w:rsidR="003F26DA" w:rsidRDefault="00D920DF">
      <w:pPr>
        <w:pStyle w:val="05Paragraph"/>
      </w:pPr>
      <w:r>
        <w:t>Recent m</w:t>
      </w:r>
      <w:r w:rsidR="003F26DA">
        <w:t xml:space="preserve">ovements in the </w:t>
      </w:r>
      <w:r w:rsidR="00E73608" w:rsidRPr="007E682C">
        <w:t xml:space="preserve">All Groups </w:t>
      </w:r>
      <w:r w:rsidR="00E73608">
        <w:t>CPI</w:t>
      </w:r>
      <w:r w:rsidR="00E73608" w:rsidRPr="007E682C">
        <w:t xml:space="preserve"> for </w:t>
      </w:r>
      <w:r w:rsidR="003F26DA">
        <w:t xml:space="preserve">Melbourne </w:t>
      </w:r>
      <w:r w:rsidR="00E73608">
        <w:t>(</w:t>
      </w:r>
      <w:r w:rsidR="003F26DA">
        <w:t>Melbourne CPI</w:t>
      </w:r>
      <w:r w:rsidR="00E73608">
        <w:t>)</w:t>
      </w:r>
      <w:r>
        <w:t xml:space="preserve"> have</w:t>
      </w:r>
      <w:r w:rsidR="003F26DA">
        <w:t xml:space="preserve"> broadly reflected national outcomes, with an increase of 0.7 per cent in the September quarter 2024 and an increase of 3.0 per cent through the year (Figure</w:t>
      </w:r>
      <w:r w:rsidR="00231474">
        <w:t> </w:t>
      </w:r>
      <w:r w:rsidR="003F26DA" w:rsidRPr="00774000">
        <w:t>6.</w:t>
      </w:r>
      <w:r w:rsidR="00E60DDA" w:rsidRPr="00FC0687">
        <w:t>3</w:t>
      </w:r>
      <w:r w:rsidR="003F26DA" w:rsidRPr="00774000">
        <w:t>).</w:t>
      </w:r>
      <w:r w:rsidR="003F26DA" w:rsidRPr="00774000">
        <w:rPr>
          <w:rStyle w:val="FootnoteReference"/>
        </w:rPr>
        <w:footnoteReference w:id="179"/>
      </w:r>
      <w:r w:rsidR="003F26DA">
        <w:t xml:space="preserve"> While annual CPI </w:t>
      </w:r>
      <w:r w:rsidR="00422294">
        <w:t xml:space="preserve">growth </w:t>
      </w:r>
      <w:r w:rsidR="003F26DA">
        <w:t xml:space="preserve">in Melbourne is currently the third highest of the capital cities (after Perth and Adelaide), it is well below the peak of 8.0 per cent in the December </w:t>
      </w:r>
      <w:r w:rsidR="00422294">
        <w:t xml:space="preserve">quarter </w:t>
      </w:r>
      <w:r w:rsidR="003F26DA">
        <w:t>2022.</w:t>
      </w:r>
    </w:p>
    <w:p w14:paraId="017D6BA2" w14:textId="56697F46" w:rsidR="003F26DA" w:rsidRDefault="003F26DA">
      <w:pPr>
        <w:pStyle w:val="08Figuretableboxheading"/>
      </w:pPr>
      <w:r w:rsidRPr="007B5288">
        <w:t>Figure 6</w:t>
      </w:r>
      <w:r w:rsidRPr="00774000">
        <w:t>.</w:t>
      </w:r>
      <w:r w:rsidR="00E60DDA" w:rsidRPr="00FC0687">
        <w:t>3</w:t>
      </w:r>
      <w:r w:rsidRPr="00774000">
        <w:t>:</w:t>
      </w:r>
      <w:r w:rsidRPr="007B5288">
        <w:t xml:space="preserve"> Quarterly and annual growth in the Melbourne CPI, </w:t>
      </w:r>
      <w:r>
        <w:t>September</w:t>
      </w:r>
      <w:r w:rsidRPr="007B5288">
        <w:t xml:space="preserve"> quarter 201</w:t>
      </w:r>
      <w:r>
        <w:t>8</w:t>
      </w:r>
      <w:r w:rsidRPr="007B5288">
        <w:t xml:space="preserve"> to </w:t>
      </w:r>
      <w:r>
        <w:t>September</w:t>
      </w:r>
      <w:r w:rsidRPr="007B5288">
        <w:t xml:space="preserve"> quarter 2024</w:t>
      </w:r>
    </w:p>
    <w:p w14:paraId="4396C612" w14:textId="4D6338A1" w:rsidR="003F26DA" w:rsidRDefault="005D7B0E">
      <w:pPr>
        <w:pStyle w:val="05Paragraph"/>
      </w:pPr>
      <w:r>
        <w:rPr>
          <w:noProof/>
        </w:rPr>
        <w:drawing>
          <wp:inline distT="0" distB="0" distL="0" distR="0" wp14:anchorId="23284C77" wp14:editId="49B95C8B">
            <wp:extent cx="5383530" cy="2804160"/>
            <wp:effectExtent l="0" t="0" r="7620" b="0"/>
            <wp:docPr id="1349822176" name="Picture 6" descr="A chart showing quarterly and annual growth in the Melbourne between the September quarter 2018 and the September quarter 2024, with the RBA's 2-3 per cent cash rate target shown for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22176" name="Picture 6" descr="A chart showing quarterly and annual growth in the Melbourne between the September quarter 2018 and the September quarter 2024, with the RBA's 2-3 per cent cash rate target shown for refer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3530" cy="2804160"/>
                    </a:xfrm>
                    <a:prstGeom prst="rect">
                      <a:avLst/>
                    </a:prstGeom>
                    <a:noFill/>
                  </pic:spPr>
                </pic:pic>
              </a:graphicData>
            </a:graphic>
          </wp:inline>
        </w:drawing>
      </w:r>
    </w:p>
    <w:p w14:paraId="0A397E6E" w14:textId="6D683104" w:rsidR="003F26DA" w:rsidRDefault="003F26DA">
      <w:pPr>
        <w:pStyle w:val="09Sourcesandnotesfortablesfiguresboxes"/>
      </w:pPr>
      <w:r w:rsidRPr="006931DC">
        <w:t xml:space="preserve">Source: </w:t>
      </w:r>
      <w:r w:rsidR="00952708" w:rsidRPr="006931DC">
        <w:t>ABS (2024c).</w:t>
      </w:r>
    </w:p>
    <w:p w14:paraId="5AB3F164" w14:textId="77777777" w:rsidR="003F26DA" w:rsidRDefault="003F26DA">
      <w:pPr>
        <w:pStyle w:val="05Paragraph"/>
      </w:pPr>
      <w:r>
        <w:lastRenderedPageBreak/>
        <w:t>In its</w:t>
      </w:r>
      <w:r w:rsidRPr="000A79CC">
        <w:t xml:space="preserve"> latest </w:t>
      </w:r>
      <w:r w:rsidRPr="000A79CC">
        <w:rPr>
          <w:i/>
          <w:iCs/>
        </w:rPr>
        <w:t>Statement on Monetary Policy</w:t>
      </w:r>
      <w:r w:rsidRPr="000A79CC">
        <w:t xml:space="preserve"> (</w:t>
      </w:r>
      <w:r>
        <w:t>November</w:t>
      </w:r>
      <w:r w:rsidRPr="000A79CC">
        <w:t xml:space="preserve"> 2024 Statement)</w:t>
      </w:r>
      <w:r>
        <w:t>, the RBA observed that inflation outcomes are underpinned by continued easing in the prices of goods, while services inflation has also moderated — albeit from a high level.</w:t>
      </w:r>
      <w:r>
        <w:rPr>
          <w:rStyle w:val="FootnoteReference"/>
        </w:rPr>
        <w:footnoteReference w:id="180"/>
      </w:r>
    </w:p>
    <w:p w14:paraId="44406258" w14:textId="35581209" w:rsidR="003F26DA" w:rsidRDefault="00836C58">
      <w:pPr>
        <w:pStyle w:val="05Paragraph"/>
      </w:pPr>
      <w:r>
        <w:t>The decline in g</w:t>
      </w:r>
      <w:r w:rsidR="003F26DA">
        <w:t>oods inflation reflects lower prices for imported goods and some easing of shipping costs</w:t>
      </w:r>
      <w:r>
        <w:t>, as well as weaker demand conditions</w:t>
      </w:r>
      <w:r w:rsidR="003F26DA">
        <w:t>.</w:t>
      </w:r>
      <w:r w:rsidR="007E5D0B">
        <w:rPr>
          <w:rStyle w:val="FootnoteReference"/>
        </w:rPr>
        <w:footnoteReference w:id="181"/>
      </w:r>
      <w:r w:rsidR="003F26DA">
        <w:t xml:space="preserve"> In Victoria, the latest ABS data showed annual goods inflation at 1.8 per cent in the September quarter 2024, down from 4.6 per cent a year earlier and 9.8 per cent in the December quarter 2022.</w:t>
      </w:r>
      <w:r w:rsidR="003F26DA">
        <w:rPr>
          <w:rStyle w:val="FootnoteReference"/>
        </w:rPr>
        <w:footnoteReference w:id="182"/>
      </w:r>
    </w:p>
    <w:p w14:paraId="75099BB6" w14:textId="77777777" w:rsidR="003F26DA" w:rsidRDefault="003F26DA">
      <w:pPr>
        <w:pStyle w:val="05Paragraph"/>
      </w:pPr>
      <w:r>
        <w:t>The RBA noted that, while services inflation remains above its historical average, the recent easing was ‘broadly based across most market services’.</w:t>
      </w:r>
      <w:r>
        <w:rPr>
          <w:rStyle w:val="FootnoteReference"/>
        </w:rPr>
        <w:footnoteReference w:id="183"/>
      </w:r>
      <w:r>
        <w:t xml:space="preserve"> Drivers of services inflation include growth in labour and non-labour costs, which businesses appear to be able to pass on to consumers. Services inflation in Victoria remains elevated at 4.5 per cent in the year to the September quarter 2024, which was higher than the annual rate of 4.2 per cent reported in the preceding three quarters.</w:t>
      </w:r>
      <w:r>
        <w:rPr>
          <w:rStyle w:val="FootnoteReference"/>
        </w:rPr>
        <w:footnoteReference w:id="184"/>
      </w:r>
    </w:p>
    <w:p w14:paraId="0CA79BD7" w14:textId="3DEBC23A" w:rsidR="003F26DA" w:rsidRDefault="003F26DA">
      <w:pPr>
        <w:pStyle w:val="03VIRTHeading3"/>
      </w:pPr>
      <w:r w:rsidRPr="004C64B5">
        <w:t xml:space="preserve">Labour market conditions </w:t>
      </w:r>
      <w:r w:rsidR="00701554">
        <w:t>appear to have eased</w:t>
      </w:r>
      <w:r w:rsidR="000B6C23">
        <w:t xml:space="preserve"> slightly</w:t>
      </w:r>
      <w:r w:rsidRPr="004C64B5">
        <w:t>, but remain tight</w:t>
      </w:r>
    </w:p>
    <w:p w14:paraId="1512515D" w14:textId="749902FB" w:rsidR="003F26DA" w:rsidRDefault="003F26DA">
      <w:pPr>
        <w:pStyle w:val="05Paragraph"/>
      </w:pPr>
      <w:r w:rsidRPr="004C64B5">
        <w:t xml:space="preserve">As discussed in further detail in Chapter </w:t>
      </w:r>
      <w:r>
        <w:t>5</w:t>
      </w:r>
      <w:r w:rsidRPr="004C64B5">
        <w:t xml:space="preserve">, conditions in the Australian and Victorian labour markets have been ‘tight’ in recent years but </w:t>
      </w:r>
      <w:r w:rsidR="001B4A8F">
        <w:t>with</w:t>
      </w:r>
      <w:r w:rsidR="00A95032">
        <w:t xml:space="preserve"> </w:t>
      </w:r>
      <w:r w:rsidR="008E6C9D">
        <w:t xml:space="preserve">signs of </w:t>
      </w:r>
      <w:r w:rsidR="00A95032">
        <w:t xml:space="preserve">a gradual </w:t>
      </w:r>
      <w:r w:rsidR="008E6C9D">
        <w:t>easing</w:t>
      </w:r>
      <w:r w:rsidRPr="004C64B5">
        <w:t>.</w:t>
      </w:r>
    </w:p>
    <w:p w14:paraId="7AC8107B" w14:textId="72002AE1" w:rsidR="003F26DA" w:rsidRDefault="003F26DA">
      <w:pPr>
        <w:pStyle w:val="05Paragraph"/>
      </w:pPr>
      <w:r>
        <w:t>In its November 2024 Statement</w:t>
      </w:r>
      <w:r w:rsidR="0016384E">
        <w:t xml:space="preserve"> — </w:t>
      </w:r>
      <w:r w:rsidR="00FA2675">
        <w:t xml:space="preserve">released </w:t>
      </w:r>
      <w:r w:rsidR="0016384E">
        <w:t>prior to the latest unemployment data —</w:t>
      </w:r>
      <w:r>
        <w:t xml:space="preserve"> the RBA noted that:</w:t>
      </w:r>
      <w:r>
        <w:rPr>
          <w:rStyle w:val="FootnoteReference"/>
        </w:rPr>
        <w:footnoteReference w:id="185"/>
      </w:r>
    </w:p>
    <w:p w14:paraId="682D4B9F" w14:textId="77777777" w:rsidR="003F26DA" w:rsidRDefault="003F26DA">
      <w:pPr>
        <w:pStyle w:val="07VIRTBreakouttext"/>
      </w:pPr>
      <w:r>
        <w:t>The labour market has continued to ease this year through a gradual increase in the unemployment rate, as strong growth in employment has only partially absorbed higher labour force participation.</w:t>
      </w:r>
    </w:p>
    <w:p w14:paraId="2CBB063A" w14:textId="3A1EE08F" w:rsidR="003F26DA" w:rsidRPr="00E71682" w:rsidRDefault="003B61EE">
      <w:pPr>
        <w:pStyle w:val="05Paragraph"/>
      </w:pPr>
      <w:r>
        <w:t xml:space="preserve">In </w:t>
      </w:r>
      <w:r w:rsidR="00A70D49">
        <w:t xml:space="preserve">seasonally adjusted </w:t>
      </w:r>
      <w:r>
        <w:t>terms,</w:t>
      </w:r>
      <w:r w:rsidR="00DF2742">
        <w:t xml:space="preserve"> total </w:t>
      </w:r>
      <w:r w:rsidR="003F26DA" w:rsidRPr="00E71682">
        <w:t>employment in Australia increased by 2.</w:t>
      </w:r>
      <w:r w:rsidR="005E0720" w:rsidRPr="00E71682">
        <w:t>4</w:t>
      </w:r>
      <w:r w:rsidR="00DF2742">
        <w:t> </w:t>
      </w:r>
      <w:r w:rsidR="003F26DA" w:rsidRPr="00E71682">
        <w:t>per</w:t>
      </w:r>
      <w:r w:rsidR="00DF2742">
        <w:t> </w:t>
      </w:r>
      <w:r w:rsidR="003F26DA" w:rsidRPr="00E71682">
        <w:t xml:space="preserve">cent from </w:t>
      </w:r>
      <w:r w:rsidR="005E0720" w:rsidRPr="00E71682">
        <w:t xml:space="preserve">November </w:t>
      </w:r>
      <w:r w:rsidR="003F26DA" w:rsidRPr="00E71682">
        <w:t xml:space="preserve">2023 to </w:t>
      </w:r>
      <w:r w:rsidR="005E0720" w:rsidRPr="00E71682">
        <w:t xml:space="preserve">November </w:t>
      </w:r>
      <w:r w:rsidR="003F26DA" w:rsidRPr="00E71682">
        <w:t xml:space="preserve">2024, while the national </w:t>
      </w:r>
      <w:r w:rsidR="003F26DA" w:rsidRPr="00E71682">
        <w:lastRenderedPageBreak/>
        <w:t>participation rate was 67.</w:t>
      </w:r>
      <w:r w:rsidR="009B2A8B" w:rsidRPr="00E71682">
        <w:t>0</w:t>
      </w:r>
      <w:r w:rsidR="003F26DA" w:rsidRPr="00E71682">
        <w:t xml:space="preserve"> per cent in </w:t>
      </w:r>
      <w:r w:rsidR="00AC4350" w:rsidRPr="00E71682">
        <w:t xml:space="preserve">November </w:t>
      </w:r>
      <w:r w:rsidR="003F26DA" w:rsidRPr="00E71682">
        <w:t>2024 and remains near record levels.</w:t>
      </w:r>
      <w:r w:rsidR="003F26DA" w:rsidRPr="00E71682">
        <w:rPr>
          <w:rStyle w:val="FootnoteReference"/>
        </w:rPr>
        <w:footnoteReference w:id="186"/>
      </w:r>
      <w:r w:rsidR="003F26DA" w:rsidRPr="00E71682">
        <w:t xml:space="preserve"> The unemployment rate </w:t>
      </w:r>
      <w:r w:rsidR="000744C1" w:rsidRPr="00E71682">
        <w:t xml:space="preserve">has been relatively stable over the past </w:t>
      </w:r>
      <w:proofErr w:type="gramStart"/>
      <w:r w:rsidR="008963A3">
        <w:t>year</w:t>
      </w:r>
      <w:r w:rsidR="00C0138A">
        <w:t xml:space="preserve">, </w:t>
      </w:r>
      <w:r w:rsidR="00725C13">
        <w:t>but</w:t>
      </w:r>
      <w:proofErr w:type="gramEnd"/>
      <w:r w:rsidR="00725C13">
        <w:t xml:space="preserve"> </w:t>
      </w:r>
      <w:r w:rsidR="00AC4350" w:rsidRPr="00E71682">
        <w:t>decreased to</w:t>
      </w:r>
      <w:r w:rsidR="003F26DA" w:rsidRPr="00E71682">
        <w:t xml:space="preserve"> </w:t>
      </w:r>
      <w:r w:rsidR="00AC4350" w:rsidRPr="00E71682">
        <w:t>3.9</w:t>
      </w:r>
      <w:r w:rsidR="003F26DA" w:rsidRPr="00E71682">
        <w:t xml:space="preserve"> per cent in </w:t>
      </w:r>
      <w:r w:rsidR="00AC4350" w:rsidRPr="00E71682">
        <w:t xml:space="preserve">November </w:t>
      </w:r>
      <w:r w:rsidR="003F26DA" w:rsidRPr="00E71682">
        <w:t>2024.</w:t>
      </w:r>
    </w:p>
    <w:p w14:paraId="1DEAB564" w14:textId="2972439D" w:rsidR="003F26DA" w:rsidRPr="002C78B3" w:rsidRDefault="003F26DA">
      <w:pPr>
        <w:pStyle w:val="05Paragraph"/>
        <w:rPr>
          <w:spacing w:val="-2"/>
        </w:rPr>
      </w:pPr>
      <w:r w:rsidRPr="002C78B3">
        <w:rPr>
          <w:spacing w:val="-2"/>
        </w:rPr>
        <w:t>The Victorian labour market is broadly similar, with total employment increasing strongly (+3.</w:t>
      </w:r>
      <w:r w:rsidR="00750D48" w:rsidRPr="002C78B3">
        <w:rPr>
          <w:spacing w:val="-2"/>
        </w:rPr>
        <w:t xml:space="preserve">5 </w:t>
      </w:r>
      <w:r w:rsidRPr="002C78B3">
        <w:rPr>
          <w:spacing w:val="-2"/>
        </w:rPr>
        <w:t xml:space="preserve">per cent) over the year to </w:t>
      </w:r>
      <w:r w:rsidR="00750D48" w:rsidRPr="002C78B3">
        <w:rPr>
          <w:spacing w:val="-2"/>
        </w:rPr>
        <w:t xml:space="preserve">November </w:t>
      </w:r>
      <w:r w:rsidRPr="002C78B3">
        <w:rPr>
          <w:spacing w:val="-2"/>
        </w:rPr>
        <w:t>2024, which was well above the long-term average growth rate.</w:t>
      </w:r>
      <w:r w:rsidR="00507584">
        <w:rPr>
          <w:rStyle w:val="FootnoteReference"/>
          <w:spacing w:val="-2"/>
        </w:rPr>
        <w:footnoteReference w:id="187"/>
      </w:r>
      <w:r w:rsidRPr="002C78B3">
        <w:rPr>
          <w:spacing w:val="-2"/>
        </w:rPr>
        <w:t xml:space="preserve"> The labour </w:t>
      </w:r>
      <w:r w:rsidR="00DF2742">
        <w:rPr>
          <w:spacing w:val="-2"/>
        </w:rPr>
        <w:t xml:space="preserve">force </w:t>
      </w:r>
      <w:r w:rsidRPr="002C78B3">
        <w:rPr>
          <w:spacing w:val="-2"/>
        </w:rPr>
        <w:t xml:space="preserve">participation rate has recently been at record </w:t>
      </w:r>
      <w:proofErr w:type="gramStart"/>
      <w:r w:rsidRPr="002C78B3">
        <w:rPr>
          <w:spacing w:val="-2"/>
        </w:rPr>
        <w:t>highs, but</w:t>
      </w:r>
      <w:proofErr w:type="gramEnd"/>
      <w:r w:rsidRPr="002C78B3">
        <w:rPr>
          <w:spacing w:val="-2"/>
        </w:rPr>
        <w:t xml:space="preserve"> fell slightly to 68.</w:t>
      </w:r>
      <w:r w:rsidR="00736EF9" w:rsidRPr="002C78B3">
        <w:rPr>
          <w:spacing w:val="-2"/>
        </w:rPr>
        <w:t>2</w:t>
      </w:r>
      <w:r w:rsidRPr="002C78B3">
        <w:rPr>
          <w:spacing w:val="-2"/>
        </w:rPr>
        <w:t xml:space="preserve"> per cent in </w:t>
      </w:r>
      <w:r w:rsidR="00736EF9" w:rsidRPr="002C78B3">
        <w:rPr>
          <w:spacing w:val="-2"/>
        </w:rPr>
        <w:t xml:space="preserve">November </w:t>
      </w:r>
      <w:r w:rsidRPr="002C78B3">
        <w:rPr>
          <w:spacing w:val="-2"/>
        </w:rPr>
        <w:t xml:space="preserve">2024. The unemployment rate in Victoria </w:t>
      </w:r>
      <w:r w:rsidR="009A20DF" w:rsidRPr="002C78B3">
        <w:rPr>
          <w:spacing w:val="-2"/>
        </w:rPr>
        <w:t>de</w:t>
      </w:r>
      <w:r w:rsidRPr="002C78B3">
        <w:rPr>
          <w:spacing w:val="-2"/>
        </w:rPr>
        <w:t xml:space="preserve">creased </w:t>
      </w:r>
      <w:r w:rsidR="00026D07" w:rsidRPr="002C78B3">
        <w:rPr>
          <w:spacing w:val="-2"/>
        </w:rPr>
        <w:t xml:space="preserve">to 4.2 per cent </w:t>
      </w:r>
      <w:r w:rsidRPr="002C78B3">
        <w:rPr>
          <w:spacing w:val="-2"/>
        </w:rPr>
        <w:t xml:space="preserve">in </w:t>
      </w:r>
      <w:r w:rsidR="00C74159" w:rsidRPr="002C78B3">
        <w:rPr>
          <w:spacing w:val="-2"/>
        </w:rPr>
        <w:t xml:space="preserve">November </w:t>
      </w:r>
      <w:r w:rsidRPr="002C78B3">
        <w:rPr>
          <w:spacing w:val="-2"/>
        </w:rPr>
        <w:t>2024 and</w:t>
      </w:r>
      <w:r w:rsidR="00026D07" w:rsidRPr="002C78B3">
        <w:rPr>
          <w:spacing w:val="-2"/>
        </w:rPr>
        <w:t>,</w:t>
      </w:r>
      <w:r w:rsidRPr="002C78B3">
        <w:rPr>
          <w:spacing w:val="-2"/>
        </w:rPr>
        <w:t xml:space="preserve"> </w:t>
      </w:r>
      <w:r w:rsidR="00026D07" w:rsidRPr="002C78B3">
        <w:rPr>
          <w:spacing w:val="-2"/>
        </w:rPr>
        <w:t>despite being</w:t>
      </w:r>
      <w:r w:rsidRPr="002C78B3">
        <w:rPr>
          <w:spacing w:val="-2"/>
        </w:rPr>
        <w:t xml:space="preserve"> the highest of the states and territories, remains low by historical standards. </w:t>
      </w:r>
    </w:p>
    <w:p w14:paraId="503D7A65" w14:textId="77777777" w:rsidR="003F26DA" w:rsidRDefault="003F26DA">
      <w:pPr>
        <w:pStyle w:val="03VIRTHeading3"/>
      </w:pPr>
      <w:r>
        <w:t>Wages growth has continued to moderate</w:t>
      </w:r>
    </w:p>
    <w:p w14:paraId="618D4FF4" w14:textId="3EB662F2" w:rsidR="003F26DA" w:rsidRDefault="003F26DA">
      <w:pPr>
        <w:pStyle w:val="05Paragraph"/>
      </w:pPr>
      <w:r>
        <w:t xml:space="preserve">Tight labour market conditions </w:t>
      </w:r>
      <w:r w:rsidR="009924B9">
        <w:t xml:space="preserve">and high inflation have </w:t>
      </w:r>
      <w:r>
        <w:t>mean</w:t>
      </w:r>
      <w:r w:rsidR="009924B9">
        <w:t>t</w:t>
      </w:r>
      <w:r>
        <w:t xml:space="preserve"> that nominal wages growth </w:t>
      </w:r>
      <w:r w:rsidR="00D81496">
        <w:t xml:space="preserve">has recently </w:t>
      </w:r>
      <w:r w:rsidR="004F13B7">
        <w:t>been</w:t>
      </w:r>
      <w:r>
        <w:t xml:space="preserve"> above its long-term average, although growth has moderated over the past year.</w:t>
      </w:r>
    </w:p>
    <w:p w14:paraId="054126A0" w14:textId="6E66DC94" w:rsidR="003F26DA" w:rsidRDefault="003F26DA">
      <w:pPr>
        <w:pStyle w:val="05Paragraph"/>
      </w:pPr>
      <w:r>
        <w:t xml:space="preserve">The </w:t>
      </w:r>
      <w:r w:rsidR="002E1BF6">
        <w:t xml:space="preserve">seasonally adjusted </w:t>
      </w:r>
      <w:r>
        <w:t xml:space="preserve">Australian Wage Price Index (WPI) rose </w:t>
      </w:r>
      <w:r w:rsidR="002E1BF6">
        <w:t>0.8</w:t>
      </w:r>
      <w:r>
        <w:t xml:space="preserve"> per cent in the September quarter </w:t>
      </w:r>
      <w:r w:rsidR="00B51AA4">
        <w:t xml:space="preserve">2024 </w:t>
      </w:r>
      <w:r>
        <w:t>and 3.5 per cent through the year.</w:t>
      </w:r>
      <w:r>
        <w:rPr>
          <w:rStyle w:val="FootnoteReference"/>
        </w:rPr>
        <w:footnoteReference w:id="188"/>
      </w:r>
      <w:r>
        <w:t xml:space="preserve"> However, the RBA noted that wages growth has passed its 2023 peak and that the subsequent easing has been broadly based. The RBA further indicated that, given the recent weakness in productivity outcomes, it would be difficult to sustain the current pace of wages growth without putting upward pressure on inflation.</w:t>
      </w:r>
      <w:r>
        <w:rPr>
          <w:rStyle w:val="FootnoteReference"/>
        </w:rPr>
        <w:footnoteReference w:id="189"/>
      </w:r>
    </w:p>
    <w:p w14:paraId="2F737994" w14:textId="77777777" w:rsidR="003F26DA" w:rsidRDefault="003F26DA">
      <w:pPr>
        <w:pStyle w:val="05Paragraph"/>
      </w:pPr>
      <w:r w:rsidRPr="00C1392F">
        <w:t xml:space="preserve">Award wages and the National Minimum Wage (NMW) have also grown in recent years. </w:t>
      </w:r>
      <w:r>
        <w:t xml:space="preserve">Following a 5.75 per cent increase from 1 July 2023, the </w:t>
      </w:r>
      <w:r w:rsidRPr="00C1392F">
        <w:t>Fair Work Commission (FWC) increased the NMW and all modern award minimum wages by 3.75 per cent</w:t>
      </w:r>
      <w:r>
        <w:t xml:space="preserve"> from 1 July 2024</w:t>
      </w:r>
      <w:r w:rsidRPr="00C1392F">
        <w:t>.</w:t>
      </w:r>
      <w:r>
        <w:rPr>
          <w:rStyle w:val="FootnoteReference"/>
        </w:rPr>
        <w:footnoteReference w:id="190"/>
      </w:r>
      <w:r>
        <w:t xml:space="preserve"> A key consideration for the FWC was to balance cost-of-living pressures for employees on modern awards with macroeconomic factors, including flat labour productivity.</w:t>
      </w:r>
    </w:p>
    <w:p w14:paraId="7C0BF81B" w14:textId="3192FA97" w:rsidR="003F26DA" w:rsidRDefault="003F26DA" w:rsidP="00B63763">
      <w:pPr>
        <w:pStyle w:val="05Paragraph"/>
        <w:keepNext/>
      </w:pPr>
      <w:r>
        <w:lastRenderedPageBreak/>
        <w:t>More broadly</w:t>
      </w:r>
      <w:r w:rsidR="00A459D1">
        <w:t>,</w:t>
      </w:r>
      <w:r>
        <w:t xml:space="preserve"> the ABS has noted that the FWC decision directly influences:</w:t>
      </w:r>
      <w:r>
        <w:rPr>
          <w:rStyle w:val="FootnoteReference"/>
        </w:rPr>
        <w:footnoteReference w:id="191"/>
      </w:r>
    </w:p>
    <w:p w14:paraId="723A1FBD" w14:textId="77777777" w:rsidR="003F26DA" w:rsidRDefault="003F26DA" w:rsidP="001B4A8F">
      <w:pPr>
        <w:pStyle w:val="07VIRTBreakouttext"/>
        <w:spacing w:before="120" w:after="120"/>
      </w:pPr>
      <w:r>
        <w:t xml:space="preserve">… </w:t>
      </w:r>
      <w:r w:rsidRPr="00C1392F">
        <w:t>enterprise agreements linked to the Commission’s annual wage review decision. It can also indirectly influence the size and timing of increases paid to jobs under individual arrangement as employers undertake wage and salary review decisions.</w:t>
      </w:r>
    </w:p>
    <w:p w14:paraId="3AE08049" w14:textId="69FD5B70" w:rsidR="003F26DA" w:rsidRDefault="003F26DA">
      <w:pPr>
        <w:pStyle w:val="05Paragraph"/>
      </w:pPr>
      <w:r>
        <w:t>In Victoria, the WPI rose 1.4 per cent in the September quarter 2024 and 3.2 per cent through the year.</w:t>
      </w:r>
      <w:r>
        <w:rPr>
          <w:rStyle w:val="FootnoteReference"/>
        </w:rPr>
        <w:footnoteReference w:id="192"/>
      </w:r>
      <w:r>
        <w:t xml:space="preserve"> This was the equal </w:t>
      </w:r>
      <w:r w:rsidR="00122815">
        <w:t xml:space="preserve">second </w:t>
      </w:r>
      <w:r>
        <w:t>lowest annual growth among the states and territories alongside South Australia. More broadly, the Victorian WPI has grown more slowly than the national WPI since mid-2023 (Figure</w:t>
      </w:r>
      <w:r w:rsidR="00540B5A">
        <w:t> </w:t>
      </w:r>
      <w:r w:rsidRPr="00774000">
        <w:t>6.</w:t>
      </w:r>
      <w:r w:rsidR="00046732" w:rsidRPr="00774000">
        <w:t>4</w:t>
      </w:r>
      <w:r w:rsidRPr="00774000">
        <w:t>).</w:t>
      </w:r>
    </w:p>
    <w:p w14:paraId="51A63647" w14:textId="6E363264" w:rsidR="003F26DA" w:rsidRDefault="003F26DA">
      <w:pPr>
        <w:pStyle w:val="08Figuretableboxheading"/>
      </w:pPr>
      <w:r w:rsidRPr="00AE7087">
        <w:t>Figure 6</w:t>
      </w:r>
      <w:r w:rsidRPr="00774000">
        <w:t>.</w:t>
      </w:r>
      <w:r w:rsidR="00046732" w:rsidRPr="00774000">
        <w:t>4</w:t>
      </w:r>
      <w:r w:rsidRPr="00774000">
        <w:t>: Annual</w:t>
      </w:r>
      <w:r w:rsidRPr="00AE7087">
        <w:t xml:space="preserve"> WPI growth (all sectors), Victoria and Australia, </w:t>
      </w:r>
      <w:r>
        <w:t>September</w:t>
      </w:r>
      <w:r w:rsidRPr="00AE7087">
        <w:t xml:space="preserve"> quarter 201</w:t>
      </w:r>
      <w:r>
        <w:t>8</w:t>
      </w:r>
      <w:r w:rsidRPr="00AE7087">
        <w:t xml:space="preserve"> to </w:t>
      </w:r>
      <w:r>
        <w:t xml:space="preserve">September </w:t>
      </w:r>
      <w:r w:rsidRPr="00AE7087">
        <w:t>quarter 2024</w:t>
      </w:r>
    </w:p>
    <w:p w14:paraId="707D1FC0" w14:textId="28B9215A" w:rsidR="003F26DA" w:rsidRDefault="005D7B0E">
      <w:pPr>
        <w:pStyle w:val="05Paragraph"/>
      </w:pPr>
      <w:r>
        <w:rPr>
          <w:noProof/>
        </w:rPr>
        <w:drawing>
          <wp:inline distT="0" distB="0" distL="0" distR="0" wp14:anchorId="4A3B6555" wp14:editId="04A05A1C">
            <wp:extent cx="5383530" cy="2859405"/>
            <wp:effectExtent l="0" t="0" r="7620" b="0"/>
            <wp:docPr id="862386002" name="Picture 7" descr="A line chart showing the annual growth in the national WPI and the Victorian WPI between the September quarter 2018 and the September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86002" name="Picture 7" descr="A line chart showing the annual growth in the national WPI and the Victorian WPI between the September quarter 2018 and the September quarter 20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3530" cy="2859405"/>
                    </a:xfrm>
                    <a:prstGeom prst="rect">
                      <a:avLst/>
                    </a:prstGeom>
                    <a:noFill/>
                  </pic:spPr>
                </pic:pic>
              </a:graphicData>
            </a:graphic>
          </wp:inline>
        </w:drawing>
      </w:r>
    </w:p>
    <w:p w14:paraId="0B38006A" w14:textId="14D743CB" w:rsidR="003F26DA" w:rsidRDefault="003F26DA">
      <w:pPr>
        <w:pStyle w:val="09Sourcesandnotesfortablesfiguresboxes"/>
      </w:pPr>
      <w:r>
        <w:t xml:space="preserve">Source: </w:t>
      </w:r>
      <w:r w:rsidR="001758C3" w:rsidRPr="001758C3">
        <w:t xml:space="preserve">ABS (2024f). </w:t>
      </w:r>
    </w:p>
    <w:p w14:paraId="7E749921" w14:textId="07F10D0F" w:rsidR="003F26DA" w:rsidRPr="00B42423" w:rsidRDefault="003F26DA">
      <w:pPr>
        <w:pStyle w:val="05Paragraph"/>
        <w:rPr>
          <w:spacing w:val="-2"/>
        </w:rPr>
      </w:pPr>
      <w:r w:rsidRPr="00B63763">
        <w:rPr>
          <w:spacing w:val="-2"/>
        </w:rPr>
        <w:t>The public sector in Victoria (comprising the Victorian Government, local governments and Australian Government agencies operating in Victoria) has experienced lower wages growth than the private sector in recent years. Over the year to the September quarter 2024, public sector wages grew by 2.4 per cent, compared with 3.4 per cent in the private sector.</w:t>
      </w:r>
      <w:r w:rsidRPr="00B63763">
        <w:rPr>
          <w:rStyle w:val="FootnoteReference"/>
          <w:spacing w:val="-2"/>
        </w:rPr>
        <w:footnoteReference w:id="193"/>
      </w:r>
      <w:r w:rsidRPr="00B63763">
        <w:rPr>
          <w:spacing w:val="-2"/>
        </w:rPr>
        <w:t xml:space="preserve"> The Victorian Government has noted that a relevant factor in this regard is the influence of the prevalent pay setting method in each sector (</w:t>
      </w:r>
      <w:r w:rsidR="00817118" w:rsidRPr="00B63763">
        <w:rPr>
          <w:spacing w:val="-2"/>
        </w:rPr>
        <w:t xml:space="preserve">enterprise </w:t>
      </w:r>
      <w:r w:rsidR="00B56EF6" w:rsidRPr="00B63763">
        <w:rPr>
          <w:spacing w:val="-2"/>
        </w:rPr>
        <w:t>agreements</w:t>
      </w:r>
      <w:r w:rsidRPr="00B63763">
        <w:rPr>
          <w:spacing w:val="-2"/>
        </w:rPr>
        <w:t xml:space="preserve"> in the public sector, individual </w:t>
      </w:r>
      <w:r w:rsidRPr="00B63763">
        <w:rPr>
          <w:spacing w:val="-2"/>
        </w:rPr>
        <w:lastRenderedPageBreak/>
        <w:t>arrangements in the private sector).</w:t>
      </w:r>
      <w:r w:rsidRPr="00B63763">
        <w:rPr>
          <w:rStyle w:val="FootnoteReference"/>
          <w:spacing w:val="-2"/>
        </w:rPr>
        <w:footnoteReference w:id="194"/>
      </w:r>
      <w:r w:rsidRPr="00B42423">
        <w:rPr>
          <w:spacing w:val="-2"/>
        </w:rPr>
        <w:t xml:space="preserve"> Recent and forthcoming public sector </w:t>
      </w:r>
      <w:r w:rsidR="008C2830" w:rsidRPr="00B42423">
        <w:rPr>
          <w:spacing w:val="-2"/>
        </w:rPr>
        <w:t xml:space="preserve">enterprise agreements </w:t>
      </w:r>
      <w:r w:rsidRPr="00B42423">
        <w:rPr>
          <w:spacing w:val="-2"/>
        </w:rPr>
        <w:t>in Victoria may impact future public sector wages growth.</w:t>
      </w:r>
    </w:p>
    <w:p w14:paraId="5A2370C9" w14:textId="77777777" w:rsidR="003F26DA" w:rsidRDefault="003F26DA">
      <w:pPr>
        <w:pStyle w:val="03VIRTHeading3"/>
      </w:pPr>
      <w:r>
        <w:t>Real wages growth has been uneven</w:t>
      </w:r>
    </w:p>
    <w:p w14:paraId="1CAABB25" w14:textId="77777777" w:rsidR="003F26DA" w:rsidRDefault="003F26DA">
      <w:pPr>
        <w:pStyle w:val="05Paragraph"/>
      </w:pPr>
      <w:r>
        <w:t xml:space="preserve">Although nominal wages have continued to grow, real wages have declined considerably since the onset of the current inflationary period and recent growth has been uneven. </w:t>
      </w:r>
    </w:p>
    <w:p w14:paraId="5CDA3209" w14:textId="77777777" w:rsidR="003F26DA" w:rsidRDefault="003F26DA">
      <w:pPr>
        <w:pStyle w:val="05Paragraph"/>
      </w:pPr>
      <w:r w:rsidRPr="00531C84">
        <w:t>The Australian headline inflation rate consistently exceeded annual WPI growth from mid</w:t>
      </w:r>
      <w:r>
        <w:t>-</w:t>
      </w:r>
      <w:r w:rsidRPr="00531C84">
        <w:t xml:space="preserve">2021 to mid-2023, signifying falling real wages. </w:t>
      </w:r>
      <w:r w:rsidRPr="004A6737">
        <w:t>However, more recently, declining inflation and relatively strong nominal wages growth has led to some, albeit uneven, growth in real wages.</w:t>
      </w:r>
    </w:p>
    <w:p w14:paraId="5B7ED95F" w14:textId="6595F9B7" w:rsidR="003F26DA" w:rsidRPr="00774000" w:rsidRDefault="003F26DA">
      <w:pPr>
        <w:pStyle w:val="05Paragraph"/>
      </w:pPr>
      <w:r>
        <w:t>At the national level, real wages grew by 0.7 per cent over the year to the September quarter 2024. In Victoria, real wage</w:t>
      </w:r>
      <w:r w:rsidR="00B14255">
        <w:t>s</w:t>
      </w:r>
      <w:r>
        <w:t xml:space="preserve"> growth over the same period was 0.2 per </w:t>
      </w:r>
      <w:proofErr w:type="gramStart"/>
      <w:r>
        <w:t>cent, and</w:t>
      </w:r>
      <w:proofErr w:type="gramEnd"/>
      <w:r>
        <w:t xml:space="preserve"> has </w:t>
      </w:r>
      <w:r w:rsidRPr="00774000">
        <w:t>been lower than in Australia as a whole since the December quarter 2023 (Figure 6.</w:t>
      </w:r>
      <w:r w:rsidR="004A733D" w:rsidRPr="00B6164C">
        <w:t>5</w:t>
      </w:r>
      <w:r w:rsidRPr="00774000">
        <w:t>).</w:t>
      </w:r>
      <w:r w:rsidR="004F38CE">
        <w:rPr>
          <w:rStyle w:val="FootnoteReference"/>
        </w:rPr>
        <w:footnoteReference w:id="195"/>
      </w:r>
      <w:r w:rsidRPr="00774000">
        <w:t xml:space="preserve"> </w:t>
      </w:r>
    </w:p>
    <w:p w14:paraId="2C65F458" w14:textId="25276B88" w:rsidR="003F26DA" w:rsidRDefault="003F26DA">
      <w:pPr>
        <w:pStyle w:val="08Figuretableboxheading"/>
      </w:pPr>
      <w:r w:rsidRPr="00774000">
        <w:t>Figure 6.</w:t>
      </w:r>
      <w:r w:rsidR="004A733D" w:rsidRPr="00B6164C">
        <w:t>5</w:t>
      </w:r>
      <w:r w:rsidRPr="00774000">
        <w:t>: Difference b</w:t>
      </w:r>
      <w:r w:rsidRPr="000A3B42">
        <w:t xml:space="preserve">etween annual CPI and WPI growth rates, Australia and Victoria, </w:t>
      </w:r>
      <w:r>
        <w:t>September</w:t>
      </w:r>
      <w:r w:rsidRPr="000A3B42">
        <w:t xml:space="preserve"> quarter </w:t>
      </w:r>
      <w:r w:rsidR="00595CC0">
        <w:t>2018</w:t>
      </w:r>
      <w:r w:rsidRPr="000A3B42">
        <w:t xml:space="preserve"> to </w:t>
      </w:r>
      <w:r>
        <w:t>September</w:t>
      </w:r>
      <w:r w:rsidRPr="000A3B42">
        <w:t xml:space="preserve"> quarter 2024</w:t>
      </w:r>
    </w:p>
    <w:p w14:paraId="5E5B9DD9" w14:textId="5BFBD99C" w:rsidR="003F26DA" w:rsidRDefault="005D7B0E">
      <w:pPr>
        <w:pStyle w:val="05Paragraph"/>
      </w:pPr>
      <w:r>
        <w:rPr>
          <w:noProof/>
        </w:rPr>
        <w:drawing>
          <wp:inline distT="0" distB="0" distL="0" distR="0" wp14:anchorId="27E37BB7" wp14:editId="49646FAE">
            <wp:extent cx="5383530" cy="2859405"/>
            <wp:effectExtent l="0" t="0" r="7620" b="0"/>
            <wp:docPr id="875601486" name="Picture 8" descr="A line chart showing the percentage point difference between the annual growth in the CPI and WPI for both Australia and Victoria between the September quarter 2018 and the September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01486" name="Picture 8" descr="A line chart showing the percentage point difference between the annual growth in the CPI and WPI for both Australia and Victoria between the September quarter 2018 and the September quarter 20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83530" cy="2859405"/>
                    </a:xfrm>
                    <a:prstGeom prst="rect">
                      <a:avLst/>
                    </a:prstGeom>
                    <a:noFill/>
                  </pic:spPr>
                </pic:pic>
              </a:graphicData>
            </a:graphic>
          </wp:inline>
        </w:drawing>
      </w:r>
    </w:p>
    <w:p w14:paraId="7BC36B6A" w14:textId="27A43825" w:rsidR="003F26DA" w:rsidRDefault="003F26DA">
      <w:pPr>
        <w:pStyle w:val="09Sourcesandnotesfortablesfiguresboxes"/>
      </w:pPr>
      <w:r w:rsidRPr="00AE4A4D">
        <w:t>Source</w:t>
      </w:r>
      <w:r w:rsidR="00CD6DB3">
        <w:t>s</w:t>
      </w:r>
      <w:r w:rsidRPr="00AE4A4D">
        <w:t xml:space="preserve">: </w:t>
      </w:r>
      <w:r w:rsidR="00AE4A4D" w:rsidRPr="00AE4A4D">
        <w:t>ABS (2024c)</w:t>
      </w:r>
      <w:r w:rsidR="00AE4A4D">
        <w:t>;</w:t>
      </w:r>
      <w:r w:rsidRPr="00AE4A4D">
        <w:t xml:space="preserve"> </w:t>
      </w:r>
      <w:r w:rsidR="00CD6DB3" w:rsidRPr="00CD6DB3">
        <w:t>ABS (2024f).</w:t>
      </w:r>
    </w:p>
    <w:p w14:paraId="10E2D176" w14:textId="77777777" w:rsidR="00E63DD1" w:rsidRDefault="00E63DD1">
      <w:pPr>
        <w:spacing w:before="0" w:after="80" w:line="240" w:lineRule="auto"/>
        <w:jc w:val="left"/>
        <w:rPr>
          <w:rFonts w:ascii="Rockwell" w:hAnsi="Rockwell" w:cs="Times New Roman (Body CS)"/>
          <w:color w:val="007449"/>
          <w:sz w:val="36"/>
          <w:szCs w:val="44"/>
        </w:rPr>
      </w:pPr>
      <w:r>
        <w:br w:type="page"/>
      </w:r>
    </w:p>
    <w:p w14:paraId="12FCBCB1" w14:textId="449B323B" w:rsidR="003F26DA" w:rsidRDefault="003F26DA">
      <w:pPr>
        <w:pStyle w:val="02VIRTHeading2"/>
      </w:pPr>
      <w:bookmarkStart w:id="80" w:name="_Toc185012383"/>
      <w:r w:rsidRPr="00330FA3">
        <w:lastRenderedPageBreak/>
        <w:t>6.2</w:t>
      </w:r>
      <w:r w:rsidRPr="00330FA3">
        <w:tab/>
        <w:t>Economic outlook</w:t>
      </w:r>
      <w:bookmarkEnd w:id="80"/>
    </w:p>
    <w:p w14:paraId="04DF9D75" w14:textId="1B1A1648" w:rsidR="003F26DA" w:rsidRPr="00774000" w:rsidRDefault="003F26DA">
      <w:pPr>
        <w:pStyle w:val="05Paragraph"/>
      </w:pPr>
      <w:r w:rsidRPr="00E6722A">
        <w:t xml:space="preserve">The following discussion of the outlook for the Australian and Victorian economies has been informed by the latest forecasts and analysis from the RBA and the </w:t>
      </w:r>
      <w:r>
        <w:t>2024</w:t>
      </w:r>
      <w:r>
        <w:noBreakHyphen/>
        <w:t xml:space="preserve">25 </w:t>
      </w:r>
      <w:r w:rsidRPr="00774000">
        <w:t>Budget Update. Key forecasts are reproduced in Tables 6.</w:t>
      </w:r>
      <w:r w:rsidR="004A733D" w:rsidRPr="00774000">
        <w:t>1</w:t>
      </w:r>
      <w:r w:rsidRPr="00774000">
        <w:t xml:space="preserve"> and 6.</w:t>
      </w:r>
      <w:r w:rsidR="004A733D" w:rsidRPr="00774000">
        <w:t>2</w:t>
      </w:r>
      <w:r w:rsidRPr="00774000">
        <w:t>, followed by more detailed analysis.</w:t>
      </w:r>
    </w:p>
    <w:p w14:paraId="007C3693" w14:textId="10CD95A9" w:rsidR="003F26DA" w:rsidRDefault="003F26DA">
      <w:pPr>
        <w:pStyle w:val="08Figuretableboxheading"/>
      </w:pPr>
      <w:r w:rsidRPr="00774000">
        <w:t>Table 6.</w:t>
      </w:r>
      <w:r w:rsidR="004A733D" w:rsidRPr="00774000">
        <w:t>1</w:t>
      </w:r>
      <w:r w:rsidRPr="00774000">
        <w:t>: Selected RBA forecasts</w:t>
      </w:r>
      <w:r w:rsidRPr="00E9478B">
        <w:t xml:space="preserve"> for the Australian economy</w:t>
      </w:r>
      <w:r>
        <w:t>, November 2024</w:t>
      </w:r>
    </w:p>
    <w:tbl>
      <w:tblPr>
        <w:tblStyle w:val="Glossary2"/>
        <w:tblW w:w="8505" w:type="dxa"/>
        <w:tblBorders>
          <w:top w:val="single" w:sz="4" w:space="0" w:color="26664E" w:themeColor="accent1"/>
          <w:bottom w:val="single" w:sz="4" w:space="0" w:color="26664E" w:themeColor="accent1"/>
          <w:insideH w:val="single" w:sz="4" w:space="0" w:color="26664E" w:themeColor="accent1"/>
        </w:tblBorders>
        <w:tblLook w:val="04A0" w:firstRow="1" w:lastRow="0" w:firstColumn="1" w:lastColumn="0" w:noHBand="0" w:noVBand="1"/>
      </w:tblPr>
      <w:tblGrid>
        <w:gridCol w:w="2268"/>
        <w:gridCol w:w="1247"/>
        <w:gridCol w:w="1247"/>
        <w:gridCol w:w="1248"/>
        <w:gridCol w:w="1247"/>
        <w:gridCol w:w="1248"/>
      </w:tblGrid>
      <w:tr w:rsidR="003F26DA" w:rsidRPr="008478FE" w14:paraId="673B3CBB" w14:textId="77777777" w:rsidTr="0013642A">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26664E" w:themeFill="accent1"/>
          </w:tcPr>
          <w:p w14:paraId="38465090" w14:textId="77777777" w:rsidR="003F26DA" w:rsidRPr="00772B9F" w:rsidRDefault="003F26DA">
            <w:pPr>
              <w:pStyle w:val="10Tabletext"/>
              <w:rPr>
                <w:color w:val="FFFFFF" w:themeColor="background1"/>
              </w:rPr>
            </w:pPr>
            <w:r w:rsidRPr="00772B9F">
              <w:rPr>
                <w:color w:val="FFFFFF" w:themeColor="background1"/>
              </w:rPr>
              <w:t>Indicator</w:t>
            </w:r>
          </w:p>
        </w:tc>
        <w:tc>
          <w:tcPr>
            <w:tcW w:w="1247" w:type="dxa"/>
            <w:shd w:val="clear" w:color="auto" w:fill="26664E" w:themeFill="accent1"/>
          </w:tcPr>
          <w:p w14:paraId="7C8D6FC3" w14:textId="77777777" w:rsidR="003F26DA" w:rsidRPr="00772B9F" w:rsidRDefault="003F26DA">
            <w:pPr>
              <w:pStyle w:val="10Tabletext"/>
              <w:jc w:val="right"/>
              <w:rPr>
                <w:color w:val="FFFFFF" w:themeColor="background1"/>
              </w:rPr>
            </w:pPr>
            <w:r w:rsidRPr="00772B9F">
              <w:rPr>
                <w:color w:val="FFFFFF" w:themeColor="background1"/>
              </w:rPr>
              <w:t>Dec 2024</w:t>
            </w:r>
          </w:p>
        </w:tc>
        <w:tc>
          <w:tcPr>
            <w:tcW w:w="1247" w:type="dxa"/>
            <w:shd w:val="clear" w:color="auto" w:fill="26664E" w:themeFill="accent1"/>
          </w:tcPr>
          <w:p w14:paraId="59059422" w14:textId="77777777" w:rsidR="003F26DA" w:rsidRPr="00772B9F" w:rsidRDefault="003F26DA">
            <w:pPr>
              <w:pStyle w:val="10Tabletext"/>
              <w:jc w:val="right"/>
              <w:rPr>
                <w:color w:val="FFFFFF" w:themeColor="background1"/>
              </w:rPr>
            </w:pPr>
            <w:r w:rsidRPr="00772B9F">
              <w:rPr>
                <w:color w:val="FFFFFF" w:themeColor="background1"/>
              </w:rPr>
              <w:t>June 2025</w:t>
            </w:r>
          </w:p>
        </w:tc>
        <w:tc>
          <w:tcPr>
            <w:tcW w:w="1248" w:type="dxa"/>
            <w:shd w:val="clear" w:color="auto" w:fill="26664E" w:themeFill="accent1"/>
          </w:tcPr>
          <w:p w14:paraId="4610C5C7" w14:textId="77777777" w:rsidR="003F26DA" w:rsidRPr="00772B9F" w:rsidRDefault="003F26DA">
            <w:pPr>
              <w:pStyle w:val="10Tabletext"/>
              <w:jc w:val="right"/>
              <w:rPr>
                <w:color w:val="FFFFFF" w:themeColor="background1"/>
              </w:rPr>
            </w:pPr>
            <w:r w:rsidRPr="00772B9F">
              <w:rPr>
                <w:color w:val="FFFFFF" w:themeColor="background1"/>
              </w:rPr>
              <w:t>Dec 2025</w:t>
            </w:r>
          </w:p>
        </w:tc>
        <w:tc>
          <w:tcPr>
            <w:tcW w:w="1247" w:type="dxa"/>
            <w:shd w:val="clear" w:color="auto" w:fill="26664E" w:themeFill="accent1"/>
          </w:tcPr>
          <w:p w14:paraId="0C802C94" w14:textId="77777777" w:rsidR="003F26DA" w:rsidRPr="00772B9F" w:rsidRDefault="003F26DA">
            <w:pPr>
              <w:pStyle w:val="10Tabletext"/>
              <w:jc w:val="right"/>
              <w:rPr>
                <w:color w:val="FFFFFF" w:themeColor="background1"/>
              </w:rPr>
            </w:pPr>
            <w:r w:rsidRPr="00772B9F">
              <w:rPr>
                <w:color w:val="FFFFFF" w:themeColor="background1"/>
              </w:rPr>
              <w:t>June 2026</w:t>
            </w:r>
          </w:p>
        </w:tc>
        <w:tc>
          <w:tcPr>
            <w:tcW w:w="1248" w:type="dxa"/>
            <w:shd w:val="clear" w:color="auto" w:fill="26664E" w:themeFill="accent1"/>
          </w:tcPr>
          <w:p w14:paraId="2C3ACF9B" w14:textId="77777777" w:rsidR="003F26DA" w:rsidRPr="00772B9F" w:rsidRDefault="003F26DA">
            <w:pPr>
              <w:pStyle w:val="10Tabletext"/>
              <w:jc w:val="right"/>
              <w:rPr>
                <w:color w:val="FFFFFF" w:themeColor="background1"/>
              </w:rPr>
            </w:pPr>
            <w:r>
              <w:rPr>
                <w:color w:val="FFFFFF" w:themeColor="background1"/>
              </w:rPr>
              <w:t>Dec 2026</w:t>
            </w:r>
          </w:p>
        </w:tc>
      </w:tr>
      <w:tr w:rsidR="003F26DA" w:rsidRPr="005161D4" w14:paraId="043ED937" w14:textId="77777777" w:rsidTr="0013642A">
        <w:tc>
          <w:tcPr>
            <w:tcW w:w="2268" w:type="dxa"/>
            <w:shd w:val="clear" w:color="auto" w:fill="auto"/>
            <w:vAlign w:val="center"/>
          </w:tcPr>
          <w:p w14:paraId="6695C073" w14:textId="77777777" w:rsidR="003F26DA" w:rsidRPr="00C94102" w:rsidRDefault="003F26DA">
            <w:pPr>
              <w:pStyle w:val="10Tabletext"/>
              <w:rPr>
                <w:bCs w:val="0"/>
              </w:rPr>
            </w:pPr>
            <w:r w:rsidRPr="00C94102">
              <w:rPr>
                <w:bCs w:val="0"/>
              </w:rPr>
              <w:t>Real GDP</w:t>
            </w:r>
            <w:r w:rsidRPr="00C94102">
              <w:rPr>
                <w:bCs w:val="0"/>
                <w:vertAlign w:val="superscript"/>
              </w:rPr>
              <w:t>(a)</w:t>
            </w:r>
          </w:p>
        </w:tc>
        <w:tc>
          <w:tcPr>
            <w:tcW w:w="1247" w:type="dxa"/>
            <w:shd w:val="clear" w:color="auto" w:fill="auto"/>
          </w:tcPr>
          <w:p w14:paraId="1A04F8E9" w14:textId="77777777" w:rsidR="003F26DA" w:rsidRPr="00772B9F" w:rsidRDefault="003F26DA">
            <w:pPr>
              <w:pStyle w:val="10Tabletext"/>
              <w:jc w:val="right"/>
            </w:pPr>
            <w:r w:rsidRPr="00772B9F">
              <w:t>1.</w:t>
            </w:r>
            <w:r>
              <w:t>5</w:t>
            </w:r>
          </w:p>
        </w:tc>
        <w:tc>
          <w:tcPr>
            <w:tcW w:w="1247" w:type="dxa"/>
            <w:shd w:val="clear" w:color="auto" w:fill="auto"/>
          </w:tcPr>
          <w:p w14:paraId="4BCDC328" w14:textId="77777777" w:rsidR="003F26DA" w:rsidRPr="00772B9F" w:rsidRDefault="003F26DA">
            <w:pPr>
              <w:pStyle w:val="10Tabletext"/>
              <w:jc w:val="right"/>
            </w:pPr>
            <w:r>
              <w:t>2.3</w:t>
            </w:r>
          </w:p>
        </w:tc>
        <w:tc>
          <w:tcPr>
            <w:tcW w:w="1248" w:type="dxa"/>
            <w:shd w:val="clear" w:color="auto" w:fill="auto"/>
          </w:tcPr>
          <w:p w14:paraId="2FC4BE6F" w14:textId="77777777" w:rsidR="003F26DA" w:rsidRPr="00772B9F" w:rsidRDefault="003F26DA">
            <w:pPr>
              <w:pStyle w:val="10Tabletext"/>
              <w:jc w:val="right"/>
            </w:pPr>
            <w:r w:rsidRPr="00772B9F">
              <w:t>2.</w:t>
            </w:r>
            <w:r>
              <w:t>3</w:t>
            </w:r>
          </w:p>
        </w:tc>
        <w:tc>
          <w:tcPr>
            <w:tcW w:w="1247" w:type="dxa"/>
            <w:shd w:val="clear" w:color="auto" w:fill="auto"/>
          </w:tcPr>
          <w:p w14:paraId="29CA6731" w14:textId="77777777" w:rsidR="003F26DA" w:rsidRPr="00772B9F" w:rsidRDefault="003F26DA">
            <w:pPr>
              <w:pStyle w:val="10Tabletext"/>
              <w:jc w:val="right"/>
            </w:pPr>
            <w:r w:rsidRPr="00772B9F">
              <w:t>2.3</w:t>
            </w:r>
          </w:p>
        </w:tc>
        <w:tc>
          <w:tcPr>
            <w:tcW w:w="1248" w:type="dxa"/>
            <w:shd w:val="clear" w:color="auto" w:fill="auto"/>
          </w:tcPr>
          <w:p w14:paraId="54E5857C" w14:textId="77777777" w:rsidR="003F26DA" w:rsidRPr="00772B9F" w:rsidRDefault="003F26DA">
            <w:pPr>
              <w:pStyle w:val="10Tabletext"/>
              <w:jc w:val="right"/>
            </w:pPr>
            <w:r w:rsidRPr="00772B9F">
              <w:t>2.</w:t>
            </w:r>
            <w:r>
              <w:t>2</w:t>
            </w:r>
          </w:p>
        </w:tc>
      </w:tr>
      <w:tr w:rsidR="003F26DA" w:rsidRPr="005161D4" w14:paraId="7E201F67" w14:textId="77777777" w:rsidTr="0013642A">
        <w:tc>
          <w:tcPr>
            <w:tcW w:w="2268" w:type="dxa"/>
            <w:shd w:val="clear" w:color="auto" w:fill="auto"/>
          </w:tcPr>
          <w:p w14:paraId="7A1FCD6C" w14:textId="77777777" w:rsidR="003F26DA" w:rsidRPr="00C94102" w:rsidRDefault="003F26DA">
            <w:pPr>
              <w:pStyle w:val="10Tabletext"/>
              <w:rPr>
                <w:bCs w:val="0"/>
              </w:rPr>
            </w:pPr>
            <w:r w:rsidRPr="00C94102">
              <w:rPr>
                <w:bCs w:val="0"/>
              </w:rPr>
              <w:t>Population</w:t>
            </w:r>
            <w:r w:rsidRPr="00C94102">
              <w:rPr>
                <w:bCs w:val="0"/>
                <w:vertAlign w:val="superscript"/>
              </w:rPr>
              <w:t>(a)</w:t>
            </w:r>
          </w:p>
        </w:tc>
        <w:tc>
          <w:tcPr>
            <w:tcW w:w="1247" w:type="dxa"/>
            <w:shd w:val="clear" w:color="auto" w:fill="auto"/>
          </w:tcPr>
          <w:p w14:paraId="31189C26" w14:textId="77777777" w:rsidR="003F26DA" w:rsidRDefault="003F26DA">
            <w:pPr>
              <w:pStyle w:val="10Tabletext"/>
              <w:jc w:val="right"/>
            </w:pPr>
            <w:r>
              <w:t>1.9</w:t>
            </w:r>
          </w:p>
        </w:tc>
        <w:tc>
          <w:tcPr>
            <w:tcW w:w="1247" w:type="dxa"/>
            <w:shd w:val="clear" w:color="auto" w:fill="auto"/>
          </w:tcPr>
          <w:p w14:paraId="182B37A5" w14:textId="77777777" w:rsidR="003F26DA" w:rsidRDefault="003F26DA">
            <w:pPr>
              <w:pStyle w:val="10Tabletext"/>
              <w:jc w:val="right"/>
            </w:pPr>
            <w:r>
              <w:t>1.6</w:t>
            </w:r>
          </w:p>
        </w:tc>
        <w:tc>
          <w:tcPr>
            <w:tcW w:w="1248" w:type="dxa"/>
            <w:shd w:val="clear" w:color="auto" w:fill="auto"/>
          </w:tcPr>
          <w:p w14:paraId="4D02869D" w14:textId="77777777" w:rsidR="003F26DA" w:rsidRPr="00772B9F" w:rsidRDefault="003F26DA">
            <w:pPr>
              <w:pStyle w:val="10Tabletext"/>
              <w:jc w:val="right"/>
            </w:pPr>
            <w:r>
              <w:t>1.2</w:t>
            </w:r>
          </w:p>
        </w:tc>
        <w:tc>
          <w:tcPr>
            <w:tcW w:w="1247" w:type="dxa"/>
            <w:shd w:val="clear" w:color="auto" w:fill="auto"/>
          </w:tcPr>
          <w:p w14:paraId="74F30E6C" w14:textId="77777777" w:rsidR="003F26DA" w:rsidRDefault="003F26DA">
            <w:pPr>
              <w:pStyle w:val="10Tabletext"/>
              <w:jc w:val="right"/>
            </w:pPr>
            <w:r>
              <w:t>1.1</w:t>
            </w:r>
          </w:p>
        </w:tc>
        <w:tc>
          <w:tcPr>
            <w:tcW w:w="1248" w:type="dxa"/>
            <w:shd w:val="clear" w:color="auto" w:fill="auto"/>
          </w:tcPr>
          <w:p w14:paraId="2B7D39D3" w14:textId="77777777" w:rsidR="003F26DA" w:rsidRPr="00772B9F" w:rsidRDefault="003F26DA">
            <w:pPr>
              <w:pStyle w:val="10Tabletext"/>
              <w:jc w:val="right"/>
            </w:pPr>
            <w:r>
              <w:t>1.3</w:t>
            </w:r>
          </w:p>
        </w:tc>
      </w:tr>
      <w:tr w:rsidR="003F26DA" w:rsidRPr="005161D4" w14:paraId="6D2DBCE6" w14:textId="77777777" w:rsidTr="0013642A">
        <w:tc>
          <w:tcPr>
            <w:tcW w:w="2268" w:type="dxa"/>
            <w:shd w:val="clear" w:color="auto" w:fill="auto"/>
          </w:tcPr>
          <w:p w14:paraId="3161A4C3" w14:textId="77777777" w:rsidR="003F26DA" w:rsidRPr="00C94102" w:rsidRDefault="003F26DA">
            <w:pPr>
              <w:pStyle w:val="10Tabletext"/>
              <w:rPr>
                <w:bCs w:val="0"/>
              </w:rPr>
            </w:pPr>
            <w:r w:rsidRPr="00C94102">
              <w:rPr>
                <w:bCs w:val="0"/>
              </w:rPr>
              <w:t>CPI</w:t>
            </w:r>
            <w:r w:rsidRPr="00C94102">
              <w:rPr>
                <w:bCs w:val="0"/>
                <w:vertAlign w:val="superscript"/>
              </w:rPr>
              <w:t>(a)</w:t>
            </w:r>
          </w:p>
        </w:tc>
        <w:tc>
          <w:tcPr>
            <w:tcW w:w="1247" w:type="dxa"/>
            <w:shd w:val="clear" w:color="auto" w:fill="auto"/>
          </w:tcPr>
          <w:p w14:paraId="09FA8783" w14:textId="77777777" w:rsidR="003F26DA" w:rsidRPr="00772B9F" w:rsidRDefault="003F26DA">
            <w:pPr>
              <w:pStyle w:val="10Tabletext"/>
              <w:jc w:val="right"/>
            </w:pPr>
            <w:r>
              <w:t>2.6</w:t>
            </w:r>
          </w:p>
        </w:tc>
        <w:tc>
          <w:tcPr>
            <w:tcW w:w="1247" w:type="dxa"/>
            <w:shd w:val="clear" w:color="auto" w:fill="auto"/>
          </w:tcPr>
          <w:p w14:paraId="6B2D68AE" w14:textId="77777777" w:rsidR="003F26DA" w:rsidRPr="00772B9F" w:rsidRDefault="003F26DA">
            <w:pPr>
              <w:pStyle w:val="10Tabletext"/>
              <w:jc w:val="right"/>
            </w:pPr>
            <w:r>
              <w:t>2.5</w:t>
            </w:r>
          </w:p>
        </w:tc>
        <w:tc>
          <w:tcPr>
            <w:tcW w:w="1248" w:type="dxa"/>
            <w:shd w:val="clear" w:color="auto" w:fill="auto"/>
          </w:tcPr>
          <w:p w14:paraId="4815CEFA" w14:textId="77777777" w:rsidR="003F26DA" w:rsidRPr="00772B9F" w:rsidRDefault="003F26DA">
            <w:pPr>
              <w:pStyle w:val="10Tabletext"/>
              <w:jc w:val="right"/>
            </w:pPr>
            <w:r w:rsidRPr="00772B9F">
              <w:t>3.</w:t>
            </w:r>
            <w:r>
              <w:t>7</w:t>
            </w:r>
          </w:p>
        </w:tc>
        <w:tc>
          <w:tcPr>
            <w:tcW w:w="1247" w:type="dxa"/>
            <w:shd w:val="clear" w:color="auto" w:fill="auto"/>
          </w:tcPr>
          <w:p w14:paraId="07B218BA" w14:textId="77777777" w:rsidR="003F26DA" w:rsidRPr="00772B9F" w:rsidRDefault="003F26DA">
            <w:pPr>
              <w:pStyle w:val="10Tabletext"/>
              <w:jc w:val="right"/>
            </w:pPr>
            <w:r>
              <w:t>3.1</w:t>
            </w:r>
          </w:p>
        </w:tc>
        <w:tc>
          <w:tcPr>
            <w:tcW w:w="1248" w:type="dxa"/>
            <w:shd w:val="clear" w:color="auto" w:fill="auto"/>
          </w:tcPr>
          <w:p w14:paraId="566B4B1F" w14:textId="77777777" w:rsidR="003F26DA" w:rsidRPr="00772B9F" w:rsidRDefault="003F26DA">
            <w:pPr>
              <w:pStyle w:val="10Tabletext"/>
              <w:jc w:val="right"/>
            </w:pPr>
            <w:r w:rsidRPr="00772B9F">
              <w:t>2.</w:t>
            </w:r>
            <w:r>
              <w:t>5</w:t>
            </w:r>
          </w:p>
        </w:tc>
      </w:tr>
      <w:tr w:rsidR="003F26DA" w:rsidRPr="005161D4" w14:paraId="032C8296" w14:textId="77777777" w:rsidTr="0013642A">
        <w:tc>
          <w:tcPr>
            <w:tcW w:w="2268" w:type="dxa"/>
            <w:shd w:val="clear" w:color="auto" w:fill="auto"/>
            <w:vAlign w:val="center"/>
          </w:tcPr>
          <w:p w14:paraId="0EB4BF31" w14:textId="77777777" w:rsidR="003F26DA" w:rsidRPr="00C94102" w:rsidRDefault="003F26DA">
            <w:pPr>
              <w:pStyle w:val="10Tabletext"/>
              <w:rPr>
                <w:bCs w:val="0"/>
              </w:rPr>
            </w:pPr>
            <w:r w:rsidRPr="00C94102">
              <w:rPr>
                <w:bCs w:val="0"/>
              </w:rPr>
              <w:t>Trimmed mean</w:t>
            </w:r>
            <w:r w:rsidRPr="00C94102">
              <w:rPr>
                <w:bCs w:val="0"/>
                <w:vertAlign w:val="superscript"/>
              </w:rPr>
              <w:t>(a)</w:t>
            </w:r>
          </w:p>
        </w:tc>
        <w:tc>
          <w:tcPr>
            <w:tcW w:w="1247" w:type="dxa"/>
            <w:shd w:val="clear" w:color="auto" w:fill="auto"/>
          </w:tcPr>
          <w:p w14:paraId="47176330" w14:textId="77777777" w:rsidR="003F26DA" w:rsidRPr="00772B9F" w:rsidRDefault="003F26DA">
            <w:pPr>
              <w:pStyle w:val="10Tabletext"/>
              <w:jc w:val="right"/>
            </w:pPr>
            <w:r w:rsidRPr="00772B9F">
              <w:t>3.</w:t>
            </w:r>
            <w:r>
              <w:t>4</w:t>
            </w:r>
          </w:p>
        </w:tc>
        <w:tc>
          <w:tcPr>
            <w:tcW w:w="1247" w:type="dxa"/>
            <w:shd w:val="clear" w:color="auto" w:fill="auto"/>
          </w:tcPr>
          <w:p w14:paraId="6744FE9A" w14:textId="77777777" w:rsidR="003F26DA" w:rsidRPr="00772B9F" w:rsidRDefault="003F26DA">
            <w:pPr>
              <w:pStyle w:val="10Tabletext"/>
              <w:jc w:val="right"/>
            </w:pPr>
            <w:r w:rsidRPr="00772B9F">
              <w:t>3.</w:t>
            </w:r>
            <w:r>
              <w:t>0</w:t>
            </w:r>
          </w:p>
        </w:tc>
        <w:tc>
          <w:tcPr>
            <w:tcW w:w="1248" w:type="dxa"/>
            <w:shd w:val="clear" w:color="auto" w:fill="auto"/>
          </w:tcPr>
          <w:p w14:paraId="5CE855CD" w14:textId="77777777" w:rsidR="003F26DA" w:rsidRPr="00772B9F" w:rsidRDefault="003F26DA">
            <w:pPr>
              <w:pStyle w:val="10Tabletext"/>
              <w:jc w:val="right"/>
            </w:pPr>
            <w:r>
              <w:t>2.8</w:t>
            </w:r>
          </w:p>
        </w:tc>
        <w:tc>
          <w:tcPr>
            <w:tcW w:w="1247" w:type="dxa"/>
            <w:shd w:val="clear" w:color="auto" w:fill="auto"/>
          </w:tcPr>
          <w:p w14:paraId="58307CFA" w14:textId="77777777" w:rsidR="003F26DA" w:rsidRPr="00772B9F" w:rsidRDefault="003F26DA">
            <w:pPr>
              <w:pStyle w:val="10Tabletext"/>
              <w:jc w:val="right"/>
            </w:pPr>
            <w:r w:rsidRPr="00772B9F">
              <w:t>2.</w:t>
            </w:r>
            <w:r>
              <w:t>7</w:t>
            </w:r>
          </w:p>
        </w:tc>
        <w:tc>
          <w:tcPr>
            <w:tcW w:w="1248" w:type="dxa"/>
            <w:shd w:val="clear" w:color="auto" w:fill="auto"/>
          </w:tcPr>
          <w:p w14:paraId="5737650D" w14:textId="77777777" w:rsidR="003F26DA" w:rsidRPr="00772B9F" w:rsidRDefault="003F26DA">
            <w:pPr>
              <w:pStyle w:val="10Tabletext"/>
              <w:jc w:val="right"/>
            </w:pPr>
            <w:r w:rsidRPr="00772B9F">
              <w:t>2.</w:t>
            </w:r>
            <w:r>
              <w:t>5</w:t>
            </w:r>
          </w:p>
        </w:tc>
      </w:tr>
      <w:tr w:rsidR="003F26DA" w:rsidRPr="005161D4" w14:paraId="47527259" w14:textId="77777777" w:rsidTr="0013642A">
        <w:tc>
          <w:tcPr>
            <w:tcW w:w="2268" w:type="dxa"/>
            <w:shd w:val="clear" w:color="auto" w:fill="auto"/>
          </w:tcPr>
          <w:p w14:paraId="5D9A6651" w14:textId="77777777" w:rsidR="003F26DA" w:rsidRPr="00C94102" w:rsidRDefault="003F26DA">
            <w:pPr>
              <w:pStyle w:val="10Tabletext"/>
              <w:rPr>
                <w:bCs w:val="0"/>
              </w:rPr>
            </w:pPr>
            <w:r w:rsidRPr="00C94102">
              <w:rPr>
                <w:bCs w:val="0"/>
              </w:rPr>
              <w:t>Employment</w:t>
            </w:r>
            <w:r w:rsidRPr="00C94102">
              <w:rPr>
                <w:bCs w:val="0"/>
                <w:vertAlign w:val="superscript"/>
              </w:rPr>
              <w:t>(a)</w:t>
            </w:r>
          </w:p>
        </w:tc>
        <w:tc>
          <w:tcPr>
            <w:tcW w:w="1247" w:type="dxa"/>
            <w:shd w:val="clear" w:color="auto" w:fill="auto"/>
          </w:tcPr>
          <w:p w14:paraId="0754299E" w14:textId="77777777" w:rsidR="003F26DA" w:rsidRPr="00772B9F" w:rsidRDefault="003F26DA">
            <w:pPr>
              <w:pStyle w:val="10Tabletext"/>
              <w:jc w:val="right"/>
            </w:pPr>
            <w:r w:rsidRPr="00772B9F">
              <w:t>2.</w:t>
            </w:r>
            <w:r>
              <w:t>6</w:t>
            </w:r>
          </w:p>
        </w:tc>
        <w:tc>
          <w:tcPr>
            <w:tcW w:w="1247" w:type="dxa"/>
            <w:shd w:val="clear" w:color="auto" w:fill="auto"/>
          </w:tcPr>
          <w:p w14:paraId="42CD4400" w14:textId="77777777" w:rsidR="003F26DA" w:rsidRPr="00772B9F" w:rsidRDefault="003F26DA">
            <w:pPr>
              <w:pStyle w:val="10Tabletext"/>
              <w:jc w:val="right"/>
            </w:pPr>
            <w:r>
              <w:t>2.2</w:t>
            </w:r>
          </w:p>
        </w:tc>
        <w:tc>
          <w:tcPr>
            <w:tcW w:w="1248" w:type="dxa"/>
            <w:shd w:val="clear" w:color="auto" w:fill="auto"/>
          </w:tcPr>
          <w:p w14:paraId="57B69747" w14:textId="77777777" w:rsidR="003F26DA" w:rsidRPr="00772B9F" w:rsidRDefault="003F26DA">
            <w:pPr>
              <w:pStyle w:val="10Tabletext"/>
              <w:jc w:val="right"/>
            </w:pPr>
            <w:r w:rsidRPr="00772B9F">
              <w:t>1.</w:t>
            </w:r>
            <w:r>
              <w:t>4</w:t>
            </w:r>
          </w:p>
        </w:tc>
        <w:tc>
          <w:tcPr>
            <w:tcW w:w="1247" w:type="dxa"/>
            <w:shd w:val="clear" w:color="auto" w:fill="auto"/>
          </w:tcPr>
          <w:p w14:paraId="12D6727C" w14:textId="77777777" w:rsidR="003F26DA" w:rsidRPr="00772B9F" w:rsidRDefault="003F26DA">
            <w:pPr>
              <w:pStyle w:val="10Tabletext"/>
              <w:jc w:val="right"/>
            </w:pPr>
            <w:r w:rsidRPr="00772B9F">
              <w:t>1.3</w:t>
            </w:r>
          </w:p>
        </w:tc>
        <w:tc>
          <w:tcPr>
            <w:tcW w:w="1248" w:type="dxa"/>
            <w:shd w:val="clear" w:color="auto" w:fill="auto"/>
          </w:tcPr>
          <w:p w14:paraId="47F2C3E8" w14:textId="77777777" w:rsidR="003F26DA" w:rsidRPr="00772B9F" w:rsidRDefault="003F26DA">
            <w:pPr>
              <w:pStyle w:val="10Tabletext"/>
              <w:jc w:val="right"/>
            </w:pPr>
            <w:r w:rsidRPr="00772B9F">
              <w:t>1.</w:t>
            </w:r>
            <w:r>
              <w:t>3</w:t>
            </w:r>
          </w:p>
        </w:tc>
      </w:tr>
      <w:tr w:rsidR="003F26DA" w:rsidRPr="005161D4" w14:paraId="53145BCB" w14:textId="77777777" w:rsidTr="0013642A">
        <w:tc>
          <w:tcPr>
            <w:tcW w:w="2268" w:type="dxa"/>
            <w:shd w:val="clear" w:color="auto" w:fill="auto"/>
            <w:vAlign w:val="center"/>
          </w:tcPr>
          <w:p w14:paraId="40F99CB8" w14:textId="77777777" w:rsidR="003F26DA" w:rsidRPr="00C94102" w:rsidRDefault="003F26DA">
            <w:pPr>
              <w:pStyle w:val="10Tabletext"/>
              <w:rPr>
                <w:bCs w:val="0"/>
              </w:rPr>
            </w:pPr>
            <w:r w:rsidRPr="00C94102">
              <w:rPr>
                <w:bCs w:val="0"/>
              </w:rPr>
              <w:t>Unemployment rate</w:t>
            </w:r>
            <w:r w:rsidRPr="00C94102">
              <w:rPr>
                <w:bCs w:val="0"/>
                <w:vertAlign w:val="superscript"/>
              </w:rPr>
              <w:t>(b)</w:t>
            </w:r>
          </w:p>
        </w:tc>
        <w:tc>
          <w:tcPr>
            <w:tcW w:w="1247" w:type="dxa"/>
            <w:shd w:val="clear" w:color="auto" w:fill="auto"/>
          </w:tcPr>
          <w:p w14:paraId="42FE1742" w14:textId="77777777" w:rsidR="003F26DA" w:rsidRPr="00772B9F" w:rsidRDefault="003F26DA">
            <w:pPr>
              <w:pStyle w:val="10Tabletext"/>
              <w:jc w:val="right"/>
            </w:pPr>
            <w:r w:rsidRPr="00772B9F">
              <w:t>4.</w:t>
            </w:r>
            <w:r>
              <w:t>3</w:t>
            </w:r>
          </w:p>
        </w:tc>
        <w:tc>
          <w:tcPr>
            <w:tcW w:w="1247" w:type="dxa"/>
            <w:shd w:val="clear" w:color="auto" w:fill="auto"/>
          </w:tcPr>
          <w:p w14:paraId="28CF25B4" w14:textId="77777777" w:rsidR="003F26DA" w:rsidRPr="00772B9F" w:rsidRDefault="003F26DA">
            <w:pPr>
              <w:pStyle w:val="10Tabletext"/>
              <w:jc w:val="right"/>
            </w:pPr>
            <w:r w:rsidRPr="00772B9F">
              <w:t>4.</w:t>
            </w:r>
            <w:r>
              <w:t>4</w:t>
            </w:r>
          </w:p>
        </w:tc>
        <w:tc>
          <w:tcPr>
            <w:tcW w:w="1248" w:type="dxa"/>
            <w:shd w:val="clear" w:color="auto" w:fill="auto"/>
          </w:tcPr>
          <w:p w14:paraId="2DE6455B" w14:textId="77777777" w:rsidR="003F26DA" w:rsidRPr="00772B9F" w:rsidRDefault="003F26DA">
            <w:pPr>
              <w:pStyle w:val="10Tabletext"/>
              <w:jc w:val="right"/>
            </w:pPr>
            <w:r w:rsidRPr="00772B9F">
              <w:t>4.</w:t>
            </w:r>
            <w:r>
              <w:t>5</w:t>
            </w:r>
          </w:p>
        </w:tc>
        <w:tc>
          <w:tcPr>
            <w:tcW w:w="1247" w:type="dxa"/>
            <w:shd w:val="clear" w:color="auto" w:fill="auto"/>
          </w:tcPr>
          <w:p w14:paraId="75FF7B2A" w14:textId="77777777" w:rsidR="003F26DA" w:rsidRPr="00772B9F" w:rsidRDefault="003F26DA">
            <w:pPr>
              <w:pStyle w:val="10Tabletext"/>
              <w:jc w:val="right"/>
            </w:pPr>
            <w:r w:rsidRPr="00772B9F">
              <w:t>4.</w:t>
            </w:r>
            <w:r>
              <w:t>5</w:t>
            </w:r>
          </w:p>
        </w:tc>
        <w:tc>
          <w:tcPr>
            <w:tcW w:w="1248" w:type="dxa"/>
            <w:shd w:val="clear" w:color="auto" w:fill="auto"/>
          </w:tcPr>
          <w:p w14:paraId="6524E28E" w14:textId="77777777" w:rsidR="003F26DA" w:rsidRPr="00772B9F" w:rsidRDefault="003F26DA">
            <w:pPr>
              <w:pStyle w:val="10Tabletext"/>
              <w:jc w:val="right"/>
            </w:pPr>
            <w:r w:rsidRPr="00772B9F">
              <w:t>4.</w:t>
            </w:r>
            <w:r>
              <w:t>5</w:t>
            </w:r>
          </w:p>
        </w:tc>
      </w:tr>
      <w:tr w:rsidR="003F26DA" w:rsidRPr="005161D4" w14:paraId="2D29E905" w14:textId="77777777" w:rsidTr="0013642A">
        <w:tc>
          <w:tcPr>
            <w:tcW w:w="2268" w:type="dxa"/>
            <w:shd w:val="clear" w:color="auto" w:fill="auto"/>
          </w:tcPr>
          <w:p w14:paraId="4F125E66" w14:textId="77777777" w:rsidR="003F26DA" w:rsidRPr="00C94102" w:rsidRDefault="003F26DA">
            <w:pPr>
              <w:pStyle w:val="10Tabletext"/>
              <w:rPr>
                <w:bCs w:val="0"/>
              </w:rPr>
            </w:pPr>
            <w:r w:rsidRPr="00C94102">
              <w:rPr>
                <w:bCs w:val="0"/>
              </w:rPr>
              <w:t>WPI</w:t>
            </w:r>
            <w:r w:rsidRPr="00C94102">
              <w:rPr>
                <w:bCs w:val="0"/>
                <w:vertAlign w:val="superscript"/>
              </w:rPr>
              <w:t>(a)</w:t>
            </w:r>
          </w:p>
        </w:tc>
        <w:tc>
          <w:tcPr>
            <w:tcW w:w="1247" w:type="dxa"/>
            <w:shd w:val="clear" w:color="auto" w:fill="auto"/>
          </w:tcPr>
          <w:p w14:paraId="0EBC5F3A" w14:textId="77777777" w:rsidR="003F26DA" w:rsidRPr="00772B9F" w:rsidRDefault="003F26DA">
            <w:pPr>
              <w:pStyle w:val="10Tabletext"/>
              <w:jc w:val="right"/>
            </w:pPr>
            <w:r>
              <w:t>3.4</w:t>
            </w:r>
          </w:p>
        </w:tc>
        <w:tc>
          <w:tcPr>
            <w:tcW w:w="1247" w:type="dxa"/>
            <w:shd w:val="clear" w:color="auto" w:fill="auto"/>
          </w:tcPr>
          <w:p w14:paraId="6B9DE452" w14:textId="77777777" w:rsidR="003F26DA" w:rsidRPr="00772B9F" w:rsidRDefault="003F26DA">
            <w:pPr>
              <w:pStyle w:val="10Tabletext"/>
              <w:jc w:val="right"/>
            </w:pPr>
            <w:r w:rsidRPr="00772B9F">
              <w:t>3.</w:t>
            </w:r>
            <w:r>
              <w:t>4</w:t>
            </w:r>
          </w:p>
        </w:tc>
        <w:tc>
          <w:tcPr>
            <w:tcW w:w="1248" w:type="dxa"/>
            <w:shd w:val="clear" w:color="auto" w:fill="auto"/>
          </w:tcPr>
          <w:p w14:paraId="234D1D18" w14:textId="77777777" w:rsidR="003F26DA" w:rsidRPr="00772B9F" w:rsidRDefault="003F26DA">
            <w:pPr>
              <w:pStyle w:val="10Tabletext"/>
              <w:jc w:val="right"/>
            </w:pPr>
            <w:r w:rsidRPr="00772B9F">
              <w:t>3.</w:t>
            </w:r>
            <w:r>
              <w:t>2</w:t>
            </w:r>
          </w:p>
        </w:tc>
        <w:tc>
          <w:tcPr>
            <w:tcW w:w="1247" w:type="dxa"/>
            <w:shd w:val="clear" w:color="auto" w:fill="auto"/>
          </w:tcPr>
          <w:p w14:paraId="6061EC92" w14:textId="77777777" w:rsidR="003F26DA" w:rsidRPr="00772B9F" w:rsidRDefault="003F26DA">
            <w:pPr>
              <w:pStyle w:val="10Tabletext"/>
              <w:jc w:val="right"/>
            </w:pPr>
            <w:r w:rsidRPr="00772B9F">
              <w:t>3.</w:t>
            </w:r>
            <w:r>
              <w:t>2</w:t>
            </w:r>
          </w:p>
        </w:tc>
        <w:tc>
          <w:tcPr>
            <w:tcW w:w="1248" w:type="dxa"/>
            <w:shd w:val="clear" w:color="auto" w:fill="auto"/>
          </w:tcPr>
          <w:p w14:paraId="27BD887D" w14:textId="77777777" w:rsidR="003F26DA" w:rsidRPr="00772B9F" w:rsidRDefault="003F26DA">
            <w:pPr>
              <w:pStyle w:val="10Tabletext"/>
              <w:jc w:val="right"/>
            </w:pPr>
            <w:r w:rsidRPr="00772B9F">
              <w:t>3.</w:t>
            </w:r>
            <w:r>
              <w:t>1</w:t>
            </w:r>
          </w:p>
        </w:tc>
      </w:tr>
      <w:tr w:rsidR="003F26DA" w:rsidRPr="005161D4" w14:paraId="3900526B" w14:textId="77777777" w:rsidTr="0013642A">
        <w:tc>
          <w:tcPr>
            <w:tcW w:w="2268" w:type="dxa"/>
            <w:shd w:val="clear" w:color="auto" w:fill="auto"/>
            <w:vAlign w:val="center"/>
          </w:tcPr>
          <w:p w14:paraId="3BDD34D7" w14:textId="77777777" w:rsidR="003F26DA" w:rsidRPr="00C94102" w:rsidRDefault="003F26DA">
            <w:pPr>
              <w:pStyle w:val="10Tabletext"/>
              <w:rPr>
                <w:bCs w:val="0"/>
              </w:rPr>
            </w:pPr>
            <w:r w:rsidRPr="00C94102">
              <w:rPr>
                <w:bCs w:val="0"/>
              </w:rPr>
              <w:t>Labour productivity</w:t>
            </w:r>
            <w:r w:rsidRPr="00C94102">
              <w:rPr>
                <w:bCs w:val="0"/>
                <w:vertAlign w:val="superscript"/>
              </w:rPr>
              <w:t>(a)</w:t>
            </w:r>
          </w:p>
        </w:tc>
        <w:tc>
          <w:tcPr>
            <w:tcW w:w="1247" w:type="dxa"/>
            <w:shd w:val="clear" w:color="auto" w:fill="auto"/>
          </w:tcPr>
          <w:p w14:paraId="3040F5A5" w14:textId="77777777" w:rsidR="003F26DA" w:rsidRPr="00772B9F" w:rsidRDefault="003F26DA">
            <w:pPr>
              <w:pStyle w:val="10Tabletext"/>
              <w:jc w:val="right"/>
            </w:pPr>
            <w:r>
              <w:t>-</w:t>
            </w:r>
            <w:r w:rsidRPr="00772B9F">
              <w:t>1.</w:t>
            </w:r>
            <w:r>
              <w:t>0</w:t>
            </w:r>
          </w:p>
        </w:tc>
        <w:tc>
          <w:tcPr>
            <w:tcW w:w="1247" w:type="dxa"/>
            <w:shd w:val="clear" w:color="auto" w:fill="auto"/>
          </w:tcPr>
          <w:p w14:paraId="471C971A" w14:textId="77777777" w:rsidR="003F26DA" w:rsidRPr="00772B9F" w:rsidRDefault="003F26DA">
            <w:pPr>
              <w:pStyle w:val="10Tabletext"/>
              <w:jc w:val="right"/>
            </w:pPr>
            <w:r w:rsidRPr="00772B9F">
              <w:t>0.</w:t>
            </w:r>
            <w:r>
              <w:t>5</w:t>
            </w:r>
          </w:p>
        </w:tc>
        <w:tc>
          <w:tcPr>
            <w:tcW w:w="1248" w:type="dxa"/>
            <w:shd w:val="clear" w:color="auto" w:fill="auto"/>
          </w:tcPr>
          <w:p w14:paraId="2EDDAA52" w14:textId="77777777" w:rsidR="003F26DA" w:rsidRPr="00772B9F" w:rsidRDefault="003F26DA">
            <w:pPr>
              <w:pStyle w:val="10Tabletext"/>
              <w:jc w:val="right"/>
            </w:pPr>
            <w:r w:rsidRPr="00772B9F">
              <w:t>1.</w:t>
            </w:r>
            <w:r>
              <w:t>1</w:t>
            </w:r>
          </w:p>
        </w:tc>
        <w:tc>
          <w:tcPr>
            <w:tcW w:w="1247" w:type="dxa"/>
            <w:shd w:val="clear" w:color="auto" w:fill="auto"/>
          </w:tcPr>
          <w:p w14:paraId="08DBD885" w14:textId="77777777" w:rsidR="003F26DA" w:rsidRPr="00772B9F" w:rsidRDefault="003F26DA">
            <w:pPr>
              <w:pStyle w:val="10Tabletext"/>
              <w:jc w:val="right"/>
            </w:pPr>
            <w:r w:rsidRPr="00772B9F">
              <w:t>1.</w:t>
            </w:r>
            <w:r>
              <w:t>1</w:t>
            </w:r>
          </w:p>
        </w:tc>
        <w:tc>
          <w:tcPr>
            <w:tcW w:w="1248" w:type="dxa"/>
            <w:shd w:val="clear" w:color="auto" w:fill="auto"/>
          </w:tcPr>
          <w:p w14:paraId="750E19CA" w14:textId="77777777" w:rsidR="003F26DA" w:rsidRPr="00772B9F" w:rsidRDefault="003F26DA">
            <w:pPr>
              <w:pStyle w:val="10Tabletext"/>
              <w:jc w:val="right"/>
            </w:pPr>
            <w:r w:rsidRPr="00772B9F">
              <w:t>1.1</w:t>
            </w:r>
          </w:p>
        </w:tc>
      </w:tr>
    </w:tbl>
    <w:p w14:paraId="5C66AC69" w14:textId="77777777" w:rsidR="003F26DA" w:rsidRDefault="003F26DA">
      <w:pPr>
        <w:pStyle w:val="09Sourcesandnotesfortablesfiguresboxes"/>
      </w:pPr>
      <w:r>
        <w:t>Notes: (a) Percentage change through the year. (b) Percentage rate in the quarter.</w:t>
      </w:r>
    </w:p>
    <w:p w14:paraId="69F1144E" w14:textId="28E2CD59" w:rsidR="003F26DA" w:rsidRDefault="003F26DA">
      <w:pPr>
        <w:pStyle w:val="09Sourcesandnotesfortablesfiguresboxes"/>
      </w:pPr>
      <w:r>
        <w:t xml:space="preserve">Source: </w:t>
      </w:r>
      <w:r w:rsidRPr="001A5AFF">
        <w:t>RBA</w:t>
      </w:r>
      <w:r w:rsidR="004F50A5">
        <w:t xml:space="preserve"> (2024</w:t>
      </w:r>
      <w:r w:rsidR="00FC73F8">
        <w:t>c</w:t>
      </w:r>
      <w:r w:rsidR="004F50A5">
        <w:t>)</w:t>
      </w:r>
      <w:r w:rsidRPr="001A5AFF">
        <w:t>, p</w:t>
      </w:r>
      <w:r w:rsidR="0071481D">
        <w:t>.</w:t>
      </w:r>
      <w:r w:rsidRPr="001A5AFF">
        <w:t xml:space="preserve"> </w:t>
      </w:r>
      <w:r>
        <w:t>5</w:t>
      </w:r>
      <w:r w:rsidRPr="001A5AFF">
        <w:t>5.</w:t>
      </w:r>
    </w:p>
    <w:p w14:paraId="60A4DE35" w14:textId="11346113" w:rsidR="003F26DA" w:rsidRPr="008478FE" w:rsidRDefault="003F26DA" w:rsidP="002D7FF4">
      <w:pPr>
        <w:pStyle w:val="08Figuretableboxheading"/>
      </w:pPr>
      <w:bookmarkStart w:id="81" w:name="_Toc170393571"/>
      <w:r w:rsidRPr="002D71B5">
        <w:t>Table 6.</w:t>
      </w:r>
      <w:r w:rsidR="004A733D" w:rsidRPr="002D71B5">
        <w:t>2</w:t>
      </w:r>
      <w:r w:rsidRPr="002D71B5">
        <w:t xml:space="preserve">: 2024-25 Budget </w:t>
      </w:r>
      <w:r w:rsidR="00122F07" w:rsidRPr="002D71B5">
        <w:t>Update</w:t>
      </w:r>
      <w:r w:rsidRPr="002D71B5">
        <w:t xml:space="preserve"> forecasts for the Victorian economy</w:t>
      </w:r>
      <w:bookmarkEnd w:id="81"/>
    </w:p>
    <w:tbl>
      <w:tblPr>
        <w:tblStyle w:val="Glossary2"/>
        <w:tblW w:w="8505" w:type="dxa"/>
        <w:tblBorders>
          <w:top w:val="single" w:sz="4" w:space="0" w:color="26664E" w:themeColor="accent1"/>
          <w:bottom w:val="single" w:sz="4" w:space="0" w:color="26664E" w:themeColor="accent1"/>
          <w:insideH w:val="single" w:sz="4" w:space="0" w:color="26664E" w:themeColor="accent1"/>
        </w:tblBorders>
        <w:tblLook w:val="04A0" w:firstRow="1" w:lastRow="0" w:firstColumn="1" w:lastColumn="0" w:noHBand="0" w:noVBand="1"/>
      </w:tblPr>
      <w:tblGrid>
        <w:gridCol w:w="2694"/>
        <w:gridCol w:w="1452"/>
        <w:gridCol w:w="1453"/>
        <w:gridCol w:w="1453"/>
        <w:gridCol w:w="1453"/>
      </w:tblGrid>
      <w:tr w:rsidR="00002B4F" w:rsidRPr="00EA6A14" w14:paraId="2DAF87B8" w14:textId="77777777" w:rsidTr="005E6582">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26664E" w:themeFill="accent1"/>
          </w:tcPr>
          <w:p w14:paraId="2FED8A58" w14:textId="77777777" w:rsidR="00002B4F" w:rsidRPr="002A0F1F" w:rsidRDefault="00002B4F" w:rsidP="002D7FF4">
            <w:pPr>
              <w:pStyle w:val="10Tabletext"/>
              <w:keepNext/>
              <w:rPr>
                <w:color w:val="FFFFFF" w:themeColor="background1"/>
              </w:rPr>
            </w:pPr>
            <w:r w:rsidRPr="002A0F1F">
              <w:rPr>
                <w:color w:val="FFFFFF" w:themeColor="background1"/>
              </w:rPr>
              <w:t>Indicator</w:t>
            </w:r>
          </w:p>
        </w:tc>
        <w:tc>
          <w:tcPr>
            <w:tcW w:w="1452" w:type="dxa"/>
            <w:shd w:val="clear" w:color="auto" w:fill="26664E" w:themeFill="accent1"/>
          </w:tcPr>
          <w:p w14:paraId="475A75DF" w14:textId="77777777" w:rsidR="00002B4F" w:rsidRPr="002A0F1F" w:rsidRDefault="00002B4F" w:rsidP="002D7FF4">
            <w:pPr>
              <w:pStyle w:val="10Tabletext"/>
              <w:keepNext/>
              <w:jc w:val="right"/>
              <w:rPr>
                <w:color w:val="FFFFFF" w:themeColor="background1"/>
              </w:rPr>
            </w:pPr>
            <w:r w:rsidRPr="002A0F1F">
              <w:rPr>
                <w:color w:val="FFFFFF" w:themeColor="background1"/>
              </w:rPr>
              <w:t>2024-25</w:t>
            </w:r>
          </w:p>
        </w:tc>
        <w:tc>
          <w:tcPr>
            <w:tcW w:w="1453" w:type="dxa"/>
            <w:shd w:val="clear" w:color="auto" w:fill="26664E" w:themeFill="accent1"/>
          </w:tcPr>
          <w:p w14:paraId="7468C566" w14:textId="77777777" w:rsidR="00002B4F" w:rsidRPr="002A0F1F" w:rsidRDefault="00002B4F" w:rsidP="002D7FF4">
            <w:pPr>
              <w:pStyle w:val="10Tabletext"/>
              <w:keepNext/>
              <w:jc w:val="right"/>
              <w:rPr>
                <w:color w:val="FFFFFF" w:themeColor="background1"/>
              </w:rPr>
            </w:pPr>
            <w:r w:rsidRPr="002A0F1F">
              <w:rPr>
                <w:color w:val="FFFFFF" w:themeColor="background1"/>
              </w:rPr>
              <w:t>2025-26</w:t>
            </w:r>
          </w:p>
        </w:tc>
        <w:tc>
          <w:tcPr>
            <w:tcW w:w="1453" w:type="dxa"/>
            <w:shd w:val="clear" w:color="auto" w:fill="26664E" w:themeFill="accent1"/>
          </w:tcPr>
          <w:p w14:paraId="7269CEA4" w14:textId="77777777" w:rsidR="00002B4F" w:rsidRPr="002A0F1F" w:rsidRDefault="00002B4F" w:rsidP="002D7FF4">
            <w:pPr>
              <w:pStyle w:val="10Tabletext"/>
              <w:keepNext/>
              <w:jc w:val="right"/>
              <w:rPr>
                <w:color w:val="FFFFFF" w:themeColor="background1"/>
              </w:rPr>
            </w:pPr>
            <w:r w:rsidRPr="002A0F1F">
              <w:rPr>
                <w:color w:val="FFFFFF" w:themeColor="background1"/>
              </w:rPr>
              <w:t>2026-27</w:t>
            </w:r>
          </w:p>
        </w:tc>
        <w:tc>
          <w:tcPr>
            <w:tcW w:w="1453" w:type="dxa"/>
            <w:shd w:val="clear" w:color="auto" w:fill="26664E" w:themeFill="accent1"/>
          </w:tcPr>
          <w:p w14:paraId="60295BB1" w14:textId="77777777" w:rsidR="00002B4F" w:rsidRPr="002A0F1F" w:rsidRDefault="00002B4F" w:rsidP="002D7FF4">
            <w:pPr>
              <w:pStyle w:val="10Tabletext"/>
              <w:keepNext/>
              <w:jc w:val="right"/>
              <w:rPr>
                <w:color w:val="FFFFFF" w:themeColor="background1"/>
              </w:rPr>
            </w:pPr>
            <w:r w:rsidRPr="002A0F1F">
              <w:rPr>
                <w:color w:val="FFFFFF" w:themeColor="background1"/>
              </w:rPr>
              <w:t>2027-28</w:t>
            </w:r>
          </w:p>
        </w:tc>
      </w:tr>
      <w:tr w:rsidR="00002B4F" w:rsidRPr="00EA6A14" w14:paraId="3EB5F636" w14:textId="77777777" w:rsidTr="005E6582">
        <w:tc>
          <w:tcPr>
            <w:tcW w:w="2694" w:type="dxa"/>
          </w:tcPr>
          <w:p w14:paraId="41F65F55" w14:textId="1B15E6B5" w:rsidR="00002B4F" w:rsidRPr="00C94102" w:rsidRDefault="00002B4F" w:rsidP="002D7FF4">
            <w:pPr>
              <w:pStyle w:val="10Tabletext"/>
              <w:keepNext/>
              <w:rPr>
                <w:bCs w:val="0"/>
              </w:rPr>
            </w:pPr>
            <w:r w:rsidRPr="00C94102">
              <w:rPr>
                <w:bCs w:val="0"/>
              </w:rPr>
              <w:t xml:space="preserve">Real </w:t>
            </w:r>
            <w:r w:rsidR="004F19BF">
              <w:rPr>
                <w:bCs w:val="0"/>
              </w:rPr>
              <w:t>GSP</w:t>
            </w:r>
            <w:r w:rsidRPr="00C94102">
              <w:rPr>
                <w:bCs w:val="0"/>
                <w:vertAlign w:val="superscript"/>
              </w:rPr>
              <w:t>(a)</w:t>
            </w:r>
          </w:p>
        </w:tc>
        <w:tc>
          <w:tcPr>
            <w:tcW w:w="1452" w:type="dxa"/>
          </w:tcPr>
          <w:p w14:paraId="4DE149CF" w14:textId="77777777" w:rsidR="00002B4F" w:rsidRPr="00EB56A3" w:rsidRDefault="00002B4F" w:rsidP="002D7FF4">
            <w:pPr>
              <w:pStyle w:val="10Tabletext"/>
              <w:keepNext/>
              <w:jc w:val="right"/>
            </w:pPr>
            <w:r w:rsidRPr="00EB56A3">
              <w:t>2.50</w:t>
            </w:r>
          </w:p>
        </w:tc>
        <w:tc>
          <w:tcPr>
            <w:tcW w:w="1453" w:type="dxa"/>
          </w:tcPr>
          <w:p w14:paraId="56D9781E" w14:textId="4F03505A" w:rsidR="00002B4F" w:rsidRPr="00EB56A3" w:rsidRDefault="00002B4F" w:rsidP="002D7FF4">
            <w:pPr>
              <w:pStyle w:val="10Tabletext"/>
              <w:keepNext/>
              <w:jc w:val="right"/>
            </w:pPr>
            <w:r w:rsidRPr="00EB56A3">
              <w:t>2.50</w:t>
            </w:r>
          </w:p>
        </w:tc>
        <w:tc>
          <w:tcPr>
            <w:tcW w:w="1453" w:type="dxa"/>
          </w:tcPr>
          <w:p w14:paraId="6FE202A5" w14:textId="77777777" w:rsidR="00002B4F" w:rsidRPr="00EB56A3" w:rsidRDefault="00002B4F" w:rsidP="002D7FF4">
            <w:pPr>
              <w:pStyle w:val="10Tabletext"/>
              <w:keepNext/>
              <w:jc w:val="right"/>
            </w:pPr>
            <w:r w:rsidRPr="00EB56A3">
              <w:t>2.75</w:t>
            </w:r>
          </w:p>
        </w:tc>
        <w:tc>
          <w:tcPr>
            <w:tcW w:w="1453" w:type="dxa"/>
          </w:tcPr>
          <w:p w14:paraId="4C8C556C" w14:textId="77777777" w:rsidR="00002B4F" w:rsidRPr="00EB56A3" w:rsidRDefault="00002B4F" w:rsidP="002D7FF4">
            <w:pPr>
              <w:pStyle w:val="10Tabletext"/>
              <w:keepNext/>
              <w:jc w:val="right"/>
            </w:pPr>
            <w:r w:rsidRPr="00EB56A3">
              <w:t>2.75</w:t>
            </w:r>
          </w:p>
        </w:tc>
      </w:tr>
      <w:tr w:rsidR="00002B4F" w:rsidRPr="00EA6A14" w14:paraId="3683AB82" w14:textId="77777777" w:rsidTr="005E6582">
        <w:tc>
          <w:tcPr>
            <w:tcW w:w="2694" w:type="dxa"/>
          </w:tcPr>
          <w:p w14:paraId="65B3579F" w14:textId="77777777" w:rsidR="00002B4F" w:rsidRPr="00C94102" w:rsidRDefault="00002B4F" w:rsidP="002D7FF4">
            <w:pPr>
              <w:pStyle w:val="10Tabletext"/>
              <w:keepNext/>
              <w:rPr>
                <w:bCs w:val="0"/>
              </w:rPr>
            </w:pPr>
            <w:r w:rsidRPr="00C94102">
              <w:rPr>
                <w:bCs w:val="0"/>
              </w:rPr>
              <w:t>Population</w:t>
            </w:r>
            <w:r w:rsidRPr="00C94102">
              <w:rPr>
                <w:bCs w:val="0"/>
                <w:vertAlign w:val="superscript"/>
              </w:rPr>
              <w:t>(b)</w:t>
            </w:r>
          </w:p>
        </w:tc>
        <w:tc>
          <w:tcPr>
            <w:tcW w:w="1452" w:type="dxa"/>
            <w:vAlign w:val="bottom"/>
          </w:tcPr>
          <w:p w14:paraId="168D66D2" w14:textId="77777777" w:rsidR="00002B4F" w:rsidRPr="00EB56A3" w:rsidRDefault="00002B4F" w:rsidP="002D7FF4">
            <w:pPr>
              <w:pStyle w:val="10Tabletext"/>
              <w:keepNext/>
              <w:jc w:val="right"/>
            </w:pPr>
            <w:r w:rsidRPr="00EB56A3">
              <w:t>1.80</w:t>
            </w:r>
          </w:p>
        </w:tc>
        <w:tc>
          <w:tcPr>
            <w:tcW w:w="1453" w:type="dxa"/>
            <w:vAlign w:val="bottom"/>
          </w:tcPr>
          <w:p w14:paraId="49AE56FD" w14:textId="77777777" w:rsidR="00002B4F" w:rsidRPr="00EB56A3" w:rsidRDefault="00002B4F" w:rsidP="002D7FF4">
            <w:pPr>
              <w:pStyle w:val="10Tabletext"/>
              <w:keepNext/>
              <w:jc w:val="right"/>
            </w:pPr>
            <w:r w:rsidRPr="00EB56A3">
              <w:t>1.70</w:t>
            </w:r>
          </w:p>
        </w:tc>
        <w:tc>
          <w:tcPr>
            <w:tcW w:w="1453" w:type="dxa"/>
            <w:vAlign w:val="bottom"/>
          </w:tcPr>
          <w:p w14:paraId="404BF370" w14:textId="77777777" w:rsidR="00002B4F" w:rsidRPr="00EB56A3" w:rsidRDefault="00002B4F" w:rsidP="002D7FF4">
            <w:pPr>
              <w:pStyle w:val="10Tabletext"/>
              <w:keepNext/>
              <w:jc w:val="right"/>
            </w:pPr>
            <w:r w:rsidRPr="00EB56A3">
              <w:t>1.70</w:t>
            </w:r>
          </w:p>
        </w:tc>
        <w:tc>
          <w:tcPr>
            <w:tcW w:w="1453" w:type="dxa"/>
            <w:vAlign w:val="bottom"/>
          </w:tcPr>
          <w:p w14:paraId="3CC6ED20" w14:textId="77777777" w:rsidR="00002B4F" w:rsidRPr="00EB56A3" w:rsidRDefault="00002B4F" w:rsidP="002D7FF4">
            <w:pPr>
              <w:pStyle w:val="10Tabletext"/>
              <w:keepNext/>
              <w:jc w:val="right"/>
            </w:pPr>
            <w:r w:rsidRPr="00EB56A3">
              <w:t>1.70</w:t>
            </w:r>
          </w:p>
        </w:tc>
      </w:tr>
      <w:tr w:rsidR="00002B4F" w:rsidRPr="00EA6A14" w14:paraId="1687A0A0" w14:textId="77777777" w:rsidTr="005E6582">
        <w:tc>
          <w:tcPr>
            <w:tcW w:w="2694" w:type="dxa"/>
          </w:tcPr>
          <w:p w14:paraId="74576D9E" w14:textId="77777777" w:rsidR="00002B4F" w:rsidRPr="00C94102" w:rsidRDefault="00002B4F" w:rsidP="002D7FF4">
            <w:pPr>
              <w:pStyle w:val="10Tabletext"/>
              <w:keepNext/>
              <w:rPr>
                <w:bCs w:val="0"/>
              </w:rPr>
            </w:pPr>
            <w:r w:rsidRPr="00C94102">
              <w:rPr>
                <w:bCs w:val="0"/>
              </w:rPr>
              <w:t>Melbourne CPI</w:t>
            </w:r>
            <w:r w:rsidRPr="00C94102">
              <w:rPr>
                <w:bCs w:val="0"/>
                <w:vertAlign w:val="superscript"/>
              </w:rPr>
              <w:t>(a)</w:t>
            </w:r>
          </w:p>
        </w:tc>
        <w:tc>
          <w:tcPr>
            <w:tcW w:w="1452" w:type="dxa"/>
            <w:vAlign w:val="bottom"/>
          </w:tcPr>
          <w:p w14:paraId="2136A8A0" w14:textId="1301120F" w:rsidR="00002B4F" w:rsidRPr="00EB56A3" w:rsidRDefault="00002B4F" w:rsidP="002D7FF4">
            <w:pPr>
              <w:pStyle w:val="10Tabletext"/>
              <w:keepNext/>
              <w:jc w:val="right"/>
            </w:pPr>
            <w:r w:rsidRPr="00EB56A3">
              <w:t>2.50</w:t>
            </w:r>
          </w:p>
        </w:tc>
        <w:tc>
          <w:tcPr>
            <w:tcW w:w="1453" w:type="dxa"/>
            <w:vAlign w:val="bottom"/>
          </w:tcPr>
          <w:p w14:paraId="48EFD67E" w14:textId="67D87BC9" w:rsidR="00002B4F" w:rsidRPr="00EB56A3" w:rsidRDefault="00002B4F" w:rsidP="002D7FF4">
            <w:pPr>
              <w:pStyle w:val="10Tabletext"/>
              <w:keepNext/>
              <w:jc w:val="right"/>
            </w:pPr>
            <w:r w:rsidRPr="00EB56A3">
              <w:t>3.00</w:t>
            </w:r>
          </w:p>
        </w:tc>
        <w:tc>
          <w:tcPr>
            <w:tcW w:w="1453" w:type="dxa"/>
            <w:vAlign w:val="bottom"/>
          </w:tcPr>
          <w:p w14:paraId="34048DD8" w14:textId="77777777" w:rsidR="00002B4F" w:rsidRPr="00EB56A3" w:rsidRDefault="00002B4F" w:rsidP="002D7FF4">
            <w:pPr>
              <w:pStyle w:val="10Tabletext"/>
              <w:keepNext/>
              <w:jc w:val="right"/>
            </w:pPr>
            <w:r w:rsidRPr="00EB56A3">
              <w:t>2.50</w:t>
            </w:r>
          </w:p>
        </w:tc>
        <w:tc>
          <w:tcPr>
            <w:tcW w:w="1453" w:type="dxa"/>
            <w:vAlign w:val="bottom"/>
          </w:tcPr>
          <w:p w14:paraId="2DC26ACA" w14:textId="77777777" w:rsidR="00002B4F" w:rsidRPr="00EB56A3" w:rsidRDefault="00002B4F" w:rsidP="002D7FF4">
            <w:pPr>
              <w:pStyle w:val="10Tabletext"/>
              <w:keepNext/>
              <w:jc w:val="right"/>
            </w:pPr>
            <w:r w:rsidRPr="00EB56A3">
              <w:t>2.50</w:t>
            </w:r>
          </w:p>
        </w:tc>
      </w:tr>
      <w:tr w:rsidR="00002B4F" w:rsidRPr="00EA6A14" w14:paraId="79774DEF" w14:textId="77777777" w:rsidTr="005E6582">
        <w:tc>
          <w:tcPr>
            <w:tcW w:w="2694" w:type="dxa"/>
          </w:tcPr>
          <w:p w14:paraId="6C29DA69" w14:textId="77777777" w:rsidR="00002B4F" w:rsidRPr="00C94102" w:rsidRDefault="00002B4F" w:rsidP="002D7FF4">
            <w:pPr>
              <w:pStyle w:val="10Tabletext"/>
              <w:keepNext/>
              <w:rPr>
                <w:bCs w:val="0"/>
              </w:rPr>
            </w:pPr>
            <w:r w:rsidRPr="00C94102">
              <w:rPr>
                <w:bCs w:val="0"/>
              </w:rPr>
              <w:t>Employment</w:t>
            </w:r>
            <w:r w:rsidRPr="00C94102">
              <w:rPr>
                <w:bCs w:val="0"/>
                <w:vertAlign w:val="superscript"/>
              </w:rPr>
              <w:t>(a)</w:t>
            </w:r>
          </w:p>
        </w:tc>
        <w:tc>
          <w:tcPr>
            <w:tcW w:w="1452" w:type="dxa"/>
            <w:vAlign w:val="bottom"/>
          </w:tcPr>
          <w:p w14:paraId="3060682B" w14:textId="0D8219EB" w:rsidR="00002B4F" w:rsidRPr="00EB56A3" w:rsidRDefault="00002B4F" w:rsidP="002D7FF4">
            <w:pPr>
              <w:pStyle w:val="10Tabletext"/>
              <w:keepNext/>
              <w:jc w:val="right"/>
            </w:pPr>
            <w:r w:rsidRPr="00EB56A3">
              <w:t>2.50</w:t>
            </w:r>
          </w:p>
        </w:tc>
        <w:tc>
          <w:tcPr>
            <w:tcW w:w="1453" w:type="dxa"/>
            <w:vAlign w:val="bottom"/>
          </w:tcPr>
          <w:p w14:paraId="7D890226" w14:textId="4B0163A3" w:rsidR="00002B4F" w:rsidRPr="00EB56A3" w:rsidRDefault="00002B4F" w:rsidP="002D7FF4">
            <w:pPr>
              <w:pStyle w:val="10Tabletext"/>
              <w:keepNext/>
              <w:jc w:val="right"/>
            </w:pPr>
            <w:r w:rsidRPr="00EB56A3">
              <w:t>0.75</w:t>
            </w:r>
          </w:p>
        </w:tc>
        <w:tc>
          <w:tcPr>
            <w:tcW w:w="1453" w:type="dxa"/>
            <w:vAlign w:val="bottom"/>
          </w:tcPr>
          <w:p w14:paraId="0C24656B" w14:textId="77777777" w:rsidR="00002B4F" w:rsidRPr="00EB56A3" w:rsidRDefault="00002B4F" w:rsidP="002D7FF4">
            <w:pPr>
              <w:pStyle w:val="10Tabletext"/>
              <w:keepNext/>
              <w:jc w:val="right"/>
            </w:pPr>
            <w:r w:rsidRPr="00EB56A3">
              <w:t>1.75</w:t>
            </w:r>
          </w:p>
        </w:tc>
        <w:tc>
          <w:tcPr>
            <w:tcW w:w="1453" w:type="dxa"/>
            <w:vAlign w:val="bottom"/>
          </w:tcPr>
          <w:p w14:paraId="6B5365DA" w14:textId="77777777" w:rsidR="00002B4F" w:rsidRPr="00EB56A3" w:rsidRDefault="00002B4F" w:rsidP="002D7FF4">
            <w:pPr>
              <w:pStyle w:val="10Tabletext"/>
              <w:keepNext/>
              <w:jc w:val="right"/>
            </w:pPr>
            <w:r w:rsidRPr="00EB56A3">
              <w:t>1.75</w:t>
            </w:r>
          </w:p>
        </w:tc>
      </w:tr>
      <w:tr w:rsidR="00002B4F" w:rsidRPr="00EA6A14" w14:paraId="5D9D7832" w14:textId="77777777" w:rsidTr="005E6582">
        <w:tc>
          <w:tcPr>
            <w:tcW w:w="2694" w:type="dxa"/>
          </w:tcPr>
          <w:p w14:paraId="70F5BFD5" w14:textId="77777777" w:rsidR="00002B4F" w:rsidRPr="00C94102" w:rsidRDefault="00002B4F" w:rsidP="002D7FF4">
            <w:pPr>
              <w:pStyle w:val="10Tabletext"/>
              <w:keepNext/>
              <w:rPr>
                <w:bCs w:val="0"/>
              </w:rPr>
            </w:pPr>
            <w:r w:rsidRPr="00C94102">
              <w:rPr>
                <w:bCs w:val="0"/>
              </w:rPr>
              <w:t>Unemployment rate</w:t>
            </w:r>
            <w:r w:rsidRPr="00C94102">
              <w:rPr>
                <w:bCs w:val="0"/>
                <w:vertAlign w:val="superscript"/>
              </w:rPr>
              <w:t>(c)</w:t>
            </w:r>
          </w:p>
        </w:tc>
        <w:tc>
          <w:tcPr>
            <w:tcW w:w="1452" w:type="dxa"/>
          </w:tcPr>
          <w:p w14:paraId="45CAF62F" w14:textId="7A33CAF2" w:rsidR="00002B4F" w:rsidRPr="00EB56A3" w:rsidRDefault="00002B4F" w:rsidP="002D7FF4">
            <w:pPr>
              <w:pStyle w:val="10Tabletext"/>
              <w:keepNext/>
              <w:jc w:val="right"/>
            </w:pPr>
            <w:r w:rsidRPr="00EB56A3">
              <w:t>4.50</w:t>
            </w:r>
          </w:p>
        </w:tc>
        <w:tc>
          <w:tcPr>
            <w:tcW w:w="1453" w:type="dxa"/>
          </w:tcPr>
          <w:p w14:paraId="165353ED" w14:textId="469DB020" w:rsidR="00002B4F" w:rsidRPr="00EB56A3" w:rsidRDefault="00002B4F" w:rsidP="002D7FF4">
            <w:pPr>
              <w:pStyle w:val="10Tabletext"/>
              <w:keepNext/>
              <w:jc w:val="right"/>
            </w:pPr>
            <w:r w:rsidRPr="00EB56A3">
              <w:t>4.75</w:t>
            </w:r>
          </w:p>
        </w:tc>
        <w:tc>
          <w:tcPr>
            <w:tcW w:w="1453" w:type="dxa"/>
          </w:tcPr>
          <w:p w14:paraId="15C75F53" w14:textId="77777777" w:rsidR="00002B4F" w:rsidRPr="00EB56A3" w:rsidRDefault="00002B4F" w:rsidP="002D7FF4">
            <w:pPr>
              <w:pStyle w:val="10Tabletext"/>
              <w:keepNext/>
              <w:jc w:val="right"/>
            </w:pPr>
            <w:r w:rsidRPr="00EB56A3">
              <w:t>4.75</w:t>
            </w:r>
          </w:p>
        </w:tc>
        <w:tc>
          <w:tcPr>
            <w:tcW w:w="1453" w:type="dxa"/>
          </w:tcPr>
          <w:p w14:paraId="1CA0BDC9" w14:textId="77777777" w:rsidR="00002B4F" w:rsidRPr="00EB56A3" w:rsidRDefault="00002B4F" w:rsidP="002D7FF4">
            <w:pPr>
              <w:pStyle w:val="10Tabletext"/>
              <w:keepNext/>
              <w:jc w:val="right"/>
            </w:pPr>
            <w:r w:rsidRPr="00EB56A3">
              <w:t>4.75</w:t>
            </w:r>
          </w:p>
        </w:tc>
      </w:tr>
      <w:tr w:rsidR="00002B4F" w:rsidRPr="00EA6A14" w14:paraId="57669E93" w14:textId="77777777" w:rsidTr="005E6582">
        <w:tc>
          <w:tcPr>
            <w:tcW w:w="2694" w:type="dxa"/>
          </w:tcPr>
          <w:p w14:paraId="7D190E7F" w14:textId="77777777" w:rsidR="00002B4F" w:rsidRPr="00C94102" w:rsidRDefault="00002B4F" w:rsidP="002D7FF4">
            <w:pPr>
              <w:pStyle w:val="10Tabletext"/>
              <w:keepNext/>
              <w:rPr>
                <w:bCs w:val="0"/>
              </w:rPr>
            </w:pPr>
            <w:r w:rsidRPr="00C94102">
              <w:rPr>
                <w:bCs w:val="0"/>
              </w:rPr>
              <w:t>Victorian WPI</w:t>
            </w:r>
            <w:r w:rsidRPr="00C94102">
              <w:rPr>
                <w:bCs w:val="0"/>
                <w:vertAlign w:val="superscript"/>
              </w:rPr>
              <w:t>(a)</w:t>
            </w:r>
          </w:p>
        </w:tc>
        <w:tc>
          <w:tcPr>
            <w:tcW w:w="1452" w:type="dxa"/>
            <w:vAlign w:val="bottom"/>
          </w:tcPr>
          <w:p w14:paraId="5F4B143B" w14:textId="219312F0" w:rsidR="00002B4F" w:rsidRPr="00EB56A3" w:rsidRDefault="00002B4F" w:rsidP="002D7FF4">
            <w:pPr>
              <w:pStyle w:val="10Tabletext"/>
              <w:keepNext/>
              <w:jc w:val="right"/>
            </w:pPr>
            <w:r w:rsidRPr="00EB56A3">
              <w:t>3.50</w:t>
            </w:r>
          </w:p>
        </w:tc>
        <w:tc>
          <w:tcPr>
            <w:tcW w:w="1453" w:type="dxa"/>
            <w:vAlign w:val="bottom"/>
          </w:tcPr>
          <w:p w14:paraId="5E541604" w14:textId="77777777" w:rsidR="00002B4F" w:rsidRPr="00EB56A3" w:rsidRDefault="00002B4F" w:rsidP="002D7FF4">
            <w:pPr>
              <w:pStyle w:val="10Tabletext"/>
              <w:keepNext/>
              <w:jc w:val="right"/>
            </w:pPr>
            <w:r w:rsidRPr="00EB56A3">
              <w:t>3.25</w:t>
            </w:r>
          </w:p>
        </w:tc>
        <w:tc>
          <w:tcPr>
            <w:tcW w:w="1453" w:type="dxa"/>
            <w:vAlign w:val="bottom"/>
          </w:tcPr>
          <w:p w14:paraId="5ADD7796" w14:textId="77777777" w:rsidR="00002B4F" w:rsidRPr="00EB56A3" w:rsidRDefault="00002B4F" w:rsidP="002D7FF4">
            <w:pPr>
              <w:pStyle w:val="10Tabletext"/>
              <w:keepNext/>
              <w:jc w:val="right"/>
            </w:pPr>
            <w:r w:rsidRPr="00EB56A3">
              <w:t>3.25</w:t>
            </w:r>
          </w:p>
        </w:tc>
        <w:tc>
          <w:tcPr>
            <w:tcW w:w="1453" w:type="dxa"/>
            <w:vAlign w:val="bottom"/>
          </w:tcPr>
          <w:p w14:paraId="7D41910D" w14:textId="77777777" w:rsidR="00002B4F" w:rsidRPr="00EB56A3" w:rsidRDefault="00002B4F" w:rsidP="002D7FF4">
            <w:pPr>
              <w:pStyle w:val="10Tabletext"/>
              <w:keepNext/>
              <w:jc w:val="right"/>
            </w:pPr>
            <w:r w:rsidRPr="00EB56A3">
              <w:t>3.25</w:t>
            </w:r>
          </w:p>
        </w:tc>
      </w:tr>
    </w:tbl>
    <w:p w14:paraId="16DE5B2D" w14:textId="77777777" w:rsidR="003F26DA" w:rsidRPr="00EB56A3" w:rsidRDefault="003F26DA" w:rsidP="002D7FF4">
      <w:pPr>
        <w:pStyle w:val="09Sourcesandnotesfortablesfiguresboxes"/>
        <w:keepNext/>
      </w:pPr>
      <w:r w:rsidRPr="00EB56A3">
        <w:t xml:space="preserve">Notes: (a) Percentage change in year-average terms compared with the previous year. (b) Percentage change over the year to 30 June. (c) Year average. </w:t>
      </w:r>
    </w:p>
    <w:p w14:paraId="6B5C84CB" w14:textId="5425737C" w:rsidR="003F26DA" w:rsidRPr="00052861" w:rsidRDefault="003F26DA">
      <w:pPr>
        <w:pStyle w:val="09Sourcesandnotesfortablesfiguresboxes"/>
      </w:pPr>
      <w:r w:rsidRPr="00EB56A3">
        <w:t>Source: DTF (2024</w:t>
      </w:r>
      <w:r>
        <w:t>d</w:t>
      </w:r>
      <w:r w:rsidRPr="00EB56A3">
        <w:t>)</w:t>
      </w:r>
      <w:r>
        <w:t xml:space="preserve">, </w:t>
      </w:r>
      <w:r w:rsidRPr="00EB56A3">
        <w:t xml:space="preserve">p. </w:t>
      </w:r>
      <w:r w:rsidR="00EB56A3" w:rsidRPr="00EB56A3">
        <w:t>8</w:t>
      </w:r>
      <w:r w:rsidRPr="00EB56A3">
        <w:t>.</w:t>
      </w:r>
    </w:p>
    <w:p w14:paraId="575F4978" w14:textId="2181D5D7" w:rsidR="003F26DA" w:rsidRDefault="003F26DA">
      <w:pPr>
        <w:pStyle w:val="03VIRTHeading3"/>
      </w:pPr>
      <w:r w:rsidRPr="000A1F85">
        <w:t>Economic growth is forecast to pick up in coming years</w:t>
      </w:r>
    </w:p>
    <w:p w14:paraId="7D9265D2" w14:textId="5DD3733A" w:rsidR="003F26DA" w:rsidRDefault="003F26DA">
      <w:pPr>
        <w:pStyle w:val="05Paragraph"/>
      </w:pPr>
      <w:r>
        <w:t xml:space="preserve">The RBA has slightly moderated its earlier forecasts for economic growth due to </w:t>
      </w:r>
      <w:r w:rsidR="004F19BF">
        <w:t xml:space="preserve">a </w:t>
      </w:r>
      <w:r>
        <w:t xml:space="preserve">slower than expected </w:t>
      </w:r>
      <w:r w:rsidR="004F19BF">
        <w:t>recovery</w:t>
      </w:r>
      <w:r>
        <w:t xml:space="preserve"> in household consumption.</w:t>
      </w:r>
      <w:r>
        <w:rPr>
          <w:rStyle w:val="FootnoteReference"/>
        </w:rPr>
        <w:footnoteReference w:id="196"/>
      </w:r>
      <w:r>
        <w:t xml:space="preserve"> Higher real household incomes (</w:t>
      </w:r>
      <w:proofErr w:type="gramStart"/>
      <w:r>
        <w:t>due to the effect</w:t>
      </w:r>
      <w:proofErr w:type="gramEnd"/>
      <w:r>
        <w:t xml:space="preserve"> of tax cuts and moderating inflation) are expected to see spending pick up through 2025, although recent data suggests that households may be saving more of their income than previously assumed.</w:t>
      </w:r>
    </w:p>
    <w:p w14:paraId="74591256" w14:textId="75FB10BF" w:rsidR="003F26DA" w:rsidRDefault="003F26DA">
      <w:pPr>
        <w:pStyle w:val="05Paragraph"/>
      </w:pPr>
      <w:r>
        <w:t xml:space="preserve">Private and public investment is expected to stabilise in the short term due to a combination of construction cost pressures and the completion or reprofiling of </w:t>
      </w:r>
      <w:r>
        <w:lastRenderedPageBreak/>
        <w:t>some major projects. The RBA expects growth in public spending on services for households to continue supporting economic growth.</w:t>
      </w:r>
      <w:r w:rsidR="00696402">
        <w:rPr>
          <w:rStyle w:val="FootnoteReference"/>
        </w:rPr>
        <w:footnoteReference w:id="197"/>
      </w:r>
    </w:p>
    <w:p w14:paraId="1821608F" w14:textId="3F380AF9" w:rsidR="003F26DA" w:rsidRDefault="003F26DA">
      <w:pPr>
        <w:pStyle w:val="05Paragraph"/>
      </w:pPr>
      <w:r>
        <w:t xml:space="preserve">Annual growth in real GDP is therefore forecast to be 1.5 per cent in December 2024 before increasing to 2.3 per cent </w:t>
      </w:r>
      <w:r w:rsidR="00B02E27">
        <w:t>in</w:t>
      </w:r>
      <w:r>
        <w:t xml:space="preserve"> June 202</w:t>
      </w:r>
      <w:r w:rsidR="00B02E27">
        <w:t>5</w:t>
      </w:r>
      <w:r>
        <w:t>.</w:t>
      </w:r>
      <w:r>
        <w:rPr>
          <w:rStyle w:val="FootnoteReference"/>
        </w:rPr>
        <w:footnoteReference w:id="198"/>
      </w:r>
    </w:p>
    <w:p w14:paraId="53821667" w14:textId="50E48D2B" w:rsidR="003F26DA" w:rsidRDefault="003F26DA">
      <w:pPr>
        <w:pStyle w:val="05Paragraph"/>
      </w:pPr>
      <w:r w:rsidRPr="002D71B5">
        <w:t xml:space="preserve">The 2024-25 Budget </w:t>
      </w:r>
      <w:r w:rsidR="00EB56A3" w:rsidRPr="002D71B5">
        <w:t xml:space="preserve">Update </w:t>
      </w:r>
      <w:r w:rsidRPr="002D71B5">
        <w:t>forecast Victoria’s real GSP to grow by 2</w:t>
      </w:r>
      <w:r w:rsidR="000E127A" w:rsidRPr="002D71B5">
        <w:t>.50</w:t>
      </w:r>
      <w:r w:rsidRPr="002D71B5">
        <w:t xml:space="preserve"> per cent in </w:t>
      </w:r>
      <w:r w:rsidR="00C37759" w:rsidRPr="002D71B5">
        <w:t xml:space="preserve">each of the next two </w:t>
      </w:r>
      <w:r w:rsidR="00D8269E" w:rsidRPr="002D71B5">
        <w:t xml:space="preserve">financial </w:t>
      </w:r>
      <w:r w:rsidR="00C37759" w:rsidRPr="002D71B5">
        <w:t>years</w:t>
      </w:r>
      <w:r w:rsidRPr="002D71B5">
        <w:t>, before picking up to 2.</w:t>
      </w:r>
      <w:r w:rsidR="000E127A" w:rsidRPr="002D71B5">
        <w:t>7</w:t>
      </w:r>
      <w:r w:rsidRPr="002D71B5">
        <w:t xml:space="preserve">5 per cent in </w:t>
      </w:r>
      <w:r w:rsidR="001E0006" w:rsidRPr="002D71B5">
        <w:t>2026</w:t>
      </w:r>
      <w:r w:rsidR="00F83A44" w:rsidRPr="002D71B5">
        <w:noBreakHyphen/>
      </w:r>
      <w:r w:rsidR="001E0006" w:rsidRPr="002D71B5">
        <w:t>27</w:t>
      </w:r>
      <w:r w:rsidRPr="002D71B5">
        <w:t>.</w:t>
      </w:r>
      <w:r w:rsidR="00B84813" w:rsidRPr="002D71B5">
        <w:rPr>
          <w:rStyle w:val="FootnoteReference"/>
        </w:rPr>
        <w:footnoteReference w:id="199"/>
      </w:r>
      <w:r w:rsidRPr="002D71B5">
        <w:t xml:space="preserve"> Similar to the national outlook, household consumption</w:t>
      </w:r>
      <w:r w:rsidR="00EF7B98" w:rsidRPr="002D71B5">
        <w:t xml:space="preserve"> is expected to pick up </w:t>
      </w:r>
      <w:r w:rsidR="00623A5C" w:rsidRPr="002D71B5">
        <w:t xml:space="preserve">due </w:t>
      </w:r>
      <w:r w:rsidR="00D8269E" w:rsidRPr="002D71B5">
        <w:t>to</w:t>
      </w:r>
      <w:r w:rsidR="0009105C" w:rsidRPr="002D71B5">
        <w:t xml:space="preserve"> </w:t>
      </w:r>
      <w:r w:rsidR="00623A5C" w:rsidRPr="002D71B5">
        <w:t>higher real disposable income</w:t>
      </w:r>
      <w:r w:rsidRPr="002D71B5">
        <w:t xml:space="preserve">. </w:t>
      </w:r>
      <w:r w:rsidR="007F49FF" w:rsidRPr="002D71B5">
        <w:t>P</w:t>
      </w:r>
      <w:r w:rsidRPr="002D71B5">
        <w:t xml:space="preserve">ublic demand — which includes spending and capital expenditure by </w:t>
      </w:r>
      <w:r w:rsidR="005D0A3E" w:rsidRPr="002D71B5">
        <w:t>national, state and local governments</w:t>
      </w:r>
      <w:r w:rsidRPr="002D71B5">
        <w:t xml:space="preserve"> — is </w:t>
      </w:r>
      <w:r w:rsidR="00694E62" w:rsidRPr="002D71B5">
        <w:t xml:space="preserve">again </w:t>
      </w:r>
      <w:r w:rsidRPr="002D71B5">
        <w:t xml:space="preserve">expected to </w:t>
      </w:r>
      <w:r w:rsidR="00AE2911" w:rsidRPr="002D71B5">
        <w:t xml:space="preserve">contribute to </w:t>
      </w:r>
      <w:r w:rsidRPr="002D71B5">
        <w:t>growth</w:t>
      </w:r>
      <w:r w:rsidR="00AE2911" w:rsidRPr="002D71B5">
        <w:t xml:space="preserve"> in 2024-25</w:t>
      </w:r>
      <w:r w:rsidR="00D803CE" w:rsidRPr="002D71B5">
        <w:t xml:space="preserve">. This is </w:t>
      </w:r>
      <w:r w:rsidR="005B46DB" w:rsidRPr="002D71B5">
        <w:t xml:space="preserve">principally due to Commonwealth assistance to households and </w:t>
      </w:r>
      <w:r w:rsidR="00D803CE" w:rsidRPr="002D71B5">
        <w:t xml:space="preserve">infrastructure spending, with </w:t>
      </w:r>
      <w:r w:rsidR="00B13C92" w:rsidRPr="002D71B5">
        <w:t>Victorian Government public demand expected to be subdued</w:t>
      </w:r>
      <w:r w:rsidRPr="002D71B5">
        <w:t>.</w:t>
      </w:r>
      <w:r w:rsidRPr="002D71B5">
        <w:rPr>
          <w:rStyle w:val="FootnoteReference"/>
        </w:rPr>
        <w:footnoteReference w:id="200"/>
      </w:r>
    </w:p>
    <w:p w14:paraId="40A2600F" w14:textId="6EA58E15" w:rsidR="003F26DA" w:rsidRDefault="003F26DA">
      <w:pPr>
        <w:pStyle w:val="05Paragraph"/>
      </w:pPr>
      <w:r>
        <w:t xml:space="preserve">The RBA is forecasting population growth to moderate </w:t>
      </w:r>
      <w:r w:rsidR="0009105C">
        <w:t xml:space="preserve">further </w:t>
      </w:r>
      <w:r>
        <w:t>over the forecast period, principally due to downwards revisions for growth in net overseas migration following changes to international education policies.</w:t>
      </w:r>
      <w:r>
        <w:rPr>
          <w:rStyle w:val="FootnoteReference"/>
        </w:rPr>
        <w:footnoteReference w:id="201"/>
      </w:r>
      <w:r>
        <w:t xml:space="preserve"> This is expected to weigh on both household consumption and the supply capacity of the Australian economy.</w:t>
      </w:r>
    </w:p>
    <w:p w14:paraId="304BF5D8" w14:textId="77777777" w:rsidR="003F26DA" w:rsidRDefault="003F26DA">
      <w:pPr>
        <w:pStyle w:val="05Paragraph"/>
      </w:pPr>
      <w:r>
        <w:t>As noted earlier, Australia’s productivity outcomes have been weak, which has constrained economic growth. While the RBA is assuming that trend productivity will return towards its average in the decade prior to the COVID-19 pandemic, it also noted that lower productivity growth would weigh on the economy and add to inflationary pressures.</w:t>
      </w:r>
      <w:r>
        <w:rPr>
          <w:rStyle w:val="FootnoteReference"/>
        </w:rPr>
        <w:footnoteReference w:id="202"/>
      </w:r>
    </w:p>
    <w:p w14:paraId="6D232380" w14:textId="755DC7FA" w:rsidR="003F26DA" w:rsidRDefault="003F26DA">
      <w:pPr>
        <w:pStyle w:val="03VIRTHeading3"/>
      </w:pPr>
      <w:r>
        <w:t xml:space="preserve">Underlying inflation is forecast to </w:t>
      </w:r>
      <w:r w:rsidR="00AC1326">
        <w:t>continue easing</w:t>
      </w:r>
      <w:r>
        <w:t xml:space="preserve">, but headline inflation </w:t>
      </w:r>
      <w:r w:rsidR="00A4575B">
        <w:t>could</w:t>
      </w:r>
      <w:r>
        <w:t xml:space="preserve"> be more volatile</w:t>
      </w:r>
    </w:p>
    <w:p w14:paraId="7815E300" w14:textId="47E90FCF" w:rsidR="003F26DA" w:rsidRDefault="003F26DA">
      <w:pPr>
        <w:pStyle w:val="05Paragraph"/>
      </w:pPr>
      <w:r>
        <w:t>The latest inflation forecasts published by the RBA show trimmed mean inflation easing through to December 2026</w:t>
      </w:r>
      <w:r w:rsidR="007042A2">
        <w:t>, with</w:t>
      </w:r>
      <w:r>
        <w:t xml:space="preserve"> services inflation expected to gradually ease.</w:t>
      </w:r>
      <w:r>
        <w:rPr>
          <w:rStyle w:val="FootnoteReference"/>
        </w:rPr>
        <w:footnoteReference w:id="203"/>
      </w:r>
      <w:r>
        <w:t xml:space="preserve"> Headline inflation is forecast to increase in the short term as household electricity rebates unwind, but then ‘return sustainably to the mid-point of the </w:t>
      </w:r>
      <w:r>
        <w:lastRenderedPageBreak/>
        <w:t>[2</w:t>
      </w:r>
      <w:r w:rsidR="005E6C24">
        <w:noBreakHyphen/>
      </w:r>
      <w:r>
        <w:t>3 per cent] target range by the end of 2026’, albeit later than in previous forecasts.</w:t>
      </w:r>
      <w:r>
        <w:rPr>
          <w:rStyle w:val="FootnoteReference"/>
        </w:rPr>
        <w:footnoteReference w:id="204"/>
      </w:r>
      <w:r>
        <w:t xml:space="preserve"> </w:t>
      </w:r>
    </w:p>
    <w:p w14:paraId="7AB280CA" w14:textId="063AF735" w:rsidR="003F26DA" w:rsidRDefault="003F26DA">
      <w:pPr>
        <w:pStyle w:val="05Paragraph"/>
      </w:pPr>
      <w:r w:rsidRPr="002D71B5">
        <w:t xml:space="preserve">The 2024-25 Budget </w:t>
      </w:r>
      <w:r w:rsidR="00B13C92" w:rsidRPr="002D71B5">
        <w:t xml:space="preserve">Update </w:t>
      </w:r>
      <w:r w:rsidRPr="002D71B5">
        <w:t xml:space="preserve">forecast annual growth in the Melbourne CPI to average </w:t>
      </w:r>
      <w:r w:rsidR="004C3E97" w:rsidRPr="002D71B5">
        <w:t>2.50</w:t>
      </w:r>
      <w:r w:rsidRPr="002D71B5">
        <w:t xml:space="preserve"> per cent in </w:t>
      </w:r>
      <w:r w:rsidR="004C3E97" w:rsidRPr="002D71B5">
        <w:t>2024-25</w:t>
      </w:r>
      <w:r w:rsidRPr="002D71B5">
        <w:t xml:space="preserve">, before </w:t>
      </w:r>
      <w:r w:rsidR="004C3E97" w:rsidRPr="002D71B5">
        <w:t>temporarily increasing</w:t>
      </w:r>
      <w:r w:rsidRPr="002D71B5">
        <w:t xml:space="preserve"> to </w:t>
      </w:r>
      <w:r w:rsidR="009C0D83" w:rsidRPr="002D71B5">
        <w:t>3.0</w:t>
      </w:r>
      <w:r w:rsidR="003D5E70" w:rsidRPr="002D71B5">
        <w:t>0</w:t>
      </w:r>
      <w:r w:rsidRPr="002D71B5">
        <w:t xml:space="preserve"> per cent in </w:t>
      </w:r>
      <w:r w:rsidR="009C0D83" w:rsidRPr="002D71B5">
        <w:t>2025-26 as Commonwealth elect</w:t>
      </w:r>
      <w:r w:rsidR="009D2FD7" w:rsidRPr="002D71B5">
        <w:t>ri</w:t>
      </w:r>
      <w:r w:rsidR="009C0D83" w:rsidRPr="002D71B5">
        <w:t>c</w:t>
      </w:r>
      <w:r w:rsidR="009D2FD7" w:rsidRPr="002D71B5">
        <w:t>i</w:t>
      </w:r>
      <w:r w:rsidR="009C0D83" w:rsidRPr="002D71B5">
        <w:t>ty bill rebates end</w:t>
      </w:r>
      <w:r w:rsidRPr="002D71B5">
        <w:t>.</w:t>
      </w:r>
      <w:r w:rsidR="009D2FD7" w:rsidRPr="002D71B5">
        <w:rPr>
          <w:rStyle w:val="FootnoteReference"/>
        </w:rPr>
        <w:footnoteReference w:id="205"/>
      </w:r>
      <w:r w:rsidRPr="008A2812">
        <w:t xml:space="preserve"> </w:t>
      </w:r>
    </w:p>
    <w:p w14:paraId="2D03C716" w14:textId="77777777" w:rsidR="003F26DA" w:rsidRDefault="003F26DA">
      <w:pPr>
        <w:pStyle w:val="03VIRTHeading3"/>
      </w:pPr>
      <w:r>
        <w:t>Labour market conditions should continue to ease</w:t>
      </w:r>
    </w:p>
    <w:p w14:paraId="04F95AA8" w14:textId="1D522B15" w:rsidR="003F26DA" w:rsidRDefault="003F26DA">
      <w:pPr>
        <w:pStyle w:val="05Paragraph"/>
      </w:pPr>
      <w:r>
        <w:t xml:space="preserve">Employment growth is forecast by the RBA to remain strong in the near term before easing in 2025, while labour force participation is expected </w:t>
      </w:r>
      <w:r w:rsidR="00102632">
        <w:t>to</w:t>
      </w:r>
      <w:r>
        <w:t xml:space="preserve"> increase gradually.</w:t>
      </w:r>
      <w:r>
        <w:rPr>
          <w:rStyle w:val="FootnoteReference"/>
        </w:rPr>
        <w:footnoteReference w:id="206"/>
      </w:r>
      <w:r>
        <w:t xml:space="preserve"> Accordingly, the unemployment rate is expected to increase gradually before stabilising </w:t>
      </w:r>
      <w:r w:rsidR="008E4E3E">
        <w:t xml:space="preserve">at </w:t>
      </w:r>
      <w:r>
        <w:t>4.5 per cent from the December quarter 2025 — which is consistent with the RBA’s estimates for full employment.</w:t>
      </w:r>
      <w:r>
        <w:rPr>
          <w:rStyle w:val="FootnoteReference"/>
        </w:rPr>
        <w:footnoteReference w:id="207"/>
      </w:r>
      <w:r>
        <w:t xml:space="preserve"> </w:t>
      </w:r>
    </w:p>
    <w:p w14:paraId="6D179354" w14:textId="78223284" w:rsidR="003F26DA" w:rsidRPr="001A5AFF" w:rsidRDefault="003F26DA">
      <w:pPr>
        <w:pStyle w:val="05Paragraph"/>
      </w:pPr>
      <w:r w:rsidRPr="002D71B5">
        <w:t xml:space="preserve">In relation to the Victorian labour market, the 2024-25 Budget </w:t>
      </w:r>
      <w:r w:rsidR="0052138E" w:rsidRPr="002D71B5">
        <w:t xml:space="preserve">Update </w:t>
      </w:r>
      <w:r w:rsidRPr="002D71B5">
        <w:t xml:space="preserve">similarly forecast employment growth to slow from an average of </w:t>
      </w:r>
      <w:r w:rsidR="0072100B" w:rsidRPr="002D71B5">
        <w:t>2</w:t>
      </w:r>
      <w:r w:rsidR="0092305A" w:rsidRPr="002D71B5">
        <w:t>.50</w:t>
      </w:r>
      <w:r w:rsidRPr="002D71B5">
        <w:t xml:space="preserve"> per cent in </w:t>
      </w:r>
      <w:r w:rsidR="0092305A" w:rsidRPr="002D71B5">
        <w:t>2024-25</w:t>
      </w:r>
      <w:r w:rsidRPr="002D71B5">
        <w:t xml:space="preserve"> to </w:t>
      </w:r>
      <w:r w:rsidR="002E04E1" w:rsidRPr="002D71B5">
        <w:t>0.75</w:t>
      </w:r>
      <w:r w:rsidRPr="002D71B5">
        <w:t xml:space="preserve"> per cent in </w:t>
      </w:r>
      <w:r w:rsidR="002E04E1" w:rsidRPr="002D71B5">
        <w:t>2025-26</w:t>
      </w:r>
      <w:r w:rsidRPr="002D71B5">
        <w:t>.</w:t>
      </w:r>
      <w:r w:rsidR="0075596F" w:rsidRPr="002D71B5">
        <w:rPr>
          <w:rStyle w:val="FootnoteReference"/>
        </w:rPr>
        <w:footnoteReference w:id="208"/>
      </w:r>
      <w:r w:rsidRPr="002D71B5">
        <w:t xml:space="preserve"> The unemployment rate is expected to average 4.</w:t>
      </w:r>
      <w:r w:rsidR="002E04E1" w:rsidRPr="002D71B5">
        <w:t>50</w:t>
      </w:r>
      <w:r w:rsidRPr="002D71B5">
        <w:t xml:space="preserve"> per cent in 2024-25, before increasing to 4.</w:t>
      </w:r>
      <w:r w:rsidR="002E04E1" w:rsidRPr="002D71B5">
        <w:t>7</w:t>
      </w:r>
      <w:r w:rsidRPr="002D71B5">
        <w:t xml:space="preserve">5 per cent </w:t>
      </w:r>
      <w:r w:rsidR="002E04E1" w:rsidRPr="002D71B5">
        <w:t>from</w:t>
      </w:r>
      <w:r w:rsidRPr="002D71B5">
        <w:t xml:space="preserve"> 2025-26.</w:t>
      </w:r>
    </w:p>
    <w:p w14:paraId="3C7BF57A" w14:textId="77777777" w:rsidR="003F26DA" w:rsidRDefault="003F26DA">
      <w:pPr>
        <w:pStyle w:val="03VIRTHeading3"/>
      </w:pPr>
      <w:r w:rsidRPr="00A81D5D">
        <w:t>Wages growth is expected to moderate as the labour market eases</w:t>
      </w:r>
    </w:p>
    <w:p w14:paraId="7A851BD0" w14:textId="64903C9B" w:rsidR="003F26DA" w:rsidRDefault="003F26DA">
      <w:pPr>
        <w:pStyle w:val="05Paragraph"/>
      </w:pPr>
      <w:r w:rsidRPr="00A81D5D">
        <w:t xml:space="preserve">The RBA observed that nominal wages growth </w:t>
      </w:r>
      <w:r>
        <w:t>has</w:t>
      </w:r>
      <w:r w:rsidRPr="00A81D5D">
        <w:t xml:space="preserve"> peaked, with growth forecast to moderate over the coming years.</w:t>
      </w:r>
      <w:r>
        <w:rPr>
          <w:rStyle w:val="FootnoteReference"/>
        </w:rPr>
        <w:footnoteReference w:id="209"/>
      </w:r>
      <w:r w:rsidRPr="00A81D5D">
        <w:t xml:space="preserve"> Annual growth in the Australian WPI is forecast to be </w:t>
      </w:r>
      <w:r>
        <w:t>3.4</w:t>
      </w:r>
      <w:r w:rsidRPr="00A81D5D">
        <w:t xml:space="preserve"> per cent in </w:t>
      </w:r>
      <w:r>
        <w:t>December</w:t>
      </w:r>
      <w:r w:rsidRPr="00A81D5D">
        <w:t xml:space="preserve"> 2024, before declining </w:t>
      </w:r>
      <w:r>
        <w:t xml:space="preserve">gradually </w:t>
      </w:r>
      <w:r w:rsidRPr="00A81D5D">
        <w:t xml:space="preserve">to </w:t>
      </w:r>
      <w:r w:rsidR="000566F6">
        <w:t xml:space="preserve">3.1 per cent in </w:t>
      </w:r>
      <w:r>
        <w:t>December 2026.</w:t>
      </w:r>
    </w:p>
    <w:p w14:paraId="5F88FA3D" w14:textId="38E5690F" w:rsidR="003F26DA" w:rsidRDefault="003F26DA">
      <w:pPr>
        <w:pStyle w:val="05Paragraph"/>
      </w:pPr>
      <w:r w:rsidRPr="002D71B5">
        <w:t xml:space="preserve">The 2024-25 Budget </w:t>
      </w:r>
      <w:r w:rsidR="002A05C2" w:rsidRPr="002D71B5">
        <w:t xml:space="preserve">Update </w:t>
      </w:r>
      <w:r w:rsidRPr="002D71B5">
        <w:t>forecast annual growth in the Victorian WPI to average 3.</w:t>
      </w:r>
      <w:r w:rsidR="00C71C73" w:rsidRPr="002D71B5">
        <w:t>50</w:t>
      </w:r>
      <w:r w:rsidRPr="002D71B5">
        <w:t xml:space="preserve"> per cent in 2024-25, before </w:t>
      </w:r>
      <w:r w:rsidR="001E0912" w:rsidRPr="002D71B5">
        <w:t>easing</w:t>
      </w:r>
      <w:r w:rsidRPr="002D71B5">
        <w:t xml:space="preserve"> to 3.25 per cent from 2025-26.</w:t>
      </w:r>
      <w:r w:rsidR="00B02FB0" w:rsidRPr="002D71B5">
        <w:t xml:space="preserve"> </w:t>
      </w:r>
      <w:r w:rsidR="00F9040F" w:rsidRPr="002D71B5">
        <w:t>The Department of Treasury and Finance (</w:t>
      </w:r>
      <w:r w:rsidR="00B02FB0" w:rsidRPr="002D71B5">
        <w:t>DTF</w:t>
      </w:r>
      <w:r w:rsidR="00F9040F" w:rsidRPr="002D71B5">
        <w:t>)</w:t>
      </w:r>
      <w:r w:rsidR="00B02FB0" w:rsidRPr="002D71B5">
        <w:t xml:space="preserve"> </w:t>
      </w:r>
      <w:r w:rsidR="00C5331E" w:rsidRPr="002D71B5">
        <w:t>expect</w:t>
      </w:r>
      <w:r w:rsidR="00710593" w:rsidRPr="002D71B5">
        <w:t>s</w:t>
      </w:r>
      <w:r w:rsidR="00B02FB0" w:rsidRPr="002D71B5">
        <w:t xml:space="preserve"> </w:t>
      </w:r>
      <w:r w:rsidR="00C5331E" w:rsidRPr="002D71B5">
        <w:t xml:space="preserve">private sector wages growth to </w:t>
      </w:r>
      <w:proofErr w:type="gramStart"/>
      <w:r w:rsidR="00C5331E" w:rsidRPr="002D71B5">
        <w:t>ease</w:t>
      </w:r>
      <w:r w:rsidR="00F86B27" w:rsidRPr="002D71B5">
        <w:t>, but</w:t>
      </w:r>
      <w:proofErr w:type="gramEnd"/>
      <w:r w:rsidR="00F86B27" w:rsidRPr="002D71B5">
        <w:t xml:space="preserve"> noted that overall wages growth would be supported by the </w:t>
      </w:r>
      <w:r w:rsidR="00363424" w:rsidRPr="002D71B5">
        <w:t xml:space="preserve">progressive finalisation of public sector </w:t>
      </w:r>
      <w:r w:rsidR="008E4E3E">
        <w:t>enterprise agreements</w:t>
      </w:r>
      <w:r w:rsidR="00363424" w:rsidRPr="002D71B5">
        <w:t>.</w:t>
      </w:r>
      <w:r w:rsidR="00363424" w:rsidRPr="002D71B5">
        <w:rPr>
          <w:rStyle w:val="FootnoteReference"/>
        </w:rPr>
        <w:footnoteReference w:id="210"/>
      </w:r>
      <w:r w:rsidR="00C5331E">
        <w:t xml:space="preserve"> </w:t>
      </w:r>
    </w:p>
    <w:p w14:paraId="24F4E3C8" w14:textId="4E6D9B1D" w:rsidR="003F26DA" w:rsidRDefault="003F26DA">
      <w:pPr>
        <w:pStyle w:val="05Paragraph"/>
      </w:pPr>
      <w:r w:rsidRPr="00A81D5D">
        <w:lastRenderedPageBreak/>
        <w:t>The Tribunal notes that</w:t>
      </w:r>
      <w:r>
        <w:t>,</w:t>
      </w:r>
      <w:r w:rsidRPr="00A81D5D">
        <w:t xml:space="preserve"> </w:t>
      </w:r>
      <w:r>
        <w:t xml:space="preserve">while </w:t>
      </w:r>
      <w:r w:rsidRPr="00A81D5D">
        <w:t xml:space="preserve">the Victorian Government </w:t>
      </w:r>
      <w:r>
        <w:t xml:space="preserve">finalised the VPS </w:t>
      </w:r>
      <w:r w:rsidR="008C2830">
        <w:t>enterprise agreement</w:t>
      </w:r>
      <w:r>
        <w:t xml:space="preserve"> earlier in 2024</w:t>
      </w:r>
      <w:r w:rsidRPr="00A81D5D">
        <w:t xml:space="preserve">, at the time of making this Determination </w:t>
      </w:r>
      <w:r>
        <w:t xml:space="preserve">it was </w:t>
      </w:r>
      <w:r w:rsidRPr="00A81D5D">
        <w:t xml:space="preserve">negotiating several </w:t>
      </w:r>
      <w:r>
        <w:t xml:space="preserve">other </w:t>
      </w:r>
      <w:r w:rsidRPr="00A81D5D">
        <w:t xml:space="preserve">major public sector </w:t>
      </w:r>
      <w:r w:rsidR="008C2830">
        <w:t>enterprise agreements</w:t>
      </w:r>
      <w:r>
        <w:t>. T</w:t>
      </w:r>
      <w:r w:rsidRPr="00A81D5D">
        <w:t>he commencement of those agreements is likely to boost public sector wages growth, which has been relatively subdued compared with the private sector.</w:t>
      </w:r>
    </w:p>
    <w:p w14:paraId="61D33F87" w14:textId="072A4F71" w:rsidR="003F26DA" w:rsidRDefault="003F26DA">
      <w:pPr>
        <w:pStyle w:val="05Paragraph"/>
      </w:pPr>
      <w:r>
        <w:t xml:space="preserve">Real wages are expected to continue growing, although the end of temporary electricity bill rebates will likely see inflation briefly </w:t>
      </w:r>
      <w:r w:rsidR="00E62D77">
        <w:t>exceed</w:t>
      </w:r>
      <w:r>
        <w:t xml:space="preserve"> nominal wages</w:t>
      </w:r>
      <w:r w:rsidR="00935721">
        <w:t xml:space="preserve"> growth</w:t>
      </w:r>
      <w:r>
        <w:t>.</w:t>
      </w:r>
      <w:r>
        <w:rPr>
          <w:rStyle w:val="FootnoteReference"/>
        </w:rPr>
        <w:footnoteReference w:id="211"/>
      </w:r>
      <w:r>
        <w:t xml:space="preserve"> By December 2026, the RBA expects annual real wage growth of 0.6 per cent.</w:t>
      </w:r>
    </w:p>
    <w:p w14:paraId="00391003" w14:textId="77777777" w:rsidR="003F26DA" w:rsidRDefault="003F26DA">
      <w:pPr>
        <w:pStyle w:val="03VIRTHeading3"/>
      </w:pPr>
      <w:r w:rsidRPr="00A96A17">
        <w:t>There are risks to the economic outlook, particularly around inflation</w:t>
      </w:r>
    </w:p>
    <w:p w14:paraId="28280122" w14:textId="6F07E26E" w:rsidR="003F26DA" w:rsidRDefault="003F26DA">
      <w:pPr>
        <w:pStyle w:val="05Paragraph"/>
      </w:pPr>
      <w:r>
        <w:t>In its November 2024 Statement, the RBA considered that the overall risks to the Australian economy remained ‘broadly balanced’, although the International Monetary Fund considered that the balance of risks is ‘tilted to the downside’.</w:t>
      </w:r>
      <w:r>
        <w:rPr>
          <w:rStyle w:val="FootnoteReference"/>
        </w:rPr>
        <w:footnoteReference w:id="212"/>
      </w:r>
      <w:r>
        <w:t xml:space="preserve"> </w:t>
      </w:r>
    </w:p>
    <w:p w14:paraId="21C0381E" w14:textId="5F9EA715" w:rsidR="003F26DA" w:rsidRDefault="003F26DA">
      <w:pPr>
        <w:pStyle w:val="05Paragraph"/>
      </w:pPr>
      <w:r>
        <w:t xml:space="preserve">Inflation could </w:t>
      </w:r>
      <w:r w:rsidR="002613E1">
        <w:t>ease more gradually than</w:t>
      </w:r>
      <w:r w:rsidR="008C174F">
        <w:t xml:space="preserve"> expected </w:t>
      </w:r>
      <w:r>
        <w:t>if productivity growth does not return to its long-run growth rate, which would reduce the supply capacity of the Australian economy and likely see cost pressures passed on to consumers.</w:t>
      </w:r>
      <w:r w:rsidR="008C174F">
        <w:rPr>
          <w:rStyle w:val="FootnoteReference"/>
        </w:rPr>
        <w:footnoteReference w:id="213"/>
      </w:r>
    </w:p>
    <w:p w14:paraId="663592B0" w14:textId="462A7D72" w:rsidR="003F26DA" w:rsidRDefault="003F26DA">
      <w:pPr>
        <w:pStyle w:val="05Paragraph"/>
      </w:pPr>
      <w:r>
        <w:t>The outlook for private sector consumption and investment could be more subdued than expected if, for example, households choose to save a higher proportion of their expected growth in income or business investment is deferred. Conversely, the significant increase in accumulated household wealth since the beginning of the pandemic could see the savings rate fall and consumption increase faster than expected.</w:t>
      </w:r>
      <w:r w:rsidR="008869A3">
        <w:rPr>
          <w:rStyle w:val="FootnoteReference"/>
        </w:rPr>
        <w:footnoteReference w:id="214"/>
      </w:r>
    </w:p>
    <w:p w14:paraId="30496831" w14:textId="145850AF" w:rsidR="003F26DA" w:rsidRDefault="003F26DA">
      <w:pPr>
        <w:pStyle w:val="05Paragraph"/>
      </w:pPr>
      <w:r>
        <w:t xml:space="preserve">Australia also faces an uncertain external environment with downside and upside risks. </w:t>
      </w:r>
      <w:r w:rsidRPr="002D610C">
        <w:t xml:space="preserve">Broader geopolitical tensions and intensifying regional conflicts could disrupt supply chains and increase shipping costs, which would </w:t>
      </w:r>
      <w:r>
        <w:t>add to</w:t>
      </w:r>
      <w:r w:rsidRPr="002D610C">
        <w:t xml:space="preserve"> domestic inflationary pressures. </w:t>
      </w:r>
      <w:r>
        <w:t xml:space="preserve">While the </w:t>
      </w:r>
      <w:r w:rsidR="00131060">
        <w:t>International Monetary Fund</w:t>
      </w:r>
      <w:r>
        <w:t xml:space="preserve"> pointed to ‘g</w:t>
      </w:r>
      <w:r w:rsidRPr="002D610C">
        <w:t xml:space="preserve">eoeconomic fragmentation’ </w:t>
      </w:r>
      <w:r>
        <w:t xml:space="preserve">from </w:t>
      </w:r>
      <w:r w:rsidRPr="002D610C">
        <w:t xml:space="preserve">increased trade barriers and weaknesses in major trading partners </w:t>
      </w:r>
      <w:r>
        <w:t>that could reduce</w:t>
      </w:r>
      <w:r w:rsidRPr="002D610C">
        <w:t xml:space="preserve"> demand for Australian exports</w:t>
      </w:r>
      <w:r>
        <w:t xml:space="preserve">, the RBA </w:t>
      </w:r>
      <w:r>
        <w:lastRenderedPageBreak/>
        <w:t>also noted the potential upside from additional fiscal stimulus in the global economy (particularly in China).</w:t>
      </w:r>
      <w:r w:rsidR="00A25649">
        <w:rPr>
          <w:rStyle w:val="FootnoteReference"/>
        </w:rPr>
        <w:footnoteReference w:id="215"/>
      </w:r>
    </w:p>
    <w:p w14:paraId="01AC4701" w14:textId="5886D3A2" w:rsidR="008830AF" w:rsidRDefault="008830AF">
      <w:pPr>
        <w:pStyle w:val="05Paragraph"/>
      </w:pPr>
      <w:r w:rsidRPr="002D71B5">
        <w:t xml:space="preserve">DTF noted similar risks to the Victorian economic outlook, including </w:t>
      </w:r>
      <w:r w:rsidR="005F2128" w:rsidRPr="002D71B5">
        <w:t>the potential for subdued consumption if</w:t>
      </w:r>
      <w:r w:rsidR="00FD11AA" w:rsidRPr="002D71B5">
        <w:t>, for example, households moderated spending and increased precautionary savings.</w:t>
      </w:r>
      <w:r w:rsidR="00BE17BD" w:rsidRPr="002D71B5">
        <w:rPr>
          <w:rStyle w:val="FootnoteReference"/>
        </w:rPr>
        <w:footnoteReference w:id="216"/>
      </w:r>
      <w:r w:rsidR="005F2128">
        <w:t xml:space="preserve"> </w:t>
      </w:r>
    </w:p>
    <w:p w14:paraId="0B2EFC1E" w14:textId="77777777" w:rsidR="003F26DA" w:rsidRDefault="003F26DA">
      <w:pPr>
        <w:pStyle w:val="02VIRTHeading2"/>
      </w:pPr>
      <w:bookmarkStart w:id="83" w:name="_Toc185012384"/>
      <w:r>
        <w:t>6.3</w:t>
      </w:r>
      <w:r>
        <w:tab/>
        <w:t>Financial position and fiscal strategy of the State of Victoria</w:t>
      </w:r>
      <w:bookmarkEnd w:id="83"/>
    </w:p>
    <w:p w14:paraId="248AB5FC" w14:textId="77777777" w:rsidR="003F26DA" w:rsidRDefault="003F26DA">
      <w:pPr>
        <w:pStyle w:val="05Paragraph"/>
      </w:pPr>
      <w:r>
        <w:t xml:space="preserve">The following discussion of the financial position and fiscal strategy of the State of Victoria has been informed by the 2024-25 Budget, the 2024-25 Budget Update and the latest </w:t>
      </w:r>
      <w:r w:rsidRPr="00200DE2">
        <w:rPr>
          <w:i/>
          <w:iCs/>
        </w:rPr>
        <w:t>Auditor General’s Report on the Annual Financial Report of the State of Victoria</w:t>
      </w:r>
      <w:r>
        <w:t xml:space="preserve"> (November 2024).</w:t>
      </w:r>
    </w:p>
    <w:p w14:paraId="78744907" w14:textId="191E64EE" w:rsidR="003F26DA" w:rsidRDefault="005E4650">
      <w:pPr>
        <w:pStyle w:val="03VIRTHeading3"/>
      </w:pPr>
      <w:r w:rsidRPr="002D71B5">
        <w:t>S</w:t>
      </w:r>
      <w:r w:rsidR="003F26DA" w:rsidRPr="002D71B5">
        <w:t xml:space="preserve">avings and efficiency measures </w:t>
      </w:r>
      <w:r w:rsidRPr="002D71B5">
        <w:t xml:space="preserve">have been </w:t>
      </w:r>
      <w:r w:rsidR="003F26DA" w:rsidRPr="002D71B5">
        <w:t xml:space="preserve">introduced in </w:t>
      </w:r>
      <w:r w:rsidRPr="002D71B5">
        <w:t>successive</w:t>
      </w:r>
      <w:r w:rsidR="003F26DA" w:rsidRPr="002D71B5">
        <w:t xml:space="preserve"> budget</w:t>
      </w:r>
      <w:r w:rsidRPr="002D71B5">
        <w:t>s</w:t>
      </w:r>
    </w:p>
    <w:p w14:paraId="2022927F" w14:textId="3FFD0C1F" w:rsidR="003F26DA" w:rsidRDefault="003F26DA">
      <w:pPr>
        <w:pStyle w:val="05Paragraph"/>
      </w:pPr>
      <w:r>
        <w:t>As noted in Chapter 3, the Victorian Government has adopted a range of strategies to improve the State’s financial position. These include the introduction of a temporary COVID-19 Debt Levy to offset the cost of measures introduced by the Victorian Government in response to the COVID 19 pandemic.</w:t>
      </w:r>
      <w:r>
        <w:rPr>
          <w:rStyle w:val="FootnoteReference"/>
        </w:rPr>
        <w:footnoteReference w:id="217"/>
      </w:r>
      <w:r>
        <w:t xml:space="preserve"> The </w:t>
      </w:r>
      <w:r w:rsidRPr="00200DE2">
        <w:rPr>
          <w:i/>
          <w:iCs/>
        </w:rPr>
        <w:t>Victorian Budget 2023-24</w:t>
      </w:r>
      <w:r>
        <w:t xml:space="preserve"> also included a range of savings and efficiency measures to be implemented across the public sector, including targeted reductions in the number of VPS staff.</w:t>
      </w:r>
      <w:r>
        <w:rPr>
          <w:rStyle w:val="FootnoteReference"/>
        </w:rPr>
        <w:footnoteReference w:id="218"/>
      </w:r>
      <w:r>
        <w:t xml:space="preserve"> </w:t>
      </w:r>
    </w:p>
    <w:p w14:paraId="695ADCD7" w14:textId="77777777" w:rsidR="003F26DA" w:rsidRDefault="003F26DA">
      <w:pPr>
        <w:pStyle w:val="05Paragraph"/>
      </w:pPr>
      <w:r>
        <w:t>According to the Victorian Government, the 2024-25 Budget builds on this strategy by:</w:t>
      </w:r>
      <w:r>
        <w:rPr>
          <w:rStyle w:val="FootnoteReference"/>
        </w:rPr>
        <w:footnoteReference w:id="219"/>
      </w:r>
      <w:r>
        <w:t xml:space="preserve"> </w:t>
      </w:r>
    </w:p>
    <w:p w14:paraId="5DD7019D" w14:textId="77777777" w:rsidR="003F26DA" w:rsidRDefault="003F26DA">
      <w:pPr>
        <w:pStyle w:val="07VIRTBreakouttext"/>
      </w:pPr>
      <w:r>
        <w:t>… recalibrating the Government’s service delivery, departmental expenditure and capital program to take account of the increasing cost of labour and materials as well as supply constraints in the economy, including workforce availability and capacity.</w:t>
      </w:r>
    </w:p>
    <w:p w14:paraId="1C65D840" w14:textId="4B453217" w:rsidR="003F26DA" w:rsidRPr="002D71B5" w:rsidRDefault="003F26DA">
      <w:pPr>
        <w:pStyle w:val="05Paragraph"/>
      </w:pPr>
      <w:r>
        <w:lastRenderedPageBreak/>
        <w:t>In particular, the Victorian Government announced that it will ‘progressively return its capital program towards pre-pandemic levels’ by the end of 2027-28.</w:t>
      </w:r>
      <w:r>
        <w:rPr>
          <w:rStyle w:val="FootnoteReference"/>
        </w:rPr>
        <w:footnoteReference w:id="220"/>
      </w:r>
      <w:r>
        <w:t xml:space="preserve"> </w:t>
      </w:r>
      <w:r w:rsidR="00A22CD2" w:rsidRPr="002D71B5">
        <w:t xml:space="preserve">The 2024-25 Budget Update </w:t>
      </w:r>
      <w:r w:rsidR="00F03372" w:rsidRPr="002D71B5">
        <w:t>noted that g</w:t>
      </w:r>
      <w:r w:rsidRPr="002D71B5">
        <w:t xml:space="preserve">overnment infrastructure investment is </w:t>
      </w:r>
      <w:r w:rsidR="00F03372" w:rsidRPr="002D71B5">
        <w:t>expected</w:t>
      </w:r>
      <w:r w:rsidRPr="002D71B5">
        <w:t xml:space="preserve"> to have peaked in 2023</w:t>
      </w:r>
      <w:r w:rsidRPr="002D71B5">
        <w:noBreakHyphen/>
        <w:t xml:space="preserve">24 and to progressively decline to </w:t>
      </w:r>
      <w:r w:rsidR="008C0A7B" w:rsidRPr="002D71B5">
        <w:t>$</w:t>
      </w:r>
      <w:r w:rsidR="00E86239" w:rsidRPr="002D71B5">
        <w:t>15.6</w:t>
      </w:r>
      <w:r w:rsidRPr="002D71B5">
        <w:t xml:space="preserve"> billion in 2027-28</w:t>
      </w:r>
      <w:r w:rsidR="00291E3B" w:rsidRPr="002D71B5">
        <w:t xml:space="preserve"> (Figure 6.</w:t>
      </w:r>
      <w:r w:rsidR="005E6C24" w:rsidRPr="002D71B5">
        <w:t>6</w:t>
      </w:r>
      <w:r w:rsidR="00291E3B" w:rsidRPr="002D71B5">
        <w:t>)</w:t>
      </w:r>
      <w:r w:rsidRPr="002D71B5">
        <w:t>.</w:t>
      </w:r>
      <w:r w:rsidR="00E86239" w:rsidRPr="002D71B5">
        <w:rPr>
          <w:rStyle w:val="FootnoteReference"/>
        </w:rPr>
        <w:footnoteReference w:id="221"/>
      </w:r>
      <w:r w:rsidRPr="002D71B5">
        <w:t xml:space="preserve"> Overall, </w:t>
      </w:r>
      <w:r w:rsidR="008856BA" w:rsidRPr="002D71B5">
        <w:t xml:space="preserve">however, </w:t>
      </w:r>
      <w:r w:rsidRPr="002D71B5">
        <w:t>government infrastructure investment is forecast to average $19.</w:t>
      </w:r>
      <w:r w:rsidR="00C564AC" w:rsidRPr="002D71B5">
        <w:t>9</w:t>
      </w:r>
      <w:r w:rsidRPr="002D71B5">
        <w:t xml:space="preserve"> billion per annum over the forward estimates, </w:t>
      </w:r>
      <w:r w:rsidR="00962BD3" w:rsidRPr="002D71B5">
        <w:t xml:space="preserve">which is </w:t>
      </w:r>
      <w:r w:rsidR="008856BA" w:rsidRPr="002D71B5">
        <w:t>slightly higher than</w:t>
      </w:r>
      <w:r w:rsidRPr="002D71B5">
        <w:t xml:space="preserve"> the </w:t>
      </w:r>
      <w:r w:rsidR="008856BA" w:rsidRPr="002D71B5">
        <w:t>forecasts</w:t>
      </w:r>
      <w:r w:rsidR="00D807F8" w:rsidRPr="002D71B5">
        <w:t xml:space="preserve"> published in the 2024-25 Budget</w:t>
      </w:r>
      <w:r w:rsidRPr="002D71B5">
        <w:t>.</w:t>
      </w:r>
      <w:r w:rsidRPr="002D71B5">
        <w:rPr>
          <w:rStyle w:val="FootnoteReference"/>
        </w:rPr>
        <w:footnoteReference w:id="222"/>
      </w:r>
      <w:r w:rsidRPr="002D71B5">
        <w:t xml:space="preserve"> </w:t>
      </w:r>
    </w:p>
    <w:p w14:paraId="0A25DE87" w14:textId="7A723E4A" w:rsidR="003F26DA" w:rsidRDefault="003F26DA">
      <w:pPr>
        <w:pStyle w:val="08Figuretableboxheading"/>
      </w:pPr>
      <w:r w:rsidRPr="002D71B5">
        <w:t>Figure 6.</w:t>
      </w:r>
      <w:r w:rsidR="005E6C24" w:rsidRPr="002D71B5">
        <w:t>6</w:t>
      </w:r>
      <w:r w:rsidRPr="002D71B5">
        <w:t xml:space="preserve">: 2024-25 Budget </w:t>
      </w:r>
      <w:r w:rsidR="0069437A" w:rsidRPr="002D71B5">
        <w:t xml:space="preserve">Update </w:t>
      </w:r>
      <w:r w:rsidRPr="002D71B5">
        <w:t>forecasts</w:t>
      </w:r>
      <w:r w:rsidRPr="002D71B5">
        <w:rPr>
          <w:vertAlign w:val="superscript"/>
        </w:rPr>
        <w:t>(a)</w:t>
      </w:r>
      <w:r w:rsidRPr="002D71B5">
        <w:t xml:space="preserve"> for government infrastructure investment</w:t>
      </w:r>
    </w:p>
    <w:p w14:paraId="69D69B43" w14:textId="70611227" w:rsidR="003F26DA" w:rsidRDefault="005D7B0E">
      <w:pPr>
        <w:spacing w:after="80"/>
      </w:pPr>
      <w:r>
        <w:rPr>
          <w:noProof/>
        </w:rPr>
        <w:drawing>
          <wp:inline distT="0" distB="0" distL="0" distR="0" wp14:anchorId="73145A46" wp14:editId="7F8E4380">
            <wp:extent cx="5395595" cy="2407920"/>
            <wp:effectExtent l="0" t="0" r="0" b="0"/>
            <wp:docPr id="1817811307" name="Picture 9" descr="A column chart showing government infrastructure investment since 2018-19, with forecasts shown for 2024-25 to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11307" name="Picture 9" descr="A column chart showing government infrastructure investment since 2018-19, with forecasts shown for 2024-25 to 2027-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5595" cy="2407920"/>
                    </a:xfrm>
                    <a:prstGeom prst="rect">
                      <a:avLst/>
                    </a:prstGeom>
                    <a:noFill/>
                  </pic:spPr>
                </pic:pic>
              </a:graphicData>
            </a:graphic>
          </wp:inline>
        </w:drawing>
      </w:r>
    </w:p>
    <w:p w14:paraId="690F3859" w14:textId="1FBA3E7B" w:rsidR="003F26DA" w:rsidRPr="001E2991" w:rsidRDefault="003F26DA">
      <w:pPr>
        <w:pStyle w:val="09Sourcesandnotesfortablesfiguresboxes"/>
      </w:pPr>
      <w:r w:rsidRPr="001E2991">
        <w:t>Note: (a) Actual values are shown for 2018-19 to 202</w:t>
      </w:r>
      <w:r w:rsidR="00C41A91" w:rsidRPr="001E2991">
        <w:t>3</w:t>
      </w:r>
      <w:r w:rsidRPr="001E2991">
        <w:t>-2</w:t>
      </w:r>
      <w:r w:rsidR="00C41A91" w:rsidRPr="001E2991">
        <w:t>4</w:t>
      </w:r>
      <w:r w:rsidRPr="001E2991">
        <w:t xml:space="preserve"> (inclusive).</w:t>
      </w:r>
    </w:p>
    <w:p w14:paraId="07F19477" w14:textId="5A3323C5" w:rsidR="003F26DA" w:rsidRDefault="003F26DA">
      <w:pPr>
        <w:pStyle w:val="09Sourcesandnotesfortablesfiguresboxes"/>
      </w:pPr>
      <w:r w:rsidRPr="001E2991">
        <w:t xml:space="preserve">Sources: </w:t>
      </w:r>
      <w:r w:rsidR="009E1E57">
        <w:t xml:space="preserve">DTF (2024b); </w:t>
      </w:r>
      <w:r w:rsidR="00A81751" w:rsidRPr="00EB56A3">
        <w:t>DTF (2024</w:t>
      </w:r>
      <w:r w:rsidR="00A81751">
        <w:t>d</w:t>
      </w:r>
      <w:r w:rsidR="00A81751" w:rsidRPr="00EB56A3">
        <w:t>)</w:t>
      </w:r>
      <w:r w:rsidR="00A81751">
        <w:t xml:space="preserve">, </w:t>
      </w:r>
      <w:r w:rsidR="00A81751" w:rsidRPr="00EB56A3">
        <w:t>p.</w:t>
      </w:r>
      <w:r w:rsidR="000E4191">
        <w:t xml:space="preserve"> </w:t>
      </w:r>
      <w:r w:rsidR="00A81751">
        <w:t>27</w:t>
      </w:r>
      <w:r w:rsidR="00A81751" w:rsidRPr="00EB56A3">
        <w:t>.</w:t>
      </w:r>
    </w:p>
    <w:p w14:paraId="59D93C72" w14:textId="77777777" w:rsidR="003F26DA" w:rsidRDefault="003F26DA">
      <w:pPr>
        <w:pStyle w:val="05Paragraph"/>
      </w:pPr>
      <w:r>
        <w:t xml:space="preserve">The 2024-25 Budget also added a new step to the Victorian Government’s fiscal strategy, which was first outlined in the </w:t>
      </w:r>
      <w:r w:rsidRPr="006E2470">
        <w:rPr>
          <w:i/>
          <w:iCs/>
        </w:rPr>
        <w:t>Victorian Budget 2020-21</w:t>
      </w:r>
      <w:r>
        <w:t xml:space="preserve"> in response to the COVID-19 pandemic: </w:t>
      </w:r>
    </w:p>
    <w:p w14:paraId="7DF0C97C" w14:textId="77777777" w:rsidR="003F26DA" w:rsidRDefault="003F26DA" w:rsidP="003F26DA">
      <w:pPr>
        <w:pStyle w:val="06VIRTBulletpoints"/>
        <w:ind w:left="357" w:hanging="357"/>
      </w:pPr>
      <w:r>
        <w:t>Step 1 – Creating jobs, reducing unemployment and restoring economic growth</w:t>
      </w:r>
    </w:p>
    <w:p w14:paraId="196EA5B7" w14:textId="77777777" w:rsidR="003F26DA" w:rsidRDefault="003F26DA" w:rsidP="003F26DA">
      <w:pPr>
        <w:pStyle w:val="06VIRTBulletpoints"/>
        <w:ind w:left="357" w:hanging="357"/>
      </w:pPr>
      <w:r>
        <w:t>Step 2 – Returning to an operating cash surplus</w:t>
      </w:r>
    </w:p>
    <w:p w14:paraId="44D82723" w14:textId="77777777" w:rsidR="003F26DA" w:rsidRDefault="003F26DA" w:rsidP="003F26DA">
      <w:pPr>
        <w:pStyle w:val="06VIRTBulletpoints"/>
        <w:ind w:left="357" w:hanging="357"/>
      </w:pPr>
      <w:r>
        <w:t>Step 3 – Returning to operating surpluses</w:t>
      </w:r>
    </w:p>
    <w:p w14:paraId="33623265" w14:textId="77777777" w:rsidR="003F26DA" w:rsidRDefault="003F26DA" w:rsidP="003F26DA">
      <w:pPr>
        <w:pStyle w:val="06VIRTBulletpoints"/>
        <w:ind w:left="357" w:hanging="357"/>
      </w:pPr>
      <w:r>
        <w:t>Step 4 – Stabilising debt levels</w:t>
      </w:r>
    </w:p>
    <w:p w14:paraId="59342DDF" w14:textId="77777777" w:rsidR="003F26DA" w:rsidRDefault="003F26DA" w:rsidP="003F26DA">
      <w:pPr>
        <w:pStyle w:val="06VIRTBulletpoints"/>
        <w:ind w:left="357" w:hanging="357"/>
      </w:pPr>
      <w:r>
        <w:t>Step 5 – Reducing net debt as a proportion of GSP (new).</w:t>
      </w:r>
    </w:p>
    <w:p w14:paraId="41D0B468" w14:textId="77777777" w:rsidR="003F26DA" w:rsidRDefault="003F26DA">
      <w:pPr>
        <w:pStyle w:val="03VIRTHeading3"/>
      </w:pPr>
      <w:r>
        <w:lastRenderedPageBreak/>
        <w:t>A return to an operating surplus is expected in 2025-26, but net debt is forecast to continue rising</w:t>
      </w:r>
    </w:p>
    <w:p w14:paraId="7EA5BEF0" w14:textId="5307018C" w:rsidR="003F26DA" w:rsidRDefault="003F26DA">
      <w:pPr>
        <w:pStyle w:val="05Paragraph"/>
      </w:pPr>
      <w:r>
        <w:t>The Victorian Government reported achieving step 2 of its fiscal strategy in 2022</w:t>
      </w:r>
      <w:r>
        <w:noBreakHyphen/>
        <w:t>23, with the general government sector (GGS) recording an operating cash surplus of $4.</w:t>
      </w:r>
      <w:r w:rsidR="002B0D50">
        <w:t>3</w:t>
      </w:r>
      <w:r>
        <w:t> billion.</w:t>
      </w:r>
      <w:r>
        <w:rPr>
          <w:rStyle w:val="FootnoteReference"/>
        </w:rPr>
        <w:footnoteReference w:id="223"/>
      </w:r>
      <w:r>
        <w:t xml:space="preserve"> A smaller surplus of $2.6 billion was achieved in 2023</w:t>
      </w:r>
      <w:r>
        <w:noBreakHyphen/>
        <w:t>24, although this was $2.2 billion higher than forecast in the 2024-25 Budget</w:t>
      </w:r>
      <w:r w:rsidR="004F1B66">
        <w:t>,</w:t>
      </w:r>
      <w:r>
        <w:t xml:space="preserve"> largely due to the timing of certain payments and receipts.</w:t>
      </w:r>
      <w:r>
        <w:rPr>
          <w:rStyle w:val="FootnoteReference"/>
        </w:rPr>
        <w:footnoteReference w:id="224"/>
      </w:r>
      <w:r>
        <w:t xml:space="preserve"> </w:t>
      </w:r>
      <w:r w:rsidRPr="00BC01C9">
        <w:t>Larger surpluses are forecast in future years (Figure 6.</w:t>
      </w:r>
      <w:r w:rsidR="005E6C24">
        <w:t>7</w:t>
      </w:r>
      <w:r w:rsidRPr="00BC01C9">
        <w:t>).</w:t>
      </w:r>
      <w:r>
        <w:t xml:space="preserve"> </w:t>
      </w:r>
    </w:p>
    <w:p w14:paraId="379AF021" w14:textId="43C9B334" w:rsidR="003F26DA" w:rsidRDefault="003F26DA">
      <w:pPr>
        <w:pStyle w:val="08Figuretableboxheading"/>
      </w:pPr>
      <w:r w:rsidRPr="002D71B5">
        <w:t>Figure 6.</w:t>
      </w:r>
      <w:r w:rsidR="005E6C24" w:rsidRPr="002D71B5">
        <w:t>7</w:t>
      </w:r>
      <w:r w:rsidRPr="002D71B5">
        <w:t>: 2024-25 Budget</w:t>
      </w:r>
      <w:r w:rsidR="00567FB8" w:rsidRPr="002D71B5">
        <w:t xml:space="preserve"> Update</w:t>
      </w:r>
      <w:r w:rsidRPr="002D71B5">
        <w:rPr>
          <w:vertAlign w:val="superscript"/>
        </w:rPr>
        <w:t>(a)</w:t>
      </w:r>
      <w:r w:rsidRPr="002D71B5">
        <w:t xml:space="preserve"> for</w:t>
      </w:r>
      <w:r w:rsidR="00F57A0D" w:rsidRPr="002D71B5">
        <w:t>ecast</w:t>
      </w:r>
      <w:r w:rsidRPr="002D71B5">
        <w:t xml:space="preserve"> operating result and operating cash result</w:t>
      </w:r>
    </w:p>
    <w:p w14:paraId="4DFAEE0A" w14:textId="3C3236E6" w:rsidR="003F26DA" w:rsidRDefault="005D7B0E">
      <w:pPr>
        <w:spacing w:after="80"/>
      </w:pPr>
      <w:r>
        <w:rPr>
          <w:noProof/>
        </w:rPr>
        <w:drawing>
          <wp:inline distT="0" distB="0" distL="0" distR="0" wp14:anchorId="253369FF" wp14:editId="768BFD8D">
            <wp:extent cx="5414010" cy="2207260"/>
            <wp:effectExtent l="0" t="0" r="0" b="2540"/>
            <wp:docPr id="1141066007" name="Picture 10" descr="A column chart showing the operating result and operating cash result for the GGS since 2018-19, with forecasts shown for 2024-25 to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66007" name="Picture 10" descr="A column chart showing the operating result and operating cash result for the GGS since 2018-19, with forecasts shown for 2024-25 to 2027-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4010" cy="2207260"/>
                    </a:xfrm>
                    <a:prstGeom prst="rect">
                      <a:avLst/>
                    </a:prstGeom>
                    <a:noFill/>
                  </pic:spPr>
                </pic:pic>
              </a:graphicData>
            </a:graphic>
          </wp:inline>
        </w:drawing>
      </w:r>
    </w:p>
    <w:p w14:paraId="2E8ADD7C" w14:textId="7F2C8E12" w:rsidR="003F26DA" w:rsidRPr="001A6974" w:rsidRDefault="003F26DA">
      <w:pPr>
        <w:pStyle w:val="09Sourcesandnotesfortablesfiguresboxes"/>
      </w:pPr>
      <w:r w:rsidRPr="001A6974">
        <w:t>Note: (a) Actual values are shown for 2018-19 to 2023</w:t>
      </w:r>
      <w:r w:rsidR="00F57A0D" w:rsidRPr="001A6974">
        <w:t>-24</w:t>
      </w:r>
      <w:r w:rsidRPr="001A6974">
        <w:t xml:space="preserve"> (inclusive).</w:t>
      </w:r>
    </w:p>
    <w:p w14:paraId="205FAE72" w14:textId="71B2E1FC" w:rsidR="003F26DA" w:rsidRDefault="003F26DA">
      <w:pPr>
        <w:pStyle w:val="09Sourcesandnotesfortablesfiguresboxes"/>
      </w:pPr>
      <w:r w:rsidRPr="001A6974">
        <w:t xml:space="preserve">Sources: </w:t>
      </w:r>
      <w:r w:rsidR="00604464">
        <w:t xml:space="preserve">DTF (2024b); </w:t>
      </w:r>
      <w:r w:rsidR="00604464" w:rsidRPr="00EB56A3">
        <w:t>DTF (2024</w:t>
      </w:r>
      <w:r w:rsidR="00604464">
        <w:t>d</w:t>
      </w:r>
      <w:r w:rsidR="00604464" w:rsidRPr="00EB56A3">
        <w:t>)</w:t>
      </w:r>
      <w:r w:rsidR="00604464">
        <w:t xml:space="preserve">, </w:t>
      </w:r>
      <w:r w:rsidR="00604464" w:rsidRPr="00EB56A3">
        <w:t>p.</w:t>
      </w:r>
      <w:r w:rsidR="00604464">
        <w:t xml:space="preserve"> 19</w:t>
      </w:r>
      <w:r w:rsidR="00604464" w:rsidRPr="00EB56A3">
        <w:t>.</w:t>
      </w:r>
    </w:p>
    <w:p w14:paraId="01600942" w14:textId="37FD2F1B" w:rsidR="00931D62" w:rsidRPr="002D71B5" w:rsidRDefault="003F26DA" w:rsidP="00930F45">
      <w:pPr>
        <w:pStyle w:val="05Paragraph"/>
        <w:rPr>
          <w:rStyle w:val="06VIRTBulletpointsChar"/>
        </w:rPr>
      </w:pPr>
      <w:r w:rsidRPr="00930F45">
        <w:t xml:space="preserve">The operating deficit for the GGS </w:t>
      </w:r>
      <w:r w:rsidR="00931D62" w:rsidRPr="00930F45">
        <w:t>is forecast to be</w:t>
      </w:r>
      <w:r w:rsidRPr="00930F45">
        <w:t xml:space="preserve"> $</w:t>
      </w:r>
      <w:r w:rsidR="00AE1E3B" w:rsidRPr="00930F45">
        <w:t>3.6</w:t>
      </w:r>
      <w:r w:rsidRPr="00930F45">
        <w:t xml:space="preserve"> billion in 2024-25</w:t>
      </w:r>
      <w:r w:rsidR="00BE563F" w:rsidRPr="00930F45">
        <w:t>,</w:t>
      </w:r>
      <w:r w:rsidR="00865386" w:rsidRPr="00930F45">
        <w:t xml:space="preserve"> compared to a forecast</w:t>
      </w:r>
      <w:r w:rsidRPr="00930F45">
        <w:t xml:space="preserve"> deficit of $2.2 billion </w:t>
      </w:r>
      <w:r w:rsidR="000815C8" w:rsidRPr="00930F45">
        <w:t>in the 2024-25 Budget.</w:t>
      </w:r>
      <w:r w:rsidR="000815C8" w:rsidRPr="005276F3">
        <w:rPr>
          <w:vertAlign w:val="superscript"/>
        </w:rPr>
        <w:footnoteReference w:id="225"/>
      </w:r>
      <w:r w:rsidR="000815C8" w:rsidRPr="00930F45">
        <w:t xml:space="preserve"> </w:t>
      </w:r>
      <w:r w:rsidR="005810BC" w:rsidRPr="00930F45">
        <w:t xml:space="preserve">This </w:t>
      </w:r>
      <w:r w:rsidR="008709FB" w:rsidRPr="00930F45">
        <w:t>principally reflect</w:t>
      </w:r>
      <w:r w:rsidR="00830596">
        <w:t>s</w:t>
      </w:r>
      <w:r w:rsidR="008709FB" w:rsidRPr="00930F45">
        <w:t xml:space="preserve"> </w:t>
      </w:r>
      <w:r w:rsidR="00DC5449" w:rsidRPr="00930F45">
        <w:t xml:space="preserve">additional spending on health services, </w:t>
      </w:r>
      <w:r w:rsidR="00825732" w:rsidRPr="00930F45">
        <w:t>partially offset by additional revenue</w:t>
      </w:r>
      <w:r w:rsidR="000F550E" w:rsidRPr="00930F45">
        <w:t xml:space="preserve"> and budget contingencies.</w:t>
      </w:r>
      <w:r w:rsidR="000F550E" w:rsidRPr="002D71B5">
        <w:rPr>
          <w:rStyle w:val="FootnoteReference"/>
          <w:rFonts w:cs="Calibri"/>
        </w:rPr>
        <w:footnoteReference w:id="226"/>
      </w:r>
    </w:p>
    <w:p w14:paraId="11B4216F" w14:textId="252F728B" w:rsidR="003F26DA" w:rsidRPr="00930F45" w:rsidRDefault="009804E3" w:rsidP="00930F45">
      <w:pPr>
        <w:pStyle w:val="05Paragraph"/>
      </w:pPr>
      <w:r w:rsidRPr="00930F45">
        <w:rPr>
          <w:rStyle w:val="06VIRTBulletpointsChar"/>
          <w:rFonts w:cs="Arial"/>
        </w:rPr>
        <w:t xml:space="preserve">The </w:t>
      </w:r>
      <w:r w:rsidR="00AB780A" w:rsidRPr="00930F45">
        <w:rPr>
          <w:rStyle w:val="06VIRTBulletpointsChar"/>
          <w:rFonts w:cs="Arial"/>
        </w:rPr>
        <w:t>2024-25</w:t>
      </w:r>
      <w:r w:rsidRPr="00930F45">
        <w:rPr>
          <w:rStyle w:val="06VIRTBulletpointsChar"/>
          <w:rFonts w:cs="Arial"/>
        </w:rPr>
        <w:t xml:space="preserve"> Budget Update </w:t>
      </w:r>
      <w:r w:rsidR="00875F67" w:rsidRPr="00930F45">
        <w:rPr>
          <w:rStyle w:val="06VIRTBulletpointsChar"/>
          <w:rFonts w:cs="Arial"/>
        </w:rPr>
        <w:t>forecast a</w:t>
      </w:r>
      <w:r w:rsidR="003F26DA" w:rsidRPr="00930F45">
        <w:rPr>
          <w:rStyle w:val="06VIRTBulletpointsChar"/>
          <w:rFonts w:cs="Arial"/>
        </w:rPr>
        <w:t xml:space="preserve"> return to surplus in 2025</w:t>
      </w:r>
      <w:r w:rsidR="003F26DA" w:rsidRPr="00930F45">
        <w:rPr>
          <w:rStyle w:val="06VIRTBulletpointsChar"/>
          <w:rFonts w:cs="Arial"/>
        </w:rPr>
        <w:noBreakHyphen/>
        <w:t>26</w:t>
      </w:r>
      <w:r w:rsidR="00875F67" w:rsidRPr="00930F45">
        <w:rPr>
          <w:rStyle w:val="06VIRTBulletpointsChar"/>
          <w:rFonts w:cs="Arial"/>
        </w:rPr>
        <w:t>, which</w:t>
      </w:r>
      <w:r w:rsidR="003F26DA" w:rsidRPr="00930F45">
        <w:rPr>
          <w:rStyle w:val="06VIRTBulletpointsChar"/>
          <w:rFonts w:cs="Arial"/>
        </w:rPr>
        <w:t xml:space="preserve"> would be the first surplus since 201</w:t>
      </w:r>
      <w:r w:rsidR="00B05CF3" w:rsidRPr="00930F45">
        <w:rPr>
          <w:rStyle w:val="06VIRTBulletpointsChar"/>
          <w:rFonts w:cs="Arial"/>
        </w:rPr>
        <w:t>8</w:t>
      </w:r>
      <w:r w:rsidR="003F26DA" w:rsidRPr="00930F45">
        <w:rPr>
          <w:rStyle w:val="06VIRTBulletpointsChar"/>
          <w:rFonts w:cs="Arial"/>
        </w:rPr>
        <w:t>-</w:t>
      </w:r>
      <w:r w:rsidR="00B05CF3" w:rsidRPr="00930F45">
        <w:rPr>
          <w:rStyle w:val="06VIRTBulletpointsChar"/>
          <w:rFonts w:cs="Arial"/>
        </w:rPr>
        <w:t>19</w:t>
      </w:r>
      <w:r w:rsidR="003F26DA" w:rsidRPr="00930F45">
        <w:rPr>
          <w:rStyle w:val="06VIRTBulletpointsChar"/>
          <w:rFonts w:cs="Arial"/>
        </w:rPr>
        <w:t>, with larger surpluses forecast for 2026</w:t>
      </w:r>
      <w:r w:rsidR="003F26DA" w:rsidRPr="00930F45">
        <w:rPr>
          <w:rStyle w:val="06VIRTBulletpointsChar"/>
          <w:rFonts w:cs="Arial"/>
        </w:rPr>
        <w:noBreakHyphen/>
        <w:t>27 and 2027</w:t>
      </w:r>
      <w:r w:rsidR="00712BBC" w:rsidRPr="00930F45">
        <w:rPr>
          <w:rStyle w:val="06VIRTBulletpointsChar"/>
          <w:rFonts w:cs="Arial"/>
        </w:rPr>
        <w:noBreakHyphen/>
      </w:r>
      <w:r w:rsidR="003F26DA" w:rsidRPr="00930F45">
        <w:rPr>
          <w:rStyle w:val="06VIRTBulletpointsChar"/>
          <w:rFonts w:cs="Arial"/>
        </w:rPr>
        <w:t>28.</w:t>
      </w:r>
      <w:r w:rsidR="003F26DA" w:rsidRPr="007D5E66">
        <w:rPr>
          <w:rStyle w:val="06VIRTBulletpointsChar"/>
          <w:rFonts w:cs="Arial"/>
          <w:vertAlign w:val="superscript"/>
        </w:rPr>
        <w:footnoteReference w:id="227"/>
      </w:r>
      <w:r w:rsidR="003F26DA" w:rsidRPr="00930F45">
        <w:rPr>
          <w:rStyle w:val="06VIRTBulletpointsChar"/>
          <w:rFonts w:cs="Arial"/>
        </w:rPr>
        <w:t xml:space="preserve"> The 2024-25 Budget noted that future surpluses would fund an </w:t>
      </w:r>
      <w:r w:rsidR="003F26DA" w:rsidRPr="00930F45">
        <w:rPr>
          <w:rStyle w:val="06VIRTBulletpointsChar"/>
          <w:rFonts w:cs="Arial"/>
        </w:rPr>
        <w:lastRenderedPageBreak/>
        <w:t>increasing share of the Victorian Government’s capital program,</w:t>
      </w:r>
      <w:r w:rsidR="003F26DA" w:rsidRPr="00930F45">
        <w:t xml:space="preserve"> reducing the amount of new borrowing required and helping to stabilise and reduce net debt.</w:t>
      </w:r>
      <w:r w:rsidR="003F26DA" w:rsidRPr="007D5E66">
        <w:rPr>
          <w:rStyle w:val="FootnoteReference"/>
        </w:rPr>
        <w:footnoteReference w:id="228"/>
      </w:r>
      <w:r w:rsidR="003F26DA" w:rsidRPr="00930F45">
        <w:t xml:space="preserve"> </w:t>
      </w:r>
    </w:p>
    <w:p w14:paraId="467366E1" w14:textId="30A57A3C" w:rsidR="003F26DA" w:rsidRPr="002D71B5" w:rsidRDefault="003F26DA">
      <w:pPr>
        <w:pStyle w:val="05Paragraph"/>
      </w:pPr>
      <w:r w:rsidRPr="002D71B5">
        <w:t xml:space="preserve">Net debt for the GGS was $133.2 billion </w:t>
      </w:r>
      <w:proofErr w:type="gramStart"/>
      <w:r w:rsidRPr="002D71B5">
        <w:t>at</w:t>
      </w:r>
      <w:proofErr w:type="gramEnd"/>
      <w:r w:rsidRPr="002D71B5">
        <w:t xml:space="preserve"> 30 June 2024, which reflected the improved </w:t>
      </w:r>
      <w:r w:rsidR="00412058" w:rsidRPr="002D71B5">
        <w:t xml:space="preserve">operating </w:t>
      </w:r>
      <w:r w:rsidRPr="002D71B5">
        <w:t>cash surplus</w:t>
      </w:r>
      <w:r w:rsidRPr="001A168B">
        <w:t>.</w:t>
      </w:r>
      <w:r w:rsidRPr="001A168B">
        <w:rPr>
          <w:rStyle w:val="FootnoteReference"/>
        </w:rPr>
        <w:footnoteReference w:id="229"/>
      </w:r>
      <w:r w:rsidRPr="001A168B">
        <w:t xml:space="preserve"> </w:t>
      </w:r>
      <w:r w:rsidRPr="002D71B5">
        <w:t xml:space="preserve">Net debt is expected to stabilise </w:t>
      </w:r>
      <w:r w:rsidR="00412058" w:rsidRPr="002D71B5">
        <w:t xml:space="preserve">as a proportion of GSP </w:t>
      </w:r>
      <w:r w:rsidRPr="002D71B5">
        <w:t xml:space="preserve">at around 25 per cent from June 2026, consistent with achieving steps 4 and 5 of the fiscal strategy. </w:t>
      </w:r>
      <w:r w:rsidR="005D7DA8" w:rsidRPr="002D71B5">
        <w:t>D</w:t>
      </w:r>
      <w:r w:rsidRPr="002D71B5">
        <w:t xml:space="preserve">ebt is forecast to continue rising in nominal terms, </w:t>
      </w:r>
      <w:r w:rsidR="006E7644" w:rsidRPr="002D71B5">
        <w:t>with net</w:t>
      </w:r>
      <w:r w:rsidR="00667ACD" w:rsidRPr="002D71B5">
        <w:t xml:space="preserve"> debt</w:t>
      </w:r>
      <w:r w:rsidRPr="002D71B5">
        <w:t xml:space="preserve"> expected to be around $18</w:t>
      </w:r>
      <w:r w:rsidR="00566F89" w:rsidRPr="002D71B5">
        <w:t>7</w:t>
      </w:r>
      <w:r w:rsidRPr="002D71B5">
        <w:t xml:space="preserve"> billion by 30 June 2028</w:t>
      </w:r>
      <w:r w:rsidR="00566F89" w:rsidRPr="002D71B5">
        <w:t xml:space="preserve">, which is slightly </w:t>
      </w:r>
      <w:r w:rsidR="0038304A" w:rsidRPr="002D71B5">
        <w:t>lower than the 2024-</w:t>
      </w:r>
      <w:r w:rsidR="003520D7" w:rsidRPr="002D71B5">
        <w:t>2</w:t>
      </w:r>
      <w:r w:rsidR="0038304A" w:rsidRPr="002D71B5">
        <w:t>5 Budget forecast</w:t>
      </w:r>
      <w:r w:rsidRPr="002D71B5">
        <w:t xml:space="preserve"> (Figure 6.</w:t>
      </w:r>
      <w:r w:rsidR="001A6974" w:rsidRPr="002D71B5">
        <w:t>8</w:t>
      </w:r>
      <w:r w:rsidRPr="002D71B5">
        <w:t xml:space="preserve">). </w:t>
      </w:r>
    </w:p>
    <w:p w14:paraId="543EB17C" w14:textId="40404A24" w:rsidR="003F26DA" w:rsidRDefault="003F26DA">
      <w:pPr>
        <w:pStyle w:val="08Figuretableboxheading"/>
      </w:pPr>
      <w:r w:rsidRPr="002D71B5">
        <w:t>Figure 6.</w:t>
      </w:r>
      <w:r w:rsidR="001A6974" w:rsidRPr="002D71B5">
        <w:t>8</w:t>
      </w:r>
      <w:r w:rsidRPr="002D71B5">
        <w:t xml:space="preserve">: 2024-25 Budget </w:t>
      </w:r>
      <w:r w:rsidR="008D3B2E" w:rsidRPr="002D71B5">
        <w:t xml:space="preserve">Update </w:t>
      </w:r>
      <w:r w:rsidRPr="002D71B5">
        <w:t>forecasts</w:t>
      </w:r>
      <w:r w:rsidRPr="002D71B5">
        <w:rPr>
          <w:vertAlign w:val="superscript"/>
        </w:rPr>
        <w:t>(a)</w:t>
      </w:r>
      <w:r w:rsidRPr="002D71B5">
        <w:t xml:space="preserve"> for net debt and net debt to GSP</w:t>
      </w:r>
    </w:p>
    <w:p w14:paraId="042BC388" w14:textId="16B27320" w:rsidR="003F26DA" w:rsidRDefault="005D7B0E">
      <w:pPr>
        <w:spacing w:after="80"/>
      </w:pPr>
      <w:r>
        <w:rPr>
          <w:noProof/>
        </w:rPr>
        <w:drawing>
          <wp:inline distT="0" distB="0" distL="0" distR="0" wp14:anchorId="2B634D94" wp14:editId="3AC6956E">
            <wp:extent cx="5414010" cy="2493645"/>
            <wp:effectExtent l="0" t="0" r="0" b="1905"/>
            <wp:docPr id="1333043392" name="Picture 11" descr="A chart showing net debt and net debt to GSP for the GGS since 2018-19, with forecasts shown for 2024-25 to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43392" name="Picture 11" descr="A chart showing net debt and net debt to GSP for the GGS since 2018-19, with forecasts shown for 2024-25 to 2027-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4010" cy="2493645"/>
                    </a:xfrm>
                    <a:prstGeom prst="rect">
                      <a:avLst/>
                    </a:prstGeom>
                    <a:noFill/>
                  </pic:spPr>
                </pic:pic>
              </a:graphicData>
            </a:graphic>
          </wp:inline>
        </w:drawing>
      </w:r>
    </w:p>
    <w:p w14:paraId="1DF8F7F3" w14:textId="348A21AA" w:rsidR="003F26DA" w:rsidRPr="00990318" w:rsidRDefault="003F26DA">
      <w:pPr>
        <w:pStyle w:val="09Sourcesandnotesfortablesfiguresboxes"/>
      </w:pPr>
      <w:r w:rsidRPr="00990318">
        <w:t>Note: (a) Actual values are shown for 2018-19 to 202</w:t>
      </w:r>
      <w:r w:rsidR="00990318">
        <w:t>3</w:t>
      </w:r>
      <w:r w:rsidRPr="00990318">
        <w:t>-2</w:t>
      </w:r>
      <w:r w:rsidR="00990318">
        <w:t>4</w:t>
      </w:r>
      <w:r w:rsidRPr="00990318">
        <w:t xml:space="preserve"> (inclusive).</w:t>
      </w:r>
    </w:p>
    <w:p w14:paraId="734CD9F3" w14:textId="6AE8DF70" w:rsidR="003F26DA" w:rsidRDefault="003F26DA">
      <w:pPr>
        <w:pStyle w:val="09Sourcesandnotesfortablesfiguresboxes"/>
      </w:pPr>
      <w:r w:rsidRPr="00667ACD">
        <w:t xml:space="preserve">Sources: </w:t>
      </w:r>
      <w:r w:rsidR="00D8195D" w:rsidRPr="00BE79E8">
        <w:t>ABS (2024b)</w:t>
      </w:r>
      <w:r w:rsidR="00747550" w:rsidRPr="000E4191">
        <w:t>;</w:t>
      </w:r>
      <w:r w:rsidR="000E4191" w:rsidRPr="000E4191">
        <w:t xml:space="preserve"> DTF</w:t>
      </w:r>
      <w:r w:rsidR="000E4191">
        <w:t xml:space="preserve"> (2024b); </w:t>
      </w:r>
      <w:r w:rsidR="000E4191" w:rsidRPr="00EB56A3">
        <w:t>DTF (2024</w:t>
      </w:r>
      <w:r w:rsidR="000E4191">
        <w:t>d</w:t>
      </w:r>
      <w:r w:rsidR="000E4191" w:rsidRPr="00EB56A3">
        <w:t>)</w:t>
      </w:r>
      <w:r w:rsidR="000E4191">
        <w:t xml:space="preserve">, </w:t>
      </w:r>
      <w:r w:rsidR="000E4191" w:rsidRPr="00EB56A3">
        <w:t>p.</w:t>
      </w:r>
      <w:r w:rsidR="0051072E">
        <w:t xml:space="preserve"> 19</w:t>
      </w:r>
      <w:r w:rsidR="000E4191" w:rsidRPr="00EB56A3">
        <w:t>.</w:t>
      </w:r>
      <w:r w:rsidR="00747550" w:rsidRPr="00BE79E8">
        <w:rPr>
          <w:highlight w:val="yellow"/>
        </w:rPr>
        <w:t xml:space="preserve"> </w:t>
      </w:r>
    </w:p>
    <w:p w14:paraId="665233B7" w14:textId="77777777" w:rsidR="003F26DA" w:rsidRDefault="003F26DA">
      <w:pPr>
        <w:pStyle w:val="03VIRTHeading3"/>
      </w:pPr>
      <w:r>
        <w:t>The Auditor-General has identified risks to Victoria’s fiscal outlook</w:t>
      </w:r>
    </w:p>
    <w:p w14:paraId="7A96D7CE" w14:textId="0BEA876C" w:rsidR="003F26DA" w:rsidRDefault="003F26DA">
      <w:pPr>
        <w:pStyle w:val="05Paragraph"/>
      </w:pPr>
      <w:r>
        <w:t xml:space="preserve">Each year, VAGO issues a report on the </w:t>
      </w:r>
      <w:r w:rsidR="00CE1344">
        <w:t xml:space="preserve">Annual </w:t>
      </w:r>
      <w:r>
        <w:t xml:space="preserve">Financial Report of the State of Victoria. The November 2024 report examined Victoria’s 2023-24 </w:t>
      </w:r>
      <w:r w:rsidRPr="001A168B">
        <w:t xml:space="preserve">Financial </w:t>
      </w:r>
      <w:proofErr w:type="gramStart"/>
      <w:r w:rsidRPr="001A168B">
        <w:t>Report</w:t>
      </w:r>
      <w:r w:rsidR="009D0486" w:rsidRPr="002D71B5">
        <w:t>, and</w:t>
      </w:r>
      <w:proofErr w:type="gramEnd"/>
      <w:r w:rsidR="009D0486" w:rsidRPr="002D71B5">
        <w:t xml:space="preserve"> was released prior to the 2024-25 Budget Update</w:t>
      </w:r>
      <w:r w:rsidRPr="001A168B">
        <w:t>.</w:t>
      </w:r>
    </w:p>
    <w:p w14:paraId="07E2025C" w14:textId="598C46E5" w:rsidR="003F26DA" w:rsidRPr="00477906" w:rsidRDefault="003F26DA">
      <w:pPr>
        <w:pStyle w:val="05Paragraph"/>
        <w:rPr>
          <w:spacing w:val="-6"/>
        </w:rPr>
      </w:pPr>
      <w:r w:rsidRPr="00477906">
        <w:rPr>
          <w:spacing w:val="-6"/>
        </w:rPr>
        <w:t>VAGO recommended that the Victorian Government supplement its current fiscal strategy with a long-term plan for fiscal sustainability to address current challenges and future risks.</w:t>
      </w:r>
      <w:r w:rsidRPr="00477906">
        <w:rPr>
          <w:rStyle w:val="FootnoteReference"/>
          <w:spacing w:val="-6"/>
        </w:rPr>
        <w:footnoteReference w:id="230"/>
      </w:r>
      <w:r w:rsidRPr="00477906">
        <w:rPr>
          <w:spacing w:val="-6"/>
        </w:rPr>
        <w:t xml:space="preserve"> Three emerging risks to the GGS identified by VAGO — interest expenses, employee expenses and infrastructure spending — are discussed in Box 6.</w:t>
      </w:r>
      <w:r w:rsidR="001A6974" w:rsidRPr="00477906">
        <w:rPr>
          <w:spacing w:val="-6"/>
        </w:rPr>
        <w:t>1</w:t>
      </w:r>
      <w:r w:rsidRPr="00477906">
        <w:rPr>
          <w:spacing w:val="-6"/>
        </w:rPr>
        <w:t>.</w:t>
      </w:r>
    </w:p>
    <w:p w14:paraId="0481351A" w14:textId="39ACE567" w:rsidR="003F26DA" w:rsidRDefault="003F26DA">
      <w:pPr>
        <w:pStyle w:val="08Figuretableboxheading"/>
      </w:pPr>
      <w:r>
        <w:lastRenderedPageBreak/>
        <w:t>Box 6.</w:t>
      </w:r>
      <w:r w:rsidR="001A6974">
        <w:t>1</w:t>
      </w:r>
      <w:r>
        <w:t>: Emerging risks to Victoria’s fiscal outlook identified by VAGO</w:t>
      </w:r>
    </w:p>
    <w:p w14:paraId="6BDEEA54" w14:textId="77777777" w:rsidR="003F26DA" w:rsidRDefault="003F26DA">
      <w:pPr>
        <w:spacing w:after="80"/>
      </w:pPr>
      <w:r>
        <w:rPr>
          <w:noProof/>
        </w:rPr>
        <mc:AlternateContent>
          <mc:Choice Requires="wps">
            <w:drawing>
              <wp:inline distT="0" distB="0" distL="0" distR="0" wp14:anchorId="63386FA8" wp14:editId="0359C8FA">
                <wp:extent cx="5333716" cy="5622877"/>
                <wp:effectExtent l="0" t="0" r="19685" b="16510"/>
                <wp:docPr id="619581262" name="Rectangle 4"/>
                <wp:cNvGraphicFramePr/>
                <a:graphic xmlns:a="http://schemas.openxmlformats.org/drawingml/2006/main">
                  <a:graphicData uri="http://schemas.microsoft.com/office/word/2010/wordprocessingShape">
                    <wps:wsp>
                      <wps:cNvSpPr/>
                      <wps:spPr>
                        <a:xfrm>
                          <a:off x="0" y="0"/>
                          <a:ext cx="5333716" cy="5622877"/>
                        </a:xfrm>
                        <a:prstGeom prst="rect">
                          <a:avLst/>
                        </a:prstGeom>
                        <a:noFill/>
                        <a:ln w="19050">
                          <a:solidFill>
                            <a:schemeClr val="accent1"/>
                          </a:solidFill>
                        </a:ln>
                        <a:effectLst/>
                      </wps:spPr>
                      <wps:style>
                        <a:lnRef idx="1">
                          <a:schemeClr val="accent1"/>
                        </a:lnRef>
                        <a:fillRef idx="3">
                          <a:schemeClr val="accent1"/>
                        </a:fillRef>
                        <a:effectRef idx="2">
                          <a:schemeClr val="accent1"/>
                        </a:effectRef>
                        <a:fontRef idx="minor">
                          <a:schemeClr val="lt1"/>
                        </a:fontRef>
                      </wps:style>
                      <wps:txbx>
                        <w:txbxContent>
                          <w:p w14:paraId="4F40ADD3" w14:textId="0DB34A7F" w:rsidR="003F26DA" w:rsidRPr="007C3A47" w:rsidRDefault="003F26DA">
                            <w:pPr>
                              <w:pStyle w:val="12BoxText"/>
                              <w:rPr>
                                <w:b/>
                                <w:bCs/>
                                <w:color w:val="26664E" w:themeColor="accent1"/>
                              </w:rPr>
                            </w:pPr>
                            <w:r w:rsidRPr="007C3A47">
                              <w:rPr>
                                <w:b/>
                                <w:bCs/>
                                <w:color w:val="26664E" w:themeColor="accent1"/>
                              </w:rPr>
                              <w:t>Interest expenses</w:t>
                            </w:r>
                          </w:p>
                          <w:p w14:paraId="7F5960D9" w14:textId="77777777" w:rsidR="003F26DA" w:rsidRPr="009A3B03" w:rsidRDefault="003F26DA" w:rsidP="003F26DA">
                            <w:pPr>
                              <w:pStyle w:val="13Boxbullets"/>
                              <w:ind w:left="502"/>
                            </w:pPr>
                            <w:r w:rsidRPr="009A3B03">
                              <w:t xml:space="preserve">GGS gross debt is forecast to be 30.5 per cent of GSP </w:t>
                            </w:r>
                            <w:proofErr w:type="gramStart"/>
                            <w:r>
                              <w:t>at</w:t>
                            </w:r>
                            <w:proofErr w:type="gramEnd"/>
                            <w:r>
                              <w:t xml:space="preserve"> 30 June 2028 </w:t>
                            </w:r>
                            <w:r w:rsidRPr="009A3B03">
                              <w:t xml:space="preserve">and VAGO noted that the annual growth rate from 2023-24 to 2027-28 is </w:t>
                            </w:r>
                            <w:r>
                              <w:t xml:space="preserve">forecast to be </w:t>
                            </w:r>
                            <w:r w:rsidRPr="009A3B03">
                              <w:t xml:space="preserve">well above growth </w:t>
                            </w:r>
                            <w:r>
                              <w:t>in</w:t>
                            </w:r>
                            <w:r w:rsidRPr="009A3B03">
                              <w:t xml:space="preserve"> GSP and GGS operating revenue. </w:t>
                            </w:r>
                          </w:p>
                          <w:p w14:paraId="22E565F0" w14:textId="77777777" w:rsidR="003F26DA" w:rsidRPr="009A3B03" w:rsidRDefault="003F26DA" w:rsidP="003F26DA">
                            <w:pPr>
                              <w:pStyle w:val="13Boxbullets"/>
                              <w:ind w:left="502"/>
                            </w:pPr>
                            <w:r w:rsidRPr="009A3B03">
                              <w:t xml:space="preserve">Over $52 billion of existing debt is projected to be refinanced over the four years to 30 June 2028, which is likely to be at higher interest rates. </w:t>
                            </w:r>
                          </w:p>
                          <w:p w14:paraId="55845A77" w14:textId="77777777" w:rsidR="003F26DA" w:rsidRPr="009A3B03" w:rsidRDefault="003F26DA" w:rsidP="003F26DA">
                            <w:pPr>
                              <w:pStyle w:val="13Boxbullets"/>
                              <w:ind w:left="502"/>
                            </w:pPr>
                            <w:r w:rsidRPr="009A3B03">
                              <w:t>VAGO noted that higher debt servicing costs as a proportion of revenue can pose challenges for funding other activities and place pressure on the operating result.</w:t>
                            </w:r>
                          </w:p>
                          <w:p w14:paraId="518F5C80" w14:textId="1C2400EB" w:rsidR="003F26DA" w:rsidRPr="00D41DB0" w:rsidRDefault="003F26DA" w:rsidP="003F26DA">
                            <w:pPr>
                              <w:pStyle w:val="13Boxbullets"/>
                              <w:ind w:left="502"/>
                              <w:rPr>
                                <w:spacing w:val="-4"/>
                              </w:rPr>
                            </w:pPr>
                            <w:r w:rsidRPr="00D41DB0">
                              <w:rPr>
                                <w:spacing w:val="-4"/>
                              </w:rPr>
                              <w:t xml:space="preserve">Annual interest expenses are expected to increase from $5.6 billion in 2023-24 to $9.4 billion by 2027-28 (or from 6.1 per cent to 8.8 per cent of GGS operating revenue). </w:t>
                            </w:r>
                          </w:p>
                          <w:p w14:paraId="048A95AE" w14:textId="77777777" w:rsidR="00145EC4" w:rsidRDefault="00145EC4">
                            <w:pPr>
                              <w:pStyle w:val="12BoxText"/>
                              <w:rPr>
                                <w:b/>
                                <w:bCs/>
                                <w:color w:val="26664E" w:themeColor="accent1"/>
                              </w:rPr>
                            </w:pPr>
                          </w:p>
                          <w:p w14:paraId="03DC691B" w14:textId="7C3125F8" w:rsidR="003F26DA" w:rsidRDefault="003F26DA">
                            <w:pPr>
                              <w:pStyle w:val="12BoxText"/>
                            </w:pPr>
                            <w:r w:rsidRPr="000C217D">
                              <w:rPr>
                                <w:b/>
                                <w:bCs/>
                                <w:color w:val="26664E" w:themeColor="accent1"/>
                              </w:rPr>
                              <w:t>Employee expenses</w:t>
                            </w:r>
                          </w:p>
                          <w:p w14:paraId="39B8D2AD" w14:textId="4FC39197" w:rsidR="003F26DA" w:rsidRDefault="003F26DA" w:rsidP="003F26DA">
                            <w:pPr>
                              <w:pStyle w:val="13Boxbullets"/>
                              <w:ind w:left="502"/>
                            </w:pPr>
                            <w:r w:rsidRPr="007C3A47">
                              <w:t xml:space="preserve">Employee costs are the </w:t>
                            </w:r>
                            <w:r w:rsidR="00F57D70">
                              <w:t>S</w:t>
                            </w:r>
                            <w:r w:rsidRPr="007C3A47">
                              <w:t>tate’s single largest operating expense, accounting for around 3</w:t>
                            </w:r>
                            <w:r>
                              <w:t>7</w:t>
                            </w:r>
                            <w:r w:rsidRPr="007C3A47">
                              <w:t xml:space="preserve"> per cent of </w:t>
                            </w:r>
                            <w:r>
                              <w:t>GGS</w:t>
                            </w:r>
                            <w:r w:rsidRPr="007C3A47">
                              <w:t xml:space="preserve"> </w:t>
                            </w:r>
                            <w:r>
                              <w:t xml:space="preserve">operating </w:t>
                            </w:r>
                            <w:r w:rsidRPr="007C3A47">
                              <w:t>expenditure in 202</w:t>
                            </w:r>
                            <w:r>
                              <w:t>3</w:t>
                            </w:r>
                            <w:r w:rsidRPr="007C3A47">
                              <w:t>-2</w:t>
                            </w:r>
                            <w:r>
                              <w:t>4</w:t>
                            </w:r>
                            <w:r w:rsidRPr="007C3A47">
                              <w:t>.</w:t>
                            </w:r>
                          </w:p>
                          <w:p w14:paraId="02771496" w14:textId="77777777" w:rsidR="003F26DA" w:rsidRDefault="003F26DA" w:rsidP="003F26DA">
                            <w:pPr>
                              <w:pStyle w:val="13Boxbullets"/>
                              <w:ind w:left="502"/>
                            </w:pPr>
                            <w:r>
                              <w:t xml:space="preserve">Annual growth in employee expenses was 7.6 per cent over the last eight </w:t>
                            </w:r>
                            <w:proofErr w:type="gramStart"/>
                            <w:r>
                              <w:t>years, but</w:t>
                            </w:r>
                            <w:proofErr w:type="gramEnd"/>
                            <w:r>
                              <w:t xml:space="preserve"> is forecast to be 2.6 per cent over the next four years.</w:t>
                            </w:r>
                          </w:p>
                          <w:p w14:paraId="2D5D7AE3" w14:textId="77777777" w:rsidR="003F26DA" w:rsidRDefault="003F26DA" w:rsidP="003F26DA">
                            <w:pPr>
                              <w:pStyle w:val="13Boxbullets"/>
                              <w:ind w:left="502"/>
                            </w:pPr>
                            <w:r>
                              <w:t xml:space="preserve">VAGO noted that there could be pressure on forecast employee expenses if planned staff reductions are not realised or if enterprise agreements are renegotiated at higher rates than expiring agreements. </w:t>
                            </w:r>
                          </w:p>
                          <w:p w14:paraId="76401960" w14:textId="77777777" w:rsidR="003F26DA" w:rsidRPr="00D41DB0" w:rsidRDefault="003F26DA" w:rsidP="003F26DA">
                            <w:pPr>
                              <w:pStyle w:val="13Boxbullets"/>
                              <w:ind w:left="502"/>
                              <w:rPr>
                                <w:spacing w:val="-4"/>
                              </w:rPr>
                            </w:pPr>
                            <w:r w:rsidRPr="00D41DB0">
                              <w:rPr>
                                <w:spacing w:val="-4"/>
                              </w:rPr>
                              <w:t>Other challenges include increased demand for public services due to population growth.</w:t>
                            </w:r>
                          </w:p>
                          <w:p w14:paraId="466291BF" w14:textId="77777777" w:rsidR="00145EC4" w:rsidRDefault="00145EC4">
                            <w:pPr>
                              <w:pStyle w:val="12BoxText"/>
                              <w:rPr>
                                <w:b/>
                                <w:bCs/>
                                <w:color w:val="26664E" w:themeColor="accent1"/>
                              </w:rPr>
                            </w:pPr>
                          </w:p>
                          <w:p w14:paraId="141A7096" w14:textId="539CEDFB" w:rsidR="003F26DA" w:rsidRPr="007F66C6" w:rsidRDefault="003F26DA">
                            <w:pPr>
                              <w:pStyle w:val="12BoxText"/>
                              <w:rPr>
                                <w:b/>
                                <w:bCs/>
                                <w:color w:val="26664E" w:themeColor="accent1"/>
                              </w:rPr>
                            </w:pPr>
                            <w:r>
                              <w:rPr>
                                <w:b/>
                                <w:bCs/>
                                <w:color w:val="26664E" w:themeColor="accent1"/>
                              </w:rPr>
                              <w:t>Infrastructure spending</w:t>
                            </w:r>
                          </w:p>
                          <w:p w14:paraId="555DF5F2" w14:textId="77777777" w:rsidR="003F26DA" w:rsidRDefault="003F26DA" w:rsidP="003F26DA">
                            <w:pPr>
                              <w:pStyle w:val="13Boxbullets"/>
                              <w:ind w:left="502"/>
                            </w:pPr>
                            <w:r>
                              <w:t>The 2024-25 Budget included a forward capital program of $208 billion, which was a net increase of $7.9 billion compared to the same time last year.</w:t>
                            </w:r>
                          </w:p>
                          <w:p w14:paraId="10B11B62" w14:textId="77777777" w:rsidR="003F26DA" w:rsidRPr="009712E1" w:rsidRDefault="003F26DA" w:rsidP="003F26DA">
                            <w:pPr>
                              <w:pStyle w:val="13Boxbullets"/>
                              <w:ind w:left="502"/>
                              <w:rPr>
                                <w:spacing w:val="-4"/>
                              </w:rPr>
                            </w:pPr>
                            <w:r w:rsidRPr="009712E1">
                              <w:rPr>
                                <w:spacing w:val="-4"/>
                              </w:rPr>
                              <w:t>VAGO regularly reviews the performance of major capital projects and has observed cost escalation on specific projects. This can occur for different reasons, including changes to the scope of projects and volatility in the construction sector and supply chains.</w:t>
                            </w:r>
                          </w:p>
                          <w:p w14:paraId="7574499A" w14:textId="02849B5E" w:rsidR="003F26DA" w:rsidRDefault="003F26DA" w:rsidP="003F26DA">
                            <w:pPr>
                              <w:pStyle w:val="13Boxbullets"/>
                              <w:ind w:left="502"/>
                            </w:pPr>
                            <w:r w:rsidRPr="007F66C6">
                              <w:t>VAGO noted that</w:t>
                            </w:r>
                            <w:r>
                              <w:t xml:space="preserve"> further cost pressures in current or new major projects could affect the </w:t>
                            </w:r>
                            <w:r w:rsidR="00D24E5D">
                              <w:t>S</w:t>
                            </w:r>
                            <w:r>
                              <w:t>tate’s fiscal sustainability</w:t>
                            </w:r>
                            <w:r w:rsidRPr="007F66C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3386FA8" id="Rectangle 4" o:spid="_x0000_s1035" style="width:420pt;height:4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" filled="f" strokecolor="#26664e [3204]" strokeweight="1.5pt">
                <v:textbox>
                  <w:txbxContent>
                    <w:p w14:paraId="4F40ADD3" w14:textId="0DB34A7F" w:rsidR="003F26DA" w:rsidRPr="007C3A47" w:rsidRDefault="003F26DA">
                      <w:pPr>
                        <w:pStyle w:val="12BoxText"/>
                        <w:rPr>
                          <w:b/>
                          <w:bCs/>
                          <w:color w:val="26664E" w:themeColor="accent1"/>
                        </w:rPr>
                      </w:pPr>
                      <w:r w:rsidRPr="007C3A47">
                        <w:rPr>
                          <w:b/>
                          <w:bCs/>
                          <w:color w:val="26664E" w:themeColor="accent1"/>
                        </w:rPr>
                        <w:t>Interest expenses</w:t>
                      </w:r>
                    </w:p>
                    <w:p w14:paraId="7F5960D9" w14:textId="77777777" w:rsidR="003F26DA" w:rsidRPr="009A3B03" w:rsidRDefault="003F26DA" w:rsidP="003F26DA">
                      <w:pPr>
                        <w:pStyle w:val="13Boxbullets"/>
                        <w:ind w:left="502"/>
                      </w:pPr>
                      <w:r w:rsidRPr="009A3B03">
                        <w:t xml:space="preserve">GGS gross debt is forecast to be 30.5 per cent of GSP </w:t>
                      </w:r>
                      <w:proofErr w:type="gramStart"/>
                      <w:r>
                        <w:t>at</w:t>
                      </w:r>
                      <w:proofErr w:type="gramEnd"/>
                      <w:r>
                        <w:t xml:space="preserve"> 30 June 2028 </w:t>
                      </w:r>
                      <w:r w:rsidRPr="009A3B03">
                        <w:t xml:space="preserve">and VAGO noted that the annual growth rate from 2023-24 to 2027-28 is </w:t>
                      </w:r>
                      <w:r>
                        <w:t xml:space="preserve">forecast to be </w:t>
                      </w:r>
                      <w:r w:rsidRPr="009A3B03">
                        <w:t xml:space="preserve">well above growth </w:t>
                      </w:r>
                      <w:r>
                        <w:t>in</w:t>
                      </w:r>
                      <w:r w:rsidRPr="009A3B03">
                        <w:t xml:space="preserve"> GSP and GGS operating revenue. </w:t>
                      </w:r>
                    </w:p>
                    <w:p w14:paraId="22E565F0" w14:textId="77777777" w:rsidR="003F26DA" w:rsidRPr="009A3B03" w:rsidRDefault="003F26DA" w:rsidP="003F26DA">
                      <w:pPr>
                        <w:pStyle w:val="13Boxbullets"/>
                        <w:ind w:left="502"/>
                      </w:pPr>
                      <w:r w:rsidRPr="009A3B03">
                        <w:t xml:space="preserve">Over $52 billion of existing debt is projected to be refinanced over the four years to 30 June 2028, which is likely to be at higher interest rates. </w:t>
                      </w:r>
                    </w:p>
                    <w:p w14:paraId="55845A77" w14:textId="77777777" w:rsidR="003F26DA" w:rsidRPr="009A3B03" w:rsidRDefault="003F26DA" w:rsidP="003F26DA">
                      <w:pPr>
                        <w:pStyle w:val="13Boxbullets"/>
                        <w:ind w:left="502"/>
                      </w:pPr>
                      <w:r w:rsidRPr="009A3B03">
                        <w:t>VAGO noted that higher debt servicing costs as a proportion of revenue can pose challenges for funding other activities and place pressure on the operating result.</w:t>
                      </w:r>
                    </w:p>
                    <w:p w14:paraId="518F5C80" w14:textId="1C2400EB" w:rsidR="003F26DA" w:rsidRPr="00D41DB0" w:rsidRDefault="003F26DA" w:rsidP="003F26DA">
                      <w:pPr>
                        <w:pStyle w:val="13Boxbullets"/>
                        <w:ind w:left="502"/>
                        <w:rPr>
                          <w:spacing w:val="-4"/>
                        </w:rPr>
                      </w:pPr>
                      <w:r w:rsidRPr="00D41DB0">
                        <w:rPr>
                          <w:spacing w:val="-4"/>
                        </w:rPr>
                        <w:t xml:space="preserve">Annual interest expenses are expected to increase from $5.6 billion in 2023-24 to $9.4 billion by 2027-28 (or from 6.1 per cent to 8.8 per cent of GGS operating revenue). </w:t>
                      </w:r>
                    </w:p>
                    <w:p w14:paraId="048A95AE" w14:textId="77777777" w:rsidR="00145EC4" w:rsidRDefault="00145EC4">
                      <w:pPr>
                        <w:pStyle w:val="12BoxText"/>
                        <w:rPr>
                          <w:b/>
                          <w:bCs/>
                          <w:color w:val="26664E" w:themeColor="accent1"/>
                        </w:rPr>
                      </w:pPr>
                    </w:p>
                    <w:p w14:paraId="03DC691B" w14:textId="7C3125F8" w:rsidR="003F26DA" w:rsidRDefault="003F26DA">
                      <w:pPr>
                        <w:pStyle w:val="12BoxText"/>
                      </w:pPr>
                      <w:r w:rsidRPr="000C217D">
                        <w:rPr>
                          <w:b/>
                          <w:bCs/>
                          <w:color w:val="26664E" w:themeColor="accent1"/>
                        </w:rPr>
                        <w:t>Employee expenses</w:t>
                      </w:r>
                    </w:p>
                    <w:p w14:paraId="39B8D2AD" w14:textId="4FC39197" w:rsidR="003F26DA" w:rsidRDefault="003F26DA" w:rsidP="003F26DA">
                      <w:pPr>
                        <w:pStyle w:val="13Boxbullets"/>
                        <w:ind w:left="502"/>
                      </w:pPr>
                      <w:r w:rsidRPr="007C3A47">
                        <w:t xml:space="preserve">Employee costs are the </w:t>
                      </w:r>
                      <w:r w:rsidR="00F57D70">
                        <w:t>S</w:t>
                      </w:r>
                      <w:r w:rsidRPr="007C3A47">
                        <w:t>tate’s single largest operating expense, accounting for around 3</w:t>
                      </w:r>
                      <w:r>
                        <w:t>7</w:t>
                      </w:r>
                      <w:r w:rsidRPr="007C3A47">
                        <w:t xml:space="preserve"> per cent of </w:t>
                      </w:r>
                      <w:r>
                        <w:t>GGS</w:t>
                      </w:r>
                      <w:r w:rsidRPr="007C3A47">
                        <w:t xml:space="preserve"> </w:t>
                      </w:r>
                      <w:r>
                        <w:t xml:space="preserve">operating </w:t>
                      </w:r>
                      <w:r w:rsidRPr="007C3A47">
                        <w:t>expenditure in 202</w:t>
                      </w:r>
                      <w:r>
                        <w:t>3</w:t>
                      </w:r>
                      <w:r w:rsidRPr="007C3A47">
                        <w:t>-2</w:t>
                      </w:r>
                      <w:r>
                        <w:t>4</w:t>
                      </w:r>
                      <w:r w:rsidRPr="007C3A47">
                        <w:t>.</w:t>
                      </w:r>
                    </w:p>
                    <w:p w14:paraId="02771496" w14:textId="77777777" w:rsidR="003F26DA" w:rsidRDefault="003F26DA" w:rsidP="003F26DA">
                      <w:pPr>
                        <w:pStyle w:val="13Boxbullets"/>
                        <w:ind w:left="502"/>
                      </w:pPr>
                      <w:r>
                        <w:t xml:space="preserve">Annual growth in employee expenses was 7.6 per cent over the last eight </w:t>
                      </w:r>
                      <w:proofErr w:type="gramStart"/>
                      <w:r>
                        <w:t>years, but</w:t>
                      </w:r>
                      <w:proofErr w:type="gramEnd"/>
                      <w:r>
                        <w:t xml:space="preserve"> is forecast to be 2.6 per cent over the next four years.</w:t>
                      </w:r>
                    </w:p>
                    <w:p w14:paraId="2D5D7AE3" w14:textId="77777777" w:rsidR="003F26DA" w:rsidRDefault="003F26DA" w:rsidP="003F26DA">
                      <w:pPr>
                        <w:pStyle w:val="13Boxbullets"/>
                        <w:ind w:left="502"/>
                      </w:pPr>
                      <w:r>
                        <w:t xml:space="preserve">VAGO noted that there could be pressure on forecast employee expenses if planned staff reductions are not realised or if enterprise agreements are renegotiated at higher rates than expiring agreements. </w:t>
                      </w:r>
                    </w:p>
                    <w:p w14:paraId="76401960" w14:textId="77777777" w:rsidR="003F26DA" w:rsidRPr="00D41DB0" w:rsidRDefault="003F26DA" w:rsidP="003F26DA">
                      <w:pPr>
                        <w:pStyle w:val="13Boxbullets"/>
                        <w:ind w:left="502"/>
                        <w:rPr>
                          <w:spacing w:val="-4"/>
                        </w:rPr>
                      </w:pPr>
                      <w:r w:rsidRPr="00D41DB0">
                        <w:rPr>
                          <w:spacing w:val="-4"/>
                        </w:rPr>
                        <w:t>Other challenges include increased demand for public services due to population growth.</w:t>
                      </w:r>
                    </w:p>
                    <w:p w14:paraId="466291BF" w14:textId="77777777" w:rsidR="00145EC4" w:rsidRDefault="00145EC4">
                      <w:pPr>
                        <w:pStyle w:val="12BoxText"/>
                        <w:rPr>
                          <w:b/>
                          <w:bCs/>
                          <w:color w:val="26664E" w:themeColor="accent1"/>
                        </w:rPr>
                      </w:pPr>
                    </w:p>
                    <w:p w14:paraId="141A7096" w14:textId="539CEDFB" w:rsidR="003F26DA" w:rsidRPr="007F66C6" w:rsidRDefault="003F26DA">
                      <w:pPr>
                        <w:pStyle w:val="12BoxText"/>
                        <w:rPr>
                          <w:b/>
                          <w:bCs/>
                          <w:color w:val="26664E" w:themeColor="accent1"/>
                        </w:rPr>
                      </w:pPr>
                      <w:r>
                        <w:rPr>
                          <w:b/>
                          <w:bCs/>
                          <w:color w:val="26664E" w:themeColor="accent1"/>
                        </w:rPr>
                        <w:t>Infrastructure spending</w:t>
                      </w:r>
                    </w:p>
                    <w:p w14:paraId="555DF5F2" w14:textId="77777777" w:rsidR="003F26DA" w:rsidRDefault="003F26DA" w:rsidP="003F26DA">
                      <w:pPr>
                        <w:pStyle w:val="13Boxbullets"/>
                        <w:ind w:left="502"/>
                      </w:pPr>
                      <w:r>
                        <w:t>The 2024-25 Budget included a forward capital program of $208 billion, which was a net increase of $7.9 billion compared to the same time last year.</w:t>
                      </w:r>
                    </w:p>
                    <w:p w14:paraId="10B11B62" w14:textId="77777777" w:rsidR="003F26DA" w:rsidRPr="009712E1" w:rsidRDefault="003F26DA" w:rsidP="003F26DA">
                      <w:pPr>
                        <w:pStyle w:val="13Boxbullets"/>
                        <w:ind w:left="502"/>
                        <w:rPr>
                          <w:spacing w:val="-4"/>
                        </w:rPr>
                      </w:pPr>
                      <w:r w:rsidRPr="009712E1">
                        <w:rPr>
                          <w:spacing w:val="-4"/>
                        </w:rPr>
                        <w:t>VAGO regularly reviews the performance of major capital projects and has observed cost escalation on specific projects. This can occur for different reasons, including changes to the scope of projects and volatility in the construction sector and supply chains.</w:t>
                      </w:r>
                    </w:p>
                    <w:p w14:paraId="7574499A" w14:textId="02849B5E" w:rsidR="003F26DA" w:rsidRDefault="003F26DA" w:rsidP="003F26DA">
                      <w:pPr>
                        <w:pStyle w:val="13Boxbullets"/>
                        <w:ind w:left="502"/>
                      </w:pPr>
                      <w:r w:rsidRPr="007F66C6">
                        <w:t>VAGO noted that</w:t>
                      </w:r>
                      <w:r>
                        <w:t xml:space="preserve"> further cost pressures in current or new major projects could affect the </w:t>
                      </w:r>
                      <w:r w:rsidR="00D24E5D">
                        <w:t>S</w:t>
                      </w:r>
                      <w:r>
                        <w:t>tate’s fiscal sustainability</w:t>
                      </w:r>
                      <w:r w:rsidRPr="007F66C6">
                        <w:t>.</w:t>
                      </w:r>
                    </w:p>
                  </w:txbxContent>
                </v:textbox>
                <w10:anchorlock/>
              </v:rect>
            </w:pict>
          </mc:Fallback>
        </mc:AlternateContent>
      </w:r>
    </w:p>
    <w:p w14:paraId="61D08815" w14:textId="5FF9F000" w:rsidR="003F26DA" w:rsidRDefault="003F26DA">
      <w:pPr>
        <w:pStyle w:val="09Sourcesandnotesfortablesfiguresboxes"/>
      </w:pPr>
      <w:r>
        <w:t>Source: VAGO (2024)</w:t>
      </w:r>
      <w:r w:rsidR="007E69BF">
        <w:t xml:space="preserve">, </w:t>
      </w:r>
      <w:r w:rsidR="007E69BF" w:rsidRPr="003772DF">
        <w:t>pp</w:t>
      </w:r>
      <w:r w:rsidR="00570C8B">
        <w:t>.</w:t>
      </w:r>
      <w:r w:rsidR="007E69BF">
        <w:t> </w:t>
      </w:r>
      <w:r w:rsidR="007E69BF" w:rsidRPr="003772DF">
        <w:t>25</w:t>
      </w:r>
      <w:r w:rsidR="007E69BF">
        <w:noBreakHyphen/>
      </w:r>
      <w:r w:rsidR="007E69BF" w:rsidRPr="003772DF">
        <w:t>35.</w:t>
      </w:r>
    </w:p>
    <w:p w14:paraId="1801794E" w14:textId="16657D95" w:rsidR="003F26DA" w:rsidRPr="009712E1" w:rsidRDefault="003F26DA">
      <w:pPr>
        <w:pStyle w:val="05Paragraph"/>
        <w:rPr>
          <w:spacing w:val="-4"/>
        </w:rPr>
      </w:pPr>
      <w:r w:rsidRPr="009712E1">
        <w:rPr>
          <w:spacing w:val="-4"/>
        </w:rPr>
        <w:t xml:space="preserve">VAGO also identified emerging risks that impact the broader public sector, </w:t>
      </w:r>
      <w:proofErr w:type="gramStart"/>
      <w:r w:rsidRPr="009712E1">
        <w:rPr>
          <w:spacing w:val="-4"/>
        </w:rPr>
        <w:t>in particular,</w:t>
      </w:r>
      <w:proofErr w:type="gramEnd"/>
      <w:r w:rsidRPr="009712E1">
        <w:rPr>
          <w:spacing w:val="-4"/>
        </w:rPr>
        <w:t xml:space="preserve"> the continued growth in the State’s insurance liabilities. Collectively, the State’s three insurance entities — WorkSafe Victoria, the Transport Accident Commission and </w:t>
      </w:r>
      <w:r w:rsidR="00F12433" w:rsidRPr="009712E1">
        <w:rPr>
          <w:spacing w:val="-4"/>
        </w:rPr>
        <w:t>VMIA</w:t>
      </w:r>
      <w:r w:rsidRPr="009712E1">
        <w:rPr>
          <w:spacing w:val="-4"/>
        </w:rPr>
        <w:t xml:space="preserve"> — had $53.1 billion in liabilities (including $50.1 billion in outstanding insurance claims) </w:t>
      </w:r>
      <w:proofErr w:type="gramStart"/>
      <w:r w:rsidRPr="009712E1">
        <w:rPr>
          <w:spacing w:val="-4"/>
        </w:rPr>
        <w:t>at</w:t>
      </w:r>
      <w:proofErr w:type="gramEnd"/>
      <w:r w:rsidRPr="009712E1">
        <w:rPr>
          <w:spacing w:val="-4"/>
        </w:rPr>
        <w:t xml:space="preserve"> 30 June 2024, against total assets of $53.3 billion. VAGO noted that the financial sustainability of public financial corporations, including the </w:t>
      </w:r>
      <w:proofErr w:type="gramStart"/>
      <w:r w:rsidRPr="009712E1">
        <w:rPr>
          <w:spacing w:val="-4"/>
        </w:rPr>
        <w:t>aforementioned entities</w:t>
      </w:r>
      <w:proofErr w:type="gramEnd"/>
      <w:r w:rsidRPr="009712E1">
        <w:rPr>
          <w:spacing w:val="-4"/>
        </w:rPr>
        <w:t>, is critical for the State’s overall fiscal sustainability.</w:t>
      </w:r>
      <w:r w:rsidRPr="009712E1">
        <w:rPr>
          <w:rStyle w:val="FootnoteReference"/>
          <w:spacing w:val="-4"/>
        </w:rPr>
        <w:footnoteReference w:id="231"/>
      </w:r>
    </w:p>
    <w:p w14:paraId="0B97597D" w14:textId="77777777" w:rsidR="003F26DA" w:rsidRDefault="003F26DA">
      <w:pPr>
        <w:pStyle w:val="02VIRTHeading2"/>
      </w:pPr>
      <w:bookmarkStart w:id="85" w:name="_Toc185012385"/>
      <w:r>
        <w:lastRenderedPageBreak/>
        <w:t>6.4</w:t>
      </w:r>
      <w:r>
        <w:tab/>
        <w:t>Victorian Public Sector Wages Policy</w:t>
      </w:r>
      <w:bookmarkEnd w:id="85"/>
    </w:p>
    <w:p w14:paraId="4850D412" w14:textId="23B03270" w:rsidR="003F26DA" w:rsidRDefault="003F26DA">
      <w:pPr>
        <w:pStyle w:val="05Paragraph"/>
      </w:pPr>
      <w:r>
        <w:t xml:space="preserve">The Wages Policy and the Enterprise Bargaining Framework (Wages Policy) sets out the parameters within which Victorian public sector employers, including public service bodies, are required to bargain and make </w:t>
      </w:r>
      <w:r w:rsidR="008C2830">
        <w:t>enterprise agreements</w:t>
      </w:r>
      <w:r>
        <w:t>.</w:t>
      </w:r>
    </w:p>
    <w:p w14:paraId="5FE49133" w14:textId="535D72CD" w:rsidR="003F26DA" w:rsidRDefault="003F26DA">
      <w:pPr>
        <w:pStyle w:val="05Paragraph"/>
      </w:pPr>
      <w:r>
        <w:t>Box 6.</w:t>
      </w:r>
      <w:r w:rsidR="001A6974">
        <w:t>2</w:t>
      </w:r>
      <w:r>
        <w:t xml:space="preserve"> outlines the key features of the current Wages Policy, which was introduced by the Victorian Government in April 2023. In particular: </w:t>
      </w:r>
    </w:p>
    <w:p w14:paraId="5EA3497C" w14:textId="77777777" w:rsidR="003F26DA" w:rsidRDefault="003F26DA" w:rsidP="003F26DA">
      <w:pPr>
        <w:pStyle w:val="06VIRTBulletpoints"/>
        <w:ind w:left="357" w:hanging="357"/>
      </w:pPr>
      <w:r>
        <w:t>increases in wages and conditions will be funded at a rate of growth of 3 per cent per annum over the life of an agreement (compared to 1.5 per cent under the previous policy)</w:t>
      </w:r>
    </w:p>
    <w:p w14:paraId="394712D5" w14:textId="77777777" w:rsidR="003F26DA" w:rsidRDefault="003F26DA" w:rsidP="003F26DA">
      <w:pPr>
        <w:pStyle w:val="06VIRTBulletpoints"/>
        <w:ind w:left="357" w:hanging="357"/>
      </w:pPr>
      <w:r>
        <w:t>in addition to annual wage increases, a separate lump sum cash payment will be available, equivalent to 0.5 per cent of overall agreement costs.</w:t>
      </w:r>
    </w:p>
    <w:p w14:paraId="491ED841" w14:textId="1B40FAEA" w:rsidR="00EE7C78" w:rsidRDefault="00EE7C78" w:rsidP="00EE7C78">
      <w:pPr>
        <w:pStyle w:val="05Paragraph"/>
      </w:pPr>
      <w:r>
        <w:t>In 2024, the Victorian Government finalised a new enterprise agreement for non</w:t>
      </w:r>
      <w:r w:rsidR="00DC0FC6">
        <w:noBreakHyphen/>
      </w:r>
      <w:r>
        <w:t>executive VPS employees with the following remuneration provisions:</w:t>
      </w:r>
      <w:r>
        <w:rPr>
          <w:rStyle w:val="FootnoteReference"/>
        </w:rPr>
        <w:footnoteReference w:id="232"/>
      </w:r>
      <w:r>
        <w:t xml:space="preserve"> </w:t>
      </w:r>
    </w:p>
    <w:p w14:paraId="3F5B0BDB" w14:textId="77777777" w:rsidR="00EE7C78" w:rsidRDefault="00EE7C78" w:rsidP="00EE7C78">
      <w:pPr>
        <w:pStyle w:val="06VIRTBulletpoints"/>
        <w:ind w:left="357" w:hanging="357"/>
      </w:pPr>
      <w:r>
        <w:t>annual salary increases of 3 per cent over the life of the agreement, effective from 1 May each year</w:t>
      </w:r>
    </w:p>
    <w:p w14:paraId="22E2AD06" w14:textId="77777777" w:rsidR="00EE7C78" w:rsidRDefault="00EE7C78" w:rsidP="00EE7C78">
      <w:pPr>
        <w:pStyle w:val="06VIRTBulletpoints"/>
        <w:ind w:left="357" w:hanging="357"/>
      </w:pPr>
      <w:r>
        <w:t>a once-off lump sum payment of $5,600 (pro-rated for part-time and eligible casual employees) for all non-executive employees, regardless of classification, who are employed on 28 June 2024</w:t>
      </w:r>
    </w:p>
    <w:p w14:paraId="6D147833" w14:textId="77777777" w:rsidR="00EE7C78" w:rsidRDefault="00EE7C78" w:rsidP="00EE7C78">
      <w:pPr>
        <w:pStyle w:val="06VIRTBulletpoints"/>
        <w:ind w:left="357" w:hanging="357"/>
      </w:pPr>
      <w:r>
        <w:t>an additional once-off payment of $1,000 (also calculated on a pro rata basis) will also be payable to eligible shift workers employed on 1 October 2024</w:t>
      </w:r>
    </w:p>
    <w:p w14:paraId="45541F22" w14:textId="77777777" w:rsidR="00EE7C78" w:rsidRDefault="00EE7C78" w:rsidP="00EE7C78">
      <w:pPr>
        <w:pStyle w:val="06VIRTBulletpoints"/>
        <w:ind w:left="357" w:hanging="357"/>
      </w:pPr>
      <w:r>
        <w:t>an increase to the lump sum payment (from 1 per cent to 1.5 per cent of base salary) paid to employees at the top of their grade or value range who are assessed as having met their progression criteria.</w:t>
      </w:r>
    </w:p>
    <w:p w14:paraId="6C1748A4" w14:textId="473B36B0" w:rsidR="00EE7C78" w:rsidRDefault="00EE7C78" w:rsidP="00EE7C78">
      <w:pPr>
        <w:pStyle w:val="05Paragraph"/>
      </w:pPr>
      <w:r>
        <w:t>VPS staff continue to have access to annual progression payments and the mobility payment, while there were other changes to leave arrangements and to support flexible working arrangements.</w:t>
      </w:r>
    </w:p>
    <w:p w14:paraId="76AA47B9" w14:textId="46838812" w:rsidR="003F26DA" w:rsidRDefault="003F26DA">
      <w:pPr>
        <w:pStyle w:val="08Figuretableboxheading"/>
      </w:pPr>
      <w:r>
        <w:lastRenderedPageBreak/>
        <w:t>Box 6.</w:t>
      </w:r>
      <w:r w:rsidR="001A6974">
        <w:t>2</w:t>
      </w:r>
      <w:r>
        <w:t>: Victorian Public Sector Wages Policy — key features</w:t>
      </w:r>
    </w:p>
    <w:p w14:paraId="7D8E75F2" w14:textId="77777777" w:rsidR="003F26DA" w:rsidRPr="00DF39C8" w:rsidRDefault="003F26DA">
      <w:pPr>
        <w:spacing w:after="80"/>
        <w:rPr>
          <w:rStyle w:val="05ParagraphChar"/>
        </w:rPr>
      </w:pPr>
      <w:r>
        <w:rPr>
          <w:noProof/>
        </w:rPr>
        <mc:AlternateContent>
          <mc:Choice Requires="wps">
            <w:drawing>
              <wp:inline distT="0" distB="0" distL="0" distR="0" wp14:anchorId="01271A8A" wp14:editId="4461E3E1">
                <wp:extent cx="5340350" cy="266700"/>
                <wp:effectExtent l="0" t="0" r="12700" b="18415"/>
                <wp:docPr id="1290843307" name="Rectangle 5"/>
                <wp:cNvGraphicFramePr/>
                <a:graphic xmlns:a="http://schemas.openxmlformats.org/drawingml/2006/main">
                  <a:graphicData uri="http://schemas.microsoft.com/office/word/2010/wordprocessingShape">
                    <wps:wsp>
                      <wps:cNvSpPr/>
                      <wps:spPr>
                        <a:xfrm>
                          <a:off x="0" y="0"/>
                          <a:ext cx="5340350" cy="266700"/>
                        </a:xfrm>
                        <a:prstGeom prst="rect">
                          <a:avLst/>
                        </a:prstGeom>
                        <a:noFill/>
                        <a:ln w="19050">
                          <a:solidFill>
                            <a:schemeClr val="accent1"/>
                          </a:solidFill>
                        </a:ln>
                        <a:effectLst/>
                      </wps:spPr>
                      <wps:style>
                        <a:lnRef idx="1">
                          <a:schemeClr val="accent1"/>
                        </a:lnRef>
                        <a:fillRef idx="3">
                          <a:schemeClr val="accent1"/>
                        </a:fillRef>
                        <a:effectRef idx="2">
                          <a:schemeClr val="accent1"/>
                        </a:effectRef>
                        <a:fontRef idx="minor">
                          <a:schemeClr val="lt1"/>
                        </a:fontRef>
                      </wps:style>
                      <wps:txbx>
                        <w:txbxContent>
                          <w:p w14:paraId="0D44FFAD" w14:textId="77777777" w:rsidR="003F26DA" w:rsidRPr="00DF39C8" w:rsidRDefault="003F26DA">
                            <w:pPr>
                              <w:pStyle w:val="12BoxText"/>
                              <w:rPr>
                                <w:b/>
                                <w:bCs/>
                                <w:color w:val="26664E" w:themeColor="accent1"/>
                                <w14:glow w14:rad="0">
                                  <w14:schemeClr w14:val="bg1">
                                    <w14:alpha w14:val="12000"/>
                                  </w14:schemeClr>
                                </w14:glow>
                              </w:rPr>
                            </w:pPr>
                            <w:r w:rsidRPr="00DF39C8">
                              <w:rPr>
                                <w:b/>
                                <w:bCs/>
                                <w:color w:val="26664E" w:themeColor="accent1"/>
                                <w14:glow w14:rad="0">
                                  <w14:schemeClr w14:val="bg1">
                                    <w14:alpha w14:val="12000"/>
                                  </w14:schemeClr>
                                </w14:glow>
                              </w:rPr>
                              <w:t>Primary Pathway</w:t>
                            </w:r>
                          </w:p>
                          <w:p w14:paraId="2B113577"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1: Wages</w:t>
                            </w:r>
                          </w:p>
                          <w:p w14:paraId="4E3CD0C0"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Increases in wages and conditions will be funded at a rate of growth of 3.0 per cent per annum over the life of the agreement. In practice, this means that employee wages and conditions will be allowed to grow at this rate.</w:t>
                            </w:r>
                          </w:p>
                          <w:p w14:paraId="0E212A46"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In addition to annual wage increases, a separate lump sum, cash payment will be available equivalent to an additional 0.5 per cent of overall agreement costs which for the purposes of this policy means a per annum amount calculated on wages and wage related conditions.</w:t>
                            </w:r>
                          </w:p>
                          <w:p w14:paraId="295F6EB6"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2: Best Practice Employment Commitment</w:t>
                            </w:r>
                          </w:p>
                          <w:p w14:paraId="4D270732"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Public sector agencies may make a Best Practice Employment Commitment which outlines measures to operationalise elements of the Government’s Public Sector Priorities</w:t>
                            </w:r>
                            <w:r w:rsidRPr="002C339A">
                              <w:rPr>
                                <w:vertAlign w:val="superscript"/>
                                <w14:glow w14:rad="0">
                                  <w14:schemeClr w14:val="bg1">
                                    <w14:alpha w14:val="12000"/>
                                  </w14:schemeClr>
                                </w14:glow>
                              </w:rPr>
                              <w:t>(a)</w:t>
                            </w:r>
                            <w:r w:rsidRPr="00DF39C8">
                              <w:rPr>
                                <w14:glow w14:rad="0">
                                  <w14:schemeClr w14:val="bg1">
                                    <w14:alpha w14:val="12000"/>
                                  </w14:schemeClr>
                                </w14:glow>
                              </w:rPr>
                              <w:t xml:space="preserve"> that reflect good practice within Government and can be implemented operationally or without significant costs.</w:t>
                            </w:r>
                          </w:p>
                          <w:p w14:paraId="6D4BE327"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3: Additional strategic changes</w:t>
                            </w:r>
                          </w:p>
                          <w:p w14:paraId="13562EC8"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6C4D5970" w14:textId="77777777" w:rsidR="003F26DA" w:rsidRPr="00DF39C8" w:rsidRDefault="003F26DA">
                            <w:pPr>
                              <w:pStyle w:val="12BoxText"/>
                              <w:rPr>
                                <w:b/>
                                <w:bCs/>
                                <w:color w:val="26664E" w:themeColor="accent1"/>
                                <w14:glow w14:rad="0">
                                  <w14:schemeClr w14:val="bg1">
                                    <w14:alpha w14:val="12000"/>
                                  </w14:schemeClr>
                                </w14:glow>
                              </w:rPr>
                            </w:pPr>
                            <w:r w:rsidRPr="00DF39C8">
                              <w:rPr>
                                <w:b/>
                                <w:bCs/>
                                <w:color w:val="26664E" w:themeColor="accent1"/>
                                <w14:glow w14:rad="0">
                                  <w14:schemeClr w14:val="bg1">
                                    <w14:alpha w14:val="12000"/>
                                  </w14:schemeClr>
                                </w14:glow>
                              </w:rPr>
                              <w:t>Secondary Pathway</w:t>
                            </w:r>
                          </w:p>
                          <w:p w14:paraId="6E6D1306" w14:textId="77777777" w:rsidR="003F26DA" w:rsidRPr="00DF39C8" w:rsidRDefault="003F26DA" w:rsidP="007D5E66">
                            <w:pPr>
                              <w:pStyle w:val="12BoxText"/>
                              <w:rPr>
                                <w14:glow w14:rad="0">
                                  <w14:schemeClr w14:val="bg1">
                                    <w14:alpha w14:val="12000"/>
                                  </w14:schemeClr>
                                </w14:glow>
                              </w:rPr>
                            </w:pPr>
                            <w:r w:rsidRPr="00DF39C8">
                              <w:rPr>
                                <w14:glow w14:rad="0">
                                  <w14:schemeClr w14:val="bg1">
                                    <w14:alpha w14:val="12000"/>
                                  </w14:schemeClr>
                                </w14:glow>
                              </w:rPr>
                              <w:t>This pathway was available where an enterprise agreement expired before 1 January 2024 and the bargaining parties wished to reach a new agreement without changing previously agreed terms and conditions.</w:t>
                            </w:r>
                          </w:p>
                          <w:p w14:paraId="697FB866" w14:textId="77777777" w:rsidR="003F26DA" w:rsidRPr="00DF39C8" w:rsidRDefault="003F26DA" w:rsidP="007D5E66">
                            <w:pPr>
                              <w:pStyle w:val="12BoxText"/>
                              <w:rPr>
                                <w14:glow w14:rad="0">
                                  <w14:schemeClr w14:val="bg1">
                                    <w14:alpha w14:val="12000"/>
                                  </w14:schemeClr>
                                </w14:glow>
                              </w:rPr>
                            </w:pPr>
                            <w:r w:rsidRPr="00DF39C8">
                              <w:rPr>
                                <w14:glow w14:rad="0">
                                  <w14:schemeClr w14:val="bg1">
                                    <w14:alpha w14:val="12000"/>
                                  </w14:schemeClr>
                                </w14:glow>
                              </w:rPr>
                              <w:t xml:space="preserve">Relevant terms were: </w:t>
                            </w:r>
                          </w:p>
                          <w:p w14:paraId="63D21E8F"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wage increases were funded at a rate of growth of 3.5 per cent per annum (pro-rated)</w:t>
                            </w:r>
                          </w:p>
                          <w:p w14:paraId="0EEB374F"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the nominal expiry date for a new agreement was between 12 to 18 months from the expiry of the previous agreement</w:t>
                            </w:r>
                          </w:p>
                          <w:p w14:paraId="70B57FA1"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 xml:space="preserve">there were no changes to existing terms and conditions, except in specific circumstances (for example to resolve legal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01271A8A" id="Rectangle 5" o:spid="_x0000_s1036" style="width:42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" filled="f" strokecolor="#26664e [3204]" strokeweight="1.5pt">
                <v:textbox style="mso-fit-shape-to-text:t">
                  <w:txbxContent>
                    <w:p w14:paraId="0D44FFAD" w14:textId="77777777" w:rsidR="003F26DA" w:rsidRPr="00DF39C8" w:rsidRDefault="003F26DA">
                      <w:pPr>
                        <w:pStyle w:val="12BoxText"/>
                        <w:rPr>
                          <w:b/>
                          <w:bCs/>
                          <w:color w:val="26664E" w:themeColor="accent1"/>
                          <w14:glow w14:rad="0">
                            <w14:schemeClr w14:val="bg1">
                              <w14:alpha w14:val="12000"/>
                            </w14:schemeClr>
                          </w14:glow>
                        </w:rPr>
                      </w:pPr>
                      <w:r w:rsidRPr="00DF39C8">
                        <w:rPr>
                          <w:b/>
                          <w:bCs/>
                          <w:color w:val="26664E" w:themeColor="accent1"/>
                          <w14:glow w14:rad="0">
                            <w14:schemeClr w14:val="bg1">
                              <w14:alpha w14:val="12000"/>
                            </w14:schemeClr>
                          </w14:glow>
                        </w:rPr>
                        <w:t>Primary Pathway</w:t>
                      </w:r>
                    </w:p>
                    <w:p w14:paraId="2B113577"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1: Wages</w:t>
                      </w:r>
                    </w:p>
                    <w:p w14:paraId="4E3CD0C0"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Increases in wages and conditions will be funded at a rate of growth of 3.0 per cent per annum over the life of the agreement. In practice, this means that employee wages and conditions will be allowed to grow at this rate.</w:t>
                      </w:r>
                    </w:p>
                    <w:p w14:paraId="0E212A46"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In addition to annual wage increases, a separate lump sum, cash payment will be available equivalent to an additional 0.5 per cent of overall agreement costs which for the purposes of this policy means a per annum amount calculated on wages and wage related conditions.</w:t>
                      </w:r>
                    </w:p>
                    <w:p w14:paraId="295F6EB6"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2: Best Practice Employment Commitment</w:t>
                      </w:r>
                    </w:p>
                    <w:p w14:paraId="4D270732"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Public sector agencies may make a Best Practice Employment Commitment which outlines measures to operationalise elements of the Government’s Public Sector Priorities</w:t>
                      </w:r>
                      <w:r w:rsidRPr="002C339A">
                        <w:rPr>
                          <w:vertAlign w:val="superscript"/>
                          <w14:glow w14:rad="0">
                            <w14:schemeClr w14:val="bg1">
                              <w14:alpha w14:val="12000"/>
                            </w14:schemeClr>
                          </w14:glow>
                        </w:rPr>
                        <w:t>(a)</w:t>
                      </w:r>
                      <w:r w:rsidRPr="00DF39C8">
                        <w:rPr>
                          <w14:glow w14:rad="0">
                            <w14:schemeClr w14:val="bg1">
                              <w14:alpha w14:val="12000"/>
                            </w14:schemeClr>
                          </w14:glow>
                        </w:rPr>
                        <w:t xml:space="preserve"> that reflect good practice within Government and can be implemented operationally or without significant costs.</w:t>
                      </w:r>
                    </w:p>
                    <w:p w14:paraId="6D4BE327" w14:textId="77777777" w:rsidR="003F26DA" w:rsidRPr="00DF39C8" w:rsidRDefault="003F26DA">
                      <w:pPr>
                        <w:pStyle w:val="12BoxText"/>
                        <w:rPr>
                          <w:color w:val="26664E" w:themeColor="accent1"/>
                          <w14:glow w14:rad="0">
                            <w14:schemeClr w14:val="bg1">
                              <w14:alpha w14:val="12000"/>
                            </w14:schemeClr>
                          </w14:glow>
                        </w:rPr>
                      </w:pPr>
                      <w:r w:rsidRPr="00DF39C8">
                        <w:rPr>
                          <w:color w:val="26664E" w:themeColor="accent1"/>
                          <w14:glow w14:rad="0">
                            <w14:schemeClr w14:val="bg1">
                              <w14:alpha w14:val="12000"/>
                            </w14:schemeClr>
                          </w14:glow>
                        </w:rPr>
                        <w:t>Pillar 3: Additional strategic changes</w:t>
                      </w:r>
                    </w:p>
                    <w:p w14:paraId="13562EC8" w14:textId="77777777" w:rsidR="003F26DA" w:rsidRPr="00DF39C8" w:rsidRDefault="003F26DA">
                      <w:pPr>
                        <w:pStyle w:val="13Boxbullets"/>
                        <w:ind w:left="426"/>
                        <w:rPr>
                          <w14:glow w14:rad="0">
                            <w14:schemeClr w14:val="bg1">
                              <w14:alpha w14:val="12000"/>
                            </w14:schemeClr>
                          </w14:glow>
                        </w:rPr>
                      </w:pPr>
                      <w:r w:rsidRPr="00DF39C8">
                        <w:rPr>
                          <w14:glow w14:rad="0">
                            <w14:schemeClr w14:val="bg1">
                              <w14:alpha w14:val="12000"/>
                            </w14:schemeClr>
                          </w14:glow>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6C4D5970" w14:textId="77777777" w:rsidR="003F26DA" w:rsidRPr="00DF39C8" w:rsidRDefault="003F26DA">
                      <w:pPr>
                        <w:pStyle w:val="12BoxText"/>
                        <w:rPr>
                          <w:b/>
                          <w:bCs/>
                          <w:color w:val="26664E" w:themeColor="accent1"/>
                          <w14:glow w14:rad="0">
                            <w14:schemeClr w14:val="bg1">
                              <w14:alpha w14:val="12000"/>
                            </w14:schemeClr>
                          </w14:glow>
                        </w:rPr>
                      </w:pPr>
                      <w:r w:rsidRPr="00DF39C8">
                        <w:rPr>
                          <w:b/>
                          <w:bCs/>
                          <w:color w:val="26664E" w:themeColor="accent1"/>
                          <w14:glow w14:rad="0">
                            <w14:schemeClr w14:val="bg1">
                              <w14:alpha w14:val="12000"/>
                            </w14:schemeClr>
                          </w14:glow>
                        </w:rPr>
                        <w:t>Secondary Pathway</w:t>
                      </w:r>
                    </w:p>
                    <w:p w14:paraId="6E6D1306" w14:textId="77777777" w:rsidR="003F26DA" w:rsidRPr="00DF39C8" w:rsidRDefault="003F26DA" w:rsidP="007D5E66">
                      <w:pPr>
                        <w:pStyle w:val="12BoxText"/>
                        <w:rPr>
                          <w14:glow w14:rad="0">
                            <w14:schemeClr w14:val="bg1">
                              <w14:alpha w14:val="12000"/>
                            </w14:schemeClr>
                          </w14:glow>
                        </w:rPr>
                      </w:pPr>
                      <w:r w:rsidRPr="00DF39C8">
                        <w:rPr>
                          <w14:glow w14:rad="0">
                            <w14:schemeClr w14:val="bg1">
                              <w14:alpha w14:val="12000"/>
                            </w14:schemeClr>
                          </w14:glow>
                        </w:rPr>
                        <w:t>This pathway was available where an enterprise agreement expired before 1 January 2024 and the bargaining parties wished to reach a new agreement without changing previously agreed terms and conditions.</w:t>
                      </w:r>
                    </w:p>
                    <w:p w14:paraId="697FB866" w14:textId="77777777" w:rsidR="003F26DA" w:rsidRPr="00DF39C8" w:rsidRDefault="003F26DA" w:rsidP="007D5E66">
                      <w:pPr>
                        <w:pStyle w:val="12BoxText"/>
                        <w:rPr>
                          <w14:glow w14:rad="0">
                            <w14:schemeClr w14:val="bg1">
                              <w14:alpha w14:val="12000"/>
                            </w14:schemeClr>
                          </w14:glow>
                        </w:rPr>
                      </w:pPr>
                      <w:r w:rsidRPr="00DF39C8">
                        <w:rPr>
                          <w14:glow w14:rad="0">
                            <w14:schemeClr w14:val="bg1">
                              <w14:alpha w14:val="12000"/>
                            </w14:schemeClr>
                          </w14:glow>
                        </w:rPr>
                        <w:t xml:space="preserve">Relevant terms were: </w:t>
                      </w:r>
                    </w:p>
                    <w:p w14:paraId="63D21E8F"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wage increases were funded at a rate of growth of 3.5 per cent per annum (pro-rated)</w:t>
                      </w:r>
                    </w:p>
                    <w:p w14:paraId="0EEB374F"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the nominal expiry date for a new agreement was between 12 to 18 months from the expiry of the previous agreement</w:t>
                      </w:r>
                    </w:p>
                    <w:p w14:paraId="70B57FA1" w14:textId="77777777" w:rsidR="003F26DA" w:rsidRPr="00DF39C8" w:rsidRDefault="003F26DA" w:rsidP="003F26DA">
                      <w:pPr>
                        <w:pStyle w:val="13Boxbullets"/>
                        <w:ind w:left="502"/>
                        <w:rPr>
                          <w14:glow w14:rad="0">
                            <w14:schemeClr w14:val="bg1">
                              <w14:alpha w14:val="12000"/>
                            </w14:schemeClr>
                          </w14:glow>
                        </w:rPr>
                      </w:pPr>
                      <w:r w:rsidRPr="00DF39C8">
                        <w:rPr>
                          <w14:glow w14:rad="0">
                            <w14:schemeClr w14:val="bg1">
                              <w14:alpha w14:val="12000"/>
                            </w14:schemeClr>
                          </w14:glow>
                        </w:rPr>
                        <w:t xml:space="preserve">there were no changes to existing terms and conditions, except in specific circumstances (for example to resolve legal issues).  </w:t>
                      </w:r>
                    </w:p>
                  </w:txbxContent>
                </v:textbox>
                <w10:anchorlock/>
              </v:rect>
            </w:pict>
          </mc:Fallback>
        </mc:AlternateContent>
      </w:r>
    </w:p>
    <w:p w14:paraId="5D4FBAED" w14:textId="77777777" w:rsidR="003F26DA" w:rsidRDefault="003F26DA">
      <w:pPr>
        <w:pStyle w:val="09Sourcesandnotesfortablesfiguresboxes"/>
      </w:pPr>
      <w:r>
        <w:t xml:space="preserve">Note: (a) The Public Sector Priorities are: ‘deliver exceptional services and value for Victorians’, ‘a professional and responsive public sector’ and ‘government as a fair and best practice employer’. </w:t>
      </w:r>
    </w:p>
    <w:p w14:paraId="56C2F33C" w14:textId="4AC2226E" w:rsidR="003F26DA" w:rsidRDefault="003F26DA">
      <w:pPr>
        <w:pStyle w:val="09Sourcesandnotesfortablesfiguresboxes"/>
      </w:pPr>
      <w:r>
        <w:t xml:space="preserve">Source: </w:t>
      </w:r>
      <w:r w:rsidR="00453E2B" w:rsidRPr="00E80A8A">
        <w:rPr>
          <w:rFonts w:eastAsia="Aptos" w:cs="Arial"/>
          <w:color w:val="000000"/>
          <w:lang w:val="en-US"/>
        </w:rPr>
        <w:t>Industrial Relations Victoria</w:t>
      </w:r>
      <w:r>
        <w:t xml:space="preserve"> (2023), pp. 3-4.</w:t>
      </w:r>
    </w:p>
    <w:p w14:paraId="6EB06473" w14:textId="03BE8268" w:rsidR="003F26DA" w:rsidRDefault="003F26DA" w:rsidP="00F13604">
      <w:pPr>
        <w:pStyle w:val="05Paragraph"/>
        <w:keepNext/>
      </w:pPr>
      <w:r>
        <w:lastRenderedPageBreak/>
        <w:t xml:space="preserve">Public entities have also concluded new </w:t>
      </w:r>
      <w:r w:rsidR="008C2830">
        <w:t>enterprise agreements</w:t>
      </w:r>
      <w:r>
        <w:t xml:space="preserve"> under the Wages Policy, including:</w:t>
      </w:r>
      <w:r>
        <w:rPr>
          <w:rStyle w:val="FootnoteReference"/>
        </w:rPr>
        <w:footnoteReference w:id="233"/>
      </w:r>
    </w:p>
    <w:p w14:paraId="000A7D40" w14:textId="77777777" w:rsidR="003F26DA" w:rsidRDefault="003F26DA" w:rsidP="003F26DA">
      <w:pPr>
        <w:pStyle w:val="06VIRTBulletpoints"/>
        <w:ind w:left="357" w:hanging="357"/>
      </w:pPr>
      <w:r>
        <w:t>several water corporations negotiated annual wage increases of 3 per cent plus lump sum payments (either a larger one-off sum or a smaller amount over multiple years)</w:t>
      </w:r>
    </w:p>
    <w:p w14:paraId="2D73C243" w14:textId="12DF14F0" w:rsidR="005B3CB4" w:rsidRDefault="003F26DA" w:rsidP="003F26DA">
      <w:pPr>
        <w:pStyle w:val="06VIRTBulletpoints"/>
        <w:ind w:left="357" w:hanging="357"/>
      </w:pPr>
      <w:r>
        <w:t>several TAFEs negotiated agreements under the ‘secondary pathway’ that provided for wage increases of 3.5 per cent from 1 July 2023 and 1.75 per cent from 1 July 2024.</w:t>
      </w:r>
      <w:r w:rsidR="005B3CB4">
        <w:br w:type="page"/>
      </w:r>
    </w:p>
    <w:p w14:paraId="5B264E9B" w14:textId="77777777" w:rsidR="005B3CB4" w:rsidRDefault="005B3CB4" w:rsidP="002F7028">
      <w:pPr>
        <w:pStyle w:val="01Chapterheading"/>
        <w:numPr>
          <w:ilvl w:val="0"/>
          <w:numId w:val="31"/>
        </w:numPr>
        <w:spacing w:after="0"/>
        <w:ind w:left="709"/>
      </w:pPr>
      <w:bookmarkStart w:id="86" w:name="_Toc185012386"/>
      <w:r>
        <w:lastRenderedPageBreak/>
        <w:t>Tribunal’s considerations</w:t>
      </w:r>
      <w:bookmarkEnd w:id="86"/>
    </w:p>
    <w:p w14:paraId="67A275D6" w14:textId="6DCA7B33" w:rsidR="005B3CB4" w:rsidRDefault="005B3CB4" w:rsidP="002F7028">
      <w:pPr>
        <w:pStyle w:val="05Paragraph"/>
        <w:spacing w:after="180"/>
      </w:pPr>
    </w:p>
    <w:p w14:paraId="5E8F714D" w14:textId="77777777" w:rsidR="005B3CB4" w:rsidRPr="00BC4971" w:rsidRDefault="005B3CB4">
      <w:pPr>
        <w:pStyle w:val="05Paragraph"/>
      </w:pPr>
      <w:r w:rsidRPr="00BC4971">
        <w:t>The Tribunal now turns to a discussion of the matters it considered, and the weight it gave to various factors, to reach a decision about the value of remuneration bands for executives employed in public entities.</w:t>
      </w:r>
    </w:p>
    <w:p w14:paraId="3FFA79A7" w14:textId="77777777" w:rsidR="005B3CB4" w:rsidRPr="00BC4971" w:rsidRDefault="005B3CB4">
      <w:pPr>
        <w:pStyle w:val="05Paragraph"/>
      </w:pPr>
      <w:r w:rsidRPr="00BC4971">
        <w:t xml:space="preserve">The overall analytical framework is set by the VIRTIPS Act which requires that, in making its </w:t>
      </w:r>
      <w:r>
        <w:t>D</w:t>
      </w:r>
      <w:r w:rsidRPr="00BC4971">
        <w:t>eterminations, the Tribunal must consider the following:</w:t>
      </w:r>
    </w:p>
    <w:p w14:paraId="0719DDFA" w14:textId="77777777" w:rsidR="005B3CB4" w:rsidRDefault="005B3CB4" w:rsidP="005B3CB4">
      <w:pPr>
        <w:pStyle w:val="06VIRTBulletpoints"/>
        <w:ind w:left="357" w:hanging="357"/>
      </w:pPr>
      <w:r>
        <w:t>the existing remuneration provided to executives</w:t>
      </w:r>
    </w:p>
    <w:p w14:paraId="06657F4A" w14:textId="77777777" w:rsidR="005B3CB4" w:rsidRDefault="005B3CB4" w:rsidP="005B3CB4">
      <w:pPr>
        <w:pStyle w:val="06VIRTBulletpoints"/>
        <w:ind w:left="357" w:hanging="357"/>
      </w:pPr>
      <w:r>
        <w:t>any statement or policy issued by the Government of Victoria which is in force with respect to its wages policy</w:t>
      </w:r>
    </w:p>
    <w:p w14:paraId="7ED0E796" w14:textId="77777777" w:rsidR="005B3CB4" w:rsidRDefault="005B3CB4" w:rsidP="005B3CB4">
      <w:pPr>
        <w:pStyle w:val="06VIRTBulletpoints"/>
        <w:ind w:left="357" w:hanging="357"/>
      </w:pPr>
      <w:r>
        <w:t xml:space="preserve">the financial position and fiscal strategy of the State </w:t>
      </w:r>
    </w:p>
    <w:p w14:paraId="2F515E0E" w14:textId="77777777" w:rsidR="005B3CB4" w:rsidRDefault="005B3CB4" w:rsidP="005B3CB4">
      <w:pPr>
        <w:pStyle w:val="06VIRTBulletpoints"/>
        <w:ind w:left="357" w:hanging="357"/>
      </w:pPr>
      <w:r>
        <w:t>current and projected economic conditions and trends</w:t>
      </w:r>
    </w:p>
    <w:p w14:paraId="5F91FC9A" w14:textId="1CB39057" w:rsidR="005B3CB4" w:rsidRDefault="005B3CB4" w:rsidP="005B3CB4">
      <w:pPr>
        <w:pStyle w:val="06VIRTBulletpoints"/>
        <w:ind w:left="357" w:hanging="357"/>
      </w:pPr>
      <w:r>
        <w:t>submissions received in relation to the proposed Determination</w:t>
      </w:r>
    </w:p>
    <w:p w14:paraId="7E947EA7" w14:textId="77777777" w:rsidR="005B3CB4" w:rsidRDefault="005B3CB4" w:rsidP="005B3CB4">
      <w:pPr>
        <w:pStyle w:val="06VIRTBulletpoints"/>
        <w:ind w:left="357" w:hanging="357"/>
      </w:pPr>
      <w:r>
        <w:t>a comprehensive review of the roles of executives employed in public entities.</w:t>
      </w:r>
    </w:p>
    <w:p w14:paraId="21CBBD4A" w14:textId="77777777" w:rsidR="005B3CB4" w:rsidRPr="00BC4971" w:rsidRDefault="005B3CB4">
      <w:pPr>
        <w:pStyle w:val="05Paragraph"/>
      </w:pPr>
      <w:r w:rsidRPr="00BC4971">
        <w:t xml:space="preserve">Chapter 2 provides an overview of the Victorian public </w:t>
      </w:r>
      <w:proofErr w:type="gramStart"/>
      <w:r w:rsidRPr="00BC4971">
        <w:t>sector</w:t>
      </w:r>
      <w:proofErr w:type="gramEnd"/>
      <w:r w:rsidRPr="00BC4971">
        <w:t xml:space="preserve"> and the public entities covered by the Determination, which informed the Tribunal’s consideration of the roles of the executives employed by these entities in Chapter 3. The current employment and remuneration arrangements for public entity executives are summarised in Chapter 4.</w:t>
      </w:r>
    </w:p>
    <w:p w14:paraId="202973A9" w14:textId="050A4ADC" w:rsidR="005B3CB4" w:rsidRPr="00BC4971" w:rsidRDefault="005B3CB4">
      <w:pPr>
        <w:pStyle w:val="05Paragraph"/>
      </w:pPr>
      <w:r w:rsidRPr="00BC4971">
        <w:t xml:space="preserve">Chapter 5 sets out the Tribunal’s understanding of the labour market for public entity executives drawing upon an analysis by </w:t>
      </w:r>
      <w:r w:rsidRPr="0066573C">
        <w:t>Mercer</w:t>
      </w:r>
      <w:r w:rsidRPr="00BC4971">
        <w:t xml:space="preserve"> in respect of the </w:t>
      </w:r>
      <w:r>
        <w:t xml:space="preserve">2024 </w:t>
      </w:r>
      <w:r w:rsidRPr="00BC4971">
        <w:t xml:space="preserve">VPS </w:t>
      </w:r>
      <w:r>
        <w:t>D</w:t>
      </w:r>
      <w:r w:rsidRPr="00BC4971">
        <w:t>etermination. Chapter 6 presents the Tribunal’s analysis of the economic, financial and policy factors that it is required to consider. Submissions received by the Tribunal, and responses to the Tribunal’s executive questionnaire, are cited throughout the Statement of Reasons.</w:t>
      </w:r>
    </w:p>
    <w:p w14:paraId="7146E193" w14:textId="77777777" w:rsidR="005B3CB4" w:rsidRPr="00BC4971" w:rsidRDefault="005B3CB4">
      <w:pPr>
        <w:pStyle w:val="05Paragraph"/>
      </w:pPr>
      <w:r w:rsidRPr="00BC4971">
        <w:t xml:space="preserve">The first part of the analysis identifies </w:t>
      </w:r>
      <w:proofErr w:type="gramStart"/>
      <w:r w:rsidRPr="00BC4971">
        <w:t>a number of</w:t>
      </w:r>
      <w:proofErr w:type="gramEnd"/>
      <w:r w:rsidRPr="00BC4971">
        <w:t xml:space="preserve"> factors which, taken together, </w:t>
      </w:r>
      <w:r>
        <w:t>support</w:t>
      </w:r>
      <w:r w:rsidRPr="00BC4971">
        <w:t xml:space="preserve"> a significant increase to the remuneration bands for public entity executives. The second part sets these considerations in a broader context</w:t>
      </w:r>
      <w:r>
        <w:t>,</w:t>
      </w:r>
      <w:r w:rsidRPr="00BC4971">
        <w:t xml:space="preserve"> including the government’s current Wages Policy and the financial position and fiscal strategy of the State. This is followed by a discussion of the case for an alignment of the public entity bands with the current VPS bands which came into effect on 1 July 2024.</w:t>
      </w:r>
    </w:p>
    <w:p w14:paraId="4748B3AC" w14:textId="77777777" w:rsidR="005B3CB4" w:rsidRDefault="005B3CB4">
      <w:pPr>
        <w:pStyle w:val="02VIRTHeading2"/>
      </w:pPr>
      <w:bookmarkStart w:id="87" w:name="_Toc185012387"/>
      <w:r>
        <w:lastRenderedPageBreak/>
        <w:t>7.1</w:t>
      </w:r>
      <w:r>
        <w:tab/>
        <w:t>Factors supporting higher remuneration bands</w:t>
      </w:r>
      <w:bookmarkEnd w:id="87"/>
    </w:p>
    <w:p w14:paraId="4B219D48" w14:textId="77777777" w:rsidR="005B3CB4" w:rsidRPr="00BC4971" w:rsidRDefault="005B3CB4">
      <w:pPr>
        <w:pStyle w:val="05Paragraph"/>
      </w:pPr>
      <w:r w:rsidRPr="00BC4971">
        <w:t xml:space="preserve">In support of an increase in the bands, there is compelling evidence of a significant change in the role of public entity executives since the Tribunal’s first </w:t>
      </w:r>
      <w:r>
        <w:t>D</w:t>
      </w:r>
      <w:r w:rsidRPr="00BC4971">
        <w:t xml:space="preserve">etermination four years ago. While core responsibilities of executives have </w:t>
      </w:r>
      <w:proofErr w:type="gramStart"/>
      <w:r w:rsidRPr="00BC4971">
        <w:t>more or less remained</w:t>
      </w:r>
      <w:proofErr w:type="gramEnd"/>
      <w:r w:rsidRPr="00BC4971">
        <w:t xml:space="preserve"> constant, the operating environment</w:t>
      </w:r>
      <w:r>
        <w:t xml:space="preserve"> for, </w:t>
      </w:r>
      <w:r w:rsidRPr="00BC4971">
        <w:t>and complexity</w:t>
      </w:r>
      <w:r>
        <w:t xml:space="preserve"> of, their roles</w:t>
      </w:r>
      <w:r w:rsidRPr="00BC4971">
        <w:t xml:space="preserve"> have all changed significantly. Each of these is discussed below.</w:t>
      </w:r>
    </w:p>
    <w:p w14:paraId="639BBE27" w14:textId="77777777" w:rsidR="005B3CB4" w:rsidRDefault="005B3CB4">
      <w:pPr>
        <w:pStyle w:val="03VIRTHeading3"/>
      </w:pPr>
      <w:r>
        <w:t>Operating environment</w:t>
      </w:r>
    </w:p>
    <w:p w14:paraId="68DAC6B1" w14:textId="77777777" w:rsidR="005B3CB4" w:rsidRPr="00BC4971" w:rsidRDefault="005B3CB4">
      <w:pPr>
        <w:pStyle w:val="05Paragraph"/>
      </w:pPr>
      <w:r w:rsidRPr="00BC4971">
        <w:t xml:space="preserve">As evidenced by responses to the Tribunal’s questionnaire and submissions discussed in earlier chapters, changes to the public sector operating environment over the past four years have significantly impacted the role of public entity executives. Foremost amongst these are the implementation of savings and efficiency measures across government </w:t>
      </w:r>
      <w:r>
        <w:t>—</w:t>
      </w:r>
      <w:r w:rsidRPr="00BC4971">
        <w:t xml:space="preserve"> at a time of increasing demand </w:t>
      </w:r>
      <w:r>
        <w:t xml:space="preserve">— </w:t>
      </w:r>
      <w:r w:rsidRPr="00BC4971">
        <w:t>and a greater focus on integrity and adherence to public sector values.</w:t>
      </w:r>
    </w:p>
    <w:p w14:paraId="2C055D0D" w14:textId="06E38251" w:rsidR="005B3CB4" w:rsidRDefault="005B3CB4">
      <w:pPr>
        <w:pStyle w:val="05Paragraph"/>
      </w:pPr>
      <w:r w:rsidRPr="00BC4971">
        <w:t xml:space="preserve">Consistent with other Australian jurisdictions and most countries throughout the world, over the period 2019-20 </w:t>
      </w:r>
      <w:r w:rsidR="00E439D6">
        <w:t>to</w:t>
      </w:r>
      <w:r w:rsidRPr="00BC4971">
        <w:t xml:space="preserve"> 2022-23 the Victorian Government incurred significant one-off expenditures respond</w:t>
      </w:r>
      <w:r w:rsidR="000B6043">
        <w:t>ing</w:t>
      </w:r>
      <w:r w:rsidRPr="00BC4971">
        <w:t xml:space="preserve"> to the economic and health impacts of COVID-19. The subsequent introduction of debt repayment and other measures has, and will continue to</w:t>
      </w:r>
      <w:r w:rsidR="00304F08">
        <w:t>,</w:t>
      </w:r>
      <w:r w:rsidRPr="00BC4971">
        <w:t xml:space="preserve"> impact public entity executives at all levels</w:t>
      </w:r>
      <w:r w:rsidR="00304F08">
        <w:t>,</w:t>
      </w:r>
      <w:r w:rsidRPr="00BC4971">
        <w:t xml:space="preserve"> </w:t>
      </w:r>
      <w:r>
        <w:t xml:space="preserve">who will find it more challenging </w:t>
      </w:r>
      <w:r w:rsidRPr="00BC4971">
        <w:t xml:space="preserve">to perform their functions at the same standard and deliver the </w:t>
      </w:r>
      <w:proofErr w:type="gramStart"/>
      <w:r w:rsidRPr="00BC4971">
        <w:t>high quality</w:t>
      </w:r>
      <w:proofErr w:type="gramEnd"/>
      <w:r w:rsidRPr="00BC4971">
        <w:t xml:space="preserve"> services expected of them. </w:t>
      </w:r>
    </w:p>
    <w:p w14:paraId="64CF9303" w14:textId="7AA7632D" w:rsidR="005B3CB4" w:rsidRDefault="005B3CB4">
      <w:pPr>
        <w:pStyle w:val="05Paragraph"/>
      </w:pPr>
      <w:r w:rsidRPr="003676E3">
        <w:t xml:space="preserve">The savings and efficiency measures introduced in recent budgets have included initiatives across public entities. Depending on the entity, these can take the form of efficiency dividends, capital repatriations, grants or reduced funding. As discussed in Chapter 3, the impact of these measures on </w:t>
      </w:r>
      <w:proofErr w:type="gramStart"/>
      <w:r w:rsidRPr="003676E3">
        <w:t>particular public</w:t>
      </w:r>
      <w:proofErr w:type="gramEnd"/>
      <w:r w:rsidRPr="003676E3">
        <w:t xml:space="preserve"> entities is difficult to quantify. However, responses to the Tribunal’s executive questionnaire indicate that some entities and/or business units are experiencing budget and resource pressures.</w:t>
      </w:r>
      <w:r>
        <w:t xml:space="preserve"> </w:t>
      </w:r>
    </w:p>
    <w:p w14:paraId="0A47CB63" w14:textId="33835C08" w:rsidR="005B3CB4" w:rsidRPr="00034D39" w:rsidRDefault="005B3CB4">
      <w:pPr>
        <w:pStyle w:val="05Paragraph"/>
      </w:pPr>
      <w:r w:rsidRPr="00034D39">
        <w:t xml:space="preserve">Since the </w:t>
      </w:r>
      <w:r>
        <w:t>2020</w:t>
      </w:r>
      <w:r w:rsidRPr="00034D39">
        <w:t xml:space="preserve"> PE Determination, there has been an increased focus on integrity and public sector values driven by several recent inquiries and reports which scrutinised the actions of the Australian and Victorian public sectors. While widely accepted as necessary and beneficial, the actions required to build upon and sustain a system of public integrity</w:t>
      </w:r>
      <w:r w:rsidR="00CD6D22">
        <w:t>,</w:t>
      </w:r>
      <w:r w:rsidRPr="00034D39">
        <w:t xml:space="preserve"> embracing leadership and cultural change </w:t>
      </w:r>
      <w:r w:rsidRPr="00034D39">
        <w:lastRenderedPageBreak/>
        <w:t>across all levels of an organisation</w:t>
      </w:r>
      <w:r w:rsidR="00CD6D22">
        <w:t>,</w:t>
      </w:r>
      <w:r w:rsidRPr="00034D39">
        <w:t xml:space="preserve"> add a significant additional dimension to the executive role.</w:t>
      </w:r>
    </w:p>
    <w:p w14:paraId="7F523AA6" w14:textId="77777777" w:rsidR="005B3CB4" w:rsidRDefault="005B3CB4">
      <w:pPr>
        <w:pStyle w:val="05Paragraph"/>
      </w:pPr>
      <w:r>
        <w:t xml:space="preserve">The third change in the operating environment arises from an increasing level of scrutiny of the actions of public sector executives. A high level of scrutiny, including by the integrity agencies is, and has always been, appropriate and critical to the maintenance of public trust in public bodies. The point made here is that the breadth and frequency of such scrutiny has increased significantly adding a further degree of difficulty to the daily challenges faced by executives </w:t>
      </w:r>
      <w:proofErr w:type="gramStart"/>
      <w:r>
        <w:t>in the course of</w:t>
      </w:r>
      <w:proofErr w:type="gramEnd"/>
      <w:r>
        <w:t xml:space="preserve"> performing their roles. </w:t>
      </w:r>
    </w:p>
    <w:p w14:paraId="10A10086" w14:textId="37384640" w:rsidR="005B3CB4" w:rsidRDefault="005B3CB4">
      <w:pPr>
        <w:pStyle w:val="05Paragraph"/>
      </w:pPr>
      <w:r w:rsidRPr="003676E3">
        <w:t>At the same time, the expectations placed on public entities by both government and the public to perform their functions effectively and deliver high quality services may not have changed, and in some cases appear to have increased</w:t>
      </w:r>
      <w:r>
        <w:t xml:space="preserve">. </w:t>
      </w:r>
      <w:r w:rsidRPr="003676E3">
        <w:t xml:space="preserve">While in many respects </w:t>
      </w:r>
      <w:proofErr w:type="gramStart"/>
      <w:r w:rsidRPr="003676E3">
        <w:t>similar to</w:t>
      </w:r>
      <w:proofErr w:type="gramEnd"/>
      <w:r w:rsidRPr="003676E3">
        <w:t xml:space="preserve"> the expectations on VPS executives, the Tribunal also noted some important differences for public entity executives. Examples include the potential for direct feedback from the community on the goods and services they receive from public entities and greater department oversight of entity performance.</w:t>
      </w:r>
    </w:p>
    <w:p w14:paraId="0B9DBEDE" w14:textId="77777777" w:rsidR="005B3CB4" w:rsidRDefault="005B3CB4">
      <w:pPr>
        <w:pStyle w:val="03VIRTHeading3"/>
      </w:pPr>
      <w:r>
        <w:t>Complexity of executive roles</w:t>
      </w:r>
    </w:p>
    <w:p w14:paraId="3DB0083D" w14:textId="77777777" w:rsidR="005B3CB4" w:rsidRDefault="005B3CB4">
      <w:pPr>
        <w:pStyle w:val="05Paragraph"/>
      </w:pPr>
      <w:r>
        <w:t>The Tribunal heard from stakeholders that executive roles have increased in complexity and scope over the last four years. Factors commonly cited by executives included: increased regulatory and compliance obligations, an evolving and generally heightened risk environment, legislative changes and increased complexity of stakeholder relationships.</w:t>
      </w:r>
    </w:p>
    <w:p w14:paraId="2538F1D7" w14:textId="77777777" w:rsidR="005B3CB4" w:rsidRDefault="005B3CB4">
      <w:pPr>
        <w:pStyle w:val="05Paragraph"/>
      </w:pPr>
      <w:r>
        <w:t>As one CEO so cogently put it in responding to the Tribunal’s questionnaire, managing a wide range of risks (including climate change and cyber-security) requires a greater degree of innovation, strategic planning and capacity to deal with ambiguity and complexity.</w:t>
      </w:r>
    </w:p>
    <w:p w14:paraId="14A28B3E" w14:textId="77777777" w:rsidR="005B3CB4" w:rsidRDefault="005B3CB4">
      <w:pPr>
        <w:pStyle w:val="05Paragraph"/>
      </w:pPr>
      <w:r>
        <w:t xml:space="preserve">Other factors impacting the complexity of executive roles include broader changes to working practices — particularly flexible and hybrid working arrangements. Some challenges for executives in managing a hybrid workplace include: </w:t>
      </w:r>
    </w:p>
    <w:p w14:paraId="3AC47D99" w14:textId="77777777" w:rsidR="005B3CB4" w:rsidRPr="003676E3" w:rsidRDefault="005B3CB4" w:rsidP="005B3CB4">
      <w:pPr>
        <w:pStyle w:val="06VIRTBulletpoints"/>
        <w:ind w:left="357" w:hanging="357"/>
      </w:pPr>
      <w:r w:rsidRPr="003676E3">
        <w:t>building digital skills that enable executives to lead their teams regardless of the time, place or setting</w:t>
      </w:r>
    </w:p>
    <w:p w14:paraId="1F1339A4" w14:textId="77777777" w:rsidR="005B3CB4" w:rsidRDefault="005B3CB4" w:rsidP="005B3CB4">
      <w:pPr>
        <w:pStyle w:val="06VIRTBulletpoints"/>
        <w:ind w:left="357" w:hanging="357"/>
      </w:pPr>
      <w:r w:rsidRPr="003676E3">
        <w:t>managing team performance, including having difficult conversations virtually</w:t>
      </w:r>
      <w:r>
        <w:t xml:space="preserve"> </w:t>
      </w:r>
    </w:p>
    <w:p w14:paraId="3F970100" w14:textId="77777777" w:rsidR="005B3CB4" w:rsidRDefault="005B3CB4" w:rsidP="005B3CB4">
      <w:pPr>
        <w:pStyle w:val="06VIRTBulletpoints"/>
        <w:ind w:left="357" w:hanging="357"/>
      </w:pPr>
      <w:r>
        <w:lastRenderedPageBreak/>
        <w:t>adapting the physical workplace for the needs of hybrid work, such as increased use of collaborative spaces.</w:t>
      </w:r>
    </w:p>
    <w:p w14:paraId="1F0E2E39" w14:textId="77777777" w:rsidR="005B3CB4" w:rsidRDefault="005B3CB4">
      <w:pPr>
        <w:pStyle w:val="05Paragraph"/>
      </w:pPr>
      <w:r w:rsidRPr="003676E3">
        <w:t xml:space="preserve">At the same time, there have also been specific factors that have affected </w:t>
      </w:r>
      <w:proofErr w:type="gramStart"/>
      <w:r w:rsidRPr="003676E3">
        <w:t>particular public</w:t>
      </w:r>
      <w:proofErr w:type="gramEnd"/>
      <w:r w:rsidRPr="003676E3">
        <w:t xml:space="preserve"> entities or the sectors in which they operate that have added a further level of complexity to executive roles. For example, the implementation of significant government reforms can prompt broader structural and cultural changes that amplify the impact of the factors noted above on executives.</w:t>
      </w:r>
    </w:p>
    <w:p w14:paraId="7E1016A5" w14:textId="074DAE7B" w:rsidR="005B3CB4" w:rsidRDefault="005B3CB4">
      <w:pPr>
        <w:pStyle w:val="05Paragraph"/>
      </w:pPr>
      <w:r>
        <w:t>These factors are reflected in the detailed feedback provided through the Tribunal’s executive questionnaire, which asked respondents to indicate whether elements of their roles had reduced, increased or remained unchanged over the past four years. The responses, which are discussed in Chapter 3, can be viewed as strong evidence of a substantial change in the role of public entity executives over the past four years.</w:t>
      </w:r>
    </w:p>
    <w:p w14:paraId="4A41C542" w14:textId="3752721A" w:rsidR="005B3CB4" w:rsidRDefault="005B3CB4">
      <w:pPr>
        <w:pStyle w:val="05Paragraph"/>
      </w:pPr>
      <w:proofErr w:type="gramStart"/>
      <w:r w:rsidRPr="000F4CED">
        <w:t>A majority of</w:t>
      </w:r>
      <w:proofErr w:type="gramEnd"/>
      <w:r w:rsidRPr="000F4CED">
        <w:t xml:space="preserve"> executives reported that of the eight </w:t>
      </w:r>
      <w:r w:rsidR="0097621E">
        <w:t>factors</w:t>
      </w:r>
      <w:r w:rsidRPr="000F4CED">
        <w:t xml:space="preserve"> that reflect the core competencies and accountabilities of their role, seven had increased over the past four years </w:t>
      </w:r>
      <w:r>
        <w:t>—</w:t>
      </w:r>
      <w:r w:rsidRPr="000F4CED">
        <w:t xml:space="preserve"> some by a significant margin. For example, over 80 per cent responded that the components of their role relating to ‘strategic change’ and ‘judgment and risk’ had increased. Similar responses were received for ‘</w:t>
      </w:r>
      <w:proofErr w:type="gramStart"/>
      <w:r w:rsidRPr="000F4CED">
        <w:t>relationship</w:t>
      </w:r>
      <w:r w:rsidR="0098375E">
        <w:t>s</w:t>
      </w:r>
      <w:r w:rsidRPr="000F4CED">
        <w:t>’</w:t>
      </w:r>
      <w:proofErr w:type="gramEnd"/>
      <w:r w:rsidRPr="000F4CED">
        <w:t xml:space="preserve"> and the ‘breadth’ of executive roles.</w:t>
      </w:r>
      <w:r>
        <w:t xml:space="preserve"> </w:t>
      </w:r>
    </w:p>
    <w:p w14:paraId="58393EA1" w14:textId="77777777" w:rsidR="005B3CB4" w:rsidRDefault="005B3CB4">
      <w:pPr>
        <w:pStyle w:val="03VIRTHeading3"/>
      </w:pPr>
      <w:r>
        <w:t>Market positioning and competitiveness</w:t>
      </w:r>
    </w:p>
    <w:p w14:paraId="27249589" w14:textId="77777777" w:rsidR="005B3CB4" w:rsidRDefault="005B3CB4">
      <w:pPr>
        <w:pStyle w:val="05Paragraph"/>
      </w:pPr>
      <w:r>
        <w:t xml:space="preserve">We turn now to a discussion of the competitiveness of the Victorian public sector compared to the private sector and other public sector jurisdictions with which Victoria competes for talent. </w:t>
      </w:r>
    </w:p>
    <w:p w14:paraId="41896397" w14:textId="4A5C885C" w:rsidR="005B3CB4" w:rsidRPr="00CE2AF2" w:rsidRDefault="005B3CB4">
      <w:pPr>
        <w:pStyle w:val="05Paragraph"/>
      </w:pPr>
      <w:r w:rsidRPr="00CE2AF2">
        <w:t xml:space="preserve">As part of its 2024 VPS determination, the Tribunal engaged Mercer </w:t>
      </w:r>
      <w:r w:rsidR="005A2A0C">
        <w:t xml:space="preserve">Consulting </w:t>
      </w:r>
      <w:r w:rsidRPr="00CE2AF2">
        <w:t xml:space="preserve">to undertake a detailed analysis of the market for </w:t>
      </w:r>
      <w:r>
        <w:t xml:space="preserve">VPS </w:t>
      </w:r>
      <w:r w:rsidRPr="00CE2AF2">
        <w:t>executives.</w:t>
      </w:r>
      <w:r w:rsidR="00BE4BF2">
        <w:rPr>
          <w:rStyle w:val="FootnoteReference"/>
        </w:rPr>
        <w:footnoteReference w:id="234"/>
      </w:r>
      <w:r w:rsidRPr="00CE2AF2">
        <w:t xml:space="preserve"> Of </w:t>
      </w:r>
      <w:proofErr w:type="gramStart"/>
      <w:r w:rsidRPr="00CE2AF2">
        <w:t>particular relevance</w:t>
      </w:r>
      <w:proofErr w:type="gramEnd"/>
      <w:r w:rsidRPr="00CE2AF2">
        <w:t xml:space="preserve"> to the analysis is the positioning of the VPS in the A</w:t>
      </w:r>
      <w:r w:rsidR="000D652C">
        <w:t>GM</w:t>
      </w:r>
      <w:r w:rsidRPr="00CE2AF2">
        <w:t xml:space="preserve"> (which refers to Mercer’s remuneration database for positions within Australia comprising over 700,000 remuneration records covering the private, public and not-for-profit sectors).</w:t>
      </w:r>
    </w:p>
    <w:p w14:paraId="4EBE61E2" w14:textId="51B5C052" w:rsidR="005B3CB4" w:rsidRDefault="005B3CB4">
      <w:pPr>
        <w:pStyle w:val="05Paragraph"/>
      </w:pPr>
      <w:r w:rsidRPr="003676E3">
        <w:t xml:space="preserve">Remuneration arrangements for public service executives in most Australian jurisdictions </w:t>
      </w:r>
      <w:r>
        <w:t>are</w:t>
      </w:r>
      <w:r w:rsidRPr="003676E3">
        <w:t xml:space="preserve"> generally positioned around the 15th percentile of the AGM, while </w:t>
      </w:r>
      <w:r w:rsidRPr="003676E3">
        <w:lastRenderedPageBreak/>
        <w:t>pay practices in the private sector tend to be closer to the 50th percentile (or median) of the AGM. This approach to public service remuneration reflects, in part, the value attached to non-salary benefits, for example, the satisfaction that comes from the opportunity to serve the community and make a difference.</w:t>
      </w:r>
    </w:p>
    <w:p w14:paraId="78BE069F" w14:textId="77777777" w:rsidR="005B3CB4" w:rsidRDefault="005B3CB4">
      <w:pPr>
        <w:pStyle w:val="05Paragraph"/>
      </w:pPr>
      <w:r>
        <w:t xml:space="preserve">The critical part of Mercer’s analysis is that, compared to four years ago, current executive remuneration in Victoria — particularly for senior executives — has fallen further below the 15th percentile of the AGM. </w:t>
      </w:r>
    </w:p>
    <w:p w14:paraId="2D10F4B4" w14:textId="4C309440" w:rsidR="005B3CB4" w:rsidRDefault="005B3CB4">
      <w:pPr>
        <w:pStyle w:val="05Paragraph"/>
      </w:pPr>
      <w:r w:rsidRPr="003676E3">
        <w:t>The insights from Mercer’s analysis for the VPS provide important insights for the Tribunal’s consideration of the remuneration for public entity executives. While there are many similarities in the public sector operating environment and the nature of executive roles in the VPS and public entities, the Tribunal is also mindful of important differences. The</w:t>
      </w:r>
      <w:r>
        <w:t>se</w:t>
      </w:r>
      <w:r w:rsidRPr="003676E3">
        <w:t xml:space="preserve"> include the specialised functions undertaken by some public entities and the commercial focus of others, which requires them to more directly compete with the private sector for executive talent.</w:t>
      </w:r>
    </w:p>
    <w:p w14:paraId="5241FBE7" w14:textId="3365E917" w:rsidR="005B3CB4" w:rsidRDefault="005B3CB4">
      <w:pPr>
        <w:pStyle w:val="05Paragraph"/>
      </w:pPr>
      <w:r>
        <w:t xml:space="preserve">This decline in market positioning is not simply a statistical derivation. As part of the Tribunal’s questionnaire, public entity executives who are involved in the recruitment of other executives were asked to identify the factors affecting the willingness of potential candidates to apply for executive positions or accept an employment offer. </w:t>
      </w:r>
      <w:r w:rsidR="000F198E" w:rsidRPr="000F198E">
        <w:t>Of those that reported recruitment challenges,</w:t>
      </w:r>
      <w:r>
        <w:t xml:space="preserve"> 95 per cent </w:t>
      </w:r>
      <w:r w:rsidR="000F198E" w:rsidRPr="000F198E">
        <w:t>listed ‘total remuneration package</w:t>
      </w:r>
      <w:r>
        <w:t xml:space="preserve"> is too </w:t>
      </w:r>
      <w:r w:rsidR="000F198E" w:rsidRPr="000F198E">
        <w:t>low’.</w:t>
      </w:r>
      <w:r>
        <w:t xml:space="preserve"> These are the people who have first</w:t>
      </w:r>
      <w:r w:rsidR="00F63E62">
        <w:noBreakHyphen/>
      </w:r>
      <w:r>
        <w:t>hand experience of executive recruitment and are more likely to have real knowledge of contemporary market realities.</w:t>
      </w:r>
    </w:p>
    <w:p w14:paraId="48699D77" w14:textId="585E9A02" w:rsidR="005B3CB4" w:rsidRDefault="005B3CB4">
      <w:pPr>
        <w:pStyle w:val="05Paragraph"/>
      </w:pPr>
      <w:r w:rsidRPr="003676E3">
        <w:t>Moreover, the Tribunal heard during its roundtable consultations that adhering to the current bands has sometimes led to compromise in recruitment decision</w:t>
      </w:r>
      <w:r w:rsidRPr="003676E3">
        <w:noBreakHyphen/>
        <w:t xml:space="preserve">making. Given the importance of a high-performing public sector to the economic performance of the State, this decline in positioning and its impact </w:t>
      </w:r>
      <w:r w:rsidR="00687DBC">
        <w:t>on</w:t>
      </w:r>
      <w:r w:rsidRPr="003676E3">
        <w:t xml:space="preserve"> the State’s ability to compete for talent should be viewed with some concern and provides further evidence supporting an uplift in the bands.</w:t>
      </w:r>
    </w:p>
    <w:p w14:paraId="16CAC230" w14:textId="77777777" w:rsidR="005B3CB4" w:rsidRDefault="005B3CB4">
      <w:pPr>
        <w:pStyle w:val="02VIRTHeading2"/>
      </w:pPr>
      <w:bookmarkStart w:id="88" w:name="_Toc185012388"/>
      <w:r>
        <w:t>7.2</w:t>
      </w:r>
      <w:r>
        <w:tab/>
        <w:t>Factors supporting restraint</w:t>
      </w:r>
      <w:bookmarkEnd w:id="88"/>
    </w:p>
    <w:p w14:paraId="7B886AC0" w14:textId="77777777" w:rsidR="005B3CB4" w:rsidRDefault="005B3CB4">
      <w:pPr>
        <w:pStyle w:val="05Paragraph"/>
      </w:pPr>
      <w:r>
        <w:t>An increase in the complexity of executive roles and a changing operating environment along with a decline in market positioning for the public sector, taken together, provide compelling evidence for an increase in the remuneration bands for public entity executives.</w:t>
      </w:r>
    </w:p>
    <w:p w14:paraId="3B74343F" w14:textId="77777777" w:rsidR="005B3CB4" w:rsidRDefault="005B3CB4">
      <w:pPr>
        <w:pStyle w:val="05Paragraph"/>
      </w:pPr>
      <w:r>
        <w:lastRenderedPageBreak/>
        <w:t xml:space="preserve">We turn now to a discussion of the broader context that must be considered before a well-rounded and informed decision can be made. </w:t>
      </w:r>
    </w:p>
    <w:p w14:paraId="74052F53" w14:textId="77777777" w:rsidR="005B3CB4" w:rsidRDefault="005B3CB4">
      <w:pPr>
        <w:pStyle w:val="05Paragraph"/>
      </w:pPr>
      <w:r>
        <w:t>The first point to note is that, notwithstanding difficulties in recruitment and retention for some roles discussed above, data from responses to the Tribunal’s questionnaire and submissions did not identify any uniform push for a significant increase in the remuneration bands.</w:t>
      </w:r>
    </w:p>
    <w:p w14:paraId="05F56636" w14:textId="77777777" w:rsidR="005B3CB4" w:rsidRDefault="005B3CB4">
      <w:pPr>
        <w:pStyle w:val="05Paragraph"/>
      </w:pPr>
      <w:r>
        <w:t xml:space="preserve">Part of the reasoning can be found in the payment above the band provision in the VIRTIPS Act. Under this provision, an employer may pay an executive above the maximum of the relevant band but first must seek and consider the advice of the Tribunal. The employer is not bound to accept the advice. The fact that relatively few executives are paid above the band (around seven per cent as </w:t>
      </w:r>
      <w:proofErr w:type="gramStart"/>
      <w:r>
        <w:t>at</w:t>
      </w:r>
      <w:proofErr w:type="gramEnd"/>
      <w:r>
        <w:t xml:space="preserve"> 30 June 2023) suggests that the bands are generally fair, equitable and competitive for the vast majority of public entity executives.</w:t>
      </w:r>
    </w:p>
    <w:p w14:paraId="325EDE30" w14:textId="77777777" w:rsidR="005B3CB4" w:rsidRDefault="005B3CB4">
      <w:pPr>
        <w:pStyle w:val="05Paragraph"/>
      </w:pPr>
      <w:r>
        <w:t xml:space="preserve">The availability of this mechanism, together with the flexibility provided by the width of the bands (up to $132,413 for the current PESES-3 band), should equip employers to offer competitive remuneration in most cases.   </w:t>
      </w:r>
    </w:p>
    <w:p w14:paraId="7C7EB698" w14:textId="77777777" w:rsidR="005B3CB4" w:rsidRDefault="005B3CB4">
      <w:pPr>
        <w:pStyle w:val="03VIRTHeading3"/>
      </w:pPr>
      <w:r w:rsidRPr="003676E3">
        <w:t>Economic conditions and the financial position and fiscal strategy of the State</w:t>
      </w:r>
    </w:p>
    <w:p w14:paraId="10B6BF15" w14:textId="063A4AF9" w:rsidR="00CE7E4A" w:rsidRPr="002D71B5" w:rsidRDefault="0061471F">
      <w:pPr>
        <w:pStyle w:val="05Paragraph"/>
      </w:pPr>
      <w:bookmarkStart w:id="89" w:name="_Hlk185010222"/>
      <w:r w:rsidRPr="002D71B5">
        <w:t>E</w:t>
      </w:r>
      <w:r w:rsidR="00253155" w:rsidRPr="002D71B5">
        <w:t xml:space="preserve">conomic growth </w:t>
      </w:r>
      <w:r w:rsidR="009A65A5" w:rsidRPr="002D71B5">
        <w:t xml:space="preserve">has been </w:t>
      </w:r>
      <w:r w:rsidR="003E607B" w:rsidRPr="002D71B5">
        <w:t xml:space="preserve">subdued </w:t>
      </w:r>
      <w:r w:rsidR="009A65A5" w:rsidRPr="002D71B5">
        <w:t>in recent years</w:t>
      </w:r>
      <w:r w:rsidR="00526C39" w:rsidRPr="002D71B5">
        <w:t xml:space="preserve"> </w:t>
      </w:r>
      <w:r w:rsidR="003E607B" w:rsidRPr="002D71B5">
        <w:t xml:space="preserve">as </w:t>
      </w:r>
      <w:proofErr w:type="gramStart"/>
      <w:r w:rsidR="003E607B" w:rsidRPr="002D71B5">
        <w:t>cost of living</w:t>
      </w:r>
      <w:proofErr w:type="gramEnd"/>
      <w:r w:rsidR="003E607B" w:rsidRPr="002D71B5">
        <w:t xml:space="preserve"> pressures weigh on household spending</w:t>
      </w:r>
      <w:r w:rsidR="006D3F74" w:rsidRPr="002D71B5">
        <w:t xml:space="preserve">. </w:t>
      </w:r>
      <w:r w:rsidR="00F2216E" w:rsidRPr="002D71B5">
        <w:t xml:space="preserve">While growth is expected to pick up </w:t>
      </w:r>
      <w:r w:rsidR="007E4507" w:rsidRPr="002D71B5">
        <w:t xml:space="preserve">in the coming years, it is likely to be </w:t>
      </w:r>
      <w:r w:rsidR="006F4AD0" w:rsidRPr="002D71B5">
        <w:t>weaker</w:t>
      </w:r>
      <w:r w:rsidR="007E4507" w:rsidRPr="002D71B5">
        <w:t xml:space="preserve"> than previously expected</w:t>
      </w:r>
      <w:r w:rsidR="00CE7E4A" w:rsidRPr="002D71B5">
        <w:t>.</w:t>
      </w:r>
    </w:p>
    <w:p w14:paraId="27C70527" w14:textId="77A28F46" w:rsidR="00017C15" w:rsidRPr="002D71B5" w:rsidRDefault="00CE7E4A">
      <w:pPr>
        <w:pStyle w:val="05Paragraph"/>
      </w:pPr>
      <w:r w:rsidRPr="002D71B5">
        <w:t>Inflation has continued to moderate</w:t>
      </w:r>
      <w:r w:rsidR="00C51FD7" w:rsidRPr="002D71B5">
        <w:t xml:space="preserve"> — although recent easing </w:t>
      </w:r>
      <w:r w:rsidR="00BE1589" w:rsidRPr="002D71B5">
        <w:t xml:space="preserve">reflects the effect of temporary policy measures to </w:t>
      </w:r>
      <w:r w:rsidR="007240A9" w:rsidRPr="002D71B5">
        <w:t xml:space="preserve">assist households. </w:t>
      </w:r>
      <w:r w:rsidR="0092426C" w:rsidRPr="002D71B5">
        <w:t xml:space="preserve">Headline inflation </w:t>
      </w:r>
      <w:r w:rsidR="003D5068" w:rsidRPr="002D71B5">
        <w:t xml:space="preserve">is </w:t>
      </w:r>
      <w:r w:rsidR="000831ED" w:rsidRPr="002D71B5">
        <w:t xml:space="preserve">expected to </w:t>
      </w:r>
      <w:r w:rsidR="00580388" w:rsidRPr="002D71B5">
        <w:t xml:space="preserve">increase in the near term, but to be </w:t>
      </w:r>
      <w:r w:rsidR="00760628" w:rsidRPr="002D71B5">
        <w:t xml:space="preserve">around the mid-point of the </w:t>
      </w:r>
      <w:r w:rsidR="002E066D" w:rsidRPr="002D71B5">
        <w:t>RBA</w:t>
      </w:r>
      <w:r w:rsidR="00760628" w:rsidRPr="002D71B5">
        <w:t>’s target range by late 2026.</w:t>
      </w:r>
    </w:p>
    <w:p w14:paraId="03702706" w14:textId="7FA0D0D4" w:rsidR="00760628" w:rsidRDefault="0098583E">
      <w:pPr>
        <w:pStyle w:val="05Paragraph"/>
      </w:pPr>
      <w:r w:rsidRPr="002D71B5">
        <w:t xml:space="preserve">Labour market conditions </w:t>
      </w:r>
      <w:r w:rsidR="00ED1982" w:rsidRPr="002D71B5">
        <w:t>have eased slightly but remain tight</w:t>
      </w:r>
      <w:r w:rsidR="00A2751A" w:rsidRPr="002D71B5">
        <w:t xml:space="preserve">, with strong employment growth and high </w:t>
      </w:r>
      <w:r w:rsidR="00265705" w:rsidRPr="002D71B5">
        <w:t xml:space="preserve">rates of </w:t>
      </w:r>
      <w:r w:rsidR="00A2751A" w:rsidRPr="002D71B5">
        <w:t xml:space="preserve">labour </w:t>
      </w:r>
      <w:r w:rsidR="00265705" w:rsidRPr="002D71B5">
        <w:t xml:space="preserve">force </w:t>
      </w:r>
      <w:r w:rsidR="00A2751A" w:rsidRPr="002D71B5">
        <w:t>participation</w:t>
      </w:r>
      <w:r w:rsidR="00C96D07" w:rsidRPr="002D71B5">
        <w:t xml:space="preserve">. The unemployment rate has recently been </w:t>
      </w:r>
      <w:proofErr w:type="gramStart"/>
      <w:r w:rsidR="00C96D07" w:rsidRPr="002D71B5">
        <w:t>stable</w:t>
      </w:r>
      <w:r w:rsidR="00BC3C06" w:rsidRPr="002D71B5">
        <w:t>, but</w:t>
      </w:r>
      <w:proofErr w:type="gramEnd"/>
      <w:r w:rsidR="00BC3C06" w:rsidRPr="002D71B5">
        <w:t xml:space="preserve"> is expected to increase. </w:t>
      </w:r>
      <w:r w:rsidR="00A376E2" w:rsidRPr="002D71B5">
        <w:t xml:space="preserve">Reflecting these conditions, nominal wages </w:t>
      </w:r>
      <w:r w:rsidR="00265705" w:rsidRPr="002D71B5">
        <w:t xml:space="preserve">growth </w:t>
      </w:r>
      <w:r w:rsidR="00913EA1" w:rsidRPr="002D71B5">
        <w:t>has</w:t>
      </w:r>
      <w:r w:rsidR="00A376E2" w:rsidRPr="002D71B5">
        <w:t xml:space="preserve"> increased </w:t>
      </w:r>
      <w:r w:rsidR="00913EA1" w:rsidRPr="002D71B5">
        <w:t xml:space="preserve">in recent years </w:t>
      </w:r>
      <w:r w:rsidR="00A376E2" w:rsidRPr="002D71B5">
        <w:t>but ha</w:t>
      </w:r>
      <w:r w:rsidR="00913EA1" w:rsidRPr="002D71B5">
        <w:t>s</w:t>
      </w:r>
      <w:r w:rsidR="00A376E2" w:rsidRPr="002D71B5">
        <w:t xml:space="preserve"> passed </w:t>
      </w:r>
      <w:r w:rsidR="00913EA1" w:rsidRPr="002D71B5">
        <w:t>its</w:t>
      </w:r>
      <w:r w:rsidR="00A376E2" w:rsidRPr="002D71B5">
        <w:t xml:space="preserve"> pea</w:t>
      </w:r>
      <w:r w:rsidR="009408CC" w:rsidRPr="002D71B5">
        <w:t>k</w:t>
      </w:r>
      <w:r w:rsidR="00771F91" w:rsidRPr="002D71B5">
        <w:t>,</w:t>
      </w:r>
      <w:r w:rsidR="009408CC" w:rsidRPr="002D71B5">
        <w:t xml:space="preserve"> </w:t>
      </w:r>
      <w:r w:rsidR="00771F91" w:rsidRPr="002D71B5">
        <w:t xml:space="preserve">while </w:t>
      </w:r>
      <w:r w:rsidR="009408CC" w:rsidRPr="002D71B5">
        <w:t>real wage growth has been uneven.</w:t>
      </w:r>
      <w:r w:rsidR="00A2751A">
        <w:t xml:space="preserve"> </w:t>
      </w:r>
    </w:p>
    <w:p w14:paraId="242FD949" w14:textId="69733352" w:rsidR="005B3CB4" w:rsidRDefault="00771F91" w:rsidP="0026786C">
      <w:pPr>
        <w:pStyle w:val="05Paragraph"/>
      </w:pPr>
      <w:r>
        <w:t>T</w:t>
      </w:r>
      <w:r w:rsidR="005B3CB4" w:rsidRPr="003676E3">
        <w:t xml:space="preserve">he </w:t>
      </w:r>
      <w:r w:rsidR="008A3263">
        <w:t>Victorian G</w:t>
      </w:r>
      <w:r w:rsidR="005B3CB4" w:rsidRPr="003676E3">
        <w:t>overnment</w:t>
      </w:r>
      <w:r w:rsidR="00CF1F40">
        <w:t xml:space="preserve">’s fiscal </w:t>
      </w:r>
      <w:r w:rsidR="005B3CB4" w:rsidRPr="003676E3">
        <w:t xml:space="preserve">strategy </w:t>
      </w:r>
      <w:r w:rsidR="00CF1F40">
        <w:t xml:space="preserve">was developed in response to the </w:t>
      </w:r>
      <w:r w:rsidR="00A87B2E">
        <w:t xml:space="preserve">COVID-19 pandemic and involved four steps to support </w:t>
      </w:r>
      <w:r w:rsidR="009F300D">
        <w:t>Victorians through the pandemic and restore the budget over the medium-term</w:t>
      </w:r>
      <w:r w:rsidR="007870F4">
        <w:t xml:space="preserve">. </w:t>
      </w:r>
      <w:r w:rsidR="00C23E34">
        <w:t xml:space="preserve">Actions </w:t>
      </w:r>
      <w:r w:rsidR="0026786C">
        <w:t xml:space="preserve">taken by the </w:t>
      </w:r>
      <w:r w:rsidR="0026786C">
        <w:lastRenderedPageBreak/>
        <w:t>government include a</w:t>
      </w:r>
      <w:r w:rsidR="005B3CB4" w:rsidRPr="003676E3">
        <w:t xml:space="preserve"> commitment to rebalancing the public service and bringing staffing levels back to pre-pandemic levels.</w:t>
      </w:r>
      <w:r w:rsidR="008400C9">
        <w:t xml:space="preserve"> A fifth step — to reduce net debt as a proportion of GSP — was </w:t>
      </w:r>
      <w:r w:rsidR="00EF1B50">
        <w:t>introduced in the 2024-25 Budget.</w:t>
      </w:r>
    </w:p>
    <w:p w14:paraId="1AD84842" w14:textId="1A2BA954" w:rsidR="005B3CB4" w:rsidRDefault="00E40FCF">
      <w:pPr>
        <w:pStyle w:val="05Paragraph"/>
      </w:pPr>
      <w:r w:rsidRPr="002D71B5">
        <w:t>Consistent with its strategy, th</w:t>
      </w:r>
      <w:r w:rsidR="009E189E" w:rsidRPr="002D71B5">
        <w:t xml:space="preserve">e Victorian Government </w:t>
      </w:r>
      <w:r w:rsidR="00B06985" w:rsidRPr="002D71B5">
        <w:t xml:space="preserve">achieved an operating cash surplus </w:t>
      </w:r>
      <w:r w:rsidRPr="002D71B5">
        <w:t xml:space="preserve">in 2022-23 </w:t>
      </w:r>
      <w:r w:rsidR="001F049F" w:rsidRPr="002D71B5">
        <w:t xml:space="preserve">and </w:t>
      </w:r>
      <w:r w:rsidR="009E189E" w:rsidRPr="002D71B5">
        <w:t xml:space="preserve">is forecasting </w:t>
      </w:r>
      <w:r w:rsidR="00F83771" w:rsidRPr="002D71B5">
        <w:t>a return to an</w:t>
      </w:r>
      <w:r w:rsidR="00B06985" w:rsidRPr="002D71B5">
        <w:t xml:space="preserve"> operating surplus </w:t>
      </w:r>
      <w:r w:rsidR="00F83771" w:rsidRPr="002D71B5">
        <w:t xml:space="preserve">in </w:t>
      </w:r>
      <w:r w:rsidR="00B06985" w:rsidRPr="002D71B5">
        <w:t>2025-26</w:t>
      </w:r>
      <w:r w:rsidR="00625335" w:rsidRPr="002D71B5">
        <w:t xml:space="preserve">. Net debt is </w:t>
      </w:r>
      <w:r w:rsidR="00F83771" w:rsidRPr="002D71B5">
        <w:t>forecast</w:t>
      </w:r>
      <w:r w:rsidR="00625335" w:rsidRPr="002D71B5">
        <w:t xml:space="preserve"> to increase in nominal </w:t>
      </w:r>
      <w:r w:rsidR="001C0674" w:rsidRPr="002D71B5">
        <w:t xml:space="preserve">terms through to </w:t>
      </w:r>
      <w:proofErr w:type="gramStart"/>
      <w:r w:rsidR="001C0674" w:rsidRPr="002D71B5">
        <w:t>2027-28, but</w:t>
      </w:r>
      <w:proofErr w:type="gramEnd"/>
      <w:r w:rsidR="001C0674" w:rsidRPr="002D71B5">
        <w:t xml:space="preserve"> stabilise as a share of the </w:t>
      </w:r>
      <w:r w:rsidR="00573E30" w:rsidRPr="002D71B5">
        <w:t>economy from mid-2026.</w:t>
      </w:r>
      <w:bookmarkEnd w:id="89"/>
    </w:p>
    <w:p w14:paraId="7658BFC0" w14:textId="6CB9E6C0" w:rsidR="005B3CB4" w:rsidRDefault="005B3CB4">
      <w:pPr>
        <w:pStyle w:val="03VIRTHeading3"/>
      </w:pPr>
      <w:r>
        <w:t>Wages Policy</w:t>
      </w:r>
    </w:p>
    <w:p w14:paraId="45C1164C" w14:textId="77777777" w:rsidR="005B3CB4" w:rsidRDefault="005B3CB4">
      <w:pPr>
        <w:pStyle w:val="05Paragraph"/>
      </w:pPr>
      <w:r>
        <w:t xml:space="preserve">Although the Victorian Government’s current Wages Policy is one of many factors the Tribunal is required to consider in making its decisions, </w:t>
      </w:r>
      <w:proofErr w:type="gramStart"/>
      <w:r>
        <w:t>in light of</w:t>
      </w:r>
      <w:proofErr w:type="gramEnd"/>
      <w:r>
        <w:t xml:space="preserve"> the current financial circumstances of the State and its strategies for dealing with net debt, the Tribunal felt it appropriate that the policy be given considerable weight in the decision-making process. </w:t>
      </w:r>
    </w:p>
    <w:p w14:paraId="1B812AAB" w14:textId="77777777" w:rsidR="005B3CB4" w:rsidRDefault="005B3CB4">
      <w:pPr>
        <w:pStyle w:val="05Paragraph"/>
      </w:pPr>
      <w:r>
        <w:t>The Wages Policy provides that:</w:t>
      </w:r>
    </w:p>
    <w:p w14:paraId="454E996B" w14:textId="77777777" w:rsidR="005B3CB4" w:rsidRDefault="005B3CB4" w:rsidP="005B3CB4">
      <w:pPr>
        <w:pStyle w:val="06VIRTBulletpoints"/>
        <w:ind w:left="357" w:hanging="357"/>
      </w:pPr>
      <w:r>
        <w:t>Increases in wages and conditions will be funded at a rate of growth of 3 per cent per annum over the life of the agreement. In practice this means that employee wages and conditions will be allowed to grow at this rate.</w:t>
      </w:r>
    </w:p>
    <w:p w14:paraId="736079A8" w14:textId="77777777" w:rsidR="005B3CB4" w:rsidRDefault="005B3CB4" w:rsidP="005B3CB4">
      <w:pPr>
        <w:pStyle w:val="06VIRTBulletpoints"/>
        <w:ind w:left="357" w:hanging="357"/>
      </w:pPr>
      <w:r>
        <w:t>In addition to annual wage increases, a separate lump sum cash payment will be available equivalent to an additional 0.5 per cent of overall agreement costs.</w:t>
      </w:r>
    </w:p>
    <w:p w14:paraId="57280F6D" w14:textId="77777777" w:rsidR="005B3CB4" w:rsidRPr="002B1F59" w:rsidRDefault="005B3CB4">
      <w:pPr>
        <w:pStyle w:val="05Paragraph"/>
      </w:pPr>
      <w:r>
        <w:t xml:space="preserve">The Tribunal’s rationale for giving some weight to Wages Policy is not related to the financial impact of any increase in the executive remuneration bands. Given </w:t>
      </w:r>
      <w:r w:rsidRPr="002B1F59">
        <w:t>the relatively small size of the public entity executive cohort compared to total public sector employment, any increase in the public entity executive remuneration bands will not have a significant impact on the budget’s bottom line</w:t>
      </w:r>
      <w:r>
        <w:t xml:space="preserve"> or on individual entities</w:t>
      </w:r>
      <w:r w:rsidRPr="002B1F59" w:rsidDel="00A77A82">
        <w:t xml:space="preserve"> (although it may have an impact in some of the smaller entities</w:t>
      </w:r>
      <w:r w:rsidRPr="002B1F59">
        <w:t xml:space="preserve">). </w:t>
      </w:r>
    </w:p>
    <w:p w14:paraId="36E4A9EE" w14:textId="77777777" w:rsidR="005B3CB4" w:rsidRDefault="005B3CB4">
      <w:pPr>
        <w:pStyle w:val="05Paragraph"/>
      </w:pPr>
      <w:r w:rsidRPr="002B1F59">
        <w:t>Rather, the challenges facing the State are considerable and a degree of discipline and a high level of adherence to policy objectives will be required to overcome them. If any group is seen</w:t>
      </w:r>
      <w:r>
        <w:t xml:space="preserve"> to be given ‘special treatment’ it will inevitably weaken the collective effort.</w:t>
      </w:r>
    </w:p>
    <w:p w14:paraId="7D57E76C" w14:textId="77777777" w:rsidR="005B3CB4" w:rsidRDefault="005B3CB4">
      <w:pPr>
        <w:pStyle w:val="03VIRTHeading3"/>
      </w:pPr>
      <w:r>
        <w:lastRenderedPageBreak/>
        <w:t>The Social Compact</w:t>
      </w:r>
    </w:p>
    <w:p w14:paraId="305623E1" w14:textId="530B63FF" w:rsidR="005B3CB4" w:rsidRDefault="005B3CB4">
      <w:pPr>
        <w:pStyle w:val="05Paragraph"/>
      </w:pPr>
      <w:r>
        <w:t>In making this decision — and indeed all decisions — the Tribunal did so having weighed the impact that its decision may have on the level of trust between the community and the Victorian public sector</w:t>
      </w:r>
      <w:r w:rsidR="00B46259">
        <w:t>,</w:t>
      </w:r>
      <w:r>
        <w:t xml:space="preserve"> if increases in remuneration for executives are perceived as out of step with community standards and expectations and prevailing economic conditions.</w:t>
      </w:r>
    </w:p>
    <w:p w14:paraId="73AB3C23" w14:textId="77777777" w:rsidR="005B3CB4" w:rsidRDefault="005B3CB4">
      <w:pPr>
        <w:pStyle w:val="02VIRTHeading2"/>
      </w:pPr>
      <w:bookmarkStart w:id="90" w:name="_Toc185012389"/>
      <w:r>
        <w:t>7.3</w:t>
      </w:r>
      <w:r>
        <w:tab/>
        <w:t>The Tribunal’s decision</w:t>
      </w:r>
      <w:bookmarkEnd w:id="90"/>
    </w:p>
    <w:p w14:paraId="0B2EFCE9" w14:textId="77777777" w:rsidR="005B3CB4" w:rsidRDefault="005B3CB4">
      <w:pPr>
        <w:pStyle w:val="05Paragraph"/>
      </w:pPr>
      <w:r>
        <w:t xml:space="preserve">As indicated, the Tribunal is of the view that an increase in the remuneration bands for public entity executives is justified by the evidence and particularly if the significant changes to the operating environment and the role of executives is </w:t>
      </w:r>
      <w:proofErr w:type="gramStart"/>
      <w:r>
        <w:t>taken into account</w:t>
      </w:r>
      <w:proofErr w:type="gramEnd"/>
      <w:r>
        <w:t xml:space="preserve">. </w:t>
      </w:r>
    </w:p>
    <w:p w14:paraId="24A9233B" w14:textId="38EA7E23" w:rsidR="005B3CB4" w:rsidRPr="003676E3" w:rsidRDefault="005B3CB4">
      <w:pPr>
        <w:pStyle w:val="05Paragraph"/>
      </w:pPr>
      <w:r w:rsidRPr="003676E3">
        <w:t xml:space="preserve">The fact that the public sector has fallen behind movements in the AGM compared to where it was four years ago — for example, </w:t>
      </w:r>
      <w:r>
        <w:t xml:space="preserve">based on Mercer’s 2024 analysis of market remuneration data, </w:t>
      </w:r>
      <w:r w:rsidRPr="003676E3">
        <w:t>the top of the PESES-3 band is now 8.4 per cent below where it would have been if it had been adjusted in line with market movements — also supports an increase.</w:t>
      </w:r>
      <w:r w:rsidR="00986E73">
        <w:rPr>
          <w:rStyle w:val="FootnoteReference"/>
        </w:rPr>
        <w:footnoteReference w:id="235"/>
      </w:r>
    </w:p>
    <w:p w14:paraId="07B944D6" w14:textId="77777777" w:rsidR="005B3CB4" w:rsidRDefault="005B3CB4">
      <w:pPr>
        <w:pStyle w:val="05Paragraph"/>
      </w:pPr>
      <w:r w:rsidRPr="003676E3">
        <w:t>However, the Tribunal also acknowledges that economic and fiscal conditions are challenging and, in that context, has given some weight to the Government’s Wages Policy and its own assessment of community expectations.</w:t>
      </w:r>
      <w:r>
        <w:t xml:space="preserve"> </w:t>
      </w:r>
    </w:p>
    <w:p w14:paraId="69927445" w14:textId="77777777" w:rsidR="005B3CB4" w:rsidRDefault="005B3CB4">
      <w:pPr>
        <w:pStyle w:val="03VIRTHeading3"/>
      </w:pPr>
      <w:r>
        <w:t>Consistency with the VPS</w:t>
      </w:r>
    </w:p>
    <w:p w14:paraId="3283738D" w14:textId="77777777" w:rsidR="005B3CB4" w:rsidRDefault="005B3CB4">
      <w:pPr>
        <w:pStyle w:val="05Paragraph"/>
      </w:pPr>
      <w:r>
        <w:t>Having determined that an increase in the public entity bands is justified, we now turn to a consideration of the values of the new remuneration bands.</w:t>
      </w:r>
    </w:p>
    <w:p w14:paraId="77F4C50E" w14:textId="506A6E0D" w:rsidR="005B3CB4" w:rsidRDefault="005B3CB4">
      <w:pPr>
        <w:pStyle w:val="05Paragraph"/>
      </w:pPr>
      <w:r>
        <w:t xml:space="preserve">A particular consideration is whether there should be consistency with the recently determined VPS bands. The Tribunal heard that although there are many similarities between the two </w:t>
      </w:r>
      <w:r w:rsidR="00D51D1D">
        <w:t>groups</w:t>
      </w:r>
      <w:r>
        <w:t xml:space="preserve">, there are some important differences including governance arrangements, a more </w:t>
      </w:r>
      <w:r w:rsidR="006B6E9F">
        <w:t>commercial</w:t>
      </w:r>
      <w:r>
        <w:t xml:space="preserve"> operating environment for many entities and a degree of flexibility not enjoyed by the VPS.</w:t>
      </w:r>
    </w:p>
    <w:p w14:paraId="0438AC51" w14:textId="3DFF4055" w:rsidR="005B3CB4" w:rsidRDefault="005B3CB4">
      <w:pPr>
        <w:pStyle w:val="05Paragraph"/>
      </w:pPr>
      <w:r>
        <w:t xml:space="preserve">The distinctive operating environment and governance arrangements (relative to the VPS and private sector organisations) require executives to possess a range of </w:t>
      </w:r>
      <w:r>
        <w:lastRenderedPageBreak/>
        <w:t>skills and competencies. In addition to possessing technical or specialist skills, executives may also be required to navigate the public sector context, including relationships with portfolio departments and Ministers, and engag</w:t>
      </w:r>
      <w:r w:rsidR="00A34F86">
        <w:t>e</w:t>
      </w:r>
      <w:r>
        <w:t xml:space="preserve"> with the entity’s board. </w:t>
      </w:r>
    </w:p>
    <w:p w14:paraId="0D374737" w14:textId="77777777" w:rsidR="005B3CB4" w:rsidRDefault="005B3CB4">
      <w:pPr>
        <w:pStyle w:val="05Paragraph"/>
      </w:pPr>
      <w:r>
        <w:t xml:space="preserve">On the other hand, there are </w:t>
      </w:r>
      <w:proofErr w:type="gramStart"/>
      <w:r>
        <w:t>a number of</w:t>
      </w:r>
      <w:proofErr w:type="gramEnd"/>
      <w:r>
        <w:t xml:space="preserve"> factors that lean towards consistency as the preferred outcome. The most important of these are as follows:</w:t>
      </w:r>
    </w:p>
    <w:p w14:paraId="1CB3CDC4" w14:textId="39D1E676" w:rsidR="005B3CB4" w:rsidRDefault="005B3CB4" w:rsidP="005B3CB4">
      <w:pPr>
        <w:pStyle w:val="06VIRTBulletpoints"/>
        <w:ind w:left="357" w:hanging="357"/>
      </w:pPr>
      <w:r>
        <w:t xml:space="preserve">Notwithstanding the differences referred to above, public entities are part of the one public sector with common values including a service ethos, the same professional standards, and ultimately are accountable in equal measure to the government of the day. As part of the broader executive employment framework, a common remuneration framework will further encourage entities — including those with a commercial focus — to view themselves as part of a single cohesive public </w:t>
      </w:r>
      <w:r w:rsidR="006618D0">
        <w:t>sector</w:t>
      </w:r>
      <w:r>
        <w:t>.</w:t>
      </w:r>
    </w:p>
    <w:p w14:paraId="38E9A84D" w14:textId="171F8B28" w:rsidR="005B3CB4" w:rsidRDefault="005B3CB4" w:rsidP="005B3CB4">
      <w:pPr>
        <w:pStyle w:val="06VIRTBulletpoints"/>
        <w:ind w:left="357" w:hanging="357"/>
      </w:pPr>
      <w:r>
        <w:t xml:space="preserve">Common remuneration bands will support mobility </w:t>
      </w:r>
      <w:r w:rsidR="006618D0">
        <w:t>across the public sector</w:t>
      </w:r>
      <w:r w:rsidR="00E42966">
        <w:t>,</w:t>
      </w:r>
      <w:r>
        <w:t xml:space="preserve"> resulting in an exchange in experience, skills and technical expertise to the benefit of the public </w:t>
      </w:r>
      <w:proofErr w:type="gramStart"/>
      <w:r>
        <w:t>sector as a whole</w:t>
      </w:r>
      <w:proofErr w:type="gramEnd"/>
      <w:r>
        <w:t>.</w:t>
      </w:r>
    </w:p>
    <w:p w14:paraId="76EA727A" w14:textId="77777777" w:rsidR="005B3CB4" w:rsidRDefault="005B3CB4" w:rsidP="005B3CB4">
      <w:pPr>
        <w:pStyle w:val="06VIRTBulletpoints"/>
        <w:ind w:left="357" w:hanging="357"/>
      </w:pPr>
      <w:r>
        <w:t xml:space="preserve">As discussed above, there is strong evidence that the real competitive pressures experienced by some entities compared to the VPS can be accommodated by the existing payment above the band system rather than adding another band on top of the existing structure — which inevitably would result in migration into this band irrespective of competitive pressures. </w:t>
      </w:r>
    </w:p>
    <w:p w14:paraId="1B36B0BA" w14:textId="57D86F72" w:rsidR="005B3CB4" w:rsidRDefault="005B3CB4" w:rsidP="005B3CB4">
      <w:pPr>
        <w:pStyle w:val="06VIRTBulletpoints"/>
        <w:ind w:left="357" w:hanging="357"/>
      </w:pPr>
      <w:r w:rsidRPr="002B1F59">
        <w:t xml:space="preserve">Finally, there is the question of equity. It would be unseemly to be seen to value the work of executives in one </w:t>
      </w:r>
      <w:r w:rsidR="00E42966">
        <w:t>group</w:t>
      </w:r>
      <w:r w:rsidRPr="002B1F59">
        <w:t xml:space="preserve"> over the other through different remuneration arrangements. A risk in such an arrangement would be that it would result in additional recruitment and retention pressures as executives in the lower </w:t>
      </w:r>
      <w:r>
        <w:t xml:space="preserve">paid </w:t>
      </w:r>
      <w:r w:rsidR="00E42966">
        <w:t>group</w:t>
      </w:r>
      <w:r>
        <w:t xml:space="preserve"> sought greener pastures elsewhere.</w:t>
      </w:r>
    </w:p>
    <w:p w14:paraId="1C269388" w14:textId="01CCC1F3" w:rsidR="005B3CB4" w:rsidRDefault="005B3CB4">
      <w:pPr>
        <w:pStyle w:val="05Paragraph"/>
        <w:tabs>
          <w:tab w:val="left" w:pos="567"/>
        </w:tabs>
      </w:pPr>
      <w:r>
        <w:t xml:space="preserve">Having weighed </w:t>
      </w:r>
      <w:proofErr w:type="gramStart"/>
      <w:r>
        <w:t>all of</w:t>
      </w:r>
      <w:proofErr w:type="gramEnd"/>
      <w:r>
        <w:t xml:space="preserve"> the factors discussed above</w:t>
      </w:r>
      <w:r w:rsidR="007C396D">
        <w:t>,</w:t>
      </w:r>
      <w:r>
        <w:t xml:space="preserve"> and in particular current economic circumstances and the financial position of the State</w:t>
      </w:r>
      <w:r w:rsidR="000D0A68">
        <w:t>,</w:t>
      </w:r>
      <w:r>
        <w:t xml:space="preserve"> and the likely public reaction to significant increases in public entity executive pay at this time, the Tribunal has decided to exercise restraint consistent with its 2024 VPS Determination earlier this year.</w:t>
      </w:r>
    </w:p>
    <w:p w14:paraId="0EF69895" w14:textId="77777777" w:rsidR="005B3CB4" w:rsidRPr="00361BB6" w:rsidRDefault="005B3CB4">
      <w:pPr>
        <w:pStyle w:val="05Paragraph"/>
      </w:pPr>
      <w:r w:rsidRPr="003676E3">
        <w:t>The effect of the Tribunal’s decision for most executives employed in public entities is shown in Table 7.1. Overall, the remuneration bands set by the Tribunal result in an increase to the current bands of between 4 and 4.5 per cent.</w:t>
      </w:r>
      <w:r w:rsidRPr="00361BB6">
        <w:t xml:space="preserve"> </w:t>
      </w:r>
    </w:p>
    <w:p w14:paraId="25484D3E" w14:textId="77777777" w:rsidR="005B3CB4" w:rsidRPr="00E50EDE" w:rsidRDefault="005B3CB4">
      <w:pPr>
        <w:pStyle w:val="08Figuretableboxheading"/>
        <w:rPr>
          <w:spacing w:val="-2"/>
        </w:rPr>
      </w:pPr>
      <w:r w:rsidRPr="00E50EDE">
        <w:rPr>
          <w:spacing w:val="-2"/>
        </w:rPr>
        <w:lastRenderedPageBreak/>
        <w:t>Table 7.1: Tribunal’s decision compared to the current public entity remuneration bands</w:t>
      </w:r>
    </w:p>
    <w:tbl>
      <w:tblPr>
        <w:tblW w:w="8505" w:type="dxa"/>
        <w:tblBorders>
          <w:top w:val="single" w:sz="6" w:space="0" w:color="148A5D"/>
          <w:bottom w:val="single" w:sz="6" w:space="0" w:color="148A5D"/>
          <w:insideH w:val="single" w:sz="6" w:space="0" w:color="148A5D"/>
        </w:tblBorders>
        <w:tblCellMar>
          <w:left w:w="0" w:type="dxa"/>
          <w:right w:w="0" w:type="dxa"/>
        </w:tblCellMar>
        <w:tblLook w:val="04A0" w:firstRow="1" w:lastRow="0" w:firstColumn="1" w:lastColumn="0" w:noHBand="0" w:noVBand="1"/>
      </w:tblPr>
      <w:tblGrid>
        <w:gridCol w:w="2430"/>
        <w:gridCol w:w="3037"/>
        <w:gridCol w:w="1519"/>
        <w:gridCol w:w="1519"/>
      </w:tblGrid>
      <w:tr w:rsidR="005B3CB4" w:rsidRPr="007639AB" w14:paraId="7F023C78" w14:textId="77777777" w:rsidTr="0013642A">
        <w:tc>
          <w:tcPr>
            <w:tcW w:w="2430" w:type="dxa"/>
            <w:tcBorders>
              <w:bottom w:val="single" w:sz="6" w:space="0" w:color="148A5D"/>
            </w:tcBorders>
            <w:shd w:val="clear" w:color="auto" w:fill="26664E" w:themeFill="accent1"/>
            <w:hideMark/>
          </w:tcPr>
          <w:p w14:paraId="61C81771" w14:textId="77777777" w:rsidR="005B3CB4" w:rsidRPr="00C8004F" w:rsidRDefault="005B3CB4">
            <w:pPr>
              <w:pStyle w:val="10Tabletext"/>
              <w:keepNext/>
              <w:rPr>
                <w:rFonts w:ascii="Segoe UI" w:hAnsi="Segoe UI" w:cs="Segoe UI"/>
                <w:b/>
                <w:bCs w:val="0"/>
                <w:color w:val="FFFFFF" w:themeColor="background1"/>
                <w:lang w:eastAsia="en-AU"/>
              </w:rPr>
            </w:pPr>
            <w:r w:rsidRPr="00C8004F">
              <w:rPr>
                <w:b/>
                <w:color w:val="FFFFFF" w:themeColor="background1"/>
                <w:lang w:eastAsia="en-AU"/>
              </w:rPr>
              <w:t>Band</w:t>
            </w:r>
          </w:p>
        </w:tc>
        <w:tc>
          <w:tcPr>
            <w:tcW w:w="3037" w:type="dxa"/>
            <w:tcBorders>
              <w:bottom w:val="single" w:sz="6" w:space="0" w:color="148A5D"/>
            </w:tcBorders>
            <w:shd w:val="clear" w:color="auto" w:fill="26664E" w:themeFill="accent1"/>
            <w:hideMark/>
          </w:tcPr>
          <w:p w14:paraId="543834AC" w14:textId="48C9C00D" w:rsidR="005B3CB4" w:rsidRPr="00C8004F" w:rsidRDefault="00594830">
            <w:pPr>
              <w:pStyle w:val="10Tabletext"/>
              <w:keepNext/>
              <w:rPr>
                <w:rFonts w:ascii="Segoe UI" w:hAnsi="Segoe UI" w:cs="Segoe UI"/>
                <w:b/>
                <w:bCs w:val="0"/>
                <w:color w:val="FFFFFF" w:themeColor="background1"/>
                <w:lang w:eastAsia="en-AU"/>
              </w:rPr>
            </w:pPr>
            <w:r>
              <w:rPr>
                <w:b/>
                <w:color w:val="FFFFFF" w:themeColor="background1"/>
                <w:lang w:eastAsia="en-AU"/>
              </w:rPr>
              <w:t>Description</w:t>
            </w:r>
          </w:p>
        </w:tc>
        <w:tc>
          <w:tcPr>
            <w:tcW w:w="1519" w:type="dxa"/>
            <w:tcBorders>
              <w:bottom w:val="single" w:sz="6" w:space="0" w:color="148A5D"/>
            </w:tcBorders>
            <w:shd w:val="clear" w:color="auto" w:fill="26664E" w:themeFill="accent1"/>
            <w:hideMark/>
          </w:tcPr>
          <w:p w14:paraId="0B499689" w14:textId="77777777" w:rsidR="005B3CB4" w:rsidRPr="00C8004F" w:rsidRDefault="005B3CB4">
            <w:pPr>
              <w:pStyle w:val="10Tabletext"/>
              <w:keepNext/>
              <w:jc w:val="right"/>
              <w:rPr>
                <w:rFonts w:ascii="Segoe UI" w:hAnsi="Segoe UI" w:cs="Segoe UI"/>
                <w:b/>
                <w:bCs w:val="0"/>
                <w:color w:val="FFFFFF" w:themeColor="background1"/>
                <w:lang w:eastAsia="en-AU"/>
              </w:rPr>
            </w:pPr>
            <w:r w:rsidRPr="00C8004F">
              <w:rPr>
                <w:b/>
                <w:color w:val="FFFFFF" w:themeColor="background1"/>
                <w:lang w:eastAsia="en-AU"/>
              </w:rPr>
              <w:t>Bottom of band</w:t>
            </w:r>
          </w:p>
        </w:tc>
        <w:tc>
          <w:tcPr>
            <w:tcW w:w="1519" w:type="dxa"/>
            <w:tcBorders>
              <w:bottom w:val="single" w:sz="6" w:space="0" w:color="148A5D"/>
            </w:tcBorders>
            <w:shd w:val="clear" w:color="auto" w:fill="26664E" w:themeFill="accent1"/>
            <w:hideMark/>
          </w:tcPr>
          <w:p w14:paraId="2120B666" w14:textId="77777777" w:rsidR="005B3CB4" w:rsidRPr="00C8004F" w:rsidRDefault="005B3CB4">
            <w:pPr>
              <w:pStyle w:val="10Tabletext"/>
              <w:keepNext/>
              <w:jc w:val="right"/>
              <w:rPr>
                <w:rFonts w:ascii="Segoe UI" w:hAnsi="Segoe UI" w:cs="Segoe UI"/>
                <w:b/>
                <w:bCs w:val="0"/>
                <w:color w:val="FFFFFF" w:themeColor="background1"/>
                <w:lang w:eastAsia="en-AU"/>
              </w:rPr>
            </w:pPr>
            <w:r w:rsidRPr="00C8004F">
              <w:rPr>
                <w:b/>
                <w:color w:val="FFFFFF" w:themeColor="background1"/>
                <w:lang w:eastAsia="en-AU"/>
              </w:rPr>
              <w:t>Top of band </w:t>
            </w:r>
          </w:p>
        </w:tc>
      </w:tr>
      <w:tr w:rsidR="005B3CB4" w:rsidRPr="007639AB" w14:paraId="2E7B19BC" w14:textId="77777777" w:rsidTr="0013642A">
        <w:trPr>
          <w:trHeight w:val="300"/>
        </w:trPr>
        <w:tc>
          <w:tcPr>
            <w:tcW w:w="2430" w:type="dxa"/>
            <w:vMerge w:val="restart"/>
            <w:shd w:val="clear" w:color="auto" w:fill="auto"/>
          </w:tcPr>
          <w:p w14:paraId="13D6CA7F" w14:textId="77777777" w:rsidR="005B3CB4" w:rsidRPr="00CE537C" w:rsidRDefault="005B3CB4">
            <w:pPr>
              <w:pStyle w:val="10Tabletext"/>
              <w:keepNext/>
            </w:pPr>
            <w:r w:rsidRPr="00CE537C">
              <w:t>PESES-1 / SES-1</w:t>
            </w:r>
            <w:r w:rsidRPr="00CE537C">
              <w:rPr>
                <w:vertAlign w:val="superscript"/>
              </w:rPr>
              <w:t>(a)</w:t>
            </w:r>
          </w:p>
        </w:tc>
        <w:tc>
          <w:tcPr>
            <w:tcW w:w="3037" w:type="dxa"/>
            <w:tcBorders>
              <w:bottom w:val="single" w:sz="4" w:space="0" w:color="26664E" w:themeColor="accent1"/>
            </w:tcBorders>
            <w:shd w:val="clear" w:color="auto" w:fill="auto"/>
          </w:tcPr>
          <w:p w14:paraId="32232A34" w14:textId="77777777" w:rsidR="005B3CB4" w:rsidRPr="00C8004F" w:rsidRDefault="005B3CB4">
            <w:pPr>
              <w:pStyle w:val="10Tabletext"/>
              <w:keepNext/>
            </w:pPr>
            <w:r w:rsidRPr="00C8004F">
              <w:t>Current band ($</w:t>
            </w:r>
            <w:r>
              <w:t xml:space="preserve"> p.a.</w:t>
            </w:r>
            <w:r w:rsidRPr="00C8004F">
              <w:t>)</w:t>
            </w:r>
          </w:p>
        </w:tc>
        <w:tc>
          <w:tcPr>
            <w:tcW w:w="1519" w:type="dxa"/>
            <w:tcBorders>
              <w:bottom w:val="single" w:sz="4" w:space="0" w:color="26664E" w:themeColor="accent1"/>
            </w:tcBorders>
            <w:shd w:val="clear" w:color="auto" w:fill="auto"/>
          </w:tcPr>
          <w:p w14:paraId="0A16CBFC" w14:textId="77777777" w:rsidR="005B3CB4" w:rsidRPr="00C8004F" w:rsidRDefault="005B3CB4">
            <w:pPr>
              <w:pStyle w:val="10Tabletext"/>
              <w:keepNext/>
              <w:jc w:val="right"/>
            </w:pPr>
            <w:r w:rsidRPr="00C8004F">
              <w:t xml:space="preserve">216,376 </w:t>
            </w:r>
          </w:p>
        </w:tc>
        <w:tc>
          <w:tcPr>
            <w:tcW w:w="1519" w:type="dxa"/>
            <w:tcBorders>
              <w:bottom w:val="single" w:sz="4" w:space="0" w:color="26664E" w:themeColor="accent1"/>
            </w:tcBorders>
            <w:shd w:val="clear" w:color="auto" w:fill="auto"/>
          </w:tcPr>
          <w:p w14:paraId="279C33C7" w14:textId="77777777" w:rsidR="005B3CB4" w:rsidRPr="00C8004F" w:rsidRDefault="005B3CB4">
            <w:pPr>
              <w:pStyle w:val="10Tabletext"/>
              <w:keepNext/>
              <w:jc w:val="right"/>
            </w:pPr>
            <w:r w:rsidRPr="00C8004F">
              <w:t xml:space="preserve">279,238 </w:t>
            </w:r>
          </w:p>
        </w:tc>
      </w:tr>
      <w:tr w:rsidR="005B3CB4" w:rsidRPr="007639AB" w14:paraId="62A8AA32" w14:textId="77777777" w:rsidTr="0013642A">
        <w:trPr>
          <w:trHeight w:val="300"/>
        </w:trPr>
        <w:tc>
          <w:tcPr>
            <w:tcW w:w="2430" w:type="dxa"/>
            <w:vMerge/>
            <w:shd w:val="clear" w:color="auto" w:fill="auto"/>
            <w:vAlign w:val="center"/>
          </w:tcPr>
          <w:p w14:paraId="4396FCDD" w14:textId="77777777" w:rsidR="005B3CB4" w:rsidRPr="00CE537C" w:rsidRDefault="005B3CB4">
            <w:pPr>
              <w:pStyle w:val="10Tabletext"/>
              <w:keepNext/>
            </w:pPr>
          </w:p>
        </w:tc>
        <w:tc>
          <w:tcPr>
            <w:tcW w:w="3037" w:type="dxa"/>
            <w:tcBorders>
              <w:top w:val="single" w:sz="4" w:space="0" w:color="26664E" w:themeColor="accent1"/>
              <w:bottom w:val="single" w:sz="4" w:space="0" w:color="26664E" w:themeColor="accent1"/>
            </w:tcBorders>
            <w:shd w:val="clear" w:color="auto" w:fill="auto"/>
          </w:tcPr>
          <w:p w14:paraId="126F93A3" w14:textId="77777777" w:rsidR="005B3CB4" w:rsidRPr="00C8004F" w:rsidRDefault="005B3CB4">
            <w:pPr>
              <w:pStyle w:val="10Tabletext"/>
              <w:keepNext/>
            </w:pPr>
            <w:r w:rsidRPr="00C8004F">
              <w:t>Tribunal’s decision ($</w:t>
            </w:r>
            <w:r>
              <w:t xml:space="preserve"> p.a.</w:t>
            </w:r>
            <w:r w:rsidRPr="00C8004F">
              <w:t>)</w:t>
            </w:r>
          </w:p>
        </w:tc>
        <w:tc>
          <w:tcPr>
            <w:tcW w:w="1519" w:type="dxa"/>
            <w:tcBorders>
              <w:top w:val="single" w:sz="4" w:space="0" w:color="26664E" w:themeColor="accent1"/>
              <w:bottom w:val="single" w:sz="4" w:space="0" w:color="26664E" w:themeColor="accent1"/>
            </w:tcBorders>
            <w:shd w:val="clear" w:color="auto" w:fill="auto"/>
          </w:tcPr>
          <w:p w14:paraId="5D7F9686" w14:textId="77777777" w:rsidR="005B3CB4" w:rsidRPr="00C8004F" w:rsidRDefault="005B3CB4">
            <w:pPr>
              <w:pStyle w:val="10Tabletext"/>
              <w:keepNext/>
              <w:jc w:val="right"/>
            </w:pPr>
            <w:r w:rsidRPr="00C8004F">
              <w:t>225,000</w:t>
            </w:r>
          </w:p>
        </w:tc>
        <w:tc>
          <w:tcPr>
            <w:tcW w:w="1519" w:type="dxa"/>
            <w:tcBorders>
              <w:top w:val="single" w:sz="4" w:space="0" w:color="26664E" w:themeColor="accent1"/>
              <w:bottom w:val="single" w:sz="4" w:space="0" w:color="26664E" w:themeColor="accent1"/>
            </w:tcBorders>
            <w:shd w:val="clear" w:color="auto" w:fill="auto"/>
          </w:tcPr>
          <w:p w14:paraId="02BE895F" w14:textId="77777777" w:rsidR="005B3CB4" w:rsidRPr="00C8004F" w:rsidRDefault="005B3CB4">
            <w:pPr>
              <w:pStyle w:val="10Tabletext"/>
              <w:keepNext/>
              <w:jc w:val="right"/>
            </w:pPr>
            <w:r w:rsidRPr="00C8004F">
              <w:t>290,600</w:t>
            </w:r>
          </w:p>
        </w:tc>
      </w:tr>
      <w:tr w:rsidR="005B3CB4" w:rsidRPr="007639AB" w14:paraId="1469DAF4" w14:textId="77777777" w:rsidTr="0013642A">
        <w:trPr>
          <w:trHeight w:val="300"/>
        </w:trPr>
        <w:tc>
          <w:tcPr>
            <w:tcW w:w="2430" w:type="dxa"/>
            <w:vMerge/>
            <w:tcBorders>
              <w:bottom w:val="single" w:sz="12" w:space="0" w:color="26664E" w:themeColor="accent1"/>
            </w:tcBorders>
            <w:shd w:val="clear" w:color="auto" w:fill="auto"/>
            <w:vAlign w:val="center"/>
          </w:tcPr>
          <w:p w14:paraId="7B963234" w14:textId="77777777" w:rsidR="005B3CB4" w:rsidRPr="00CE537C" w:rsidRDefault="005B3CB4">
            <w:pPr>
              <w:pStyle w:val="10Tabletext"/>
              <w:keepNext/>
            </w:pPr>
          </w:p>
        </w:tc>
        <w:tc>
          <w:tcPr>
            <w:tcW w:w="3037" w:type="dxa"/>
            <w:tcBorders>
              <w:top w:val="single" w:sz="4" w:space="0" w:color="26664E" w:themeColor="accent1"/>
              <w:bottom w:val="single" w:sz="12" w:space="0" w:color="26664E" w:themeColor="accent1"/>
            </w:tcBorders>
            <w:shd w:val="clear" w:color="auto" w:fill="auto"/>
          </w:tcPr>
          <w:p w14:paraId="4C10F744" w14:textId="77777777" w:rsidR="005B3CB4" w:rsidRPr="00464B61" w:rsidRDefault="005B3CB4">
            <w:pPr>
              <w:pStyle w:val="10Tabletext"/>
              <w:keepNext/>
              <w:rPr>
                <w:i/>
                <w:iCs/>
              </w:rPr>
            </w:pPr>
            <w:r>
              <w:rPr>
                <w:i/>
                <w:iCs/>
              </w:rPr>
              <w:t>C</w:t>
            </w:r>
            <w:r w:rsidRPr="00464B61">
              <w:rPr>
                <w:i/>
                <w:iCs/>
              </w:rPr>
              <w:t>hange</w:t>
            </w:r>
            <w:r>
              <w:rPr>
                <w:i/>
                <w:iCs/>
              </w:rPr>
              <w:t xml:space="preserve"> (%)</w:t>
            </w:r>
          </w:p>
        </w:tc>
        <w:tc>
          <w:tcPr>
            <w:tcW w:w="1519" w:type="dxa"/>
            <w:tcBorders>
              <w:top w:val="single" w:sz="4" w:space="0" w:color="26664E" w:themeColor="accent1"/>
              <w:bottom w:val="single" w:sz="12" w:space="0" w:color="26664E" w:themeColor="accent1"/>
            </w:tcBorders>
            <w:shd w:val="clear" w:color="auto" w:fill="auto"/>
          </w:tcPr>
          <w:p w14:paraId="41EAC7A4" w14:textId="77777777" w:rsidR="005B3CB4" w:rsidRPr="00464B61" w:rsidRDefault="005B3CB4">
            <w:pPr>
              <w:pStyle w:val="10Tabletext"/>
              <w:keepNext/>
              <w:jc w:val="right"/>
              <w:rPr>
                <w:i/>
                <w:iCs/>
              </w:rPr>
            </w:pPr>
            <w:r>
              <w:rPr>
                <w:i/>
                <w:iCs/>
              </w:rPr>
              <w:t>+</w:t>
            </w:r>
            <w:r w:rsidRPr="00464B61">
              <w:rPr>
                <w:i/>
                <w:iCs/>
              </w:rPr>
              <w:t>4.0</w:t>
            </w:r>
          </w:p>
        </w:tc>
        <w:tc>
          <w:tcPr>
            <w:tcW w:w="1519" w:type="dxa"/>
            <w:tcBorders>
              <w:top w:val="single" w:sz="4" w:space="0" w:color="26664E" w:themeColor="accent1"/>
              <w:bottom w:val="single" w:sz="12" w:space="0" w:color="26664E" w:themeColor="accent1"/>
            </w:tcBorders>
            <w:shd w:val="clear" w:color="auto" w:fill="auto"/>
          </w:tcPr>
          <w:p w14:paraId="66F9B38B" w14:textId="77777777" w:rsidR="005B3CB4" w:rsidRPr="00464B61" w:rsidRDefault="005B3CB4">
            <w:pPr>
              <w:pStyle w:val="10Tabletext"/>
              <w:keepNext/>
              <w:jc w:val="right"/>
              <w:rPr>
                <w:i/>
                <w:iCs/>
              </w:rPr>
            </w:pPr>
            <w:r>
              <w:rPr>
                <w:i/>
                <w:iCs/>
              </w:rPr>
              <w:t>+</w:t>
            </w:r>
            <w:r w:rsidRPr="00464B61">
              <w:rPr>
                <w:i/>
                <w:iCs/>
              </w:rPr>
              <w:t>4.1</w:t>
            </w:r>
          </w:p>
        </w:tc>
      </w:tr>
      <w:tr w:rsidR="005B3CB4" w:rsidRPr="007639AB" w14:paraId="735F30A7" w14:textId="77777777" w:rsidTr="0013642A">
        <w:trPr>
          <w:trHeight w:val="300"/>
        </w:trPr>
        <w:tc>
          <w:tcPr>
            <w:tcW w:w="2430" w:type="dxa"/>
            <w:vMerge w:val="restart"/>
            <w:tcBorders>
              <w:top w:val="single" w:sz="12" w:space="0" w:color="26664E" w:themeColor="accent1"/>
            </w:tcBorders>
            <w:shd w:val="clear" w:color="auto" w:fill="auto"/>
          </w:tcPr>
          <w:p w14:paraId="3C0174FE" w14:textId="728939F8" w:rsidR="005B3CB4" w:rsidRPr="00CE537C" w:rsidRDefault="005B3CB4">
            <w:pPr>
              <w:pStyle w:val="10Tabletext"/>
              <w:keepNext/>
            </w:pPr>
            <w:r w:rsidRPr="00CE537C">
              <w:t>PESES-</w:t>
            </w:r>
            <w:r w:rsidR="00040E71">
              <w:t>2</w:t>
            </w:r>
            <w:r w:rsidRPr="00CE537C">
              <w:t xml:space="preserve"> / SES-2</w:t>
            </w:r>
          </w:p>
        </w:tc>
        <w:tc>
          <w:tcPr>
            <w:tcW w:w="3037" w:type="dxa"/>
            <w:tcBorders>
              <w:top w:val="single" w:sz="12" w:space="0" w:color="26664E" w:themeColor="accent1"/>
              <w:bottom w:val="single" w:sz="4" w:space="0" w:color="26664E" w:themeColor="accent1"/>
            </w:tcBorders>
            <w:shd w:val="clear" w:color="auto" w:fill="auto"/>
          </w:tcPr>
          <w:p w14:paraId="1EF21083" w14:textId="77777777" w:rsidR="005B3CB4" w:rsidRPr="00C8004F" w:rsidRDefault="005B3CB4">
            <w:pPr>
              <w:pStyle w:val="10Tabletext"/>
              <w:keepNext/>
            </w:pPr>
            <w:r w:rsidRPr="00C8004F">
              <w:t>Current band ($</w:t>
            </w:r>
            <w:r>
              <w:t xml:space="preserve"> p.a.</w:t>
            </w:r>
            <w:r w:rsidRPr="00C8004F">
              <w:t>)</w:t>
            </w:r>
          </w:p>
        </w:tc>
        <w:tc>
          <w:tcPr>
            <w:tcW w:w="1519" w:type="dxa"/>
            <w:tcBorders>
              <w:top w:val="single" w:sz="12" w:space="0" w:color="26664E" w:themeColor="accent1"/>
              <w:bottom w:val="single" w:sz="4" w:space="0" w:color="26664E" w:themeColor="accent1"/>
            </w:tcBorders>
            <w:shd w:val="clear" w:color="auto" w:fill="auto"/>
          </w:tcPr>
          <w:p w14:paraId="47703C12" w14:textId="77777777" w:rsidR="005B3CB4" w:rsidRPr="00C8004F" w:rsidRDefault="005B3CB4">
            <w:pPr>
              <w:pStyle w:val="10Tabletext"/>
              <w:keepNext/>
              <w:jc w:val="right"/>
            </w:pPr>
            <w:r w:rsidRPr="00C8004F">
              <w:t xml:space="preserve">279,239 </w:t>
            </w:r>
          </w:p>
        </w:tc>
        <w:tc>
          <w:tcPr>
            <w:tcW w:w="1519" w:type="dxa"/>
            <w:tcBorders>
              <w:top w:val="single" w:sz="12" w:space="0" w:color="26664E" w:themeColor="accent1"/>
              <w:bottom w:val="single" w:sz="4" w:space="0" w:color="26664E" w:themeColor="accent1"/>
            </w:tcBorders>
            <w:shd w:val="clear" w:color="auto" w:fill="auto"/>
          </w:tcPr>
          <w:p w14:paraId="37BD4725" w14:textId="77777777" w:rsidR="005B3CB4" w:rsidRPr="00C8004F" w:rsidRDefault="005B3CB4">
            <w:pPr>
              <w:pStyle w:val="10Tabletext"/>
              <w:keepNext/>
              <w:jc w:val="right"/>
            </w:pPr>
            <w:r w:rsidRPr="00C8004F">
              <w:t xml:space="preserve">401,017 </w:t>
            </w:r>
          </w:p>
        </w:tc>
      </w:tr>
      <w:tr w:rsidR="005B3CB4" w:rsidRPr="007639AB" w14:paraId="1A2C2666" w14:textId="77777777" w:rsidTr="0013642A">
        <w:trPr>
          <w:trHeight w:val="300"/>
        </w:trPr>
        <w:tc>
          <w:tcPr>
            <w:tcW w:w="2430" w:type="dxa"/>
            <w:vMerge/>
            <w:shd w:val="clear" w:color="auto" w:fill="auto"/>
          </w:tcPr>
          <w:p w14:paraId="25DA6B2F" w14:textId="77777777" w:rsidR="005B3CB4" w:rsidRPr="00CE537C" w:rsidRDefault="005B3CB4">
            <w:pPr>
              <w:pStyle w:val="10Tabletext"/>
              <w:keepNext/>
            </w:pPr>
          </w:p>
        </w:tc>
        <w:tc>
          <w:tcPr>
            <w:tcW w:w="3037" w:type="dxa"/>
            <w:tcBorders>
              <w:top w:val="single" w:sz="4" w:space="0" w:color="26664E" w:themeColor="accent1"/>
              <w:bottom w:val="single" w:sz="4" w:space="0" w:color="26664E" w:themeColor="accent1"/>
            </w:tcBorders>
            <w:shd w:val="clear" w:color="auto" w:fill="auto"/>
          </w:tcPr>
          <w:p w14:paraId="474EAEEF" w14:textId="77777777" w:rsidR="005B3CB4" w:rsidRPr="00C8004F" w:rsidRDefault="005B3CB4">
            <w:pPr>
              <w:pStyle w:val="10Tabletext"/>
              <w:keepNext/>
            </w:pPr>
            <w:r w:rsidRPr="00C8004F">
              <w:t>Tribunal’s decision ($</w:t>
            </w:r>
            <w:r>
              <w:t xml:space="preserve"> p.a.</w:t>
            </w:r>
            <w:r w:rsidRPr="00C8004F">
              <w:t>)</w:t>
            </w:r>
          </w:p>
        </w:tc>
        <w:tc>
          <w:tcPr>
            <w:tcW w:w="1519" w:type="dxa"/>
            <w:tcBorders>
              <w:top w:val="single" w:sz="4" w:space="0" w:color="26664E" w:themeColor="accent1"/>
              <w:bottom w:val="single" w:sz="4" w:space="0" w:color="26664E" w:themeColor="accent1"/>
            </w:tcBorders>
            <w:shd w:val="clear" w:color="auto" w:fill="auto"/>
          </w:tcPr>
          <w:p w14:paraId="3099DDE4" w14:textId="77777777" w:rsidR="005B3CB4" w:rsidRPr="00C8004F" w:rsidRDefault="005B3CB4">
            <w:pPr>
              <w:pStyle w:val="10Tabletext"/>
              <w:keepNext/>
              <w:jc w:val="right"/>
            </w:pPr>
            <w:r w:rsidRPr="00C8004F">
              <w:t>290,601</w:t>
            </w:r>
          </w:p>
        </w:tc>
        <w:tc>
          <w:tcPr>
            <w:tcW w:w="1519" w:type="dxa"/>
            <w:tcBorders>
              <w:top w:val="single" w:sz="4" w:space="0" w:color="26664E" w:themeColor="accent1"/>
              <w:bottom w:val="single" w:sz="4" w:space="0" w:color="26664E" w:themeColor="accent1"/>
            </w:tcBorders>
            <w:shd w:val="clear" w:color="auto" w:fill="auto"/>
          </w:tcPr>
          <w:p w14:paraId="19E25038" w14:textId="77777777" w:rsidR="005B3CB4" w:rsidRPr="00C8004F" w:rsidRDefault="005B3CB4">
            <w:pPr>
              <w:pStyle w:val="10Tabletext"/>
              <w:keepNext/>
              <w:jc w:val="right"/>
            </w:pPr>
            <w:r w:rsidRPr="00C8004F">
              <w:t>419,000</w:t>
            </w:r>
          </w:p>
        </w:tc>
      </w:tr>
      <w:tr w:rsidR="005B3CB4" w:rsidRPr="007639AB" w14:paraId="08A01333" w14:textId="77777777" w:rsidTr="0013642A">
        <w:tc>
          <w:tcPr>
            <w:tcW w:w="2430" w:type="dxa"/>
            <w:vMerge/>
            <w:tcBorders>
              <w:bottom w:val="single" w:sz="12" w:space="0" w:color="26664E" w:themeColor="accent1"/>
            </w:tcBorders>
            <w:shd w:val="clear" w:color="auto" w:fill="auto"/>
          </w:tcPr>
          <w:p w14:paraId="2AC9D76B" w14:textId="77777777" w:rsidR="005B3CB4" w:rsidRPr="00A82B63" w:rsidRDefault="005B3CB4">
            <w:pPr>
              <w:pStyle w:val="10Tabletext"/>
              <w:keepNext/>
            </w:pPr>
          </w:p>
        </w:tc>
        <w:tc>
          <w:tcPr>
            <w:tcW w:w="3037" w:type="dxa"/>
            <w:tcBorders>
              <w:top w:val="single" w:sz="4" w:space="0" w:color="26664E" w:themeColor="accent1"/>
              <w:bottom w:val="single" w:sz="12" w:space="0" w:color="26664E" w:themeColor="accent1"/>
            </w:tcBorders>
            <w:shd w:val="clear" w:color="auto" w:fill="auto"/>
          </w:tcPr>
          <w:p w14:paraId="1C59FED6" w14:textId="77777777" w:rsidR="005B3CB4" w:rsidRPr="00464B61" w:rsidRDefault="005B3CB4">
            <w:pPr>
              <w:pStyle w:val="10Tabletext"/>
              <w:keepNext/>
              <w:rPr>
                <w:i/>
                <w:iCs/>
              </w:rPr>
            </w:pPr>
            <w:r w:rsidRPr="00C8004F">
              <w:rPr>
                <w:i/>
                <w:iCs/>
              </w:rPr>
              <w:t>C</w:t>
            </w:r>
            <w:r w:rsidRPr="00464B61">
              <w:rPr>
                <w:i/>
                <w:iCs/>
              </w:rPr>
              <w:t>hange</w:t>
            </w:r>
            <w:r>
              <w:rPr>
                <w:i/>
                <w:iCs/>
              </w:rPr>
              <w:t xml:space="preserve"> (%)</w:t>
            </w:r>
          </w:p>
        </w:tc>
        <w:tc>
          <w:tcPr>
            <w:tcW w:w="1519" w:type="dxa"/>
            <w:tcBorders>
              <w:top w:val="single" w:sz="4" w:space="0" w:color="26664E" w:themeColor="accent1"/>
              <w:bottom w:val="single" w:sz="12" w:space="0" w:color="26664E" w:themeColor="accent1"/>
            </w:tcBorders>
            <w:shd w:val="clear" w:color="auto" w:fill="auto"/>
          </w:tcPr>
          <w:p w14:paraId="43921ED9" w14:textId="77777777" w:rsidR="005B3CB4" w:rsidRPr="00464B61" w:rsidRDefault="005B3CB4">
            <w:pPr>
              <w:pStyle w:val="10Tabletext"/>
              <w:keepNext/>
              <w:jc w:val="right"/>
              <w:rPr>
                <w:i/>
                <w:iCs/>
              </w:rPr>
            </w:pPr>
            <w:r>
              <w:rPr>
                <w:i/>
                <w:iCs/>
              </w:rPr>
              <w:t>+</w:t>
            </w:r>
            <w:r w:rsidRPr="00464B61">
              <w:rPr>
                <w:i/>
                <w:iCs/>
              </w:rPr>
              <w:t>4.1</w:t>
            </w:r>
          </w:p>
        </w:tc>
        <w:tc>
          <w:tcPr>
            <w:tcW w:w="1519" w:type="dxa"/>
            <w:tcBorders>
              <w:top w:val="single" w:sz="4" w:space="0" w:color="26664E" w:themeColor="accent1"/>
              <w:bottom w:val="single" w:sz="12" w:space="0" w:color="26664E" w:themeColor="accent1"/>
            </w:tcBorders>
            <w:shd w:val="clear" w:color="auto" w:fill="auto"/>
          </w:tcPr>
          <w:p w14:paraId="57B65322" w14:textId="77777777" w:rsidR="005B3CB4" w:rsidRPr="00464B61" w:rsidRDefault="005B3CB4">
            <w:pPr>
              <w:pStyle w:val="10Tabletext"/>
              <w:keepNext/>
              <w:jc w:val="right"/>
              <w:rPr>
                <w:i/>
                <w:iCs/>
              </w:rPr>
            </w:pPr>
            <w:r>
              <w:rPr>
                <w:i/>
                <w:iCs/>
              </w:rPr>
              <w:t>+</w:t>
            </w:r>
            <w:r w:rsidRPr="00464B61">
              <w:rPr>
                <w:i/>
                <w:iCs/>
              </w:rPr>
              <w:t>4.5</w:t>
            </w:r>
          </w:p>
        </w:tc>
      </w:tr>
      <w:tr w:rsidR="005B3CB4" w:rsidRPr="007639AB" w14:paraId="5E783B43" w14:textId="77777777" w:rsidTr="0013642A">
        <w:trPr>
          <w:trHeight w:val="300"/>
        </w:trPr>
        <w:tc>
          <w:tcPr>
            <w:tcW w:w="2430" w:type="dxa"/>
            <w:vMerge w:val="restart"/>
            <w:tcBorders>
              <w:top w:val="single" w:sz="12" w:space="0" w:color="26664E" w:themeColor="accent1"/>
            </w:tcBorders>
            <w:shd w:val="clear" w:color="auto" w:fill="auto"/>
          </w:tcPr>
          <w:p w14:paraId="000D48D3" w14:textId="77777777" w:rsidR="005B3CB4" w:rsidRPr="00A82B63" w:rsidRDefault="005B3CB4">
            <w:pPr>
              <w:pStyle w:val="10Tabletext"/>
              <w:keepNext/>
            </w:pPr>
            <w:r w:rsidRPr="00A82B63">
              <w:t>PESES-3 / SES-3</w:t>
            </w:r>
          </w:p>
        </w:tc>
        <w:tc>
          <w:tcPr>
            <w:tcW w:w="3037" w:type="dxa"/>
            <w:tcBorders>
              <w:top w:val="single" w:sz="12" w:space="0" w:color="26664E" w:themeColor="accent1"/>
              <w:bottom w:val="single" w:sz="4" w:space="0" w:color="26664E" w:themeColor="accent1"/>
            </w:tcBorders>
            <w:shd w:val="clear" w:color="auto" w:fill="auto"/>
          </w:tcPr>
          <w:p w14:paraId="18AF6A19" w14:textId="77777777" w:rsidR="005B3CB4" w:rsidRPr="00C8004F" w:rsidRDefault="005B3CB4">
            <w:pPr>
              <w:pStyle w:val="10Tabletext"/>
              <w:keepNext/>
            </w:pPr>
            <w:r w:rsidRPr="00C8004F">
              <w:t>Current band ($</w:t>
            </w:r>
            <w:r>
              <w:t xml:space="preserve"> p.a.</w:t>
            </w:r>
            <w:r w:rsidRPr="00C8004F">
              <w:t>)</w:t>
            </w:r>
          </w:p>
        </w:tc>
        <w:tc>
          <w:tcPr>
            <w:tcW w:w="1519" w:type="dxa"/>
            <w:tcBorders>
              <w:top w:val="single" w:sz="12" w:space="0" w:color="26664E" w:themeColor="accent1"/>
              <w:bottom w:val="single" w:sz="4" w:space="0" w:color="26664E" w:themeColor="accent1"/>
            </w:tcBorders>
            <w:shd w:val="clear" w:color="auto" w:fill="auto"/>
          </w:tcPr>
          <w:p w14:paraId="1C85F157" w14:textId="77777777" w:rsidR="005B3CB4" w:rsidRPr="00C8004F" w:rsidRDefault="005B3CB4">
            <w:pPr>
              <w:pStyle w:val="10Tabletext"/>
              <w:keepNext/>
              <w:jc w:val="right"/>
            </w:pPr>
            <w:r w:rsidRPr="00C8004F">
              <w:t>401,018</w:t>
            </w:r>
          </w:p>
        </w:tc>
        <w:tc>
          <w:tcPr>
            <w:tcW w:w="1519" w:type="dxa"/>
            <w:tcBorders>
              <w:top w:val="single" w:sz="12" w:space="0" w:color="26664E" w:themeColor="accent1"/>
              <w:bottom w:val="single" w:sz="4" w:space="0" w:color="26664E" w:themeColor="accent1"/>
            </w:tcBorders>
            <w:shd w:val="clear" w:color="auto" w:fill="auto"/>
          </w:tcPr>
          <w:p w14:paraId="598856D6" w14:textId="77777777" w:rsidR="005B3CB4" w:rsidRPr="00C8004F" w:rsidRDefault="005B3CB4">
            <w:pPr>
              <w:pStyle w:val="10Tabletext"/>
              <w:keepNext/>
              <w:jc w:val="right"/>
            </w:pPr>
            <w:r w:rsidRPr="00C8004F">
              <w:t>533,431</w:t>
            </w:r>
          </w:p>
        </w:tc>
      </w:tr>
      <w:tr w:rsidR="005B3CB4" w:rsidRPr="007639AB" w14:paraId="67AF8DDD" w14:textId="77777777" w:rsidTr="0013642A">
        <w:trPr>
          <w:trHeight w:val="300"/>
        </w:trPr>
        <w:tc>
          <w:tcPr>
            <w:tcW w:w="2430" w:type="dxa"/>
            <w:vMerge/>
            <w:shd w:val="clear" w:color="auto" w:fill="auto"/>
          </w:tcPr>
          <w:p w14:paraId="45866C48" w14:textId="77777777" w:rsidR="005B3CB4" w:rsidRPr="00C8004F" w:rsidRDefault="005B3CB4">
            <w:pPr>
              <w:pStyle w:val="10Tabletext"/>
              <w:keepNext/>
              <w:rPr>
                <w:b/>
                <w:bCs w:val="0"/>
              </w:rPr>
            </w:pPr>
          </w:p>
        </w:tc>
        <w:tc>
          <w:tcPr>
            <w:tcW w:w="3037" w:type="dxa"/>
            <w:tcBorders>
              <w:top w:val="single" w:sz="4" w:space="0" w:color="26664E" w:themeColor="accent1"/>
              <w:bottom w:val="single" w:sz="4" w:space="0" w:color="26664E" w:themeColor="accent1"/>
            </w:tcBorders>
            <w:shd w:val="clear" w:color="auto" w:fill="auto"/>
          </w:tcPr>
          <w:p w14:paraId="50F4D20F" w14:textId="77777777" w:rsidR="005B3CB4" w:rsidRPr="00C8004F" w:rsidRDefault="005B3CB4">
            <w:pPr>
              <w:pStyle w:val="10Tabletext"/>
              <w:keepNext/>
            </w:pPr>
            <w:r w:rsidRPr="00C8004F">
              <w:t>Tribunal’s decision ($</w:t>
            </w:r>
            <w:r>
              <w:t xml:space="preserve"> p.a.</w:t>
            </w:r>
            <w:r w:rsidRPr="00C8004F">
              <w:t>)</w:t>
            </w:r>
          </w:p>
        </w:tc>
        <w:tc>
          <w:tcPr>
            <w:tcW w:w="1519" w:type="dxa"/>
            <w:tcBorders>
              <w:top w:val="single" w:sz="4" w:space="0" w:color="26664E" w:themeColor="accent1"/>
              <w:bottom w:val="single" w:sz="4" w:space="0" w:color="26664E" w:themeColor="accent1"/>
            </w:tcBorders>
            <w:shd w:val="clear" w:color="auto" w:fill="auto"/>
          </w:tcPr>
          <w:p w14:paraId="5B2B635D" w14:textId="77777777" w:rsidR="005B3CB4" w:rsidRPr="00C8004F" w:rsidRDefault="005B3CB4">
            <w:pPr>
              <w:pStyle w:val="10Tabletext"/>
              <w:keepNext/>
              <w:jc w:val="right"/>
            </w:pPr>
            <w:r w:rsidRPr="00C8004F">
              <w:t>419,001</w:t>
            </w:r>
          </w:p>
        </w:tc>
        <w:tc>
          <w:tcPr>
            <w:tcW w:w="1519" w:type="dxa"/>
            <w:tcBorders>
              <w:top w:val="single" w:sz="4" w:space="0" w:color="26664E" w:themeColor="accent1"/>
              <w:bottom w:val="single" w:sz="4" w:space="0" w:color="26664E" w:themeColor="accent1"/>
            </w:tcBorders>
            <w:shd w:val="clear" w:color="auto" w:fill="auto"/>
          </w:tcPr>
          <w:p w14:paraId="2A8FBF6D" w14:textId="77777777" w:rsidR="005B3CB4" w:rsidRPr="00C8004F" w:rsidRDefault="005B3CB4">
            <w:pPr>
              <w:pStyle w:val="10Tabletext"/>
              <w:keepNext/>
              <w:jc w:val="right"/>
            </w:pPr>
            <w:r w:rsidRPr="00C8004F">
              <w:t>557,435</w:t>
            </w:r>
          </w:p>
        </w:tc>
      </w:tr>
      <w:tr w:rsidR="005B3CB4" w:rsidRPr="007639AB" w14:paraId="0232D567" w14:textId="77777777" w:rsidTr="0013642A">
        <w:trPr>
          <w:trHeight w:val="300"/>
        </w:trPr>
        <w:tc>
          <w:tcPr>
            <w:tcW w:w="2430" w:type="dxa"/>
            <w:vMerge/>
            <w:tcBorders>
              <w:bottom w:val="single" w:sz="12" w:space="0" w:color="26664E" w:themeColor="accent1"/>
            </w:tcBorders>
            <w:shd w:val="clear" w:color="auto" w:fill="auto"/>
          </w:tcPr>
          <w:p w14:paraId="54E24C3F" w14:textId="77777777" w:rsidR="005B3CB4" w:rsidRPr="00C8004F" w:rsidRDefault="005B3CB4">
            <w:pPr>
              <w:pStyle w:val="10Tabletext"/>
              <w:keepNext/>
              <w:rPr>
                <w:b/>
                <w:bCs w:val="0"/>
              </w:rPr>
            </w:pPr>
          </w:p>
        </w:tc>
        <w:tc>
          <w:tcPr>
            <w:tcW w:w="3037" w:type="dxa"/>
            <w:tcBorders>
              <w:top w:val="single" w:sz="4" w:space="0" w:color="26664E" w:themeColor="accent1"/>
              <w:bottom w:val="single" w:sz="12" w:space="0" w:color="26664E" w:themeColor="accent1"/>
            </w:tcBorders>
            <w:shd w:val="clear" w:color="auto" w:fill="auto"/>
          </w:tcPr>
          <w:p w14:paraId="0893FB7C" w14:textId="77777777" w:rsidR="005B3CB4" w:rsidRPr="00464B61" w:rsidRDefault="005B3CB4">
            <w:pPr>
              <w:pStyle w:val="10Tabletext"/>
              <w:keepNext/>
              <w:rPr>
                <w:i/>
                <w:iCs/>
              </w:rPr>
            </w:pPr>
            <w:r w:rsidRPr="00C8004F">
              <w:rPr>
                <w:i/>
                <w:iCs/>
              </w:rPr>
              <w:t>C</w:t>
            </w:r>
            <w:r w:rsidRPr="00464B61">
              <w:rPr>
                <w:i/>
                <w:iCs/>
              </w:rPr>
              <w:t>hange</w:t>
            </w:r>
            <w:r>
              <w:rPr>
                <w:i/>
                <w:iCs/>
              </w:rPr>
              <w:t xml:space="preserve"> (%)</w:t>
            </w:r>
          </w:p>
        </w:tc>
        <w:tc>
          <w:tcPr>
            <w:tcW w:w="1519" w:type="dxa"/>
            <w:tcBorders>
              <w:top w:val="single" w:sz="4" w:space="0" w:color="26664E" w:themeColor="accent1"/>
              <w:bottom w:val="single" w:sz="12" w:space="0" w:color="26664E" w:themeColor="accent1"/>
            </w:tcBorders>
            <w:shd w:val="clear" w:color="auto" w:fill="auto"/>
          </w:tcPr>
          <w:p w14:paraId="30237B6C" w14:textId="77777777" w:rsidR="005B3CB4" w:rsidRPr="00464B61" w:rsidRDefault="005B3CB4">
            <w:pPr>
              <w:pStyle w:val="10Tabletext"/>
              <w:keepNext/>
              <w:jc w:val="right"/>
              <w:rPr>
                <w:i/>
                <w:iCs/>
              </w:rPr>
            </w:pPr>
            <w:r>
              <w:rPr>
                <w:i/>
                <w:iCs/>
              </w:rPr>
              <w:t>+</w:t>
            </w:r>
            <w:r w:rsidRPr="00464B61">
              <w:rPr>
                <w:i/>
                <w:iCs/>
              </w:rPr>
              <w:t>4.5</w:t>
            </w:r>
          </w:p>
        </w:tc>
        <w:tc>
          <w:tcPr>
            <w:tcW w:w="1519" w:type="dxa"/>
            <w:tcBorders>
              <w:top w:val="single" w:sz="4" w:space="0" w:color="26664E" w:themeColor="accent1"/>
              <w:bottom w:val="single" w:sz="12" w:space="0" w:color="26664E" w:themeColor="accent1"/>
            </w:tcBorders>
            <w:shd w:val="clear" w:color="auto" w:fill="auto"/>
          </w:tcPr>
          <w:p w14:paraId="5C429AA0" w14:textId="77777777" w:rsidR="005B3CB4" w:rsidRPr="00464B61" w:rsidRDefault="005B3CB4">
            <w:pPr>
              <w:pStyle w:val="10Tabletext"/>
              <w:keepNext/>
              <w:jc w:val="right"/>
              <w:rPr>
                <w:i/>
                <w:iCs/>
              </w:rPr>
            </w:pPr>
            <w:r>
              <w:rPr>
                <w:i/>
                <w:iCs/>
              </w:rPr>
              <w:t>+</w:t>
            </w:r>
            <w:r w:rsidRPr="00464B61">
              <w:rPr>
                <w:i/>
                <w:iCs/>
              </w:rPr>
              <w:t>4.5</w:t>
            </w:r>
          </w:p>
        </w:tc>
      </w:tr>
    </w:tbl>
    <w:p w14:paraId="73318BC2" w14:textId="77777777" w:rsidR="005B3CB4" w:rsidRDefault="005B3CB4">
      <w:pPr>
        <w:pStyle w:val="09Sourcesandnotesfortablesfiguresboxes"/>
      </w:pPr>
      <w:r>
        <w:t xml:space="preserve">Note: (a) The bottom of the </w:t>
      </w:r>
      <w:r w:rsidRPr="003676E3">
        <w:t>PESES-1 / SES-1</w:t>
      </w:r>
      <w:r>
        <w:t xml:space="preserve"> band shown </w:t>
      </w:r>
      <w:r w:rsidRPr="003676E3">
        <w:t>applies</w:t>
      </w:r>
      <w:r>
        <w:t xml:space="preserve"> to an executive with a work value score of at least 21</w:t>
      </w:r>
      <w:r w:rsidRPr="003676E3">
        <w:t xml:space="preserve"> under the PEECF or VPSECF</w:t>
      </w:r>
      <w:r>
        <w:t>.</w:t>
      </w:r>
    </w:p>
    <w:p w14:paraId="4ECB8C49" w14:textId="77777777" w:rsidR="005B3CB4" w:rsidRPr="003676E3" w:rsidRDefault="005B3CB4">
      <w:pPr>
        <w:pStyle w:val="05Paragraph"/>
      </w:pPr>
      <w:r w:rsidRPr="003676E3">
        <w:t xml:space="preserve">It is important to note that the increases in the remuneration bands are inclusive of Commonwealth Government-legislated changes to statutory superannuation entitlements that took effect from 1 July 2024. In particular, the </w:t>
      </w:r>
      <w:r>
        <w:t>SG rate</w:t>
      </w:r>
      <w:r w:rsidRPr="003676E3">
        <w:t xml:space="preserve"> increased from 11 per cent to 11.5 per cent and the </w:t>
      </w:r>
      <w:r>
        <w:t>MSCB</w:t>
      </w:r>
      <w:r w:rsidRPr="003676E3">
        <w:t xml:space="preserve"> (which caps the salary to which the SG applies) increased from $249,080 to $260,280. Victorian Government policy is that employers must bear the cost of such changes, which is reflected in an increase in each executive’s TRP. Once the impact of the superannuation changes </w:t>
      </w:r>
      <w:proofErr w:type="gramStart"/>
      <w:r w:rsidRPr="003676E3">
        <w:t>are</w:t>
      </w:r>
      <w:proofErr w:type="gramEnd"/>
      <w:r w:rsidRPr="003676E3">
        <w:t xml:space="preserve"> accounted for, the effective increase in the remuneration bands is between 3.5 per cent and 4.</w:t>
      </w:r>
      <w:r>
        <w:t>0</w:t>
      </w:r>
      <w:r w:rsidRPr="003676E3">
        <w:t> per cent.</w:t>
      </w:r>
    </w:p>
    <w:p w14:paraId="71D1B232" w14:textId="55804B4F" w:rsidR="005B3CB4" w:rsidRPr="003676E3" w:rsidRDefault="005B3CB4">
      <w:pPr>
        <w:pStyle w:val="05Paragraph"/>
      </w:pPr>
      <w:r w:rsidRPr="003676E3">
        <w:t>It should also be noted that an increase in the remuneration bands does not automatically result in an increase in remuneration for all public entity executives. The task of the Tribunal is to determine the value</w:t>
      </w:r>
      <w:r w:rsidR="00A72317">
        <w:t>s</w:t>
      </w:r>
      <w:r w:rsidRPr="003676E3">
        <w:t xml:space="preserve"> of the remuneration bands. While the remuneration for public entity executives at the bottom of each band will need to be adjusted to remain within the relevant band, responsibility for what executives </w:t>
      </w:r>
      <w:proofErr w:type="gramStart"/>
      <w:r w:rsidRPr="003676E3">
        <w:t>are</w:t>
      </w:r>
      <w:proofErr w:type="gramEnd"/>
      <w:r w:rsidRPr="003676E3">
        <w:t xml:space="preserve"> paid resides with employers taking account of the Premier’s annual adjustment guideline rate. </w:t>
      </w:r>
    </w:p>
    <w:p w14:paraId="14AE14AA" w14:textId="1576C1B2" w:rsidR="005B3CB4" w:rsidRDefault="005B3CB4">
      <w:pPr>
        <w:pStyle w:val="05Paragraph"/>
      </w:pPr>
      <w:r w:rsidRPr="003676E3">
        <w:t>The Premier has determined an annual guideline rate of 3 per cent applicable from 1 July 2024. Accounting for the effect of the guideline rate and changes to statutory superannuation, the actual impact of this Determination on executives</w:t>
      </w:r>
      <w:r>
        <w:t xml:space="preserve"> </w:t>
      </w:r>
      <w:r w:rsidRPr="003676E3">
        <w:t>at the bottom of the band will be reduced.</w:t>
      </w:r>
      <w:r>
        <w:t xml:space="preserve"> For example, for an executive paid at the bottom of the PESES-1 or PESES-2 band as </w:t>
      </w:r>
      <w:proofErr w:type="gramStart"/>
      <w:r>
        <w:t>at</w:t>
      </w:r>
      <w:proofErr w:type="gramEnd"/>
      <w:r>
        <w:t xml:space="preserve"> 30 June 202</w:t>
      </w:r>
      <w:r w:rsidR="009D7878">
        <w:t>4</w:t>
      </w:r>
      <w:r>
        <w:t xml:space="preserve"> and who received the guideline rate increase and the superannuation adjustment, the increase in their TRP will be 0.5 per cent. For executives paid at the base of the PESES-3 band the </w:t>
      </w:r>
      <w:r w:rsidRPr="003676E3">
        <w:t xml:space="preserve">equivalent </w:t>
      </w:r>
      <w:r>
        <w:t>increase will be 1</w:t>
      </w:r>
      <w:r w:rsidRPr="003676E3">
        <w:t> </w:t>
      </w:r>
      <w:r>
        <w:t xml:space="preserve">per cent. </w:t>
      </w:r>
    </w:p>
    <w:p w14:paraId="755B71D4" w14:textId="77777777" w:rsidR="005B3CB4" w:rsidRDefault="005B3CB4" w:rsidP="00070DF6">
      <w:pPr>
        <w:pStyle w:val="03VIRTHeading3"/>
      </w:pPr>
      <w:r>
        <w:lastRenderedPageBreak/>
        <w:t>Backdating</w:t>
      </w:r>
    </w:p>
    <w:p w14:paraId="502ADB6F" w14:textId="7AFA9BBA" w:rsidR="005B3CB4" w:rsidRDefault="005B3CB4">
      <w:pPr>
        <w:pStyle w:val="05Paragraph"/>
      </w:pPr>
      <w:r>
        <w:t xml:space="preserve">A further consideration is the date on which this Determination should take effect. Under the VIRTIPS Act, a comprehensive Determination cannot be made within four years of an earlier comprehensive Determination. As the original VPS Determination in 2020 was made six months before the public entity Determination, this Determination will be backdated to 1 July 2024 to ensure that public entity executives are not disadvantaged by the lag. In future, the Tribunal proposes to examine options for making a comprehensive </w:t>
      </w:r>
      <w:r w:rsidR="00B71C9E">
        <w:t>D</w:t>
      </w:r>
      <w:r>
        <w:t xml:space="preserve">etermination on the same date for both </w:t>
      </w:r>
      <w:r w:rsidR="00B71C9E">
        <w:t>groups</w:t>
      </w:r>
      <w:r>
        <w:t xml:space="preserve"> to avoid the necessity for backdating in the future.   </w:t>
      </w:r>
    </w:p>
    <w:p w14:paraId="17311043" w14:textId="77777777" w:rsidR="005B3CB4" w:rsidRPr="003676E3" w:rsidRDefault="005B3CB4" w:rsidP="00070DF6">
      <w:pPr>
        <w:pStyle w:val="03VIRTHeading3"/>
      </w:pPr>
      <w:r w:rsidRPr="003676E3">
        <w:t xml:space="preserve">A single band structure for PESES and SES executives </w:t>
      </w:r>
    </w:p>
    <w:p w14:paraId="50499323" w14:textId="77777777" w:rsidR="005B3CB4" w:rsidRPr="003676E3" w:rsidRDefault="005B3CB4">
      <w:pPr>
        <w:pStyle w:val="05Paragraph"/>
      </w:pPr>
      <w:r w:rsidRPr="003676E3">
        <w:t xml:space="preserve">As discussed in Chapter 4, some public entities employ some or </w:t>
      </w:r>
      <w:proofErr w:type="gramStart"/>
      <w:r w:rsidRPr="003676E3">
        <w:t>all of</w:t>
      </w:r>
      <w:proofErr w:type="gramEnd"/>
      <w:r w:rsidRPr="003676E3">
        <w:t xml:space="preserve"> their executives under Part 3 of the PAA, and these executives have historically been covered by VPS employment policies, such as the standard VPS executive contract. </w:t>
      </w:r>
    </w:p>
    <w:p w14:paraId="319E736B" w14:textId="77777777" w:rsidR="005B3CB4" w:rsidRPr="003676E3" w:rsidRDefault="005B3CB4">
      <w:pPr>
        <w:pStyle w:val="05Paragraph"/>
      </w:pPr>
      <w:r w:rsidRPr="003676E3">
        <w:t xml:space="preserve">However, the VIRTIPS Act requires that the remuneration bands for this executive cohort be set in a public entity </w:t>
      </w:r>
      <w:r>
        <w:t>D</w:t>
      </w:r>
      <w:r w:rsidRPr="003676E3">
        <w:t>etermination. In its 2020 PE Determination, the Tribunal decided that:</w:t>
      </w:r>
      <w:r w:rsidRPr="003676E3">
        <w:rPr>
          <w:rStyle w:val="FootnoteReference"/>
        </w:rPr>
        <w:footnoteReference w:id="236"/>
      </w:r>
    </w:p>
    <w:p w14:paraId="26BE9136" w14:textId="77777777" w:rsidR="005B3CB4" w:rsidRPr="003676E3" w:rsidRDefault="005B3CB4">
      <w:pPr>
        <w:pStyle w:val="07VIRTBreakouttext"/>
      </w:pPr>
      <w:r w:rsidRPr="003676E3">
        <w:t>The relevant remuneration band for an executive employed under Part 3 of the PAA corresponds to that which applies to an executive with the same SES or Executive Officer classification, under the VPS Determination in effect at the time.</w:t>
      </w:r>
    </w:p>
    <w:p w14:paraId="77D58713" w14:textId="77777777" w:rsidR="005B3CB4" w:rsidRPr="003676E3" w:rsidRDefault="005B3CB4">
      <w:pPr>
        <w:pStyle w:val="05Paragraph"/>
      </w:pPr>
      <w:r w:rsidRPr="003676E3">
        <w:t xml:space="preserve">This approach was consistent with the arrangements in place at that time and meant that executives employed under Part 3 of the PAA in public entities and in the VPS were treated in the same way. </w:t>
      </w:r>
    </w:p>
    <w:p w14:paraId="55ABE886" w14:textId="7B352BEC" w:rsidR="005B3CB4" w:rsidRPr="003676E3" w:rsidRDefault="005B3CB4">
      <w:pPr>
        <w:pStyle w:val="05Paragraph"/>
      </w:pPr>
      <w:r w:rsidRPr="003676E3">
        <w:t>The Tribunal now considers that, consistent with the VIRTIPS Act, there should be a single remuneration framework for all executives employed in public entities. This means that, for example, the remuneration band for an SES-1 executive employed in a public entity under Part 3 of the PAA is the PESES-1 / SES-1 band in Table 7.1.</w:t>
      </w:r>
    </w:p>
    <w:p w14:paraId="3F044A00" w14:textId="77777777" w:rsidR="005B3CB4" w:rsidRPr="003676E3" w:rsidRDefault="005B3CB4">
      <w:pPr>
        <w:pStyle w:val="05Paragraph"/>
      </w:pPr>
      <w:r w:rsidRPr="003676E3">
        <w:t xml:space="preserve">This change has no substantive impact on the remuneration of executives employed in public entities under Part 3 of the PAA due to the alignment of the </w:t>
      </w:r>
      <w:r w:rsidRPr="003676E3">
        <w:lastRenderedPageBreak/>
        <w:t>PESES and SES remuneration bands. Provided that an executive’s remuneration has already been adjusted to reflect the SES remuneration bands applying from 1 July 2024, no further adjustments are required to comply with the 2024 PE Determination.</w:t>
      </w:r>
    </w:p>
    <w:p w14:paraId="2297BC5E" w14:textId="77777777" w:rsidR="005B3CB4" w:rsidRPr="003676E3" w:rsidRDefault="005B3CB4" w:rsidP="00070DF6">
      <w:pPr>
        <w:pStyle w:val="03VIRTHeading3"/>
      </w:pPr>
      <w:r w:rsidRPr="003676E3">
        <w:t>CEOs of small public entities</w:t>
      </w:r>
    </w:p>
    <w:p w14:paraId="322217E0" w14:textId="77777777" w:rsidR="005B3CB4" w:rsidRPr="003676E3" w:rsidRDefault="005B3CB4">
      <w:pPr>
        <w:pStyle w:val="05Paragraph"/>
      </w:pPr>
      <w:r w:rsidRPr="003676E3">
        <w:t xml:space="preserve">In its 2020 PE Determination, the Tribunal decided to provide flexibility for smaller public entities to set the remuneration for CEO positions that reflected their circumstances. As discussed in Chapter 4, this was achieved by reserving the lower portion of the PESES-1 band for the CEOs of small public entities. </w:t>
      </w:r>
    </w:p>
    <w:p w14:paraId="60FAA8EA" w14:textId="77777777" w:rsidR="005B3CB4" w:rsidRPr="003676E3" w:rsidRDefault="005B3CB4">
      <w:pPr>
        <w:pStyle w:val="05Paragraph"/>
      </w:pPr>
      <w:r w:rsidRPr="003676E3">
        <w:t xml:space="preserve">The number of CEO positions covered by the provision has decreased since 2020, with just four CEOs paid in the lower portion of the PESES-1 band </w:t>
      </w:r>
      <w:proofErr w:type="gramStart"/>
      <w:r w:rsidRPr="003676E3">
        <w:t>at</w:t>
      </w:r>
      <w:proofErr w:type="gramEnd"/>
      <w:r w:rsidRPr="003676E3">
        <w:t xml:space="preserve"> 30 June 2023. </w:t>
      </w:r>
    </w:p>
    <w:p w14:paraId="0B2F1039" w14:textId="77777777" w:rsidR="005B3CB4" w:rsidRPr="003676E3" w:rsidRDefault="005B3CB4">
      <w:pPr>
        <w:pStyle w:val="05Paragraph"/>
      </w:pPr>
      <w:r w:rsidRPr="003676E3">
        <w:t xml:space="preserve">The Tribunal has therefore decided to simplify the remuneration arrangements for this cohort, while retaining the current flexibility for smaller public entities. </w:t>
      </w:r>
    </w:p>
    <w:p w14:paraId="1332F629" w14:textId="16E375A2" w:rsidR="005B3CB4" w:rsidRDefault="005B3CB4" w:rsidP="005B3CB4">
      <w:pPr>
        <w:pStyle w:val="05Paragraph"/>
      </w:pPr>
      <w:r w:rsidRPr="003676E3">
        <w:t xml:space="preserve">A separate remuneration band has been established which only applies </w:t>
      </w:r>
      <w:r>
        <w:t>to</w:t>
      </w:r>
      <w:r w:rsidRPr="003676E3">
        <w:t xml:space="preserve"> CEOs (or </w:t>
      </w:r>
      <w:r w:rsidR="007A258A">
        <w:t>similar</w:t>
      </w:r>
      <w:r w:rsidRPr="003676E3">
        <w:t xml:space="preserve"> positions) with a work value score of less than 21 points under the PEECF. The bottom of this band ($157,158) represents a 4 per cent increase in the equivalent value under the previous band, while the top of the band ($290,600) continues to be aligned with the top of the new PESES-1 band.</w:t>
      </w:r>
      <w:r>
        <w:br w:type="page"/>
      </w:r>
    </w:p>
    <w:p w14:paraId="4F0E68A0" w14:textId="4813F8D7" w:rsidR="00EB3C6E" w:rsidRPr="00EB3C6E" w:rsidRDefault="005B3CB4" w:rsidP="002F7028">
      <w:pPr>
        <w:pStyle w:val="01Chapterheading"/>
        <w:numPr>
          <w:ilvl w:val="0"/>
          <w:numId w:val="31"/>
        </w:numPr>
        <w:spacing w:after="0"/>
        <w:ind w:left="720"/>
        <w:rPr>
          <w:szCs w:val="72"/>
        </w:rPr>
      </w:pPr>
      <w:bookmarkStart w:id="91" w:name="_Toc185012390"/>
      <w:r w:rsidRPr="00E84DD9">
        <w:lastRenderedPageBreak/>
        <w:t>Public Entity Executive Remuneration Guidelines</w:t>
      </w:r>
      <w:bookmarkEnd w:id="91"/>
    </w:p>
    <w:p w14:paraId="6491D12F" w14:textId="0BE54EF0" w:rsidR="005B3CB4" w:rsidRPr="00C31235" w:rsidRDefault="005B3CB4" w:rsidP="002F7028">
      <w:pPr>
        <w:pStyle w:val="05Paragraph"/>
        <w:spacing w:after="180"/>
        <w:rPr>
          <w:szCs w:val="72"/>
        </w:rPr>
      </w:pPr>
    </w:p>
    <w:p w14:paraId="4912D6A2" w14:textId="77777777" w:rsidR="005B3CB4" w:rsidRPr="00CD7B20" w:rsidRDefault="005B3CB4">
      <w:pPr>
        <w:pStyle w:val="05Paragraph"/>
      </w:pPr>
      <w:r w:rsidRPr="00CD7B20">
        <w:t xml:space="preserve">This chapter discusses the Tribunal’s considerations </w:t>
      </w:r>
      <w:r>
        <w:t>in</w:t>
      </w:r>
      <w:r w:rsidRPr="00CD7B20">
        <w:t xml:space="preserve"> updating its guidelines with respect to the placement of executives within the remuneration bands. The updated Guidelines are available on the Tribunal’s website. </w:t>
      </w:r>
    </w:p>
    <w:p w14:paraId="72C0E788" w14:textId="77777777" w:rsidR="005B3CB4" w:rsidRPr="00CD7B20" w:rsidRDefault="005B3CB4">
      <w:pPr>
        <w:pStyle w:val="05Paragraph"/>
      </w:pPr>
      <w:r w:rsidRPr="00CD7B20">
        <w:t>The existing Guidelines were first published in 2020</w:t>
      </w:r>
      <w:r>
        <w:t>,</w:t>
      </w:r>
      <w:r w:rsidRPr="00CD7B20">
        <w:t xml:space="preserve"> and aim to assist employers </w:t>
      </w:r>
      <w:r>
        <w:t>by outlining</w:t>
      </w:r>
      <w:r w:rsidRPr="00CD7B20">
        <w:t>:</w:t>
      </w:r>
    </w:p>
    <w:p w14:paraId="6D7F2EB6" w14:textId="77777777" w:rsidR="005B3CB4" w:rsidRPr="00DF7CE8" w:rsidRDefault="005B3CB4" w:rsidP="00DF7CE8">
      <w:pPr>
        <w:pStyle w:val="06VIRTBulletpoints"/>
        <w:rPr>
          <w:rStyle w:val="normaltextrun"/>
        </w:rPr>
      </w:pPr>
      <w:r w:rsidRPr="00DF7CE8">
        <w:t>‘</w:t>
      </w:r>
      <w:proofErr w:type="gramStart"/>
      <w:r w:rsidRPr="00DF7CE8">
        <w:t>guiding</w:t>
      </w:r>
      <w:proofErr w:type="gramEnd"/>
      <w:r w:rsidRPr="00DF7CE8">
        <w:t xml:space="preserve"> principles’</w:t>
      </w:r>
      <w:r w:rsidRPr="00DF7CE8" w:rsidDel="00142B50">
        <w:rPr>
          <w:rStyle w:val="normaltextrun"/>
        </w:rPr>
        <w:t xml:space="preserve"> </w:t>
      </w:r>
      <w:r w:rsidRPr="00DF7CE8">
        <w:rPr>
          <w:rStyle w:val="normaltextrun"/>
        </w:rPr>
        <w:t>for executive remuneration, drawn from matters considered by the Tribunal when making its Determinations</w:t>
      </w:r>
    </w:p>
    <w:p w14:paraId="432FE1F2" w14:textId="77777777" w:rsidR="005B3CB4" w:rsidRPr="00DF7CE8" w:rsidRDefault="005B3CB4" w:rsidP="00DF7CE8">
      <w:pPr>
        <w:pStyle w:val="06VIRTBulletpoints"/>
      </w:pPr>
      <w:r w:rsidRPr="00DF7CE8">
        <w:rPr>
          <w:rStyle w:val="normaltextrun"/>
        </w:rPr>
        <w:t>‘</w:t>
      </w:r>
      <w:proofErr w:type="gramStart"/>
      <w:r w:rsidRPr="00DF7CE8">
        <w:rPr>
          <w:rStyle w:val="normaltextrun"/>
        </w:rPr>
        <w:t>specific</w:t>
      </w:r>
      <w:proofErr w:type="gramEnd"/>
      <w:r w:rsidRPr="00DF7CE8">
        <w:rPr>
          <w:rStyle w:val="normaltextrun"/>
        </w:rPr>
        <w:t xml:space="preserve"> factors’ that employers should consider when setting the remuneration of individual executives within the relevant band.</w:t>
      </w:r>
    </w:p>
    <w:p w14:paraId="1EFBD510" w14:textId="77777777" w:rsidR="005B3CB4" w:rsidRPr="009F74D6" w:rsidRDefault="005B3CB4">
      <w:pPr>
        <w:pStyle w:val="05Paragraph"/>
      </w:pPr>
      <w:r w:rsidRPr="009F74D6">
        <w:t xml:space="preserve">The notice of intention invited feedback on whether </w:t>
      </w:r>
      <w:r w:rsidRPr="00B01B2C">
        <w:t>changes</w:t>
      </w:r>
      <w:r>
        <w:t xml:space="preserve"> </w:t>
      </w:r>
      <w:r w:rsidRPr="00B01B2C">
        <w:t xml:space="preserve">could be made to the </w:t>
      </w:r>
      <w:r>
        <w:t xml:space="preserve">existing </w:t>
      </w:r>
      <w:r w:rsidRPr="00B01B2C">
        <w:t>Guidelines to better support employers in setting remuneration for executives within the remuneration bands</w:t>
      </w:r>
      <w:r w:rsidRPr="009F74D6">
        <w:t xml:space="preserve">. </w:t>
      </w:r>
      <w:r>
        <w:t xml:space="preserve">In addition to feedback received via </w:t>
      </w:r>
      <w:r w:rsidRPr="009F74D6">
        <w:t xml:space="preserve">stakeholder submissions, </w:t>
      </w:r>
      <w:r>
        <w:t xml:space="preserve">the Tribunal </w:t>
      </w:r>
      <w:r w:rsidRPr="009F74D6">
        <w:t>consult</w:t>
      </w:r>
      <w:r>
        <w:t>ed on the Guidelines</w:t>
      </w:r>
      <w:r w:rsidRPr="009F74D6">
        <w:t xml:space="preserve"> </w:t>
      </w:r>
      <w:r>
        <w:t>at roundtables</w:t>
      </w:r>
      <w:r w:rsidRPr="009F74D6">
        <w:t xml:space="preserve"> </w:t>
      </w:r>
      <w:r>
        <w:t>with public entity representatives,</w:t>
      </w:r>
      <w:r w:rsidRPr="009F74D6">
        <w:t xml:space="preserve"> </w:t>
      </w:r>
      <w:r>
        <w:t>as well as via</w:t>
      </w:r>
      <w:r w:rsidRPr="009F74D6">
        <w:t xml:space="preserve"> the </w:t>
      </w:r>
      <w:r>
        <w:t xml:space="preserve">executive </w:t>
      </w:r>
      <w:r w:rsidRPr="009F74D6">
        <w:t>questionnaire.</w:t>
      </w:r>
    </w:p>
    <w:p w14:paraId="3E29799D" w14:textId="77777777" w:rsidR="005B3CB4" w:rsidRDefault="005B3CB4">
      <w:pPr>
        <w:pStyle w:val="05Paragraph"/>
      </w:pPr>
      <w:r>
        <w:t>Stakeholders generally considered that the existing Guidelines were clear and easy to apply, with suggested changes echoing those made by the Tribunal to the equivalent guidelines for VPS executives in July 2024.</w:t>
      </w:r>
    </w:p>
    <w:p w14:paraId="582B5BB8" w14:textId="77777777" w:rsidR="005B3CB4" w:rsidRDefault="005B3CB4">
      <w:pPr>
        <w:pStyle w:val="05Paragraph"/>
      </w:pPr>
      <w:r>
        <w:t>Specific suggestions from stakeholders included:</w:t>
      </w:r>
    </w:p>
    <w:p w14:paraId="126A79F6" w14:textId="77777777" w:rsidR="005B3CB4" w:rsidRDefault="005B3CB4">
      <w:pPr>
        <w:pStyle w:val="06VIRTBulletpoints"/>
      </w:pPr>
      <w:r>
        <w:t>clarifying the role of work value scores in setting remuneration, and specifically to note that there is not a direct relationship between a position’s work value score and positioning within the remuneration band</w:t>
      </w:r>
    </w:p>
    <w:p w14:paraId="19D59D39" w14:textId="77777777" w:rsidR="005B3CB4" w:rsidRDefault="005B3CB4">
      <w:pPr>
        <w:pStyle w:val="06VIRTBulletpoints"/>
      </w:pPr>
      <w:r>
        <w:t>noting that there is scope for remuneration to be adjusted as individual executives develop their capabilities and increase their ‘value-add’ in a role</w:t>
      </w:r>
    </w:p>
    <w:p w14:paraId="32FD58CB" w14:textId="77777777" w:rsidR="005B3CB4" w:rsidRDefault="005B3CB4">
      <w:pPr>
        <w:pStyle w:val="06VIRTBulletpoints"/>
      </w:pPr>
      <w:r>
        <w:t>considering the importance of specific executive roles to an organisation.</w:t>
      </w:r>
    </w:p>
    <w:p w14:paraId="3C44295B" w14:textId="77777777" w:rsidR="005B3CB4" w:rsidRDefault="005B3CB4">
      <w:pPr>
        <w:pStyle w:val="05Paragraph"/>
      </w:pPr>
      <w:r>
        <w:t>A further suggestion was for the Tribunal to promote awareness of the Guidelines among public entities to assist them in considering remuneration policies and practices.</w:t>
      </w:r>
    </w:p>
    <w:p w14:paraId="1DF35816" w14:textId="77777777" w:rsidR="005B3CB4" w:rsidRDefault="005B3CB4">
      <w:pPr>
        <w:pStyle w:val="05Paragraph"/>
      </w:pPr>
      <w:r>
        <w:lastRenderedPageBreak/>
        <w:t>Most executives who responded to the questionnaire reported that they were familiar with the existing Guidelines, including almost 90 per cent of CEO respondents</w:t>
      </w:r>
      <w:r w:rsidRPr="005178CE">
        <w:t>.</w:t>
      </w:r>
      <w:r>
        <w:t xml:space="preserve"> A handful of executives indicated that their entity has a practice of remunerating executives at the bottom of the relevant remuneration band, although this appeared to be less widespread than in the VPS. </w:t>
      </w:r>
    </w:p>
    <w:p w14:paraId="1B86F72C" w14:textId="77777777" w:rsidR="005B3CB4" w:rsidRDefault="005B3CB4">
      <w:pPr>
        <w:pStyle w:val="05Paragraph"/>
      </w:pPr>
      <w:r>
        <w:t>The Tribunal has made several changes to the Guidelines in response to this feedback and, where appropriate, to align the Guidelines with the equivalent guidelines for VPS executives, which were updated in July 2024. Key changes are summarised below.</w:t>
      </w:r>
    </w:p>
    <w:p w14:paraId="23C508C9" w14:textId="1E3B5C56" w:rsidR="005B3CB4" w:rsidRDefault="005B3CB4">
      <w:pPr>
        <w:pStyle w:val="05Paragraph"/>
      </w:pPr>
      <w:r>
        <w:rPr>
          <w:szCs w:val="26"/>
        </w:rPr>
        <w:t>Firstly, t</w:t>
      </w:r>
      <w:r w:rsidRPr="009F74D6">
        <w:t xml:space="preserve">he ‘guiding principles’ </w:t>
      </w:r>
      <w:r>
        <w:t xml:space="preserve">have been amended. </w:t>
      </w:r>
      <w:proofErr w:type="gramStart"/>
      <w:r>
        <w:t>In particular, Principle</w:t>
      </w:r>
      <w:proofErr w:type="gramEnd"/>
      <w:r>
        <w:t xml:space="preserve"> 3.3 —</w:t>
      </w:r>
      <w:r w:rsidR="00491EC1">
        <w:t> </w:t>
      </w:r>
      <w:r>
        <w:t xml:space="preserve">‘Executive remuneration should be robust’ — has been amended to include a ‘transparency’ consideration, and to state that the </w:t>
      </w:r>
      <w:r>
        <w:rPr>
          <w:rStyle w:val="normaltextrun"/>
          <w:color w:val="000000"/>
          <w:szCs w:val="26"/>
          <w:shd w:val="clear" w:color="auto" w:fill="FFFFFF"/>
          <w:lang w:val="en-US"/>
        </w:rPr>
        <w:t>basis for decisions should be clearly understood (e.g. through reference to an entity’s executive remuneration framework or strategy).</w:t>
      </w:r>
      <w:r>
        <w:rPr>
          <w:rStyle w:val="normaltextrun"/>
          <w:b/>
          <w:bCs/>
          <w:color w:val="000000"/>
          <w:szCs w:val="26"/>
          <w:shd w:val="clear" w:color="auto" w:fill="FFFFFF"/>
          <w:lang w:val="en-US"/>
        </w:rPr>
        <w:t> </w:t>
      </w:r>
      <w:r>
        <w:t>Two</w:t>
      </w:r>
      <w:r w:rsidRPr="006D72F5">
        <w:t xml:space="preserve"> additional guiding principle</w:t>
      </w:r>
      <w:r w:rsidR="00F161FE">
        <w:t>s</w:t>
      </w:r>
      <w:r w:rsidRPr="006D72F5">
        <w:t xml:space="preserve"> ha</w:t>
      </w:r>
      <w:r>
        <w:t>ve</w:t>
      </w:r>
      <w:r w:rsidRPr="006D72F5">
        <w:t xml:space="preserve"> </w:t>
      </w:r>
      <w:r>
        <w:t xml:space="preserve">also </w:t>
      </w:r>
      <w:r w:rsidRPr="006D72F5">
        <w:t>been added</w:t>
      </w:r>
      <w:r>
        <w:t>:</w:t>
      </w:r>
    </w:p>
    <w:p w14:paraId="58EECA87" w14:textId="77777777" w:rsidR="005B3CB4" w:rsidRPr="001B5D1F" w:rsidRDefault="005B3CB4">
      <w:pPr>
        <w:pStyle w:val="06VIRTBulletpoints"/>
        <w:rPr>
          <w:bCs/>
          <w:lang w:val="en-US"/>
        </w:rPr>
      </w:pPr>
      <w:r>
        <w:rPr>
          <w:lang w:val="en-US"/>
        </w:rPr>
        <w:t>Principle 3.4</w:t>
      </w:r>
      <w:r>
        <w:rPr>
          <w:bCs/>
          <w:lang w:val="en-US"/>
        </w:rPr>
        <w:t xml:space="preserve"> </w:t>
      </w:r>
      <w:r>
        <w:t>— ‘</w:t>
      </w:r>
      <w:r w:rsidRPr="00CA4CA6">
        <w:t xml:space="preserve">Executive remuneration should </w:t>
      </w:r>
      <w:proofErr w:type="gramStart"/>
      <w:r w:rsidRPr="00CA4CA6">
        <w:t>take into account</w:t>
      </w:r>
      <w:proofErr w:type="gramEnd"/>
      <w:r w:rsidRPr="00CA4CA6">
        <w:t xml:space="preserve"> Government policies</w:t>
      </w:r>
      <w:r>
        <w:t>’ (e.g. to improve gender equality and promote diversity and inclusion)</w:t>
      </w:r>
    </w:p>
    <w:p w14:paraId="5BDC9022" w14:textId="77777777" w:rsidR="005B3CB4" w:rsidRPr="00686DE7" w:rsidRDefault="005B3CB4">
      <w:pPr>
        <w:pStyle w:val="06VIRTBulletpoints"/>
        <w:rPr>
          <w:b/>
          <w:lang w:val="en-US"/>
        </w:rPr>
      </w:pPr>
      <w:r>
        <w:rPr>
          <w:lang w:val="en-US"/>
        </w:rPr>
        <w:t xml:space="preserve">Principle 3.5 </w:t>
      </w:r>
      <w:r>
        <w:t>—</w:t>
      </w:r>
      <w:r>
        <w:rPr>
          <w:lang w:val="en-US"/>
        </w:rPr>
        <w:t xml:space="preserve"> ‘E</w:t>
      </w:r>
      <w:r w:rsidRPr="00686DE7">
        <w:rPr>
          <w:lang w:val="en-US"/>
        </w:rPr>
        <w:t xml:space="preserve">xecutive remuneration </w:t>
      </w:r>
      <w:r>
        <w:rPr>
          <w:lang w:val="en-US"/>
        </w:rPr>
        <w:t xml:space="preserve">should be regularly reviewed’ both </w:t>
      </w:r>
      <w:r w:rsidRPr="00686DE7">
        <w:rPr>
          <w:lang w:val="en-US"/>
        </w:rPr>
        <w:t>at an individual and workforce level, including consideration of relativities and performance.</w:t>
      </w:r>
    </w:p>
    <w:p w14:paraId="37924231" w14:textId="77777777" w:rsidR="005B3CB4" w:rsidRDefault="005B3CB4">
      <w:pPr>
        <w:pStyle w:val="05Paragraph"/>
      </w:pPr>
      <w:r>
        <w:t>The</w:t>
      </w:r>
      <w:r w:rsidRPr="009F74D6">
        <w:t xml:space="preserve"> </w:t>
      </w:r>
      <w:r>
        <w:t>‘specific factors’</w:t>
      </w:r>
      <w:r w:rsidRPr="009F74D6">
        <w:t xml:space="preserve"> </w:t>
      </w:r>
      <w:r>
        <w:t xml:space="preserve">have been updated </w:t>
      </w:r>
      <w:r w:rsidRPr="009F74D6">
        <w:t>to emphasise the importance of carefully assessing the specific functions and responsibilities of an executive position (</w:t>
      </w:r>
      <w:r>
        <w:t>e.g. </w:t>
      </w:r>
      <w:r w:rsidRPr="009F74D6">
        <w:t>contributing to or leading a major reform initiative</w:t>
      </w:r>
      <w:r>
        <w:t xml:space="preserve"> or emergency response</w:t>
      </w:r>
      <w:r w:rsidRPr="009F74D6">
        <w:t>) when setting remuneration</w:t>
      </w:r>
      <w:r>
        <w:t>. Two new clauses have also been added, which note that:</w:t>
      </w:r>
    </w:p>
    <w:p w14:paraId="0102237A" w14:textId="77777777" w:rsidR="005B3CB4" w:rsidRPr="00E34549" w:rsidRDefault="005B3CB4">
      <w:pPr>
        <w:pStyle w:val="06VIRTBulletpoints"/>
        <w:rPr>
          <w:lang w:val="en-US"/>
        </w:rPr>
      </w:pPr>
      <w:r w:rsidRPr="00E34549">
        <w:rPr>
          <w:lang w:val="en-US"/>
        </w:rPr>
        <w:t>where a position is deemed critical to an entity’s operations, remuneration above the middle of the band may be appropriate</w:t>
      </w:r>
    </w:p>
    <w:p w14:paraId="4A17B259" w14:textId="77777777" w:rsidR="005B3CB4" w:rsidRPr="00E34549" w:rsidRDefault="005B3CB4">
      <w:pPr>
        <w:pStyle w:val="06VIRTBulletpoints"/>
        <w:rPr>
          <w:lang w:val="en-US"/>
        </w:rPr>
      </w:pPr>
      <w:r w:rsidRPr="00E34549">
        <w:rPr>
          <w:lang w:val="en-US"/>
        </w:rPr>
        <w:t xml:space="preserve">executives may undertake additional work beyond the specific functions and responsibilities of a position </w:t>
      </w:r>
      <w:r>
        <w:rPr>
          <w:lang w:val="en-US"/>
        </w:rPr>
        <w:t xml:space="preserve">(e.g. </w:t>
      </w:r>
      <w:r w:rsidRPr="00E34549">
        <w:rPr>
          <w:lang w:val="en-US"/>
        </w:rPr>
        <w:t xml:space="preserve">a First Nations’ executive may provide broader cultural leadership within an </w:t>
      </w:r>
      <w:proofErr w:type="spellStart"/>
      <w:r w:rsidRPr="00E34549">
        <w:rPr>
          <w:lang w:val="en-US"/>
        </w:rPr>
        <w:t>organisation</w:t>
      </w:r>
      <w:proofErr w:type="spellEnd"/>
      <w:r>
        <w:rPr>
          <w:lang w:val="en-US"/>
        </w:rPr>
        <w:t>),</w:t>
      </w:r>
      <w:r w:rsidRPr="00E34549">
        <w:rPr>
          <w:lang w:val="en-US"/>
        </w:rPr>
        <w:t xml:space="preserve"> which should be considered in setting remuneration.</w:t>
      </w:r>
    </w:p>
    <w:p w14:paraId="0A21CE90" w14:textId="77777777" w:rsidR="005B3CB4" w:rsidRDefault="005B3CB4">
      <w:pPr>
        <w:pStyle w:val="05Paragraph"/>
      </w:pPr>
      <w:r w:rsidRPr="009F74D6">
        <w:t xml:space="preserve">The </w:t>
      </w:r>
      <w:r>
        <w:t>updated Guidelines</w:t>
      </w:r>
      <w:r w:rsidRPr="009F74D6">
        <w:t xml:space="preserve"> </w:t>
      </w:r>
      <w:r>
        <w:t>include</w:t>
      </w:r>
      <w:r w:rsidRPr="009F74D6">
        <w:t xml:space="preserve"> two illustrative case studies to assist employers in applying the ‘guiding principles’ and ‘specific factors’ when setting executive remuneration. The case studies highlight the importance of employers regularly reviewing executive remuneration arrangements to ensure that they support the </w:t>
      </w:r>
      <w:r w:rsidRPr="009F74D6">
        <w:lastRenderedPageBreak/>
        <w:t>recruitment and retention of executive</w:t>
      </w:r>
      <w:r>
        <w:t>s</w:t>
      </w:r>
      <w:r w:rsidRPr="009F74D6">
        <w:t xml:space="preserve"> with the requisite skills</w:t>
      </w:r>
      <w:r>
        <w:t>,</w:t>
      </w:r>
      <w:r w:rsidRPr="009F74D6">
        <w:t xml:space="preserve"> capability and experience, and that they are fair and equitable over time.  </w:t>
      </w:r>
    </w:p>
    <w:p w14:paraId="4DFE1B2A" w14:textId="77777777" w:rsidR="005B3CB4" w:rsidRDefault="005B3CB4">
      <w:pPr>
        <w:pStyle w:val="05Paragraph"/>
        <w:rPr>
          <w:szCs w:val="26"/>
        </w:rPr>
      </w:pPr>
      <w:r>
        <w:t>The</w:t>
      </w:r>
      <w:r>
        <w:rPr>
          <w:szCs w:val="26"/>
        </w:rPr>
        <w:t xml:space="preserve"> introductory section on ‘How and when to use these Guidelines’ has been updated to:</w:t>
      </w:r>
    </w:p>
    <w:p w14:paraId="28650495" w14:textId="77777777" w:rsidR="005B3CB4" w:rsidRPr="00C56562" w:rsidRDefault="005B3CB4">
      <w:pPr>
        <w:pStyle w:val="06VIRTBulletpoints"/>
        <w:rPr>
          <w:lang w:val="en-US"/>
        </w:rPr>
      </w:pPr>
      <w:r w:rsidRPr="00C56562">
        <w:rPr>
          <w:lang w:val="en-US"/>
        </w:rPr>
        <w:t>clarify that the Guidelines do not require employers to remunerate an executive at the bottom of the remuneration band</w:t>
      </w:r>
    </w:p>
    <w:p w14:paraId="466D984D" w14:textId="77777777" w:rsidR="005B3CB4" w:rsidRPr="00C56562" w:rsidRDefault="005B3CB4">
      <w:pPr>
        <w:pStyle w:val="06VIRTBulletpoints"/>
        <w:rPr>
          <w:lang w:val="en-US"/>
        </w:rPr>
      </w:pPr>
      <w:r w:rsidRPr="00C56562">
        <w:rPr>
          <w:lang w:val="en-US"/>
        </w:rPr>
        <w:t>note that a public entity employer may — in limited circumstances — consider it appropriate to pay an executive above the relevant band</w:t>
      </w:r>
      <w:r>
        <w:rPr>
          <w:lang w:val="en-US"/>
        </w:rPr>
        <w:t xml:space="preserve">, </w:t>
      </w:r>
      <w:proofErr w:type="spellStart"/>
      <w:r>
        <w:rPr>
          <w:lang w:val="en-US"/>
        </w:rPr>
        <w:t>recognising</w:t>
      </w:r>
      <w:proofErr w:type="spellEnd"/>
      <w:r>
        <w:rPr>
          <w:lang w:val="en-US"/>
        </w:rPr>
        <w:t xml:space="preserve"> that ‘payment above the band’ is a legitimate part of the remuneration framework.</w:t>
      </w:r>
    </w:p>
    <w:p w14:paraId="7578A972" w14:textId="22626966" w:rsidR="00DA3664" w:rsidRDefault="005B3CB4">
      <w:pPr>
        <w:pStyle w:val="05Paragraph"/>
      </w:pPr>
      <w:r>
        <w:t>Finally, t</w:t>
      </w:r>
      <w:r w:rsidRPr="00D958D2">
        <w:t xml:space="preserve">he Tribunal </w:t>
      </w:r>
      <w:r>
        <w:t xml:space="preserve">simplified </w:t>
      </w:r>
      <w:r w:rsidRPr="00D958D2">
        <w:t>the Guidelines</w:t>
      </w:r>
      <w:r>
        <w:t>, including removing sections relating to transitional measures.</w:t>
      </w:r>
      <w:r w:rsidR="00DA3664">
        <w:t xml:space="preserve"> </w:t>
      </w:r>
      <w:r w:rsidR="00DA3664">
        <w:br w:type="page"/>
      </w:r>
    </w:p>
    <w:p w14:paraId="26F22509" w14:textId="77777777" w:rsidR="00E91106" w:rsidRDefault="00E91106" w:rsidP="002F7028">
      <w:pPr>
        <w:pStyle w:val="01Chapterheading"/>
        <w:spacing w:after="0"/>
        <w:ind w:left="-11"/>
      </w:pPr>
      <w:bookmarkStart w:id="92" w:name="_Toc185012391"/>
      <w:r w:rsidRPr="00122D95">
        <w:lastRenderedPageBreak/>
        <w:t xml:space="preserve">Appendix A </w:t>
      </w:r>
      <w:r>
        <w:t>—</w:t>
      </w:r>
      <w:r w:rsidRPr="00122D95">
        <w:t xml:space="preserve"> summary of executive questionnaire responses</w:t>
      </w:r>
      <w:bookmarkEnd w:id="92"/>
      <w:r w:rsidRPr="00122D95">
        <w:t xml:space="preserve"> </w:t>
      </w:r>
    </w:p>
    <w:p w14:paraId="32839520" w14:textId="771206F4" w:rsidR="00E91106" w:rsidRPr="00122D95" w:rsidRDefault="00E91106" w:rsidP="002F7028">
      <w:pPr>
        <w:pStyle w:val="05Paragraph"/>
        <w:spacing w:after="180"/>
      </w:pPr>
    </w:p>
    <w:p w14:paraId="7CFCB1B5" w14:textId="6B9E19DF" w:rsidR="00E91106" w:rsidRDefault="00E91106">
      <w:pPr>
        <w:pStyle w:val="05Paragraph"/>
      </w:pPr>
      <w:r w:rsidRPr="00122D95">
        <w:t xml:space="preserve">The Tribunal invited </w:t>
      </w:r>
      <w:r>
        <w:t>public entity</w:t>
      </w:r>
      <w:r w:rsidRPr="00122D95">
        <w:t xml:space="preserve"> executives to make a submission via an anonymous questionnaire </w:t>
      </w:r>
      <w:r>
        <w:t>that was distributed by public entity employers o</w:t>
      </w:r>
      <w:r w:rsidR="00B11930">
        <w:t>n</w:t>
      </w:r>
      <w:r>
        <w:t xml:space="preserve"> behalf of the Tribunal. </w:t>
      </w:r>
    </w:p>
    <w:p w14:paraId="053A58BB" w14:textId="4076EF7A" w:rsidR="00E91106" w:rsidRDefault="00E91106">
      <w:pPr>
        <w:pStyle w:val="05Paragraph"/>
      </w:pPr>
      <w:r>
        <w:t xml:space="preserve">The questionnaire was open to respondents from Thursday 22 August to Friday 13 September </w:t>
      </w:r>
      <w:r w:rsidR="00A34280">
        <w:t xml:space="preserve">2024 </w:t>
      </w:r>
      <w:r>
        <w:t>(23 days).</w:t>
      </w:r>
    </w:p>
    <w:p w14:paraId="2A6AA7AC" w14:textId="7DD9C641" w:rsidR="00E91106" w:rsidRPr="00122D95" w:rsidRDefault="00E91106">
      <w:pPr>
        <w:pStyle w:val="05Paragraph"/>
      </w:pPr>
      <w:r>
        <w:t xml:space="preserve">The responses to the questionnaire helped the Tribunal </w:t>
      </w:r>
      <w:r w:rsidRPr="00122D95">
        <w:t>to better understand</w:t>
      </w:r>
      <w:r>
        <w:t xml:space="preserve"> executives’ view</w:t>
      </w:r>
      <w:r w:rsidR="00A779C0">
        <w:t>s</w:t>
      </w:r>
      <w:r>
        <w:t xml:space="preserve"> on</w:t>
      </w:r>
      <w:r w:rsidRPr="00122D95">
        <w:t xml:space="preserve">: </w:t>
      </w:r>
    </w:p>
    <w:p w14:paraId="58AF2BA1" w14:textId="77777777" w:rsidR="00E91106" w:rsidRPr="00122D95" w:rsidRDefault="00E91106" w:rsidP="00E91106">
      <w:pPr>
        <w:pStyle w:val="06VIRTBulletpoints"/>
      </w:pPr>
      <w:r w:rsidRPr="00122D95">
        <w:t>the</w:t>
      </w:r>
      <w:r>
        <w:t>ir</w:t>
      </w:r>
      <w:r w:rsidRPr="00122D95">
        <w:t xml:space="preserve"> roles and responsibilities</w:t>
      </w:r>
      <w:r w:rsidRPr="00122D95" w:rsidDel="000A4AC7">
        <w:t xml:space="preserve"> </w:t>
      </w:r>
      <w:r>
        <w:t>(and how these had changed since the Tribunal’s 2020 PE Determination)</w:t>
      </w:r>
    </w:p>
    <w:p w14:paraId="53299787" w14:textId="77777777" w:rsidR="00E91106" w:rsidRDefault="00E91106" w:rsidP="00E91106">
      <w:pPr>
        <w:pStyle w:val="06VIRTBulletpoints"/>
      </w:pPr>
      <w:r w:rsidRPr="00122D95">
        <w:t>their career intentions</w:t>
      </w:r>
    </w:p>
    <w:p w14:paraId="7DA7004A" w14:textId="77777777" w:rsidR="00E91106" w:rsidRPr="00122D95" w:rsidRDefault="00E91106" w:rsidP="00E91106">
      <w:pPr>
        <w:pStyle w:val="06VIRTBulletpoints"/>
      </w:pPr>
      <w:r>
        <w:t>recruitment and retention issues for the executive cohort</w:t>
      </w:r>
    </w:p>
    <w:p w14:paraId="0AC30674" w14:textId="77777777" w:rsidR="00E91106" w:rsidRPr="00122D95" w:rsidRDefault="00E91106" w:rsidP="00E91106">
      <w:pPr>
        <w:pStyle w:val="06VIRTBulletpoints"/>
      </w:pPr>
      <w:r w:rsidRPr="00122D95">
        <w:t xml:space="preserve">the level and structure of the remuneration bands. </w:t>
      </w:r>
    </w:p>
    <w:p w14:paraId="76DB5572" w14:textId="77777777" w:rsidR="00E91106" w:rsidRPr="00122D95" w:rsidRDefault="00E91106">
      <w:pPr>
        <w:pStyle w:val="05Paragraph"/>
      </w:pPr>
      <w:r w:rsidRPr="00122D95">
        <w:t xml:space="preserve">The questionnaire contained </w:t>
      </w:r>
      <w:r>
        <w:t>39</w:t>
      </w:r>
      <w:r w:rsidRPr="00122D95">
        <w:t xml:space="preserve"> questions, </w:t>
      </w:r>
      <w:r w:rsidRPr="001276A5">
        <w:t>18 of which were mandatory</w:t>
      </w:r>
      <w:r w:rsidRPr="00122D95">
        <w:t>. The questions were grouped into sections</w:t>
      </w:r>
      <w:r>
        <w:t>, including on</w:t>
      </w:r>
      <w:r w:rsidRPr="00122D95">
        <w:t>:</w:t>
      </w:r>
    </w:p>
    <w:p w14:paraId="5769F74A" w14:textId="77777777" w:rsidR="00E91106" w:rsidRPr="00122D95" w:rsidRDefault="00E91106" w:rsidP="00E91106">
      <w:pPr>
        <w:pStyle w:val="06VIRTBulletpoints"/>
      </w:pPr>
      <w:r w:rsidRPr="00122D95">
        <w:t xml:space="preserve">pathway to </w:t>
      </w:r>
      <w:r>
        <w:t>a public entity</w:t>
      </w:r>
      <w:r w:rsidRPr="00122D95">
        <w:t xml:space="preserve"> executive role</w:t>
      </w:r>
    </w:p>
    <w:p w14:paraId="1740BBE9" w14:textId="77777777" w:rsidR="00E91106" w:rsidRPr="00122D95" w:rsidRDefault="00E91106" w:rsidP="00E91106">
      <w:pPr>
        <w:pStyle w:val="06VIRTBulletpoints"/>
      </w:pPr>
      <w:r w:rsidRPr="00122D95">
        <w:t>intention to stay</w:t>
      </w:r>
    </w:p>
    <w:p w14:paraId="29758DF2" w14:textId="77777777" w:rsidR="00E91106" w:rsidRPr="00122D95" w:rsidRDefault="00E91106" w:rsidP="00E91106">
      <w:pPr>
        <w:pStyle w:val="06VIRTBulletpoints"/>
      </w:pPr>
      <w:r w:rsidRPr="00122D95">
        <w:t xml:space="preserve">roles and responsibilities of </w:t>
      </w:r>
      <w:r>
        <w:t>public entity</w:t>
      </w:r>
      <w:r w:rsidRPr="00122D95">
        <w:t xml:space="preserve"> executives</w:t>
      </w:r>
    </w:p>
    <w:p w14:paraId="1DD34E83" w14:textId="77777777" w:rsidR="00E91106" w:rsidRPr="00122D95" w:rsidRDefault="00E91106" w:rsidP="00E91106">
      <w:pPr>
        <w:pStyle w:val="06VIRTBulletpoints"/>
      </w:pPr>
      <w:r w:rsidRPr="00122D95">
        <w:t xml:space="preserve">attracting and retaining </w:t>
      </w:r>
      <w:r>
        <w:t>public entity</w:t>
      </w:r>
      <w:r w:rsidRPr="00122D95">
        <w:t xml:space="preserve"> executives</w:t>
      </w:r>
    </w:p>
    <w:p w14:paraId="4E77CA03" w14:textId="77777777" w:rsidR="00E91106" w:rsidRPr="00122D95" w:rsidRDefault="00E91106" w:rsidP="00E91106">
      <w:pPr>
        <w:pStyle w:val="06VIRTBulletpoints"/>
      </w:pPr>
      <w:r w:rsidRPr="00122D95">
        <w:t xml:space="preserve">levels and structure of the </w:t>
      </w:r>
      <w:r>
        <w:t>public entity</w:t>
      </w:r>
      <w:r w:rsidRPr="00122D95">
        <w:t xml:space="preserve"> executive remuneration bands</w:t>
      </w:r>
    </w:p>
    <w:p w14:paraId="648DA76F" w14:textId="77777777" w:rsidR="00E91106" w:rsidRPr="00122D95" w:rsidRDefault="00E91106" w:rsidP="00E91106">
      <w:pPr>
        <w:pStyle w:val="06VIRTBulletpoints"/>
      </w:pPr>
      <w:r>
        <w:t>the executive’s current position</w:t>
      </w:r>
    </w:p>
    <w:p w14:paraId="295D3F11" w14:textId="77777777" w:rsidR="00E91106" w:rsidRPr="00122D95" w:rsidRDefault="00E91106" w:rsidP="00E91106">
      <w:pPr>
        <w:pStyle w:val="06VIRTBulletpoints"/>
      </w:pPr>
      <w:r w:rsidRPr="00122D95">
        <w:t>demographic information</w:t>
      </w:r>
      <w:r>
        <w:t>.</w:t>
      </w:r>
    </w:p>
    <w:p w14:paraId="79493EAC" w14:textId="77777777" w:rsidR="00E91106" w:rsidRPr="00122D95" w:rsidRDefault="00E91106">
      <w:pPr>
        <w:pStyle w:val="05Paragraph"/>
      </w:pPr>
      <w:r w:rsidRPr="00122D95">
        <w:t xml:space="preserve">No single person could have answered all </w:t>
      </w:r>
      <w:r>
        <w:t>39</w:t>
      </w:r>
      <w:r w:rsidRPr="00122D95">
        <w:t xml:space="preserve"> questions as some questions contained branching logic.</w:t>
      </w:r>
      <w:r w:rsidRPr="00122D95">
        <w:rPr>
          <w:rStyle w:val="FootnoteReference"/>
        </w:rPr>
        <w:footnoteReference w:id="237"/>
      </w:r>
    </w:p>
    <w:p w14:paraId="09F641FA" w14:textId="77777777" w:rsidR="00E91106" w:rsidRPr="00122D95" w:rsidRDefault="00E91106">
      <w:pPr>
        <w:pStyle w:val="05Paragraph"/>
      </w:pPr>
      <w:r w:rsidRPr="00122D95">
        <w:lastRenderedPageBreak/>
        <w:t xml:space="preserve">The questionnaire received </w:t>
      </w:r>
      <w:r>
        <w:t>293</w:t>
      </w:r>
      <w:r w:rsidRPr="00122D95">
        <w:t xml:space="preserve"> responses, with </w:t>
      </w:r>
      <w:r>
        <w:t>264</w:t>
      </w:r>
      <w:r w:rsidRPr="00122D95">
        <w:t xml:space="preserve"> executives completing the questionnaire. This means that</w:t>
      </w:r>
      <w:r>
        <w:t xml:space="preserve"> an estimated</w:t>
      </w:r>
      <w:r w:rsidRPr="00122D95">
        <w:t xml:space="preserve"> </w:t>
      </w:r>
      <w:r w:rsidRPr="0038126B">
        <w:t xml:space="preserve">28 per cent of </w:t>
      </w:r>
      <w:r>
        <w:t xml:space="preserve">all </w:t>
      </w:r>
      <w:r w:rsidRPr="0038126B">
        <w:t>public entity executives</w:t>
      </w:r>
      <w:r w:rsidRPr="00122D95">
        <w:t xml:space="preserve"> answered at least one question, while </w:t>
      </w:r>
      <w:r>
        <w:t>an estimated 25</w:t>
      </w:r>
      <w:r w:rsidRPr="00122D95">
        <w:t xml:space="preserve"> per cent completed the questionnaire.</w:t>
      </w:r>
      <w:r w:rsidRPr="00122D95">
        <w:rPr>
          <w:rStyle w:val="FootnoteReference"/>
        </w:rPr>
        <w:footnoteReference w:id="238"/>
      </w:r>
    </w:p>
    <w:p w14:paraId="474DC01A" w14:textId="77777777" w:rsidR="00E91106" w:rsidRPr="00122D95" w:rsidRDefault="00E91106">
      <w:pPr>
        <w:pStyle w:val="05Paragraph"/>
      </w:pPr>
      <w:r>
        <w:t xml:space="preserve">The estimated response rate is based on the number of executives employed in public entities </w:t>
      </w:r>
      <w:proofErr w:type="gramStart"/>
      <w:r>
        <w:t>at</w:t>
      </w:r>
      <w:proofErr w:type="gramEnd"/>
      <w:r>
        <w:t xml:space="preserve"> 30 June 2023 (Chapter </w:t>
      </w:r>
      <w:r w:rsidRPr="00B23CA5">
        <w:t>2</w:t>
      </w:r>
      <w:r>
        <w:t>).</w:t>
      </w:r>
    </w:p>
    <w:p w14:paraId="0CCF8CB3" w14:textId="77777777" w:rsidR="00E91106" w:rsidRPr="00122D95" w:rsidRDefault="00E91106">
      <w:pPr>
        <w:pStyle w:val="05Paragraph"/>
      </w:pPr>
      <w:r w:rsidRPr="00122D95">
        <w:t>The margin of error for the questionnaire, based on a</w:t>
      </w:r>
      <w:r>
        <w:t>n estimated</w:t>
      </w:r>
      <w:r w:rsidRPr="00122D95">
        <w:t xml:space="preserve"> population </w:t>
      </w:r>
      <w:r w:rsidRPr="00757962">
        <w:t>size of 1,05</w:t>
      </w:r>
      <w:r>
        <w:t>0</w:t>
      </w:r>
      <w:r w:rsidRPr="00757962">
        <w:t xml:space="preserve"> and</w:t>
      </w:r>
      <w:r w:rsidRPr="00122D95">
        <w:t xml:space="preserve"> a 99 per cent confidence level, is between </w:t>
      </w:r>
      <w:r>
        <w:t>6</w:t>
      </w:r>
      <w:r w:rsidRPr="00431503">
        <w:t xml:space="preserve"> and </w:t>
      </w:r>
      <w:r>
        <w:t>7</w:t>
      </w:r>
      <w:r w:rsidRPr="00431503">
        <w:t xml:space="preserve"> per cent</w:t>
      </w:r>
      <w:r w:rsidRPr="00122D95">
        <w:t>.</w:t>
      </w:r>
      <w:r w:rsidRPr="00122D95">
        <w:rPr>
          <w:rStyle w:val="FootnoteReference"/>
        </w:rPr>
        <w:footnoteReference w:id="239"/>
      </w:r>
    </w:p>
    <w:p w14:paraId="11556E0C" w14:textId="6C28E6E3" w:rsidR="00E91106" w:rsidRPr="00122D95" w:rsidRDefault="008267C1" w:rsidP="0084256C">
      <w:pPr>
        <w:pStyle w:val="02VIRTHeading2"/>
      </w:pPr>
      <w:bookmarkStart w:id="93" w:name="_Toc185012392"/>
      <w:r>
        <w:t>A.1</w:t>
      </w:r>
      <w:r>
        <w:tab/>
      </w:r>
      <w:r w:rsidR="00E91106" w:rsidRPr="00122D95">
        <w:t>Questionnaire responses</w:t>
      </w:r>
      <w:bookmarkEnd w:id="93"/>
    </w:p>
    <w:p w14:paraId="156B6C9F" w14:textId="1D2E58B4" w:rsidR="00E91106" w:rsidRPr="00122D95" w:rsidRDefault="00E91106">
      <w:pPr>
        <w:pStyle w:val="05Paragraph"/>
      </w:pPr>
      <w:r w:rsidRPr="00122D95">
        <w:t xml:space="preserve">A compilation of questions asked, and responses received is provided below. All feedback has been considered and some responses have been included verbatim </w:t>
      </w:r>
      <w:r>
        <w:t>where relevant</w:t>
      </w:r>
      <w:r w:rsidRPr="00122D95">
        <w:t xml:space="preserve"> in this Statement of Reasons.</w:t>
      </w:r>
    </w:p>
    <w:p w14:paraId="5532D452" w14:textId="77777777" w:rsidR="00E91106" w:rsidRPr="00122D95" w:rsidRDefault="00E91106" w:rsidP="0091478D">
      <w:pPr>
        <w:pStyle w:val="03VIRTHeading3"/>
      </w:pPr>
      <w:r w:rsidRPr="00122D95">
        <w:t>Profile of executives</w:t>
      </w:r>
    </w:p>
    <w:p w14:paraId="1A082F59" w14:textId="77777777" w:rsidR="00E91106" w:rsidRPr="00122D95" w:rsidRDefault="00E91106">
      <w:pPr>
        <w:pStyle w:val="05Paragraph"/>
      </w:pPr>
      <w:r w:rsidRPr="00122D95">
        <w:t xml:space="preserve">Table A.1 shows that </w:t>
      </w:r>
      <w:r>
        <w:t xml:space="preserve">almost half of all respondents were employed in either the PESES-1 or SES-1 band, followed by the PESES-2 or SES-2, and PESES-3 or SES-3 bands. </w:t>
      </w:r>
      <w:r w:rsidRPr="001A79BF">
        <w:t xml:space="preserve">This distribution broadly aligns with the </w:t>
      </w:r>
      <w:r>
        <w:t>public entity</w:t>
      </w:r>
      <w:r w:rsidRPr="001A79BF">
        <w:t xml:space="preserve"> executive workforce data shown in </w:t>
      </w:r>
      <w:r>
        <w:t>C</w:t>
      </w:r>
      <w:r w:rsidRPr="001A79BF">
        <w:t>hapter 4.</w:t>
      </w:r>
    </w:p>
    <w:p w14:paraId="470D2FD7" w14:textId="77777777" w:rsidR="00E91106" w:rsidRPr="00122D95" w:rsidRDefault="00E91106">
      <w:pPr>
        <w:pStyle w:val="08Figuretableboxheading"/>
      </w:pPr>
      <w:r w:rsidRPr="00122D95">
        <w:t>Table A.1: What is your classification?</w:t>
      </w:r>
    </w:p>
    <w:tbl>
      <w:tblPr>
        <w:tblStyle w:val="ListTable3-Accent1"/>
        <w:tblW w:w="8492" w:type="dxa"/>
        <w:tblBorders>
          <w:left w:val="none" w:sz="0" w:space="0" w:color="auto"/>
          <w:right w:val="none" w:sz="0" w:space="0" w:color="auto"/>
          <w:insideH w:val="single" w:sz="4" w:space="0" w:color="26664E" w:themeColor="accent1"/>
        </w:tblBorders>
        <w:tblLayout w:type="fixed"/>
        <w:tblLook w:val="04A0" w:firstRow="1" w:lastRow="0" w:firstColumn="1" w:lastColumn="0" w:noHBand="0" w:noVBand="1"/>
      </w:tblPr>
      <w:tblGrid>
        <w:gridCol w:w="5953"/>
        <w:gridCol w:w="1275"/>
        <w:gridCol w:w="1264"/>
      </w:tblGrid>
      <w:tr w:rsidR="00E91106" w:rsidRPr="00122D95" w14:paraId="41F4FDDB"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3" w:type="dxa"/>
          </w:tcPr>
          <w:p w14:paraId="6595CC6B" w14:textId="0B4A6FD7" w:rsidR="00E91106" w:rsidRPr="00122D95" w:rsidRDefault="00A873C2" w:rsidP="00A873C2">
            <w:pPr>
              <w:pStyle w:val="10Tabletext"/>
              <w:rPr>
                <w:rFonts w:asciiTheme="majorHAnsi" w:hAnsiTheme="majorHAnsi" w:cstheme="majorHAnsi"/>
                <w:sz w:val="24"/>
                <w:szCs w:val="24"/>
              </w:rPr>
            </w:pPr>
            <w:r w:rsidRPr="00A873C2">
              <w:t>Answer choices</w:t>
            </w:r>
          </w:p>
        </w:tc>
        <w:tc>
          <w:tcPr>
            <w:tcW w:w="1275" w:type="dxa"/>
          </w:tcPr>
          <w:p w14:paraId="3ED006E1" w14:textId="12E4314C" w:rsidR="00E91106" w:rsidRPr="00A873C2" w:rsidRDefault="00E91106">
            <w:pPr>
              <w:pStyle w:val="10Tabletext"/>
              <w:jc w:val="center"/>
              <w:cnfStyle w:val="100000000000" w:firstRow="1" w:lastRow="0" w:firstColumn="0" w:lastColumn="0" w:oddVBand="0" w:evenVBand="0" w:oddHBand="0" w:evenHBand="0" w:firstRowFirstColumn="0" w:firstRowLastColumn="0" w:lastRowFirstColumn="0" w:lastRowLastColumn="0"/>
              <w:rPr>
                <w:sz w:val="24"/>
                <w:szCs w:val="24"/>
              </w:rPr>
            </w:pPr>
            <w:r w:rsidRPr="00A873C2">
              <w:t>Number</w:t>
            </w:r>
            <w:r w:rsidR="00A873C2" w:rsidRPr="00A873C2">
              <w:t xml:space="preserve"> of responses</w:t>
            </w:r>
          </w:p>
        </w:tc>
        <w:tc>
          <w:tcPr>
            <w:tcW w:w="1264" w:type="dxa"/>
          </w:tcPr>
          <w:p w14:paraId="4DA4AFB1" w14:textId="143A9C12" w:rsidR="00E91106" w:rsidRPr="00A873C2" w:rsidRDefault="00E91106">
            <w:pPr>
              <w:pStyle w:val="10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A873C2">
              <w:t>%</w:t>
            </w:r>
            <w:r w:rsidR="00A873C2" w:rsidRPr="00A873C2">
              <w:t xml:space="preserve"> of responses</w:t>
            </w:r>
            <w:r w:rsidR="00A873C2">
              <w:rPr>
                <w:vertAlign w:val="superscript"/>
              </w:rPr>
              <w:t>(a)</w:t>
            </w:r>
          </w:p>
        </w:tc>
      </w:tr>
      <w:tr w:rsidR="00E91106" w:rsidRPr="00122D95" w14:paraId="117A98DC"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6EBB8B41" w14:textId="77777777" w:rsidR="00E91106" w:rsidRPr="009721B3" w:rsidRDefault="00E91106">
            <w:pPr>
              <w:pStyle w:val="10Tabletext"/>
              <w:rPr>
                <w:b w:val="0"/>
                <w:bCs/>
              </w:rPr>
            </w:pPr>
            <w:r w:rsidRPr="009721B3">
              <w:rPr>
                <w:b w:val="0"/>
                <w:bCs/>
              </w:rPr>
              <w:t>PESES-1 or SES-1</w:t>
            </w:r>
          </w:p>
        </w:tc>
        <w:tc>
          <w:tcPr>
            <w:tcW w:w="1275" w:type="dxa"/>
          </w:tcPr>
          <w:p w14:paraId="2BDA2E8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123</w:t>
            </w:r>
          </w:p>
        </w:tc>
        <w:tc>
          <w:tcPr>
            <w:tcW w:w="1264" w:type="dxa"/>
          </w:tcPr>
          <w:p w14:paraId="6C36E84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46</w:t>
            </w:r>
          </w:p>
        </w:tc>
      </w:tr>
      <w:tr w:rsidR="00E91106" w:rsidRPr="00122D95" w14:paraId="1C3F0B90"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2746DD1B" w14:textId="77777777" w:rsidR="00E91106" w:rsidRPr="009721B3" w:rsidRDefault="00E91106">
            <w:pPr>
              <w:pStyle w:val="10Tabletext"/>
              <w:rPr>
                <w:b w:val="0"/>
                <w:bCs/>
              </w:rPr>
            </w:pPr>
            <w:r w:rsidRPr="009721B3">
              <w:rPr>
                <w:b w:val="0"/>
                <w:bCs/>
              </w:rPr>
              <w:t>PESES-2 or SES-2</w:t>
            </w:r>
          </w:p>
        </w:tc>
        <w:tc>
          <w:tcPr>
            <w:tcW w:w="1275" w:type="dxa"/>
          </w:tcPr>
          <w:p w14:paraId="649D1C9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90</w:t>
            </w:r>
          </w:p>
        </w:tc>
        <w:tc>
          <w:tcPr>
            <w:tcW w:w="1264" w:type="dxa"/>
          </w:tcPr>
          <w:p w14:paraId="7A5EA72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34</w:t>
            </w:r>
          </w:p>
        </w:tc>
      </w:tr>
      <w:tr w:rsidR="00E91106" w:rsidRPr="00122D95" w14:paraId="5AC8914E"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39AB53FA" w14:textId="77777777" w:rsidR="00E91106" w:rsidRPr="009721B3" w:rsidRDefault="00E91106">
            <w:pPr>
              <w:pStyle w:val="10Tabletext"/>
              <w:rPr>
                <w:b w:val="0"/>
                <w:bCs/>
              </w:rPr>
            </w:pPr>
            <w:r w:rsidRPr="009721B3">
              <w:rPr>
                <w:b w:val="0"/>
                <w:bCs/>
              </w:rPr>
              <w:t>PESES-3 or SES-3</w:t>
            </w:r>
          </w:p>
        </w:tc>
        <w:tc>
          <w:tcPr>
            <w:tcW w:w="1275" w:type="dxa"/>
          </w:tcPr>
          <w:p w14:paraId="7CC16E4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33</w:t>
            </w:r>
          </w:p>
        </w:tc>
        <w:tc>
          <w:tcPr>
            <w:tcW w:w="1264" w:type="dxa"/>
          </w:tcPr>
          <w:p w14:paraId="23B1103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w:t>
            </w:r>
          </w:p>
        </w:tc>
      </w:tr>
      <w:tr w:rsidR="00E91106" w:rsidRPr="00122D95" w14:paraId="503D0BD0"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5B7B506D" w14:textId="77777777" w:rsidR="00E91106" w:rsidRPr="009721B3" w:rsidRDefault="00E91106">
            <w:pPr>
              <w:pStyle w:val="10Tabletext"/>
              <w:rPr>
                <w:b w:val="0"/>
                <w:bCs/>
              </w:rPr>
            </w:pPr>
            <w:r w:rsidRPr="009721B3">
              <w:rPr>
                <w:b w:val="0"/>
                <w:bCs/>
              </w:rPr>
              <w:t>Other</w:t>
            </w:r>
            <w:r w:rsidRPr="009721B3">
              <w:rPr>
                <w:b w:val="0"/>
                <w:bCs/>
                <w:vertAlign w:val="superscript"/>
              </w:rPr>
              <w:t>(b)</w:t>
            </w:r>
          </w:p>
        </w:tc>
        <w:tc>
          <w:tcPr>
            <w:tcW w:w="1275" w:type="dxa"/>
          </w:tcPr>
          <w:p w14:paraId="24C93F70"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19</w:t>
            </w:r>
          </w:p>
        </w:tc>
        <w:tc>
          <w:tcPr>
            <w:tcW w:w="1264" w:type="dxa"/>
          </w:tcPr>
          <w:p w14:paraId="57937D5C"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r>
      <w:tr w:rsidR="00E91106" w:rsidRPr="00122D95" w14:paraId="7C353A2E"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50FAF8C9" w14:textId="77777777" w:rsidR="00E91106" w:rsidRPr="00122D95" w:rsidRDefault="00E91106">
            <w:pPr>
              <w:pStyle w:val="10Tabletext"/>
            </w:pPr>
            <w:r w:rsidRPr="00122D95">
              <w:t>Total</w:t>
            </w:r>
          </w:p>
        </w:tc>
        <w:tc>
          <w:tcPr>
            <w:tcW w:w="1275" w:type="dxa"/>
          </w:tcPr>
          <w:p w14:paraId="47272923"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r w:rsidRPr="009721B3">
              <w:rPr>
                <w:b/>
                <w:bCs w:val="0"/>
              </w:rPr>
              <w:t>265</w:t>
            </w:r>
          </w:p>
        </w:tc>
        <w:tc>
          <w:tcPr>
            <w:tcW w:w="1264" w:type="dxa"/>
          </w:tcPr>
          <w:p w14:paraId="4461EFB1"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p>
        </w:tc>
      </w:tr>
    </w:tbl>
    <w:p w14:paraId="2105F198" w14:textId="77777777" w:rsidR="00E91106" w:rsidRDefault="00E91106">
      <w:pPr>
        <w:pStyle w:val="09Sourcesandnotesfortablesfiguresboxes"/>
      </w:pPr>
      <w:r>
        <w:t xml:space="preserve">Notes: (a) </w:t>
      </w:r>
      <w:r w:rsidRPr="00412B9A">
        <w:t>The sum</w:t>
      </w:r>
      <w:r w:rsidRPr="004726CE">
        <w:t xml:space="preserve"> of the percentages in this table exceeds 100 per cent due to the rounding of individual percentages to the nearest whole number.</w:t>
      </w:r>
      <w:r>
        <w:t xml:space="preserve"> (b) Most respondents who selected ‘Other’ indicated that they did not know or were unsure of their classification. </w:t>
      </w:r>
    </w:p>
    <w:p w14:paraId="7C1229DC" w14:textId="27033394" w:rsidR="00E91106" w:rsidRPr="0091478D" w:rsidRDefault="00E91106">
      <w:pPr>
        <w:pStyle w:val="05Paragraph"/>
        <w:rPr>
          <w:spacing w:val="-4"/>
        </w:rPr>
      </w:pPr>
      <w:r w:rsidRPr="0091478D">
        <w:rPr>
          <w:spacing w:val="-4"/>
        </w:rPr>
        <w:lastRenderedPageBreak/>
        <w:t xml:space="preserve">Most respondents were employed in the water and land management, regulator, finance and insurance and transport sectors (Table A.2). This distribution is broadly consistent with the number of executives in each sector </w:t>
      </w:r>
      <w:proofErr w:type="gramStart"/>
      <w:r w:rsidRPr="0091478D">
        <w:rPr>
          <w:spacing w:val="-4"/>
        </w:rPr>
        <w:t>at</w:t>
      </w:r>
      <w:proofErr w:type="gramEnd"/>
      <w:r w:rsidRPr="0091478D">
        <w:rPr>
          <w:spacing w:val="-4"/>
        </w:rPr>
        <w:t xml:space="preserve"> 30 June 2023 (Chapter 2).</w:t>
      </w:r>
    </w:p>
    <w:p w14:paraId="5FDCCE5D" w14:textId="77777777" w:rsidR="00E91106" w:rsidRPr="00122D95" w:rsidRDefault="00E91106">
      <w:pPr>
        <w:pStyle w:val="08Figuretableboxheading"/>
      </w:pPr>
      <w:r w:rsidRPr="008F65F2">
        <w:t>Table A.2:</w:t>
      </w:r>
      <w:r w:rsidRPr="00122D95">
        <w:t xml:space="preserve"> Which </w:t>
      </w:r>
      <w:r>
        <w:t xml:space="preserve">industry or sub-sector does your organisation belong to? If you are not </w:t>
      </w:r>
      <w:proofErr w:type="gramStart"/>
      <w:r>
        <w:t>sure</w:t>
      </w:r>
      <w:proofErr w:type="gramEnd"/>
      <w:r>
        <w:t xml:space="preserve"> please refer to the VPSC’s list of public sector employers.</w:t>
      </w:r>
    </w:p>
    <w:tbl>
      <w:tblPr>
        <w:tblStyle w:val="ListTable3-Accent1"/>
        <w:tblW w:w="0" w:type="auto"/>
        <w:tblBorders>
          <w:left w:val="none" w:sz="0" w:space="0" w:color="auto"/>
          <w:right w:val="none" w:sz="0" w:space="0" w:color="auto"/>
          <w:insideH w:val="single" w:sz="4" w:space="0" w:color="26664E" w:themeColor="accent1"/>
        </w:tblBorders>
        <w:tblLayout w:type="fixed"/>
        <w:tblLook w:val="04A0" w:firstRow="1" w:lastRow="0" w:firstColumn="1" w:lastColumn="0" w:noHBand="0" w:noVBand="1"/>
      </w:tblPr>
      <w:tblGrid>
        <w:gridCol w:w="5953"/>
        <w:gridCol w:w="1276"/>
        <w:gridCol w:w="1264"/>
      </w:tblGrid>
      <w:tr w:rsidR="00A873C2" w:rsidRPr="00122D95" w14:paraId="42649F7D"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3" w:type="dxa"/>
          </w:tcPr>
          <w:p w14:paraId="616F9A89" w14:textId="61DE51DF" w:rsidR="00A873C2" w:rsidRPr="00AA1DD8" w:rsidRDefault="00A873C2" w:rsidP="00A873C2">
            <w:pPr>
              <w:pStyle w:val="10Tabletext"/>
              <w:rPr>
                <w:rFonts w:asciiTheme="majorHAnsi" w:hAnsiTheme="majorHAnsi" w:cstheme="majorHAnsi"/>
              </w:rPr>
            </w:pPr>
            <w:r w:rsidRPr="00A873C2">
              <w:t>Answer choices</w:t>
            </w:r>
          </w:p>
        </w:tc>
        <w:tc>
          <w:tcPr>
            <w:tcW w:w="1276" w:type="dxa"/>
          </w:tcPr>
          <w:p w14:paraId="11885DCD" w14:textId="41520B29"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264" w:type="dxa"/>
          </w:tcPr>
          <w:p w14:paraId="378347C2" w14:textId="3C0FCC6F" w:rsidR="00A873C2" w:rsidRPr="00A873C2"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vertAlign w:val="superscript"/>
              </w:rPr>
            </w:pPr>
            <w:r w:rsidRPr="00A873C2">
              <w:t>% of responses</w:t>
            </w:r>
            <w:r>
              <w:rPr>
                <w:vertAlign w:val="superscript"/>
              </w:rPr>
              <w:t>(a)</w:t>
            </w:r>
          </w:p>
        </w:tc>
      </w:tr>
      <w:tr w:rsidR="00E91106" w:rsidRPr="00122D95" w14:paraId="4924077C"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2947593A" w14:textId="77777777" w:rsidR="00E91106" w:rsidRPr="009721B3" w:rsidRDefault="00E91106">
            <w:pPr>
              <w:pStyle w:val="10Tabletext"/>
              <w:rPr>
                <w:b w:val="0"/>
                <w:bCs/>
              </w:rPr>
            </w:pPr>
            <w:r w:rsidRPr="009721B3">
              <w:rPr>
                <w:b w:val="0"/>
                <w:bCs/>
              </w:rPr>
              <w:t>Water and land management</w:t>
            </w:r>
          </w:p>
        </w:tc>
        <w:tc>
          <w:tcPr>
            <w:tcW w:w="1276" w:type="dxa"/>
          </w:tcPr>
          <w:p w14:paraId="3136BF3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59</w:t>
            </w:r>
          </w:p>
        </w:tc>
        <w:tc>
          <w:tcPr>
            <w:tcW w:w="1264" w:type="dxa"/>
          </w:tcPr>
          <w:p w14:paraId="1C5377B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22</w:t>
            </w:r>
          </w:p>
        </w:tc>
      </w:tr>
      <w:tr w:rsidR="00E91106" w:rsidRPr="00122D95" w14:paraId="70D1F2A7"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06400AC0" w14:textId="77777777" w:rsidR="00E91106" w:rsidRPr="009721B3" w:rsidRDefault="00E91106">
            <w:pPr>
              <w:pStyle w:val="10Tabletext"/>
              <w:rPr>
                <w:b w:val="0"/>
                <w:bCs/>
              </w:rPr>
            </w:pPr>
            <w:r w:rsidRPr="009721B3">
              <w:rPr>
                <w:b w:val="0"/>
                <w:bCs/>
              </w:rPr>
              <w:t>Regulator</w:t>
            </w:r>
          </w:p>
        </w:tc>
        <w:tc>
          <w:tcPr>
            <w:tcW w:w="1276" w:type="dxa"/>
          </w:tcPr>
          <w:p w14:paraId="61E90E0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42</w:t>
            </w:r>
          </w:p>
        </w:tc>
        <w:tc>
          <w:tcPr>
            <w:tcW w:w="1264" w:type="dxa"/>
          </w:tcPr>
          <w:p w14:paraId="44CC688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16</w:t>
            </w:r>
          </w:p>
        </w:tc>
      </w:tr>
      <w:tr w:rsidR="00E91106" w:rsidRPr="00122D95" w14:paraId="6093B5B9"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4156F00C" w14:textId="77777777" w:rsidR="00E91106" w:rsidRPr="009721B3" w:rsidRDefault="00E91106">
            <w:pPr>
              <w:pStyle w:val="10Tabletext"/>
              <w:rPr>
                <w:b w:val="0"/>
                <w:bCs/>
              </w:rPr>
            </w:pPr>
            <w:r w:rsidRPr="009721B3">
              <w:rPr>
                <w:b w:val="0"/>
                <w:bCs/>
              </w:rPr>
              <w:t>Finance and insurance</w:t>
            </w:r>
          </w:p>
        </w:tc>
        <w:tc>
          <w:tcPr>
            <w:tcW w:w="1276" w:type="dxa"/>
          </w:tcPr>
          <w:p w14:paraId="3F43CE1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31</w:t>
            </w:r>
          </w:p>
        </w:tc>
        <w:tc>
          <w:tcPr>
            <w:tcW w:w="1264" w:type="dxa"/>
          </w:tcPr>
          <w:p w14:paraId="2746C22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w:t>
            </w:r>
          </w:p>
        </w:tc>
      </w:tr>
      <w:tr w:rsidR="00E91106" w:rsidRPr="00122D95" w14:paraId="773A52B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1DAF6CB3" w14:textId="77777777" w:rsidR="00E91106" w:rsidRPr="009721B3" w:rsidRDefault="00E91106">
            <w:pPr>
              <w:pStyle w:val="10Tabletext"/>
              <w:rPr>
                <w:b w:val="0"/>
                <w:bCs/>
              </w:rPr>
            </w:pPr>
            <w:r w:rsidRPr="009721B3">
              <w:rPr>
                <w:b w:val="0"/>
                <w:bCs/>
              </w:rPr>
              <w:t>Transport</w:t>
            </w:r>
          </w:p>
        </w:tc>
        <w:tc>
          <w:tcPr>
            <w:tcW w:w="1276" w:type="dxa"/>
          </w:tcPr>
          <w:p w14:paraId="6DE9D77B"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27</w:t>
            </w:r>
          </w:p>
        </w:tc>
        <w:tc>
          <w:tcPr>
            <w:tcW w:w="1264" w:type="dxa"/>
          </w:tcPr>
          <w:p w14:paraId="3EFC7C5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r>
      <w:tr w:rsidR="00E91106" w:rsidRPr="00122D95" w14:paraId="3735849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138348A3" w14:textId="77777777" w:rsidR="00E91106" w:rsidRPr="009721B3" w:rsidRDefault="00E91106">
            <w:pPr>
              <w:pStyle w:val="10Tabletext"/>
              <w:rPr>
                <w:b w:val="0"/>
                <w:bCs/>
              </w:rPr>
            </w:pPr>
            <w:r w:rsidRPr="009721B3">
              <w:rPr>
                <w:b w:val="0"/>
                <w:bCs/>
              </w:rPr>
              <w:t>Other</w:t>
            </w:r>
          </w:p>
        </w:tc>
        <w:tc>
          <w:tcPr>
            <w:tcW w:w="1276" w:type="dxa"/>
          </w:tcPr>
          <w:p w14:paraId="2E86644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c>
          <w:tcPr>
            <w:tcW w:w="1264" w:type="dxa"/>
          </w:tcPr>
          <w:p w14:paraId="74C1506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r>
      <w:tr w:rsidR="00E91106" w:rsidRPr="00122D95" w14:paraId="13157A94"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1B2D39C1" w14:textId="77777777" w:rsidR="00E91106" w:rsidRPr="009721B3" w:rsidRDefault="00E91106">
            <w:pPr>
              <w:pStyle w:val="10Tabletext"/>
              <w:rPr>
                <w:b w:val="0"/>
                <w:bCs/>
              </w:rPr>
            </w:pPr>
            <w:r w:rsidRPr="009721B3">
              <w:rPr>
                <w:b w:val="0"/>
                <w:bCs/>
              </w:rPr>
              <w:t>Emergency services</w:t>
            </w:r>
          </w:p>
        </w:tc>
        <w:tc>
          <w:tcPr>
            <w:tcW w:w="1276" w:type="dxa"/>
          </w:tcPr>
          <w:p w14:paraId="310D55D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18</w:t>
            </w:r>
          </w:p>
        </w:tc>
        <w:tc>
          <w:tcPr>
            <w:tcW w:w="1264" w:type="dxa"/>
          </w:tcPr>
          <w:p w14:paraId="67A3D45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r>
      <w:tr w:rsidR="00E91106" w:rsidRPr="00122D95" w14:paraId="3DAEBD9F"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3A0C2DFF" w14:textId="77777777" w:rsidR="00E91106" w:rsidRPr="009721B3" w:rsidRDefault="00E91106">
            <w:pPr>
              <w:pStyle w:val="10Tabletext"/>
              <w:rPr>
                <w:b w:val="0"/>
                <w:bCs/>
              </w:rPr>
            </w:pPr>
            <w:r w:rsidRPr="009721B3">
              <w:rPr>
                <w:b w:val="0"/>
                <w:bCs/>
              </w:rPr>
              <w:t>Arts</w:t>
            </w:r>
          </w:p>
        </w:tc>
        <w:tc>
          <w:tcPr>
            <w:tcW w:w="1276" w:type="dxa"/>
          </w:tcPr>
          <w:p w14:paraId="004D6C4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13</w:t>
            </w:r>
          </w:p>
        </w:tc>
        <w:tc>
          <w:tcPr>
            <w:tcW w:w="1264" w:type="dxa"/>
          </w:tcPr>
          <w:p w14:paraId="353E9A3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r>
      <w:tr w:rsidR="00E91106" w:rsidRPr="00122D95" w14:paraId="60B361CE"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73AD40DE" w14:textId="77777777" w:rsidR="00E91106" w:rsidRPr="009721B3" w:rsidRDefault="00E91106">
            <w:pPr>
              <w:pStyle w:val="10Tabletext"/>
              <w:rPr>
                <w:b w:val="0"/>
                <w:bCs/>
              </w:rPr>
            </w:pPr>
            <w:r w:rsidRPr="009721B3">
              <w:rPr>
                <w:b w:val="0"/>
                <w:bCs/>
              </w:rPr>
              <w:t>TAFE and other education</w:t>
            </w:r>
          </w:p>
        </w:tc>
        <w:tc>
          <w:tcPr>
            <w:tcW w:w="1276" w:type="dxa"/>
          </w:tcPr>
          <w:p w14:paraId="589E891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12</w:t>
            </w:r>
          </w:p>
        </w:tc>
        <w:tc>
          <w:tcPr>
            <w:tcW w:w="1264" w:type="dxa"/>
          </w:tcPr>
          <w:p w14:paraId="54FF497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w:t>
            </w:r>
          </w:p>
        </w:tc>
      </w:tr>
      <w:tr w:rsidR="00E91106" w:rsidRPr="00122D95" w14:paraId="441FEA57"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5CBBFF6A" w14:textId="77777777" w:rsidR="00E91106" w:rsidRPr="009721B3" w:rsidRDefault="00E91106">
            <w:pPr>
              <w:pStyle w:val="10Tabletext"/>
              <w:rPr>
                <w:b w:val="0"/>
                <w:bCs/>
              </w:rPr>
            </w:pPr>
            <w:r w:rsidRPr="009721B3">
              <w:rPr>
                <w:b w:val="0"/>
                <w:bCs/>
              </w:rPr>
              <w:t>Health care</w:t>
            </w:r>
          </w:p>
        </w:tc>
        <w:tc>
          <w:tcPr>
            <w:tcW w:w="1276" w:type="dxa"/>
          </w:tcPr>
          <w:p w14:paraId="33426EB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c>
          <w:tcPr>
            <w:tcW w:w="1264" w:type="dxa"/>
          </w:tcPr>
          <w:p w14:paraId="169DF07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r>
      <w:tr w:rsidR="00E91106" w:rsidRPr="00122D95" w14:paraId="1FA187AE"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176DD9E9" w14:textId="77777777" w:rsidR="00E91106" w:rsidRPr="009721B3" w:rsidRDefault="00E91106">
            <w:pPr>
              <w:pStyle w:val="10Tabletext"/>
              <w:rPr>
                <w:b w:val="0"/>
                <w:bCs/>
              </w:rPr>
            </w:pPr>
            <w:r w:rsidRPr="009721B3">
              <w:rPr>
                <w:b w:val="0"/>
                <w:bCs/>
              </w:rPr>
              <w:t>Sport and recreation</w:t>
            </w:r>
          </w:p>
        </w:tc>
        <w:tc>
          <w:tcPr>
            <w:tcW w:w="1276" w:type="dxa"/>
          </w:tcPr>
          <w:p w14:paraId="6C4D6C0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11</w:t>
            </w:r>
          </w:p>
        </w:tc>
        <w:tc>
          <w:tcPr>
            <w:tcW w:w="1264" w:type="dxa"/>
          </w:tcPr>
          <w:p w14:paraId="71352A3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0D414F2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12DECFE4" w14:textId="77777777" w:rsidR="00E91106" w:rsidRPr="009721B3" w:rsidRDefault="00E91106">
            <w:pPr>
              <w:pStyle w:val="10Tabletext"/>
              <w:rPr>
                <w:b w:val="0"/>
                <w:bCs/>
              </w:rPr>
            </w:pPr>
            <w:r w:rsidRPr="009721B3">
              <w:rPr>
                <w:b w:val="0"/>
                <w:bCs/>
              </w:rPr>
              <w:t>Cemetery</w:t>
            </w:r>
          </w:p>
        </w:tc>
        <w:tc>
          <w:tcPr>
            <w:tcW w:w="1276" w:type="dxa"/>
          </w:tcPr>
          <w:p w14:paraId="08DA21B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264" w:type="dxa"/>
          </w:tcPr>
          <w:p w14:paraId="334C32B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r>
      <w:tr w:rsidR="00E91106" w:rsidRPr="00122D95" w14:paraId="27747AB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1D871E88" w14:textId="77777777" w:rsidR="00E91106" w:rsidRPr="009721B3" w:rsidRDefault="00E91106">
            <w:pPr>
              <w:pStyle w:val="10Tabletext"/>
              <w:rPr>
                <w:b w:val="0"/>
                <w:bCs/>
              </w:rPr>
            </w:pPr>
            <w:r w:rsidRPr="009721B3">
              <w:rPr>
                <w:b w:val="0"/>
                <w:bCs/>
              </w:rPr>
              <w:t>Community service</w:t>
            </w:r>
          </w:p>
        </w:tc>
        <w:tc>
          <w:tcPr>
            <w:tcW w:w="1276" w:type="dxa"/>
          </w:tcPr>
          <w:p w14:paraId="63AB0F3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c>
          <w:tcPr>
            <w:tcW w:w="1264" w:type="dxa"/>
          </w:tcPr>
          <w:p w14:paraId="34727EB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r>
      <w:tr w:rsidR="00E91106" w:rsidRPr="00122D95" w14:paraId="0DBE922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3A9398F7" w14:textId="77777777" w:rsidR="00E91106" w:rsidRPr="009721B3" w:rsidRDefault="00E91106">
            <w:pPr>
              <w:pStyle w:val="10Tabletext"/>
              <w:rPr>
                <w:b w:val="0"/>
                <w:bCs/>
              </w:rPr>
            </w:pPr>
            <w:r w:rsidRPr="009721B3">
              <w:rPr>
                <w:b w:val="0"/>
                <w:bCs/>
              </w:rPr>
              <w:t>Facilities management</w:t>
            </w:r>
          </w:p>
        </w:tc>
        <w:tc>
          <w:tcPr>
            <w:tcW w:w="1276" w:type="dxa"/>
          </w:tcPr>
          <w:p w14:paraId="4B600C3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c>
          <w:tcPr>
            <w:tcW w:w="1264" w:type="dxa"/>
          </w:tcPr>
          <w:p w14:paraId="3EC103E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r>
      <w:tr w:rsidR="00E91106" w:rsidRPr="00122D95" w14:paraId="0D73F033"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62FA8E1B" w14:textId="77777777" w:rsidR="00E91106" w:rsidRPr="009721B3" w:rsidRDefault="00E91106">
            <w:pPr>
              <w:pStyle w:val="10Tabletext"/>
              <w:rPr>
                <w:b w:val="0"/>
                <w:bCs/>
              </w:rPr>
            </w:pPr>
            <w:r w:rsidRPr="009721B3">
              <w:rPr>
                <w:b w:val="0"/>
                <w:bCs/>
              </w:rPr>
              <w:t>Commercialisation</w:t>
            </w:r>
          </w:p>
        </w:tc>
        <w:tc>
          <w:tcPr>
            <w:tcW w:w="1276" w:type="dxa"/>
          </w:tcPr>
          <w:p w14:paraId="412A7FC5"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w:t>
            </w:r>
          </w:p>
        </w:tc>
        <w:tc>
          <w:tcPr>
            <w:tcW w:w="1264" w:type="dxa"/>
          </w:tcPr>
          <w:p w14:paraId="167479D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&lt;1</w:t>
            </w:r>
          </w:p>
        </w:tc>
      </w:tr>
      <w:tr w:rsidR="00E91106" w:rsidRPr="00122D95" w14:paraId="042343F5"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33D290FF" w14:textId="77777777" w:rsidR="00E91106" w:rsidRPr="00122D95" w:rsidRDefault="00E91106">
            <w:pPr>
              <w:pStyle w:val="10Tabletext"/>
            </w:pPr>
            <w:r w:rsidRPr="00122D95">
              <w:t>Total</w:t>
            </w:r>
          </w:p>
        </w:tc>
        <w:tc>
          <w:tcPr>
            <w:tcW w:w="1276" w:type="dxa"/>
          </w:tcPr>
          <w:p w14:paraId="30115084"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r w:rsidRPr="009721B3">
              <w:rPr>
                <w:b/>
                <w:bCs w:val="0"/>
              </w:rPr>
              <w:t>265</w:t>
            </w:r>
          </w:p>
        </w:tc>
        <w:tc>
          <w:tcPr>
            <w:tcW w:w="1264" w:type="dxa"/>
          </w:tcPr>
          <w:p w14:paraId="234AB58A"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p>
        </w:tc>
      </w:tr>
    </w:tbl>
    <w:p w14:paraId="57F2B2CB" w14:textId="77777777" w:rsidR="00E91106" w:rsidRPr="004726CE" w:rsidRDefault="00E91106">
      <w:pPr>
        <w:pStyle w:val="09Sourcesandnotesfortablesfiguresboxes"/>
      </w:pPr>
      <w:r w:rsidRPr="004726CE">
        <w:t xml:space="preserve">Note: </w:t>
      </w:r>
      <w:r>
        <w:t>(a)</w:t>
      </w:r>
      <w:r w:rsidRPr="004726CE">
        <w:t xml:space="preserve"> The sum of the percentages in this table exceeds 100 per cent due to the rounding of individual percentages to the nearest whole number.</w:t>
      </w:r>
    </w:p>
    <w:p w14:paraId="14C1F6B5" w14:textId="02BC5794" w:rsidR="00E91106" w:rsidRPr="000E73CF" w:rsidRDefault="00E91106">
      <w:pPr>
        <w:pStyle w:val="05Paragraph"/>
        <w:rPr>
          <w:b/>
        </w:rPr>
      </w:pPr>
      <w:r>
        <w:t xml:space="preserve">Respondents </w:t>
      </w:r>
      <w:r w:rsidR="00C12022">
        <w:t xml:space="preserve">were asked if </w:t>
      </w:r>
      <w:r>
        <w:t>they undertook a specialist role</w:t>
      </w:r>
      <w:r w:rsidR="004C4734">
        <w:t>. A</w:t>
      </w:r>
      <w:r>
        <w:t xml:space="preserve"> total of 36 per cent </w:t>
      </w:r>
      <w:r w:rsidR="004C4734">
        <w:t xml:space="preserve">nominated </w:t>
      </w:r>
      <w:r>
        <w:t>one of the roles specified in the questionnaire (Table A.3). For the 25 per cent of respondents answering ‘other’, the most common free text responses were ‘human resources’ and ‘operations’, whilst several respondents identified their role as having multiple specialities.</w:t>
      </w:r>
    </w:p>
    <w:p w14:paraId="702232E0" w14:textId="77777777" w:rsidR="00E91106" w:rsidRPr="00122D95" w:rsidRDefault="00E91106">
      <w:pPr>
        <w:pStyle w:val="08Figuretableboxheading"/>
      </w:pPr>
      <w:r w:rsidRPr="00170BBB">
        <w:t>Table A.3:</w:t>
      </w:r>
      <w:r w:rsidRPr="00122D95">
        <w:t xml:space="preserve"> </w:t>
      </w:r>
      <w:r>
        <w:t>Do you specialise in any of the following areas in your current role</w:t>
      </w:r>
      <w:r w:rsidRPr="00122D95">
        <w:t>?</w:t>
      </w:r>
    </w:p>
    <w:tbl>
      <w:tblPr>
        <w:tblStyle w:val="ListTable3-Accent1"/>
        <w:tblW w:w="0" w:type="auto"/>
        <w:tblBorders>
          <w:left w:val="none" w:sz="0" w:space="0" w:color="auto"/>
          <w:right w:val="none" w:sz="0" w:space="0" w:color="auto"/>
          <w:insideH w:val="single" w:sz="4" w:space="0" w:color="26664E" w:themeColor="accent1"/>
        </w:tblBorders>
        <w:tblLayout w:type="fixed"/>
        <w:tblLook w:val="04A0" w:firstRow="1" w:lastRow="0" w:firstColumn="1" w:lastColumn="0" w:noHBand="0" w:noVBand="1"/>
      </w:tblPr>
      <w:tblGrid>
        <w:gridCol w:w="5953"/>
        <w:gridCol w:w="1276"/>
        <w:gridCol w:w="1264"/>
      </w:tblGrid>
      <w:tr w:rsidR="00A873C2" w:rsidRPr="00122D95" w14:paraId="27B57021"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3" w:type="dxa"/>
          </w:tcPr>
          <w:p w14:paraId="4CC29EEE" w14:textId="6BF19F5D" w:rsidR="00A873C2" w:rsidRPr="00AA1DD8" w:rsidRDefault="00A873C2" w:rsidP="00A873C2">
            <w:pPr>
              <w:pStyle w:val="10Tabletext"/>
              <w:rPr>
                <w:rFonts w:asciiTheme="majorHAnsi" w:hAnsiTheme="majorHAnsi" w:cstheme="majorHAnsi"/>
              </w:rPr>
            </w:pPr>
            <w:r w:rsidRPr="00A873C2">
              <w:t>Answer choices</w:t>
            </w:r>
          </w:p>
        </w:tc>
        <w:tc>
          <w:tcPr>
            <w:tcW w:w="1276" w:type="dxa"/>
          </w:tcPr>
          <w:p w14:paraId="6157E654" w14:textId="374968C3"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264" w:type="dxa"/>
          </w:tcPr>
          <w:p w14:paraId="042C0481" w14:textId="69134790"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p>
        </w:tc>
      </w:tr>
      <w:tr w:rsidR="00E91106" w:rsidRPr="00122D95" w14:paraId="36827152"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769B5C5B" w14:textId="77777777" w:rsidR="00E91106" w:rsidRPr="009721B3" w:rsidRDefault="00E91106">
            <w:pPr>
              <w:pStyle w:val="10Tabletext"/>
              <w:rPr>
                <w:b w:val="0"/>
                <w:bCs/>
              </w:rPr>
            </w:pPr>
            <w:r w:rsidRPr="009721B3">
              <w:rPr>
                <w:b w:val="0"/>
                <w:bCs/>
              </w:rPr>
              <w:t>Finance and insurance</w:t>
            </w:r>
          </w:p>
        </w:tc>
        <w:tc>
          <w:tcPr>
            <w:tcW w:w="1276" w:type="dxa"/>
          </w:tcPr>
          <w:p w14:paraId="4132FC0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32</w:t>
            </w:r>
          </w:p>
        </w:tc>
        <w:tc>
          <w:tcPr>
            <w:tcW w:w="1264" w:type="dxa"/>
          </w:tcPr>
          <w:p w14:paraId="5BFA906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w:t>
            </w:r>
          </w:p>
        </w:tc>
      </w:tr>
      <w:tr w:rsidR="00E91106" w:rsidRPr="00122D95" w14:paraId="58FC93E8"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45422F94" w14:textId="77777777" w:rsidR="00E91106" w:rsidRPr="009721B3" w:rsidRDefault="00E91106">
            <w:pPr>
              <w:pStyle w:val="10Tabletext"/>
              <w:rPr>
                <w:b w:val="0"/>
                <w:bCs/>
              </w:rPr>
            </w:pPr>
            <w:r w:rsidRPr="009721B3">
              <w:rPr>
                <w:b w:val="0"/>
                <w:bCs/>
              </w:rPr>
              <w:t>Legal</w:t>
            </w:r>
          </w:p>
        </w:tc>
        <w:tc>
          <w:tcPr>
            <w:tcW w:w="1276" w:type="dxa"/>
          </w:tcPr>
          <w:p w14:paraId="172823F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24</w:t>
            </w:r>
          </w:p>
        </w:tc>
        <w:tc>
          <w:tcPr>
            <w:tcW w:w="1264" w:type="dxa"/>
          </w:tcPr>
          <w:p w14:paraId="79F8CDD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w:t>
            </w:r>
          </w:p>
        </w:tc>
      </w:tr>
      <w:tr w:rsidR="00E91106" w:rsidRPr="00122D95" w14:paraId="7AA2C4D5"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6CC3021F" w14:textId="77777777" w:rsidR="00E91106" w:rsidRPr="009721B3" w:rsidRDefault="00E91106">
            <w:pPr>
              <w:pStyle w:val="10Tabletext"/>
              <w:rPr>
                <w:b w:val="0"/>
                <w:bCs/>
              </w:rPr>
            </w:pPr>
            <w:r w:rsidRPr="009721B3">
              <w:rPr>
                <w:b w:val="0"/>
                <w:bCs/>
              </w:rPr>
              <w:t>Digital and technology (including software engineering)</w:t>
            </w:r>
          </w:p>
        </w:tc>
        <w:tc>
          <w:tcPr>
            <w:tcW w:w="1276" w:type="dxa"/>
          </w:tcPr>
          <w:p w14:paraId="10354D1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21</w:t>
            </w:r>
          </w:p>
        </w:tc>
        <w:tc>
          <w:tcPr>
            <w:tcW w:w="1264" w:type="dxa"/>
          </w:tcPr>
          <w:p w14:paraId="67DBE9B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r>
      <w:tr w:rsidR="00E91106" w:rsidRPr="00122D95" w14:paraId="3FA414BB"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51662307" w14:textId="77777777" w:rsidR="00E91106" w:rsidRPr="009721B3" w:rsidRDefault="00E91106">
            <w:pPr>
              <w:pStyle w:val="10Tabletext"/>
              <w:rPr>
                <w:b w:val="0"/>
                <w:bCs/>
              </w:rPr>
            </w:pPr>
            <w:r w:rsidRPr="009721B3">
              <w:rPr>
                <w:b w:val="0"/>
                <w:bCs/>
              </w:rPr>
              <w:t>Engineering (excluding software engineering)</w:t>
            </w:r>
          </w:p>
        </w:tc>
        <w:tc>
          <w:tcPr>
            <w:tcW w:w="1276" w:type="dxa"/>
          </w:tcPr>
          <w:p w14:paraId="565AA2E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18</w:t>
            </w:r>
          </w:p>
        </w:tc>
        <w:tc>
          <w:tcPr>
            <w:tcW w:w="1264" w:type="dxa"/>
          </w:tcPr>
          <w:p w14:paraId="6E2940B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r>
      <w:tr w:rsidR="00E91106" w:rsidRPr="00122D95" w14:paraId="2DC1E273"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14BC0D99" w14:textId="77777777" w:rsidR="00E91106" w:rsidRPr="009721B3" w:rsidRDefault="00E91106">
            <w:pPr>
              <w:pStyle w:val="10Tabletext"/>
              <w:rPr>
                <w:b w:val="0"/>
                <w:bCs/>
              </w:rPr>
            </w:pPr>
            <w:r w:rsidRPr="009721B3">
              <w:rPr>
                <w:b w:val="0"/>
                <w:bCs/>
              </w:rPr>
              <w:t>Other</w:t>
            </w:r>
          </w:p>
        </w:tc>
        <w:tc>
          <w:tcPr>
            <w:tcW w:w="1276" w:type="dxa"/>
          </w:tcPr>
          <w:p w14:paraId="0D625AE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66</w:t>
            </w:r>
          </w:p>
        </w:tc>
        <w:tc>
          <w:tcPr>
            <w:tcW w:w="1264" w:type="dxa"/>
          </w:tcPr>
          <w:p w14:paraId="114561B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25</w:t>
            </w:r>
          </w:p>
        </w:tc>
      </w:tr>
      <w:tr w:rsidR="00E91106" w:rsidRPr="00122D95" w14:paraId="6B495C69"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Pr>
          <w:p w14:paraId="02192821" w14:textId="77777777" w:rsidR="00E91106" w:rsidRPr="009721B3" w:rsidRDefault="00E91106">
            <w:pPr>
              <w:pStyle w:val="10Tabletext"/>
              <w:rPr>
                <w:b w:val="0"/>
                <w:bCs/>
              </w:rPr>
            </w:pPr>
            <w:r w:rsidRPr="009721B3">
              <w:rPr>
                <w:b w:val="0"/>
                <w:bCs/>
              </w:rPr>
              <w:t>None of the above</w:t>
            </w:r>
          </w:p>
        </w:tc>
        <w:tc>
          <w:tcPr>
            <w:tcW w:w="1276" w:type="dxa"/>
          </w:tcPr>
          <w:p w14:paraId="1A251F0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104</w:t>
            </w:r>
          </w:p>
        </w:tc>
        <w:tc>
          <w:tcPr>
            <w:tcW w:w="1264" w:type="dxa"/>
          </w:tcPr>
          <w:p w14:paraId="1D2338D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39</w:t>
            </w:r>
          </w:p>
        </w:tc>
      </w:tr>
      <w:tr w:rsidR="00E91106" w:rsidRPr="00122D95" w14:paraId="660544F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Pr>
          <w:p w14:paraId="786B1816" w14:textId="77777777" w:rsidR="00E91106" w:rsidRPr="00122D95" w:rsidRDefault="00E91106">
            <w:pPr>
              <w:pStyle w:val="10Tabletext"/>
            </w:pPr>
            <w:r w:rsidRPr="00122D95">
              <w:t>Total</w:t>
            </w:r>
          </w:p>
        </w:tc>
        <w:tc>
          <w:tcPr>
            <w:tcW w:w="1276" w:type="dxa"/>
          </w:tcPr>
          <w:p w14:paraId="3F87EC38"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r w:rsidRPr="009721B3">
              <w:rPr>
                <w:b/>
                <w:bCs w:val="0"/>
              </w:rPr>
              <w:t>265</w:t>
            </w:r>
          </w:p>
        </w:tc>
        <w:tc>
          <w:tcPr>
            <w:tcW w:w="1264" w:type="dxa"/>
          </w:tcPr>
          <w:p w14:paraId="5C7DED4B" w14:textId="77777777" w:rsidR="00E91106" w:rsidRPr="009721B3"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p>
        </w:tc>
      </w:tr>
    </w:tbl>
    <w:p w14:paraId="73348994" w14:textId="77777777" w:rsidR="00E91106" w:rsidRPr="00122D95" w:rsidRDefault="00E91106">
      <w:pPr>
        <w:pStyle w:val="05Paragraph"/>
      </w:pPr>
      <w:r>
        <w:t>Respondents were evenly split between men and women</w:t>
      </w:r>
      <w:r w:rsidRPr="00122D95">
        <w:t>, and less than one per cent described their gender as non-binary (Table A.</w:t>
      </w:r>
      <w:r>
        <w:t>4</w:t>
      </w:r>
      <w:r w:rsidRPr="00122D95">
        <w:t>).</w:t>
      </w:r>
    </w:p>
    <w:p w14:paraId="418EF3A4" w14:textId="77777777" w:rsidR="00E91106" w:rsidRPr="00122D95" w:rsidRDefault="00E91106">
      <w:pPr>
        <w:pStyle w:val="08Figuretableboxheading"/>
      </w:pPr>
      <w:r w:rsidRPr="00122D95">
        <w:lastRenderedPageBreak/>
        <w:t>Table A.</w:t>
      </w:r>
      <w:r>
        <w:t>4</w:t>
      </w:r>
      <w:r w:rsidRPr="00122D95">
        <w:t>: How do you describe your gender?</w:t>
      </w:r>
    </w:p>
    <w:tbl>
      <w:tblPr>
        <w:tblStyle w:val="ListTable3-Accent1"/>
        <w:tblW w:w="0" w:type="auto"/>
        <w:tblLayout w:type="fixed"/>
        <w:tblLook w:val="04A0" w:firstRow="1" w:lastRow="0" w:firstColumn="1" w:lastColumn="0" w:noHBand="0" w:noVBand="1"/>
      </w:tblPr>
      <w:tblGrid>
        <w:gridCol w:w="5953"/>
        <w:gridCol w:w="1276"/>
        <w:gridCol w:w="1264"/>
      </w:tblGrid>
      <w:tr w:rsidR="00A873C2" w:rsidRPr="00122D95" w14:paraId="2F31C38F"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3" w:type="dxa"/>
            <w:tcBorders>
              <w:left w:val="nil"/>
            </w:tcBorders>
          </w:tcPr>
          <w:p w14:paraId="0072057E" w14:textId="4F2BAC99" w:rsidR="00A873C2" w:rsidRPr="00AA1DD8" w:rsidRDefault="00A873C2" w:rsidP="00A873C2">
            <w:pPr>
              <w:pStyle w:val="10Tabletext"/>
              <w:keepNext/>
              <w:rPr>
                <w:szCs w:val="24"/>
              </w:rPr>
            </w:pPr>
            <w:r w:rsidRPr="00A873C2">
              <w:t>Answer choices</w:t>
            </w:r>
          </w:p>
        </w:tc>
        <w:tc>
          <w:tcPr>
            <w:tcW w:w="1276" w:type="dxa"/>
          </w:tcPr>
          <w:p w14:paraId="31495EC2" w14:textId="03CC6250" w:rsidR="00A873C2" w:rsidRPr="00AA1DD8"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szCs w:val="24"/>
              </w:rPr>
            </w:pPr>
            <w:r w:rsidRPr="00A873C2">
              <w:t>Number of responses</w:t>
            </w:r>
          </w:p>
        </w:tc>
        <w:tc>
          <w:tcPr>
            <w:tcW w:w="1264" w:type="dxa"/>
            <w:tcBorders>
              <w:right w:val="nil"/>
            </w:tcBorders>
          </w:tcPr>
          <w:p w14:paraId="66C503DB" w14:textId="1B543E93" w:rsidR="00A873C2" w:rsidRPr="00AA1DD8"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szCs w:val="24"/>
              </w:rPr>
            </w:pPr>
            <w:r w:rsidRPr="00A873C2">
              <w:t>% of responses</w:t>
            </w:r>
          </w:p>
        </w:tc>
      </w:tr>
      <w:tr w:rsidR="00E91106" w:rsidRPr="00122D95" w14:paraId="654E404A"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232822C3" w14:textId="77777777" w:rsidR="00E91106" w:rsidRPr="00A25222" w:rsidRDefault="00E91106">
            <w:pPr>
              <w:pStyle w:val="10Tabletext"/>
              <w:rPr>
                <w:b w:val="0"/>
              </w:rPr>
            </w:pPr>
            <w:r w:rsidRPr="00A25222">
              <w:rPr>
                <w:b w:val="0"/>
              </w:rPr>
              <w:t>Man</w:t>
            </w:r>
          </w:p>
        </w:tc>
        <w:tc>
          <w:tcPr>
            <w:tcW w:w="1276" w:type="dxa"/>
          </w:tcPr>
          <w:p w14:paraId="55CA563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130</w:t>
            </w:r>
          </w:p>
        </w:tc>
        <w:tc>
          <w:tcPr>
            <w:tcW w:w="1264" w:type="dxa"/>
            <w:tcBorders>
              <w:right w:val="nil"/>
            </w:tcBorders>
          </w:tcPr>
          <w:p w14:paraId="4E59C7A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49</w:t>
            </w:r>
          </w:p>
        </w:tc>
      </w:tr>
      <w:tr w:rsidR="00E91106" w:rsidRPr="00122D95" w14:paraId="66F9D6E6"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06054E2C" w14:textId="77777777" w:rsidR="00E91106" w:rsidRPr="00A25222" w:rsidRDefault="00E91106">
            <w:pPr>
              <w:pStyle w:val="10Tabletext"/>
              <w:rPr>
                <w:b w:val="0"/>
              </w:rPr>
            </w:pPr>
            <w:r w:rsidRPr="00A25222">
              <w:rPr>
                <w:b w:val="0"/>
              </w:rPr>
              <w:t>Woman</w:t>
            </w:r>
          </w:p>
        </w:tc>
        <w:tc>
          <w:tcPr>
            <w:tcW w:w="1276" w:type="dxa"/>
          </w:tcPr>
          <w:p w14:paraId="1494A80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125</w:t>
            </w:r>
          </w:p>
        </w:tc>
        <w:tc>
          <w:tcPr>
            <w:tcW w:w="1264" w:type="dxa"/>
            <w:tcBorders>
              <w:right w:val="nil"/>
            </w:tcBorders>
          </w:tcPr>
          <w:p w14:paraId="25FFF22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47</w:t>
            </w:r>
          </w:p>
        </w:tc>
      </w:tr>
      <w:tr w:rsidR="00E91106" w:rsidRPr="00122D95" w14:paraId="2AF6BA83"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9B624C0" w14:textId="77777777" w:rsidR="00E91106" w:rsidRPr="00A25222" w:rsidRDefault="00E91106">
            <w:pPr>
              <w:pStyle w:val="10Tabletext"/>
              <w:rPr>
                <w:b w:val="0"/>
              </w:rPr>
            </w:pPr>
            <w:r w:rsidRPr="00A25222">
              <w:rPr>
                <w:b w:val="0"/>
              </w:rPr>
              <w:t>Prefer not to say</w:t>
            </w:r>
          </w:p>
        </w:tc>
        <w:tc>
          <w:tcPr>
            <w:tcW w:w="1276" w:type="dxa"/>
          </w:tcPr>
          <w:p w14:paraId="7BACA28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264" w:type="dxa"/>
            <w:tcBorders>
              <w:right w:val="nil"/>
            </w:tcBorders>
          </w:tcPr>
          <w:p w14:paraId="28E3170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r>
      <w:tr w:rsidR="00E91106" w:rsidRPr="00122D95" w14:paraId="21D4CD84"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565E070F" w14:textId="77777777" w:rsidR="00E91106" w:rsidRPr="00A25222" w:rsidRDefault="00E91106">
            <w:pPr>
              <w:pStyle w:val="10Tabletext"/>
              <w:rPr>
                <w:b w:val="0"/>
              </w:rPr>
            </w:pPr>
            <w:r w:rsidRPr="00A25222">
              <w:rPr>
                <w:b w:val="0"/>
              </w:rPr>
              <w:t>Non-binary</w:t>
            </w:r>
          </w:p>
        </w:tc>
        <w:tc>
          <w:tcPr>
            <w:tcW w:w="1276" w:type="dxa"/>
          </w:tcPr>
          <w:p w14:paraId="7041B19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w:t>
            </w:r>
          </w:p>
        </w:tc>
        <w:tc>
          <w:tcPr>
            <w:tcW w:w="1264" w:type="dxa"/>
            <w:tcBorders>
              <w:right w:val="nil"/>
            </w:tcBorders>
          </w:tcPr>
          <w:p w14:paraId="2348258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122D95">
              <w:t>&lt;1</w:t>
            </w:r>
          </w:p>
        </w:tc>
      </w:tr>
      <w:tr w:rsidR="00E91106" w:rsidRPr="00122D95" w14:paraId="5E9AAED6"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7BDD0522" w14:textId="77777777" w:rsidR="00E91106" w:rsidRPr="00A25222" w:rsidRDefault="00E91106">
            <w:pPr>
              <w:pStyle w:val="10Tabletext"/>
              <w:rPr>
                <w:b w:val="0"/>
              </w:rPr>
            </w:pPr>
            <w:r w:rsidRPr="00A25222">
              <w:rPr>
                <w:b w:val="0"/>
              </w:rPr>
              <w:t>I use a different term</w:t>
            </w:r>
          </w:p>
        </w:tc>
        <w:tc>
          <w:tcPr>
            <w:tcW w:w="1276" w:type="dxa"/>
          </w:tcPr>
          <w:p w14:paraId="691AF4C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c>
          <w:tcPr>
            <w:tcW w:w="1264" w:type="dxa"/>
            <w:tcBorders>
              <w:right w:val="nil"/>
            </w:tcBorders>
          </w:tcPr>
          <w:p w14:paraId="4A2DEAE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122D95">
              <w:t>0</w:t>
            </w:r>
          </w:p>
        </w:tc>
      </w:tr>
      <w:tr w:rsidR="00E91106" w:rsidRPr="00122D95" w14:paraId="3291D10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6F3223AD" w14:textId="77777777" w:rsidR="00E91106" w:rsidRPr="00122D95" w:rsidRDefault="00E91106">
            <w:pPr>
              <w:pStyle w:val="10Tabletext"/>
            </w:pPr>
            <w:r w:rsidRPr="00122D95">
              <w:t>Total</w:t>
            </w:r>
          </w:p>
        </w:tc>
        <w:tc>
          <w:tcPr>
            <w:tcW w:w="1276" w:type="dxa"/>
          </w:tcPr>
          <w:p w14:paraId="718F9F2D" w14:textId="77777777" w:rsidR="00E91106" w:rsidRPr="00A25222"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A25222">
              <w:rPr>
                <w:b/>
              </w:rPr>
              <w:t>264</w:t>
            </w:r>
          </w:p>
        </w:tc>
        <w:tc>
          <w:tcPr>
            <w:tcW w:w="1264" w:type="dxa"/>
            <w:tcBorders>
              <w:right w:val="nil"/>
            </w:tcBorders>
          </w:tcPr>
          <w:p w14:paraId="2DDA80F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p>
        </w:tc>
      </w:tr>
    </w:tbl>
    <w:p w14:paraId="1F0BEE54" w14:textId="77777777" w:rsidR="00E91106" w:rsidRPr="00122D95" w:rsidRDefault="00E91106">
      <w:pPr>
        <w:pStyle w:val="05Paragraph"/>
      </w:pPr>
      <w:r w:rsidRPr="00122D95">
        <w:t xml:space="preserve">All respondents were aged 25 years and older, with </w:t>
      </w:r>
      <w:r>
        <w:t xml:space="preserve">nearly half </w:t>
      </w:r>
      <w:r w:rsidRPr="00122D95">
        <w:t xml:space="preserve">aged between </w:t>
      </w:r>
      <w:r>
        <w:t>45</w:t>
      </w:r>
      <w:r w:rsidRPr="00122D95">
        <w:t xml:space="preserve"> and </w:t>
      </w:r>
      <w:r>
        <w:t>54</w:t>
      </w:r>
      <w:r w:rsidRPr="00122D95">
        <w:t xml:space="preserve"> years old (Table A.</w:t>
      </w:r>
      <w:r>
        <w:t>5</w:t>
      </w:r>
      <w:r w:rsidRPr="00122D95">
        <w:t>).</w:t>
      </w:r>
    </w:p>
    <w:p w14:paraId="27C2D3A0" w14:textId="77777777" w:rsidR="00E91106" w:rsidRPr="00122D95" w:rsidRDefault="00E91106">
      <w:pPr>
        <w:pStyle w:val="08Figuretableboxheading"/>
      </w:pPr>
      <w:r w:rsidRPr="00122D95">
        <w:t>Table A.</w:t>
      </w:r>
      <w:r>
        <w:t>5</w:t>
      </w:r>
      <w:r w:rsidRPr="00122D95">
        <w:t>: What is your age?</w:t>
      </w:r>
    </w:p>
    <w:tbl>
      <w:tblPr>
        <w:tblStyle w:val="ListTable3-Accent1"/>
        <w:tblW w:w="0" w:type="auto"/>
        <w:tblLayout w:type="fixed"/>
        <w:tblLook w:val="04A0" w:firstRow="1" w:lastRow="0" w:firstColumn="1" w:lastColumn="0" w:noHBand="0" w:noVBand="1"/>
      </w:tblPr>
      <w:tblGrid>
        <w:gridCol w:w="5954"/>
        <w:gridCol w:w="1276"/>
        <w:gridCol w:w="1264"/>
      </w:tblGrid>
      <w:tr w:rsidR="00A873C2" w:rsidRPr="00122D95" w14:paraId="3BD52077"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4" w:type="dxa"/>
            <w:tcBorders>
              <w:left w:val="nil"/>
            </w:tcBorders>
          </w:tcPr>
          <w:p w14:paraId="08F1899E" w14:textId="4D32C3CE" w:rsidR="00A873C2" w:rsidRPr="00AA1DD8" w:rsidRDefault="00A873C2" w:rsidP="00A873C2">
            <w:pPr>
              <w:pStyle w:val="10Tabletext"/>
              <w:rPr>
                <w:sz w:val="24"/>
                <w:szCs w:val="24"/>
              </w:rPr>
            </w:pPr>
            <w:r w:rsidRPr="00A873C2">
              <w:t>Answer choices</w:t>
            </w:r>
          </w:p>
        </w:tc>
        <w:tc>
          <w:tcPr>
            <w:tcW w:w="1276" w:type="dxa"/>
          </w:tcPr>
          <w:p w14:paraId="35391E88" w14:textId="09C081D1"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264" w:type="dxa"/>
            <w:tcBorders>
              <w:right w:val="nil"/>
            </w:tcBorders>
          </w:tcPr>
          <w:p w14:paraId="6B5520B8" w14:textId="0363085E" w:rsidR="00A873C2" w:rsidRPr="00A873C2"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vertAlign w:val="superscript"/>
              </w:rPr>
            </w:pPr>
            <w:r w:rsidRPr="00A873C2">
              <w:t>% of responses</w:t>
            </w:r>
            <w:r>
              <w:rPr>
                <w:vertAlign w:val="superscript"/>
              </w:rPr>
              <w:t>(a)</w:t>
            </w:r>
          </w:p>
        </w:tc>
      </w:tr>
      <w:tr w:rsidR="00E91106" w:rsidRPr="00122D95" w14:paraId="5FEE3BE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7A4B452D" w14:textId="77777777" w:rsidR="00E91106" w:rsidRPr="00A25222" w:rsidRDefault="00E91106">
            <w:pPr>
              <w:pStyle w:val="10Tabletext"/>
              <w:rPr>
                <w:b w:val="0"/>
              </w:rPr>
            </w:pPr>
            <w:r w:rsidRPr="00A25222">
              <w:rPr>
                <w:b w:val="0"/>
              </w:rPr>
              <w:t>25-34 years</w:t>
            </w:r>
          </w:p>
        </w:tc>
        <w:tc>
          <w:tcPr>
            <w:tcW w:w="1276" w:type="dxa"/>
          </w:tcPr>
          <w:p w14:paraId="34A9C84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c>
          <w:tcPr>
            <w:tcW w:w="1264" w:type="dxa"/>
            <w:tcBorders>
              <w:right w:val="nil"/>
            </w:tcBorders>
          </w:tcPr>
          <w:p w14:paraId="7075529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&lt;1</w:t>
            </w:r>
          </w:p>
        </w:tc>
      </w:tr>
      <w:tr w:rsidR="00E91106" w:rsidRPr="00122D95" w14:paraId="6DD43440"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517DE19E" w14:textId="77777777" w:rsidR="00E91106" w:rsidRPr="00A25222" w:rsidRDefault="00E91106">
            <w:pPr>
              <w:pStyle w:val="10Tabletext"/>
              <w:rPr>
                <w:b w:val="0"/>
              </w:rPr>
            </w:pPr>
            <w:r w:rsidRPr="00A25222">
              <w:rPr>
                <w:b w:val="0"/>
              </w:rPr>
              <w:t>35-44 years</w:t>
            </w:r>
          </w:p>
        </w:tc>
        <w:tc>
          <w:tcPr>
            <w:tcW w:w="1276" w:type="dxa"/>
          </w:tcPr>
          <w:p w14:paraId="6545412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52</w:t>
            </w:r>
          </w:p>
        </w:tc>
        <w:tc>
          <w:tcPr>
            <w:tcW w:w="1264" w:type="dxa"/>
            <w:tcBorders>
              <w:right w:val="nil"/>
            </w:tcBorders>
          </w:tcPr>
          <w:p w14:paraId="2CE1CF2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r>
      <w:tr w:rsidR="00E91106" w:rsidRPr="00122D95" w14:paraId="1EACF14D"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00E5607B" w14:textId="77777777" w:rsidR="00E91106" w:rsidRPr="00A25222" w:rsidRDefault="00E91106">
            <w:pPr>
              <w:pStyle w:val="10Tabletext"/>
              <w:rPr>
                <w:b w:val="0"/>
              </w:rPr>
            </w:pPr>
            <w:r w:rsidRPr="00A25222">
              <w:rPr>
                <w:b w:val="0"/>
              </w:rPr>
              <w:t>45-54 years</w:t>
            </w:r>
          </w:p>
        </w:tc>
        <w:tc>
          <w:tcPr>
            <w:tcW w:w="1276" w:type="dxa"/>
          </w:tcPr>
          <w:p w14:paraId="7AB3117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124</w:t>
            </w:r>
          </w:p>
        </w:tc>
        <w:tc>
          <w:tcPr>
            <w:tcW w:w="1264" w:type="dxa"/>
            <w:tcBorders>
              <w:right w:val="nil"/>
            </w:tcBorders>
          </w:tcPr>
          <w:p w14:paraId="42B1162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47</w:t>
            </w:r>
          </w:p>
        </w:tc>
      </w:tr>
      <w:tr w:rsidR="00E91106" w:rsidRPr="00122D95" w14:paraId="75AA1C74"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6BB1E3D9" w14:textId="77777777" w:rsidR="00E91106" w:rsidRPr="00A25222" w:rsidRDefault="00E91106">
            <w:pPr>
              <w:pStyle w:val="10Tabletext"/>
              <w:rPr>
                <w:b w:val="0"/>
              </w:rPr>
            </w:pPr>
            <w:r w:rsidRPr="00A25222">
              <w:rPr>
                <w:b w:val="0"/>
              </w:rPr>
              <w:t>55-64 years</w:t>
            </w:r>
          </w:p>
        </w:tc>
        <w:tc>
          <w:tcPr>
            <w:tcW w:w="1276" w:type="dxa"/>
          </w:tcPr>
          <w:p w14:paraId="227EE39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73</w:t>
            </w:r>
          </w:p>
        </w:tc>
        <w:tc>
          <w:tcPr>
            <w:tcW w:w="1264" w:type="dxa"/>
            <w:tcBorders>
              <w:right w:val="nil"/>
            </w:tcBorders>
          </w:tcPr>
          <w:p w14:paraId="78EEA12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28</w:t>
            </w:r>
          </w:p>
        </w:tc>
      </w:tr>
      <w:tr w:rsidR="00E91106" w:rsidRPr="00122D95" w14:paraId="4DEDEF91"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1A127791" w14:textId="77777777" w:rsidR="00E91106" w:rsidRPr="00A25222" w:rsidRDefault="00E91106">
            <w:pPr>
              <w:pStyle w:val="10Tabletext"/>
              <w:rPr>
                <w:b w:val="0"/>
              </w:rPr>
            </w:pPr>
            <w:r w:rsidRPr="00A25222">
              <w:rPr>
                <w:b w:val="0"/>
              </w:rPr>
              <w:t>65+ years</w:t>
            </w:r>
          </w:p>
        </w:tc>
        <w:tc>
          <w:tcPr>
            <w:tcW w:w="1276" w:type="dxa"/>
          </w:tcPr>
          <w:p w14:paraId="5181BF0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264" w:type="dxa"/>
            <w:tcBorders>
              <w:right w:val="nil"/>
            </w:tcBorders>
          </w:tcPr>
          <w:p w14:paraId="798A691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r>
      <w:tr w:rsidR="00E91106" w:rsidRPr="00122D95" w14:paraId="5726BA5B"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3C0C7CA5" w14:textId="77777777" w:rsidR="00E91106" w:rsidRPr="00A25222" w:rsidRDefault="00E91106">
            <w:pPr>
              <w:pStyle w:val="10Tabletext"/>
              <w:rPr>
                <w:b w:val="0"/>
              </w:rPr>
            </w:pPr>
            <w:r w:rsidRPr="00A25222">
              <w:rPr>
                <w:b w:val="0"/>
              </w:rPr>
              <w:t>Prefer not to say</w:t>
            </w:r>
          </w:p>
        </w:tc>
        <w:tc>
          <w:tcPr>
            <w:tcW w:w="1276" w:type="dxa"/>
          </w:tcPr>
          <w:p w14:paraId="4616A02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264" w:type="dxa"/>
            <w:tcBorders>
              <w:right w:val="nil"/>
            </w:tcBorders>
          </w:tcPr>
          <w:p w14:paraId="6D0AECA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r>
      <w:tr w:rsidR="00E91106" w:rsidRPr="00122D95" w14:paraId="36C383F5"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4" w:type="dxa"/>
            <w:tcBorders>
              <w:left w:val="nil"/>
            </w:tcBorders>
          </w:tcPr>
          <w:p w14:paraId="03C82BAD" w14:textId="77777777" w:rsidR="00E91106" w:rsidRPr="00122D95" w:rsidRDefault="00E91106">
            <w:pPr>
              <w:pStyle w:val="10Tabletext"/>
            </w:pPr>
            <w:r w:rsidRPr="00122D95">
              <w:t>Total</w:t>
            </w:r>
          </w:p>
        </w:tc>
        <w:tc>
          <w:tcPr>
            <w:tcW w:w="1276" w:type="dxa"/>
          </w:tcPr>
          <w:p w14:paraId="31402D91" w14:textId="77777777" w:rsidR="00E91106" w:rsidRPr="00A25222"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A25222">
              <w:rPr>
                <w:b/>
              </w:rPr>
              <w:t>264</w:t>
            </w:r>
          </w:p>
        </w:tc>
        <w:tc>
          <w:tcPr>
            <w:tcW w:w="1264" w:type="dxa"/>
            <w:tcBorders>
              <w:right w:val="nil"/>
            </w:tcBorders>
          </w:tcPr>
          <w:p w14:paraId="0620E37A" w14:textId="77777777" w:rsidR="00E91106" w:rsidRPr="00A25222"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05AA102B" w14:textId="77777777" w:rsidR="00E91106" w:rsidRDefault="00E91106">
      <w:pPr>
        <w:pStyle w:val="09Sourcesandnotesfortablesfiguresboxes"/>
      </w:pPr>
      <w:r w:rsidRPr="00301F68">
        <w:t xml:space="preserve">Note: </w:t>
      </w:r>
      <w:r>
        <w:t>(a)</w:t>
      </w:r>
      <w:r w:rsidRPr="00301F68">
        <w:t xml:space="preserve"> The sum of the percentages in this table exceeds 100 per cent due to the rounding of individual percentages to the nearest whole number.</w:t>
      </w:r>
    </w:p>
    <w:p w14:paraId="683B0401" w14:textId="490B3E42" w:rsidR="00E91106" w:rsidRPr="00122D95" w:rsidRDefault="00E91106">
      <w:pPr>
        <w:pStyle w:val="05Paragraph"/>
      </w:pPr>
      <w:r>
        <w:t>Only 28</w:t>
      </w:r>
      <w:r w:rsidRPr="00122D95">
        <w:t xml:space="preserve"> per cent of </w:t>
      </w:r>
      <w:r>
        <w:t xml:space="preserve">respondents </w:t>
      </w:r>
      <w:r w:rsidRPr="00122D95">
        <w:t>lived in</w:t>
      </w:r>
      <w:r>
        <w:t xml:space="preserve"> either</w:t>
      </w:r>
      <w:r w:rsidRPr="00122D95">
        <w:t xml:space="preserve"> regional </w:t>
      </w:r>
      <w:r>
        <w:t xml:space="preserve">or rural </w:t>
      </w:r>
      <w:r w:rsidRPr="00122D95">
        <w:t xml:space="preserve">Victoria, while </w:t>
      </w:r>
      <w:r>
        <w:t>68</w:t>
      </w:r>
      <w:r w:rsidR="004E0CFC">
        <w:t> </w:t>
      </w:r>
      <w:r w:rsidRPr="00122D95">
        <w:t xml:space="preserve">per cent </w:t>
      </w:r>
      <w:r>
        <w:t>lived</w:t>
      </w:r>
      <w:r w:rsidRPr="00122D95">
        <w:t xml:space="preserve"> in </w:t>
      </w:r>
      <w:r>
        <w:t>greater Melbourne</w:t>
      </w:r>
      <w:r w:rsidRPr="00122D95" w:rsidDel="00F465A0">
        <w:t xml:space="preserve"> </w:t>
      </w:r>
      <w:r w:rsidRPr="00122D95">
        <w:t>(Figure A.1).</w:t>
      </w:r>
    </w:p>
    <w:p w14:paraId="3B159805" w14:textId="77777777" w:rsidR="00E91106" w:rsidRPr="00122D95" w:rsidRDefault="00E91106">
      <w:pPr>
        <w:pStyle w:val="08Figuretableboxheading"/>
      </w:pPr>
      <w:r w:rsidRPr="00122D95">
        <w:t xml:space="preserve">Figure A.1: </w:t>
      </w:r>
      <w:r>
        <w:t>Where do you live</w:t>
      </w:r>
      <w:r w:rsidRPr="00122D95">
        <w:t>?</w:t>
      </w:r>
    </w:p>
    <w:p w14:paraId="4675C2BF" w14:textId="4D3514AB" w:rsidR="00E91106" w:rsidRPr="00122D95" w:rsidRDefault="005D7B0E">
      <w:pPr>
        <w:pStyle w:val="10Tabletext"/>
      </w:pPr>
      <w:r>
        <w:rPr>
          <w:noProof/>
        </w:rPr>
        <w:drawing>
          <wp:inline distT="0" distB="0" distL="0" distR="0" wp14:anchorId="507C37A6" wp14:editId="6AE4C269">
            <wp:extent cx="5414010" cy="2176145"/>
            <wp:effectExtent l="0" t="0" r="0" b="0"/>
            <wp:docPr id="1850187712" name="Picture 12" descr="A pie chart showing responses to the question 'Where do you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87712" name="Picture 12" descr="A pie chart showing responses to the question 'Where do you Liv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4010" cy="2176145"/>
                    </a:xfrm>
                    <a:prstGeom prst="rect">
                      <a:avLst/>
                    </a:prstGeom>
                    <a:noFill/>
                  </pic:spPr>
                </pic:pic>
              </a:graphicData>
            </a:graphic>
          </wp:inline>
        </w:drawing>
      </w:r>
    </w:p>
    <w:p w14:paraId="2EBCE571" w14:textId="77777777" w:rsidR="00E91106" w:rsidRPr="00122D95" w:rsidRDefault="00E91106">
      <w:pPr>
        <w:pStyle w:val="05Paragraph"/>
      </w:pPr>
      <w:r w:rsidRPr="00122D95">
        <w:t xml:space="preserve">While </w:t>
      </w:r>
      <w:r>
        <w:t>nearly all</w:t>
      </w:r>
      <w:r w:rsidRPr="00122D95">
        <w:t xml:space="preserve"> respondents worked full-time, a small percentage reported they only worked full-time because they felt they are unable to work part-time (Table</w:t>
      </w:r>
      <w:r>
        <w:t> </w:t>
      </w:r>
      <w:r w:rsidRPr="00122D95">
        <w:t>A.</w:t>
      </w:r>
      <w:r>
        <w:t>6</w:t>
      </w:r>
      <w:r w:rsidRPr="00122D95">
        <w:t xml:space="preserve">). </w:t>
      </w:r>
    </w:p>
    <w:p w14:paraId="1FBAE18A" w14:textId="77777777" w:rsidR="00E91106" w:rsidRPr="00122D95" w:rsidRDefault="00E91106">
      <w:pPr>
        <w:pStyle w:val="08Figuretableboxheading"/>
      </w:pPr>
      <w:r w:rsidRPr="00122D95">
        <w:lastRenderedPageBreak/>
        <w:t>Table A.</w:t>
      </w:r>
      <w:r>
        <w:t>6</w:t>
      </w:r>
      <w:r w:rsidRPr="00122D95">
        <w:t>: Do you work full-time or part-time?</w:t>
      </w:r>
    </w:p>
    <w:tbl>
      <w:tblPr>
        <w:tblStyle w:val="ListTable3-Accent1"/>
        <w:tblW w:w="0" w:type="auto"/>
        <w:tblLayout w:type="fixed"/>
        <w:tblLook w:val="04A0" w:firstRow="1" w:lastRow="0" w:firstColumn="1" w:lastColumn="0" w:noHBand="0" w:noVBand="1"/>
      </w:tblPr>
      <w:tblGrid>
        <w:gridCol w:w="6096"/>
        <w:gridCol w:w="1275"/>
        <w:gridCol w:w="1123"/>
      </w:tblGrid>
      <w:tr w:rsidR="00A873C2" w:rsidRPr="00122D95" w14:paraId="2F0A54E2"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6096" w:type="dxa"/>
            <w:tcBorders>
              <w:left w:val="nil"/>
            </w:tcBorders>
          </w:tcPr>
          <w:p w14:paraId="66D3A2EA" w14:textId="5909903F" w:rsidR="00A873C2" w:rsidRPr="00AA1DD8" w:rsidRDefault="00A873C2" w:rsidP="00A873C2">
            <w:pPr>
              <w:pStyle w:val="10Tabletext"/>
            </w:pPr>
            <w:r w:rsidRPr="00A873C2">
              <w:t>Answer choices</w:t>
            </w:r>
          </w:p>
        </w:tc>
        <w:tc>
          <w:tcPr>
            <w:tcW w:w="1275" w:type="dxa"/>
          </w:tcPr>
          <w:p w14:paraId="601DCCA3" w14:textId="2A011861"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123" w:type="dxa"/>
            <w:tcBorders>
              <w:right w:val="nil"/>
            </w:tcBorders>
          </w:tcPr>
          <w:p w14:paraId="72407D0D" w14:textId="3614E244" w:rsidR="00A873C2" w:rsidRPr="00AA1DD8"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p>
        </w:tc>
      </w:tr>
      <w:tr w:rsidR="00E91106" w:rsidRPr="00122D95" w14:paraId="7322F1B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A673100" w14:textId="77777777" w:rsidR="00E91106" w:rsidRPr="00A25222" w:rsidRDefault="00E91106">
            <w:pPr>
              <w:pStyle w:val="10Tabletext"/>
              <w:rPr>
                <w:b w:val="0"/>
              </w:rPr>
            </w:pPr>
            <w:r w:rsidRPr="00A25222">
              <w:rPr>
                <w:b w:val="0"/>
              </w:rPr>
              <w:t>Full-time</w:t>
            </w:r>
          </w:p>
        </w:tc>
        <w:tc>
          <w:tcPr>
            <w:tcW w:w="1275" w:type="dxa"/>
          </w:tcPr>
          <w:p w14:paraId="23CFB11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253</w:t>
            </w:r>
          </w:p>
        </w:tc>
        <w:tc>
          <w:tcPr>
            <w:tcW w:w="1123" w:type="dxa"/>
            <w:tcBorders>
              <w:right w:val="nil"/>
            </w:tcBorders>
          </w:tcPr>
          <w:p w14:paraId="71CA260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95</w:t>
            </w:r>
          </w:p>
        </w:tc>
      </w:tr>
      <w:tr w:rsidR="00E91106" w:rsidRPr="00122D95" w14:paraId="3755E2B3"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E9F61BB" w14:textId="77777777" w:rsidR="00E91106" w:rsidRPr="00A25222" w:rsidRDefault="00E91106">
            <w:pPr>
              <w:pStyle w:val="10Tabletext"/>
              <w:rPr>
                <w:b w:val="0"/>
              </w:rPr>
            </w:pPr>
            <w:r w:rsidRPr="00A25222">
              <w:rPr>
                <w:b w:val="0"/>
              </w:rPr>
              <w:t>Full-time, but I would like to work part-time</w:t>
            </w:r>
          </w:p>
        </w:tc>
        <w:tc>
          <w:tcPr>
            <w:tcW w:w="1275" w:type="dxa"/>
          </w:tcPr>
          <w:p w14:paraId="6375069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c>
          <w:tcPr>
            <w:tcW w:w="1123" w:type="dxa"/>
            <w:tcBorders>
              <w:right w:val="nil"/>
            </w:tcBorders>
          </w:tcPr>
          <w:p w14:paraId="1B8ACFE2"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r>
      <w:tr w:rsidR="00E91106" w:rsidRPr="00122D95" w14:paraId="748669B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4E6BF72" w14:textId="77777777" w:rsidR="00E91106" w:rsidRPr="00A25222" w:rsidRDefault="00E91106">
            <w:pPr>
              <w:pStyle w:val="10Tabletext"/>
              <w:rPr>
                <w:b w:val="0"/>
              </w:rPr>
            </w:pPr>
            <w:r w:rsidRPr="00A25222">
              <w:rPr>
                <w:b w:val="0"/>
              </w:rPr>
              <w:t>Part-time</w:t>
            </w:r>
          </w:p>
        </w:tc>
        <w:tc>
          <w:tcPr>
            <w:tcW w:w="1275" w:type="dxa"/>
          </w:tcPr>
          <w:p w14:paraId="534B711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c>
          <w:tcPr>
            <w:tcW w:w="1123" w:type="dxa"/>
            <w:tcBorders>
              <w:right w:val="nil"/>
            </w:tcBorders>
          </w:tcPr>
          <w:p w14:paraId="103FA41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r>
      <w:tr w:rsidR="00E91106" w:rsidRPr="00122D95" w14:paraId="54D9CD07"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3931C4C" w14:textId="77777777" w:rsidR="00E91106" w:rsidRPr="00A25222" w:rsidRDefault="00E91106">
            <w:pPr>
              <w:pStyle w:val="10Tabletext"/>
              <w:rPr>
                <w:b w:val="0"/>
              </w:rPr>
            </w:pPr>
            <w:r w:rsidRPr="00A25222">
              <w:rPr>
                <w:b w:val="0"/>
              </w:rPr>
              <w:t>Part-time, but I would like to work full-time</w:t>
            </w:r>
          </w:p>
        </w:tc>
        <w:tc>
          <w:tcPr>
            <w:tcW w:w="1275" w:type="dxa"/>
          </w:tcPr>
          <w:p w14:paraId="1DB18912"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122D95">
              <w:t>0</w:t>
            </w:r>
          </w:p>
        </w:tc>
        <w:tc>
          <w:tcPr>
            <w:tcW w:w="1123" w:type="dxa"/>
            <w:tcBorders>
              <w:right w:val="nil"/>
            </w:tcBorders>
          </w:tcPr>
          <w:p w14:paraId="3EE43BE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122D95">
              <w:t>0</w:t>
            </w:r>
          </w:p>
        </w:tc>
      </w:tr>
      <w:tr w:rsidR="00E91106" w:rsidRPr="00122D95" w14:paraId="08C785A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29B586A" w14:textId="77777777" w:rsidR="00E91106" w:rsidRPr="00122D95" w:rsidRDefault="00E91106">
            <w:pPr>
              <w:pStyle w:val="10Tabletext"/>
            </w:pPr>
            <w:r w:rsidRPr="00122D95">
              <w:t>Total</w:t>
            </w:r>
          </w:p>
        </w:tc>
        <w:tc>
          <w:tcPr>
            <w:tcW w:w="1275" w:type="dxa"/>
          </w:tcPr>
          <w:p w14:paraId="5C9BB04D" w14:textId="77777777" w:rsidR="00E91106" w:rsidRPr="00A25222"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A25222">
              <w:rPr>
                <w:b/>
              </w:rPr>
              <w:t>265</w:t>
            </w:r>
          </w:p>
        </w:tc>
        <w:tc>
          <w:tcPr>
            <w:tcW w:w="1123" w:type="dxa"/>
            <w:tcBorders>
              <w:right w:val="nil"/>
            </w:tcBorders>
          </w:tcPr>
          <w:p w14:paraId="5BC752FC" w14:textId="77777777" w:rsidR="00E91106" w:rsidRPr="00A25222"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695F5E63" w14:textId="59E1670A" w:rsidR="00E91106" w:rsidRPr="00122D95" w:rsidRDefault="00E91106">
      <w:pPr>
        <w:pStyle w:val="05Paragraph"/>
      </w:pPr>
      <w:r w:rsidRPr="00122D95">
        <w:t xml:space="preserve">Respondents were also asked </w:t>
      </w:r>
      <w:r w:rsidR="00902714">
        <w:t>why they</w:t>
      </w:r>
      <w:r w:rsidRPr="00122D95">
        <w:t xml:space="preserve"> would prefer to work part-time. </w:t>
      </w:r>
      <w:r>
        <w:t>R</w:t>
      </w:r>
      <w:r w:rsidRPr="00122D95">
        <w:t>espondents indicated that the demands of their role prevent them from working part-time. For example</w:t>
      </w:r>
      <w:r w:rsidR="001A2E0B">
        <w:t>:</w:t>
      </w:r>
    </w:p>
    <w:p w14:paraId="0AB4EC70" w14:textId="77777777" w:rsidR="00E91106" w:rsidRDefault="00E91106" w:rsidP="0066014A">
      <w:pPr>
        <w:pStyle w:val="07VIRTBreakouttext"/>
      </w:pPr>
      <w:r w:rsidRPr="005750FA">
        <w:t>Upon return from parental leave intention was to attempt part time work. Whilst my manager and the business were supportive, the nature of the role and work activity/workload and business requirements made this near impossible for me to feel this was workable. I now work a compressed week (5 in 4)</w:t>
      </w:r>
      <w:r>
        <w:t>.</w:t>
      </w:r>
    </w:p>
    <w:p w14:paraId="59DF2A73" w14:textId="77777777" w:rsidR="00E91106" w:rsidRDefault="00E91106" w:rsidP="0066014A">
      <w:pPr>
        <w:pStyle w:val="07VIRTBreakouttext"/>
      </w:pPr>
      <w:r w:rsidRPr="005750FA">
        <w:t>Am approaching retirement and would like to transition into retirement but the workload is so heavy that it is almost impossible to reduce hours. It would just mean that I would be working more hours in my own time</w:t>
      </w:r>
      <w:r>
        <w:t>.</w:t>
      </w:r>
    </w:p>
    <w:p w14:paraId="616C6C98" w14:textId="77777777" w:rsidR="00E91106" w:rsidRPr="00122D95" w:rsidRDefault="00E91106" w:rsidP="0066014A">
      <w:pPr>
        <w:pStyle w:val="07VIRTBreakouttext"/>
      </w:pPr>
      <w:r w:rsidRPr="00A64923">
        <w:t>I don’t think we are yet very open to executives working part time or in a job share arrangement.</w:t>
      </w:r>
    </w:p>
    <w:p w14:paraId="178EF5DD" w14:textId="77777777" w:rsidR="00E91106" w:rsidRPr="00122D95" w:rsidRDefault="00E91106" w:rsidP="00662054">
      <w:pPr>
        <w:pStyle w:val="03VIRTHeading3"/>
      </w:pPr>
      <w:r w:rsidRPr="00122D95">
        <w:t xml:space="preserve">Pathway to a </w:t>
      </w:r>
      <w:r>
        <w:t>public entity</w:t>
      </w:r>
      <w:r w:rsidRPr="00122D95">
        <w:t xml:space="preserve"> executive role</w:t>
      </w:r>
    </w:p>
    <w:p w14:paraId="627ACF50" w14:textId="69752AD3" w:rsidR="00E91106" w:rsidRDefault="00E91106">
      <w:pPr>
        <w:pStyle w:val="05Paragraph"/>
        <w:rPr>
          <w:spacing w:val="-4"/>
        </w:rPr>
      </w:pPr>
      <w:r w:rsidRPr="009C6E1C">
        <w:rPr>
          <w:spacing w:val="-4"/>
        </w:rPr>
        <w:t>Three</w:t>
      </w:r>
      <w:r w:rsidR="00A54FF5">
        <w:rPr>
          <w:spacing w:val="-4"/>
        </w:rPr>
        <w:t>-</w:t>
      </w:r>
      <w:r w:rsidRPr="005E258D">
        <w:t>quarters</w:t>
      </w:r>
      <w:r w:rsidRPr="009C6E1C">
        <w:rPr>
          <w:spacing w:val="-4"/>
        </w:rPr>
        <w:t xml:space="preserve"> of respondents were in their first executive role within a Victorian public entity. </w:t>
      </w:r>
    </w:p>
    <w:p w14:paraId="1C701A77" w14:textId="77777777" w:rsidR="00E91106" w:rsidRPr="009C6E1C" w:rsidRDefault="00E91106">
      <w:pPr>
        <w:pStyle w:val="05Paragraph"/>
        <w:rPr>
          <w:spacing w:val="-4"/>
        </w:rPr>
      </w:pPr>
      <w:r>
        <w:rPr>
          <w:spacing w:val="-4"/>
        </w:rPr>
        <w:t>R</w:t>
      </w:r>
      <w:r w:rsidRPr="009C6E1C">
        <w:rPr>
          <w:spacing w:val="-4"/>
        </w:rPr>
        <w:t xml:space="preserve">espondents were asked to identify the type of position they held immediately prior to becoming a public entity executive for the first time (Table A.7). </w:t>
      </w:r>
    </w:p>
    <w:p w14:paraId="13B3F803" w14:textId="77777777" w:rsidR="00E91106" w:rsidRPr="009C6E1C" w:rsidRDefault="00E91106">
      <w:pPr>
        <w:pStyle w:val="05Paragraph"/>
        <w:rPr>
          <w:spacing w:val="-4"/>
        </w:rPr>
      </w:pPr>
      <w:r w:rsidRPr="009C6E1C">
        <w:rPr>
          <w:spacing w:val="-4"/>
        </w:rPr>
        <w:t xml:space="preserve">Nearly half (44 per cent) of respondents were employed in the Victorian public sector — either with </w:t>
      </w:r>
      <w:r w:rsidRPr="005E258D">
        <w:t>their</w:t>
      </w:r>
      <w:r w:rsidRPr="009C6E1C">
        <w:rPr>
          <w:spacing w:val="-4"/>
        </w:rPr>
        <w:t xml:space="preserve"> current public entity employer, a different public entity or the </w:t>
      </w:r>
      <w:r>
        <w:rPr>
          <w:spacing w:val="-4"/>
        </w:rPr>
        <w:t>Victorian Public Service (</w:t>
      </w:r>
      <w:r w:rsidRPr="009C6E1C">
        <w:rPr>
          <w:spacing w:val="-4"/>
        </w:rPr>
        <w:t>VPS</w:t>
      </w:r>
      <w:r>
        <w:rPr>
          <w:spacing w:val="-4"/>
        </w:rPr>
        <w:t>)</w:t>
      </w:r>
      <w:r w:rsidRPr="009C6E1C">
        <w:rPr>
          <w:spacing w:val="-4"/>
        </w:rPr>
        <w:t xml:space="preserve"> — prior to their first </w:t>
      </w:r>
      <w:r>
        <w:rPr>
          <w:spacing w:val="-4"/>
        </w:rPr>
        <w:t xml:space="preserve">public entity </w:t>
      </w:r>
      <w:r w:rsidRPr="009C6E1C">
        <w:rPr>
          <w:spacing w:val="-4"/>
        </w:rPr>
        <w:t>executive role. This indicates some degree of mobility between different public entities and within the broader Victorian public sector.</w:t>
      </w:r>
    </w:p>
    <w:p w14:paraId="7A3E4814" w14:textId="06662713" w:rsidR="00E91106" w:rsidRDefault="00E91106">
      <w:pPr>
        <w:pStyle w:val="05Paragraph"/>
      </w:pPr>
      <w:r>
        <w:t>Around one</w:t>
      </w:r>
      <w:r w:rsidR="00B515C3">
        <w:t>-</w:t>
      </w:r>
      <w:r>
        <w:t>quarter (23 per cent) of respondents were employed in the private sector prior to their first public entity executive role.</w:t>
      </w:r>
    </w:p>
    <w:p w14:paraId="426021EC" w14:textId="77777777" w:rsidR="00E91106" w:rsidRDefault="00E91106">
      <w:pPr>
        <w:pStyle w:val="08Figuretableboxheading"/>
      </w:pPr>
      <w:r w:rsidRPr="00122D95">
        <w:lastRenderedPageBreak/>
        <w:t>Table A.</w:t>
      </w:r>
      <w:r>
        <w:t>7</w:t>
      </w:r>
      <w:r w:rsidRPr="00122D95">
        <w:t xml:space="preserve">: Which of the following best describes the position you held before your first </w:t>
      </w:r>
      <w:r>
        <w:t xml:space="preserve">Victorian public entity </w:t>
      </w:r>
      <w:r w:rsidRPr="00122D95">
        <w:t>executive role?</w:t>
      </w:r>
      <w:r>
        <w:t xml:space="preserve"> </w:t>
      </w:r>
    </w:p>
    <w:tbl>
      <w:tblPr>
        <w:tblStyle w:val="ListTable3-Accent1"/>
        <w:tblW w:w="0" w:type="auto"/>
        <w:tblLayout w:type="fixed"/>
        <w:tblLook w:val="04A0" w:firstRow="1" w:lastRow="0" w:firstColumn="1" w:lastColumn="0" w:noHBand="0" w:noVBand="1"/>
      </w:tblPr>
      <w:tblGrid>
        <w:gridCol w:w="6096"/>
        <w:gridCol w:w="1275"/>
        <w:gridCol w:w="1123"/>
      </w:tblGrid>
      <w:tr w:rsidR="00A873C2" w:rsidRPr="00122D95" w14:paraId="348E3618" w14:textId="77777777">
        <w:trPr>
          <w:cnfStyle w:val="100000000000" w:firstRow="1" w:lastRow="0" w:firstColumn="0" w:lastColumn="0" w:oddVBand="0" w:evenVBand="0" w:oddHBand="0" w:evenHBand="0" w:firstRowFirstColumn="0" w:firstRowLastColumn="0" w:lastRowFirstColumn="0" w:lastRowLastColumn="0"/>
          <w:cantSplit/>
          <w:trHeight w:val="225"/>
          <w:tblHeader/>
        </w:trPr>
        <w:tc>
          <w:tcPr>
            <w:cnfStyle w:val="001000000100" w:firstRow="0" w:lastRow="0" w:firstColumn="1" w:lastColumn="0" w:oddVBand="0" w:evenVBand="0" w:oddHBand="0" w:evenHBand="0" w:firstRowFirstColumn="1" w:firstRowLastColumn="0" w:lastRowFirstColumn="0" w:lastRowLastColumn="0"/>
            <w:tcW w:w="6096" w:type="dxa"/>
            <w:tcBorders>
              <w:left w:val="nil"/>
            </w:tcBorders>
          </w:tcPr>
          <w:p w14:paraId="0483DE91" w14:textId="2C98696F" w:rsidR="00A873C2" w:rsidRPr="00AA1DD8" w:rsidRDefault="00A873C2" w:rsidP="00A873C2">
            <w:pPr>
              <w:pStyle w:val="10Tabletext"/>
              <w:keepNext/>
            </w:pPr>
            <w:r w:rsidRPr="00A873C2">
              <w:t>Answer choices</w:t>
            </w:r>
          </w:p>
        </w:tc>
        <w:tc>
          <w:tcPr>
            <w:tcW w:w="1275" w:type="dxa"/>
          </w:tcPr>
          <w:p w14:paraId="51FE1F64" w14:textId="30F40CE3" w:rsidR="00A873C2" w:rsidRPr="00AA1DD8"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pPr>
            <w:r w:rsidRPr="00A873C2">
              <w:t>Number of responses</w:t>
            </w:r>
          </w:p>
        </w:tc>
        <w:tc>
          <w:tcPr>
            <w:tcW w:w="1123" w:type="dxa"/>
            <w:tcBorders>
              <w:right w:val="nil"/>
            </w:tcBorders>
          </w:tcPr>
          <w:p w14:paraId="1D071A72" w14:textId="7C98C187" w:rsidR="00A873C2" w:rsidRPr="00AA1DD8"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pPr>
            <w:r w:rsidRPr="00A873C2">
              <w:t>% of responses</w:t>
            </w:r>
          </w:p>
        </w:tc>
      </w:tr>
      <w:tr w:rsidR="00E91106" w:rsidRPr="00122D95" w14:paraId="486E473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4EBE16C7" w14:textId="77777777" w:rsidR="00E91106" w:rsidRPr="00C12AA1" w:rsidRDefault="00E91106">
            <w:pPr>
              <w:pStyle w:val="10Tabletext"/>
              <w:rPr>
                <w:b w:val="0"/>
                <w:bCs/>
              </w:rPr>
            </w:pPr>
            <w:r w:rsidRPr="00C12AA1">
              <w:rPr>
                <w:b w:val="0"/>
                <w:bCs/>
              </w:rPr>
              <w:t>For-profit sector</w:t>
            </w:r>
          </w:p>
        </w:tc>
        <w:tc>
          <w:tcPr>
            <w:tcW w:w="1275" w:type="dxa"/>
            <w:shd w:val="clear" w:color="auto" w:fill="E2F1E6" w:themeFill="accent3" w:themeFillTint="33"/>
          </w:tcPr>
          <w:p w14:paraId="6D7CA4E2"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C12AA1">
              <w:t>66</w:t>
            </w:r>
          </w:p>
        </w:tc>
        <w:tc>
          <w:tcPr>
            <w:tcW w:w="1123" w:type="dxa"/>
            <w:tcBorders>
              <w:right w:val="nil"/>
            </w:tcBorders>
            <w:shd w:val="clear" w:color="auto" w:fill="E2F1E6" w:themeFill="accent3" w:themeFillTint="33"/>
          </w:tcPr>
          <w:p w14:paraId="61CE7513"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C12AA1">
              <w:t>23</w:t>
            </w:r>
          </w:p>
        </w:tc>
      </w:tr>
      <w:tr w:rsidR="00E91106" w:rsidRPr="00122D95" w14:paraId="7B38BAC0"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49AF3012" w14:textId="77777777" w:rsidR="00E91106" w:rsidRPr="00C12AA1" w:rsidRDefault="00E91106">
            <w:pPr>
              <w:pStyle w:val="10Tabletext"/>
              <w:rPr>
                <w:b w:val="0"/>
                <w:bCs/>
              </w:rPr>
            </w:pPr>
            <w:r w:rsidRPr="00C12AA1">
              <w:rPr>
                <w:b w:val="0"/>
                <w:bCs/>
              </w:rPr>
              <w:t>Current organisation</w:t>
            </w:r>
          </w:p>
        </w:tc>
        <w:tc>
          <w:tcPr>
            <w:tcW w:w="1275" w:type="dxa"/>
            <w:shd w:val="clear" w:color="auto" w:fill="E2F1E6" w:themeFill="accent3" w:themeFillTint="33"/>
          </w:tcPr>
          <w:p w14:paraId="60D3FEA0"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C12AA1">
              <w:t>53</w:t>
            </w:r>
          </w:p>
        </w:tc>
        <w:tc>
          <w:tcPr>
            <w:tcW w:w="1123" w:type="dxa"/>
            <w:tcBorders>
              <w:right w:val="nil"/>
            </w:tcBorders>
            <w:shd w:val="clear" w:color="auto" w:fill="E2F1E6" w:themeFill="accent3" w:themeFillTint="33"/>
          </w:tcPr>
          <w:p w14:paraId="3FDC2308"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C12AA1">
              <w:t>18</w:t>
            </w:r>
          </w:p>
        </w:tc>
      </w:tr>
      <w:tr w:rsidR="00E91106" w:rsidRPr="00122D95" w14:paraId="10F5D62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A615794" w14:textId="77777777" w:rsidR="00E91106" w:rsidRPr="0048419F" w:rsidRDefault="00E91106">
            <w:pPr>
              <w:pStyle w:val="10Tabletext"/>
              <w:ind w:left="720"/>
              <w:rPr>
                <w:b w:val="0"/>
                <w:bCs/>
                <w:i/>
                <w:iCs/>
              </w:rPr>
            </w:pPr>
            <w:r w:rsidRPr="0048419F">
              <w:rPr>
                <w:b w:val="0"/>
                <w:i/>
                <w:iCs/>
              </w:rPr>
              <w:t>Non-executive role</w:t>
            </w:r>
          </w:p>
        </w:tc>
        <w:tc>
          <w:tcPr>
            <w:tcW w:w="1275" w:type="dxa"/>
          </w:tcPr>
          <w:p w14:paraId="13699E1D"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53</w:t>
            </w:r>
          </w:p>
        </w:tc>
        <w:tc>
          <w:tcPr>
            <w:tcW w:w="1123" w:type="dxa"/>
            <w:tcBorders>
              <w:right w:val="nil"/>
            </w:tcBorders>
          </w:tcPr>
          <w:p w14:paraId="55E36DBD"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18</w:t>
            </w:r>
          </w:p>
        </w:tc>
      </w:tr>
      <w:tr w:rsidR="00E91106" w:rsidRPr="00122D95" w14:paraId="0AEBD01E"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4224B476" w14:textId="77777777" w:rsidR="00E91106" w:rsidRPr="00C12AA1" w:rsidRDefault="00E91106">
            <w:pPr>
              <w:pStyle w:val="10Tabletext"/>
              <w:rPr>
                <w:b w:val="0"/>
                <w:bCs/>
              </w:rPr>
            </w:pPr>
            <w:r w:rsidRPr="00C12AA1">
              <w:rPr>
                <w:b w:val="0"/>
                <w:bCs/>
              </w:rPr>
              <w:t>Victorian public service</w:t>
            </w:r>
          </w:p>
        </w:tc>
        <w:tc>
          <w:tcPr>
            <w:tcW w:w="1275" w:type="dxa"/>
            <w:shd w:val="clear" w:color="auto" w:fill="E2F1E6" w:themeFill="accent3" w:themeFillTint="33"/>
          </w:tcPr>
          <w:p w14:paraId="152BF21B"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C12AA1">
              <w:t>44</w:t>
            </w:r>
          </w:p>
        </w:tc>
        <w:tc>
          <w:tcPr>
            <w:tcW w:w="1123" w:type="dxa"/>
            <w:tcBorders>
              <w:right w:val="nil"/>
            </w:tcBorders>
            <w:shd w:val="clear" w:color="auto" w:fill="E2F1E6" w:themeFill="accent3" w:themeFillTint="33"/>
          </w:tcPr>
          <w:p w14:paraId="51F3A41D"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C12AA1">
              <w:t>15</w:t>
            </w:r>
          </w:p>
        </w:tc>
      </w:tr>
      <w:tr w:rsidR="00E91106" w:rsidRPr="00122D95" w14:paraId="414F410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39BD1BD" w14:textId="77777777" w:rsidR="00E91106" w:rsidRPr="0048419F" w:rsidRDefault="00E91106">
            <w:pPr>
              <w:pStyle w:val="10Tabletext"/>
              <w:ind w:left="720"/>
              <w:rPr>
                <w:b w:val="0"/>
                <w:bCs/>
                <w:i/>
                <w:iCs/>
              </w:rPr>
            </w:pPr>
            <w:r w:rsidRPr="0048419F">
              <w:rPr>
                <w:b w:val="0"/>
                <w:i/>
                <w:iCs/>
              </w:rPr>
              <w:t>Executive role</w:t>
            </w:r>
          </w:p>
        </w:tc>
        <w:tc>
          <w:tcPr>
            <w:tcW w:w="1275" w:type="dxa"/>
          </w:tcPr>
          <w:p w14:paraId="5BC9F409"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31</w:t>
            </w:r>
          </w:p>
        </w:tc>
        <w:tc>
          <w:tcPr>
            <w:tcW w:w="1123" w:type="dxa"/>
            <w:tcBorders>
              <w:right w:val="nil"/>
            </w:tcBorders>
          </w:tcPr>
          <w:p w14:paraId="6DA3D5D5"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11</w:t>
            </w:r>
          </w:p>
        </w:tc>
      </w:tr>
      <w:tr w:rsidR="00E91106" w:rsidRPr="00122D95" w14:paraId="358C88B9"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87F15CB" w14:textId="77777777" w:rsidR="00E91106" w:rsidRPr="0048419F" w:rsidRDefault="00E91106">
            <w:pPr>
              <w:pStyle w:val="10Tabletext"/>
              <w:ind w:left="720"/>
              <w:rPr>
                <w:b w:val="0"/>
                <w:bCs/>
                <w:i/>
                <w:iCs/>
              </w:rPr>
            </w:pPr>
            <w:r w:rsidRPr="0048419F">
              <w:rPr>
                <w:b w:val="0"/>
                <w:i/>
                <w:iCs/>
              </w:rPr>
              <w:t>Non-executive role</w:t>
            </w:r>
          </w:p>
        </w:tc>
        <w:tc>
          <w:tcPr>
            <w:tcW w:w="1275" w:type="dxa"/>
          </w:tcPr>
          <w:p w14:paraId="5E73DB92"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13</w:t>
            </w:r>
          </w:p>
        </w:tc>
        <w:tc>
          <w:tcPr>
            <w:tcW w:w="1123" w:type="dxa"/>
            <w:tcBorders>
              <w:right w:val="nil"/>
            </w:tcBorders>
          </w:tcPr>
          <w:p w14:paraId="1DBB4D2D"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4</w:t>
            </w:r>
          </w:p>
        </w:tc>
      </w:tr>
      <w:tr w:rsidR="00E91106" w:rsidRPr="00122D95" w14:paraId="3782163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6B65DEB9" w14:textId="77777777" w:rsidR="00E91106" w:rsidRPr="00C12AA1" w:rsidRDefault="00E91106">
            <w:pPr>
              <w:pStyle w:val="10Tabletext"/>
              <w:rPr>
                <w:b w:val="0"/>
                <w:bCs/>
                <w:i/>
                <w:iCs/>
              </w:rPr>
            </w:pPr>
            <w:r w:rsidRPr="00C12AA1">
              <w:rPr>
                <w:b w:val="0"/>
                <w:bCs/>
              </w:rPr>
              <w:t>Different Victorian public entity</w:t>
            </w:r>
          </w:p>
        </w:tc>
        <w:tc>
          <w:tcPr>
            <w:tcW w:w="1275" w:type="dxa"/>
            <w:shd w:val="clear" w:color="auto" w:fill="E2F1E6" w:themeFill="accent3" w:themeFillTint="33"/>
          </w:tcPr>
          <w:p w14:paraId="3E1E3DEB"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C12AA1">
              <w:t>31</w:t>
            </w:r>
          </w:p>
        </w:tc>
        <w:tc>
          <w:tcPr>
            <w:tcW w:w="1123" w:type="dxa"/>
            <w:tcBorders>
              <w:right w:val="nil"/>
            </w:tcBorders>
            <w:shd w:val="clear" w:color="auto" w:fill="E2F1E6" w:themeFill="accent3" w:themeFillTint="33"/>
          </w:tcPr>
          <w:p w14:paraId="293A2AA0"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C12AA1">
              <w:t>11</w:t>
            </w:r>
          </w:p>
        </w:tc>
      </w:tr>
      <w:tr w:rsidR="00E91106" w:rsidRPr="00122D95" w14:paraId="3EA12488"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49A1604" w14:textId="77777777" w:rsidR="00E91106" w:rsidRPr="0048419F" w:rsidRDefault="00E91106">
            <w:pPr>
              <w:pStyle w:val="10Tabletext"/>
              <w:ind w:left="720"/>
              <w:rPr>
                <w:i/>
                <w:iCs/>
              </w:rPr>
            </w:pPr>
            <w:r w:rsidRPr="0048419F">
              <w:rPr>
                <w:b w:val="0"/>
                <w:i/>
                <w:iCs/>
              </w:rPr>
              <w:t>Non-executive role</w:t>
            </w:r>
          </w:p>
        </w:tc>
        <w:tc>
          <w:tcPr>
            <w:tcW w:w="1275" w:type="dxa"/>
          </w:tcPr>
          <w:p w14:paraId="764B647A"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31</w:t>
            </w:r>
          </w:p>
        </w:tc>
        <w:tc>
          <w:tcPr>
            <w:tcW w:w="1123" w:type="dxa"/>
            <w:tcBorders>
              <w:right w:val="nil"/>
            </w:tcBorders>
          </w:tcPr>
          <w:p w14:paraId="455A9208"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11</w:t>
            </w:r>
          </w:p>
        </w:tc>
      </w:tr>
      <w:tr w:rsidR="00E91106" w:rsidRPr="00122D95" w14:paraId="74F9858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47035743" w14:textId="77777777" w:rsidR="00E91106" w:rsidRPr="00C12AA1" w:rsidRDefault="00E91106">
            <w:pPr>
              <w:pStyle w:val="10Tabletext"/>
              <w:rPr>
                <w:b w:val="0"/>
                <w:bCs/>
                <w:i/>
                <w:iCs/>
              </w:rPr>
            </w:pPr>
            <w:r w:rsidRPr="00C12AA1">
              <w:rPr>
                <w:b w:val="0"/>
                <w:bCs/>
              </w:rPr>
              <w:t>Public sector in another Australian jurisdiction</w:t>
            </w:r>
          </w:p>
        </w:tc>
        <w:tc>
          <w:tcPr>
            <w:tcW w:w="1275" w:type="dxa"/>
            <w:shd w:val="clear" w:color="auto" w:fill="E2F1E6" w:themeFill="accent3" w:themeFillTint="33"/>
          </w:tcPr>
          <w:p w14:paraId="663787B8"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C12AA1">
              <w:t>29</w:t>
            </w:r>
          </w:p>
        </w:tc>
        <w:tc>
          <w:tcPr>
            <w:tcW w:w="1123" w:type="dxa"/>
            <w:tcBorders>
              <w:right w:val="nil"/>
            </w:tcBorders>
            <w:shd w:val="clear" w:color="auto" w:fill="E2F1E6" w:themeFill="accent3" w:themeFillTint="33"/>
          </w:tcPr>
          <w:p w14:paraId="7B5E8AA3"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C12AA1">
              <w:t>10</w:t>
            </w:r>
          </w:p>
        </w:tc>
      </w:tr>
      <w:tr w:rsidR="00E91106" w:rsidRPr="00122D95" w14:paraId="3A4A1F71"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3845EB1" w14:textId="77777777" w:rsidR="00E91106" w:rsidRPr="0048419F" w:rsidRDefault="00E91106">
            <w:pPr>
              <w:pStyle w:val="10Tabletext"/>
              <w:ind w:left="720"/>
              <w:rPr>
                <w:i/>
                <w:iCs/>
              </w:rPr>
            </w:pPr>
            <w:r>
              <w:rPr>
                <w:b w:val="0"/>
                <w:i/>
                <w:iCs/>
              </w:rPr>
              <w:t>Executive role</w:t>
            </w:r>
          </w:p>
        </w:tc>
        <w:tc>
          <w:tcPr>
            <w:tcW w:w="1275" w:type="dxa"/>
          </w:tcPr>
          <w:p w14:paraId="28316D44"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24</w:t>
            </w:r>
          </w:p>
        </w:tc>
        <w:tc>
          <w:tcPr>
            <w:tcW w:w="1123" w:type="dxa"/>
            <w:tcBorders>
              <w:right w:val="nil"/>
            </w:tcBorders>
          </w:tcPr>
          <w:p w14:paraId="0B398FB1"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8</w:t>
            </w:r>
          </w:p>
        </w:tc>
      </w:tr>
      <w:tr w:rsidR="00E91106" w:rsidRPr="00122D95" w14:paraId="17712EA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8A4F6FC" w14:textId="77777777" w:rsidR="00E91106" w:rsidRPr="0048419F" w:rsidRDefault="00E91106">
            <w:pPr>
              <w:pStyle w:val="10Tabletext"/>
              <w:ind w:left="720"/>
              <w:rPr>
                <w:i/>
                <w:iCs/>
              </w:rPr>
            </w:pPr>
            <w:r w:rsidRPr="00E52903">
              <w:rPr>
                <w:b w:val="0"/>
                <w:i/>
                <w:iCs/>
              </w:rPr>
              <w:t>Non-executive role</w:t>
            </w:r>
          </w:p>
        </w:tc>
        <w:tc>
          <w:tcPr>
            <w:tcW w:w="1275" w:type="dxa"/>
          </w:tcPr>
          <w:p w14:paraId="7BA3FF94"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5</w:t>
            </w:r>
          </w:p>
        </w:tc>
        <w:tc>
          <w:tcPr>
            <w:tcW w:w="1123" w:type="dxa"/>
            <w:tcBorders>
              <w:right w:val="nil"/>
            </w:tcBorders>
          </w:tcPr>
          <w:p w14:paraId="5D90CF65"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2</w:t>
            </w:r>
          </w:p>
        </w:tc>
      </w:tr>
      <w:tr w:rsidR="00E91106" w:rsidRPr="00122D95" w14:paraId="73549C2B"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6C16C7A1" w14:textId="77777777" w:rsidR="00E91106" w:rsidRPr="00C12AA1" w:rsidRDefault="00E91106">
            <w:pPr>
              <w:pStyle w:val="10Tabletext"/>
              <w:rPr>
                <w:b w:val="0"/>
                <w:bCs/>
                <w:i/>
                <w:iCs/>
              </w:rPr>
            </w:pPr>
            <w:r w:rsidRPr="00C12AA1">
              <w:rPr>
                <w:b w:val="0"/>
                <w:bCs/>
              </w:rPr>
              <w:t>Not-for-profit sector</w:t>
            </w:r>
          </w:p>
        </w:tc>
        <w:tc>
          <w:tcPr>
            <w:tcW w:w="1275" w:type="dxa"/>
            <w:shd w:val="clear" w:color="auto" w:fill="E2F1E6" w:themeFill="accent3" w:themeFillTint="33"/>
          </w:tcPr>
          <w:p w14:paraId="40F54FF8"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C12AA1">
              <w:t>24</w:t>
            </w:r>
          </w:p>
        </w:tc>
        <w:tc>
          <w:tcPr>
            <w:tcW w:w="1123" w:type="dxa"/>
            <w:tcBorders>
              <w:right w:val="nil"/>
            </w:tcBorders>
            <w:shd w:val="clear" w:color="auto" w:fill="E2F1E6" w:themeFill="accent3" w:themeFillTint="33"/>
          </w:tcPr>
          <w:p w14:paraId="1E09A6E7"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C12AA1">
              <w:t>8</w:t>
            </w:r>
          </w:p>
        </w:tc>
      </w:tr>
      <w:tr w:rsidR="00E91106" w:rsidRPr="00122D95" w14:paraId="3CEE502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0FF81CED" w14:textId="77777777" w:rsidR="00E91106" w:rsidRPr="00C12AA1" w:rsidRDefault="00E91106">
            <w:pPr>
              <w:pStyle w:val="10Tabletext"/>
              <w:rPr>
                <w:b w:val="0"/>
                <w:bCs/>
              </w:rPr>
            </w:pPr>
            <w:r w:rsidRPr="00C12AA1">
              <w:rPr>
                <w:b w:val="0"/>
                <w:bCs/>
              </w:rPr>
              <w:t>Victorian local government</w:t>
            </w:r>
          </w:p>
        </w:tc>
        <w:tc>
          <w:tcPr>
            <w:tcW w:w="1275" w:type="dxa"/>
            <w:shd w:val="clear" w:color="auto" w:fill="E2F1E6" w:themeFill="accent3" w:themeFillTint="33"/>
          </w:tcPr>
          <w:p w14:paraId="3C7A7AF4"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C12AA1">
              <w:t>14</w:t>
            </w:r>
          </w:p>
        </w:tc>
        <w:tc>
          <w:tcPr>
            <w:tcW w:w="1123" w:type="dxa"/>
            <w:tcBorders>
              <w:right w:val="nil"/>
            </w:tcBorders>
            <w:shd w:val="clear" w:color="auto" w:fill="E2F1E6" w:themeFill="accent3" w:themeFillTint="33"/>
          </w:tcPr>
          <w:p w14:paraId="41CBA7BA"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C12AA1">
              <w:t>5</w:t>
            </w:r>
          </w:p>
        </w:tc>
      </w:tr>
      <w:tr w:rsidR="00E91106" w:rsidRPr="00122D95" w14:paraId="655761CA"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D86C4BD" w14:textId="77777777" w:rsidR="00E91106" w:rsidRPr="00E52903" w:rsidRDefault="00E91106">
            <w:pPr>
              <w:pStyle w:val="10Tabletext"/>
              <w:ind w:left="720"/>
              <w:rPr>
                <w:b w:val="0"/>
                <w:bCs/>
                <w:i/>
                <w:iCs/>
              </w:rPr>
            </w:pPr>
            <w:r>
              <w:rPr>
                <w:b w:val="0"/>
                <w:i/>
                <w:iCs/>
              </w:rPr>
              <w:t>Executive role</w:t>
            </w:r>
          </w:p>
        </w:tc>
        <w:tc>
          <w:tcPr>
            <w:tcW w:w="1275" w:type="dxa"/>
          </w:tcPr>
          <w:p w14:paraId="563639D6"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11</w:t>
            </w:r>
          </w:p>
        </w:tc>
        <w:tc>
          <w:tcPr>
            <w:tcW w:w="1123" w:type="dxa"/>
            <w:tcBorders>
              <w:right w:val="nil"/>
            </w:tcBorders>
          </w:tcPr>
          <w:p w14:paraId="7955A2E7" w14:textId="77777777" w:rsidR="00E91106" w:rsidRPr="00A1324B"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A1324B">
              <w:rPr>
                <w:i/>
                <w:iCs/>
              </w:rPr>
              <w:t>4</w:t>
            </w:r>
          </w:p>
        </w:tc>
      </w:tr>
      <w:tr w:rsidR="00E91106" w:rsidRPr="00122D95" w14:paraId="5583753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44F758C" w14:textId="77777777" w:rsidR="00E91106" w:rsidRPr="00E52903" w:rsidRDefault="00E91106">
            <w:pPr>
              <w:pStyle w:val="10Tabletext"/>
              <w:ind w:left="720"/>
              <w:rPr>
                <w:b w:val="0"/>
                <w:bCs/>
                <w:i/>
                <w:iCs/>
              </w:rPr>
            </w:pPr>
            <w:r w:rsidRPr="00E52903">
              <w:rPr>
                <w:b w:val="0"/>
                <w:i/>
                <w:iCs/>
              </w:rPr>
              <w:t>Non-executive role</w:t>
            </w:r>
          </w:p>
        </w:tc>
        <w:tc>
          <w:tcPr>
            <w:tcW w:w="1275" w:type="dxa"/>
          </w:tcPr>
          <w:p w14:paraId="575D5CAA"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3</w:t>
            </w:r>
          </w:p>
        </w:tc>
        <w:tc>
          <w:tcPr>
            <w:tcW w:w="1123" w:type="dxa"/>
            <w:tcBorders>
              <w:right w:val="nil"/>
            </w:tcBorders>
          </w:tcPr>
          <w:p w14:paraId="33B8D9AC" w14:textId="77777777" w:rsidR="00E91106" w:rsidRPr="00A1324B"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A1324B">
              <w:rPr>
                <w:i/>
                <w:iCs/>
              </w:rPr>
              <w:t>1</w:t>
            </w:r>
          </w:p>
        </w:tc>
      </w:tr>
      <w:tr w:rsidR="00E91106" w:rsidRPr="00122D95" w14:paraId="6A1AA517"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shd w:val="clear" w:color="auto" w:fill="E2F1E6" w:themeFill="accent3" w:themeFillTint="33"/>
          </w:tcPr>
          <w:p w14:paraId="2F35E2F4" w14:textId="77777777" w:rsidR="00E91106" w:rsidRPr="00C12AA1" w:rsidRDefault="00E91106">
            <w:pPr>
              <w:pStyle w:val="10Tabletext"/>
              <w:rPr>
                <w:b w:val="0"/>
                <w:bCs/>
                <w:i/>
                <w:iCs/>
              </w:rPr>
            </w:pPr>
            <w:r w:rsidRPr="00C12AA1">
              <w:rPr>
                <w:b w:val="0"/>
                <w:bCs/>
              </w:rPr>
              <w:t>Other</w:t>
            </w:r>
          </w:p>
        </w:tc>
        <w:tc>
          <w:tcPr>
            <w:tcW w:w="1275" w:type="dxa"/>
            <w:shd w:val="clear" w:color="auto" w:fill="E2F1E6" w:themeFill="accent3" w:themeFillTint="33"/>
          </w:tcPr>
          <w:p w14:paraId="41508827"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C12AA1">
              <w:t>30</w:t>
            </w:r>
          </w:p>
        </w:tc>
        <w:tc>
          <w:tcPr>
            <w:tcW w:w="1123" w:type="dxa"/>
            <w:tcBorders>
              <w:right w:val="nil"/>
            </w:tcBorders>
            <w:shd w:val="clear" w:color="auto" w:fill="E2F1E6" w:themeFill="accent3" w:themeFillTint="33"/>
          </w:tcPr>
          <w:p w14:paraId="49840E05" w14:textId="77777777" w:rsidR="00E91106" w:rsidRPr="00C12AA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C12AA1">
              <w:t>10</w:t>
            </w:r>
          </w:p>
        </w:tc>
      </w:tr>
      <w:tr w:rsidR="00E91106" w:rsidRPr="00122D95" w14:paraId="5F33AFE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B3C43F1" w14:textId="77777777" w:rsidR="00E91106" w:rsidRPr="00122D95" w:rsidRDefault="00E91106">
            <w:pPr>
              <w:pStyle w:val="10Tabletext"/>
            </w:pPr>
            <w:r w:rsidRPr="00122D95">
              <w:t>Total</w:t>
            </w:r>
          </w:p>
        </w:tc>
        <w:tc>
          <w:tcPr>
            <w:tcW w:w="1275" w:type="dxa"/>
          </w:tcPr>
          <w:p w14:paraId="72072D32" w14:textId="77777777" w:rsidR="00E91106" w:rsidRPr="00C12AA1"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r w:rsidRPr="00C12AA1">
              <w:rPr>
                <w:b/>
                <w:bCs w:val="0"/>
              </w:rPr>
              <w:t>291</w:t>
            </w:r>
          </w:p>
        </w:tc>
        <w:tc>
          <w:tcPr>
            <w:tcW w:w="1123" w:type="dxa"/>
            <w:tcBorders>
              <w:right w:val="nil"/>
            </w:tcBorders>
          </w:tcPr>
          <w:p w14:paraId="185DBD4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p>
        </w:tc>
      </w:tr>
    </w:tbl>
    <w:p w14:paraId="5CEFF999" w14:textId="0719DA36" w:rsidR="00E91106" w:rsidRPr="00204D9B" w:rsidRDefault="00E91106" w:rsidP="0037398E">
      <w:pPr>
        <w:pStyle w:val="05Paragraph"/>
        <w:spacing w:before="120"/>
        <w:rPr>
          <w:spacing w:val="-6"/>
        </w:rPr>
      </w:pPr>
      <w:r w:rsidRPr="0037398E">
        <w:rPr>
          <w:spacing w:val="-6"/>
        </w:rPr>
        <w:t xml:space="preserve">Respondents were asked </w:t>
      </w:r>
      <w:r w:rsidR="00B57EB8">
        <w:rPr>
          <w:spacing w:val="-6"/>
        </w:rPr>
        <w:t>about</w:t>
      </w:r>
      <w:r w:rsidRPr="00204D9B">
        <w:rPr>
          <w:spacing w:val="-6"/>
        </w:rPr>
        <w:t xml:space="preserve"> the position they held before their current role, with almost half having already worked elsewhere in the Victorian public sector (Table A.8).</w:t>
      </w:r>
    </w:p>
    <w:p w14:paraId="7D4743C3" w14:textId="77777777" w:rsidR="00E91106" w:rsidRPr="00122D95" w:rsidRDefault="00E91106" w:rsidP="0037398E">
      <w:pPr>
        <w:pStyle w:val="08Figuretableboxheading"/>
        <w:keepNext w:val="0"/>
        <w:spacing w:before="120"/>
      </w:pPr>
      <w:r w:rsidRPr="00122D95">
        <w:t>Table A.</w:t>
      </w:r>
      <w:r>
        <w:t>8</w:t>
      </w:r>
      <w:r w:rsidRPr="00122D95">
        <w:t xml:space="preserve">: </w:t>
      </w:r>
      <w:r w:rsidRPr="003D1029">
        <w:t>Where did you work before your current role?</w:t>
      </w:r>
    </w:p>
    <w:tbl>
      <w:tblPr>
        <w:tblStyle w:val="ListTable3-Accent1"/>
        <w:tblW w:w="0" w:type="auto"/>
        <w:tblLayout w:type="fixed"/>
        <w:tblLook w:val="04A0" w:firstRow="1" w:lastRow="0" w:firstColumn="1" w:lastColumn="0" w:noHBand="0" w:noVBand="1"/>
      </w:tblPr>
      <w:tblGrid>
        <w:gridCol w:w="5953"/>
        <w:gridCol w:w="1275"/>
        <w:gridCol w:w="1264"/>
      </w:tblGrid>
      <w:tr w:rsidR="00A873C2" w:rsidRPr="00122D95" w14:paraId="5A6DA8BA" w14:textId="77777777" w:rsidTr="00A873C2">
        <w:trPr>
          <w:cnfStyle w:val="100000000000" w:firstRow="1" w:lastRow="0" w:firstColumn="0" w:lastColumn="0" w:oddVBand="0" w:evenVBand="0" w:oddHBand="0" w:evenHBand="0" w:firstRowFirstColumn="0" w:firstRowLastColumn="0" w:lastRowFirstColumn="0" w:lastRowLastColumn="0"/>
          <w:cantSplit/>
          <w:trHeight w:val="225"/>
          <w:tblHeader/>
        </w:trPr>
        <w:tc>
          <w:tcPr>
            <w:cnfStyle w:val="001000000100" w:firstRow="0" w:lastRow="0" w:firstColumn="1" w:lastColumn="0" w:oddVBand="0" w:evenVBand="0" w:oddHBand="0" w:evenHBand="0" w:firstRowFirstColumn="1" w:firstRowLastColumn="0" w:lastRowFirstColumn="0" w:lastRowLastColumn="0"/>
            <w:tcW w:w="5953" w:type="dxa"/>
            <w:tcBorders>
              <w:left w:val="nil"/>
            </w:tcBorders>
          </w:tcPr>
          <w:p w14:paraId="7DDE8907" w14:textId="26E2262C" w:rsidR="00A873C2" w:rsidRPr="006D1002" w:rsidRDefault="00A873C2" w:rsidP="00A873C2">
            <w:pPr>
              <w:pStyle w:val="10Tabletext"/>
            </w:pPr>
            <w:r w:rsidRPr="00A873C2">
              <w:t>Answer choices</w:t>
            </w:r>
          </w:p>
        </w:tc>
        <w:tc>
          <w:tcPr>
            <w:tcW w:w="1275" w:type="dxa"/>
          </w:tcPr>
          <w:p w14:paraId="5D3BD1D2" w14:textId="2722870E" w:rsidR="00A873C2" w:rsidRPr="006D1002"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pPr>
            <w:r w:rsidRPr="00A873C2">
              <w:t>Number of responses</w:t>
            </w:r>
          </w:p>
        </w:tc>
        <w:tc>
          <w:tcPr>
            <w:tcW w:w="1264" w:type="dxa"/>
            <w:tcBorders>
              <w:right w:val="nil"/>
            </w:tcBorders>
          </w:tcPr>
          <w:p w14:paraId="5AED3DEE" w14:textId="507FE0FE" w:rsidR="00A873C2" w:rsidRPr="00A873C2"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vertAlign w:val="superscript"/>
              </w:rPr>
            </w:pPr>
            <w:r w:rsidRPr="00A873C2">
              <w:t>% of responses</w:t>
            </w:r>
            <w:r>
              <w:rPr>
                <w:vertAlign w:val="superscript"/>
              </w:rPr>
              <w:t>(a)</w:t>
            </w:r>
          </w:p>
        </w:tc>
      </w:tr>
      <w:tr w:rsidR="00E91106" w:rsidRPr="00122D95" w14:paraId="0865740E"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3BEEDC89" w14:textId="77777777" w:rsidR="00E91106" w:rsidRPr="00897A6C" w:rsidRDefault="00E91106">
            <w:pPr>
              <w:pStyle w:val="10Tabletext"/>
              <w:rPr>
                <w:b w:val="0"/>
                <w:bCs/>
              </w:rPr>
            </w:pPr>
            <w:r w:rsidRPr="00897A6C">
              <w:rPr>
                <w:b w:val="0"/>
                <w:bCs/>
              </w:rPr>
              <w:t>Current organisation</w:t>
            </w:r>
          </w:p>
        </w:tc>
        <w:tc>
          <w:tcPr>
            <w:tcW w:w="1275" w:type="dxa"/>
            <w:shd w:val="clear" w:color="auto" w:fill="E2F1E6" w:themeFill="accent3" w:themeFillTint="33"/>
          </w:tcPr>
          <w:p w14:paraId="558F3C00"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67</w:t>
            </w:r>
          </w:p>
        </w:tc>
        <w:tc>
          <w:tcPr>
            <w:tcW w:w="1264" w:type="dxa"/>
            <w:tcBorders>
              <w:right w:val="nil"/>
            </w:tcBorders>
            <w:shd w:val="clear" w:color="auto" w:fill="E2F1E6" w:themeFill="accent3" w:themeFillTint="33"/>
          </w:tcPr>
          <w:p w14:paraId="72FDA9BC"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23</w:t>
            </w:r>
          </w:p>
        </w:tc>
      </w:tr>
      <w:tr w:rsidR="00E91106" w:rsidRPr="00122D95" w14:paraId="22789897"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37220026" w14:textId="77777777" w:rsidR="00E91106" w:rsidRPr="0048419F" w:rsidRDefault="00E91106">
            <w:pPr>
              <w:pStyle w:val="10Tabletext"/>
              <w:ind w:left="720"/>
              <w:rPr>
                <w:b w:val="0"/>
                <w:bCs/>
                <w:i/>
                <w:iCs/>
              </w:rPr>
            </w:pPr>
            <w:r>
              <w:rPr>
                <w:b w:val="0"/>
                <w:i/>
                <w:iCs/>
              </w:rPr>
              <w:t>Executive role</w:t>
            </w:r>
          </w:p>
        </w:tc>
        <w:tc>
          <w:tcPr>
            <w:tcW w:w="1275" w:type="dxa"/>
          </w:tcPr>
          <w:p w14:paraId="2E6C7B16" w14:textId="77777777" w:rsidR="00E91106" w:rsidRPr="00404B2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404B21">
              <w:rPr>
                <w:i/>
                <w:iCs/>
              </w:rPr>
              <w:t>17</w:t>
            </w:r>
          </w:p>
        </w:tc>
        <w:tc>
          <w:tcPr>
            <w:tcW w:w="1264" w:type="dxa"/>
            <w:tcBorders>
              <w:right w:val="nil"/>
            </w:tcBorders>
          </w:tcPr>
          <w:p w14:paraId="12BAC733" w14:textId="77777777" w:rsidR="00E91106" w:rsidRPr="00404B2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404B21">
              <w:rPr>
                <w:i/>
                <w:iCs/>
              </w:rPr>
              <w:t>6</w:t>
            </w:r>
          </w:p>
        </w:tc>
      </w:tr>
      <w:tr w:rsidR="00E91106" w:rsidRPr="00122D95" w14:paraId="2DB1D93A"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0782A104" w14:textId="77777777" w:rsidR="00E91106" w:rsidRPr="0048419F" w:rsidRDefault="00E91106">
            <w:pPr>
              <w:pStyle w:val="10Tabletext"/>
              <w:ind w:left="720"/>
              <w:rPr>
                <w:b w:val="0"/>
                <w:bCs/>
                <w:i/>
                <w:iCs/>
              </w:rPr>
            </w:pPr>
            <w:r w:rsidRPr="0048419F">
              <w:rPr>
                <w:b w:val="0"/>
                <w:i/>
                <w:iCs/>
              </w:rPr>
              <w:t>Non-executive role</w:t>
            </w:r>
          </w:p>
        </w:tc>
        <w:tc>
          <w:tcPr>
            <w:tcW w:w="1275" w:type="dxa"/>
          </w:tcPr>
          <w:p w14:paraId="3967C6DC" w14:textId="77777777" w:rsidR="00E91106" w:rsidRPr="00404B2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404B21">
              <w:rPr>
                <w:i/>
                <w:iCs/>
              </w:rPr>
              <w:t>50</w:t>
            </w:r>
          </w:p>
        </w:tc>
        <w:tc>
          <w:tcPr>
            <w:tcW w:w="1264" w:type="dxa"/>
            <w:tcBorders>
              <w:right w:val="nil"/>
            </w:tcBorders>
          </w:tcPr>
          <w:p w14:paraId="5D44A66F" w14:textId="77777777" w:rsidR="00E91106" w:rsidRPr="00404B2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404B21">
              <w:rPr>
                <w:i/>
                <w:iCs/>
              </w:rPr>
              <w:t>17</w:t>
            </w:r>
          </w:p>
        </w:tc>
      </w:tr>
      <w:tr w:rsidR="00E91106" w:rsidRPr="00122D95" w14:paraId="755A5A27"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1AE744F0" w14:textId="77777777" w:rsidR="00E91106" w:rsidRPr="00897A6C" w:rsidRDefault="00E91106">
            <w:pPr>
              <w:pStyle w:val="10Tabletext"/>
              <w:rPr>
                <w:b w:val="0"/>
                <w:bCs/>
                <w:i/>
                <w:iCs/>
              </w:rPr>
            </w:pPr>
            <w:r w:rsidRPr="00897A6C">
              <w:rPr>
                <w:b w:val="0"/>
                <w:bCs/>
              </w:rPr>
              <w:t>For-profit sector</w:t>
            </w:r>
          </w:p>
        </w:tc>
        <w:tc>
          <w:tcPr>
            <w:tcW w:w="1275" w:type="dxa"/>
            <w:shd w:val="clear" w:color="auto" w:fill="E2F1E6" w:themeFill="accent3" w:themeFillTint="33"/>
          </w:tcPr>
          <w:p w14:paraId="354C6DE0"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897A6C">
              <w:t>57</w:t>
            </w:r>
          </w:p>
        </w:tc>
        <w:tc>
          <w:tcPr>
            <w:tcW w:w="1264" w:type="dxa"/>
            <w:tcBorders>
              <w:right w:val="nil"/>
            </w:tcBorders>
            <w:shd w:val="clear" w:color="auto" w:fill="E2F1E6" w:themeFill="accent3" w:themeFillTint="33"/>
          </w:tcPr>
          <w:p w14:paraId="501FF72D"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897A6C">
              <w:t>20</w:t>
            </w:r>
          </w:p>
        </w:tc>
      </w:tr>
      <w:tr w:rsidR="00E91106" w:rsidRPr="00122D95" w14:paraId="1B3F3018"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26417E15" w14:textId="77777777" w:rsidR="00E91106" w:rsidRPr="00897A6C" w:rsidRDefault="00E91106">
            <w:pPr>
              <w:pStyle w:val="10Tabletext"/>
              <w:rPr>
                <w:b w:val="0"/>
                <w:bCs/>
              </w:rPr>
            </w:pPr>
            <w:r w:rsidRPr="00897A6C">
              <w:rPr>
                <w:b w:val="0"/>
                <w:bCs/>
              </w:rPr>
              <w:t>Different Victorian public entity</w:t>
            </w:r>
          </w:p>
        </w:tc>
        <w:tc>
          <w:tcPr>
            <w:tcW w:w="1275" w:type="dxa"/>
            <w:shd w:val="clear" w:color="auto" w:fill="E2F1E6" w:themeFill="accent3" w:themeFillTint="33"/>
          </w:tcPr>
          <w:p w14:paraId="398EC578"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45</w:t>
            </w:r>
          </w:p>
        </w:tc>
        <w:tc>
          <w:tcPr>
            <w:tcW w:w="1264" w:type="dxa"/>
            <w:tcBorders>
              <w:right w:val="nil"/>
            </w:tcBorders>
            <w:shd w:val="clear" w:color="auto" w:fill="E2F1E6" w:themeFill="accent3" w:themeFillTint="33"/>
          </w:tcPr>
          <w:p w14:paraId="353A5E44"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15</w:t>
            </w:r>
          </w:p>
        </w:tc>
      </w:tr>
      <w:tr w:rsidR="00E91106" w:rsidRPr="00122D95" w14:paraId="028DD0F8"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6224D6F1" w14:textId="77777777" w:rsidR="00E91106" w:rsidRPr="0048419F" w:rsidRDefault="00E91106">
            <w:pPr>
              <w:pStyle w:val="10Tabletext"/>
              <w:ind w:left="720"/>
              <w:rPr>
                <w:b w:val="0"/>
                <w:bCs/>
              </w:rPr>
            </w:pPr>
            <w:r>
              <w:rPr>
                <w:b w:val="0"/>
                <w:i/>
                <w:iCs/>
              </w:rPr>
              <w:t>Executive role</w:t>
            </w:r>
          </w:p>
        </w:tc>
        <w:tc>
          <w:tcPr>
            <w:tcW w:w="1275" w:type="dxa"/>
          </w:tcPr>
          <w:p w14:paraId="3A56CDAB" w14:textId="77777777" w:rsidR="00E91106" w:rsidRPr="00404B2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404B21">
              <w:rPr>
                <w:i/>
                <w:iCs/>
              </w:rPr>
              <w:t>32</w:t>
            </w:r>
          </w:p>
        </w:tc>
        <w:tc>
          <w:tcPr>
            <w:tcW w:w="1264" w:type="dxa"/>
            <w:tcBorders>
              <w:right w:val="nil"/>
            </w:tcBorders>
          </w:tcPr>
          <w:p w14:paraId="2F1CE51A" w14:textId="77777777" w:rsidR="00E91106" w:rsidRPr="00404B21"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404B21">
              <w:rPr>
                <w:i/>
                <w:iCs/>
              </w:rPr>
              <w:t>11</w:t>
            </w:r>
          </w:p>
        </w:tc>
      </w:tr>
      <w:tr w:rsidR="00E91106" w:rsidRPr="00122D95" w14:paraId="0855A95B"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5966841" w14:textId="77777777" w:rsidR="00E91106" w:rsidRPr="0048419F" w:rsidRDefault="00E91106">
            <w:pPr>
              <w:pStyle w:val="10Tabletext"/>
              <w:ind w:left="720"/>
              <w:rPr>
                <w:b w:val="0"/>
                <w:bCs/>
                <w:i/>
                <w:iCs/>
              </w:rPr>
            </w:pPr>
            <w:r w:rsidRPr="0048419F">
              <w:rPr>
                <w:b w:val="0"/>
                <w:i/>
                <w:iCs/>
              </w:rPr>
              <w:t>Non-executive role</w:t>
            </w:r>
          </w:p>
        </w:tc>
        <w:tc>
          <w:tcPr>
            <w:tcW w:w="1275" w:type="dxa"/>
          </w:tcPr>
          <w:p w14:paraId="462A34E5" w14:textId="77777777" w:rsidR="00E91106" w:rsidRPr="00404B2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404B21">
              <w:rPr>
                <w:i/>
                <w:iCs/>
              </w:rPr>
              <w:t>13</w:t>
            </w:r>
          </w:p>
        </w:tc>
        <w:tc>
          <w:tcPr>
            <w:tcW w:w="1264" w:type="dxa"/>
            <w:tcBorders>
              <w:right w:val="nil"/>
            </w:tcBorders>
          </w:tcPr>
          <w:p w14:paraId="5C3C1745" w14:textId="77777777" w:rsidR="00E91106" w:rsidRPr="00404B21"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404B21">
              <w:rPr>
                <w:i/>
                <w:iCs/>
              </w:rPr>
              <w:t>4</w:t>
            </w:r>
          </w:p>
        </w:tc>
      </w:tr>
      <w:tr w:rsidR="00E91106" w:rsidRPr="00122D95" w14:paraId="37607F1F"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594EC220" w14:textId="77777777" w:rsidR="00E91106" w:rsidRPr="00897A6C" w:rsidRDefault="00E91106">
            <w:pPr>
              <w:pStyle w:val="10Tabletext"/>
              <w:rPr>
                <w:b w:val="0"/>
                <w:bCs/>
              </w:rPr>
            </w:pPr>
            <w:r w:rsidRPr="00897A6C">
              <w:rPr>
                <w:b w:val="0"/>
                <w:bCs/>
              </w:rPr>
              <w:t>Victorian public service</w:t>
            </w:r>
          </w:p>
        </w:tc>
        <w:tc>
          <w:tcPr>
            <w:tcW w:w="1275" w:type="dxa"/>
            <w:shd w:val="clear" w:color="auto" w:fill="E2F1E6" w:themeFill="accent3" w:themeFillTint="33"/>
          </w:tcPr>
          <w:p w14:paraId="3D7A3D10"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897A6C">
              <w:t>33</w:t>
            </w:r>
          </w:p>
        </w:tc>
        <w:tc>
          <w:tcPr>
            <w:tcW w:w="1264" w:type="dxa"/>
            <w:tcBorders>
              <w:right w:val="nil"/>
            </w:tcBorders>
            <w:shd w:val="clear" w:color="auto" w:fill="E2F1E6" w:themeFill="accent3" w:themeFillTint="33"/>
          </w:tcPr>
          <w:p w14:paraId="158556D2"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897A6C">
              <w:t>11</w:t>
            </w:r>
          </w:p>
        </w:tc>
      </w:tr>
      <w:tr w:rsidR="00E91106" w:rsidRPr="00122D95" w14:paraId="7C2847E0"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0BF99105" w14:textId="77777777" w:rsidR="00E91106" w:rsidRPr="0048419F" w:rsidRDefault="00E91106">
            <w:pPr>
              <w:pStyle w:val="10Tabletext"/>
              <w:ind w:left="720"/>
              <w:rPr>
                <w:b w:val="0"/>
                <w:bCs/>
                <w:i/>
                <w:iCs/>
              </w:rPr>
            </w:pPr>
            <w:r w:rsidRPr="0048419F">
              <w:rPr>
                <w:b w:val="0"/>
                <w:i/>
                <w:iCs/>
              </w:rPr>
              <w:t>Executive role</w:t>
            </w:r>
          </w:p>
        </w:tc>
        <w:tc>
          <w:tcPr>
            <w:tcW w:w="1275" w:type="dxa"/>
          </w:tcPr>
          <w:p w14:paraId="003D2E9C"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0A7B9A">
              <w:rPr>
                <w:i/>
                <w:iCs/>
              </w:rPr>
              <w:t>23</w:t>
            </w:r>
          </w:p>
        </w:tc>
        <w:tc>
          <w:tcPr>
            <w:tcW w:w="1264" w:type="dxa"/>
            <w:tcBorders>
              <w:right w:val="nil"/>
            </w:tcBorders>
          </w:tcPr>
          <w:p w14:paraId="4631B637"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0A7B9A">
              <w:rPr>
                <w:i/>
                <w:iCs/>
              </w:rPr>
              <w:t>8</w:t>
            </w:r>
          </w:p>
        </w:tc>
      </w:tr>
      <w:tr w:rsidR="00E91106" w:rsidRPr="00122D95" w14:paraId="22FD0DE5"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305A5A2E" w14:textId="77777777" w:rsidR="00E91106" w:rsidRPr="0048419F" w:rsidRDefault="00E91106">
            <w:pPr>
              <w:pStyle w:val="10Tabletext"/>
              <w:ind w:left="720"/>
              <w:rPr>
                <w:b w:val="0"/>
                <w:bCs/>
                <w:i/>
                <w:iCs/>
              </w:rPr>
            </w:pPr>
            <w:r w:rsidRPr="0048419F">
              <w:rPr>
                <w:b w:val="0"/>
                <w:i/>
                <w:iCs/>
              </w:rPr>
              <w:t>Non-executive role</w:t>
            </w:r>
          </w:p>
        </w:tc>
        <w:tc>
          <w:tcPr>
            <w:tcW w:w="1275" w:type="dxa"/>
          </w:tcPr>
          <w:p w14:paraId="15426FA7"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0A7B9A">
              <w:rPr>
                <w:i/>
                <w:iCs/>
              </w:rPr>
              <w:t>10</w:t>
            </w:r>
          </w:p>
        </w:tc>
        <w:tc>
          <w:tcPr>
            <w:tcW w:w="1264" w:type="dxa"/>
            <w:tcBorders>
              <w:right w:val="nil"/>
            </w:tcBorders>
          </w:tcPr>
          <w:p w14:paraId="30C22473"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0A7B9A">
              <w:rPr>
                <w:i/>
                <w:iCs/>
              </w:rPr>
              <w:t>3</w:t>
            </w:r>
          </w:p>
        </w:tc>
      </w:tr>
      <w:tr w:rsidR="00E91106" w:rsidRPr="00122D95" w14:paraId="4B0A9450"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610AD3EB" w14:textId="77777777" w:rsidR="00E91106" w:rsidRPr="00897A6C" w:rsidRDefault="00E91106">
            <w:pPr>
              <w:pStyle w:val="10Tabletext"/>
              <w:rPr>
                <w:b w:val="0"/>
                <w:bCs/>
                <w:i/>
                <w:iCs/>
              </w:rPr>
            </w:pPr>
            <w:r w:rsidRPr="00897A6C">
              <w:rPr>
                <w:b w:val="0"/>
                <w:bCs/>
              </w:rPr>
              <w:t>Not-for-profit sector</w:t>
            </w:r>
          </w:p>
        </w:tc>
        <w:tc>
          <w:tcPr>
            <w:tcW w:w="1275" w:type="dxa"/>
            <w:shd w:val="clear" w:color="auto" w:fill="E2F1E6" w:themeFill="accent3" w:themeFillTint="33"/>
          </w:tcPr>
          <w:p w14:paraId="7770D461"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897A6C">
              <w:t>24</w:t>
            </w:r>
          </w:p>
        </w:tc>
        <w:tc>
          <w:tcPr>
            <w:tcW w:w="1264" w:type="dxa"/>
            <w:tcBorders>
              <w:right w:val="nil"/>
            </w:tcBorders>
            <w:shd w:val="clear" w:color="auto" w:fill="E2F1E6" w:themeFill="accent3" w:themeFillTint="33"/>
          </w:tcPr>
          <w:p w14:paraId="3E9090AA"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rPr>
            </w:pPr>
            <w:r w:rsidRPr="00897A6C">
              <w:t>8</w:t>
            </w:r>
          </w:p>
        </w:tc>
      </w:tr>
      <w:tr w:rsidR="00E91106" w:rsidRPr="00122D95" w14:paraId="7B4DAE33"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6FE890A2" w14:textId="77777777" w:rsidR="00E91106" w:rsidRPr="00897A6C" w:rsidRDefault="00E91106">
            <w:pPr>
              <w:pStyle w:val="10Tabletext"/>
              <w:rPr>
                <w:b w:val="0"/>
                <w:bCs/>
              </w:rPr>
            </w:pPr>
            <w:r w:rsidRPr="00897A6C">
              <w:rPr>
                <w:b w:val="0"/>
                <w:bCs/>
              </w:rPr>
              <w:t>Public sector in another Australian jurisdiction</w:t>
            </w:r>
          </w:p>
        </w:tc>
        <w:tc>
          <w:tcPr>
            <w:tcW w:w="1275" w:type="dxa"/>
            <w:shd w:val="clear" w:color="auto" w:fill="E2F1E6" w:themeFill="accent3" w:themeFillTint="33"/>
          </w:tcPr>
          <w:p w14:paraId="4801934F"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897A6C">
              <w:t>23</w:t>
            </w:r>
          </w:p>
        </w:tc>
        <w:tc>
          <w:tcPr>
            <w:tcW w:w="1264" w:type="dxa"/>
            <w:tcBorders>
              <w:right w:val="nil"/>
            </w:tcBorders>
            <w:shd w:val="clear" w:color="auto" w:fill="E2F1E6" w:themeFill="accent3" w:themeFillTint="33"/>
          </w:tcPr>
          <w:p w14:paraId="7F7D0C4C"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897A6C">
              <w:t>8</w:t>
            </w:r>
          </w:p>
        </w:tc>
      </w:tr>
      <w:tr w:rsidR="00E91106" w:rsidRPr="00122D95" w14:paraId="4D9E2DA2"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6E20DEA0" w14:textId="77777777" w:rsidR="00E91106" w:rsidRDefault="00E91106">
            <w:pPr>
              <w:pStyle w:val="10Tabletext"/>
              <w:ind w:left="720"/>
            </w:pPr>
            <w:r>
              <w:rPr>
                <w:b w:val="0"/>
                <w:i/>
                <w:iCs/>
              </w:rPr>
              <w:t>Executive role</w:t>
            </w:r>
          </w:p>
        </w:tc>
        <w:tc>
          <w:tcPr>
            <w:tcW w:w="1275" w:type="dxa"/>
          </w:tcPr>
          <w:p w14:paraId="7E0982F4"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0A7B9A">
              <w:rPr>
                <w:i/>
                <w:iCs/>
              </w:rPr>
              <w:t>19</w:t>
            </w:r>
          </w:p>
        </w:tc>
        <w:tc>
          <w:tcPr>
            <w:tcW w:w="1264" w:type="dxa"/>
            <w:tcBorders>
              <w:right w:val="nil"/>
            </w:tcBorders>
          </w:tcPr>
          <w:p w14:paraId="4DF1BAF5"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rPr>
                <w:i/>
                <w:iCs/>
              </w:rPr>
            </w:pPr>
            <w:r w:rsidRPr="000A7B9A">
              <w:rPr>
                <w:i/>
                <w:iCs/>
              </w:rPr>
              <w:t>7</w:t>
            </w:r>
          </w:p>
        </w:tc>
      </w:tr>
      <w:tr w:rsidR="00E91106" w:rsidRPr="00122D95" w14:paraId="5FECCE2D"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48497784" w14:textId="77777777" w:rsidR="00E91106" w:rsidRDefault="00E91106">
            <w:pPr>
              <w:pStyle w:val="10Tabletext"/>
              <w:ind w:left="720"/>
            </w:pPr>
            <w:r w:rsidRPr="00E52903">
              <w:rPr>
                <w:b w:val="0"/>
                <w:i/>
                <w:iCs/>
              </w:rPr>
              <w:t>Non-executive role</w:t>
            </w:r>
          </w:p>
        </w:tc>
        <w:tc>
          <w:tcPr>
            <w:tcW w:w="1275" w:type="dxa"/>
          </w:tcPr>
          <w:p w14:paraId="457AF0B9"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0A7B9A">
              <w:rPr>
                <w:i/>
                <w:iCs/>
              </w:rPr>
              <w:t>4</w:t>
            </w:r>
          </w:p>
        </w:tc>
        <w:tc>
          <w:tcPr>
            <w:tcW w:w="1264" w:type="dxa"/>
            <w:tcBorders>
              <w:right w:val="nil"/>
            </w:tcBorders>
          </w:tcPr>
          <w:p w14:paraId="1871C705"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iCs/>
              </w:rPr>
            </w:pPr>
            <w:r w:rsidRPr="000A7B9A">
              <w:rPr>
                <w:i/>
                <w:iCs/>
              </w:rPr>
              <w:t>1</w:t>
            </w:r>
          </w:p>
        </w:tc>
      </w:tr>
      <w:tr w:rsidR="00E91106" w:rsidRPr="00122D95" w14:paraId="253E3128"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1AAE7981" w14:textId="77777777" w:rsidR="00E91106" w:rsidRPr="00897A6C" w:rsidRDefault="00E91106">
            <w:pPr>
              <w:pStyle w:val="10Tabletext"/>
              <w:rPr>
                <w:b w:val="0"/>
                <w:bCs/>
              </w:rPr>
            </w:pPr>
            <w:r w:rsidRPr="00897A6C">
              <w:rPr>
                <w:b w:val="0"/>
                <w:bCs/>
              </w:rPr>
              <w:t>Victorian local government</w:t>
            </w:r>
          </w:p>
        </w:tc>
        <w:tc>
          <w:tcPr>
            <w:tcW w:w="1275" w:type="dxa"/>
            <w:shd w:val="clear" w:color="auto" w:fill="E2F1E6" w:themeFill="accent3" w:themeFillTint="33"/>
          </w:tcPr>
          <w:p w14:paraId="32780595"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15</w:t>
            </w:r>
          </w:p>
        </w:tc>
        <w:tc>
          <w:tcPr>
            <w:tcW w:w="1264" w:type="dxa"/>
            <w:tcBorders>
              <w:right w:val="nil"/>
            </w:tcBorders>
            <w:shd w:val="clear" w:color="auto" w:fill="E2F1E6" w:themeFill="accent3" w:themeFillTint="33"/>
          </w:tcPr>
          <w:p w14:paraId="417AF60D"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897A6C">
              <w:t>5</w:t>
            </w:r>
          </w:p>
        </w:tc>
      </w:tr>
      <w:tr w:rsidR="00E91106" w:rsidRPr="00122D95" w14:paraId="6C7F06BB"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auto"/>
          </w:tcPr>
          <w:p w14:paraId="5DF09C9A" w14:textId="77777777" w:rsidR="00E91106" w:rsidRPr="00122D95" w:rsidRDefault="00E91106">
            <w:pPr>
              <w:pStyle w:val="10Tabletext"/>
              <w:ind w:left="720"/>
            </w:pPr>
            <w:r>
              <w:rPr>
                <w:b w:val="0"/>
                <w:i/>
                <w:iCs/>
              </w:rPr>
              <w:t>Executive role</w:t>
            </w:r>
          </w:p>
        </w:tc>
        <w:tc>
          <w:tcPr>
            <w:tcW w:w="1275" w:type="dxa"/>
            <w:shd w:val="clear" w:color="auto" w:fill="auto"/>
          </w:tcPr>
          <w:p w14:paraId="72B4AE50"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sidRPr="000A7B9A">
              <w:rPr>
                <w:i/>
                <w:iCs/>
              </w:rPr>
              <w:t>1</w:t>
            </w:r>
            <w:r>
              <w:rPr>
                <w:i/>
                <w:iCs/>
              </w:rPr>
              <w:t>3</w:t>
            </w:r>
          </w:p>
        </w:tc>
        <w:tc>
          <w:tcPr>
            <w:tcW w:w="1264" w:type="dxa"/>
            <w:tcBorders>
              <w:right w:val="nil"/>
            </w:tcBorders>
            <w:shd w:val="clear" w:color="auto" w:fill="auto"/>
          </w:tcPr>
          <w:p w14:paraId="18902242" w14:textId="77777777" w:rsidR="00E91106" w:rsidRPr="000A7B9A"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rPr>
                <w:i/>
                <w:iCs/>
              </w:rPr>
              <w:t>4</w:t>
            </w:r>
          </w:p>
        </w:tc>
      </w:tr>
      <w:tr w:rsidR="00E91106" w:rsidRPr="00122D95" w14:paraId="4698DB20"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auto"/>
          </w:tcPr>
          <w:p w14:paraId="60321C15" w14:textId="77777777" w:rsidR="00E91106" w:rsidRPr="00122D95" w:rsidRDefault="00E91106">
            <w:pPr>
              <w:pStyle w:val="10Tabletext"/>
              <w:ind w:left="720"/>
            </w:pPr>
            <w:r w:rsidRPr="00E52903">
              <w:rPr>
                <w:b w:val="0"/>
                <w:i/>
                <w:iCs/>
              </w:rPr>
              <w:t>Non-executive role</w:t>
            </w:r>
          </w:p>
        </w:tc>
        <w:tc>
          <w:tcPr>
            <w:tcW w:w="1275" w:type="dxa"/>
            <w:shd w:val="clear" w:color="auto" w:fill="auto"/>
          </w:tcPr>
          <w:p w14:paraId="7D6C3E0C"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0A7B9A">
              <w:rPr>
                <w:i/>
                <w:iCs/>
              </w:rPr>
              <w:t>2</w:t>
            </w:r>
          </w:p>
        </w:tc>
        <w:tc>
          <w:tcPr>
            <w:tcW w:w="1264" w:type="dxa"/>
            <w:tcBorders>
              <w:right w:val="nil"/>
            </w:tcBorders>
            <w:shd w:val="clear" w:color="auto" w:fill="auto"/>
          </w:tcPr>
          <w:p w14:paraId="3C954C31" w14:textId="77777777" w:rsidR="00E91106" w:rsidRPr="000A7B9A"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0A7B9A">
              <w:rPr>
                <w:i/>
                <w:iCs/>
              </w:rPr>
              <w:t>&lt;1</w:t>
            </w:r>
          </w:p>
        </w:tc>
      </w:tr>
      <w:tr w:rsidR="00E91106" w:rsidRPr="00122D95" w14:paraId="4D6B7BE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shd w:val="clear" w:color="auto" w:fill="E2F1E6" w:themeFill="accent3" w:themeFillTint="33"/>
          </w:tcPr>
          <w:p w14:paraId="711B46F8" w14:textId="77777777" w:rsidR="00E91106" w:rsidRPr="00897A6C" w:rsidRDefault="00E91106">
            <w:pPr>
              <w:pStyle w:val="10Tabletext"/>
              <w:rPr>
                <w:b w:val="0"/>
                <w:bCs/>
                <w:i/>
                <w:iCs/>
              </w:rPr>
            </w:pPr>
            <w:r w:rsidRPr="00897A6C">
              <w:rPr>
                <w:b w:val="0"/>
                <w:bCs/>
              </w:rPr>
              <w:t>Other</w:t>
            </w:r>
          </w:p>
        </w:tc>
        <w:tc>
          <w:tcPr>
            <w:tcW w:w="1275" w:type="dxa"/>
            <w:shd w:val="clear" w:color="auto" w:fill="E2F1E6" w:themeFill="accent3" w:themeFillTint="33"/>
          </w:tcPr>
          <w:p w14:paraId="3E7E8AF6"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897A6C">
              <w:t>27</w:t>
            </w:r>
          </w:p>
        </w:tc>
        <w:tc>
          <w:tcPr>
            <w:tcW w:w="1264" w:type="dxa"/>
            <w:tcBorders>
              <w:right w:val="nil"/>
            </w:tcBorders>
            <w:shd w:val="clear" w:color="auto" w:fill="E2F1E6" w:themeFill="accent3" w:themeFillTint="33"/>
          </w:tcPr>
          <w:p w14:paraId="17A5C461" w14:textId="77777777" w:rsidR="00E91106" w:rsidRPr="00897A6C" w:rsidRDefault="00E91106">
            <w:pPr>
              <w:pStyle w:val="10Tabletext"/>
              <w:jc w:val="center"/>
              <w:cnfStyle w:val="000000000000" w:firstRow="0" w:lastRow="0" w:firstColumn="0" w:lastColumn="0" w:oddVBand="0" w:evenVBand="0" w:oddHBand="0" w:evenHBand="0" w:firstRowFirstColumn="0" w:firstRowLastColumn="0" w:lastRowFirstColumn="0" w:lastRowLastColumn="0"/>
              <w:rPr>
                <w:i/>
              </w:rPr>
            </w:pPr>
            <w:r w:rsidRPr="00897A6C">
              <w:t>9</w:t>
            </w:r>
          </w:p>
        </w:tc>
      </w:tr>
      <w:tr w:rsidR="00E91106" w:rsidRPr="00122D95" w14:paraId="05624F16"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2F7C3AE2" w14:textId="77777777" w:rsidR="00E91106" w:rsidRPr="00122D95" w:rsidRDefault="00E91106">
            <w:pPr>
              <w:pStyle w:val="10Tabletext"/>
            </w:pPr>
            <w:r w:rsidRPr="00122D95">
              <w:t>Total</w:t>
            </w:r>
          </w:p>
        </w:tc>
        <w:tc>
          <w:tcPr>
            <w:tcW w:w="1275" w:type="dxa"/>
          </w:tcPr>
          <w:p w14:paraId="4BEBC944"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r w:rsidRPr="00897A6C">
              <w:rPr>
                <w:b/>
                <w:bCs w:val="0"/>
              </w:rPr>
              <w:t>291</w:t>
            </w:r>
          </w:p>
        </w:tc>
        <w:tc>
          <w:tcPr>
            <w:tcW w:w="1264" w:type="dxa"/>
            <w:tcBorders>
              <w:right w:val="nil"/>
            </w:tcBorders>
          </w:tcPr>
          <w:p w14:paraId="2F951563" w14:textId="77777777" w:rsidR="00E91106" w:rsidRPr="00897A6C"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bCs w:val="0"/>
              </w:rPr>
            </w:pPr>
          </w:p>
        </w:tc>
      </w:tr>
    </w:tbl>
    <w:p w14:paraId="298DA3B5" w14:textId="42383139" w:rsidR="00E80D35" w:rsidRDefault="00E80D35" w:rsidP="00E80D35">
      <w:pPr>
        <w:pStyle w:val="09Sourcesandnotesfortablesfiguresboxes"/>
      </w:pPr>
      <w:r>
        <w:t xml:space="preserve">Note: (a) </w:t>
      </w:r>
      <w:r w:rsidRPr="00A8500D">
        <w:t>The sum of the percentages in this table is lower than 100 per cent due to the rounding of individual percentages to the nearest whole number.</w:t>
      </w:r>
    </w:p>
    <w:p w14:paraId="2780A37C" w14:textId="578FC45D" w:rsidR="00E91106" w:rsidRPr="00874C22" w:rsidRDefault="00E91106">
      <w:pPr>
        <w:pStyle w:val="05Paragraph"/>
      </w:pPr>
      <w:r w:rsidRPr="00874C22">
        <w:lastRenderedPageBreak/>
        <w:t xml:space="preserve">More than half of respondents were relatively new to the public entity executive workforce, having worked as a public entity executive for less than five years (Table A.9). Respondents were asked to exclude any time spent working as an executive for other </w:t>
      </w:r>
      <w:r w:rsidRPr="009C6E1C">
        <w:t xml:space="preserve">Victorian </w:t>
      </w:r>
      <w:r w:rsidRPr="00874C22">
        <w:t>public sector employers</w:t>
      </w:r>
      <w:r>
        <w:t>, such as departments</w:t>
      </w:r>
      <w:r w:rsidRPr="00874C22">
        <w:t>.</w:t>
      </w:r>
    </w:p>
    <w:p w14:paraId="0D0C9122" w14:textId="77777777" w:rsidR="00E91106" w:rsidRPr="009C6E1C" w:rsidRDefault="00E91106">
      <w:pPr>
        <w:pStyle w:val="08Figuretableboxheading"/>
      </w:pPr>
      <w:r w:rsidRPr="009C6E1C">
        <w:t>Table A.9: How many years in total have you been an executive at a Victorian public entity?</w:t>
      </w:r>
    </w:p>
    <w:tbl>
      <w:tblPr>
        <w:tblStyle w:val="ListTable3-Accent1"/>
        <w:tblW w:w="0" w:type="auto"/>
        <w:tblLayout w:type="fixed"/>
        <w:tblLook w:val="04A0" w:firstRow="1" w:lastRow="0" w:firstColumn="1" w:lastColumn="0" w:noHBand="0" w:noVBand="1"/>
      </w:tblPr>
      <w:tblGrid>
        <w:gridCol w:w="5953"/>
        <w:gridCol w:w="1276"/>
        <w:gridCol w:w="1264"/>
      </w:tblGrid>
      <w:tr w:rsidR="00A873C2" w:rsidRPr="00122D95" w14:paraId="67B4BA53" w14:textId="77777777" w:rsidTr="00A873C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953" w:type="dxa"/>
            <w:tcBorders>
              <w:left w:val="nil"/>
            </w:tcBorders>
          </w:tcPr>
          <w:p w14:paraId="283D08D0" w14:textId="7FFFE754" w:rsidR="00A873C2" w:rsidRPr="00F630AB" w:rsidRDefault="00A873C2" w:rsidP="00A873C2">
            <w:pPr>
              <w:pStyle w:val="10Tabletext"/>
              <w:rPr>
                <w:sz w:val="24"/>
                <w:szCs w:val="24"/>
              </w:rPr>
            </w:pPr>
            <w:r w:rsidRPr="00A873C2">
              <w:t>Answer choices</w:t>
            </w:r>
          </w:p>
        </w:tc>
        <w:tc>
          <w:tcPr>
            <w:tcW w:w="1276" w:type="dxa"/>
          </w:tcPr>
          <w:p w14:paraId="4887D713" w14:textId="06DBB9D6" w:rsidR="00A873C2" w:rsidRPr="00F630AB"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264" w:type="dxa"/>
            <w:tcBorders>
              <w:right w:val="nil"/>
            </w:tcBorders>
          </w:tcPr>
          <w:p w14:paraId="1E52C0A2" w14:textId="4728684C" w:rsidR="00A873C2" w:rsidRPr="00A873C2"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vertAlign w:val="superscript"/>
              </w:rPr>
            </w:pPr>
            <w:r w:rsidRPr="00A873C2">
              <w:t>% of responses</w:t>
            </w:r>
            <w:r>
              <w:rPr>
                <w:vertAlign w:val="superscript"/>
              </w:rPr>
              <w:t>(a)</w:t>
            </w:r>
          </w:p>
        </w:tc>
      </w:tr>
      <w:tr w:rsidR="00E91106" w:rsidRPr="00122D95" w14:paraId="56583946"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B5CFA31" w14:textId="77777777" w:rsidR="00E91106" w:rsidRPr="00A25222" w:rsidRDefault="00E91106">
            <w:pPr>
              <w:pStyle w:val="10Tabletext"/>
              <w:rPr>
                <w:b w:val="0"/>
              </w:rPr>
            </w:pPr>
            <w:r w:rsidRPr="00A25222">
              <w:rPr>
                <w:b w:val="0"/>
              </w:rPr>
              <w:t>Less than 1 year</w:t>
            </w:r>
          </w:p>
        </w:tc>
        <w:tc>
          <w:tcPr>
            <w:tcW w:w="1276" w:type="dxa"/>
          </w:tcPr>
          <w:p w14:paraId="58F6DCD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41</w:t>
            </w:r>
          </w:p>
        </w:tc>
        <w:tc>
          <w:tcPr>
            <w:tcW w:w="1264" w:type="dxa"/>
            <w:tcBorders>
              <w:right w:val="nil"/>
            </w:tcBorders>
          </w:tcPr>
          <w:p w14:paraId="11827F3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14</w:t>
            </w:r>
          </w:p>
        </w:tc>
      </w:tr>
      <w:tr w:rsidR="00E91106" w:rsidRPr="00122D95" w14:paraId="171ED34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19A24C6" w14:textId="77777777" w:rsidR="00E91106" w:rsidRPr="00A25222" w:rsidRDefault="00E91106">
            <w:pPr>
              <w:pStyle w:val="10Tabletext"/>
              <w:rPr>
                <w:b w:val="0"/>
              </w:rPr>
            </w:pPr>
            <w:r w:rsidRPr="00A25222">
              <w:rPr>
                <w:b w:val="0"/>
              </w:rPr>
              <w:t>1-2 years</w:t>
            </w:r>
          </w:p>
        </w:tc>
        <w:tc>
          <w:tcPr>
            <w:tcW w:w="1276" w:type="dxa"/>
          </w:tcPr>
          <w:p w14:paraId="61817A72"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59</w:t>
            </w:r>
          </w:p>
        </w:tc>
        <w:tc>
          <w:tcPr>
            <w:tcW w:w="1264" w:type="dxa"/>
            <w:tcBorders>
              <w:right w:val="nil"/>
            </w:tcBorders>
          </w:tcPr>
          <w:p w14:paraId="3F43624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r>
      <w:tr w:rsidR="00E91106" w:rsidRPr="00122D95" w14:paraId="65E25BEB"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49B2FB2" w14:textId="77777777" w:rsidR="00E91106" w:rsidRPr="00A25222" w:rsidRDefault="00E91106">
            <w:pPr>
              <w:pStyle w:val="10Tabletext"/>
              <w:rPr>
                <w:b w:val="0"/>
              </w:rPr>
            </w:pPr>
            <w:r w:rsidRPr="00A25222">
              <w:rPr>
                <w:b w:val="0"/>
              </w:rPr>
              <w:t>3-4 years</w:t>
            </w:r>
          </w:p>
        </w:tc>
        <w:tc>
          <w:tcPr>
            <w:tcW w:w="1276" w:type="dxa"/>
          </w:tcPr>
          <w:p w14:paraId="2081734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59</w:t>
            </w:r>
          </w:p>
        </w:tc>
        <w:tc>
          <w:tcPr>
            <w:tcW w:w="1264" w:type="dxa"/>
            <w:tcBorders>
              <w:right w:val="nil"/>
            </w:tcBorders>
          </w:tcPr>
          <w:p w14:paraId="2130BD7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r>
      <w:tr w:rsidR="00E91106" w:rsidRPr="00122D95" w14:paraId="7DE20711"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37ED3BB6" w14:textId="77777777" w:rsidR="00E91106" w:rsidRPr="00A25222" w:rsidRDefault="00E91106">
            <w:pPr>
              <w:pStyle w:val="10Tabletext"/>
              <w:rPr>
                <w:b w:val="0"/>
              </w:rPr>
            </w:pPr>
            <w:r w:rsidRPr="00A25222">
              <w:rPr>
                <w:b w:val="0"/>
              </w:rPr>
              <w:t>5-9 years</w:t>
            </w:r>
          </w:p>
        </w:tc>
        <w:tc>
          <w:tcPr>
            <w:tcW w:w="1276" w:type="dxa"/>
          </w:tcPr>
          <w:p w14:paraId="231879D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82</w:t>
            </w:r>
          </w:p>
        </w:tc>
        <w:tc>
          <w:tcPr>
            <w:tcW w:w="1264" w:type="dxa"/>
            <w:tcBorders>
              <w:right w:val="nil"/>
            </w:tcBorders>
          </w:tcPr>
          <w:p w14:paraId="7D06832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28</w:t>
            </w:r>
          </w:p>
        </w:tc>
      </w:tr>
      <w:tr w:rsidR="00E91106" w:rsidRPr="00122D95" w14:paraId="6B601CB5"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63361547" w14:textId="77777777" w:rsidR="00E91106" w:rsidRPr="00A25222" w:rsidRDefault="00E91106">
            <w:pPr>
              <w:pStyle w:val="10Tabletext"/>
              <w:rPr>
                <w:b w:val="0"/>
              </w:rPr>
            </w:pPr>
            <w:r w:rsidRPr="00A25222">
              <w:rPr>
                <w:b w:val="0"/>
              </w:rPr>
              <w:t>10-14 years</w:t>
            </w:r>
          </w:p>
        </w:tc>
        <w:tc>
          <w:tcPr>
            <w:tcW w:w="1276" w:type="dxa"/>
          </w:tcPr>
          <w:p w14:paraId="2CDB399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29</w:t>
            </w:r>
          </w:p>
        </w:tc>
        <w:tc>
          <w:tcPr>
            <w:tcW w:w="1264" w:type="dxa"/>
            <w:tcBorders>
              <w:right w:val="nil"/>
            </w:tcBorders>
          </w:tcPr>
          <w:p w14:paraId="713DCFF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w:t>
            </w:r>
          </w:p>
        </w:tc>
      </w:tr>
      <w:tr w:rsidR="00E91106" w:rsidRPr="00122D95" w14:paraId="1F0797C4"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613A2DD5" w14:textId="77777777" w:rsidR="00E91106" w:rsidRPr="00A25222" w:rsidRDefault="00E91106">
            <w:pPr>
              <w:pStyle w:val="10Tabletext"/>
              <w:rPr>
                <w:b w:val="0"/>
              </w:rPr>
            </w:pPr>
            <w:r w:rsidRPr="00A25222">
              <w:rPr>
                <w:b w:val="0"/>
              </w:rPr>
              <w:t>15-19 years</w:t>
            </w:r>
          </w:p>
        </w:tc>
        <w:tc>
          <w:tcPr>
            <w:tcW w:w="1276" w:type="dxa"/>
          </w:tcPr>
          <w:p w14:paraId="0FFD3BBE"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13</w:t>
            </w:r>
          </w:p>
        </w:tc>
        <w:tc>
          <w:tcPr>
            <w:tcW w:w="1264" w:type="dxa"/>
            <w:tcBorders>
              <w:right w:val="nil"/>
            </w:tcBorders>
          </w:tcPr>
          <w:p w14:paraId="00E9A911"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4458C24A" w14:textId="77777777" w:rsidTr="00A873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01560297" w14:textId="77777777" w:rsidR="00E91106" w:rsidRPr="00A25222" w:rsidRDefault="00E91106">
            <w:pPr>
              <w:pStyle w:val="10Tabletext"/>
              <w:rPr>
                <w:b w:val="0"/>
              </w:rPr>
            </w:pPr>
            <w:r w:rsidRPr="00A25222">
              <w:rPr>
                <w:b w:val="0"/>
              </w:rPr>
              <w:t>20 years or more</w:t>
            </w:r>
          </w:p>
        </w:tc>
        <w:tc>
          <w:tcPr>
            <w:tcW w:w="1276" w:type="dxa"/>
          </w:tcPr>
          <w:p w14:paraId="5BAE054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w:t>
            </w:r>
          </w:p>
        </w:tc>
        <w:tc>
          <w:tcPr>
            <w:tcW w:w="1264" w:type="dxa"/>
            <w:tcBorders>
              <w:right w:val="nil"/>
            </w:tcBorders>
          </w:tcPr>
          <w:p w14:paraId="3E0E442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r>
      <w:tr w:rsidR="00E91106" w:rsidRPr="00122D95" w14:paraId="43CD2F26"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5953" w:type="dxa"/>
            <w:tcBorders>
              <w:left w:val="nil"/>
            </w:tcBorders>
          </w:tcPr>
          <w:p w14:paraId="1C2266FA" w14:textId="77777777" w:rsidR="00E91106" w:rsidRPr="00122D95" w:rsidRDefault="00E91106">
            <w:pPr>
              <w:pStyle w:val="10Tabletext"/>
            </w:pPr>
            <w:r w:rsidRPr="00122D95">
              <w:t>Total</w:t>
            </w:r>
          </w:p>
        </w:tc>
        <w:tc>
          <w:tcPr>
            <w:tcW w:w="1276" w:type="dxa"/>
          </w:tcPr>
          <w:p w14:paraId="6ED55358" w14:textId="77777777" w:rsidR="00E91106" w:rsidRPr="00A25222"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A25222">
              <w:rPr>
                <w:b/>
              </w:rPr>
              <w:t>293</w:t>
            </w:r>
          </w:p>
        </w:tc>
        <w:tc>
          <w:tcPr>
            <w:tcW w:w="1264" w:type="dxa"/>
            <w:tcBorders>
              <w:right w:val="nil"/>
            </w:tcBorders>
          </w:tcPr>
          <w:p w14:paraId="08EB3E99" w14:textId="77777777" w:rsidR="00E91106" w:rsidRPr="00A25222"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01CE4E84" w14:textId="2573CBFC" w:rsidR="00A8500D" w:rsidRDefault="00A8500D" w:rsidP="00A8500D">
      <w:pPr>
        <w:pStyle w:val="09Sourcesandnotesfortablesfiguresboxes"/>
      </w:pPr>
      <w:r>
        <w:t xml:space="preserve">Note: </w:t>
      </w:r>
      <w:r w:rsidR="00EB64D0">
        <w:t xml:space="preserve">(a) </w:t>
      </w:r>
      <w:r w:rsidRPr="00A8500D">
        <w:t>The sum of the percentages in this table is lower than 100 per cent due to the rounding of individual percentages to the nearest whole number.</w:t>
      </w:r>
    </w:p>
    <w:p w14:paraId="3196AE28" w14:textId="46DC0590" w:rsidR="00E91106" w:rsidRPr="00122D95" w:rsidRDefault="00E91106" w:rsidP="00662054">
      <w:pPr>
        <w:pStyle w:val="03VIRTHeading3"/>
      </w:pPr>
      <w:r w:rsidRPr="00122D95">
        <w:t>Intention to stay</w:t>
      </w:r>
    </w:p>
    <w:p w14:paraId="7CA3F6D7" w14:textId="2D3DD800" w:rsidR="00E91106" w:rsidRPr="00122D95" w:rsidRDefault="00E91106">
      <w:pPr>
        <w:pStyle w:val="05Paragraph"/>
      </w:pPr>
      <w:r w:rsidRPr="00122D95">
        <w:t xml:space="preserve">Nearly half of respondents planned to work for </w:t>
      </w:r>
      <w:r>
        <w:t>their current organisation</w:t>
      </w:r>
      <w:r w:rsidRPr="00122D95">
        <w:t xml:space="preserve"> at executive level for </w:t>
      </w:r>
      <w:r>
        <w:t>three years or more</w:t>
      </w:r>
      <w:r w:rsidRPr="00122D95">
        <w:t xml:space="preserve"> (Table A.</w:t>
      </w:r>
      <w:r>
        <w:t>10</w:t>
      </w:r>
      <w:r w:rsidRPr="00122D95">
        <w:t xml:space="preserve">). </w:t>
      </w:r>
      <w:r w:rsidRPr="002B7D1B">
        <w:t xml:space="preserve">Given the </w:t>
      </w:r>
      <w:r w:rsidR="00F37FA4">
        <w:t xml:space="preserve">PEER Policy </w:t>
      </w:r>
      <w:r w:rsidRPr="002B7D1B">
        <w:t>requires executive contracts to have a maximum term of up to five years</w:t>
      </w:r>
      <w:r>
        <w:t xml:space="preserve"> (with reappointment possible)</w:t>
      </w:r>
      <w:r w:rsidRPr="002B7D1B">
        <w:t>, this indicates most respondents were committed to working for their current employer for an extended period.</w:t>
      </w:r>
      <w:r w:rsidRPr="002B7D1B">
        <w:rPr>
          <w:rStyle w:val="FootnoteReference"/>
        </w:rPr>
        <w:footnoteReference w:id="240"/>
      </w:r>
    </w:p>
    <w:p w14:paraId="39418CCB" w14:textId="77777777" w:rsidR="00E91106" w:rsidRPr="0056295C" w:rsidRDefault="00E91106">
      <w:pPr>
        <w:pStyle w:val="05Paragraph"/>
        <w:rPr>
          <w:spacing w:val="-2"/>
        </w:rPr>
      </w:pPr>
      <w:r w:rsidRPr="0056295C">
        <w:rPr>
          <w:spacing w:val="-2"/>
        </w:rPr>
        <w:t xml:space="preserve">Conversely, 14 per cent </w:t>
      </w:r>
      <w:r w:rsidRPr="005E258D">
        <w:t>of</w:t>
      </w:r>
      <w:r w:rsidRPr="0056295C">
        <w:rPr>
          <w:spacing w:val="-2"/>
        </w:rPr>
        <w:t xml:space="preserve"> respondents planned to leave the public entity executive workforce by September 2025 (one year after the questionnaire was conducted).</w:t>
      </w:r>
    </w:p>
    <w:p w14:paraId="22C316CC" w14:textId="77777777" w:rsidR="00E91106" w:rsidRPr="00122D95" w:rsidRDefault="00E91106">
      <w:pPr>
        <w:pStyle w:val="08Figuretableboxheading"/>
      </w:pPr>
      <w:r w:rsidRPr="00122D95">
        <w:t>Table A.</w:t>
      </w:r>
      <w:r>
        <w:t>10</w:t>
      </w:r>
      <w:r w:rsidRPr="00122D95">
        <w:t xml:space="preserve">: I plan to work </w:t>
      </w:r>
      <w:r>
        <w:t>as an executive in my current organisation for …</w:t>
      </w:r>
    </w:p>
    <w:tbl>
      <w:tblPr>
        <w:tblStyle w:val="ListTable3-Accent1"/>
        <w:tblW w:w="0" w:type="auto"/>
        <w:tblLayout w:type="fixed"/>
        <w:tblLook w:val="04A0" w:firstRow="1" w:lastRow="0" w:firstColumn="1" w:lastColumn="0" w:noHBand="0" w:noVBand="1"/>
      </w:tblPr>
      <w:tblGrid>
        <w:gridCol w:w="3402"/>
        <w:gridCol w:w="2697"/>
        <w:gridCol w:w="1199"/>
        <w:gridCol w:w="1199"/>
      </w:tblGrid>
      <w:tr w:rsidR="00A873C2" w:rsidRPr="00122D95" w14:paraId="5FA5C675"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99" w:type="dxa"/>
            <w:tcBorders>
              <w:left w:val="nil"/>
            </w:tcBorders>
          </w:tcPr>
          <w:p w14:paraId="091A9259" w14:textId="58D4CEEE" w:rsidR="00A873C2" w:rsidRPr="00A873C2" w:rsidRDefault="00A873C2" w:rsidP="00A873C2">
            <w:pPr>
              <w:pStyle w:val="10Tabletext"/>
              <w:keepNext/>
            </w:pPr>
            <w:r w:rsidRPr="00A873C2">
              <w:t>Answer choices</w:t>
            </w:r>
          </w:p>
        </w:tc>
        <w:tc>
          <w:tcPr>
            <w:tcW w:w="2697" w:type="dxa"/>
          </w:tcPr>
          <w:p w14:paraId="5B6D19A7" w14:textId="6471CECB" w:rsidR="00A873C2" w:rsidRPr="00A873C2"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pPr>
            <w:r w:rsidRPr="00A873C2">
              <w:t>Branching logic</w:t>
            </w:r>
          </w:p>
        </w:tc>
        <w:tc>
          <w:tcPr>
            <w:tcW w:w="1199" w:type="dxa"/>
          </w:tcPr>
          <w:p w14:paraId="037DF3CA" w14:textId="6295208D" w:rsidR="00A873C2" w:rsidRPr="00A873C2"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pPr>
            <w:r w:rsidRPr="00A873C2">
              <w:t>Number of responses</w:t>
            </w:r>
          </w:p>
        </w:tc>
        <w:tc>
          <w:tcPr>
            <w:tcW w:w="1199" w:type="dxa"/>
            <w:tcBorders>
              <w:right w:val="nil"/>
            </w:tcBorders>
          </w:tcPr>
          <w:p w14:paraId="11FE30E0" w14:textId="6F9B88EF" w:rsidR="00A873C2" w:rsidRPr="00A873C2" w:rsidRDefault="00A873C2" w:rsidP="00A873C2">
            <w:pPr>
              <w:pStyle w:val="10Tabletext"/>
              <w:keepNext/>
              <w:jc w:val="center"/>
              <w:cnfStyle w:val="100000000000" w:firstRow="1" w:lastRow="0" w:firstColumn="0" w:lastColumn="0" w:oddVBand="0" w:evenVBand="0" w:oddHBand="0" w:evenHBand="0" w:firstRowFirstColumn="0" w:firstRowLastColumn="0" w:lastRowFirstColumn="0" w:lastRowLastColumn="0"/>
            </w:pPr>
            <w:r w:rsidRPr="00A873C2">
              <w:t>% of responses</w:t>
            </w:r>
          </w:p>
        </w:tc>
      </w:tr>
      <w:tr w:rsidR="00E91106" w:rsidRPr="00122D95" w14:paraId="569FE5F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75BB6279" w14:textId="77777777" w:rsidR="00E91106" w:rsidRPr="00A25222" w:rsidRDefault="00E91106">
            <w:pPr>
              <w:pStyle w:val="10Tabletext"/>
              <w:rPr>
                <w:b w:val="0"/>
              </w:rPr>
            </w:pPr>
            <w:r w:rsidRPr="00A25222">
              <w:rPr>
                <w:b w:val="0"/>
              </w:rPr>
              <w:t>Over 5 years</w:t>
            </w:r>
          </w:p>
        </w:tc>
        <w:tc>
          <w:tcPr>
            <w:tcW w:w="2697" w:type="dxa"/>
          </w:tcPr>
          <w:p w14:paraId="30BDB258"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w:t>
            </w:r>
            <w:r w:rsidRPr="00A97AEC">
              <w:t>1</w:t>
            </w:r>
            <w:r>
              <w:t>3</w:t>
            </w:r>
          </w:p>
        </w:tc>
        <w:tc>
          <w:tcPr>
            <w:tcW w:w="1199" w:type="dxa"/>
          </w:tcPr>
          <w:p w14:paraId="786FB38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43</w:t>
            </w:r>
          </w:p>
        </w:tc>
        <w:tc>
          <w:tcPr>
            <w:tcW w:w="1199" w:type="dxa"/>
            <w:tcBorders>
              <w:right w:val="nil"/>
            </w:tcBorders>
          </w:tcPr>
          <w:p w14:paraId="70465E6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15</w:t>
            </w:r>
          </w:p>
        </w:tc>
      </w:tr>
      <w:tr w:rsidR="00E91106" w:rsidRPr="00122D95" w14:paraId="2D4857D3" w14:textId="77777777">
        <w:trPr>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4F46F5A6" w14:textId="77777777" w:rsidR="00E91106" w:rsidRPr="00A25222" w:rsidRDefault="00E91106">
            <w:pPr>
              <w:pStyle w:val="10Tabletext"/>
              <w:rPr>
                <w:b w:val="0"/>
              </w:rPr>
            </w:pPr>
            <w:r w:rsidRPr="00A25222">
              <w:rPr>
                <w:b w:val="0"/>
              </w:rPr>
              <w:t>Over 3 years and up to 5 years</w:t>
            </w:r>
          </w:p>
        </w:tc>
        <w:tc>
          <w:tcPr>
            <w:tcW w:w="2697" w:type="dxa"/>
          </w:tcPr>
          <w:p w14:paraId="704AB9DE" w14:textId="77777777" w:rsidR="00E91106" w:rsidRPr="00122D95" w:rsidRDefault="00E91106">
            <w:pPr>
              <w:pStyle w:val="10Tabletext"/>
              <w:cnfStyle w:val="000000000000" w:firstRow="0" w:lastRow="0" w:firstColumn="0" w:lastColumn="0" w:oddVBand="0" w:evenVBand="0" w:oddHBand="0" w:evenHBand="0" w:firstRowFirstColumn="0" w:firstRowLastColumn="0" w:lastRowFirstColumn="0" w:lastRowLastColumn="0"/>
            </w:pPr>
            <w:r w:rsidRPr="00122D95">
              <w:t>Go to Table A.</w:t>
            </w:r>
            <w:r w:rsidRPr="00A97AEC">
              <w:t>1</w:t>
            </w:r>
            <w:r>
              <w:t>3</w:t>
            </w:r>
          </w:p>
        </w:tc>
        <w:tc>
          <w:tcPr>
            <w:tcW w:w="1199" w:type="dxa"/>
          </w:tcPr>
          <w:p w14:paraId="7DC96E4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90</w:t>
            </w:r>
          </w:p>
        </w:tc>
        <w:tc>
          <w:tcPr>
            <w:tcW w:w="1199" w:type="dxa"/>
            <w:tcBorders>
              <w:right w:val="nil"/>
            </w:tcBorders>
          </w:tcPr>
          <w:p w14:paraId="3399C5D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31</w:t>
            </w:r>
          </w:p>
        </w:tc>
      </w:tr>
      <w:tr w:rsidR="00E91106" w:rsidRPr="00122D95" w14:paraId="4B242F0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4B5DF765" w14:textId="77777777" w:rsidR="00E91106" w:rsidRPr="00A25222" w:rsidRDefault="00E91106">
            <w:pPr>
              <w:pStyle w:val="10Tabletext"/>
              <w:rPr>
                <w:b w:val="0"/>
              </w:rPr>
            </w:pPr>
            <w:r w:rsidRPr="00A25222">
              <w:rPr>
                <w:b w:val="0"/>
              </w:rPr>
              <w:t>Over 1 year and up to 3 years</w:t>
            </w:r>
          </w:p>
        </w:tc>
        <w:tc>
          <w:tcPr>
            <w:tcW w:w="2697" w:type="dxa"/>
          </w:tcPr>
          <w:p w14:paraId="6EE8AAF1"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w:t>
            </w:r>
            <w:r w:rsidRPr="00A97AEC">
              <w:t>1</w:t>
            </w:r>
            <w:r>
              <w:t>3</w:t>
            </w:r>
          </w:p>
        </w:tc>
        <w:tc>
          <w:tcPr>
            <w:tcW w:w="1199" w:type="dxa"/>
          </w:tcPr>
          <w:p w14:paraId="6EF2C3C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116</w:t>
            </w:r>
          </w:p>
        </w:tc>
        <w:tc>
          <w:tcPr>
            <w:tcW w:w="1199" w:type="dxa"/>
            <w:tcBorders>
              <w:right w:val="nil"/>
            </w:tcBorders>
          </w:tcPr>
          <w:p w14:paraId="724E912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40</w:t>
            </w:r>
          </w:p>
        </w:tc>
      </w:tr>
      <w:tr w:rsidR="00E91106" w:rsidRPr="00122D95" w14:paraId="17C2BD82" w14:textId="77777777">
        <w:trPr>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462C3A77" w14:textId="77777777" w:rsidR="00E91106" w:rsidRPr="00A25222" w:rsidRDefault="00E91106">
            <w:pPr>
              <w:pStyle w:val="10Tabletext"/>
              <w:rPr>
                <w:b w:val="0"/>
              </w:rPr>
            </w:pPr>
            <w:r w:rsidRPr="00A25222">
              <w:rPr>
                <w:b w:val="0"/>
              </w:rPr>
              <w:t>Over 6 months and up to 1 year</w:t>
            </w:r>
          </w:p>
        </w:tc>
        <w:tc>
          <w:tcPr>
            <w:tcW w:w="2697" w:type="dxa"/>
          </w:tcPr>
          <w:p w14:paraId="29CBBFCC" w14:textId="77777777" w:rsidR="00E91106" w:rsidRPr="00122D95" w:rsidRDefault="00E91106">
            <w:pPr>
              <w:pStyle w:val="10Tabletext"/>
              <w:cnfStyle w:val="000000000000" w:firstRow="0" w:lastRow="0" w:firstColumn="0" w:lastColumn="0" w:oddVBand="0" w:evenVBand="0" w:oddHBand="0" w:evenHBand="0" w:firstRowFirstColumn="0" w:firstRowLastColumn="0" w:lastRowFirstColumn="0" w:lastRowLastColumn="0"/>
            </w:pPr>
            <w:r w:rsidRPr="00122D95">
              <w:t>Go to Table A.1</w:t>
            </w:r>
            <w:r>
              <w:t>1</w:t>
            </w:r>
          </w:p>
        </w:tc>
        <w:tc>
          <w:tcPr>
            <w:tcW w:w="1199" w:type="dxa"/>
          </w:tcPr>
          <w:p w14:paraId="0889C36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28</w:t>
            </w:r>
          </w:p>
        </w:tc>
        <w:tc>
          <w:tcPr>
            <w:tcW w:w="1199" w:type="dxa"/>
            <w:tcBorders>
              <w:right w:val="nil"/>
            </w:tcBorders>
          </w:tcPr>
          <w:p w14:paraId="281A65D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r>
      <w:tr w:rsidR="00E91106" w:rsidRPr="00122D95" w14:paraId="512D1E2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24ECDF1F" w14:textId="77777777" w:rsidR="00E91106" w:rsidRPr="00122D95" w:rsidRDefault="00E91106">
            <w:pPr>
              <w:pStyle w:val="10Tabletext"/>
              <w:rPr>
                <w:b w:val="0"/>
                <w:bCs/>
              </w:rPr>
            </w:pPr>
            <w:r w:rsidRPr="00A25222">
              <w:rPr>
                <w:b w:val="0"/>
              </w:rPr>
              <w:t>6 months or less</w:t>
            </w:r>
          </w:p>
        </w:tc>
        <w:tc>
          <w:tcPr>
            <w:tcW w:w="2697" w:type="dxa"/>
          </w:tcPr>
          <w:p w14:paraId="2E387943"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A.1</w:t>
            </w:r>
            <w:r>
              <w:t>1</w:t>
            </w:r>
          </w:p>
        </w:tc>
        <w:tc>
          <w:tcPr>
            <w:tcW w:w="1199" w:type="dxa"/>
          </w:tcPr>
          <w:p w14:paraId="4790C06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w:t>
            </w:r>
          </w:p>
        </w:tc>
        <w:tc>
          <w:tcPr>
            <w:tcW w:w="1199" w:type="dxa"/>
            <w:tcBorders>
              <w:right w:val="nil"/>
            </w:tcBorders>
          </w:tcPr>
          <w:p w14:paraId="1731163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r>
      <w:tr w:rsidR="00A873C2" w:rsidRPr="00122D95" w14:paraId="327F2A9D" w14:textId="77777777" w:rsidTr="00A873C2">
        <w:trPr>
          <w:cantSplit/>
        </w:trPr>
        <w:tc>
          <w:tcPr>
            <w:cnfStyle w:val="001000000000" w:firstRow="0" w:lastRow="0" w:firstColumn="1" w:lastColumn="0" w:oddVBand="0" w:evenVBand="0" w:oddHBand="0" w:evenHBand="0" w:firstRowFirstColumn="0" w:firstRowLastColumn="0" w:lastRowFirstColumn="0" w:lastRowLastColumn="0"/>
            <w:tcW w:w="3402" w:type="dxa"/>
            <w:tcBorders>
              <w:left w:val="nil"/>
            </w:tcBorders>
          </w:tcPr>
          <w:p w14:paraId="683FA1AE" w14:textId="77777777" w:rsidR="00A873C2" w:rsidRPr="00122D95" w:rsidRDefault="00A873C2">
            <w:pPr>
              <w:pStyle w:val="10Tabletext"/>
              <w:rPr>
                <w:b w:val="0"/>
                <w:bCs/>
              </w:rPr>
            </w:pPr>
            <w:r w:rsidRPr="00122D95">
              <w:t>Total</w:t>
            </w:r>
          </w:p>
        </w:tc>
        <w:tc>
          <w:tcPr>
            <w:tcW w:w="2694" w:type="dxa"/>
            <w:tcBorders>
              <w:left w:val="nil"/>
            </w:tcBorders>
          </w:tcPr>
          <w:p w14:paraId="4AEBB662" w14:textId="1C32E9CA" w:rsidR="00A873C2" w:rsidRPr="00122D95" w:rsidRDefault="00A873C2">
            <w:pPr>
              <w:pStyle w:val="10Tabletext"/>
              <w:cnfStyle w:val="000000000000" w:firstRow="0" w:lastRow="0" w:firstColumn="0" w:lastColumn="0" w:oddVBand="0" w:evenVBand="0" w:oddHBand="0" w:evenHBand="0" w:firstRowFirstColumn="0" w:firstRowLastColumn="0" w:lastRowFirstColumn="0" w:lastRowLastColumn="0"/>
            </w:pPr>
          </w:p>
        </w:tc>
        <w:tc>
          <w:tcPr>
            <w:tcW w:w="1199" w:type="dxa"/>
          </w:tcPr>
          <w:p w14:paraId="4FC0A81D" w14:textId="77777777" w:rsidR="00A873C2" w:rsidRPr="00A25222" w:rsidRDefault="00A873C2">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A25222">
              <w:rPr>
                <w:b/>
              </w:rPr>
              <w:t>289</w:t>
            </w:r>
          </w:p>
        </w:tc>
        <w:tc>
          <w:tcPr>
            <w:tcW w:w="1199" w:type="dxa"/>
            <w:tcBorders>
              <w:right w:val="nil"/>
            </w:tcBorders>
          </w:tcPr>
          <w:p w14:paraId="2CFE4A8F" w14:textId="77777777" w:rsidR="00A873C2" w:rsidRPr="00A25222" w:rsidRDefault="00A873C2">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53929AA2" w14:textId="77777777" w:rsidR="00E91106" w:rsidRPr="00122D95" w:rsidRDefault="00E91106">
      <w:pPr>
        <w:pStyle w:val="05Paragraph"/>
      </w:pPr>
      <w:r w:rsidRPr="00122D95">
        <w:lastRenderedPageBreak/>
        <w:t xml:space="preserve">Of </w:t>
      </w:r>
      <w:r>
        <w:t xml:space="preserve">those executives indicating that </w:t>
      </w:r>
      <w:r w:rsidRPr="00122D95" w:rsidDel="00B102AA">
        <w:t>they</w:t>
      </w:r>
      <w:r w:rsidRPr="00122D95">
        <w:t xml:space="preserve"> </w:t>
      </w:r>
      <w:r>
        <w:t>planned</w:t>
      </w:r>
      <w:r w:rsidRPr="00122D95">
        <w:t xml:space="preserve"> to leave the</w:t>
      </w:r>
      <w:r>
        <w:t>ir current employer</w:t>
      </w:r>
      <w:r w:rsidRPr="00122D95" w:rsidDel="005332CA">
        <w:t xml:space="preserve"> </w:t>
      </w:r>
      <w:r>
        <w:t>within 12 months of completing the questionnaire</w:t>
      </w:r>
      <w:r w:rsidRPr="00122D95">
        <w:t xml:space="preserve">, </w:t>
      </w:r>
      <w:r>
        <w:t>over half</w:t>
      </w:r>
      <w:r w:rsidRPr="00122D95">
        <w:t xml:space="preserve"> </w:t>
      </w:r>
      <w:r>
        <w:t>stated that</w:t>
      </w:r>
      <w:r w:rsidRPr="00122D95">
        <w:t xml:space="preserve"> their TRP being too low was a factor (Table A.</w:t>
      </w:r>
      <w:r>
        <w:t>11</w:t>
      </w:r>
      <w:r w:rsidRPr="00122D95">
        <w:t>)</w:t>
      </w:r>
      <w:r>
        <w:t>.</w:t>
      </w:r>
    </w:p>
    <w:p w14:paraId="3A430B46" w14:textId="77777777" w:rsidR="00E91106" w:rsidRPr="00161BE7" w:rsidRDefault="00E91106">
      <w:pPr>
        <w:pStyle w:val="08Figuretableboxheading"/>
        <w:rPr>
          <w:vertAlign w:val="superscript"/>
        </w:rPr>
      </w:pPr>
      <w:r w:rsidRPr="00122D95">
        <w:t>Table A.1</w:t>
      </w:r>
      <w:r>
        <w:t>1</w:t>
      </w:r>
      <w:r w:rsidRPr="00122D95">
        <w:t xml:space="preserve">: Which </w:t>
      </w:r>
      <w:r>
        <w:t>factors</w:t>
      </w:r>
      <w:r w:rsidRPr="00122D95">
        <w:t xml:space="preserve"> most influence you to consider leaving </w:t>
      </w:r>
      <w:r>
        <w:t xml:space="preserve">your current </w:t>
      </w:r>
      <w:proofErr w:type="gramStart"/>
      <w:r>
        <w:t>organisation</w:t>
      </w:r>
      <w:r w:rsidRPr="00122D95">
        <w:t>?</w:t>
      </w:r>
      <w:r>
        <w:rPr>
          <w:vertAlign w:val="superscript"/>
        </w:rPr>
        <w:t>(</w:t>
      </w:r>
      <w:proofErr w:type="gramEnd"/>
      <w:r>
        <w:rPr>
          <w:vertAlign w:val="superscript"/>
        </w:rPr>
        <w:t>a)</w:t>
      </w:r>
      <w:r w:rsidRPr="00122D95">
        <w:t xml:space="preserve"> Please select up to three.</w:t>
      </w:r>
    </w:p>
    <w:tbl>
      <w:tblPr>
        <w:tblStyle w:val="ListTable3-Accent1"/>
        <w:tblW w:w="0" w:type="auto"/>
        <w:tblLayout w:type="fixed"/>
        <w:tblLook w:val="04A0" w:firstRow="1" w:lastRow="0" w:firstColumn="1" w:lastColumn="0" w:noHBand="0" w:noVBand="1"/>
      </w:tblPr>
      <w:tblGrid>
        <w:gridCol w:w="5812"/>
        <w:gridCol w:w="1276"/>
        <w:gridCol w:w="1371"/>
      </w:tblGrid>
      <w:tr w:rsidR="00A873C2" w:rsidRPr="00122D95" w14:paraId="7EA57589"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64087EAB" w14:textId="069EA949" w:rsidR="00A873C2" w:rsidRPr="0017248F" w:rsidRDefault="00A873C2" w:rsidP="00A873C2">
            <w:pPr>
              <w:pStyle w:val="10Tabletext"/>
            </w:pPr>
            <w:r w:rsidRPr="00A873C2">
              <w:t>Answer choices</w:t>
            </w:r>
          </w:p>
        </w:tc>
        <w:tc>
          <w:tcPr>
            <w:tcW w:w="1276" w:type="dxa"/>
          </w:tcPr>
          <w:p w14:paraId="34F05F22" w14:textId="5F1F89A8" w:rsidR="00A873C2" w:rsidRPr="0017248F"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371" w:type="dxa"/>
            <w:tcBorders>
              <w:right w:val="nil"/>
            </w:tcBorders>
          </w:tcPr>
          <w:p w14:paraId="047E5C3E" w14:textId="218F49BB" w:rsidR="00A873C2" w:rsidRPr="0017248F" w:rsidRDefault="00A873C2" w:rsidP="00A873C2">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w:t>
            </w:r>
            <w:r w:rsidR="007C1A06">
              <w:rPr>
                <w:vertAlign w:val="superscript"/>
              </w:rPr>
              <w:t>b</w:t>
            </w:r>
            <w:r>
              <w:rPr>
                <w:vertAlign w:val="superscript"/>
              </w:rPr>
              <w:t>)</w:t>
            </w:r>
          </w:p>
        </w:tc>
      </w:tr>
      <w:tr w:rsidR="00E91106" w:rsidRPr="00122D95" w14:paraId="4FC7678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C9AFFC2" w14:textId="77777777" w:rsidR="00E91106" w:rsidRPr="00A25222" w:rsidRDefault="00E91106">
            <w:pPr>
              <w:pStyle w:val="10Tabletext"/>
              <w:rPr>
                <w:b w:val="0"/>
              </w:rPr>
            </w:pPr>
            <w:r w:rsidRPr="00A25222">
              <w:rPr>
                <w:b w:val="0"/>
              </w:rPr>
              <w:t>Total remuneration package is too low</w:t>
            </w:r>
          </w:p>
        </w:tc>
        <w:tc>
          <w:tcPr>
            <w:tcW w:w="1276" w:type="dxa"/>
          </w:tcPr>
          <w:p w14:paraId="51527A0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c>
          <w:tcPr>
            <w:tcW w:w="1371" w:type="dxa"/>
            <w:tcBorders>
              <w:right w:val="nil"/>
            </w:tcBorders>
          </w:tcPr>
          <w:p w14:paraId="64208CD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51</w:t>
            </w:r>
          </w:p>
        </w:tc>
      </w:tr>
      <w:tr w:rsidR="00E91106" w:rsidRPr="00122D95" w14:paraId="2764AB4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FDB5699" w14:textId="77777777" w:rsidR="00E91106" w:rsidRPr="00A25222" w:rsidRDefault="00E91106">
            <w:pPr>
              <w:pStyle w:val="10Tabletext"/>
              <w:rPr>
                <w:b w:val="0"/>
              </w:rPr>
            </w:pPr>
            <w:r w:rsidRPr="00A25222">
              <w:rPr>
                <w:b w:val="0"/>
              </w:rPr>
              <w:t>Other financial components of my contract are too low or not available (e.g. bonuses)</w:t>
            </w:r>
          </w:p>
        </w:tc>
        <w:tc>
          <w:tcPr>
            <w:tcW w:w="1276" w:type="dxa"/>
          </w:tcPr>
          <w:p w14:paraId="0C95FA0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c>
          <w:tcPr>
            <w:tcW w:w="1371" w:type="dxa"/>
            <w:tcBorders>
              <w:right w:val="nil"/>
            </w:tcBorders>
          </w:tcPr>
          <w:p w14:paraId="70A5E59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26</w:t>
            </w:r>
          </w:p>
        </w:tc>
      </w:tr>
      <w:tr w:rsidR="00E91106" w:rsidRPr="00122D95" w14:paraId="1AF78885"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C0C17F6" w14:textId="77777777" w:rsidR="00E91106" w:rsidRPr="00A25222" w:rsidRDefault="00E91106">
            <w:pPr>
              <w:pStyle w:val="10Tabletext"/>
              <w:rPr>
                <w:b w:val="0"/>
              </w:rPr>
            </w:pPr>
            <w:r w:rsidRPr="00A25222">
              <w:rPr>
                <w:b w:val="0"/>
              </w:rPr>
              <w:t>Insufficient career advancement opportunities</w:t>
            </w:r>
          </w:p>
        </w:tc>
        <w:tc>
          <w:tcPr>
            <w:tcW w:w="1276" w:type="dxa"/>
          </w:tcPr>
          <w:p w14:paraId="57002FA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w:t>
            </w:r>
          </w:p>
        </w:tc>
        <w:tc>
          <w:tcPr>
            <w:tcW w:w="1371" w:type="dxa"/>
            <w:tcBorders>
              <w:right w:val="nil"/>
            </w:tcBorders>
          </w:tcPr>
          <w:p w14:paraId="3D30FA1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26</w:t>
            </w:r>
          </w:p>
        </w:tc>
      </w:tr>
      <w:tr w:rsidR="00E91106" w:rsidRPr="00122D95" w14:paraId="5E03DC1F"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53D1E53" w14:textId="77777777" w:rsidR="00E91106" w:rsidRPr="00A25222" w:rsidRDefault="00E91106">
            <w:pPr>
              <w:pStyle w:val="10Tabletext"/>
              <w:rPr>
                <w:b w:val="0"/>
              </w:rPr>
            </w:pPr>
            <w:r w:rsidRPr="00A25222">
              <w:rPr>
                <w:b w:val="0"/>
              </w:rPr>
              <w:t>Insufficient length of contract</w:t>
            </w:r>
          </w:p>
        </w:tc>
        <w:tc>
          <w:tcPr>
            <w:tcW w:w="1276" w:type="dxa"/>
          </w:tcPr>
          <w:p w14:paraId="34C11EF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371" w:type="dxa"/>
            <w:tcBorders>
              <w:right w:val="nil"/>
            </w:tcBorders>
          </w:tcPr>
          <w:p w14:paraId="6FCE724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15</w:t>
            </w:r>
          </w:p>
        </w:tc>
      </w:tr>
      <w:tr w:rsidR="00E91106" w:rsidRPr="00122D95" w14:paraId="03D7556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5207DAF" w14:textId="77777777" w:rsidR="00E91106" w:rsidRPr="00A25222" w:rsidRDefault="00E91106">
            <w:pPr>
              <w:pStyle w:val="10Tabletext"/>
              <w:rPr>
                <w:b w:val="0"/>
              </w:rPr>
            </w:pPr>
            <w:r w:rsidRPr="00A25222">
              <w:rPr>
                <w:b w:val="0"/>
              </w:rPr>
              <w:t>Workload is too high</w:t>
            </w:r>
          </w:p>
        </w:tc>
        <w:tc>
          <w:tcPr>
            <w:tcW w:w="1276" w:type="dxa"/>
          </w:tcPr>
          <w:p w14:paraId="5A82760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6</w:t>
            </w:r>
          </w:p>
        </w:tc>
        <w:tc>
          <w:tcPr>
            <w:tcW w:w="1371" w:type="dxa"/>
            <w:tcBorders>
              <w:right w:val="nil"/>
            </w:tcBorders>
          </w:tcPr>
          <w:p w14:paraId="59F76B2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15</w:t>
            </w:r>
          </w:p>
        </w:tc>
      </w:tr>
      <w:tr w:rsidR="00E91106" w:rsidRPr="00122D95" w14:paraId="44DB413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6F3D86F" w14:textId="77777777" w:rsidR="00E91106" w:rsidRPr="00A25222" w:rsidRDefault="00E91106">
            <w:pPr>
              <w:pStyle w:val="10Tabletext"/>
              <w:rPr>
                <w:b w:val="0"/>
              </w:rPr>
            </w:pPr>
            <w:r w:rsidRPr="00A25222">
              <w:rPr>
                <w:b w:val="0"/>
              </w:rPr>
              <w:t>Retirement</w:t>
            </w:r>
          </w:p>
        </w:tc>
        <w:tc>
          <w:tcPr>
            <w:tcW w:w="1276" w:type="dxa"/>
          </w:tcPr>
          <w:p w14:paraId="03C304E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371" w:type="dxa"/>
            <w:tcBorders>
              <w:right w:val="nil"/>
            </w:tcBorders>
          </w:tcPr>
          <w:p w14:paraId="6B9EC43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15</w:t>
            </w:r>
          </w:p>
        </w:tc>
      </w:tr>
      <w:tr w:rsidR="00E91106" w:rsidRPr="00122D95" w14:paraId="1089891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A618192" w14:textId="77777777" w:rsidR="00E91106" w:rsidRPr="00A25222" w:rsidRDefault="00E91106">
            <w:pPr>
              <w:pStyle w:val="10Tabletext"/>
              <w:rPr>
                <w:b w:val="0"/>
              </w:rPr>
            </w:pPr>
            <w:r w:rsidRPr="00A25222">
              <w:rPr>
                <w:b w:val="0"/>
              </w:rPr>
              <w:t>Poor leadership</w:t>
            </w:r>
          </w:p>
        </w:tc>
        <w:tc>
          <w:tcPr>
            <w:tcW w:w="1276" w:type="dxa"/>
          </w:tcPr>
          <w:p w14:paraId="79B4866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c>
          <w:tcPr>
            <w:tcW w:w="1371" w:type="dxa"/>
            <w:tcBorders>
              <w:right w:val="nil"/>
            </w:tcBorders>
          </w:tcPr>
          <w:p w14:paraId="1D95A28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13</w:t>
            </w:r>
          </w:p>
        </w:tc>
      </w:tr>
      <w:tr w:rsidR="00E91106" w:rsidRPr="00122D95" w14:paraId="7E7FA098"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75CDBA0" w14:textId="77777777" w:rsidR="00E91106" w:rsidRPr="00A25222" w:rsidRDefault="00E91106">
            <w:pPr>
              <w:pStyle w:val="10Tabletext"/>
              <w:rPr>
                <w:b w:val="0"/>
              </w:rPr>
            </w:pPr>
            <w:r w:rsidRPr="00A25222">
              <w:rPr>
                <w:b w:val="0"/>
              </w:rPr>
              <w:t>Type/nature of work (e.g. insufficient intellectual challenge, not enough autonomy)</w:t>
            </w:r>
          </w:p>
        </w:tc>
        <w:tc>
          <w:tcPr>
            <w:tcW w:w="1276" w:type="dxa"/>
          </w:tcPr>
          <w:p w14:paraId="1062394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c>
          <w:tcPr>
            <w:tcW w:w="1371" w:type="dxa"/>
            <w:tcBorders>
              <w:right w:val="nil"/>
            </w:tcBorders>
          </w:tcPr>
          <w:p w14:paraId="233D374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r>
      <w:tr w:rsidR="00E91106" w:rsidRPr="00122D95" w14:paraId="231917FE"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140F1B1" w14:textId="77777777" w:rsidR="00E91106" w:rsidRPr="00A25222" w:rsidRDefault="00E91106">
            <w:pPr>
              <w:pStyle w:val="10Tabletext"/>
              <w:rPr>
                <w:b w:val="0"/>
              </w:rPr>
            </w:pPr>
            <w:r w:rsidRPr="00A25222">
              <w:rPr>
                <w:b w:val="0"/>
              </w:rPr>
              <w:t>Insufficient professional development opportunities</w:t>
            </w:r>
          </w:p>
        </w:tc>
        <w:tc>
          <w:tcPr>
            <w:tcW w:w="1276" w:type="dxa"/>
          </w:tcPr>
          <w:p w14:paraId="3384BA3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c>
          <w:tcPr>
            <w:tcW w:w="1371" w:type="dxa"/>
            <w:tcBorders>
              <w:right w:val="nil"/>
            </w:tcBorders>
          </w:tcPr>
          <w:p w14:paraId="05E7A7B2"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w:t>
            </w:r>
          </w:p>
        </w:tc>
      </w:tr>
      <w:tr w:rsidR="00E91106" w:rsidRPr="00122D95" w14:paraId="22822AD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4BA2F93" w14:textId="77777777" w:rsidR="00E91106" w:rsidRPr="00A25222" w:rsidRDefault="00E91106">
            <w:pPr>
              <w:pStyle w:val="10Tabletext"/>
              <w:rPr>
                <w:b w:val="0"/>
              </w:rPr>
            </w:pPr>
            <w:r w:rsidRPr="00A25222">
              <w:rPr>
                <w:b w:val="0"/>
              </w:rPr>
              <w:t>Location of work</w:t>
            </w:r>
          </w:p>
        </w:tc>
        <w:tc>
          <w:tcPr>
            <w:tcW w:w="1276" w:type="dxa"/>
          </w:tcPr>
          <w:p w14:paraId="45BFD06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c>
          <w:tcPr>
            <w:tcW w:w="1371" w:type="dxa"/>
            <w:tcBorders>
              <w:right w:val="nil"/>
            </w:tcBorders>
          </w:tcPr>
          <w:p w14:paraId="6AAA4E1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8</w:t>
            </w:r>
          </w:p>
        </w:tc>
      </w:tr>
      <w:tr w:rsidR="00E91106" w:rsidRPr="00122D95" w14:paraId="2CA0ACB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6B217D9" w14:textId="77777777" w:rsidR="00E91106" w:rsidRPr="00A25222" w:rsidRDefault="00E91106">
            <w:pPr>
              <w:pStyle w:val="10Tabletext"/>
              <w:rPr>
                <w:b w:val="0"/>
              </w:rPr>
            </w:pPr>
            <w:r w:rsidRPr="00A25222">
              <w:rPr>
                <w:b w:val="0"/>
              </w:rPr>
              <w:t>Work environment is not inclusive</w:t>
            </w:r>
          </w:p>
        </w:tc>
        <w:tc>
          <w:tcPr>
            <w:tcW w:w="1276" w:type="dxa"/>
          </w:tcPr>
          <w:p w14:paraId="2949E44F"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c>
          <w:tcPr>
            <w:tcW w:w="1371" w:type="dxa"/>
            <w:tcBorders>
              <w:right w:val="nil"/>
            </w:tcBorders>
          </w:tcPr>
          <w:p w14:paraId="12C86393"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r>
      <w:tr w:rsidR="00E91106" w:rsidRPr="00122D95" w14:paraId="325D01EE"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B0E7F56" w14:textId="77777777" w:rsidR="00E91106" w:rsidRPr="00A25222" w:rsidRDefault="00E91106">
            <w:pPr>
              <w:pStyle w:val="10Tabletext"/>
              <w:rPr>
                <w:b w:val="0"/>
              </w:rPr>
            </w:pPr>
            <w:r w:rsidRPr="00A25222">
              <w:rPr>
                <w:b w:val="0"/>
              </w:rPr>
              <w:t>Lack of belief in the purpose and objectives of my organisation or my role</w:t>
            </w:r>
          </w:p>
        </w:tc>
        <w:tc>
          <w:tcPr>
            <w:tcW w:w="1276" w:type="dxa"/>
          </w:tcPr>
          <w:p w14:paraId="6637C914"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c>
          <w:tcPr>
            <w:tcW w:w="1371" w:type="dxa"/>
            <w:tcBorders>
              <w:right w:val="nil"/>
            </w:tcBorders>
          </w:tcPr>
          <w:p w14:paraId="0529DF02"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8</w:t>
            </w:r>
          </w:p>
        </w:tc>
      </w:tr>
      <w:tr w:rsidR="00E91106" w:rsidRPr="00122D95" w14:paraId="1A5F8AE1"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51FD5C3" w14:textId="77777777" w:rsidR="00E91106" w:rsidRPr="00A25222" w:rsidRDefault="00E91106">
            <w:pPr>
              <w:pStyle w:val="10Tabletext"/>
              <w:rPr>
                <w:b w:val="0"/>
              </w:rPr>
            </w:pPr>
            <w:r w:rsidRPr="00A25222">
              <w:rPr>
                <w:b w:val="0"/>
              </w:rPr>
              <w:t>Insufficient opportunity to contribute to community</w:t>
            </w:r>
          </w:p>
        </w:tc>
        <w:tc>
          <w:tcPr>
            <w:tcW w:w="1276" w:type="dxa"/>
          </w:tcPr>
          <w:p w14:paraId="21586C90"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c>
          <w:tcPr>
            <w:tcW w:w="1371" w:type="dxa"/>
            <w:tcBorders>
              <w:right w:val="nil"/>
            </w:tcBorders>
          </w:tcPr>
          <w:p w14:paraId="5849982B"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r>
      <w:tr w:rsidR="00E91106" w:rsidRPr="00122D95" w14:paraId="60266590"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E5FAABC" w14:textId="77777777" w:rsidR="00E91106" w:rsidRPr="00A25222" w:rsidRDefault="00E91106">
            <w:pPr>
              <w:pStyle w:val="10Tabletext"/>
              <w:rPr>
                <w:b w:val="0"/>
              </w:rPr>
            </w:pPr>
            <w:r w:rsidRPr="00A25222">
              <w:rPr>
                <w:b w:val="0"/>
              </w:rPr>
              <w:t>Workplace relationships with colleagues</w:t>
            </w:r>
          </w:p>
        </w:tc>
        <w:tc>
          <w:tcPr>
            <w:tcW w:w="1276" w:type="dxa"/>
          </w:tcPr>
          <w:p w14:paraId="1725D5B3"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c>
          <w:tcPr>
            <w:tcW w:w="1371" w:type="dxa"/>
            <w:tcBorders>
              <w:right w:val="nil"/>
            </w:tcBorders>
          </w:tcPr>
          <w:p w14:paraId="218400FB"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w:t>
            </w:r>
          </w:p>
        </w:tc>
      </w:tr>
      <w:tr w:rsidR="00E91106" w:rsidRPr="00122D95" w14:paraId="04FADFA0"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C1330FC" w14:textId="77777777" w:rsidR="00E91106" w:rsidRPr="00A25222" w:rsidRDefault="00E91106">
            <w:pPr>
              <w:pStyle w:val="10Tabletext"/>
              <w:rPr>
                <w:b w:val="0"/>
              </w:rPr>
            </w:pPr>
            <w:r w:rsidRPr="00A25222">
              <w:rPr>
                <w:b w:val="0"/>
              </w:rPr>
              <w:t>Non-monetary employment conditions are unsatisfactory (e.g. leave, flexible work arrangements, etc.)</w:t>
            </w:r>
          </w:p>
        </w:tc>
        <w:tc>
          <w:tcPr>
            <w:tcW w:w="1276" w:type="dxa"/>
          </w:tcPr>
          <w:p w14:paraId="474B0E0F"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c>
          <w:tcPr>
            <w:tcW w:w="1371" w:type="dxa"/>
            <w:tcBorders>
              <w:right w:val="nil"/>
            </w:tcBorders>
          </w:tcPr>
          <w:p w14:paraId="25673F7A"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r>
      <w:tr w:rsidR="00E91106" w:rsidRPr="00122D95" w14:paraId="4931884E"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761A85C" w14:textId="77777777" w:rsidR="00E91106" w:rsidRPr="00122D95" w:rsidRDefault="00E91106">
            <w:pPr>
              <w:pStyle w:val="10Tabletext"/>
            </w:pPr>
            <w:r w:rsidRPr="00122D95">
              <w:t>Total</w:t>
            </w:r>
            <w:r>
              <w:t xml:space="preserve"> respondents</w:t>
            </w:r>
          </w:p>
        </w:tc>
        <w:tc>
          <w:tcPr>
            <w:tcW w:w="1276" w:type="dxa"/>
          </w:tcPr>
          <w:p w14:paraId="6884A3D7" w14:textId="77777777" w:rsidR="00E91106" w:rsidRPr="00A25222"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A25222">
              <w:rPr>
                <w:b/>
              </w:rPr>
              <w:t>39</w:t>
            </w:r>
          </w:p>
        </w:tc>
        <w:tc>
          <w:tcPr>
            <w:tcW w:w="1371" w:type="dxa"/>
            <w:tcBorders>
              <w:right w:val="nil"/>
            </w:tcBorders>
          </w:tcPr>
          <w:p w14:paraId="438E67D1" w14:textId="77777777" w:rsidR="00E91106" w:rsidRPr="00A25222"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0C46E7D7" w14:textId="21E064D1" w:rsidR="00E91106" w:rsidRPr="00122D95" w:rsidRDefault="00E91106">
      <w:pPr>
        <w:pStyle w:val="09Sourcesandnotesfortablesfiguresboxes"/>
      </w:pPr>
      <w:r w:rsidRPr="00122D95">
        <w:t>Note</w:t>
      </w:r>
      <w:r w:rsidR="00AE0F61">
        <w:t>s</w:t>
      </w:r>
      <w:r w:rsidRPr="00122D95">
        <w:t xml:space="preserve">: </w:t>
      </w:r>
      <w:r>
        <w:t>(a)</w:t>
      </w:r>
      <w:r w:rsidRPr="00122D95">
        <w:t xml:space="preserve"> This question was only asked to respondents who answered ‘6 months or less’ or ‘Over 6 months and up to 1 year’ in Table A.</w:t>
      </w:r>
      <w:r>
        <w:t>10</w:t>
      </w:r>
      <w:r w:rsidRPr="00122D95">
        <w:t>.</w:t>
      </w:r>
      <w:r>
        <w:t xml:space="preserve"> (b) </w:t>
      </w:r>
      <w:r w:rsidRPr="00301F68">
        <w:t xml:space="preserve">The sum of the percentages in this table exceeds 100 per cent </w:t>
      </w:r>
      <w:r w:rsidRPr="001B778C">
        <w:t>as respondents were asked to select multiple options if applicable.</w:t>
      </w:r>
    </w:p>
    <w:p w14:paraId="1738CBDF" w14:textId="77777777" w:rsidR="00E91106" w:rsidRPr="00122D95" w:rsidRDefault="00E91106">
      <w:pPr>
        <w:pStyle w:val="05Paragraph"/>
      </w:pPr>
      <w:r>
        <w:t xml:space="preserve">The preferred employer for those executives intending to leave their current employers within 12 months of completing the questionnaire was outside the public sector — either the ‘for-profit’ or the ‘not-for-profit’ sectors </w:t>
      </w:r>
      <w:r w:rsidRPr="00122D95">
        <w:t>(Table A.1</w:t>
      </w:r>
      <w:r>
        <w:t>2</w:t>
      </w:r>
      <w:r w:rsidRPr="00122D95">
        <w:t>).</w:t>
      </w:r>
    </w:p>
    <w:p w14:paraId="78F1D64B" w14:textId="77777777" w:rsidR="00E91106" w:rsidRPr="00122D95" w:rsidRDefault="00E91106">
      <w:pPr>
        <w:pStyle w:val="08Figuretableboxheading"/>
      </w:pPr>
      <w:r w:rsidRPr="00122D95">
        <w:t>Table A.1</w:t>
      </w:r>
      <w:r>
        <w:t>2</w:t>
      </w:r>
      <w:r w:rsidRPr="00122D95">
        <w:t xml:space="preserve">: If you were to leave </w:t>
      </w:r>
      <w:r>
        <w:t>your current organisation</w:t>
      </w:r>
      <w:r w:rsidRPr="00122D95">
        <w:t xml:space="preserve">, which of the following levels of employment (executive or non-executive), and sectors would be your </w:t>
      </w:r>
      <w:proofErr w:type="gramStart"/>
      <w:r w:rsidRPr="00122D95">
        <w:t>preference?</w:t>
      </w:r>
      <w:r>
        <w:rPr>
          <w:vertAlign w:val="superscript"/>
        </w:rPr>
        <w:t>(</w:t>
      </w:r>
      <w:proofErr w:type="gramEnd"/>
      <w:r>
        <w:rPr>
          <w:vertAlign w:val="superscript"/>
        </w:rPr>
        <w:t>a)</w:t>
      </w:r>
      <w:r w:rsidRPr="00122D95">
        <w:t xml:space="preserve"> Please select all that apply.</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22D95" w14:paraId="1E2D703A" w14:textId="77777777" w:rsidTr="007C1A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34465CFA" w14:textId="7A53AEE3" w:rsidR="007C1A06" w:rsidRPr="0017248F" w:rsidRDefault="007C1A06" w:rsidP="007C1A06">
            <w:pPr>
              <w:pStyle w:val="10Tabletext"/>
            </w:pPr>
            <w:r w:rsidRPr="00A873C2">
              <w:t>Answer choices</w:t>
            </w:r>
          </w:p>
        </w:tc>
        <w:tc>
          <w:tcPr>
            <w:tcW w:w="1276" w:type="dxa"/>
          </w:tcPr>
          <w:p w14:paraId="0A69C102" w14:textId="18EB9BAB"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rPr>
            </w:pPr>
            <w:r w:rsidRPr="00A873C2">
              <w:t>Number of responses</w:t>
            </w:r>
          </w:p>
        </w:tc>
        <w:tc>
          <w:tcPr>
            <w:tcW w:w="1406" w:type="dxa"/>
            <w:tcBorders>
              <w:right w:val="nil"/>
            </w:tcBorders>
          </w:tcPr>
          <w:p w14:paraId="161E2991" w14:textId="4F719D64"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rPr>
            </w:pPr>
            <w:r w:rsidRPr="00A873C2">
              <w:t>% of responses</w:t>
            </w:r>
            <w:r>
              <w:rPr>
                <w:vertAlign w:val="superscript"/>
              </w:rPr>
              <w:t>(b)</w:t>
            </w:r>
          </w:p>
        </w:tc>
      </w:tr>
      <w:tr w:rsidR="00E91106" w:rsidRPr="00122D95" w14:paraId="2BF04DB6" w14:textId="77777777" w:rsidTr="007C1A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50371EA9" w14:textId="77777777" w:rsidR="00E91106" w:rsidRPr="00AE0F61" w:rsidRDefault="00E91106">
            <w:pPr>
              <w:pStyle w:val="10Tabletext"/>
              <w:rPr>
                <w:b w:val="0"/>
              </w:rPr>
            </w:pPr>
            <w:r w:rsidRPr="00AE0F61">
              <w:rPr>
                <w:b w:val="0"/>
              </w:rPr>
              <w:t>For-profit sector (executive or otherwise)</w:t>
            </w:r>
          </w:p>
        </w:tc>
        <w:tc>
          <w:tcPr>
            <w:tcW w:w="1276" w:type="dxa"/>
          </w:tcPr>
          <w:p w14:paraId="6DA01F12" w14:textId="77777777" w:rsidR="00E91106" w:rsidRPr="00122D95" w:rsidRDefault="00E91106">
            <w:pPr>
              <w:pStyle w:val="10Tabletext"/>
              <w:jc w:val="center"/>
              <w:cnfStyle w:val="100000000000" w:firstRow="1" w:lastRow="0" w:firstColumn="0" w:lastColumn="0" w:oddVBand="0" w:evenVBand="0" w:oddHBand="0" w:evenHBand="0" w:firstRowFirstColumn="0" w:firstRowLastColumn="0" w:lastRowFirstColumn="0" w:lastRowLastColumn="0"/>
            </w:pPr>
            <w:r>
              <w:t>19</w:t>
            </w:r>
          </w:p>
        </w:tc>
        <w:tc>
          <w:tcPr>
            <w:tcW w:w="1406" w:type="dxa"/>
            <w:tcBorders>
              <w:right w:val="nil"/>
            </w:tcBorders>
          </w:tcPr>
          <w:p w14:paraId="32D4E209" w14:textId="77777777" w:rsidR="00E91106" w:rsidRPr="00122D95" w:rsidRDefault="00E91106">
            <w:pPr>
              <w:pStyle w:val="10Tabletext"/>
              <w:jc w:val="center"/>
              <w:cnfStyle w:val="100000000000" w:firstRow="1" w:lastRow="0" w:firstColumn="0" w:lastColumn="0" w:oddVBand="0" w:evenVBand="0" w:oddHBand="0" w:evenHBand="0" w:firstRowFirstColumn="0" w:firstRowLastColumn="0" w:lastRowFirstColumn="0" w:lastRowLastColumn="0"/>
            </w:pPr>
            <w:r>
              <w:t>49</w:t>
            </w:r>
          </w:p>
        </w:tc>
      </w:tr>
      <w:tr w:rsidR="00E91106" w:rsidRPr="00122D95" w14:paraId="3510418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CE1FBCF" w14:textId="2EA1ADB0" w:rsidR="00E91106" w:rsidRPr="00AE0F61" w:rsidRDefault="00E91106">
            <w:pPr>
              <w:pStyle w:val="10Tabletext"/>
              <w:rPr>
                <w:b w:val="0"/>
              </w:rPr>
            </w:pPr>
            <w:r w:rsidRPr="00AE0F61">
              <w:rPr>
                <w:b w:val="0"/>
              </w:rPr>
              <w:t>No</w:t>
            </w:r>
            <w:r w:rsidR="00F37FA4">
              <w:rPr>
                <w:b w:val="0"/>
              </w:rPr>
              <w:t>t</w:t>
            </w:r>
            <w:r w:rsidRPr="00AE0F61">
              <w:rPr>
                <w:b w:val="0"/>
              </w:rPr>
              <w:t>-for-profit sector (executive or otherwise)</w:t>
            </w:r>
          </w:p>
        </w:tc>
        <w:tc>
          <w:tcPr>
            <w:tcW w:w="1276" w:type="dxa"/>
          </w:tcPr>
          <w:p w14:paraId="448612F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19</w:t>
            </w:r>
          </w:p>
        </w:tc>
        <w:tc>
          <w:tcPr>
            <w:tcW w:w="1406" w:type="dxa"/>
            <w:tcBorders>
              <w:right w:val="nil"/>
            </w:tcBorders>
          </w:tcPr>
          <w:p w14:paraId="66931EC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49</w:t>
            </w:r>
          </w:p>
        </w:tc>
      </w:tr>
      <w:tr w:rsidR="00E91106" w:rsidRPr="00122D95" w14:paraId="46DE116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BADFF2D" w14:textId="77777777" w:rsidR="00E91106" w:rsidRPr="00AE0F61" w:rsidRDefault="00E91106">
            <w:pPr>
              <w:pStyle w:val="10Tabletext"/>
              <w:rPr>
                <w:b w:val="0"/>
              </w:rPr>
            </w:pPr>
            <w:r w:rsidRPr="00AE0F61">
              <w:rPr>
                <w:b w:val="0"/>
              </w:rPr>
              <w:t>Executive role – different Victorian public entity</w:t>
            </w:r>
          </w:p>
        </w:tc>
        <w:tc>
          <w:tcPr>
            <w:tcW w:w="1276" w:type="dxa"/>
          </w:tcPr>
          <w:p w14:paraId="6D23513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14</w:t>
            </w:r>
          </w:p>
        </w:tc>
        <w:tc>
          <w:tcPr>
            <w:tcW w:w="1406" w:type="dxa"/>
            <w:tcBorders>
              <w:right w:val="nil"/>
            </w:tcBorders>
          </w:tcPr>
          <w:p w14:paraId="7EEF8C16"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36</w:t>
            </w:r>
          </w:p>
        </w:tc>
      </w:tr>
      <w:tr w:rsidR="00E91106" w:rsidRPr="00122D95" w14:paraId="516BCD8C"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04EFF3A" w14:textId="77777777" w:rsidR="00E91106" w:rsidRPr="00AE0F61" w:rsidRDefault="00E91106">
            <w:pPr>
              <w:pStyle w:val="10Tabletext"/>
              <w:rPr>
                <w:b w:val="0"/>
              </w:rPr>
            </w:pPr>
            <w:r w:rsidRPr="00AE0F61">
              <w:rPr>
                <w:b w:val="0"/>
              </w:rPr>
              <w:t>Other</w:t>
            </w:r>
          </w:p>
        </w:tc>
        <w:tc>
          <w:tcPr>
            <w:tcW w:w="1276" w:type="dxa"/>
          </w:tcPr>
          <w:p w14:paraId="01A2273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406" w:type="dxa"/>
            <w:tcBorders>
              <w:right w:val="nil"/>
            </w:tcBorders>
          </w:tcPr>
          <w:p w14:paraId="44C840D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21</w:t>
            </w:r>
          </w:p>
        </w:tc>
      </w:tr>
      <w:tr w:rsidR="00E91106" w:rsidRPr="00122D95" w14:paraId="4E68F56D"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FB95292" w14:textId="77777777" w:rsidR="00E91106" w:rsidRPr="00AE0F61" w:rsidRDefault="00E91106">
            <w:pPr>
              <w:pStyle w:val="10Tabletext"/>
              <w:rPr>
                <w:b w:val="0"/>
              </w:rPr>
            </w:pPr>
            <w:r w:rsidRPr="00AE0F61">
              <w:rPr>
                <w:b w:val="0"/>
              </w:rPr>
              <w:t>Executive role – public sector in another Australian jurisdiction</w:t>
            </w:r>
          </w:p>
        </w:tc>
        <w:tc>
          <w:tcPr>
            <w:tcW w:w="1276" w:type="dxa"/>
          </w:tcPr>
          <w:p w14:paraId="73A1754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406" w:type="dxa"/>
            <w:tcBorders>
              <w:right w:val="nil"/>
            </w:tcBorders>
          </w:tcPr>
          <w:p w14:paraId="141D9850"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15</w:t>
            </w:r>
          </w:p>
        </w:tc>
      </w:tr>
      <w:tr w:rsidR="00E91106" w:rsidRPr="00122D95" w14:paraId="13DA60D5"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B9C3190" w14:textId="77777777" w:rsidR="00E91106" w:rsidRPr="00AE0F61" w:rsidRDefault="00E91106">
            <w:pPr>
              <w:pStyle w:val="10Tabletext"/>
              <w:rPr>
                <w:b w:val="0"/>
              </w:rPr>
            </w:pPr>
            <w:r w:rsidRPr="00AE0F61">
              <w:rPr>
                <w:b w:val="0"/>
              </w:rPr>
              <w:t>Executive role – Victorian local government</w:t>
            </w:r>
          </w:p>
        </w:tc>
        <w:tc>
          <w:tcPr>
            <w:tcW w:w="1276" w:type="dxa"/>
          </w:tcPr>
          <w:p w14:paraId="2226286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c>
          <w:tcPr>
            <w:tcW w:w="1406" w:type="dxa"/>
            <w:tcBorders>
              <w:right w:val="nil"/>
            </w:tcBorders>
          </w:tcPr>
          <w:p w14:paraId="2CE9792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w:t>
            </w:r>
          </w:p>
        </w:tc>
      </w:tr>
      <w:tr w:rsidR="00E91106" w:rsidRPr="00122D95" w14:paraId="2E9DD871"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BC188AC" w14:textId="77777777" w:rsidR="00E91106" w:rsidRPr="00AE0F61" w:rsidRDefault="00E91106">
            <w:pPr>
              <w:pStyle w:val="10Tabletext"/>
              <w:rPr>
                <w:b w:val="0"/>
              </w:rPr>
            </w:pPr>
            <w:r w:rsidRPr="00AE0F61">
              <w:rPr>
                <w:b w:val="0"/>
              </w:rPr>
              <w:lastRenderedPageBreak/>
              <w:t>Executive role – VPS</w:t>
            </w:r>
          </w:p>
        </w:tc>
        <w:tc>
          <w:tcPr>
            <w:tcW w:w="1276" w:type="dxa"/>
          </w:tcPr>
          <w:p w14:paraId="0AA4F84B"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c>
          <w:tcPr>
            <w:tcW w:w="1406" w:type="dxa"/>
            <w:tcBorders>
              <w:right w:val="nil"/>
            </w:tcBorders>
          </w:tcPr>
          <w:p w14:paraId="75D6057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r>
      <w:tr w:rsidR="00E91106" w:rsidRPr="00122D95" w14:paraId="63CCB73D"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88531E7" w14:textId="77777777" w:rsidR="00E91106" w:rsidRPr="00AE0F61" w:rsidRDefault="00E91106">
            <w:pPr>
              <w:pStyle w:val="10Tabletext"/>
              <w:rPr>
                <w:b w:val="0"/>
              </w:rPr>
            </w:pPr>
            <w:r w:rsidRPr="00AE0F61">
              <w:rPr>
                <w:b w:val="0"/>
              </w:rPr>
              <w:t>Non-executive role – different Victorian public entity</w:t>
            </w:r>
          </w:p>
        </w:tc>
        <w:tc>
          <w:tcPr>
            <w:tcW w:w="1276" w:type="dxa"/>
          </w:tcPr>
          <w:p w14:paraId="28D8565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c>
          <w:tcPr>
            <w:tcW w:w="1406" w:type="dxa"/>
            <w:tcBorders>
              <w:right w:val="nil"/>
            </w:tcBorders>
          </w:tcPr>
          <w:p w14:paraId="0E7619E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r>
      <w:tr w:rsidR="00E91106" w:rsidRPr="00122D95" w14:paraId="3E72494D"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F9E96D2" w14:textId="77777777" w:rsidR="00E91106" w:rsidRPr="00AE0F61" w:rsidRDefault="00E91106">
            <w:pPr>
              <w:pStyle w:val="10Tabletext"/>
              <w:rPr>
                <w:b w:val="0"/>
              </w:rPr>
            </w:pPr>
            <w:r w:rsidRPr="00AE0F61">
              <w:rPr>
                <w:b w:val="0"/>
              </w:rPr>
              <w:t>Non-executive role – public sector in another Australian jurisdiction</w:t>
            </w:r>
          </w:p>
        </w:tc>
        <w:tc>
          <w:tcPr>
            <w:tcW w:w="1276" w:type="dxa"/>
          </w:tcPr>
          <w:p w14:paraId="420CD33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w:t>
            </w:r>
          </w:p>
        </w:tc>
        <w:tc>
          <w:tcPr>
            <w:tcW w:w="1406" w:type="dxa"/>
            <w:tcBorders>
              <w:right w:val="nil"/>
            </w:tcBorders>
          </w:tcPr>
          <w:p w14:paraId="010F2E5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r>
      <w:tr w:rsidR="00E91106" w:rsidRPr="00122D95" w14:paraId="13BB3B1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172EC8F" w14:textId="77777777" w:rsidR="00E91106" w:rsidRPr="00AE0F61" w:rsidRDefault="00E91106">
            <w:pPr>
              <w:pStyle w:val="10Tabletext"/>
              <w:rPr>
                <w:b w:val="0"/>
              </w:rPr>
            </w:pPr>
            <w:r w:rsidRPr="00AE0F61">
              <w:rPr>
                <w:b w:val="0"/>
              </w:rPr>
              <w:t>Non-executive role – Victorian local government</w:t>
            </w:r>
          </w:p>
        </w:tc>
        <w:tc>
          <w:tcPr>
            <w:tcW w:w="1276" w:type="dxa"/>
          </w:tcPr>
          <w:p w14:paraId="70EA0A3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c>
          <w:tcPr>
            <w:tcW w:w="1406" w:type="dxa"/>
            <w:tcBorders>
              <w:right w:val="nil"/>
            </w:tcBorders>
          </w:tcPr>
          <w:p w14:paraId="5D9762E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r>
      <w:tr w:rsidR="00E91106" w:rsidRPr="00122D95" w14:paraId="1EAC1442"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0D60FFD" w14:textId="77777777" w:rsidR="00E91106" w:rsidRPr="00AE0F61" w:rsidRDefault="00E91106">
            <w:pPr>
              <w:pStyle w:val="10Tabletext"/>
              <w:rPr>
                <w:b w:val="0"/>
              </w:rPr>
            </w:pPr>
            <w:r w:rsidRPr="00AE0F61">
              <w:rPr>
                <w:b w:val="0"/>
              </w:rPr>
              <w:t>Non-executive role – VPS</w:t>
            </w:r>
          </w:p>
        </w:tc>
        <w:tc>
          <w:tcPr>
            <w:tcW w:w="1276" w:type="dxa"/>
          </w:tcPr>
          <w:p w14:paraId="7F300658"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c>
          <w:tcPr>
            <w:tcW w:w="1406" w:type="dxa"/>
            <w:tcBorders>
              <w:right w:val="nil"/>
            </w:tcBorders>
          </w:tcPr>
          <w:p w14:paraId="707048F7"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r>
      <w:tr w:rsidR="00E91106" w:rsidRPr="00122D95" w14:paraId="22B3CD6C"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A91EA70" w14:textId="77777777" w:rsidR="00E91106" w:rsidRPr="00122D95" w:rsidRDefault="00E91106">
            <w:pPr>
              <w:pStyle w:val="10Tabletext"/>
            </w:pPr>
            <w:r w:rsidRPr="00122D95">
              <w:t>Total</w:t>
            </w:r>
            <w:r>
              <w:t xml:space="preserve"> respondents</w:t>
            </w:r>
          </w:p>
        </w:tc>
        <w:tc>
          <w:tcPr>
            <w:tcW w:w="1276" w:type="dxa"/>
          </w:tcPr>
          <w:p w14:paraId="5ADBA8F2" w14:textId="77777777" w:rsidR="00E91106" w:rsidRPr="00AE0F61"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AE0F61">
              <w:rPr>
                <w:b/>
              </w:rPr>
              <w:t>39</w:t>
            </w:r>
          </w:p>
        </w:tc>
        <w:tc>
          <w:tcPr>
            <w:tcW w:w="1406" w:type="dxa"/>
            <w:tcBorders>
              <w:right w:val="nil"/>
            </w:tcBorders>
          </w:tcPr>
          <w:p w14:paraId="37ED3916" w14:textId="77777777" w:rsidR="00E91106" w:rsidRPr="00AE0F61"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66DC6633" w14:textId="38887128" w:rsidR="00E91106" w:rsidRPr="00122D95" w:rsidRDefault="00E91106">
      <w:pPr>
        <w:pStyle w:val="09Sourcesandnotesfortablesfiguresboxes"/>
      </w:pPr>
      <w:r w:rsidRPr="00122D95">
        <w:t>Note</w:t>
      </w:r>
      <w:r w:rsidR="00AE0F61">
        <w:t>s</w:t>
      </w:r>
      <w:r w:rsidRPr="00122D95">
        <w:t>:</w:t>
      </w:r>
      <w:r>
        <w:t xml:space="preserve"> (a)</w:t>
      </w:r>
      <w:r w:rsidRPr="00122D95">
        <w:t xml:space="preserve"> This question was only asked to respondents who answered ‘6 months or less’ or ‘Over 6 months and up to 1 year’ in Table A.</w:t>
      </w:r>
      <w:r>
        <w:t>10</w:t>
      </w:r>
      <w:r w:rsidRPr="00122D95">
        <w:t>.</w:t>
      </w:r>
      <w:r>
        <w:t xml:space="preserve"> (b) </w:t>
      </w:r>
      <w:r w:rsidRPr="00301F68">
        <w:t xml:space="preserve">The sum of the percentages in this table exceeds 100 per cent </w:t>
      </w:r>
      <w:r w:rsidRPr="001B778C">
        <w:t>as respondents were asked to select multiple options if applicable.</w:t>
      </w:r>
    </w:p>
    <w:p w14:paraId="304994AF" w14:textId="77777777" w:rsidR="00E91106" w:rsidRPr="00122D95" w:rsidRDefault="00E91106">
      <w:pPr>
        <w:pStyle w:val="05Paragraph"/>
      </w:pPr>
      <w:r w:rsidRPr="00122D95">
        <w:t>Of those indicat</w:t>
      </w:r>
      <w:r>
        <w:t>ing</w:t>
      </w:r>
      <w:r w:rsidRPr="00122D95">
        <w:t xml:space="preserve"> they planned to stay </w:t>
      </w:r>
      <w:r>
        <w:t>with their current employer</w:t>
      </w:r>
      <w:r w:rsidRPr="00122D95">
        <w:t xml:space="preserve"> for at least one year or more, 6</w:t>
      </w:r>
      <w:r>
        <w:t>4</w:t>
      </w:r>
      <w:r w:rsidRPr="00122D95">
        <w:t xml:space="preserve"> per cent said this was due to </w:t>
      </w:r>
      <w:r>
        <w:t>belief in the purpose and objective of their organisation or role</w:t>
      </w:r>
      <w:r w:rsidRPr="00122D95">
        <w:t xml:space="preserve"> (Table A.1</w:t>
      </w:r>
      <w:r>
        <w:t>3</w:t>
      </w:r>
      <w:r w:rsidRPr="00122D95">
        <w:t xml:space="preserve">). </w:t>
      </w:r>
      <w:r>
        <w:t xml:space="preserve">TRP was cited as a </w:t>
      </w:r>
      <w:r w:rsidRPr="00122D95">
        <w:t xml:space="preserve">factor influencing their decision to remain </w:t>
      </w:r>
      <w:r>
        <w:t>with their current employer by 44 per cent of respondents.</w:t>
      </w:r>
    </w:p>
    <w:p w14:paraId="11D9D578" w14:textId="77777777" w:rsidR="00E91106" w:rsidRPr="00122D95" w:rsidRDefault="00E91106">
      <w:pPr>
        <w:pStyle w:val="08Figuretableboxheading"/>
      </w:pPr>
      <w:r w:rsidRPr="00122D95">
        <w:t>Table A.1</w:t>
      </w:r>
      <w:r>
        <w:t>3</w:t>
      </w:r>
      <w:r w:rsidRPr="00122D95">
        <w:t xml:space="preserve">: Which </w:t>
      </w:r>
      <w:r>
        <w:t xml:space="preserve">factors most influence your intention to stay working in your current </w:t>
      </w:r>
      <w:proofErr w:type="gramStart"/>
      <w:r>
        <w:t>organisation</w:t>
      </w:r>
      <w:r w:rsidRPr="00122D95">
        <w:t>?</w:t>
      </w:r>
      <w:r>
        <w:rPr>
          <w:vertAlign w:val="superscript"/>
        </w:rPr>
        <w:t>(</w:t>
      </w:r>
      <w:proofErr w:type="gramEnd"/>
      <w:r>
        <w:rPr>
          <w:vertAlign w:val="superscript"/>
        </w:rPr>
        <w:t>a)</w:t>
      </w:r>
      <w:r w:rsidRPr="00122D95">
        <w:t xml:space="preserve"> Please select up to three.</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7248F" w14:paraId="2051D679" w14:textId="77777777" w:rsidTr="007C1A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3EC5D284" w14:textId="4B54C1A3" w:rsidR="007C1A06" w:rsidRPr="0017248F" w:rsidRDefault="007C1A06" w:rsidP="007C1A06">
            <w:pPr>
              <w:pStyle w:val="10Tabletext"/>
            </w:pPr>
            <w:r w:rsidRPr="00A873C2">
              <w:t>Answer choices</w:t>
            </w:r>
          </w:p>
        </w:tc>
        <w:tc>
          <w:tcPr>
            <w:tcW w:w="1276" w:type="dxa"/>
          </w:tcPr>
          <w:p w14:paraId="4629D876" w14:textId="37713BA8"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A873C2">
              <w:t>Number of responses</w:t>
            </w:r>
          </w:p>
        </w:tc>
        <w:tc>
          <w:tcPr>
            <w:tcW w:w="1406" w:type="dxa"/>
            <w:tcBorders>
              <w:right w:val="nil"/>
            </w:tcBorders>
          </w:tcPr>
          <w:p w14:paraId="4E61FDC9" w14:textId="3EF4A4BE"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A873C2">
              <w:t>% of responses</w:t>
            </w:r>
            <w:r>
              <w:rPr>
                <w:vertAlign w:val="superscript"/>
              </w:rPr>
              <w:t>(b)</w:t>
            </w:r>
          </w:p>
        </w:tc>
      </w:tr>
      <w:tr w:rsidR="00E91106" w:rsidRPr="00122D95" w14:paraId="4F10372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E9D9A3F" w14:textId="77777777" w:rsidR="00E91106" w:rsidRPr="00E068FB" w:rsidRDefault="00E91106">
            <w:pPr>
              <w:pStyle w:val="10Tabletext"/>
              <w:rPr>
                <w:b w:val="0"/>
              </w:rPr>
            </w:pPr>
            <w:r w:rsidRPr="00E068FB">
              <w:rPr>
                <w:b w:val="0"/>
              </w:rPr>
              <w:t>Belief in the purpose and objective of my organisation or my role</w:t>
            </w:r>
          </w:p>
        </w:tc>
        <w:tc>
          <w:tcPr>
            <w:tcW w:w="1276" w:type="dxa"/>
          </w:tcPr>
          <w:p w14:paraId="7F336F3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156</w:t>
            </w:r>
          </w:p>
        </w:tc>
        <w:tc>
          <w:tcPr>
            <w:tcW w:w="1406" w:type="dxa"/>
            <w:tcBorders>
              <w:right w:val="nil"/>
            </w:tcBorders>
          </w:tcPr>
          <w:p w14:paraId="733EE62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64</w:t>
            </w:r>
          </w:p>
        </w:tc>
      </w:tr>
      <w:tr w:rsidR="00E91106" w:rsidRPr="00122D95" w14:paraId="5CC268FE"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C212DBC" w14:textId="77777777" w:rsidR="00E91106" w:rsidRPr="00E068FB" w:rsidRDefault="00E91106">
            <w:pPr>
              <w:pStyle w:val="10Tabletext"/>
              <w:rPr>
                <w:b w:val="0"/>
              </w:rPr>
            </w:pPr>
            <w:r w:rsidRPr="00E068FB">
              <w:rPr>
                <w:b w:val="0"/>
              </w:rPr>
              <w:t>Type/nature of work (e.g. interesting, challenging, specialised, autonomous)</w:t>
            </w:r>
          </w:p>
        </w:tc>
        <w:tc>
          <w:tcPr>
            <w:tcW w:w="1276" w:type="dxa"/>
          </w:tcPr>
          <w:p w14:paraId="5FE4593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145</w:t>
            </w:r>
          </w:p>
        </w:tc>
        <w:tc>
          <w:tcPr>
            <w:tcW w:w="1406" w:type="dxa"/>
            <w:tcBorders>
              <w:right w:val="nil"/>
            </w:tcBorders>
          </w:tcPr>
          <w:p w14:paraId="563F7D9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59</w:t>
            </w:r>
          </w:p>
        </w:tc>
      </w:tr>
      <w:tr w:rsidR="00E91106" w:rsidRPr="00122D95" w14:paraId="6C347689"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942AF44" w14:textId="77777777" w:rsidR="00E91106" w:rsidRPr="00E068FB" w:rsidRDefault="00E91106">
            <w:pPr>
              <w:pStyle w:val="10Tabletext"/>
              <w:rPr>
                <w:b w:val="0"/>
              </w:rPr>
            </w:pPr>
            <w:r w:rsidRPr="00E068FB">
              <w:rPr>
                <w:b w:val="0"/>
              </w:rPr>
              <w:t>Total remuneration package</w:t>
            </w:r>
          </w:p>
        </w:tc>
        <w:tc>
          <w:tcPr>
            <w:tcW w:w="1276" w:type="dxa"/>
          </w:tcPr>
          <w:p w14:paraId="7E4A991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108</w:t>
            </w:r>
          </w:p>
        </w:tc>
        <w:tc>
          <w:tcPr>
            <w:tcW w:w="1406" w:type="dxa"/>
            <w:tcBorders>
              <w:right w:val="nil"/>
            </w:tcBorders>
          </w:tcPr>
          <w:p w14:paraId="0EE116C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44</w:t>
            </w:r>
          </w:p>
        </w:tc>
      </w:tr>
      <w:tr w:rsidR="00E91106" w:rsidRPr="00122D95" w14:paraId="43B9BCD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3B44B39" w14:textId="77777777" w:rsidR="00E91106" w:rsidRPr="00E068FB" w:rsidRDefault="00E91106">
            <w:pPr>
              <w:pStyle w:val="10Tabletext"/>
              <w:rPr>
                <w:b w:val="0"/>
              </w:rPr>
            </w:pPr>
            <w:r w:rsidRPr="00E068FB">
              <w:rPr>
                <w:b w:val="0"/>
              </w:rPr>
              <w:t>Quality of leadership</w:t>
            </w:r>
          </w:p>
        </w:tc>
        <w:tc>
          <w:tcPr>
            <w:tcW w:w="1276" w:type="dxa"/>
          </w:tcPr>
          <w:p w14:paraId="26B6A17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94</w:t>
            </w:r>
          </w:p>
        </w:tc>
        <w:tc>
          <w:tcPr>
            <w:tcW w:w="1406" w:type="dxa"/>
            <w:tcBorders>
              <w:right w:val="nil"/>
            </w:tcBorders>
          </w:tcPr>
          <w:p w14:paraId="475C872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38</w:t>
            </w:r>
          </w:p>
        </w:tc>
      </w:tr>
      <w:tr w:rsidR="00E91106" w:rsidRPr="00122D95" w14:paraId="6A01BC97"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78F07A8" w14:textId="77777777" w:rsidR="00E91106" w:rsidRPr="00E068FB" w:rsidRDefault="00E91106">
            <w:pPr>
              <w:pStyle w:val="10Tabletext"/>
              <w:rPr>
                <w:b w:val="0"/>
              </w:rPr>
            </w:pPr>
            <w:r w:rsidRPr="00E068FB">
              <w:rPr>
                <w:b w:val="0"/>
              </w:rPr>
              <w:t>Service to the Victorian public (or opportunity to contribute to the community)</w:t>
            </w:r>
          </w:p>
        </w:tc>
        <w:tc>
          <w:tcPr>
            <w:tcW w:w="1276" w:type="dxa"/>
          </w:tcPr>
          <w:p w14:paraId="552599A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92</w:t>
            </w:r>
          </w:p>
        </w:tc>
        <w:tc>
          <w:tcPr>
            <w:tcW w:w="1406" w:type="dxa"/>
            <w:tcBorders>
              <w:right w:val="nil"/>
            </w:tcBorders>
          </w:tcPr>
          <w:p w14:paraId="1E84DC3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38</w:t>
            </w:r>
          </w:p>
        </w:tc>
      </w:tr>
      <w:tr w:rsidR="00E91106" w:rsidRPr="00122D95" w14:paraId="004C8717"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FACE20B" w14:textId="77777777" w:rsidR="00E91106" w:rsidRPr="00E068FB" w:rsidRDefault="00E91106">
            <w:pPr>
              <w:pStyle w:val="10Tabletext"/>
              <w:rPr>
                <w:b w:val="0"/>
              </w:rPr>
            </w:pPr>
            <w:r w:rsidRPr="00E068FB">
              <w:rPr>
                <w:b w:val="0"/>
              </w:rPr>
              <w:t>Workplace relationships with colleagues</w:t>
            </w:r>
          </w:p>
        </w:tc>
        <w:tc>
          <w:tcPr>
            <w:tcW w:w="1276" w:type="dxa"/>
          </w:tcPr>
          <w:p w14:paraId="06689D2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70</w:t>
            </w:r>
          </w:p>
        </w:tc>
        <w:tc>
          <w:tcPr>
            <w:tcW w:w="1406" w:type="dxa"/>
            <w:tcBorders>
              <w:right w:val="nil"/>
            </w:tcBorders>
          </w:tcPr>
          <w:p w14:paraId="7660F2B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29</w:t>
            </w:r>
          </w:p>
        </w:tc>
      </w:tr>
      <w:tr w:rsidR="00E91106" w:rsidRPr="00122D95" w14:paraId="6A3A745C"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2E735C8" w14:textId="77777777" w:rsidR="00E91106" w:rsidRPr="00E068FB" w:rsidRDefault="00E91106">
            <w:pPr>
              <w:pStyle w:val="10Tabletext"/>
              <w:rPr>
                <w:b w:val="0"/>
              </w:rPr>
            </w:pPr>
            <w:r w:rsidRPr="00E068FB">
              <w:rPr>
                <w:b w:val="0"/>
              </w:rPr>
              <w:t>Location of work</w:t>
            </w:r>
          </w:p>
        </w:tc>
        <w:tc>
          <w:tcPr>
            <w:tcW w:w="1276" w:type="dxa"/>
          </w:tcPr>
          <w:p w14:paraId="4B06E484"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51</w:t>
            </w:r>
          </w:p>
        </w:tc>
        <w:tc>
          <w:tcPr>
            <w:tcW w:w="1406" w:type="dxa"/>
            <w:tcBorders>
              <w:right w:val="nil"/>
            </w:tcBorders>
          </w:tcPr>
          <w:p w14:paraId="6279804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21</w:t>
            </w:r>
          </w:p>
        </w:tc>
      </w:tr>
      <w:tr w:rsidR="00E91106" w:rsidRPr="00122D95" w14:paraId="5CC451F4"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F8EEE72" w14:textId="77777777" w:rsidR="00E91106" w:rsidRPr="00E068FB" w:rsidRDefault="00E91106">
            <w:pPr>
              <w:pStyle w:val="10Tabletext"/>
              <w:rPr>
                <w:b w:val="0"/>
              </w:rPr>
            </w:pPr>
            <w:r w:rsidRPr="00E068FB">
              <w:rPr>
                <w:b w:val="0"/>
              </w:rPr>
              <w:t>Professional development opportunities</w:t>
            </w:r>
          </w:p>
        </w:tc>
        <w:tc>
          <w:tcPr>
            <w:tcW w:w="1276" w:type="dxa"/>
          </w:tcPr>
          <w:p w14:paraId="095E836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48</w:t>
            </w:r>
          </w:p>
        </w:tc>
        <w:tc>
          <w:tcPr>
            <w:tcW w:w="1406" w:type="dxa"/>
            <w:tcBorders>
              <w:right w:val="nil"/>
            </w:tcBorders>
          </w:tcPr>
          <w:p w14:paraId="09E2CC4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r>
      <w:tr w:rsidR="00E91106" w:rsidRPr="00122D95" w14:paraId="75AD598D"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288EF61" w14:textId="77777777" w:rsidR="00E91106" w:rsidRPr="00E068FB" w:rsidRDefault="00E91106">
            <w:pPr>
              <w:pStyle w:val="10Tabletext"/>
              <w:rPr>
                <w:b w:val="0"/>
              </w:rPr>
            </w:pPr>
            <w:r w:rsidRPr="00E068FB">
              <w:rPr>
                <w:b w:val="0"/>
              </w:rPr>
              <w:t>Inclusive work environment</w:t>
            </w:r>
          </w:p>
        </w:tc>
        <w:tc>
          <w:tcPr>
            <w:tcW w:w="1276" w:type="dxa"/>
          </w:tcPr>
          <w:p w14:paraId="0A54521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44</w:t>
            </w:r>
          </w:p>
        </w:tc>
        <w:tc>
          <w:tcPr>
            <w:tcW w:w="1406" w:type="dxa"/>
            <w:tcBorders>
              <w:right w:val="nil"/>
            </w:tcBorders>
          </w:tcPr>
          <w:p w14:paraId="5FDE7EA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18</w:t>
            </w:r>
          </w:p>
        </w:tc>
      </w:tr>
      <w:tr w:rsidR="00E91106" w:rsidRPr="00122D95" w14:paraId="295DF6C4"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6517FB8" w14:textId="77777777" w:rsidR="00E91106" w:rsidRPr="00E068FB" w:rsidRDefault="00E91106">
            <w:pPr>
              <w:pStyle w:val="10Tabletext"/>
              <w:rPr>
                <w:b w:val="0"/>
              </w:rPr>
            </w:pPr>
            <w:r w:rsidRPr="00E068FB">
              <w:rPr>
                <w:b w:val="0"/>
              </w:rPr>
              <w:t>Non-monetary employment conditions (e.g. leave, flexible work arrangements, other benefits)</w:t>
            </w:r>
          </w:p>
        </w:tc>
        <w:tc>
          <w:tcPr>
            <w:tcW w:w="1276" w:type="dxa"/>
          </w:tcPr>
          <w:p w14:paraId="4F9D754F"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40</w:t>
            </w:r>
          </w:p>
        </w:tc>
        <w:tc>
          <w:tcPr>
            <w:tcW w:w="1406" w:type="dxa"/>
            <w:tcBorders>
              <w:right w:val="nil"/>
            </w:tcBorders>
          </w:tcPr>
          <w:p w14:paraId="66AA2BC4"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16</w:t>
            </w:r>
          </w:p>
        </w:tc>
      </w:tr>
      <w:tr w:rsidR="00E91106" w:rsidRPr="00122D95" w14:paraId="545709F7"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4D07AA6" w14:textId="77777777" w:rsidR="00E91106" w:rsidRPr="00E068FB" w:rsidRDefault="00E91106">
            <w:pPr>
              <w:pStyle w:val="10Tabletext"/>
              <w:rPr>
                <w:b w:val="0"/>
              </w:rPr>
            </w:pPr>
            <w:r w:rsidRPr="00E068FB">
              <w:rPr>
                <w:b w:val="0"/>
              </w:rPr>
              <w:t>Contract length</w:t>
            </w:r>
          </w:p>
        </w:tc>
        <w:tc>
          <w:tcPr>
            <w:tcW w:w="1276" w:type="dxa"/>
          </w:tcPr>
          <w:p w14:paraId="1CFDE3AF"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40</w:t>
            </w:r>
          </w:p>
        </w:tc>
        <w:tc>
          <w:tcPr>
            <w:tcW w:w="1406" w:type="dxa"/>
            <w:tcBorders>
              <w:right w:val="nil"/>
            </w:tcBorders>
          </w:tcPr>
          <w:p w14:paraId="53147EF3"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16</w:t>
            </w:r>
          </w:p>
        </w:tc>
      </w:tr>
      <w:tr w:rsidR="00E91106" w:rsidRPr="00122D95" w14:paraId="15F3F474"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A2632D5" w14:textId="77777777" w:rsidR="00E91106" w:rsidRPr="00E068FB" w:rsidRDefault="00E91106">
            <w:pPr>
              <w:pStyle w:val="10Tabletext"/>
              <w:rPr>
                <w:b w:val="0"/>
              </w:rPr>
            </w:pPr>
            <w:r w:rsidRPr="00E068FB">
              <w:rPr>
                <w:b w:val="0"/>
              </w:rPr>
              <w:t>Level of workload</w:t>
            </w:r>
          </w:p>
        </w:tc>
        <w:tc>
          <w:tcPr>
            <w:tcW w:w="1276" w:type="dxa"/>
          </w:tcPr>
          <w:p w14:paraId="1678D0A6"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24</w:t>
            </w:r>
          </w:p>
        </w:tc>
        <w:tc>
          <w:tcPr>
            <w:tcW w:w="1406" w:type="dxa"/>
            <w:tcBorders>
              <w:right w:val="nil"/>
            </w:tcBorders>
          </w:tcPr>
          <w:p w14:paraId="33E93DC8"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r>
      <w:tr w:rsidR="00E91106" w:rsidRPr="00122D95" w14:paraId="5F05A5B2"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AF5D4F7" w14:textId="77777777" w:rsidR="00E91106" w:rsidRPr="00E068FB" w:rsidRDefault="00E91106">
            <w:pPr>
              <w:pStyle w:val="10Tabletext"/>
              <w:rPr>
                <w:b w:val="0"/>
              </w:rPr>
            </w:pPr>
            <w:r w:rsidRPr="00E068FB">
              <w:rPr>
                <w:b w:val="0"/>
              </w:rPr>
              <w:t>Career prestige or advancement</w:t>
            </w:r>
          </w:p>
        </w:tc>
        <w:tc>
          <w:tcPr>
            <w:tcW w:w="1276" w:type="dxa"/>
          </w:tcPr>
          <w:p w14:paraId="53F7E4DE"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22</w:t>
            </w:r>
          </w:p>
        </w:tc>
        <w:tc>
          <w:tcPr>
            <w:tcW w:w="1406" w:type="dxa"/>
            <w:tcBorders>
              <w:right w:val="nil"/>
            </w:tcBorders>
          </w:tcPr>
          <w:p w14:paraId="6813EA05"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w:t>
            </w:r>
          </w:p>
        </w:tc>
      </w:tr>
      <w:tr w:rsidR="00E91106" w:rsidRPr="00122D95" w14:paraId="76BC962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6B27C5F" w14:textId="77777777" w:rsidR="00E91106" w:rsidRPr="00E068FB" w:rsidRDefault="00E91106">
            <w:pPr>
              <w:pStyle w:val="10Tabletext"/>
              <w:rPr>
                <w:b w:val="0"/>
              </w:rPr>
            </w:pPr>
            <w:r w:rsidRPr="00E068FB">
              <w:rPr>
                <w:b w:val="0"/>
              </w:rPr>
              <w:t>Lack of suitable alternative job prospects</w:t>
            </w:r>
          </w:p>
        </w:tc>
        <w:tc>
          <w:tcPr>
            <w:tcW w:w="1276" w:type="dxa"/>
          </w:tcPr>
          <w:p w14:paraId="385A3921"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12</w:t>
            </w:r>
          </w:p>
        </w:tc>
        <w:tc>
          <w:tcPr>
            <w:tcW w:w="1406" w:type="dxa"/>
            <w:tcBorders>
              <w:right w:val="nil"/>
            </w:tcBorders>
          </w:tcPr>
          <w:p w14:paraId="784E8120"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w:t>
            </w:r>
          </w:p>
        </w:tc>
      </w:tr>
      <w:tr w:rsidR="00E91106" w:rsidRPr="00122D95" w14:paraId="5F34FF31"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BD9DF0A" w14:textId="77777777" w:rsidR="00E91106" w:rsidRPr="00E068FB" w:rsidRDefault="00E91106">
            <w:pPr>
              <w:pStyle w:val="10Tabletext"/>
              <w:rPr>
                <w:b w:val="0"/>
              </w:rPr>
            </w:pPr>
            <w:r w:rsidRPr="00E068FB">
              <w:rPr>
                <w:b w:val="0"/>
              </w:rPr>
              <w:t>Other</w:t>
            </w:r>
          </w:p>
        </w:tc>
        <w:tc>
          <w:tcPr>
            <w:tcW w:w="1276" w:type="dxa"/>
          </w:tcPr>
          <w:p w14:paraId="304E605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406" w:type="dxa"/>
            <w:tcBorders>
              <w:right w:val="nil"/>
            </w:tcBorders>
          </w:tcPr>
          <w:p w14:paraId="49D3D8E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r>
      <w:tr w:rsidR="00E91106" w:rsidRPr="00122D95" w14:paraId="05B06819"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F2EDC83" w14:textId="77777777" w:rsidR="00E91106" w:rsidRPr="00122D95" w:rsidRDefault="00E91106">
            <w:pPr>
              <w:pStyle w:val="10Tabletext"/>
            </w:pPr>
            <w:r w:rsidRPr="00122D95">
              <w:t>Total</w:t>
            </w:r>
            <w:r>
              <w:t xml:space="preserve"> respondents</w:t>
            </w:r>
          </w:p>
        </w:tc>
        <w:tc>
          <w:tcPr>
            <w:tcW w:w="1276" w:type="dxa"/>
          </w:tcPr>
          <w:p w14:paraId="13CE3BAC" w14:textId="77777777" w:rsidR="00E91106" w:rsidRPr="00E068FB"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E068FB">
              <w:rPr>
                <w:b/>
              </w:rPr>
              <w:t>245</w:t>
            </w:r>
          </w:p>
        </w:tc>
        <w:tc>
          <w:tcPr>
            <w:tcW w:w="1406" w:type="dxa"/>
            <w:tcBorders>
              <w:right w:val="nil"/>
            </w:tcBorders>
          </w:tcPr>
          <w:p w14:paraId="69D40428" w14:textId="77777777" w:rsidR="00E91106" w:rsidRPr="00E068FB"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5B963A55" w14:textId="359F6C7B" w:rsidR="00E91106" w:rsidRPr="00122D95" w:rsidRDefault="00E91106">
      <w:pPr>
        <w:pStyle w:val="09Sourcesandnotesfortablesfiguresboxes"/>
      </w:pPr>
      <w:r w:rsidRPr="00122D95">
        <w:t>Note</w:t>
      </w:r>
      <w:r w:rsidR="00E068FB">
        <w:t>s</w:t>
      </w:r>
      <w:r w:rsidRPr="00122D95">
        <w:t xml:space="preserve">: </w:t>
      </w:r>
      <w:r>
        <w:t>(a)</w:t>
      </w:r>
      <w:r w:rsidRPr="00122D95">
        <w:t xml:space="preserve"> This question was only asked to respondents who answered ‘Over 1 year and up to 3 years’, ‘Over 3 years and up to 5 years’ or ‘Over 5 years’ in Table A.</w:t>
      </w:r>
      <w:r>
        <w:t>10</w:t>
      </w:r>
      <w:r w:rsidRPr="00122D95">
        <w:t>.</w:t>
      </w:r>
      <w:r>
        <w:t xml:space="preserve"> (b) </w:t>
      </w:r>
      <w:r w:rsidRPr="00301F68">
        <w:t xml:space="preserve">The sum of the percentages in this table exceeds 100 per cent </w:t>
      </w:r>
      <w:r w:rsidRPr="001B778C">
        <w:t>as respondents were asked to select multiple options if applicable.</w:t>
      </w:r>
    </w:p>
    <w:p w14:paraId="58E1DC7A" w14:textId="77777777" w:rsidR="00E91106" w:rsidRPr="00122D95" w:rsidRDefault="00E91106" w:rsidP="00662054">
      <w:pPr>
        <w:pStyle w:val="03VIRTHeading3"/>
      </w:pPr>
      <w:r w:rsidRPr="00122D95">
        <w:lastRenderedPageBreak/>
        <w:t xml:space="preserve">Attracting and retaining </w:t>
      </w:r>
      <w:r>
        <w:t>public entity</w:t>
      </w:r>
      <w:r w:rsidRPr="00122D95">
        <w:t xml:space="preserve"> executives</w:t>
      </w:r>
    </w:p>
    <w:p w14:paraId="6BD427C8" w14:textId="5F00486E" w:rsidR="00E91106" w:rsidRPr="00122D95" w:rsidRDefault="00E91106">
      <w:pPr>
        <w:pStyle w:val="05Paragraph"/>
      </w:pPr>
      <w:r w:rsidRPr="00122D95">
        <w:t xml:space="preserve">Respondents were asked if they </w:t>
      </w:r>
      <w:r>
        <w:t>were</w:t>
      </w:r>
      <w:r w:rsidRPr="00122D95">
        <w:t xml:space="preserve"> involved specifically in recruiting </w:t>
      </w:r>
      <w:r>
        <w:t>public entity</w:t>
      </w:r>
      <w:r w:rsidRPr="00122D95">
        <w:t xml:space="preserve"> executives (Table A.1</w:t>
      </w:r>
      <w:r>
        <w:t>4</w:t>
      </w:r>
      <w:r w:rsidRPr="00122D95">
        <w:t xml:space="preserve">). Those that answered ‘no’ skipped the seven questions in </w:t>
      </w:r>
      <w:r w:rsidR="00FC0A95">
        <w:t>T</w:t>
      </w:r>
      <w:r w:rsidRPr="00122D95">
        <w:t>ables A.1</w:t>
      </w:r>
      <w:r>
        <w:t>5</w:t>
      </w:r>
      <w:r w:rsidRPr="00122D95">
        <w:t xml:space="preserve"> to A.</w:t>
      </w:r>
      <w:r w:rsidRPr="00E12AD2">
        <w:t>2</w:t>
      </w:r>
      <w:r>
        <w:t>1</w:t>
      </w:r>
      <w:r w:rsidRPr="00122D95">
        <w:t>.</w:t>
      </w:r>
    </w:p>
    <w:p w14:paraId="45072056" w14:textId="77777777" w:rsidR="00E91106" w:rsidRPr="00122D95" w:rsidRDefault="00E91106">
      <w:pPr>
        <w:pStyle w:val="08Figuretableboxheading"/>
      </w:pPr>
      <w:r w:rsidRPr="00241F95">
        <w:t>Table A.1</w:t>
      </w:r>
      <w:r>
        <w:t>4</w:t>
      </w:r>
      <w:r w:rsidRPr="00122D95">
        <w:t xml:space="preserve">: Are you involved in recruiting </w:t>
      </w:r>
      <w:r>
        <w:t>public entity</w:t>
      </w:r>
      <w:r w:rsidRPr="00122D95">
        <w:t xml:space="preserve"> executives?</w:t>
      </w:r>
    </w:p>
    <w:tbl>
      <w:tblPr>
        <w:tblStyle w:val="ListTable3-Accent1"/>
        <w:tblW w:w="0" w:type="auto"/>
        <w:jc w:val="center"/>
        <w:tblLayout w:type="fixed"/>
        <w:tblLook w:val="04A0" w:firstRow="1" w:lastRow="0" w:firstColumn="1" w:lastColumn="0" w:noHBand="0" w:noVBand="1"/>
      </w:tblPr>
      <w:tblGrid>
        <w:gridCol w:w="3399"/>
        <w:gridCol w:w="2697"/>
        <w:gridCol w:w="1269"/>
        <w:gridCol w:w="1129"/>
      </w:tblGrid>
      <w:tr w:rsidR="007C1A06" w:rsidRPr="00122D95" w14:paraId="528BC089" w14:textId="77777777" w:rsidTr="007C1A06">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3399" w:type="dxa"/>
            <w:tcBorders>
              <w:left w:val="nil"/>
            </w:tcBorders>
          </w:tcPr>
          <w:p w14:paraId="740F6F12" w14:textId="3E9A7816" w:rsidR="007C1A06" w:rsidRPr="007C1A06" w:rsidRDefault="007C1A06" w:rsidP="007C1A06">
            <w:pPr>
              <w:pStyle w:val="10Tabletext"/>
            </w:pPr>
            <w:r w:rsidRPr="007C1A06">
              <w:t>Answer choices</w:t>
            </w:r>
          </w:p>
        </w:tc>
        <w:tc>
          <w:tcPr>
            <w:tcW w:w="2697" w:type="dxa"/>
          </w:tcPr>
          <w:p w14:paraId="0F250179" w14:textId="46FDA7E1" w:rsidR="007C1A06" w:rsidRPr="007C1A06" w:rsidRDefault="007C1A06" w:rsidP="007C1A06">
            <w:pPr>
              <w:pStyle w:val="10Tabletext"/>
              <w:cnfStyle w:val="100000000000" w:firstRow="1" w:lastRow="0" w:firstColumn="0" w:lastColumn="0" w:oddVBand="0" w:evenVBand="0" w:oddHBand="0" w:evenHBand="0" w:firstRowFirstColumn="0" w:firstRowLastColumn="0" w:lastRowFirstColumn="0" w:lastRowLastColumn="0"/>
            </w:pPr>
            <w:r w:rsidRPr="007C1A06">
              <w:t>Branching logic</w:t>
            </w:r>
          </w:p>
        </w:tc>
        <w:tc>
          <w:tcPr>
            <w:tcW w:w="1269" w:type="dxa"/>
          </w:tcPr>
          <w:p w14:paraId="19B64338" w14:textId="18F31D1A" w:rsidR="007C1A06" w:rsidRPr="007C1A06"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7C1A06">
              <w:t>Number of responses</w:t>
            </w:r>
          </w:p>
        </w:tc>
        <w:tc>
          <w:tcPr>
            <w:tcW w:w="1129" w:type="dxa"/>
            <w:tcBorders>
              <w:right w:val="nil"/>
            </w:tcBorders>
          </w:tcPr>
          <w:p w14:paraId="003D8108" w14:textId="3AB439A8" w:rsidR="007C1A06" w:rsidRPr="007C1A06"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7C1A06">
              <w:t>% of responses</w:t>
            </w:r>
          </w:p>
        </w:tc>
      </w:tr>
      <w:tr w:rsidR="007C1A06" w:rsidRPr="00122D95" w14:paraId="54E60737" w14:textId="77777777" w:rsidTr="007C1A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56661D30" w14:textId="77777777" w:rsidR="007C1A06" w:rsidRPr="00122D95" w:rsidRDefault="007C1A06" w:rsidP="007C1A06">
            <w:pPr>
              <w:pStyle w:val="10Tabletext"/>
              <w:rPr>
                <w:b w:val="0"/>
                <w:bCs/>
              </w:rPr>
            </w:pPr>
            <w:r w:rsidRPr="00E068FB">
              <w:rPr>
                <w:b w:val="0"/>
              </w:rPr>
              <w:t>Yes</w:t>
            </w:r>
          </w:p>
        </w:tc>
        <w:tc>
          <w:tcPr>
            <w:tcW w:w="2697" w:type="dxa"/>
          </w:tcPr>
          <w:p w14:paraId="267AA55D" w14:textId="77777777" w:rsidR="007C1A06" w:rsidRPr="00122D95" w:rsidRDefault="007C1A06" w:rsidP="007C1A06">
            <w:pPr>
              <w:pStyle w:val="10Tabletext"/>
              <w:cnfStyle w:val="000000100000" w:firstRow="0" w:lastRow="0" w:firstColumn="0" w:lastColumn="0" w:oddVBand="0" w:evenVBand="0" w:oddHBand="1" w:evenHBand="0" w:firstRowFirstColumn="0" w:firstRowLastColumn="0" w:lastRowFirstColumn="0" w:lastRowLastColumn="0"/>
            </w:pPr>
            <w:r w:rsidRPr="00122D95">
              <w:t>Go to Table A.1</w:t>
            </w:r>
            <w:r>
              <w:t>5</w:t>
            </w:r>
          </w:p>
        </w:tc>
        <w:tc>
          <w:tcPr>
            <w:tcW w:w="1269" w:type="dxa"/>
          </w:tcPr>
          <w:p w14:paraId="4A269BFA" w14:textId="77777777" w:rsidR="007C1A06" w:rsidRPr="00122D95" w:rsidRDefault="007C1A06" w:rsidP="007C1A06">
            <w:pPr>
              <w:pStyle w:val="10Tabletext"/>
              <w:jc w:val="center"/>
              <w:cnfStyle w:val="000000100000" w:firstRow="0" w:lastRow="0" w:firstColumn="0" w:lastColumn="0" w:oddVBand="0" w:evenVBand="0" w:oddHBand="1" w:evenHBand="0" w:firstRowFirstColumn="0" w:firstRowLastColumn="0" w:lastRowFirstColumn="0" w:lastRowLastColumn="0"/>
            </w:pPr>
            <w:r>
              <w:t>142</w:t>
            </w:r>
          </w:p>
        </w:tc>
        <w:tc>
          <w:tcPr>
            <w:tcW w:w="1129" w:type="dxa"/>
            <w:tcBorders>
              <w:right w:val="nil"/>
            </w:tcBorders>
          </w:tcPr>
          <w:p w14:paraId="463AB2B1" w14:textId="77777777" w:rsidR="007C1A06" w:rsidRPr="00122D95" w:rsidRDefault="007C1A06" w:rsidP="007C1A06">
            <w:pPr>
              <w:pStyle w:val="10Tabletext"/>
              <w:jc w:val="center"/>
              <w:cnfStyle w:val="000000100000" w:firstRow="0" w:lastRow="0" w:firstColumn="0" w:lastColumn="0" w:oddVBand="0" w:evenVBand="0" w:oddHBand="1" w:evenHBand="0" w:firstRowFirstColumn="0" w:firstRowLastColumn="0" w:lastRowFirstColumn="0" w:lastRowLastColumn="0"/>
            </w:pPr>
            <w:r>
              <w:t>50</w:t>
            </w:r>
          </w:p>
        </w:tc>
      </w:tr>
      <w:tr w:rsidR="007C1A06" w:rsidRPr="00122D95" w14:paraId="66A996FB" w14:textId="77777777" w:rsidTr="007C1A06">
        <w:trPr>
          <w:cantSplit/>
          <w:jc w:val="center"/>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17AFBDCC" w14:textId="77777777" w:rsidR="007C1A06" w:rsidRPr="00122D95" w:rsidRDefault="007C1A06" w:rsidP="007C1A06">
            <w:pPr>
              <w:pStyle w:val="10Tabletext"/>
              <w:rPr>
                <w:b w:val="0"/>
                <w:bCs/>
              </w:rPr>
            </w:pPr>
            <w:r w:rsidRPr="00E068FB">
              <w:rPr>
                <w:b w:val="0"/>
              </w:rPr>
              <w:t>No</w:t>
            </w:r>
          </w:p>
        </w:tc>
        <w:tc>
          <w:tcPr>
            <w:tcW w:w="2697" w:type="dxa"/>
          </w:tcPr>
          <w:p w14:paraId="4C10F567" w14:textId="77777777" w:rsidR="007C1A06" w:rsidRPr="00122D95" w:rsidRDefault="007C1A06" w:rsidP="007C1A06">
            <w:pPr>
              <w:pStyle w:val="10Tabletext"/>
              <w:cnfStyle w:val="000000000000" w:firstRow="0" w:lastRow="0" w:firstColumn="0" w:lastColumn="0" w:oddVBand="0" w:evenVBand="0" w:oddHBand="0" w:evenHBand="0" w:firstRowFirstColumn="0" w:firstRowLastColumn="0" w:lastRowFirstColumn="0" w:lastRowLastColumn="0"/>
            </w:pPr>
            <w:r w:rsidRPr="00122D95">
              <w:t>Go to Table A.</w:t>
            </w:r>
            <w:r w:rsidRPr="00E12AD2">
              <w:t>2</w:t>
            </w:r>
            <w:r>
              <w:t>2</w:t>
            </w:r>
          </w:p>
        </w:tc>
        <w:tc>
          <w:tcPr>
            <w:tcW w:w="1269" w:type="dxa"/>
          </w:tcPr>
          <w:p w14:paraId="41A35665" w14:textId="77777777" w:rsidR="007C1A06" w:rsidRPr="00122D95" w:rsidRDefault="007C1A06" w:rsidP="007C1A06">
            <w:pPr>
              <w:pStyle w:val="10Tabletext"/>
              <w:jc w:val="center"/>
              <w:cnfStyle w:val="000000000000" w:firstRow="0" w:lastRow="0" w:firstColumn="0" w:lastColumn="0" w:oddVBand="0" w:evenVBand="0" w:oddHBand="0" w:evenHBand="0" w:firstRowFirstColumn="0" w:firstRowLastColumn="0" w:lastRowFirstColumn="0" w:lastRowLastColumn="0"/>
            </w:pPr>
            <w:r>
              <w:t>143</w:t>
            </w:r>
          </w:p>
        </w:tc>
        <w:tc>
          <w:tcPr>
            <w:tcW w:w="1129" w:type="dxa"/>
            <w:tcBorders>
              <w:right w:val="nil"/>
            </w:tcBorders>
          </w:tcPr>
          <w:p w14:paraId="323642B3" w14:textId="77777777" w:rsidR="007C1A06" w:rsidRPr="00122D95" w:rsidRDefault="007C1A06" w:rsidP="007C1A06">
            <w:pPr>
              <w:pStyle w:val="10Tabletext"/>
              <w:jc w:val="center"/>
              <w:cnfStyle w:val="000000000000" w:firstRow="0" w:lastRow="0" w:firstColumn="0" w:lastColumn="0" w:oddVBand="0" w:evenVBand="0" w:oddHBand="0" w:evenHBand="0" w:firstRowFirstColumn="0" w:firstRowLastColumn="0" w:lastRowFirstColumn="0" w:lastRowLastColumn="0"/>
            </w:pPr>
            <w:r>
              <w:t>50</w:t>
            </w:r>
          </w:p>
        </w:tc>
      </w:tr>
      <w:tr w:rsidR="007C1A06" w:rsidRPr="00122D95" w14:paraId="532B105D" w14:textId="77777777" w:rsidTr="007C1A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1311FFBE" w14:textId="77777777" w:rsidR="007C1A06" w:rsidRPr="00122D95" w:rsidRDefault="007C1A06" w:rsidP="007C1A06">
            <w:pPr>
              <w:pStyle w:val="10Tabletext"/>
              <w:rPr>
                <w:b w:val="0"/>
                <w:bCs/>
              </w:rPr>
            </w:pPr>
            <w:r w:rsidRPr="00122D95">
              <w:t>Total</w:t>
            </w:r>
          </w:p>
        </w:tc>
        <w:tc>
          <w:tcPr>
            <w:tcW w:w="2697" w:type="dxa"/>
          </w:tcPr>
          <w:p w14:paraId="348CC65C" w14:textId="77777777" w:rsidR="007C1A06" w:rsidRPr="00122D95" w:rsidRDefault="007C1A06" w:rsidP="007C1A06">
            <w:pPr>
              <w:pStyle w:val="10Tabletext"/>
              <w:cnfStyle w:val="000000100000" w:firstRow="0" w:lastRow="0" w:firstColumn="0" w:lastColumn="0" w:oddVBand="0" w:evenVBand="0" w:oddHBand="1" w:evenHBand="0" w:firstRowFirstColumn="0" w:firstRowLastColumn="0" w:lastRowFirstColumn="0" w:lastRowLastColumn="0"/>
            </w:pPr>
          </w:p>
        </w:tc>
        <w:tc>
          <w:tcPr>
            <w:tcW w:w="1269" w:type="dxa"/>
          </w:tcPr>
          <w:p w14:paraId="17A282F4" w14:textId="77777777" w:rsidR="007C1A06" w:rsidRPr="00E068FB" w:rsidRDefault="007C1A06" w:rsidP="007C1A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E068FB">
              <w:rPr>
                <w:b/>
              </w:rPr>
              <w:t>285</w:t>
            </w:r>
          </w:p>
        </w:tc>
        <w:tc>
          <w:tcPr>
            <w:tcW w:w="1129" w:type="dxa"/>
            <w:tcBorders>
              <w:right w:val="nil"/>
            </w:tcBorders>
          </w:tcPr>
          <w:p w14:paraId="508681B6" w14:textId="77777777" w:rsidR="007C1A06" w:rsidRPr="00E068FB" w:rsidRDefault="007C1A06" w:rsidP="007C1A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361F932E" w14:textId="77777777" w:rsidR="00E91106" w:rsidRPr="00122D95" w:rsidRDefault="00E91106">
      <w:pPr>
        <w:pStyle w:val="05Paragraph"/>
      </w:pPr>
      <w:r w:rsidRPr="00122D95">
        <w:t xml:space="preserve">Of those respondents involved in executive recruitment, </w:t>
      </w:r>
      <w:r>
        <w:t>more than half</w:t>
      </w:r>
      <w:r w:rsidRPr="00122D95">
        <w:t xml:space="preserve"> indicated they were experiencing significant challenges attracting candidates (Table A.1</w:t>
      </w:r>
      <w:r>
        <w:t>5</w:t>
      </w:r>
      <w:r w:rsidRPr="00122D95">
        <w:t>).</w:t>
      </w:r>
    </w:p>
    <w:p w14:paraId="745E2BEA" w14:textId="77777777" w:rsidR="00E91106" w:rsidRPr="007170A7" w:rsidRDefault="00E91106">
      <w:pPr>
        <w:pStyle w:val="08Figuretableboxheading"/>
        <w:rPr>
          <w:vertAlign w:val="superscript"/>
        </w:rPr>
      </w:pPr>
      <w:r w:rsidRPr="00122D95">
        <w:t>Table A.1</w:t>
      </w:r>
      <w:r>
        <w:t>5</w:t>
      </w:r>
      <w:r w:rsidRPr="00122D95">
        <w:t xml:space="preserve">: Are you experiencing any significant challenges attracting </w:t>
      </w:r>
      <w:proofErr w:type="gramStart"/>
      <w:r w:rsidRPr="00122D95">
        <w:t>executives?</w:t>
      </w:r>
      <w:r>
        <w:rPr>
          <w:vertAlign w:val="superscript"/>
        </w:rPr>
        <w:t>(</w:t>
      </w:r>
      <w:proofErr w:type="gramEnd"/>
      <w:r>
        <w:rPr>
          <w:vertAlign w:val="superscript"/>
        </w:rPr>
        <w:t>a)</w:t>
      </w:r>
    </w:p>
    <w:tbl>
      <w:tblPr>
        <w:tblStyle w:val="ListTable3-Accent1"/>
        <w:tblW w:w="0" w:type="auto"/>
        <w:tblLayout w:type="fixed"/>
        <w:tblLook w:val="04A0" w:firstRow="1" w:lastRow="0" w:firstColumn="1" w:lastColumn="0" w:noHBand="0" w:noVBand="1"/>
      </w:tblPr>
      <w:tblGrid>
        <w:gridCol w:w="3402"/>
        <w:gridCol w:w="2697"/>
        <w:gridCol w:w="1269"/>
        <w:gridCol w:w="1129"/>
      </w:tblGrid>
      <w:tr w:rsidR="007C1A06" w:rsidRPr="00122D95" w14:paraId="453BF3DB"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99" w:type="dxa"/>
            <w:tcBorders>
              <w:left w:val="nil"/>
            </w:tcBorders>
          </w:tcPr>
          <w:p w14:paraId="1C2ECBCB" w14:textId="6687AA53" w:rsidR="007C1A06" w:rsidRPr="007C1A06" w:rsidRDefault="007C1A06" w:rsidP="007C1A06">
            <w:pPr>
              <w:pStyle w:val="10Tabletext"/>
            </w:pPr>
            <w:r w:rsidRPr="007C1A06">
              <w:t>Answer choices</w:t>
            </w:r>
          </w:p>
        </w:tc>
        <w:tc>
          <w:tcPr>
            <w:tcW w:w="2697" w:type="dxa"/>
          </w:tcPr>
          <w:p w14:paraId="4A4CE783" w14:textId="7D9E1BDF" w:rsidR="007C1A06" w:rsidRPr="007C1A06" w:rsidRDefault="007C1A06" w:rsidP="007C1A06">
            <w:pPr>
              <w:pStyle w:val="10Tabletext"/>
              <w:cnfStyle w:val="100000000000" w:firstRow="1" w:lastRow="0" w:firstColumn="0" w:lastColumn="0" w:oddVBand="0" w:evenVBand="0" w:oddHBand="0" w:evenHBand="0" w:firstRowFirstColumn="0" w:firstRowLastColumn="0" w:lastRowFirstColumn="0" w:lastRowLastColumn="0"/>
            </w:pPr>
            <w:r w:rsidRPr="007C1A06">
              <w:t>Branching logic</w:t>
            </w:r>
          </w:p>
        </w:tc>
        <w:tc>
          <w:tcPr>
            <w:tcW w:w="1269" w:type="dxa"/>
          </w:tcPr>
          <w:p w14:paraId="035A7259" w14:textId="60982E46" w:rsidR="007C1A06" w:rsidRPr="007C1A06"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7C1A06">
              <w:t>Number of responses</w:t>
            </w:r>
          </w:p>
        </w:tc>
        <w:tc>
          <w:tcPr>
            <w:tcW w:w="1129" w:type="dxa"/>
            <w:tcBorders>
              <w:right w:val="nil"/>
            </w:tcBorders>
          </w:tcPr>
          <w:p w14:paraId="3FE16712" w14:textId="6DAE7912" w:rsidR="007C1A06" w:rsidRPr="007C1A06"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pPr>
            <w:r w:rsidRPr="007C1A06">
              <w:t>% of responses</w:t>
            </w:r>
          </w:p>
        </w:tc>
      </w:tr>
      <w:tr w:rsidR="00E91106" w:rsidRPr="00122D95" w14:paraId="79B2ED3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2806FBFD" w14:textId="77777777" w:rsidR="00E91106" w:rsidRPr="00122D95" w:rsidRDefault="00E91106">
            <w:pPr>
              <w:pStyle w:val="10Tabletext"/>
              <w:rPr>
                <w:b w:val="0"/>
                <w:bCs/>
              </w:rPr>
            </w:pPr>
            <w:r w:rsidRPr="00E068FB">
              <w:rPr>
                <w:b w:val="0"/>
              </w:rPr>
              <w:t>Yes</w:t>
            </w:r>
          </w:p>
        </w:tc>
        <w:tc>
          <w:tcPr>
            <w:tcW w:w="2697" w:type="dxa"/>
          </w:tcPr>
          <w:p w14:paraId="2EFDF42D"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A.1</w:t>
            </w:r>
            <w:r>
              <w:t>6</w:t>
            </w:r>
          </w:p>
        </w:tc>
        <w:tc>
          <w:tcPr>
            <w:tcW w:w="1269" w:type="dxa"/>
          </w:tcPr>
          <w:p w14:paraId="5F8D1EF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1146CB">
              <w:t>81</w:t>
            </w:r>
          </w:p>
        </w:tc>
        <w:tc>
          <w:tcPr>
            <w:tcW w:w="1129" w:type="dxa"/>
            <w:tcBorders>
              <w:right w:val="nil"/>
            </w:tcBorders>
          </w:tcPr>
          <w:p w14:paraId="43E9C18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1146CB">
              <w:t>57</w:t>
            </w:r>
          </w:p>
        </w:tc>
      </w:tr>
      <w:tr w:rsidR="00E91106" w:rsidRPr="00122D95" w14:paraId="3AD5DD7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6042B975" w14:textId="77777777" w:rsidR="00E91106" w:rsidRPr="00122D95" w:rsidRDefault="00E91106">
            <w:pPr>
              <w:pStyle w:val="10Tabletext"/>
              <w:rPr>
                <w:b w:val="0"/>
                <w:bCs/>
              </w:rPr>
            </w:pPr>
            <w:r w:rsidRPr="00E068FB">
              <w:rPr>
                <w:b w:val="0"/>
              </w:rPr>
              <w:t>No</w:t>
            </w:r>
          </w:p>
        </w:tc>
        <w:tc>
          <w:tcPr>
            <w:tcW w:w="2697" w:type="dxa"/>
          </w:tcPr>
          <w:p w14:paraId="7AD1A820" w14:textId="77777777" w:rsidR="00E91106" w:rsidRPr="00122D95" w:rsidRDefault="00E91106">
            <w:pPr>
              <w:pStyle w:val="10Tabletext"/>
              <w:cnfStyle w:val="000000000000" w:firstRow="0" w:lastRow="0" w:firstColumn="0" w:lastColumn="0" w:oddVBand="0" w:evenVBand="0" w:oddHBand="0" w:evenHBand="0" w:firstRowFirstColumn="0" w:firstRowLastColumn="0" w:lastRowFirstColumn="0" w:lastRowLastColumn="0"/>
            </w:pPr>
            <w:r w:rsidRPr="00122D95">
              <w:t>Go to Table A.</w:t>
            </w:r>
            <w:r w:rsidRPr="00925A3D">
              <w:t>1</w:t>
            </w:r>
            <w:r>
              <w:t>8</w:t>
            </w:r>
          </w:p>
        </w:tc>
        <w:tc>
          <w:tcPr>
            <w:tcW w:w="1269" w:type="dxa"/>
          </w:tcPr>
          <w:p w14:paraId="582BBFA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50</w:t>
            </w:r>
          </w:p>
        </w:tc>
        <w:tc>
          <w:tcPr>
            <w:tcW w:w="1129" w:type="dxa"/>
            <w:tcBorders>
              <w:right w:val="nil"/>
            </w:tcBorders>
          </w:tcPr>
          <w:p w14:paraId="216500A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35</w:t>
            </w:r>
          </w:p>
        </w:tc>
      </w:tr>
      <w:tr w:rsidR="00E91106" w:rsidRPr="00122D95" w14:paraId="1097C5F2"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399E8BFB" w14:textId="77777777" w:rsidR="00E91106" w:rsidRPr="00122D95" w:rsidRDefault="00E91106">
            <w:pPr>
              <w:pStyle w:val="10Tabletext"/>
              <w:rPr>
                <w:b w:val="0"/>
                <w:bCs/>
              </w:rPr>
            </w:pPr>
            <w:r w:rsidRPr="00E068FB">
              <w:rPr>
                <w:b w:val="0"/>
              </w:rPr>
              <w:t>I don’t know</w:t>
            </w:r>
          </w:p>
        </w:tc>
        <w:tc>
          <w:tcPr>
            <w:tcW w:w="2697" w:type="dxa"/>
          </w:tcPr>
          <w:p w14:paraId="126CDCED"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w:t>
            </w:r>
            <w:r w:rsidRPr="00925A3D">
              <w:t>1</w:t>
            </w:r>
            <w:r>
              <w:t>8</w:t>
            </w:r>
          </w:p>
        </w:tc>
        <w:tc>
          <w:tcPr>
            <w:tcW w:w="1269" w:type="dxa"/>
          </w:tcPr>
          <w:p w14:paraId="7564212C"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12</w:t>
            </w:r>
          </w:p>
        </w:tc>
        <w:tc>
          <w:tcPr>
            <w:tcW w:w="1129" w:type="dxa"/>
            <w:tcBorders>
              <w:right w:val="nil"/>
            </w:tcBorders>
          </w:tcPr>
          <w:p w14:paraId="1D59943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rsidRPr="001146CB">
              <w:t>8</w:t>
            </w:r>
          </w:p>
        </w:tc>
      </w:tr>
      <w:tr w:rsidR="007C1A06" w:rsidRPr="00122D95" w14:paraId="498A9B65"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3402" w:type="dxa"/>
            <w:tcBorders>
              <w:left w:val="nil"/>
            </w:tcBorders>
          </w:tcPr>
          <w:p w14:paraId="0B3C02E3" w14:textId="77777777" w:rsidR="007C1A06" w:rsidRPr="00122D95" w:rsidRDefault="007C1A06">
            <w:pPr>
              <w:pStyle w:val="10Tabletext"/>
              <w:rPr>
                <w:b w:val="0"/>
                <w:bCs/>
              </w:rPr>
            </w:pPr>
            <w:r w:rsidRPr="00122D95">
              <w:t>Total</w:t>
            </w:r>
          </w:p>
        </w:tc>
        <w:tc>
          <w:tcPr>
            <w:tcW w:w="2694" w:type="dxa"/>
            <w:tcBorders>
              <w:left w:val="nil"/>
            </w:tcBorders>
          </w:tcPr>
          <w:p w14:paraId="29917EBA" w14:textId="6E1A8A64" w:rsidR="007C1A06" w:rsidRPr="00122D95" w:rsidRDefault="007C1A06">
            <w:pPr>
              <w:pStyle w:val="10Tabletext"/>
              <w:cnfStyle w:val="000000000000" w:firstRow="0" w:lastRow="0" w:firstColumn="0" w:lastColumn="0" w:oddVBand="0" w:evenVBand="0" w:oddHBand="0" w:evenHBand="0" w:firstRowFirstColumn="0" w:firstRowLastColumn="0" w:lastRowFirstColumn="0" w:lastRowLastColumn="0"/>
            </w:pPr>
          </w:p>
        </w:tc>
        <w:tc>
          <w:tcPr>
            <w:tcW w:w="1269" w:type="dxa"/>
          </w:tcPr>
          <w:p w14:paraId="4DB766AF" w14:textId="77777777" w:rsidR="007C1A06" w:rsidRPr="00E068FB" w:rsidRDefault="007C1A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E068FB">
              <w:rPr>
                <w:b/>
              </w:rPr>
              <w:t>143</w:t>
            </w:r>
          </w:p>
        </w:tc>
        <w:tc>
          <w:tcPr>
            <w:tcW w:w="1129" w:type="dxa"/>
            <w:tcBorders>
              <w:right w:val="nil"/>
            </w:tcBorders>
          </w:tcPr>
          <w:p w14:paraId="0FEB1B7F" w14:textId="77777777" w:rsidR="007C1A06" w:rsidRPr="00E068FB" w:rsidRDefault="007C1A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65785DBC" w14:textId="42E2C1A3" w:rsidR="00E91106" w:rsidRPr="00122D95" w:rsidRDefault="00E91106">
      <w:pPr>
        <w:pStyle w:val="09Sourcesandnotesfortablesfiguresboxes"/>
      </w:pPr>
      <w:r w:rsidRPr="00122D95">
        <w:t xml:space="preserve">Note: </w:t>
      </w:r>
      <w:r>
        <w:t>(a)</w:t>
      </w:r>
      <w:r w:rsidRPr="00122D95">
        <w:t xml:space="preserve"> This question was only asked to respondents who answered ‘Yes’ in Table A.1</w:t>
      </w:r>
      <w:r>
        <w:t>4</w:t>
      </w:r>
      <w:r w:rsidRPr="00122D95">
        <w:t>.</w:t>
      </w:r>
      <w:r>
        <w:t xml:space="preserve"> </w:t>
      </w:r>
    </w:p>
    <w:p w14:paraId="55B0F2A7" w14:textId="77777777" w:rsidR="00E91106" w:rsidRPr="00122D95" w:rsidRDefault="00E91106">
      <w:pPr>
        <w:pStyle w:val="05Paragraph"/>
      </w:pPr>
      <w:r w:rsidRPr="00122D95">
        <w:t xml:space="preserve">A follow up question found that this group were mostly experiencing significant challenges in attracting executives to </w:t>
      </w:r>
      <w:r>
        <w:t xml:space="preserve">digital and technology, and finance and insurance </w:t>
      </w:r>
      <w:r w:rsidRPr="00122D95">
        <w:t>roles (Table A.1</w:t>
      </w:r>
      <w:r>
        <w:t>6</w:t>
      </w:r>
      <w:r w:rsidRPr="00122D95">
        <w:t xml:space="preserve">). </w:t>
      </w:r>
    </w:p>
    <w:p w14:paraId="0059C617" w14:textId="7BC1B677" w:rsidR="00E91106" w:rsidRPr="00122D95" w:rsidRDefault="00E91106">
      <w:pPr>
        <w:pStyle w:val="08Figuretableboxheading"/>
      </w:pPr>
      <w:r w:rsidRPr="00122D95">
        <w:t>Table A.1</w:t>
      </w:r>
      <w:r>
        <w:t>6</w:t>
      </w:r>
      <w:r w:rsidRPr="00122D95">
        <w:t xml:space="preserve">: </w:t>
      </w:r>
      <w:r>
        <w:t>Are you experiencing significant challenges in attracting public entity executive</w:t>
      </w:r>
      <w:r w:rsidR="00D15CC7">
        <w:t>s</w:t>
      </w:r>
      <w:r>
        <w:t xml:space="preserve"> to any specialist </w:t>
      </w:r>
      <w:proofErr w:type="gramStart"/>
      <w:r>
        <w:t>areas</w:t>
      </w:r>
      <w:r w:rsidRPr="00122D95">
        <w:t>?</w:t>
      </w:r>
      <w:r>
        <w:rPr>
          <w:vertAlign w:val="superscript"/>
        </w:rPr>
        <w:t>(</w:t>
      </w:r>
      <w:proofErr w:type="gramEnd"/>
      <w:r>
        <w:rPr>
          <w:vertAlign w:val="superscript"/>
        </w:rPr>
        <w:t>a)</w:t>
      </w:r>
      <w:r w:rsidRPr="00122D95">
        <w:t xml:space="preserve"> Select all that apply.</w:t>
      </w:r>
    </w:p>
    <w:tbl>
      <w:tblPr>
        <w:tblStyle w:val="ListTable3-Accent1"/>
        <w:tblW w:w="0" w:type="auto"/>
        <w:tblLayout w:type="fixed"/>
        <w:tblLook w:val="04A0" w:firstRow="1" w:lastRow="0" w:firstColumn="1" w:lastColumn="0" w:noHBand="0" w:noVBand="1"/>
      </w:tblPr>
      <w:tblGrid>
        <w:gridCol w:w="5387"/>
        <w:gridCol w:w="1701"/>
        <w:gridCol w:w="1406"/>
      </w:tblGrid>
      <w:tr w:rsidR="007C1A06" w:rsidRPr="00122D95" w14:paraId="34FB72AA"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387" w:type="dxa"/>
            <w:tcBorders>
              <w:left w:val="nil"/>
            </w:tcBorders>
          </w:tcPr>
          <w:p w14:paraId="46727D48" w14:textId="43AD27D8" w:rsidR="007C1A06" w:rsidRPr="0017248F" w:rsidRDefault="007C1A06" w:rsidP="007C1A06">
            <w:pPr>
              <w:pStyle w:val="10Tabletext"/>
              <w:keepNext/>
            </w:pPr>
            <w:r w:rsidRPr="007C1A06">
              <w:t>Answer choices</w:t>
            </w:r>
          </w:p>
        </w:tc>
        <w:tc>
          <w:tcPr>
            <w:tcW w:w="1701" w:type="dxa"/>
          </w:tcPr>
          <w:p w14:paraId="313D0461" w14:textId="43F90F56" w:rsidR="007C1A06" w:rsidRPr="007C1A06"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pPr>
            <w:r w:rsidRPr="007C1A06">
              <w:t>Branching logic</w:t>
            </w:r>
          </w:p>
        </w:tc>
        <w:tc>
          <w:tcPr>
            <w:tcW w:w="1406" w:type="dxa"/>
            <w:tcBorders>
              <w:right w:val="nil"/>
            </w:tcBorders>
          </w:tcPr>
          <w:p w14:paraId="0CDDD32F" w14:textId="6052FE1D" w:rsidR="007C1A06" w:rsidRPr="007C1A06"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vertAlign w:val="superscript"/>
              </w:rPr>
            </w:pPr>
            <w:r w:rsidRPr="007C1A06">
              <w:t>Number of responses</w:t>
            </w:r>
            <w:r w:rsidRPr="007C1A06">
              <w:rPr>
                <w:vertAlign w:val="superscript"/>
              </w:rPr>
              <w:t>(b)</w:t>
            </w:r>
          </w:p>
        </w:tc>
      </w:tr>
      <w:tr w:rsidR="00E91106" w:rsidRPr="00122D95" w14:paraId="3F812B7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2D6AAD44" w14:textId="77777777" w:rsidR="00E91106" w:rsidRPr="00E068FB" w:rsidRDefault="00E91106">
            <w:pPr>
              <w:pStyle w:val="10Tabletext"/>
              <w:rPr>
                <w:b w:val="0"/>
              </w:rPr>
            </w:pPr>
            <w:r w:rsidRPr="00E068FB">
              <w:rPr>
                <w:b w:val="0"/>
              </w:rPr>
              <w:t>Digital and technology (including software engineering)</w:t>
            </w:r>
          </w:p>
        </w:tc>
        <w:tc>
          <w:tcPr>
            <w:tcW w:w="1701" w:type="dxa"/>
          </w:tcPr>
          <w:p w14:paraId="7085C472"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34</w:t>
            </w:r>
          </w:p>
        </w:tc>
        <w:tc>
          <w:tcPr>
            <w:tcW w:w="1406" w:type="dxa"/>
            <w:tcBorders>
              <w:right w:val="nil"/>
            </w:tcBorders>
          </w:tcPr>
          <w:p w14:paraId="56CE32D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43</w:t>
            </w:r>
          </w:p>
        </w:tc>
      </w:tr>
      <w:tr w:rsidR="00E91106" w:rsidRPr="00122D95" w14:paraId="6CFB881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596D2109" w14:textId="77777777" w:rsidR="00E91106" w:rsidRPr="00E068FB" w:rsidRDefault="00E91106">
            <w:pPr>
              <w:pStyle w:val="10Tabletext"/>
              <w:rPr>
                <w:b w:val="0"/>
              </w:rPr>
            </w:pPr>
            <w:r w:rsidRPr="00E068FB">
              <w:rPr>
                <w:b w:val="0"/>
              </w:rPr>
              <w:t>Finance and insurance</w:t>
            </w:r>
          </w:p>
        </w:tc>
        <w:tc>
          <w:tcPr>
            <w:tcW w:w="1701" w:type="dxa"/>
          </w:tcPr>
          <w:p w14:paraId="4A9947E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34</w:t>
            </w:r>
          </w:p>
        </w:tc>
        <w:tc>
          <w:tcPr>
            <w:tcW w:w="1406" w:type="dxa"/>
            <w:tcBorders>
              <w:right w:val="nil"/>
            </w:tcBorders>
          </w:tcPr>
          <w:p w14:paraId="75698AB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43</w:t>
            </w:r>
          </w:p>
        </w:tc>
      </w:tr>
      <w:tr w:rsidR="00E91106" w:rsidRPr="00122D95" w14:paraId="0FC4E632"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08A0ACB5" w14:textId="77777777" w:rsidR="00E91106" w:rsidRPr="00E068FB" w:rsidRDefault="00E91106">
            <w:pPr>
              <w:pStyle w:val="10Tabletext"/>
              <w:rPr>
                <w:b w:val="0"/>
              </w:rPr>
            </w:pPr>
            <w:r w:rsidRPr="00E068FB">
              <w:rPr>
                <w:b w:val="0"/>
              </w:rPr>
              <w:t>Legal</w:t>
            </w:r>
          </w:p>
        </w:tc>
        <w:tc>
          <w:tcPr>
            <w:tcW w:w="1701" w:type="dxa"/>
          </w:tcPr>
          <w:p w14:paraId="170E40D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26</w:t>
            </w:r>
          </w:p>
        </w:tc>
        <w:tc>
          <w:tcPr>
            <w:tcW w:w="1406" w:type="dxa"/>
            <w:tcBorders>
              <w:right w:val="nil"/>
            </w:tcBorders>
          </w:tcPr>
          <w:p w14:paraId="18DA74F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33</w:t>
            </w:r>
          </w:p>
        </w:tc>
      </w:tr>
      <w:tr w:rsidR="00E91106" w:rsidRPr="00122D95" w14:paraId="6AAF9759"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0FBFB8D3" w14:textId="77777777" w:rsidR="00E91106" w:rsidRPr="00E068FB" w:rsidRDefault="00E91106">
            <w:pPr>
              <w:pStyle w:val="10Tabletext"/>
              <w:rPr>
                <w:b w:val="0"/>
              </w:rPr>
            </w:pPr>
            <w:r w:rsidRPr="00E068FB">
              <w:rPr>
                <w:b w:val="0"/>
              </w:rPr>
              <w:t>Other</w:t>
            </w:r>
          </w:p>
        </w:tc>
        <w:tc>
          <w:tcPr>
            <w:tcW w:w="1701" w:type="dxa"/>
          </w:tcPr>
          <w:p w14:paraId="49223405"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26</w:t>
            </w:r>
          </w:p>
        </w:tc>
        <w:tc>
          <w:tcPr>
            <w:tcW w:w="1406" w:type="dxa"/>
            <w:tcBorders>
              <w:right w:val="nil"/>
            </w:tcBorders>
          </w:tcPr>
          <w:p w14:paraId="4032749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33</w:t>
            </w:r>
          </w:p>
        </w:tc>
      </w:tr>
      <w:tr w:rsidR="00E91106" w:rsidRPr="00122D95" w14:paraId="383EE9CE"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6D4E3102" w14:textId="77777777" w:rsidR="00E91106" w:rsidRPr="00E068FB" w:rsidRDefault="00E91106">
            <w:pPr>
              <w:pStyle w:val="10Tabletext"/>
              <w:rPr>
                <w:b w:val="0"/>
              </w:rPr>
            </w:pPr>
            <w:r w:rsidRPr="00E068FB">
              <w:rPr>
                <w:b w:val="0"/>
              </w:rPr>
              <w:t>Engineering (excluding software engineering)</w:t>
            </w:r>
          </w:p>
        </w:tc>
        <w:tc>
          <w:tcPr>
            <w:tcW w:w="1701" w:type="dxa"/>
          </w:tcPr>
          <w:p w14:paraId="6BBB075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16</w:t>
            </w:r>
          </w:p>
        </w:tc>
        <w:tc>
          <w:tcPr>
            <w:tcW w:w="1406" w:type="dxa"/>
            <w:tcBorders>
              <w:right w:val="nil"/>
            </w:tcBorders>
          </w:tcPr>
          <w:p w14:paraId="0115B14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r>
      <w:tr w:rsidR="00E91106" w:rsidRPr="00122D95" w14:paraId="51D22DBB"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609C44B9" w14:textId="77777777" w:rsidR="00E91106" w:rsidRPr="00E068FB" w:rsidRDefault="00E91106">
            <w:pPr>
              <w:pStyle w:val="10Tabletext"/>
              <w:rPr>
                <w:b w:val="0"/>
              </w:rPr>
            </w:pPr>
            <w:r w:rsidRPr="00E068FB">
              <w:rPr>
                <w:b w:val="0"/>
              </w:rPr>
              <w:t>None of the above</w:t>
            </w:r>
          </w:p>
        </w:tc>
        <w:tc>
          <w:tcPr>
            <w:tcW w:w="1701" w:type="dxa"/>
          </w:tcPr>
          <w:p w14:paraId="66055E0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c>
          <w:tcPr>
            <w:tcW w:w="1406" w:type="dxa"/>
            <w:tcBorders>
              <w:right w:val="nil"/>
            </w:tcBorders>
          </w:tcPr>
          <w:p w14:paraId="76F5E15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w:t>
            </w:r>
          </w:p>
        </w:tc>
      </w:tr>
      <w:tr w:rsidR="00E91106" w:rsidRPr="00122D95" w14:paraId="7F2F27D5"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87" w:type="dxa"/>
            <w:tcBorders>
              <w:left w:val="nil"/>
            </w:tcBorders>
          </w:tcPr>
          <w:p w14:paraId="07312D16" w14:textId="77777777" w:rsidR="00E91106" w:rsidRPr="00122D95" w:rsidRDefault="00E91106">
            <w:pPr>
              <w:pStyle w:val="10Tabletext"/>
            </w:pPr>
            <w:r w:rsidRPr="00122D95">
              <w:t>Total</w:t>
            </w:r>
            <w:r>
              <w:t xml:space="preserve"> respondents</w:t>
            </w:r>
          </w:p>
        </w:tc>
        <w:tc>
          <w:tcPr>
            <w:tcW w:w="1701" w:type="dxa"/>
          </w:tcPr>
          <w:p w14:paraId="049B69C8"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E068FB">
              <w:rPr>
                <w:b/>
              </w:rPr>
              <w:t>80</w:t>
            </w:r>
          </w:p>
        </w:tc>
        <w:tc>
          <w:tcPr>
            <w:tcW w:w="1406" w:type="dxa"/>
            <w:tcBorders>
              <w:right w:val="nil"/>
            </w:tcBorders>
          </w:tcPr>
          <w:p w14:paraId="5935C764"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4F1814C8" w14:textId="63351BF6" w:rsidR="00E91106" w:rsidRPr="00122D95" w:rsidRDefault="00E91106">
      <w:pPr>
        <w:pStyle w:val="09Sourcesandnotesfortablesfiguresboxes"/>
      </w:pPr>
      <w:r w:rsidRPr="00122D95">
        <w:t>Note</w:t>
      </w:r>
      <w:r w:rsidR="00E068FB">
        <w:t>s</w:t>
      </w:r>
      <w:r w:rsidRPr="00122D95">
        <w:t xml:space="preserve">: </w:t>
      </w:r>
      <w:r>
        <w:t>(a)</w:t>
      </w:r>
      <w:r w:rsidRPr="00122D95">
        <w:t xml:space="preserve"> This question was only asked to respondents who answered ‘Yes’ in Table A.1</w:t>
      </w:r>
      <w:r>
        <w:t>4</w:t>
      </w:r>
      <w:r w:rsidRPr="00122D95">
        <w:t xml:space="preserve"> and ‘Yes’ in Table A.1</w:t>
      </w:r>
      <w:r>
        <w:t>5</w:t>
      </w:r>
      <w:r w:rsidRPr="00122D95">
        <w:t xml:space="preserve">. </w:t>
      </w:r>
      <w:r>
        <w:t>(b)</w:t>
      </w:r>
      <w:r w:rsidR="00303E3C">
        <w:t> </w:t>
      </w:r>
      <w:r w:rsidRPr="00301F68">
        <w:t xml:space="preserve">The sum of the percentages in this table exceeds 100 per cent </w:t>
      </w:r>
      <w:r w:rsidRPr="001B778C">
        <w:t>as respondents were asked to select multiple options if applicable.</w:t>
      </w:r>
      <w:r w:rsidRPr="00122D95">
        <w:t xml:space="preserve"> </w:t>
      </w:r>
      <w:r>
        <w:t xml:space="preserve"> </w:t>
      </w:r>
    </w:p>
    <w:p w14:paraId="69E226FA" w14:textId="27DE2907" w:rsidR="00E91106" w:rsidRPr="00122D95" w:rsidRDefault="00E91106">
      <w:pPr>
        <w:pStyle w:val="05Paragraph"/>
      </w:pPr>
      <w:r>
        <w:t>R</w:t>
      </w:r>
      <w:r w:rsidRPr="00122D95">
        <w:t xml:space="preserve">espondents </w:t>
      </w:r>
      <w:r>
        <w:t xml:space="preserve">considered that the principal reason deterring potential candidates from accepting an executive position was </w:t>
      </w:r>
      <w:r w:rsidRPr="00122D95">
        <w:t xml:space="preserve">the </w:t>
      </w:r>
      <w:r>
        <w:t>level of the</w:t>
      </w:r>
      <w:r w:rsidRPr="00122D95">
        <w:t xml:space="preserve"> TRP</w:t>
      </w:r>
      <w:r>
        <w:t>,</w:t>
      </w:r>
      <w:r w:rsidRPr="00122D95">
        <w:t xml:space="preserve"> </w:t>
      </w:r>
      <w:r>
        <w:t xml:space="preserve">followed by other </w:t>
      </w:r>
      <w:r>
        <w:lastRenderedPageBreak/>
        <w:t>financial components of the contract being either too low or not available</w:t>
      </w:r>
      <w:r w:rsidRPr="00122D95">
        <w:t xml:space="preserve"> (Table</w:t>
      </w:r>
      <w:r w:rsidR="00764E99">
        <w:t> </w:t>
      </w:r>
      <w:r w:rsidRPr="00122D95">
        <w:t>A.1</w:t>
      </w:r>
      <w:r>
        <w:t>7</w:t>
      </w:r>
      <w:r w:rsidRPr="00122D95">
        <w:t>).</w:t>
      </w:r>
    </w:p>
    <w:p w14:paraId="23FE3B5C" w14:textId="77777777" w:rsidR="00E91106" w:rsidRPr="00122D95" w:rsidRDefault="00E91106">
      <w:pPr>
        <w:pStyle w:val="08Figuretableboxheading"/>
      </w:pPr>
      <w:r w:rsidRPr="00122D95">
        <w:t>Table A.1</w:t>
      </w:r>
      <w:r>
        <w:t>7</w:t>
      </w:r>
      <w:r w:rsidRPr="00122D95">
        <w:t xml:space="preserve">: What factors do you think are affecting potential candidates’ interest in applying for, or accepting employment </w:t>
      </w:r>
      <w:proofErr w:type="gramStart"/>
      <w:r w:rsidRPr="00122D95">
        <w:t>offers?</w:t>
      </w:r>
      <w:r>
        <w:rPr>
          <w:vertAlign w:val="superscript"/>
        </w:rPr>
        <w:t>(</w:t>
      </w:r>
      <w:proofErr w:type="gramEnd"/>
      <w:r>
        <w:rPr>
          <w:vertAlign w:val="superscript"/>
        </w:rPr>
        <w:t>a)</w:t>
      </w:r>
      <w:r w:rsidRPr="00122D95">
        <w:t xml:space="preserve"> Please select all that apply.</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22D95" w14:paraId="6B328DD1"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2D638BFF" w14:textId="7323D9C1" w:rsidR="007C1A06" w:rsidRPr="0017248F" w:rsidRDefault="007C1A06" w:rsidP="007C1A06">
            <w:pPr>
              <w:pStyle w:val="10Tabletext"/>
            </w:pPr>
            <w:r w:rsidRPr="00A873C2">
              <w:t>Answer choices</w:t>
            </w:r>
          </w:p>
        </w:tc>
        <w:tc>
          <w:tcPr>
            <w:tcW w:w="1276" w:type="dxa"/>
          </w:tcPr>
          <w:p w14:paraId="5EFE8CA0" w14:textId="74B0D509"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406" w:type="dxa"/>
            <w:tcBorders>
              <w:right w:val="nil"/>
            </w:tcBorders>
          </w:tcPr>
          <w:p w14:paraId="6665D1E8" w14:textId="2350D792"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(b)</w:t>
            </w:r>
          </w:p>
        </w:tc>
      </w:tr>
      <w:tr w:rsidR="00E91106" w:rsidRPr="00122D95" w14:paraId="211C791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D777148" w14:textId="77777777" w:rsidR="00E91106" w:rsidRPr="00E068FB" w:rsidRDefault="00E91106">
            <w:pPr>
              <w:pStyle w:val="10Tabletext"/>
              <w:rPr>
                <w:b w:val="0"/>
              </w:rPr>
            </w:pPr>
            <w:r w:rsidRPr="00E068FB">
              <w:rPr>
                <w:b w:val="0"/>
              </w:rPr>
              <w:t>Total remuneration package is too low</w:t>
            </w:r>
          </w:p>
        </w:tc>
        <w:tc>
          <w:tcPr>
            <w:tcW w:w="1276" w:type="dxa"/>
          </w:tcPr>
          <w:p w14:paraId="3A418F6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76</w:t>
            </w:r>
          </w:p>
        </w:tc>
        <w:tc>
          <w:tcPr>
            <w:tcW w:w="1406" w:type="dxa"/>
            <w:tcBorders>
              <w:right w:val="nil"/>
            </w:tcBorders>
          </w:tcPr>
          <w:p w14:paraId="0028324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95</w:t>
            </w:r>
          </w:p>
        </w:tc>
      </w:tr>
      <w:tr w:rsidR="00E91106" w:rsidRPr="00122D95" w14:paraId="3506A6F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C5D8DBE" w14:textId="77777777" w:rsidR="00E91106" w:rsidRPr="00E068FB" w:rsidRDefault="00E91106">
            <w:pPr>
              <w:pStyle w:val="10Tabletext"/>
              <w:rPr>
                <w:b w:val="0"/>
              </w:rPr>
            </w:pPr>
            <w:r w:rsidRPr="00E068FB">
              <w:rPr>
                <w:b w:val="0"/>
              </w:rPr>
              <w:t>Other financial component of the contract too low or not available (e.g. bonuses)</w:t>
            </w:r>
          </w:p>
        </w:tc>
        <w:tc>
          <w:tcPr>
            <w:tcW w:w="1276" w:type="dxa"/>
          </w:tcPr>
          <w:p w14:paraId="0C1390F6"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43</w:t>
            </w:r>
          </w:p>
        </w:tc>
        <w:tc>
          <w:tcPr>
            <w:tcW w:w="1406" w:type="dxa"/>
            <w:tcBorders>
              <w:right w:val="nil"/>
            </w:tcBorders>
          </w:tcPr>
          <w:p w14:paraId="65ACE62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54</w:t>
            </w:r>
          </w:p>
        </w:tc>
      </w:tr>
      <w:tr w:rsidR="00E91106" w:rsidRPr="00122D95" w14:paraId="32B34B55"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B3FECB4" w14:textId="77777777" w:rsidR="00E91106" w:rsidRPr="00E068FB" w:rsidRDefault="00E91106">
            <w:pPr>
              <w:pStyle w:val="10Tabletext"/>
              <w:rPr>
                <w:b w:val="0"/>
              </w:rPr>
            </w:pPr>
            <w:r w:rsidRPr="00E068FB">
              <w:rPr>
                <w:b w:val="0"/>
              </w:rPr>
              <w:t>Insufficient career advancement opportunities</w:t>
            </w:r>
          </w:p>
        </w:tc>
        <w:tc>
          <w:tcPr>
            <w:tcW w:w="1276" w:type="dxa"/>
          </w:tcPr>
          <w:p w14:paraId="3E689E3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21</w:t>
            </w:r>
          </w:p>
        </w:tc>
        <w:tc>
          <w:tcPr>
            <w:tcW w:w="1406" w:type="dxa"/>
            <w:tcBorders>
              <w:right w:val="nil"/>
            </w:tcBorders>
          </w:tcPr>
          <w:p w14:paraId="4E8A823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26</w:t>
            </w:r>
          </w:p>
        </w:tc>
      </w:tr>
      <w:tr w:rsidR="00E91106" w:rsidRPr="00122D95" w14:paraId="4E4613E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35DC84F" w14:textId="77777777" w:rsidR="00E91106" w:rsidRPr="00E068FB" w:rsidRDefault="00E91106">
            <w:pPr>
              <w:pStyle w:val="10Tabletext"/>
              <w:rPr>
                <w:b w:val="0"/>
              </w:rPr>
            </w:pPr>
            <w:r w:rsidRPr="00E068FB">
              <w:rPr>
                <w:b w:val="0"/>
              </w:rPr>
              <w:t>Insufficient contract length</w:t>
            </w:r>
          </w:p>
        </w:tc>
        <w:tc>
          <w:tcPr>
            <w:tcW w:w="1276" w:type="dxa"/>
          </w:tcPr>
          <w:p w14:paraId="5FDA3CA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16</w:t>
            </w:r>
          </w:p>
        </w:tc>
        <w:tc>
          <w:tcPr>
            <w:tcW w:w="1406" w:type="dxa"/>
            <w:tcBorders>
              <w:right w:val="nil"/>
            </w:tcBorders>
          </w:tcPr>
          <w:p w14:paraId="525627E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r>
      <w:tr w:rsidR="00E91106" w:rsidRPr="00122D95" w14:paraId="0DA3742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1763ADD" w14:textId="77777777" w:rsidR="00E91106" w:rsidRPr="00E068FB" w:rsidRDefault="00E91106">
            <w:pPr>
              <w:pStyle w:val="10Tabletext"/>
              <w:rPr>
                <w:b w:val="0"/>
              </w:rPr>
            </w:pPr>
            <w:r w:rsidRPr="00E068FB">
              <w:rPr>
                <w:b w:val="0"/>
              </w:rPr>
              <w:t>Workload is too high</w:t>
            </w:r>
          </w:p>
        </w:tc>
        <w:tc>
          <w:tcPr>
            <w:tcW w:w="1276" w:type="dxa"/>
          </w:tcPr>
          <w:p w14:paraId="5FBD281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16</w:t>
            </w:r>
          </w:p>
        </w:tc>
        <w:tc>
          <w:tcPr>
            <w:tcW w:w="1406" w:type="dxa"/>
            <w:tcBorders>
              <w:right w:val="nil"/>
            </w:tcBorders>
          </w:tcPr>
          <w:p w14:paraId="76B80BA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r>
      <w:tr w:rsidR="00E91106" w:rsidRPr="00122D95" w14:paraId="7F8E267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2AB295F" w14:textId="77777777" w:rsidR="00E91106" w:rsidRPr="00E068FB" w:rsidRDefault="00E91106">
            <w:pPr>
              <w:pStyle w:val="10Tabletext"/>
              <w:rPr>
                <w:b w:val="0"/>
              </w:rPr>
            </w:pPr>
            <w:r w:rsidRPr="00E068FB">
              <w:rPr>
                <w:b w:val="0"/>
              </w:rPr>
              <w:t>Other</w:t>
            </w:r>
          </w:p>
        </w:tc>
        <w:tc>
          <w:tcPr>
            <w:tcW w:w="1276" w:type="dxa"/>
          </w:tcPr>
          <w:p w14:paraId="0B5F065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13</w:t>
            </w:r>
          </w:p>
        </w:tc>
        <w:tc>
          <w:tcPr>
            <w:tcW w:w="1406" w:type="dxa"/>
            <w:tcBorders>
              <w:right w:val="nil"/>
            </w:tcBorders>
          </w:tcPr>
          <w:p w14:paraId="57840A5B"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16</w:t>
            </w:r>
          </w:p>
        </w:tc>
      </w:tr>
      <w:tr w:rsidR="00E91106" w:rsidRPr="00122D95" w14:paraId="5D4574C7"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B66822B" w14:textId="77777777" w:rsidR="00E91106" w:rsidRPr="00E068FB" w:rsidRDefault="00E91106">
            <w:pPr>
              <w:pStyle w:val="10Tabletext"/>
              <w:rPr>
                <w:b w:val="0"/>
              </w:rPr>
            </w:pPr>
            <w:r w:rsidRPr="00E068FB">
              <w:rPr>
                <w:b w:val="0"/>
              </w:rPr>
              <w:t>Location of work</w:t>
            </w:r>
          </w:p>
        </w:tc>
        <w:tc>
          <w:tcPr>
            <w:tcW w:w="1276" w:type="dxa"/>
          </w:tcPr>
          <w:p w14:paraId="769C647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c>
          <w:tcPr>
            <w:tcW w:w="1406" w:type="dxa"/>
            <w:tcBorders>
              <w:right w:val="nil"/>
            </w:tcBorders>
          </w:tcPr>
          <w:p w14:paraId="68C80A71"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14</w:t>
            </w:r>
          </w:p>
        </w:tc>
      </w:tr>
      <w:tr w:rsidR="00E91106" w:rsidRPr="00122D95" w14:paraId="4D715B8C"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C9DED6E" w14:textId="77777777" w:rsidR="00E91106" w:rsidRPr="00E068FB" w:rsidRDefault="00E91106">
            <w:pPr>
              <w:pStyle w:val="10Tabletext"/>
              <w:rPr>
                <w:b w:val="0"/>
              </w:rPr>
            </w:pPr>
            <w:r w:rsidRPr="00E068FB">
              <w:rPr>
                <w:b w:val="0"/>
              </w:rPr>
              <w:t>Insufficient professional development opportunities</w:t>
            </w:r>
          </w:p>
        </w:tc>
        <w:tc>
          <w:tcPr>
            <w:tcW w:w="1276" w:type="dxa"/>
          </w:tcPr>
          <w:p w14:paraId="61AA6775"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w:t>
            </w:r>
          </w:p>
        </w:tc>
        <w:tc>
          <w:tcPr>
            <w:tcW w:w="1406" w:type="dxa"/>
            <w:tcBorders>
              <w:right w:val="nil"/>
            </w:tcBorders>
          </w:tcPr>
          <w:p w14:paraId="614FCCD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11</w:t>
            </w:r>
          </w:p>
        </w:tc>
      </w:tr>
      <w:tr w:rsidR="00E91106" w:rsidRPr="00122D95" w14:paraId="7E0DDB20"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0D1D9BC" w14:textId="77777777" w:rsidR="00E91106" w:rsidRPr="00E068FB" w:rsidRDefault="00E91106">
            <w:pPr>
              <w:pStyle w:val="10Tabletext"/>
              <w:rPr>
                <w:b w:val="0"/>
              </w:rPr>
            </w:pPr>
            <w:r w:rsidRPr="00E068FB">
              <w:rPr>
                <w:b w:val="0"/>
              </w:rPr>
              <w:t>Non-monetary employment conditions are unsatisfactory (e.g. leave, flexible work arrangements, etc)</w:t>
            </w:r>
          </w:p>
        </w:tc>
        <w:tc>
          <w:tcPr>
            <w:tcW w:w="1276" w:type="dxa"/>
          </w:tcPr>
          <w:p w14:paraId="5D9ACCE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7</w:t>
            </w:r>
          </w:p>
        </w:tc>
        <w:tc>
          <w:tcPr>
            <w:tcW w:w="1406" w:type="dxa"/>
            <w:tcBorders>
              <w:right w:val="nil"/>
            </w:tcBorders>
          </w:tcPr>
          <w:p w14:paraId="16B377F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w:t>
            </w:r>
          </w:p>
        </w:tc>
      </w:tr>
      <w:tr w:rsidR="00E91106" w:rsidRPr="00122D95" w14:paraId="6256F4F8"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49C54C1" w14:textId="77777777" w:rsidR="00E91106" w:rsidRPr="00E068FB" w:rsidRDefault="00E91106">
            <w:pPr>
              <w:pStyle w:val="10Tabletext"/>
              <w:rPr>
                <w:b w:val="0"/>
              </w:rPr>
            </w:pPr>
            <w:r w:rsidRPr="00E068FB">
              <w:rPr>
                <w:b w:val="0"/>
              </w:rPr>
              <w:t>Insufficient termination notice period</w:t>
            </w:r>
          </w:p>
        </w:tc>
        <w:tc>
          <w:tcPr>
            <w:tcW w:w="1276" w:type="dxa"/>
          </w:tcPr>
          <w:p w14:paraId="2C6C7350"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w:t>
            </w:r>
          </w:p>
        </w:tc>
        <w:tc>
          <w:tcPr>
            <w:tcW w:w="1406" w:type="dxa"/>
            <w:tcBorders>
              <w:right w:val="nil"/>
            </w:tcBorders>
          </w:tcPr>
          <w:p w14:paraId="5790A000"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r>
      <w:tr w:rsidR="00E91106" w:rsidRPr="00122D95" w14:paraId="0765193F"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D00A72F" w14:textId="77777777" w:rsidR="00E91106" w:rsidRPr="00E068FB" w:rsidRDefault="00E91106">
            <w:pPr>
              <w:pStyle w:val="10Tabletext"/>
              <w:rPr>
                <w:b w:val="0"/>
              </w:rPr>
            </w:pPr>
            <w:r w:rsidRPr="00E068FB">
              <w:rPr>
                <w:b w:val="0"/>
              </w:rPr>
              <w:t>Poor leadership</w:t>
            </w:r>
          </w:p>
        </w:tc>
        <w:tc>
          <w:tcPr>
            <w:tcW w:w="1276" w:type="dxa"/>
          </w:tcPr>
          <w:p w14:paraId="5D1A8ECA"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c>
          <w:tcPr>
            <w:tcW w:w="1406" w:type="dxa"/>
            <w:tcBorders>
              <w:right w:val="nil"/>
            </w:tcBorders>
          </w:tcPr>
          <w:p w14:paraId="5EE4B79E"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r>
      <w:tr w:rsidR="00E91106" w:rsidRPr="00122D95" w14:paraId="5EB3F3C7"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C862821" w14:textId="77777777" w:rsidR="00E91106" w:rsidRPr="00E068FB" w:rsidRDefault="00E91106">
            <w:pPr>
              <w:pStyle w:val="10Tabletext"/>
              <w:rPr>
                <w:b w:val="0"/>
              </w:rPr>
            </w:pPr>
            <w:r w:rsidRPr="00E068FB">
              <w:rPr>
                <w:b w:val="0"/>
              </w:rPr>
              <w:t>Type/nature of work (e.g. insufficient intellectual challenge, not enough autonomy)</w:t>
            </w:r>
          </w:p>
        </w:tc>
        <w:tc>
          <w:tcPr>
            <w:tcW w:w="1276" w:type="dxa"/>
          </w:tcPr>
          <w:p w14:paraId="51BE5434"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w:t>
            </w:r>
          </w:p>
        </w:tc>
        <w:tc>
          <w:tcPr>
            <w:tcW w:w="1406" w:type="dxa"/>
            <w:tcBorders>
              <w:right w:val="nil"/>
            </w:tcBorders>
          </w:tcPr>
          <w:p w14:paraId="0DB11D0B"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301138B9"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89C0FC1" w14:textId="77777777" w:rsidR="00E91106" w:rsidRPr="00E068FB" w:rsidRDefault="00E91106">
            <w:pPr>
              <w:pStyle w:val="10Tabletext"/>
              <w:rPr>
                <w:b w:val="0"/>
              </w:rPr>
            </w:pPr>
            <w:r w:rsidRPr="00E068FB">
              <w:rPr>
                <w:b w:val="0"/>
              </w:rPr>
              <w:t>Insufficient opportunity to contribute to the community</w:t>
            </w:r>
          </w:p>
        </w:tc>
        <w:tc>
          <w:tcPr>
            <w:tcW w:w="1276" w:type="dxa"/>
          </w:tcPr>
          <w:p w14:paraId="56153F9F"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c>
          <w:tcPr>
            <w:tcW w:w="1406" w:type="dxa"/>
            <w:tcBorders>
              <w:right w:val="nil"/>
            </w:tcBorders>
          </w:tcPr>
          <w:p w14:paraId="08368ECE"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r>
      <w:tr w:rsidR="00E91106" w:rsidRPr="00122D95" w14:paraId="2326A5D3"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FB9DA6A" w14:textId="77777777" w:rsidR="00E91106" w:rsidRPr="00E068FB" w:rsidRDefault="00E91106">
            <w:pPr>
              <w:pStyle w:val="10Tabletext"/>
              <w:rPr>
                <w:b w:val="0"/>
              </w:rPr>
            </w:pPr>
            <w:r w:rsidRPr="00E068FB">
              <w:rPr>
                <w:b w:val="0"/>
              </w:rPr>
              <w:t>Work environment is not inclusive</w:t>
            </w:r>
          </w:p>
        </w:tc>
        <w:tc>
          <w:tcPr>
            <w:tcW w:w="1276" w:type="dxa"/>
          </w:tcPr>
          <w:p w14:paraId="37FCD9BE"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c>
          <w:tcPr>
            <w:tcW w:w="1406" w:type="dxa"/>
            <w:tcBorders>
              <w:right w:val="nil"/>
            </w:tcBorders>
          </w:tcPr>
          <w:p w14:paraId="7A3A2191"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r>
      <w:tr w:rsidR="00E91106" w:rsidRPr="00122D95" w14:paraId="34B9D4DE"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CB443BB" w14:textId="77777777" w:rsidR="00E91106" w:rsidRPr="00E068FB" w:rsidRDefault="00E91106">
            <w:pPr>
              <w:pStyle w:val="10Tabletext"/>
              <w:rPr>
                <w:b w:val="0"/>
              </w:rPr>
            </w:pPr>
            <w:r w:rsidRPr="00E068FB">
              <w:rPr>
                <w:b w:val="0"/>
              </w:rPr>
              <w:t>Workplace relationships with colleagues</w:t>
            </w:r>
          </w:p>
        </w:tc>
        <w:tc>
          <w:tcPr>
            <w:tcW w:w="1276" w:type="dxa"/>
          </w:tcPr>
          <w:p w14:paraId="4A9719A0"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c>
          <w:tcPr>
            <w:tcW w:w="1406" w:type="dxa"/>
            <w:tcBorders>
              <w:right w:val="nil"/>
            </w:tcBorders>
          </w:tcPr>
          <w:p w14:paraId="21BEEDE9"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0</w:t>
            </w:r>
          </w:p>
        </w:tc>
      </w:tr>
      <w:tr w:rsidR="00E91106" w:rsidRPr="00122D95" w14:paraId="076E4580"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8281E97" w14:textId="77777777" w:rsidR="00E91106" w:rsidRPr="00122D95" w:rsidRDefault="00E91106">
            <w:pPr>
              <w:pStyle w:val="10Tabletext"/>
            </w:pPr>
            <w:r w:rsidRPr="00122D95">
              <w:t>Total</w:t>
            </w:r>
            <w:r>
              <w:t xml:space="preserve"> respondents</w:t>
            </w:r>
          </w:p>
        </w:tc>
        <w:tc>
          <w:tcPr>
            <w:tcW w:w="1276" w:type="dxa"/>
          </w:tcPr>
          <w:p w14:paraId="162A6DCF" w14:textId="77777777" w:rsidR="00E91106" w:rsidRPr="00E068FB"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E068FB">
              <w:rPr>
                <w:b/>
              </w:rPr>
              <w:t>80</w:t>
            </w:r>
          </w:p>
        </w:tc>
        <w:tc>
          <w:tcPr>
            <w:tcW w:w="1406" w:type="dxa"/>
            <w:tcBorders>
              <w:right w:val="nil"/>
            </w:tcBorders>
          </w:tcPr>
          <w:p w14:paraId="74C367B3" w14:textId="77777777" w:rsidR="00E91106" w:rsidRPr="00E068FB"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2C6D0290" w14:textId="0153D215" w:rsidR="00E91106" w:rsidRPr="00122D95" w:rsidRDefault="00E91106">
      <w:pPr>
        <w:pStyle w:val="09Sourcesandnotesfortablesfiguresboxes"/>
      </w:pPr>
      <w:r w:rsidRPr="00122D95">
        <w:t>Note</w:t>
      </w:r>
      <w:r w:rsidR="00E068FB">
        <w:t>s</w:t>
      </w:r>
      <w:r w:rsidRPr="00122D95">
        <w:t>:</w:t>
      </w:r>
      <w:r>
        <w:t xml:space="preserve"> (a)</w:t>
      </w:r>
      <w:r w:rsidRPr="00122D95">
        <w:t xml:space="preserve"> This question was only asked to respondents who answered ‘Yes’ in Table A.1</w:t>
      </w:r>
      <w:r>
        <w:t>4</w:t>
      </w:r>
      <w:r w:rsidRPr="00122D95">
        <w:t xml:space="preserve"> and ‘Yes’ in Table A.1</w:t>
      </w:r>
      <w:r>
        <w:t>5</w:t>
      </w:r>
      <w:r w:rsidRPr="00122D95">
        <w:t>.</w:t>
      </w:r>
      <w:r>
        <w:t xml:space="preserve"> (b)</w:t>
      </w:r>
      <w:r w:rsidR="00B80D20">
        <w:t> </w:t>
      </w:r>
      <w:r w:rsidRPr="00301F68">
        <w:t xml:space="preserve">The sum of the percentages in this table exceeds 100 per cent </w:t>
      </w:r>
      <w:r w:rsidRPr="001B778C">
        <w:t>as respondents were asked to select multiple options if applicable.</w:t>
      </w:r>
    </w:p>
    <w:p w14:paraId="6D081797" w14:textId="77777777" w:rsidR="00E91106" w:rsidRDefault="00E91106">
      <w:pPr>
        <w:pStyle w:val="05Paragraph"/>
      </w:pPr>
      <w:r>
        <w:t>Several respondents identified that limited understanding of the opportunities and value of working in public entities was impacting potential candidates’ interest in roles. For example, one respondent considered that:</w:t>
      </w:r>
    </w:p>
    <w:p w14:paraId="6A7DEE6B" w14:textId="1165A399" w:rsidR="00E91106" w:rsidRDefault="00E91106" w:rsidP="00E91106">
      <w:pPr>
        <w:pStyle w:val="07VIRTBreakouttext"/>
      </w:pPr>
      <w:r>
        <w:t>…</w:t>
      </w:r>
      <w:r w:rsidRPr="00530F70">
        <w:t>there is a lack of understanding from possible corporate candidates about how interesting, exciting, challenging and rewarding executive careers can be in Government</w:t>
      </w:r>
      <w:r>
        <w:t xml:space="preserve">. </w:t>
      </w:r>
      <w:r w:rsidRPr="00530F70">
        <w:t>.</w:t>
      </w:r>
      <w:r>
        <w:t>.</w:t>
      </w:r>
      <w:r w:rsidRPr="00530F70">
        <w:t xml:space="preserve">. Not enough external candidates have any idea about how great and challenging and diverse </w:t>
      </w:r>
      <w:r>
        <w:t>[government]</w:t>
      </w:r>
      <w:r w:rsidRPr="00530F70">
        <w:t xml:space="preserve"> work </w:t>
      </w:r>
      <w:proofErr w:type="gramStart"/>
      <w:r w:rsidRPr="00530F70">
        <w:t>can be,</w:t>
      </w:r>
      <w:proofErr w:type="gramEnd"/>
      <w:r w:rsidRPr="00530F70">
        <w:t xml:space="preserve"> therefore they don't apply for roles in </w:t>
      </w:r>
      <w:r>
        <w:t>[government] …</w:t>
      </w:r>
      <w:r w:rsidRPr="00530F70">
        <w:t xml:space="preserve"> we have to change the stereotypical narrative about what it's like to work for a </w:t>
      </w:r>
      <w:r>
        <w:t>[government]</w:t>
      </w:r>
      <w:r w:rsidRPr="00530F70">
        <w:t xml:space="preserve"> agency.</w:t>
      </w:r>
    </w:p>
    <w:p w14:paraId="7C3074BB" w14:textId="77777777" w:rsidR="00E91106" w:rsidRPr="00122D95" w:rsidRDefault="00E91106">
      <w:pPr>
        <w:pStyle w:val="05Paragraph"/>
      </w:pPr>
      <w:r w:rsidRPr="00122D95">
        <w:t>Respondents involved in executive recruitment were also asked if they have noticed an increase in the rate of executives voluntarily leaving (Table A.1</w:t>
      </w:r>
      <w:r>
        <w:t>8</w:t>
      </w:r>
      <w:r w:rsidRPr="00122D95">
        <w:t>). They were asked to disregard redundancies, voluntary or otherwise.</w:t>
      </w:r>
    </w:p>
    <w:p w14:paraId="69FB1F6B" w14:textId="77777777" w:rsidR="00E91106" w:rsidRPr="00122D95" w:rsidRDefault="00E91106">
      <w:pPr>
        <w:pStyle w:val="08Figuretableboxheading"/>
      </w:pPr>
      <w:r w:rsidRPr="00122D95">
        <w:lastRenderedPageBreak/>
        <w:t>Table A.1</w:t>
      </w:r>
      <w:r>
        <w:t>8</w:t>
      </w:r>
      <w:r w:rsidRPr="00122D95">
        <w:t xml:space="preserve">: Are you experiencing an increase in the rate of executives voluntarily leaving your </w:t>
      </w:r>
      <w:proofErr w:type="gramStart"/>
      <w:r w:rsidRPr="00122D95">
        <w:t>organisation?</w:t>
      </w:r>
      <w:r w:rsidRPr="00777B5E">
        <w:rPr>
          <w:vertAlign w:val="superscript"/>
        </w:rPr>
        <w:t>(</w:t>
      </w:r>
      <w:proofErr w:type="gramEnd"/>
      <w:r w:rsidRPr="00777B5E">
        <w:rPr>
          <w:vertAlign w:val="superscript"/>
        </w:rPr>
        <w:t>a)</w:t>
      </w:r>
    </w:p>
    <w:tbl>
      <w:tblPr>
        <w:tblStyle w:val="ListTable3-Accent1"/>
        <w:tblW w:w="0" w:type="auto"/>
        <w:tblLayout w:type="fixed"/>
        <w:tblLook w:val="04A0" w:firstRow="1" w:lastRow="0" w:firstColumn="1" w:lastColumn="0" w:noHBand="0" w:noVBand="1"/>
      </w:tblPr>
      <w:tblGrid>
        <w:gridCol w:w="3402"/>
        <w:gridCol w:w="2697"/>
        <w:gridCol w:w="1275"/>
        <w:gridCol w:w="1123"/>
      </w:tblGrid>
      <w:tr w:rsidR="007C1A06" w:rsidRPr="00122D95" w14:paraId="0426BAB1"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99" w:type="dxa"/>
            <w:tcBorders>
              <w:left w:val="nil"/>
            </w:tcBorders>
          </w:tcPr>
          <w:p w14:paraId="03812BA9" w14:textId="77013415" w:rsidR="007C1A06" w:rsidRPr="0017248F" w:rsidRDefault="007C1A06" w:rsidP="007C1A06">
            <w:pPr>
              <w:pStyle w:val="10Tabletext"/>
            </w:pPr>
            <w:r w:rsidRPr="007C1A06">
              <w:t>Answer choices</w:t>
            </w:r>
          </w:p>
        </w:tc>
        <w:tc>
          <w:tcPr>
            <w:tcW w:w="2697" w:type="dxa"/>
          </w:tcPr>
          <w:p w14:paraId="0D74A978" w14:textId="0437F71A" w:rsidR="007C1A06" w:rsidRPr="0017248F" w:rsidRDefault="007C1A06" w:rsidP="007C1A06">
            <w:pPr>
              <w:pStyle w:val="10Tabletext"/>
              <w:cnfStyle w:val="100000000000" w:firstRow="1" w:lastRow="0" w:firstColumn="0" w:lastColumn="0" w:oddVBand="0" w:evenVBand="0" w:oddHBand="0" w:evenHBand="0" w:firstRowFirstColumn="0" w:firstRowLastColumn="0" w:lastRowFirstColumn="0" w:lastRowLastColumn="0"/>
              <w:rPr>
                <w:b w:val="0"/>
                <w:bCs/>
              </w:rPr>
            </w:pPr>
            <w:r w:rsidRPr="007C1A06">
              <w:t>Branching logic</w:t>
            </w:r>
          </w:p>
        </w:tc>
        <w:tc>
          <w:tcPr>
            <w:tcW w:w="1275" w:type="dxa"/>
          </w:tcPr>
          <w:p w14:paraId="4F96277A" w14:textId="5340FD51"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7C1A06">
              <w:t>Number of responses</w:t>
            </w:r>
          </w:p>
        </w:tc>
        <w:tc>
          <w:tcPr>
            <w:tcW w:w="1123" w:type="dxa"/>
            <w:tcBorders>
              <w:right w:val="nil"/>
            </w:tcBorders>
          </w:tcPr>
          <w:p w14:paraId="4E7546B7" w14:textId="4563068C" w:rsidR="007C1A06" w:rsidRPr="0017248F"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7C1A06">
              <w:t>% of responses</w:t>
            </w:r>
          </w:p>
        </w:tc>
      </w:tr>
      <w:tr w:rsidR="00E91106" w:rsidRPr="00122D95" w14:paraId="0D5033D7"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5CD4D477" w14:textId="77777777" w:rsidR="00E91106" w:rsidRPr="00122D95" w:rsidRDefault="00E91106">
            <w:pPr>
              <w:pStyle w:val="10Tabletext"/>
              <w:rPr>
                <w:b w:val="0"/>
                <w:bCs/>
              </w:rPr>
            </w:pPr>
            <w:r w:rsidRPr="00E068FB">
              <w:rPr>
                <w:b w:val="0"/>
              </w:rPr>
              <w:t>Yes</w:t>
            </w:r>
          </w:p>
        </w:tc>
        <w:tc>
          <w:tcPr>
            <w:tcW w:w="2697" w:type="dxa"/>
          </w:tcPr>
          <w:p w14:paraId="6BE7D3F6" w14:textId="77777777" w:rsidR="00E91106" w:rsidRPr="001F613C" w:rsidRDefault="00E91106">
            <w:pPr>
              <w:pStyle w:val="10Tabletext"/>
              <w:cnfStyle w:val="000000100000" w:firstRow="0" w:lastRow="0" w:firstColumn="0" w:lastColumn="0" w:oddVBand="0" w:evenVBand="0" w:oddHBand="1" w:evenHBand="0" w:firstRowFirstColumn="0" w:firstRowLastColumn="0" w:lastRowFirstColumn="0" w:lastRowLastColumn="0"/>
              <w:rPr>
                <w:highlight w:val="yellow"/>
              </w:rPr>
            </w:pPr>
            <w:r w:rsidRPr="00122D95">
              <w:t>Go to Table A.</w:t>
            </w:r>
            <w:r w:rsidRPr="00BB7CB1">
              <w:t>1</w:t>
            </w:r>
            <w:r>
              <w:t>9</w:t>
            </w:r>
          </w:p>
        </w:tc>
        <w:tc>
          <w:tcPr>
            <w:tcW w:w="1275" w:type="dxa"/>
          </w:tcPr>
          <w:p w14:paraId="37BB727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45</w:t>
            </w:r>
          </w:p>
        </w:tc>
        <w:tc>
          <w:tcPr>
            <w:tcW w:w="1123" w:type="dxa"/>
            <w:tcBorders>
              <w:right w:val="nil"/>
            </w:tcBorders>
          </w:tcPr>
          <w:p w14:paraId="2D22061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32</w:t>
            </w:r>
          </w:p>
        </w:tc>
      </w:tr>
      <w:tr w:rsidR="00E91106" w:rsidRPr="00122D95" w14:paraId="7B7E6424"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58E17B46" w14:textId="77777777" w:rsidR="00E91106" w:rsidRPr="00122D95" w:rsidRDefault="00E91106">
            <w:pPr>
              <w:pStyle w:val="10Tabletext"/>
              <w:rPr>
                <w:b w:val="0"/>
                <w:bCs/>
              </w:rPr>
            </w:pPr>
            <w:r w:rsidRPr="00E068FB">
              <w:rPr>
                <w:b w:val="0"/>
              </w:rPr>
              <w:t>No</w:t>
            </w:r>
          </w:p>
        </w:tc>
        <w:tc>
          <w:tcPr>
            <w:tcW w:w="2697" w:type="dxa"/>
          </w:tcPr>
          <w:p w14:paraId="5D4300CC" w14:textId="77777777" w:rsidR="00E91106" w:rsidRPr="00122D95" w:rsidRDefault="00E91106">
            <w:pPr>
              <w:pStyle w:val="10Tabletext"/>
              <w:cnfStyle w:val="000000000000" w:firstRow="0" w:lastRow="0" w:firstColumn="0" w:lastColumn="0" w:oddVBand="0" w:evenVBand="0" w:oddHBand="0" w:evenHBand="0" w:firstRowFirstColumn="0" w:firstRowLastColumn="0" w:lastRowFirstColumn="0" w:lastRowLastColumn="0"/>
            </w:pPr>
            <w:r w:rsidRPr="00122D95">
              <w:t>Go to Table A.</w:t>
            </w:r>
            <w:r w:rsidRPr="00E12AD2">
              <w:t>2</w:t>
            </w:r>
            <w:r>
              <w:t>2</w:t>
            </w:r>
          </w:p>
        </w:tc>
        <w:tc>
          <w:tcPr>
            <w:tcW w:w="1275" w:type="dxa"/>
          </w:tcPr>
          <w:p w14:paraId="6E82802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88</w:t>
            </w:r>
          </w:p>
        </w:tc>
        <w:tc>
          <w:tcPr>
            <w:tcW w:w="1123" w:type="dxa"/>
            <w:tcBorders>
              <w:right w:val="nil"/>
            </w:tcBorders>
          </w:tcPr>
          <w:p w14:paraId="1F7C380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63</w:t>
            </w:r>
          </w:p>
        </w:tc>
      </w:tr>
      <w:tr w:rsidR="00E91106" w:rsidRPr="00122D95" w14:paraId="3F9406FC"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99" w:type="dxa"/>
            <w:tcBorders>
              <w:left w:val="nil"/>
            </w:tcBorders>
          </w:tcPr>
          <w:p w14:paraId="3AD4C618" w14:textId="77777777" w:rsidR="00E91106" w:rsidRPr="00122D95" w:rsidRDefault="00E91106">
            <w:pPr>
              <w:pStyle w:val="10Tabletext"/>
              <w:rPr>
                <w:b w:val="0"/>
                <w:bCs/>
              </w:rPr>
            </w:pPr>
            <w:r w:rsidRPr="00E068FB">
              <w:rPr>
                <w:b w:val="0"/>
              </w:rPr>
              <w:t>I don’t know</w:t>
            </w:r>
          </w:p>
        </w:tc>
        <w:tc>
          <w:tcPr>
            <w:tcW w:w="2697" w:type="dxa"/>
          </w:tcPr>
          <w:p w14:paraId="0FC05ADE" w14:textId="77777777" w:rsidR="00E91106" w:rsidRPr="00122D95" w:rsidRDefault="00E91106">
            <w:pPr>
              <w:pStyle w:val="10Tabletext"/>
              <w:cnfStyle w:val="000000100000" w:firstRow="0" w:lastRow="0" w:firstColumn="0" w:lastColumn="0" w:oddVBand="0" w:evenVBand="0" w:oddHBand="1" w:evenHBand="0" w:firstRowFirstColumn="0" w:firstRowLastColumn="0" w:lastRowFirstColumn="0" w:lastRowLastColumn="0"/>
            </w:pPr>
            <w:r w:rsidRPr="00122D95">
              <w:t>Go to Table A.</w:t>
            </w:r>
            <w:r w:rsidRPr="00E12AD2">
              <w:t>2</w:t>
            </w:r>
            <w:r>
              <w:t>2</w:t>
            </w:r>
          </w:p>
        </w:tc>
        <w:tc>
          <w:tcPr>
            <w:tcW w:w="1275" w:type="dxa"/>
          </w:tcPr>
          <w:p w14:paraId="616AA97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7</w:t>
            </w:r>
          </w:p>
        </w:tc>
        <w:tc>
          <w:tcPr>
            <w:tcW w:w="1123" w:type="dxa"/>
            <w:tcBorders>
              <w:right w:val="nil"/>
            </w:tcBorders>
          </w:tcPr>
          <w:p w14:paraId="53F3807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r>
      <w:tr w:rsidR="007C1A06" w:rsidRPr="00122D95" w14:paraId="685CE3FA"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3402" w:type="dxa"/>
            <w:tcBorders>
              <w:left w:val="nil"/>
            </w:tcBorders>
          </w:tcPr>
          <w:p w14:paraId="5A6CC602" w14:textId="77777777" w:rsidR="007C1A06" w:rsidRPr="00122D95" w:rsidRDefault="007C1A06">
            <w:pPr>
              <w:pStyle w:val="10Tabletext"/>
              <w:rPr>
                <w:b w:val="0"/>
                <w:bCs/>
              </w:rPr>
            </w:pPr>
            <w:r w:rsidRPr="00122D95">
              <w:t>Total</w:t>
            </w:r>
          </w:p>
        </w:tc>
        <w:tc>
          <w:tcPr>
            <w:tcW w:w="2694" w:type="dxa"/>
            <w:tcBorders>
              <w:left w:val="nil"/>
            </w:tcBorders>
          </w:tcPr>
          <w:p w14:paraId="2CDCBC67" w14:textId="7B17C851" w:rsidR="007C1A06" w:rsidRPr="00122D95" w:rsidRDefault="007C1A06">
            <w:pPr>
              <w:pStyle w:val="10Tabletext"/>
              <w:cnfStyle w:val="000000000000" w:firstRow="0" w:lastRow="0" w:firstColumn="0" w:lastColumn="0" w:oddVBand="0" w:evenVBand="0" w:oddHBand="0" w:evenHBand="0" w:firstRowFirstColumn="0" w:firstRowLastColumn="0" w:lastRowFirstColumn="0" w:lastRowLastColumn="0"/>
            </w:pPr>
          </w:p>
        </w:tc>
        <w:tc>
          <w:tcPr>
            <w:tcW w:w="1275" w:type="dxa"/>
          </w:tcPr>
          <w:p w14:paraId="2B348081" w14:textId="77777777" w:rsidR="007C1A06" w:rsidRPr="00E068FB" w:rsidRDefault="007C1A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E068FB">
              <w:rPr>
                <w:b/>
              </w:rPr>
              <w:t>140</w:t>
            </w:r>
          </w:p>
        </w:tc>
        <w:tc>
          <w:tcPr>
            <w:tcW w:w="1123" w:type="dxa"/>
            <w:tcBorders>
              <w:right w:val="nil"/>
            </w:tcBorders>
          </w:tcPr>
          <w:p w14:paraId="18329A79" w14:textId="77777777" w:rsidR="007C1A06" w:rsidRPr="00E068FB" w:rsidRDefault="007C1A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4EA2EDB9" w14:textId="77777777" w:rsidR="00E91106" w:rsidRPr="00122D95" w:rsidRDefault="00E91106">
      <w:pPr>
        <w:pStyle w:val="09Sourcesandnotesfortablesfiguresboxes"/>
      </w:pPr>
      <w:r w:rsidRPr="00122D95">
        <w:t xml:space="preserve">Note: </w:t>
      </w:r>
      <w:r>
        <w:t>(a)</w:t>
      </w:r>
      <w:r w:rsidRPr="00122D95">
        <w:t xml:space="preserve"> This question was only asked to respondents who answered ‘Yes’ in Table A.1</w:t>
      </w:r>
      <w:r>
        <w:t>4</w:t>
      </w:r>
      <w:r w:rsidRPr="00122D95">
        <w:t>.</w:t>
      </w:r>
    </w:p>
    <w:p w14:paraId="5B86AE5E" w14:textId="3EB10344" w:rsidR="00E91106" w:rsidRPr="00122D95" w:rsidRDefault="00E91106">
      <w:pPr>
        <w:pStyle w:val="05Paragraph"/>
      </w:pPr>
      <w:r w:rsidRPr="00122D95">
        <w:t xml:space="preserve">A follow up question asked those respondents who have experienced an increase in executives leaving their organisation what factors </w:t>
      </w:r>
      <w:r>
        <w:t>they thought influenced those decisions</w:t>
      </w:r>
      <w:r w:rsidRPr="00122D95">
        <w:t xml:space="preserve"> (Table A.</w:t>
      </w:r>
      <w:r>
        <w:t>19</w:t>
      </w:r>
      <w:r w:rsidRPr="00122D95">
        <w:t>).</w:t>
      </w:r>
      <w:r>
        <w:t xml:space="preserve"> The main factor cited — by over three</w:t>
      </w:r>
      <w:r w:rsidR="00801B4F">
        <w:t>-</w:t>
      </w:r>
      <w:r>
        <w:t xml:space="preserve">quarters of respondents — was that the level of the </w:t>
      </w:r>
      <w:r w:rsidRPr="00122D95">
        <w:t xml:space="preserve">TRP </w:t>
      </w:r>
      <w:r>
        <w:t>was</w:t>
      </w:r>
      <w:r w:rsidRPr="00122D95">
        <w:t xml:space="preserve"> too low.</w:t>
      </w:r>
    </w:p>
    <w:p w14:paraId="58DC3605" w14:textId="77777777" w:rsidR="00E91106" w:rsidRPr="00122D95" w:rsidRDefault="00E91106">
      <w:pPr>
        <w:pStyle w:val="08Figuretableboxheading"/>
      </w:pPr>
      <w:r w:rsidRPr="00122D95">
        <w:t>Table A.</w:t>
      </w:r>
      <w:r>
        <w:t>19</w:t>
      </w:r>
      <w:r w:rsidRPr="00122D95">
        <w:t xml:space="preserve">: What factors do you think are influencing these executives to voluntarily </w:t>
      </w:r>
      <w:proofErr w:type="gramStart"/>
      <w:r w:rsidRPr="00122D95">
        <w:t>leave?</w:t>
      </w:r>
      <w:r>
        <w:rPr>
          <w:vertAlign w:val="superscript"/>
        </w:rPr>
        <w:t>(</w:t>
      </w:r>
      <w:proofErr w:type="gramEnd"/>
      <w:r>
        <w:rPr>
          <w:vertAlign w:val="superscript"/>
        </w:rPr>
        <w:t>a)</w:t>
      </w:r>
      <w:r w:rsidRPr="00122D95">
        <w:t xml:space="preserve"> Please select up to three.</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22D95" w14:paraId="44995598"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3FEC2637" w14:textId="6ACF148D" w:rsidR="007C1A06" w:rsidRPr="0017248F" w:rsidRDefault="007C1A06" w:rsidP="007C1A06">
            <w:pPr>
              <w:pStyle w:val="10Tabletext"/>
              <w:keepNext/>
            </w:pPr>
            <w:r w:rsidRPr="00A873C2">
              <w:t>Answer choices</w:t>
            </w:r>
          </w:p>
        </w:tc>
        <w:tc>
          <w:tcPr>
            <w:tcW w:w="1276" w:type="dxa"/>
          </w:tcPr>
          <w:p w14:paraId="6182DA47" w14:textId="31D7F784" w:rsidR="007C1A06" w:rsidRPr="0017248F"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406" w:type="dxa"/>
            <w:tcBorders>
              <w:right w:val="nil"/>
            </w:tcBorders>
          </w:tcPr>
          <w:p w14:paraId="73FCCEE0" w14:textId="288A63EE" w:rsidR="007C1A06" w:rsidRPr="0017248F"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(b)</w:t>
            </w:r>
          </w:p>
        </w:tc>
      </w:tr>
      <w:tr w:rsidR="00E91106" w:rsidRPr="00122D95" w14:paraId="4340D22B"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975898D" w14:textId="77777777" w:rsidR="00E91106" w:rsidRPr="00E068FB" w:rsidRDefault="00E91106">
            <w:pPr>
              <w:pStyle w:val="10Tabletext"/>
              <w:rPr>
                <w:b w:val="0"/>
              </w:rPr>
            </w:pPr>
            <w:r w:rsidRPr="00E068FB">
              <w:rPr>
                <w:b w:val="0"/>
              </w:rPr>
              <w:t>Total remuneration package is too low</w:t>
            </w:r>
          </w:p>
        </w:tc>
        <w:tc>
          <w:tcPr>
            <w:tcW w:w="1276" w:type="dxa"/>
          </w:tcPr>
          <w:p w14:paraId="3D2ABE3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34</w:t>
            </w:r>
          </w:p>
        </w:tc>
        <w:tc>
          <w:tcPr>
            <w:tcW w:w="1406" w:type="dxa"/>
            <w:tcBorders>
              <w:right w:val="nil"/>
            </w:tcBorders>
          </w:tcPr>
          <w:p w14:paraId="2BCF1AB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76</w:t>
            </w:r>
          </w:p>
        </w:tc>
      </w:tr>
      <w:tr w:rsidR="00E91106" w:rsidRPr="00122D95" w14:paraId="645605F2"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8CBA6D8" w14:textId="77777777" w:rsidR="00E91106" w:rsidRPr="00E068FB" w:rsidRDefault="00E91106">
            <w:pPr>
              <w:pStyle w:val="10Tabletext"/>
              <w:rPr>
                <w:b w:val="0"/>
              </w:rPr>
            </w:pPr>
            <w:r w:rsidRPr="00E068FB">
              <w:rPr>
                <w:b w:val="0"/>
              </w:rPr>
              <w:t>Workload is too high</w:t>
            </w:r>
          </w:p>
        </w:tc>
        <w:tc>
          <w:tcPr>
            <w:tcW w:w="1276" w:type="dxa"/>
          </w:tcPr>
          <w:p w14:paraId="27CC838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17</w:t>
            </w:r>
          </w:p>
        </w:tc>
        <w:tc>
          <w:tcPr>
            <w:tcW w:w="1406" w:type="dxa"/>
            <w:tcBorders>
              <w:right w:val="nil"/>
            </w:tcBorders>
          </w:tcPr>
          <w:p w14:paraId="6BDEFB2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38</w:t>
            </w:r>
          </w:p>
        </w:tc>
      </w:tr>
      <w:tr w:rsidR="00E91106" w:rsidRPr="00122D95" w14:paraId="2CF7903F"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32EFBA4" w14:textId="77777777" w:rsidR="00E91106" w:rsidRPr="00E068FB" w:rsidRDefault="00E91106">
            <w:pPr>
              <w:pStyle w:val="10Tabletext"/>
              <w:rPr>
                <w:b w:val="0"/>
              </w:rPr>
            </w:pPr>
            <w:r w:rsidRPr="00E068FB">
              <w:rPr>
                <w:b w:val="0"/>
              </w:rPr>
              <w:t>Retirement</w:t>
            </w:r>
          </w:p>
        </w:tc>
        <w:tc>
          <w:tcPr>
            <w:tcW w:w="1276" w:type="dxa"/>
          </w:tcPr>
          <w:p w14:paraId="4C789D8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c>
          <w:tcPr>
            <w:tcW w:w="1406" w:type="dxa"/>
            <w:tcBorders>
              <w:right w:val="nil"/>
            </w:tcBorders>
          </w:tcPr>
          <w:p w14:paraId="4A40A49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24</w:t>
            </w:r>
          </w:p>
        </w:tc>
      </w:tr>
      <w:tr w:rsidR="00E91106" w:rsidRPr="00122D95" w14:paraId="607F8103"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06594BC" w14:textId="77777777" w:rsidR="00E91106" w:rsidRPr="00E068FB" w:rsidRDefault="00E91106">
            <w:pPr>
              <w:pStyle w:val="10Tabletext"/>
              <w:rPr>
                <w:b w:val="0"/>
              </w:rPr>
            </w:pPr>
            <w:r w:rsidRPr="00E068FB">
              <w:rPr>
                <w:b w:val="0"/>
              </w:rPr>
              <w:t>Other financial components of their contract too low or not available (e.g. bonuses)</w:t>
            </w:r>
          </w:p>
        </w:tc>
        <w:tc>
          <w:tcPr>
            <w:tcW w:w="1276" w:type="dxa"/>
          </w:tcPr>
          <w:p w14:paraId="4407AD9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10</w:t>
            </w:r>
          </w:p>
        </w:tc>
        <w:tc>
          <w:tcPr>
            <w:tcW w:w="1406" w:type="dxa"/>
            <w:tcBorders>
              <w:right w:val="nil"/>
            </w:tcBorders>
          </w:tcPr>
          <w:p w14:paraId="759B43A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22</w:t>
            </w:r>
          </w:p>
        </w:tc>
      </w:tr>
      <w:tr w:rsidR="00E91106" w:rsidRPr="00122D95" w14:paraId="5F1F3AD0"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6852908" w14:textId="77777777" w:rsidR="00E91106" w:rsidRPr="00E068FB" w:rsidRDefault="00E91106">
            <w:pPr>
              <w:pStyle w:val="10Tabletext"/>
              <w:rPr>
                <w:b w:val="0"/>
              </w:rPr>
            </w:pPr>
            <w:r w:rsidRPr="00E068FB">
              <w:rPr>
                <w:b w:val="0"/>
              </w:rPr>
              <w:t>Insufficient career advancement opportunities</w:t>
            </w:r>
          </w:p>
        </w:tc>
        <w:tc>
          <w:tcPr>
            <w:tcW w:w="1276" w:type="dxa"/>
          </w:tcPr>
          <w:p w14:paraId="0D83E2B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8</w:t>
            </w:r>
          </w:p>
        </w:tc>
        <w:tc>
          <w:tcPr>
            <w:tcW w:w="1406" w:type="dxa"/>
            <w:tcBorders>
              <w:right w:val="nil"/>
            </w:tcBorders>
          </w:tcPr>
          <w:p w14:paraId="179C380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18</w:t>
            </w:r>
          </w:p>
        </w:tc>
      </w:tr>
      <w:tr w:rsidR="00E91106" w:rsidRPr="00122D95" w14:paraId="5B10F4DA"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C203393" w14:textId="77777777" w:rsidR="00E91106" w:rsidRPr="00E068FB" w:rsidRDefault="00E91106">
            <w:pPr>
              <w:pStyle w:val="10Tabletext"/>
              <w:rPr>
                <w:b w:val="0"/>
              </w:rPr>
            </w:pPr>
            <w:r w:rsidRPr="00E068FB">
              <w:rPr>
                <w:b w:val="0"/>
              </w:rPr>
              <w:t>Poor leadership</w:t>
            </w:r>
          </w:p>
        </w:tc>
        <w:tc>
          <w:tcPr>
            <w:tcW w:w="1276" w:type="dxa"/>
          </w:tcPr>
          <w:p w14:paraId="0A676B78"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406" w:type="dxa"/>
            <w:tcBorders>
              <w:right w:val="nil"/>
            </w:tcBorders>
          </w:tcPr>
          <w:p w14:paraId="3C927EA3"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13</w:t>
            </w:r>
          </w:p>
        </w:tc>
      </w:tr>
      <w:tr w:rsidR="00E91106" w:rsidRPr="00122D95" w14:paraId="7150DCF0"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48E2D88" w14:textId="77777777" w:rsidR="00E91106" w:rsidRPr="00E068FB" w:rsidRDefault="00E91106">
            <w:pPr>
              <w:pStyle w:val="10Tabletext"/>
              <w:rPr>
                <w:b w:val="0"/>
              </w:rPr>
            </w:pPr>
            <w:r w:rsidRPr="00E068FB">
              <w:rPr>
                <w:b w:val="0"/>
              </w:rPr>
              <w:t>Insufficient length of contract</w:t>
            </w:r>
          </w:p>
        </w:tc>
        <w:tc>
          <w:tcPr>
            <w:tcW w:w="1276" w:type="dxa"/>
          </w:tcPr>
          <w:p w14:paraId="4D75882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6</w:t>
            </w:r>
          </w:p>
        </w:tc>
        <w:tc>
          <w:tcPr>
            <w:tcW w:w="1406" w:type="dxa"/>
            <w:tcBorders>
              <w:right w:val="nil"/>
            </w:tcBorders>
          </w:tcPr>
          <w:p w14:paraId="30F63B62"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13</w:t>
            </w:r>
          </w:p>
        </w:tc>
      </w:tr>
      <w:tr w:rsidR="00E91106" w:rsidRPr="00122D95" w14:paraId="03B6436D"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638E82F" w14:textId="77777777" w:rsidR="00E91106" w:rsidRPr="00E068FB" w:rsidRDefault="00E91106">
            <w:pPr>
              <w:pStyle w:val="10Tabletext"/>
              <w:rPr>
                <w:b w:val="0"/>
              </w:rPr>
            </w:pPr>
            <w:r w:rsidRPr="00E068FB">
              <w:rPr>
                <w:b w:val="0"/>
              </w:rPr>
              <w:t>Other</w:t>
            </w:r>
          </w:p>
        </w:tc>
        <w:tc>
          <w:tcPr>
            <w:tcW w:w="1276" w:type="dxa"/>
          </w:tcPr>
          <w:p w14:paraId="10303CC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6</w:t>
            </w:r>
          </w:p>
        </w:tc>
        <w:tc>
          <w:tcPr>
            <w:tcW w:w="1406" w:type="dxa"/>
            <w:tcBorders>
              <w:right w:val="nil"/>
            </w:tcBorders>
          </w:tcPr>
          <w:p w14:paraId="2599434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13</w:t>
            </w:r>
          </w:p>
        </w:tc>
      </w:tr>
      <w:tr w:rsidR="00E91106" w:rsidRPr="00122D95" w14:paraId="1FC6C2D9"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2455729" w14:textId="77777777" w:rsidR="00E91106" w:rsidRPr="00E068FB" w:rsidRDefault="00E91106">
            <w:pPr>
              <w:pStyle w:val="10Tabletext"/>
              <w:rPr>
                <w:b w:val="0"/>
              </w:rPr>
            </w:pPr>
            <w:r w:rsidRPr="00E068FB">
              <w:rPr>
                <w:b w:val="0"/>
              </w:rPr>
              <w:t>Type/nature of work (e.g. insufficient intellectual challenge, not enough autonomy)</w:t>
            </w:r>
          </w:p>
        </w:tc>
        <w:tc>
          <w:tcPr>
            <w:tcW w:w="1276" w:type="dxa"/>
          </w:tcPr>
          <w:p w14:paraId="392D79F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c>
          <w:tcPr>
            <w:tcW w:w="1406" w:type="dxa"/>
            <w:tcBorders>
              <w:right w:val="nil"/>
            </w:tcBorders>
          </w:tcPr>
          <w:p w14:paraId="20ACC9C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r>
      <w:tr w:rsidR="00E91106" w:rsidRPr="00122D95" w14:paraId="155FD06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72DBE99" w14:textId="77777777" w:rsidR="00E91106" w:rsidRPr="00E068FB" w:rsidRDefault="00E91106">
            <w:pPr>
              <w:pStyle w:val="10Tabletext"/>
              <w:rPr>
                <w:b w:val="0"/>
              </w:rPr>
            </w:pPr>
            <w:r w:rsidRPr="00E068FB">
              <w:rPr>
                <w:b w:val="0"/>
              </w:rPr>
              <w:t>Work environment not inclusive</w:t>
            </w:r>
          </w:p>
        </w:tc>
        <w:tc>
          <w:tcPr>
            <w:tcW w:w="1276" w:type="dxa"/>
          </w:tcPr>
          <w:p w14:paraId="20F5BD2A"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c>
          <w:tcPr>
            <w:tcW w:w="1406" w:type="dxa"/>
            <w:tcBorders>
              <w:right w:val="nil"/>
            </w:tcBorders>
          </w:tcPr>
          <w:p w14:paraId="0E66B5F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0F40F647"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7CAA2B6" w14:textId="77777777" w:rsidR="00E91106" w:rsidRPr="00E068FB" w:rsidRDefault="00E91106">
            <w:pPr>
              <w:pStyle w:val="10Tabletext"/>
              <w:rPr>
                <w:b w:val="0"/>
              </w:rPr>
            </w:pPr>
            <w:r w:rsidRPr="00E068FB">
              <w:rPr>
                <w:b w:val="0"/>
              </w:rPr>
              <w:t>Insufficient opportunity to contribute to the community</w:t>
            </w:r>
          </w:p>
        </w:tc>
        <w:tc>
          <w:tcPr>
            <w:tcW w:w="1276" w:type="dxa"/>
          </w:tcPr>
          <w:p w14:paraId="53D0E8CC"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c>
          <w:tcPr>
            <w:tcW w:w="1406" w:type="dxa"/>
            <w:tcBorders>
              <w:right w:val="nil"/>
            </w:tcBorders>
          </w:tcPr>
          <w:p w14:paraId="107FBB4B"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w:t>
            </w:r>
          </w:p>
        </w:tc>
      </w:tr>
      <w:tr w:rsidR="00E91106" w:rsidRPr="00122D95" w14:paraId="250B9DCD"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A34C6F4" w14:textId="77777777" w:rsidR="00E91106" w:rsidRPr="00E068FB" w:rsidRDefault="00E91106">
            <w:pPr>
              <w:pStyle w:val="10Tabletext"/>
              <w:rPr>
                <w:b w:val="0"/>
              </w:rPr>
            </w:pPr>
            <w:r w:rsidRPr="00E068FB">
              <w:rPr>
                <w:b w:val="0"/>
              </w:rPr>
              <w:t>Insufficient professional development opportunities</w:t>
            </w:r>
          </w:p>
        </w:tc>
        <w:tc>
          <w:tcPr>
            <w:tcW w:w="1276" w:type="dxa"/>
          </w:tcPr>
          <w:p w14:paraId="65C14B37"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c>
          <w:tcPr>
            <w:tcW w:w="1406" w:type="dxa"/>
            <w:tcBorders>
              <w:right w:val="nil"/>
            </w:tcBorders>
          </w:tcPr>
          <w:p w14:paraId="436F6F3F"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1626C0EC"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9B19A1D" w14:textId="77777777" w:rsidR="00E91106" w:rsidRPr="00E068FB" w:rsidRDefault="00E91106">
            <w:pPr>
              <w:pStyle w:val="10Tabletext"/>
              <w:rPr>
                <w:b w:val="0"/>
              </w:rPr>
            </w:pPr>
            <w:r w:rsidRPr="00E068FB">
              <w:rPr>
                <w:b w:val="0"/>
              </w:rPr>
              <w:t>Location of work</w:t>
            </w:r>
          </w:p>
        </w:tc>
        <w:tc>
          <w:tcPr>
            <w:tcW w:w="1276" w:type="dxa"/>
          </w:tcPr>
          <w:p w14:paraId="3D721FCE"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c>
          <w:tcPr>
            <w:tcW w:w="1406" w:type="dxa"/>
            <w:tcBorders>
              <w:right w:val="nil"/>
            </w:tcBorders>
          </w:tcPr>
          <w:p w14:paraId="5E3AF06F"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r>
      <w:tr w:rsidR="00E91106" w:rsidRPr="00122D95" w14:paraId="7B74CC32"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7C3D51B" w14:textId="77777777" w:rsidR="00E91106" w:rsidRPr="00E068FB" w:rsidRDefault="00E91106">
            <w:pPr>
              <w:pStyle w:val="10Tabletext"/>
              <w:rPr>
                <w:b w:val="0"/>
              </w:rPr>
            </w:pPr>
            <w:r w:rsidRPr="00E068FB">
              <w:rPr>
                <w:b w:val="0"/>
              </w:rPr>
              <w:t>Workplace relationships with colleagues</w:t>
            </w:r>
          </w:p>
        </w:tc>
        <w:tc>
          <w:tcPr>
            <w:tcW w:w="1276" w:type="dxa"/>
          </w:tcPr>
          <w:p w14:paraId="5ED34F90"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w:t>
            </w:r>
          </w:p>
        </w:tc>
        <w:tc>
          <w:tcPr>
            <w:tcW w:w="1406" w:type="dxa"/>
            <w:tcBorders>
              <w:right w:val="nil"/>
            </w:tcBorders>
          </w:tcPr>
          <w:p w14:paraId="6BA03096"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r>
      <w:tr w:rsidR="00E91106" w:rsidRPr="00122D95" w14:paraId="39058AB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ACA94F9" w14:textId="77777777" w:rsidR="00E91106" w:rsidRPr="00122D95" w:rsidRDefault="00E91106">
            <w:pPr>
              <w:pStyle w:val="10Tabletext"/>
            </w:pPr>
            <w:r w:rsidRPr="00122D95">
              <w:t>Total</w:t>
            </w:r>
            <w:r>
              <w:t xml:space="preserve"> respondents</w:t>
            </w:r>
          </w:p>
        </w:tc>
        <w:tc>
          <w:tcPr>
            <w:tcW w:w="1276" w:type="dxa"/>
          </w:tcPr>
          <w:p w14:paraId="58C1E335"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E068FB">
              <w:rPr>
                <w:b/>
              </w:rPr>
              <w:t>45</w:t>
            </w:r>
          </w:p>
        </w:tc>
        <w:tc>
          <w:tcPr>
            <w:tcW w:w="1406" w:type="dxa"/>
            <w:tcBorders>
              <w:right w:val="nil"/>
            </w:tcBorders>
          </w:tcPr>
          <w:p w14:paraId="21363E6C"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24A7E514" w14:textId="525BD3E1" w:rsidR="00E91106" w:rsidRPr="00122D95" w:rsidRDefault="00E91106">
      <w:pPr>
        <w:pStyle w:val="09Sourcesandnotesfortablesfiguresboxes"/>
      </w:pPr>
      <w:r w:rsidRPr="00122D95">
        <w:t>Note</w:t>
      </w:r>
      <w:r w:rsidR="00E068FB">
        <w:t>s</w:t>
      </w:r>
      <w:r w:rsidRPr="00122D95">
        <w:t xml:space="preserve">: </w:t>
      </w:r>
      <w:r>
        <w:t>(a)</w:t>
      </w:r>
      <w:r w:rsidRPr="00122D95">
        <w:t xml:space="preserve"> This question was only asked to respondents who answered ‘Yes’ in Table A.1</w:t>
      </w:r>
      <w:r>
        <w:t>4</w:t>
      </w:r>
      <w:r w:rsidRPr="00122D95">
        <w:t xml:space="preserve"> and ‘Yes’ in Table A.1</w:t>
      </w:r>
      <w:r>
        <w:t>8</w:t>
      </w:r>
      <w:r w:rsidRPr="00122D95">
        <w:t>.</w:t>
      </w:r>
      <w:r>
        <w:t xml:space="preserve"> (b)</w:t>
      </w:r>
      <w:r w:rsidR="00B80D20">
        <w:t> </w:t>
      </w:r>
      <w:r w:rsidRPr="00301F68">
        <w:t xml:space="preserve">The sum of the percentages in this table exceeds 100 per cent </w:t>
      </w:r>
      <w:r w:rsidRPr="001B778C">
        <w:t>as respondents were asked to select multiple options if applicable.</w:t>
      </w:r>
    </w:p>
    <w:p w14:paraId="5C6EB336" w14:textId="220B8A83" w:rsidR="00A93A52" w:rsidRDefault="00E91106">
      <w:pPr>
        <w:pStyle w:val="05Paragraph"/>
      </w:pPr>
      <w:r w:rsidRPr="00122D95">
        <w:t xml:space="preserve">Another follow up question highlighted </w:t>
      </w:r>
      <w:r>
        <w:t xml:space="preserve">the specialist areas where </w:t>
      </w:r>
      <w:r w:rsidRPr="00122D95">
        <w:t xml:space="preserve">retaining executives </w:t>
      </w:r>
      <w:r>
        <w:t>was</w:t>
      </w:r>
      <w:r w:rsidRPr="00122D95" w:rsidDel="005234C2">
        <w:t xml:space="preserve"> </w:t>
      </w:r>
      <w:r w:rsidRPr="00122D95">
        <w:t>perceived to be a challenge (Table A.</w:t>
      </w:r>
      <w:r>
        <w:t>20</w:t>
      </w:r>
      <w:r w:rsidRPr="00122D95">
        <w:t>).</w:t>
      </w:r>
    </w:p>
    <w:p w14:paraId="2FCD99FC" w14:textId="77777777" w:rsidR="00A93A52" w:rsidRDefault="00A93A52">
      <w:pPr>
        <w:spacing w:before="0" w:after="80" w:line="240" w:lineRule="auto"/>
        <w:jc w:val="left"/>
        <w:rPr>
          <w:rFonts w:cs="Arial"/>
          <w:color w:val="auto"/>
          <w:szCs w:val="20"/>
        </w:rPr>
      </w:pPr>
      <w:r>
        <w:br w:type="page"/>
      </w:r>
    </w:p>
    <w:p w14:paraId="1DDDF6CF" w14:textId="77777777" w:rsidR="00E91106" w:rsidRPr="00122D95" w:rsidRDefault="00E91106">
      <w:pPr>
        <w:pStyle w:val="08Figuretableboxheading"/>
      </w:pPr>
      <w:r w:rsidRPr="00122D95">
        <w:lastRenderedPageBreak/>
        <w:t>Table A.</w:t>
      </w:r>
      <w:r>
        <w:t>20</w:t>
      </w:r>
      <w:r w:rsidRPr="00122D95">
        <w:t xml:space="preserve">: </w:t>
      </w:r>
      <w:r>
        <w:t xml:space="preserve">Are you experiencing significant challenges in retaining executives within any specialist </w:t>
      </w:r>
      <w:proofErr w:type="gramStart"/>
      <w:r>
        <w:t>areas</w:t>
      </w:r>
      <w:r w:rsidRPr="00122D95">
        <w:t>?</w:t>
      </w:r>
      <w:r>
        <w:rPr>
          <w:vertAlign w:val="superscript"/>
        </w:rPr>
        <w:t>(</w:t>
      </w:r>
      <w:proofErr w:type="gramEnd"/>
      <w:r>
        <w:rPr>
          <w:vertAlign w:val="superscript"/>
        </w:rPr>
        <w:t>a)</w:t>
      </w:r>
      <w:r w:rsidRPr="00122D95">
        <w:t xml:space="preserve"> Select all that apply.</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22D95" w14:paraId="50F8D929"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00D0B71B" w14:textId="09D5411F" w:rsidR="007C1A06" w:rsidRPr="00513362" w:rsidRDefault="007C1A06" w:rsidP="007C1A06">
            <w:pPr>
              <w:pStyle w:val="10Tabletext"/>
            </w:pPr>
            <w:r w:rsidRPr="00A873C2">
              <w:t>Answer choices</w:t>
            </w:r>
          </w:p>
        </w:tc>
        <w:tc>
          <w:tcPr>
            <w:tcW w:w="1276" w:type="dxa"/>
          </w:tcPr>
          <w:p w14:paraId="620D2561" w14:textId="2A9FF498" w:rsidR="007C1A06" w:rsidRPr="00513362"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406" w:type="dxa"/>
            <w:tcBorders>
              <w:right w:val="nil"/>
            </w:tcBorders>
          </w:tcPr>
          <w:p w14:paraId="2D5FD847" w14:textId="59B2B85D" w:rsidR="007C1A06" w:rsidRPr="00513362"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(b)</w:t>
            </w:r>
          </w:p>
        </w:tc>
      </w:tr>
      <w:tr w:rsidR="00E91106" w:rsidRPr="00122D95" w14:paraId="44EC35AF"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5AFCAAA" w14:textId="77777777" w:rsidR="00E91106" w:rsidRPr="00E068FB" w:rsidRDefault="00E91106">
            <w:pPr>
              <w:pStyle w:val="10Tabletext"/>
              <w:rPr>
                <w:b w:val="0"/>
              </w:rPr>
            </w:pPr>
            <w:r w:rsidRPr="00E068FB">
              <w:rPr>
                <w:b w:val="0"/>
              </w:rPr>
              <w:t>Digital and technology (including software engineering)</w:t>
            </w:r>
          </w:p>
        </w:tc>
        <w:tc>
          <w:tcPr>
            <w:tcW w:w="1276" w:type="dxa"/>
          </w:tcPr>
          <w:p w14:paraId="73FED49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22</w:t>
            </w:r>
          </w:p>
        </w:tc>
        <w:tc>
          <w:tcPr>
            <w:tcW w:w="1406" w:type="dxa"/>
            <w:tcBorders>
              <w:right w:val="nil"/>
            </w:tcBorders>
          </w:tcPr>
          <w:p w14:paraId="122F8AC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52</w:t>
            </w:r>
          </w:p>
        </w:tc>
      </w:tr>
      <w:tr w:rsidR="00E91106" w:rsidRPr="00122D95" w14:paraId="1251EE69"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4D44D4C" w14:textId="77777777" w:rsidR="00E91106" w:rsidRPr="00E068FB" w:rsidRDefault="00E91106">
            <w:pPr>
              <w:pStyle w:val="10Tabletext"/>
              <w:rPr>
                <w:b w:val="0"/>
              </w:rPr>
            </w:pPr>
            <w:r w:rsidRPr="00E068FB">
              <w:rPr>
                <w:b w:val="0"/>
              </w:rPr>
              <w:t>Finance and insurance</w:t>
            </w:r>
          </w:p>
        </w:tc>
        <w:tc>
          <w:tcPr>
            <w:tcW w:w="1276" w:type="dxa"/>
          </w:tcPr>
          <w:p w14:paraId="4FA6247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14</w:t>
            </w:r>
          </w:p>
        </w:tc>
        <w:tc>
          <w:tcPr>
            <w:tcW w:w="1406" w:type="dxa"/>
            <w:tcBorders>
              <w:right w:val="nil"/>
            </w:tcBorders>
          </w:tcPr>
          <w:p w14:paraId="33D1CA7D"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33</w:t>
            </w:r>
          </w:p>
        </w:tc>
      </w:tr>
      <w:tr w:rsidR="00E91106" w:rsidRPr="00122D95" w14:paraId="09998448"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C33F32E" w14:textId="77777777" w:rsidR="00E91106" w:rsidRPr="00E068FB" w:rsidRDefault="00E91106">
            <w:pPr>
              <w:pStyle w:val="10Tabletext"/>
              <w:rPr>
                <w:b w:val="0"/>
              </w:rPr>
            </w:pPr>
            <w:r w:rsidRPr="00E068FB">
              <w:rPr>
                <w:b w:val="0"/>
              </w:rPr>
              <w:t>Legal</w:t>
            </w:r>
          </w:p>
        </w:tc>
        <w:tc>
          <w:tcPr>
            <w:tcW w:w="1276" w:type="dxa"/>
          </w:tcPr>
          <w:p w14:paraId="20051F07"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13</w:t>
            </w:r>
          </w:p>
        </w:tc>
        <w:tc>
          <w:tcPr>
            <w:tcW w:w="1406" w:type="dxa"/>
            <w:tcBorders>
              <w:right w:val="nil"/>
            </w:tcBorders>
          </w:tcPr>
          <w:p w14:paraId="7F8417FF"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31</w:t>
            </w:r>
          </w:p>
        </w:tc>
      </w:tr>
      <w:tr w:rsidR="00E91106" w:rsidRPr="00122D95" w14:paraId="65A23AD7"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1746E55" w14:textId="77777777" w:rsidR="00E91106" w:rsidRPr="00E068FB" w:rsidRDefault="00E91106">
            <w:pPr>
              <w:pStyle w:val="10Tabletext"/>
              <w:rPr>
                <w:b w:val="0"/>
              </w:rPr>
            </w:pPr>
            <w:r w:rsidRPr="00E068FB">
              <w:rPr>
                <w:b w:val="0"/>
              </w:rPr>
              <w:t>Other</w:t>
            </w:r>
          </w:p>
        </w:tc>
        <w:tc>
          <w:tcPr>
            <w:tcW w:w="1276" w:type="dxa"/>
          </w:tcPr>
          <w:p w14:paraId="4AB9AB37"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13</w:t>
            </w:r>
          </w:p>
        </w:tc>
        <w:tc>
          <w:tcPr>
            <w:tcW w:w="1406" w:type="dxa"/>
            <w:tcBorders>
              <w:right w:val="nil"/>
            </w:tcBorders>
          </w:tcPr>
          <w:p w14:paraId="4FEA2BE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31</w:t>
            </w:r>
          </w:p>
        </w:tc>
      </w:tr>
      <w:tr w:rsidR="00E91106" w:rsidRPr="00122D95" w14:paraId="23DCC515"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BB83DB9" w14:textId="77777777" w:rsidR="00E91106" w:rsidRPr="00E068FB" w:rsidRDefault="00E91106">
            <w:pPr>
              <w:pStyle w:val="10Tabletext"/>
              <w:rPr>
                <w:b w:val="0"/>
              </w:rPr>
            </w:pPr>
            <w:r w:rsidRPr="00E068FB">
              <w:rPr>
                <w:b w:val="0"/>
              </w:rPr>
              <w:t>Engineering (excluding software engineering)</w:t>
            </w:r>
          </w:p>
        </w:tc>
        <w:tc>
          <w:tcPr>
            <w:tcW w:w="1276" w:type="dxa"/>
          </w:tcPr>
          <w:p w14:paraId="0624A01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w:t>
            </w:r>
          </w:p>
        </w:tc>
        <w:tc>
          <w:tcPr>
            <w:tcW w:w="1406" w:type="dxa"/>
            <w:tcBorders>
              <w:right w:val="nil"/>
            </w:tcBorders>
          </w:tcPr>
          <w:p w14:paraId="461EBA4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21</w:t>
            </w:r>
          </w:p>
        </w:tc>
      </w:tr>
      <w:tr w:rsidR="00E91106" w:rsidRPr="00122D95" w14:paraId="0B332BE2"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7816C33" w14:textId="77777777" w:rsidR="00E91106" w:rsidRPr="00E068FB" w:rsidRDefault="00E91106">
            <w:pPr>
              <w:pStyle w:val="10Tabletext"/>
              <w:rPr>
                <w:b w:val="0"/>
              </w:rPr>
            </w:pPr>
            <w:r w:rsidRPr="00E068FB">
              <w:rPr>
                <w:b w:val="0"/>
              </w:rPr>
              <w:t xml:space="preserve">None of the above </w:t>
            </w:r>
          </w:p>
        </w:tc>
        <w:tc>
          <w:tcPr>
            <w:tcW w:w="1276" w:type="dxa"/>
          </w:tcPr>
          <w:p w14:paraId="6B20DBDB"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c>
          <w:tcPr>
            <w:tcW w:w="1406" w:type="dxa"/>
            <w:tcBorders>
              <w:right w:val="nil"/>
            </w:tcBorders>
          </w:tcPr>
          <w:p w14:paraId="669F6002"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17</w:t>
            </w:r>
          </w:p>
        </w:tc>
      </w:tr>
      <w:tr w:rsidR="00E91106" w:rsidRPr="00122D95" w14:paraId="6423F7D6"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52739F1" w14:textId="77777777" w:rsidR="00E91106" w:rsidRPr="00122D95" w:rsidRDefault="00E91106">
            <w:pPr>
              <w:pStyle w:val="10Tabletext"/>
            </w:pPr>
            <w:r w:rsidRPr="00122D95">
              <w:t>Total</w:t>
            </w:r>
            <w:r>
              <w:t xml:space="preserve"> respondents</w:t>
            </w:r>
          </w:p>
        </w:tc>
        <w:tc>
          <w:tcPr>
            <w:tcW w:w="1276" w:type="dxa"/>
          </w:tcPr>
          <w:p w14:paraId="0CE6BF46"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E068FB">
              <w:rPr>
                <w:b/>
              </w:rPr>
              <w:t>42</w:t>
            </w:r>
          </w:p>
        </w:tc>
        <w:tc>
          <w:tcPr>
            <w:tcW w:w="1406" w:type="dxa"/>
            <w:tcBorders>
              <w:right w:val="nil"/>
            </w:tcBorders>
          </w:tcPr>
          <w:p w14:paraId="0B44A96A" w14:textId="77777777" w:rsidR="00E91106" w:rsidRPr="00E068FB"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52E7ACA6" w14:textId="230E88EC" w:rsidR="00E91106" w:rsidRPr="00122D95" w:rsidRDefault="00E91106">
      <w:pPr>
        <w:pStyle w:val="09Sourcesandnotesfortablesfiguresboxes"/>
      </w:pPr>
      <w:r w:rsidRPr="00122D95">
        <w:t>Note</w:t>
      </w:r>
      <w:r w:rsidR="00E068FB">
        <w:t>s</w:t>
      </w:r>
      <w:r w:rsidRPr="00122D95">
        <w:t xml:space="preserve">: </w:t>
      </w:r>
      <w:r>
        <w:t>(a)</w:t>
      </w:r>
      <w:r w:rsidRPr="00122D95">
        <w:t xml:space="preserve"> This question was only asked to respondents who answered ‘Yes’ in Table A.1</w:t>
      </w:r>
      <w:r>
        <w:t>4</w:t>
      </w:r>
      <w:r w:rsidRPr="00122D95">
        <w:t xml:space="preserve"> and ‘Yes’ in Table A.1</w:t>
      </w:r>
      <w:r>
        <w:t>8</w:t>
      </w:r>
      <w:r w:rsidRPr="00122D95">
        <w:t>.</w:t>
      </w:r>
      <w:r>
        <w:t xml:space="preserve"> (b)</w:t>
      </w:r>
      <w:r w:rsidR="00801B4F">
        <w:t> </w:t>
      </w:r>
      <w:r w:rsidRPr="00301F68">
        <w:t xml:space="preserve">The sum of the percentages in this table exceeds 100 per cent </w:t>
      </w:r>
      <w:r w:rsidRPr="001B778C">
        <w:t>as respondents were asked to select multiple options if applicable.</w:t>
      </w:r>
    </w:p>
    <w:p w14:paraId="1CD74954" w14:textId="77777777" w:rsidR="00E91106" w:rsidRPr="00122D95" w:rsidRDefault="00E91106">
      <w:pPr>
        <w:pStyle w:val="05Paragraph"/>
      </w:pPr>
      <w:r w:rsidRPr="00122D95">
        <w:t>Of those that indicated there was an increase in executives leaving their organisation, more than half said executives were leaving to take up roles in the for-profit sector (Table A.2</w:t>
      </w:r>
      <w:r>
        <w:t>1</w:t>
      </w:r>
      <w:r w:rsidRPr="00122D95">
        <w:t>).</w:t>
      </w:r>
      <w:r>
        <w:t xml:space="preserve"> The answers also suggested some level of mobility within the public entity sector and between public entities and the VPS.</w:t>
      </w:r>
    </w:p>
    <w:p w14:paraId="0A24DA02" w14:textId="77777777" w:rsidR="00E91106" w:rsidRPr="00122D95" w:rsidRDefault="00E91106">
      <w:pPr>
        <w:pStyle w:val="08Figuretableboxheading"/>
      </w:pPr>
      <w:r w:rsidRPr="00122D95">
        <w:t>Table A.2</w:t>
      </w:r>
      <w:r>
        <w:t>1</w:t>
      </w:r>
      <w:r w:rsidRPr="00122D95">
        <w:t xml:space="preserve">: What types of roles are your executives taking </w:t>
      </w:r>
      <w:proofErr w:type="gramStart"/>
      <w:r w:rsidRPr="00122D95">
        <w:t>up?</w:t>
      </w:r>
      <w:r>
        <w:rPr>
          <w:vertAlign w:val="superscript"/>
        </w:rPr>
        <w:t>(</w:t>
      </w:r>
      <w:proofErr w:type="gramEnd"/>
      <w:r>
        <w:rPr>
          <w:vertAlign w:val="superscript"/>
        </w:rPr>
        <w:t>a)</w:t>
      </w:r>
      <w:r w:rsidRPr="00122D95">
        <w:t xml:space="preserve"> Please select all that apply.</w:t>
      </w:r>
    </w:p>
    <w:tbl>
      <w:tblPr>
        <w:tblStyle w:val="ListTable3-Accent1"/>
        <w:tblW w:w="0" w:type="auto"/>
        <w:tblLayout w:type="fixed"/>
        <w:tblLook w:val="04A0" w:firstRow="1" w:lastRow="0" w:firstColumn="1" w:lastColumn="0" w:noHBand="0" w:noVBand="1"/>
      </w:tblPr>
      <w:tblGrid>
        <w:gridCol w:w="5812"/>
        <w:gridCol w:w="1276"/>
        <w:gridCol w:w="1406"/>
      </w:tblGrid>
      <w:tr w:rsidR="007C1A06" w:rsidRPr="00122D95" w14:paraId="51D5D5F0"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34C5294F" w14:textId="18CBADAD" w:rsidR="007C1A06" w:rsidRPr="00513362" w:rsidRDefault="007C1A06" w:rsidP="007C1A06">
            <w:pPr>
              <w:pStyle w:val="10Tabletext"/>
              <w:keepNext/>
            </w:pPr>
            <w:r w:rsidRPr="00A873C2">
              <w:t>Answer choices</w:t>
            </w:r>
          </w:p>
        </w:tc>
        <w:tc>
          <w:tcPr>
            <w:tcW w:w="1276" w:type="dxa"/>
          </w:tcPr>
          <w:p w14:paraId="0ACE8967" w14:textId="1D1ADB9D" w:rsidR="007C1A06" w:rsidRPr="00513362"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406" w:type="dxa"/>
            <w:tcBorders>
              <w:right w:val="nil"/>
            </w:tcBorders>
          </w:tcPr>
          <w:p w14:paraId="3079F5C2" w14:textId="6A73DAB7" w:rsidR="007C1A06" w:rsidRPr="00513362"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(b)</w:t>
            </w:r>
          </w:p>
        </w:tc>
      </w:tr>
      <w:tr w:rsidR="00E91106" w:rsidRPr="00122D95" w14:paraId="591029B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37D3673" w14:textId="77777777" w:rsidR="00E91106" w:rsidRPr="00E068FB" w:rsidRDefault="00E91106">
            <w:pPr>
              <w:pStyle w:val="10Tabletext"/>
              <w:rPr>
                <w:b w:val="0"/>
              </w:rPr>
            </w:pPr>
            <w:r w:rsidRPr="00E068FB">
              <w:rPr>
                <w:b w:val="0"/>
              </w:rPr>
              <w:t>For-profit sector (executive or otherwise)</w:t>
            </w:r>
          </w:p>
        </w:tc>
        <w:tc>
          <w:tcPr>
            <w:tcW w:w="1276" w:type="dxa"/>
          </w:tcPr>
          <w:p w14:paraId="459EA09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25</w:t>
            </w:r>
          </w:p>
        </w:tc>
        <w:tc>
          <w:tcPr>
            <w:tcW w:w="1406" w:type="dxa"/>
            <w:tcBorders>
              <w:right w:val="nil"/>
            </w:tcBorders>
          </w:tcPr>
          <w:p w14:paraId="718366EB"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56</w:t>
            </w:r>
          </w:p>
        </w:tc>
      </w:tr>
      <w:tr w:rsidR="00E91106" w:rsidRPr="00122D95" w14:paraId="080E9BA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C1C9A42" w14:textId="77777777" w:rsidR="00E91106" w:rsidRPr="00E068FB" w:rsidRDefault="00E91106">
            <w:pPr>
              <w:pStyle w:val="10Tabletext"/>
              <w:rPr>
                <w:b w:val="0"/>
              </w:rPr>
            </w:pPr>
            <w:r w:rsidRPr="00E068FB">
              <w:rPr>
                <w:b w:val="0"/>
              </w:rPr>
              <w:t>Executive roles – other Victorian public entities</w:t>
            </w:r>
          </w:p>
        </w:tc>
        <w:tc>
          <w:tcPr>
            <w:tcW w:w="1276" w:type="dxa"/>
          </w:tcPr>
          <w:p w14:paraId="5056B4D6"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17</w:t>
            </w:r>
          </w:p>
        </w:tc>
        <w:tc>
          <w:tcPr>
            <w:tcW w:w="1406" w:type="dxa"/>
            <w:tcBorders>
              <w:right w:val="nil"/>
            </w:tcBorders>
          </w:tcPr>
          <w:p w14:paraId="29644DEF"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38</w:t>
            </w:r>
          </w:p>
        </w:tc>
      </w:tr>
      <w:tr w:rsidR="00E91106" w:rsidRPr="00122D95" w14:paraId="0D274E02"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375F045" w14:textId="77777777" w:rsidR="00E91106" w:rsidRPr="00E068FB" w:rsidRDefault="00E91106">
            <w:pPr>
              <w:pStyle w:val="10Tabletext"/>
              <w:rPr>
                <w:b w:val="0"/>
              </w:rPr>
            </w:pPr>
            <w:r w:rsidRPr="00E068FB">
              <w:rPr>
                <w:b w:val="0"/>
              </w:rPr>
              <w:t>Executive roles – VPS</w:t>
            </w:r>
          </w:p>
        </w:tc>
        <w:tc>
          <w:tcPr>
            <w:tcW w:w="1276" w:type="dxa"/>
          </w:tcPr>
          <w:p w14:paraId="4E8F4D0D"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9</w:t>
            </w:r>
          </w:p>
        </w:tc>
        <w:tc>
          <w:tcPr>
            <w:tcW w:w="1406" w:type="dxa"/>
            <w:tcBorders>
              <w:right w:val="nil"/>
            </w:tcBorders>
          </w:tcPr>
          <w:p w14:paraId="6A8BB839"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20</w:t>
            </w:r>
          </w:p>
        </w:tc>
      </w:tr>
      <w:tr w:rsidR="00E91106" w:rsidRPr="00122D95" w14:paraId="269D15F9"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37E85A66" w14:textId="77777777" w:rsidR="00E91106" w:rsidRPr="00E068FB" w:rsidRDefault="00E91106">
            <w:pPr>
              <w:pStyle w:val="10Tabletext"/>
              <w:rPr>
                <w:b w:val="0"/>
              </w:rPr>
            </w:pPr>
            <w:r w:rsidRPr="00E068FB">
              <w:rPr>
                <w:b w:val="0"/>
              </w:rPr>
              <w:t>I don’t know</w:t>
            </w:r>
          </w:p>
        </w:tc>
        <w:tc>
          <w:tcPr>
            <w:tcW w:w="1276" w:type="dxa"/>
          </w:tcPr>
          <w:p w14:paraId="67E0D35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9</w:t>
            </w:r>
          </w:p>
        </w:tc>
        <w:tc>
          <w:tcPr>
            <w:tcW w:w="1406" w:type="dxa"/>
            <w:tcBorders>
              <w:right w:val="nil"/>
            </w:tcBorders>
          </w:tcPr>
          <w:p w14:paraId="3717C994"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r>
      <w:tr w:rsidR="00E91106" w:rsidRPr="00122D95" w14:paraId="7C0CDF1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360B7D0" w14:textId="77777777" w:rsidR="00E91106" w:rsidRPr="00E068FB" w:rsidRDefault="00E91106">
            <w:pPr>
              <w:pStyle w:val="10Tabletext"/>
              <w:rPr>
                <w:b w:val="0"/>
              </w:rPr>
            </w:pPr>
            <w:r w:rsidRPr="00E068FB">
              <w:rPr>
                <w:b w:val="0"/>
              </w:rPr>
              <w:t>Not-for-profit sector (executive or otherwise)</w:t>
            </w:r>
          </w:p>
        </w:tc>
        <w:tc>
          <w:tcPr>
            <w:tcW w:w="1276" w:type="dxa"/>
          </w:tcPr>
          <w:p w14:paraId="607895E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5</w:t>
            </w:r>
          </w:p>
        </w:tc>
        <w:tc>
          <w:tcPr>
            <w:tcW w:w="1406" w:type="dxa"/>
            <w:tcBorders>
              <w:right w:val="nil"/>
            </w:tcBorders>
          </w:tcPr>
          <w:p w14:paraId="0D1BBC20"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r>
      <w:tr w:rsidR="00E91106" w:rsidRPr="00122D95" w14:paraId="44C49E56"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14D7F397" w14:textId="77777777" w:rsidR="00E91106" w:rsidRPr="00E068FB" w:rsidRDefault="00E91106">
            <w:pPr>
              <w:pStyle w:val="10Tabletext"/>
              <w:rPr>
                <w:b w:val="0"/>
              </w:rPr>
            </w:pPr>
            <w:r w:rsidRPr="00E068FB">
              <w:rPr>
                <w:b w:val="0"/>
              </w:rPr>
              <w:t>Other</w:t>
            </w:r>
          </w:p>
        </w:tc>
        <w:tc>
          <w:tcPr>
            <w:tcW w:w="1276" w:type="dxa"/>
          </w:tcPr>
          <w:p w14:paraId="3BA8A72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5</w:t>
            </w:r>
          </w:p>
        </w:tc>
        <w:tc>
          <w:tcPr>
            <w:tcW w:w="1406" w:type="dxa"/>
            <w:tcBorders>
              <w:right w:val="nil"/>
            </w:tcBorders>
          </w:tcPr>
          <w:p w14:paraId="5022091E"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11</w:t>
            </w:r>
          </w:p>
        </w:tc>
      </w:tr>
      <w:tr w:rsidR="00E91106" w:rsidRPr="00122D95" w14:paraId="6376DBF3"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5FB2C4C" w14:textId="77777777" w:rsidR="00E91106" w:rsidRPr="00E068FB" w:rsidRDefault="00E91106">
            <w:pPr>
              <w:pStyle w:val="10Tabletext"/>
              <w:rPr>
                <w:b w:val="0"/>
              </w:rPr>
            </w:pPr>
            <w:r w:rsidRPr="00E068FB">
              <w:rPr>
                <w:b w:val="0"/>
              </w:rPr>
              <w:t>Executive roles – public sector in other Australian jurisdictions</w:t>
            </w:r>
          </w:p>
        </w:tc>
        <w:tc>
          <w:tcPr>
            <w:tcW w:w="1276" w:type="dxa"/>
          </w:tcPr>
          <w:p w14:paraId="4FDF3E6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3</w:t>
            </w:r>
          </w:p>
        </w:tc>
        <w:tc>
          <w:tcPr>
            <w:tcW w:w="1406" w:type="dxa"/>
            <w:tcBorders>
              <w:right w:val="nil"/>
            </w:tcBorders>
          </w:tcPr>
          <w:p w14:paraId="426979EA"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7</w:t>
            </w:r>
          </w:p>
        </w:tc>
      </w:tr>
      <w:tr w:rsidR="00E91106" w:rsidRPr="00122D95" w14:paraId="0F659EAC"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1E0E03A" w14:textId="77777777" w:rsidR="00E91106" w:rsidRPr="00E068FB" w:rsidRDefault="00E91106">
            <w:pPr>
              <w:pStyle w:val="10Tabletext"/>
              <w:rPr>
                <w:b w:val="0"/>
              </w:rPr>
            </w:pPr>
            <w:r w:rsidRPr="00E068FB">
              <w:rPr>
                <w:b w:val="0"/>
              </w:rPr>
              <w:t>Executive roles – Victorian local government</w:t>
            </w:r>
          </w:p>
        </w:tc>
        <w:tc>
          <w:tcPr>
            <w:tcW w:w="1276" w:type="dxa"/>
          </w:tcPr>
          <w:p w14:paraId="0B0700F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c>
          <w:tcPr>
            <w:tcW w:w="1406" w:type="dxa"/>
            <w:tcBorders>
              <w:right w:val="nil"/>
            </w:tcBorders>
          </w:tcPr>
          <w:p w14:paraId="26BBD84C"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w:t>
            </w:r>
          </w:p>
        </w:tc>
      </w:tr>
      <w:tr w:rsidR="00E91106" w:rsidRPr="00122D95" w14:paraId="6F3EF668"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884F5C4" w14:textId="77777777" w:rsidR="00E91106" w:rsidRPr="00E068FB" w:rsidRDefault="00E91106">
            <w:pPr>
              <w:pStyle w:val="10Tabletext"/>
              <w:rPr>
                <w:b w:val="0"/>
              </w:rPr>
            </w:pPr>
            <w:r w:rsidRPr="00E068FB">
              <w:rPr>
                <w:b w:val="0"/>
              </w:rPr>
              <w:t>Non-executive roles – other Victorian public entities</w:t>
            </w:r>
          </w:p>
        </w:tc>
        <w:tc>
          <w:tcPr>
            <w:tcW w:w="1276" w:type="dxa"/>
          </w:tcPr>
          <w:p w14:paraId="2FD52C68"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c>
          <w:tcPr>
            <w:tcW w:w="1406" w:type="dxa"/>
            <w:tcBorders>
              <w:right w:val="nil"/>
            </w:tcBorders>
          </w:tcPr>
          <w:p w14:paraId="2015613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r>
      <w:tr w:rsidR="00E91106" w:rsidRPr="00122D95" w14:paraId="5E51DAFD"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5D7FF0E9" w14:textId="77777777" w:rsidR="00E91106" w:rsidRPr="00E068FB" w:rsidRDefault="00E91106">
            <w:pPr>
              <w:pStyle w:val="10Tabletext"/>
              <w:rPr>
                <w:b w:val="0"/>
              </w:rPr>
            </w:pPr>
            <w:r w:rsidRPr="00E068FB">
              <w:rPr>
                <w:b w:val="0"/>
              </w:rPr>
              <w:t>Non-executive roles – VPS</w:t>
            </w:r>
          </w:p>
        </w:tc>
        <w:tc>
          <w:tcPr>
            <w:tcW w:w="1276" w:type="dxa"/>
          </w:tcPr>
          <w:p w14:paraId="104A01AD"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w:t>
            </w:r>
          </w:p>
        </w:tc>
        <w:tc>
          <w:tcPr>
            <w:tcW w:w="1406" w:type="dxa"/>
            <w:tcBorders>
              <w:right w:val="nil"/>
            </w:tcBorders>
          </w:tcPr>
          <w:p w14:paraId="022EF3F6"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w:t>
            </w:r>
          </w:p>
        </w:tc>
      </w:tr>
      <w:tr w:rsidR="00E91106" w:rsidRPr="00122D95" w14:paraId="0AD1BFF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054B05B7" w14:textId="77777777" w:rsidR="00E91106" w:rsidRPr="00E068FB" w:rsidRDefault="00E91106">
            <w:pPr>
              <w:pStyle w:val="10Tabletext"/>
              <w:rPr>
                <w:b w:val="0"/>
              </w:rPr>
            </w:pPr>
            <w:r w:rsidRPr="00E068FB">
              <w:rPr>
                <w:b w:val="0"/>
              </w:rPr>
              <w:t>Non-executive roles – public sector in other Australian jurisdictions</w:t>
            </w:r>
          </w:p>
        </w:tc>
        <w:tc>
          <w:tcPr>
            <w:tcW w:w="1276" w:type="dxa"/>
          </w:tcPr>
          <w:p w14:paraId="2A26F3E1"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w:t>
            </w:r>
          </w:p>
        </w:tc>
        <w:tc>
          <w:tcPr>
            <w:tcW w:w="1406" w:type="dxa"/>
            <w:tcBorders>
              <w:right w:val="nil"/>
            </w:tcBorders>
          </w:tcPr>
          <w:p w14:paraId="3366D3A2" w14:textId="77777777" w:rsidR="00E91106"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w:t>
            </w:r>
          </w:p>
        </w:tc>
      </w:tr>
      <w:tr w:rsidR="00E91106" w:rsidRPr="00122D95" w14:paraId="18D9E633"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BBE904B" w14:textId="77777777" w:rsidR="00E91106" w:rsidRPr="00E068FB" w:rsidRDefault="00E91106">
            <w:pPr>
              <w:pStyle w:val="10Tabletext"/>
              <w:rPr>
                <w:b w:val="0"/>
              </w:rPr>
            </w:pPr>
            <w:r w:rsidRPr="00E068FB">
              <w:rPr>
                <w:b w:val="0"/>
              </w:rPr>
              <w:t>Non-executive roles – Victorian local government</w:t>
            </w:r>
          </w:p>
        </w:tc>
        <w:tc>
          <w:tcPr>
            <w:tcW w:w="1276" w:type="dxa"/>
          </w:tcPr>
          <w:p w14:paraId="48B2691C"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c>
          <w:tcPr>
            <w:tcW w:w="1406" w:type="dxa"/>
            <w:tcBorders>
              <w:right w:val="nil"/>
            </w:tcBorders>
          </w:tcPr>
          <w:p w14:paraId="7F77252B" w14:textId="77777777" w:rsidR="00E91106"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0</w:t>
            </w:r>
          </w:p>
        </w:tc>
      </w:tr>
      <w:tr w:rsidR="00E91106" w:rsidRPr="00122D95" w14:paraId="4AA4FD61"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A60E480" w14:textId="77777777" w:rsidR="00E91106" w:rsidRPr="00122D95" w:rsidRDefault="00E91106">
            <w:pPr>
              <w:pStyle w:val="10Tabletext"/>
            </w:pPr>
            <w:r w:rsidRPr="00122D95">
              <w:t>Total</w:t>
            </w:r>
            <w:r>
              <w:t xml:space="preserve"> respondents</w:t>
            </w:r>
          </w:p>
        </w:tc>
        <w:tc>
          <w:tcPr>
            <w:tcW w:w="1276" w:type="dxa"/>
          </w:tcPr>
          <w:p w14:paraId="722B089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45</w:t>
            </w:r>
          </w:p>
        </w:tc>
        <w:tc>
          <w:tcPr>
            <w:tcW w:w="1406" w:type="dxa"/>
            <w:tcBorders>
              <w:right w:val="nil"/>
            </w:tcBorders>
          </w:tcPr>
          <w:p w14:paraId="77F69AFE"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p>
        </w:tc>
      </w:tr>
    </w:tbl>
    <w:p w14:paraId="36995CDD" w14:textId="32CF306B" w:rsidR="00E91106" w:rsidRPr="00122D95" w:rsidRDefault="00E91106">
      <w:pPr>
        <w:pStyle w:val="09Sourcesandnotesfortablesfiguresboxes"/>
      </w:pPr>
      <w:r w:rsidRPr="00122D95">
        <w:t>Note</w:t>
      </w:r>
      <w:r w:rsidR="00E068FB">
        <w:t>s</w:t>
      </w:r>
      <w:r w:rsidRPr="00122D95">
        <w:t xml:space="preserve">: </w:t>
      </w:r>
      <w:r>
        <w:t>(a)</w:t>
      </w:r>
      <w:r w:rsidRPr="00122D95">
        <w:t xml:space="preserve"> This question was only asked to respondents who answered ‘Yes’ in Table A.1</w:t>
      </w:r>
      <w:r>
        <w:t>4</w:t>
      </w:r>
      <w:r w:rsidRPr="00122D95">
        <w:t xml:space="preserve"> and ‘Yes’ in Table A.1</w:t>
      </w:r>
      <w:r>
        <w:t>8</w:t>
      </w:r>
      <w:r w:rsidRPr="00122D95">
        <w:t>.</w:t>
      </w:r>
      <w:r>
        <w:t xml:space="preserve"> (b)</w:t>
      </w:r>
      <w:r w:rsidR="00801B4F">
        <w:t> </w:t>
      </w:r>
      <w:r w:rsidRPr="00301F68">
        <w:t xml:space="preserve">The sum of the percentages in this table exceeds 100 per cent </w:t>
      </w:r>
      <w:r w:rsidRPr="001B778C">
        <w:t>as respondents were asked to select multiple options if applicable.</w:t>
      </w:r>
    </w:p>
    <w:p w14:paraId="348C4FF8" w14:textId="77777777" w:rsidR="00E91106" w:rsidRDefault="00E91106">
      <w:pPr>
        <w:rPr>
          <w:rFonts w:ascii="Rockwell" w:hAnsi="Rockwell" w:cs="Arial"/>
          <w:color w:val="0F6745" w:themeColor="accent2" w:themeShade="BF"/>
          <w:spacing w:val="-6"/>
          <w:sz w:val="30"/>
        </w:rPr>
      </w:pPr>
      <w:r>
        <w:br w:type="page"/>
      </w:r>
    </w:p>
    <w:p w14:paraId="05E4B417" w14:textId="77777777" w:rsidR="00E91106" w:rsidRPr="00122D95" w:rsidRDefault="00E91106" w:rsidP="00662054">
      <w:pPr>
        <w:pStyle w:val="03VIRTHeading3"/>
      </w:pPr>
      <w:r w:rsidRPr="00122D95">
        <w:lastRenderedPageBreak/>
        <w:t xml:space="preserve">Roles and responsibilities of </w:t>
      </w:r>
      <w:r>
        <w:t>public entity</w:t>
      </w:r>
      <w:r w:rsidRPr="00122D95">
        <w:t xml:space="preserve"> executives</w:t>
      </w:r>
    </w:p>
    <w:p w14:paraId="31DD8569" w14:textId="77777777" w:rsidR="00E91106" w:rsidRPr="00122D95" w:rsidRDefault="00E91106">
      <w:pPr>
        <w:pStyle w:val="05Paragraph"/>
      </w:pPr>
      <w:r w:rsidRPr="00122D95">
        <w:t xml:space="preserve">All executives were asked to consider the eight core </w:t>
      </w:r>
      <w:r w:rsidRPr="001928E9">
        <w:t>competencies from the Public Entity Executive Classification Framework (Table A.2</w:t>
      </w:r>
      <w:r>
        <w:t>2</w:t>
      </w:r>
      <w:r w:rsidRPr="001928E9">
        <w:t>).</w:t>
      </w:r>
    </w:p>
    <w:p w14:paraId="1A53E9AF" w14:textId="77777777" w:rsidR="00E91106" w:rsidRPr="00122D95" w:rsidRDefault="00E91106" w:rsidP="0071495B">
      <w:pPr>
        <w:pStyle w:val="06VIRTBulletpoints"/>
      </w:pPr>
      <w:r w:rsidRPr="00122D95">
        <w:t>For most competencies, over half of the respondents reported an increase in their responsibilities, except for ‘independence.’</w:t>
      </w:r>
    </w:p>
    <w:p w14:paraId="20389E91" w14:textId="77777777" w:rsidR="00E91106" w:rsidRPr="00122D95" w:rsidRDefault="00E91106" w:rsidP="0071495B">
      <w:pPr>
        <w:pStyle w:val="06VIRTBulletpoints"/>
      </w:pPr>
      <w:r w:rsidRPr="00122D95">
        <w:t xml:space="preserve">A small number of respondents indicated a reduction in their responsibilities across each of the competencies. </w:t>
      </w:r>
    </w:p>
    <w:p w14:paraId="3727D8CC" w14:textId="77777777" w:rsidR="00E91106" w:rsidRPr="00122D95" w:rsidRDefault="00E91106">
      <w:pPr>
        <w:pStyle w:val="08Figuretableboxheading"/>
      </w:pPr>
      <w:r w:rsidRPr="00122D95">
        <w:t>Table A.2</w:t>
      </w:r>
      <w:r>
        <w:t>2</w:t>
      </w:r>
      <w:r w:rsidRPr="00122D95">
        <w:t xml:space="preserve">: Over the past four years, how have the following </w:t>
      </w:r>
      <w:r>
        <w:t>components of your role changed</w:t>
      </w:r>
      <w:r w:rsidRPr="00122D95">
        <w:t>? If you have worked in more than one executive role in the last four years, please respond based on your longest role.</w:t>
      </w:r>
    </w:p>
    <w:tbl>
      <w:tblPr>
        <w:tblStyle w:val="ListTable3-Accent2"/>
        <w:tblW w:w="0" w:type="auto"/>
        <w:tblLook w:val="04A0" w:firstRow="1" w:lastRow="0" w:firstColumn="1" w:lastColumn="0" w:noHBand="0" w:noVBand="1"/>
      </w:tblPr>
      <w:tblGrid>
        <w:gridCol w:w="3940"/>
        <w:gridCol w:w="4564"/>
      </w:tblGrid>
      <w:tr w:rsidR="00C76DBA" w:rsidRPr="00141CBE" w14:paraId="045344F0" w14:textId="77777777" w:rsidTr="00E068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87" w:type="dxa"/>
            <w:shd w:val="clear" w:color="auto" w:fill="26664E" w:themeFill="accent1"/>
            <w:vAlign w:val="top"/>
          </w:tcPr>
          <w:p w14:paraId="0EB4E5D3" w14:textId="77777777" w:rsidR="00E91106" w:rsidRPr="00141CBE" w:rsidRDefault="00E91106" w:rsidP="00C76DBA">
            <w:pPr>
              <w:pStyle w:val="10Tabletext"/>
              <w:rPr>
                <w:b w:val="0"/>
              </w:rPr>
            </w:pPr>
            <w:r w:rsidRPr="00141CBE">
              <w:t>Competency</w:t>
            </w:r>
          </w:p>
        </w:tc>
        <w:tc>
          <w:tcPr>
            <w:tcW w:w="4587" w:type="dxa"/>
            <w:shd w:val="clear" w:color="auto" w:fill="26664E" w:themeFill="accent1"/>
            <w:vAlign w:val="top"/>
          </w:tcPr>
          <w:p w14:paraId="4CE18FB7" w14:textId="14AF2E48" w:rsidR="00E91106" w:rsidRPr="00141CBE" w:rsidRDefault="00E91106" w:rsidP="00E068FB">
            <w:pPr>
              <w:pStyle w:val="10Tabletext"/>
              <w:cnfStyle w:val="100000000000" w:firstRow="1" w:lastRow="0" w:firstColumn="0" w:lastColumn="0" w:oddVBand="0" w:evenVBand="0" w:oddHBand="0" w:evenHBand="0" w:firstRowFirstColumn="0" w:firstRowLastColumn="0" w:lastRowFirstColumn="0" w:lastRowLastColumn="0"/>
              <w:rPr>
                <w:b w:val="0"/>
              </w:rPr>
            </w:pPr>
            <w:r w:rsidRPr="00141CBE">
              <w:t>Responses</w:t>
            </w:r>
            <w:r w:rsidR="00B91573" w:rsidRPr="00B91573">
              <w:rPr>
                <w:vertAlign w:val="superscript"/>
              </w:rPr>
              <w:t>(a)</w:t>
            </w:r>
          </w:p>
        </w:tc>
      </w:tr>
      <w:tr w:rsidR="00C76DBA" w:rsidRPr="00141CBE" w14:paraId="7A8023A8" w14:textId="77777777" w:rsidTr="00C7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vAlign w:val="top"/>
          </w:tcPr>
          <w:p w14:paraId="09885C6B" w14:textId="77777777" w:rsidR="00E91106" w:rsidRPr="00141CBE" w:rsidRDefault="00E91106" w:rsidP="00C76DBA">
            <w:pPr>
              <w:pStyle w:val="10Tabletext"/>
              <w:rPr>
                <w:b w:val="0"/>
                <w:bCs/>
                <w:color w:val="auto"/>
              </w:rPr>
            </w:pPr>
            <w:r w:rsidRPr="00141CBE">
              <w:rPr>
                <w:color w:val="auto"/>
              </w:rPr>
              <w:t>Knowledge:</w:t>
            </w:r>
          </w:p>
          <w:p w14:paraId="4F4E354F" w14:textId="77777777" w:rsidR="00E91106" w:rsidRPr="00141CBE" w:rsidRDefault="00E91106" w:rsidP="00C76DBA">
            <w:pPr>
              <w:pStyle w:val="11Bulletsinatable"/>
              <w:ind w:left="360" w:hanging="360"/>
              <w:rPr>
                <w:b w:val="0"/>
                <w:bCs w:val="0"/>
                <w:color w:val="auto"/>
              </w:rPr>
            </w:pPr>
            <w:r w:rsidRPr="00141CBE">
              <w:rPr>
                <w:b w:val="0"/>
                <w:color w:val="auto"/>
              </w:rPr>
              <w:t>level of required knowledge, skills and expertise</w:t>
            </w:r>
          </w:p>
          <w:p w14:paraId="065FF9A2" w14:textId="77777777" w:rsidR="00E91106" w:rsidRPr="00141CBE" w:rsidRDefault="00E91106" w:rsidP="00C76DBA">
            <w:pPr>
              <w:pStyle w:val="11Bulletsinatable"/>
              <w:ind w:left="360" w:hanging="360"/>
              <w:rPr>
                <w:b w:val="0"/>
                <w:bCs w:val="0"/>
                <w:color w:val="auto"/>
              </w:rPr>
            </w:pPr>
            <w:r w:rsidRPr="00141CBE">
              <w:rPr>
                <w:b w:val="0"/>
                <w:color w:val="auto"/>
              </w:rPr>
              <w:t>proficiency in your specialised discipline</w:t>
            </w:r>
          </w:p>
          <w:p w14:paraId="2AF87ED7" w14:textId="77777777" w:rsidR="00E91106" w:rsidRPr="00141CBE" w:rsidRDefault="00E91106" w:rsidP="00C76DBA">
            <w:pPr>
              <w:pStyle w:val="11Bulletsinatable"/>
              <w:ind w:left="360" w:hanging="360"/>
              <w:rPr>
                <w:b w:val="0"/>
                <w:bCs w:val="0"/>
                <w:color w:val="auto"/>
              </w:rPr>
            </w:pPr>
            <w:r w:rsidRPr="00141CBE">
              <w:rPr>
                <w:b w:val="0"/>
                <w:color w:val="auto"/>
              </w:rPr>
              <w:t>level of authority</w:t>
            </w:r>
          </w:p>
          <w:p w14:paraId="1A26C06B" w14:textId="77777777" w:rsidR="00E91106" w:rsidRPr="00141CBE" w:rsidRDefault="00E91106" w:rsidP="00C76DBA">
            <w:pPr>
              <w:pStyle w:val="11Bulletsinatable"/>
              <w:ind w:left="360" w:hanging="360"/>
              <w:rPr>
                <w:b w:val="0"/>
                <w:bCs w:val="0"/>
                <w:color w:val="auto"/>
              </w:rPr>
            </w:pPr>
            <w:r w:rsidRPr="00141CBE">
              <w:rPr>
                <w:b w:val="0"/>
                <w:color w:val="auto"/>
              </w:rPr>
              <w:t>depth of understanding of the work environment</w:t>
            </w:r>
          </w:p>
          <w:p w14:paraId="5BB09931" w14:textId="77777777" w:rsidR="00E91106" w:rsidRPr="00141CBE" w:rsidRDefault="00E91106" w:rsidP="00C76DBA">
            <w:pPr>
              <w:pStyle w:val="11Bulletsinatable"/>
              <w:ind w:left="360" w:hanging="360"/>
              <w:rPr>
                <w:color w:val="auto"/>
              </w:rPr>
            </w:pPr>
            <w:r w:rsidRPr="00141CBE">
              <w:rPr>
                <w:b w:val="0"/>
                <w:color w:val="auto"/>
              </w:rPr>
              <w:t>whether a source of advice, and to whom.</w:t>
            </w:r>
          </w:p>
        </w:tc>
        <w:tc>
          <w:tcPr>
            <w:tcW w:w="4587" w:type="dxa"/>
          </w:tcPr>
          <w:p w14:paraId="20F1E237" w14:textId="3786239E" w:rsidR="00E91106" w:rsidRPr="00141CBE" w:rsidRDefault="005D7B0E" w:rsidP="00C76DBA">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Pr>
                <w:noProof/>
                <w:color w:val="auto"/>
              </w:rPr>
              <w:drawing>
                <wp:inline distT="0" distB="0" distL="0" distR="0" wp14:anchorId="3124044F" wp14:editId="6A92B376">
                  <wp:extent cx="2725420" cy="1402080"/>
                  <wp:effectExtent l="0" t="0" r="0" b="7620"/>
                  <wp:docPr id="872269059" name="Picture 13" descr="A bar chart showing the proportion of respondents who indicated that the 'knowledge'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69059" name="Picture 13" descr="A bar chart showing the proportion of respondents who indicated that the 'knowledge' component of their role had reduced, grown or remained unchanged over the last four year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1402080"/>
                          </a:xfrm>
                          <a:prstGeom prst="rect">
                            <a:avLst/>
                          </a:prstGeom>
                          <a:noFill/>
                        </pic:spPr>
                      </pic:pic>
                    </a:graphicData>
                  </a:graphic>
                </wp:inline>
              </w:drawing>
            </w:r>
          </w:p>
        </w:tc>
      </w:tr>
      <w:tr w:rsidR="00C76DBA" w:rsidRPr="00141CBE" w14:paraId="2D3B7FEE" w14:textId="77777777" w:rsidTr="00C76DBA">
        <w:trPr>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20E4CF68" w14:textId="77777777" w:rsidR="00E91106" w:rsidRPr="00141CBE" w:rsidRDefault="00E91106" w:rsidP="00C76DBA">
            <w:pPr>
              <w:pStyle w:val="10Tabletext"/>
              <w:rPr>
                <w:b w:val="0"/>
                <w:bCs/>
                <w:color w:val="auto"/>
              </w:rPr>
            </w:pPr>
            <w:r w:rsidRPr="00141CBE">
              <w:rPr>
                <w:color w:val="auto"/>
              </w:rPr>
              <w:t>Relationships:</w:t>
            </w:r>
          </w:p>
          <w:p w14:paraId="04F58780" w14:textId="77777777" w:rsidR="00E91106" w:rsidRPr="00141CBE" w:rsidRDefault="00E91106" w:rsidP="00C76DBA">
            <w:pPr>
              <w:pStyle w:val="11Bulletsinatable"/>
              <w:ind w:left="360" w:hanging="360"/>
              <w:rPr>
                <w:b w:val="0"/>
                <w:color w:val="auto"/>
              </w:rPr>
            </w:pPr>
            <w:r w:rsidRPr="00141CBE">
              <w:rPr>
                <w:b w:val="0"/>
                <w:color w:val="auto"/>
              </w:rPr>
              <w:t>requirement to influence and negotiate</w:t>
            </w:r>
          </w:p>
          <w:p w14:paraId="5A5BEE40" w14:textId="77777777" w:rsidR="00E91106" w:rsidRPr="00141CBE" w:rsidRDefault="00E91106" w:rsidP="00C76DBA">
            <w:pPr>
              <w:pStyle w:val="11Bulletsinatable"/>
              <w:ind w:left="360" w:hanging="360"/>
              <w:rPr>
                <w:b w:val="0"/>
                <w:color w:val="auto"/>
              </w:rPr>
            </w:pPr>
            <w:r w:rsidRPr="00141CBE">
              <w:rPr>
                <w:b w:val="0"/>
                <w:color w:val="auto"/>
              </w:rPr>
              <w:t>level, frequency and quantity of interaction with internal and external stakeholders</w:t>
            </w:r>
          </w:p>
          <w:p w14:paraId="13CFE24C" w14:textId="77777777" w:rsidR="00E91106" w:rsidRPr="00141CBE" w:rsidRDefault="00E91106" w:rsidP="00C76DBA">
            <w:pPr>
              <w:pStyle w:val="11Bulletsinatable"/>
              <w:ind w:left="360" w:hanging="360"/>
              <w:rPr>
                <w:color w:val="auto"/>
              </w:rPr>
            </w:pPr>
            <w:r w:rsidRPr="00141CBE">
              <w:rPr>
                <w:b w:val="0"/>
                <w:color w:val="auto"/>
              </w:rPr>
              <w:t>assessment of the sensitivity and complexity of issues and interactions.</w:t>
            </w:r>
          </w:p>
        </w:tc>
        <w:tc>
          <w:tcPr>
            <w:tcW w:w="4587" w:type="dxa"/>
          </w:tcPr>
          <w:p w14:paraId="2929374E" w14:textId="07718834" w:rsidR="00E91106" w:rsidRPr="00141CBE" w:rsidRDefault="005D7B0E" w:rsidP="00C76DBA">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Pr>
                <w:noProof/>
                <w:color w:val="auto"/>
              </w:rPr>
              <w:drawing>
                <wp:inline distT="0" distB="0" distL="0" distR="0" wp14:anchorId="249E6A11" wp14:editId="259CC1B2">
                  <wp:extent cx="2725420" cy="1213485"/>
                  <wp:effectExtent l="0" t="0" r="0" b="5715"/>
                  <wp:docPr id="1656677887" name="Picture 14" descr="A bar chart showing the proportion of respondents who indicated that the 'relationships'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77887" name="Picture 14" descr="A bar chart showing the proportion of respondents who indicated that the 'relationships' component of their role had reduced, grown or remained unchanged over the last four yea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3321B47B" w14:textId="77777777" w:rsidTr="00C76DBA">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5EA7AA12" w14:textId="77777777" w:rsidR="00E91106" w:rsidRPr="00141CBE" w:rsidRDefault="00E91106" w:rsidP="00C76DBA">
            <w:pPr>
              <w:pStyle w:val="10Tabletext"/>
              <w:rPr>
                <w:b w:val="0"/>
                <w:bCs/>
                <w:color w:val="auto"/>
              </w:rPr>
            </w:pPr>
            <w:r w:rsidRPr="00141CBE">
              <w:rPr>
                <w:color w:val="auto"/>
              </w:rPr>
              <w:t>Judgement and risk:</w:t>
            </w:r>
          </w:p>
          <w:p w14:paraId="613461DC" w14:textId="77777777" w:rsidR="00E91106" w:rsidRPr="00141CBE" w:rsidRDefault="00E91106" w:rsidP="00C76DBA">
            <w:pPr>
              <w:pStyle w:val="11Bulletsinatable"/>
              <w:ind w:left="360" w:hanging="360"/>
              <w:rPr>
                <w:b w:val="0"/>
                <w:color w:val="auto"/>
              </w:rPr>
            </w:pPr>
            <w:r w:rsidRPr="00141CBE">
              <w:rPr>
                <w:b w:val="0"/>
                <w:color w:val="auto"/>
              </w:rPr>
              <w:t>the complexity of decision-making and risk assessment and mitigation associated with your position</w:t>
            </w:r>
          </w:p>
          <w:p w14:paraId="319B0F49" w14:textId="77777777" w:rsidR="00E91106" w:rsidRPr="00141CBE" w:rsidRDefault="00E91106" w:rsidP="00C76DBA">
            <w:pPr>
              <w:pStyle w:val="11Bulletsinatable"/>
              <w:ind w:left="360" w:hanging="360"/>
              <w:rPr>
                <w:b w:val="0"/>
                <w:color w:val="auto"/>
              </w:rPr>
            </w:pPr>
            <w:r w:rsidRPr="00141CBE">
              <w:rPr>
                <w:b w:val="0"/>
                <w:color w:val="auto"/>
              </w:rPr>
              <w:t>degree of uncertainty and ambiguity</w:t>
            </w:r>
          </w:p>
          <w:p w14:paraId="24A63F9C" w14:textId="77777777" w:rsidR="00E91106" w:rsidRPr="00141CBE" w:rsidRDefault="00E91106" w:rsidP="00C76DBA">
            <w:pPr>
              <w:pStyle w:val="11Bulletsinatable"/>
              <w:ind w:left="360" w:hanging="360"/>
              <w:rPr>
                <w:b w:val="0"/>
                <w:color w:val="auto"/>
              </w:rPr>
            </w:pPr>
            <w:r w:rsidRPr="00141CBE">
              <w:rPr>
                <w:b w:val="0"/>
                <w:color w:val="auto"/>
              </w:rPr>
              <w:t>criticality of judgements and risks</w:t>
            </w:r>
          </w:p>
          <w:p w14:paraId="18E30037" w14:textId="07FB2BC8" w:rsidR="00E91106" w:rsidRPr="00141CBE" w:rsidRDefault="00E91106" w:rsidP="00C76DBA">
            <w:pPr>
              <w:pStyle w:val="11Bulletsinatable"/>
              <w:ind w:left="360" w:hanging="360"/>
              <w:rPr>
                <w:color w:val="auto"/>
                <w:spacing w:val="-2"/>
              </w:rPr>
            </w:pPr>
            <w:r w:rsidRPr="00141CBE">
              <w:rPr>
                <w:b w:val="0"/>
                <w:color w:val="auto"/>
                <w:spacing w:val="-2"/>
              </w:rPr>
              <w:t>the level at which the risk/judgement applies e.g. organisational/state/</w:t>
            </w:r>
            <w:r w:rsidR="00E07ED0" w:rsidRPr="00141CBE">
              <w:rPr>
                <w:b w:val="0"/>
                <w:color w:val="auto"/>
                <w:spacing w:val="-2"/>
              </w:rPr>
              <w:t xml:space="preserve"> </w:t>
            </w:r>
            <w:r w:rsidRPr="00141CBE">
              <w:rPr>
                <w:b w:val="0"/>
                <w:color w:val="auto"/>
                <w:spacing w:val="-2"/>
              </w:rPr>
              <w:t>nationwide.</w:t>
            </w:r>
          </w:p>
        </w:tc>
        <w:tc>
          <w:tcPr>
            <w:tcW w:w="4587" w:type="dxa"/>
          </w:tcPr>
          <w:p w14:paraId="578C0ED4" w14:textId="2EFEB97D" w:rsidR="00E91106" w:rsidRPr="00141CBE" w:rsidRDefault="005D7B0E" w:rsidP="00C76DBA">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Pr>
                <w:noProof/>
                <w:color w:val="auto"/>
              </w:rPr>
              <w:drawing>
                <wp:inline distT="0" distB="0" distL="0" distR="0" wp14:anchorId="2E63FF7A" wp14:editId="0F1FDE8D">
                  <wp:extent cx="2725420" cy="1213485"/>
                  <wp:effectExtent l="0" t="0" r="0" b="5715"/>
                  <wp:docPr id="538917807" name="Picture 15" descr="A bar chart showing the proportion of respondents who indicated that the 'judgement and risk'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17807" name="Picture 15" descr="A bar chart showing the proportion of respondents who indicated that the 'judgement and risk' component of their role had reduced, grown or remained unchanged over the last four yea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0DB82AA0" w14:textId="77777777" w:rsidTr="00C76DBA">
        <w:trPr>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2F15A7E1" w14:textId="77777777" w:rsidR="00E91106" w:rsidRPr="00141CBE" w:rsidRDefault="00E91106" w:rsidP="00C76DBA">
            <w:pPr>
              <w:pStyle w:val="10Tabletext"/>
              <w:rPr>
                <w:b w:val="0"/>
                <w:bCs/>
                <w:color w:val="auto"/>
              </w:rPr>
            </w:pPr>
            <w:r w:rsidRPr="00141CBE">
              <w:rPr>
                <w:color w:val="auto"/>
              </w:rPr>
              <w:lastRenderedPageBreak/>
              <w:t>Independence:</w:t>
            </w:r>
          </w:p>
          <w:p w14:paraId="6CD62A5E" w14:textId="77777777" w:rsidR="00E91106" w:rsidRPr="00141CBE" w:rsidRDefault="00E91106" w:rsidP="00C76DBA">
            <w:pPr>
              <w:pStyle w:val="11Bulletsinatable"/>
              <w:ind w:left="360" w:hanging="360"/>
              <w:rPr>
                <w:b w:val="0"/>
                <w:color w:val="auto"/>
              </w:rPr>
            </w:pPr>
            <w:r w:rsidRPr="00141CBE">
              <w:rPr>
                <w:b w:val="0"/>
                <w:color w:val="auto"/>
              </w:rPr>
              <w:t>the requirement to make decisions without support</w:t>
            </w:r>
          </w:p>
          <w:p w14:paraId="6F244ADC" w14:textId="77777777" w:rsidR="00E91106" w:rsidRPr="00141CBE" w:rsidRDefault="00E91106" w:rsidP="00C76DBA">
            <w:pPr>
              <w:pStyle w:val="11Bulletsinatable"/>
              <w:ind w:left="360" w:hanging="360"/>
              <w:rPr>
                <w:b w:val="0"/>
                <w:color w:val="auto"/>
              </w:rPr>
            </w:pPr>
            <w:r w:rsidRPr="00141CBE">
              <w:rPr>
                <w:b w:val="0"/>
                <w:color w:val="auto"/>
              </w:rPr>
              <w:t>authority and freedom to plan objectives</w:t>
            </w:r>
          </w:p>
          <w:p w14:paraId="5E58DDB8" w14:textId="77777777" w:rsidR="00E91106" w:rsidRPr="00141CBE" w:rsidRDefault="00E91106" w:rsidP="00C76DBA">
            <w:pPr>
              <w:pStyle w:val="11Bulletsinatable"/>
              <w:ind w:left="360" w:hanging="360"/>
              <w:rPr>
                <w:color w:val="auto"/>
              </w:rPr>
            </w:pPr>
            <w:r w:rsidRPr="00141CBE">
              <w:rPr>
                <w:b w:val="0"/>
                <w:color w:val="auto"/>
              </w:rPr>
              <w:t>requirement to contribute to or lead strategic direction of the entity.</w:t>
            </w:r>
          </w:p>
        </w:tc>
        <w:tc>
          <w:tcPr>
            <w:tcW w:w="4587" w:type="dxa"/>
          </w:tcPr>
          <w:p w14:paraId="123EC92B" w14:textId="3E197EE0" w:rsidR="00E91106" w:rsidRPr="00141CBE" w:rsidRDefault="005D7B0E" w:rsidP="00C76DBA">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Pr>
                <w:noProof/>
                <w:color w:val="auto"/>
              </w:rPr>
              <w:drawing>
                <wp:inline distT="0" distB="0" distL="0" distR="0" wp14:anchorId="005B1BC5" wp14:editId="24943B52">
                  <wp:extent cx="2725420" cy="1213485"/>
                  <wp:effectExtent l="0" t="0" r="0" b="5715"/>
                  <wp:docPr id="1577830516" name="Picture 16" descr="A bar chart showing the proportion of respondents who indicated that the 'independence'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30516" name="Picture 16" descr="A bar chart showing the proportion of respondents who indicated that the 'independence' component of their role had reduced, grown or remained unchanged over the last four year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3BDAFF88" w14:textId="77777777" w:rsidTr="00C76DBA">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6D47F1D9" w14:textId="77777777" w:rsidR="00E91106" w:rsidRPr="00141CBE" w:rsidRDefault="00E91106" w:rsidP="00C76DBA">
            <w:pPr>
              <w:pStyle w:val="10Tabletext"/>
              <w:rPr>
                <w:b w:val="0"/>
                <w:bCs/>
                <w:color w:val="auto"/>
              </w:rPr>
            </w:pPr>
            <w:r w:rsidRPr="00141CBE">
              <w:rPr>
                <w:color w:val="auto"/>
              </w:rPr>
              <w:t>Strategic change:</w:t>
            </w:r>
          </w:p>
          <w:p w14:paraId="7C15F4BC" w14:textId="77777777" w:rsidR="00E91106" w:rsidRPr="00141CBE" w:rsidRDefault="00E91106" w:rsidP="00C76DBA">
            <w:pPr>
              <w:pStyle w:val="11Bulletsinatable"/>
              <w:ind w:left="360" w:hanging="360"/>
              <w:rPr>
                <w:b w:val="0"/>
                <w:color w:val="auto"/>
              </w:rPr>
            </w:pPr>
            <w:r w:rsidRPr="00141CBE">
              <w:rPr>
                <w:b w:val="0"/>
                <w:color w:val="auto"/>
              </w:rPr>
              <w:t>delivering change</w:t>
            </w:r>
          </w:p>
          <w:p w14:paraId="715AC781" w14:textId="77777777" w:rsidR="00E91106" w:rsidRPr="00141CBE" w:rsidRDefault="00E91106" w:rsidP="00C76DBA">
            <w:pPr>
              <w:pStyle w:val="11Bulletsinatable"/>
              <w:ind w:left="360" w:hanging="360"/>
              <w:rPr>
                <w:b w:val="0"/>
                <w:color w:val="auto"/>
              </w:rPr>
            </w:pPr>
            <w:r w:rsidRPr="00141CBE">
              <w:rPr>
                <w:b w:val="0"/>
                <w:color w:val="auto"/>
              </w:rPr>
              <w:t>measured by your position’s extent of responsibility for and level of complexity of significant strategic change management</w:t>
            </w:r>
          </w:p>
          <w:p w14:paraId="42A49FC4" w14:textId="77777777" w:rsidR="00E91106" w:rsidRPr="00141CBE" w:rsidRDefault="00E91106" w:rsidP="00C76DBA">
            <w:pPr>
              <w:pStyle w:val="11Bulletsinatable"/>
              <w:ind w:left="360" w:hanging="360"/>
              <w:rPr>
                <w:color w:val="auto"/>
              </w:rPr>
            </w:pPr>
            <w:r w:rsidRPr="00141CBE">
              <w:rPr>
                <w:b w:val="0"/>
                <w:color w:val="auto"/>
              </w:rPr>
              <w:t>contribution to business improvement.</w:t>
            </w:r>
          </w:p>
        </w:tc>
        <w:tc>
          <w:tcPr>
            <w:tcW w:w="4587" w:type="dxa"/>
          </w:tcPr>
          <w:p w14:paraId="4091FE71" w14:textId="33539827" w:rsidR="00E91106" w:rsidRPr="00141CBE" w:rsidRDefault="005D7B0E" w:rsidP="00C76DBA">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Pr>
                <w:noProof/>
                <w:color w:val="auto"/>
              </w:rPr>
              <w:drawing>
                <wp:inline distT="0" distB="0" distL="0" distR="0" wp14:anchorId="616951AE" wp14:editId="2DE529C3">
                  <wp:extent cx="2725420" cy="1213485"/>
                  <wp:effectExtent l="0" t="0" r="0" b="5715"/>
                  <wp:docPr id="390509188" name="Picture 17" descr="A bar chart showing the proportion of respondents who indicated that the 'strategic change'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09188" name="Picture 17" descr="A bar chart showing the proportion of respondents who indicated that the 'strategic change' component of their role had reduced, grown or remained unchanged over the last four year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2F2C9A6A" w14:textId="77777777" w:rsidTr="00C76DBA">
        <w:trPr>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5B89CD03" w14:textId="77777777" w:rsidR="00E91106" w:rsidRPr="00141CBE" w:rsidRDefault="00E91106" w:rsidP="00C76DBA">
            <w:pPr>
              <w:pStyle w:val="10Tabletext"/>
              <w:rPr>
                <w:b w:val="0"/>
                <w:bCs/>
                <w:color w:val="auto"/>
              </w:rPr>
            </w:pPr>
            <w:r w:rsidRPr="00141CBE">
              <w:rPr>
                <w:color w:val="auto"/>
              </w:rPr>
              <w:t>Impact:</w:t>
            </w:r>
          </w:p>
          <w:p w14:paraId="508AC64E" w14:textId="77777777" w:rsidR="00E91106" w:rsidRPr="00141CBE" w:rsidRDefault="00E91106" w:rsidP="00C76DBA">
            <w:pPr>
              <w:pStyle w:val="11Bulletsinatable"/>
              <w:ind w:left="360" w:hanging="360"/>
              <w:rPr>
                <w:b w:val="0"/>
                <w:color w:val="auto"/>
              </w:rPr>
            </w:pPr>
            <w:r w:rsidRPr="00141CBE">
              <w:rPr>
                <w:b w:val="0"/>
                <w:color w:val="auto"/>
              </w:rPr>
              <w:t>developing the policy frameworks and the strategic direction of the entity</w:t>
            </w:r>
          </w:p>
          <w:p w14:paraId="76E66C7C" w14:textId="77777777" w:rsidR="00E91106" w:rsidRPr="00141CBE" w:rsidRDefault="00E91106" w:rsidP="00C76DBA">
            <w:pPr>
              <w:pStyle w:val="11Bulletsinatable"/>
              <w:ind w:left="360" w:hanging="360"/>
              <w:rPr>
                <w:b w:val="0"/>
                <w:color w:val="auto"/>
              </w:rPr>
            </w:pPr>
            <w:r w:rsidRPr="00141CBE">
              <w:rPr>
                <w:b w:val="0"/>
                <w:color w:val="auto"/>
              </w:rPr>
              <w:t>measured by the scope of your position’s impact internally, into the sector, across the state or nationally and internationally.</w:t>
            </w:r>
          </w:p>
        </w:tc>
        <w:tc>
          <w:tcPr>
            <w:tcW w:w="4587" w:type="dxa"/>
          </w:tcPr>
          <w:p w14:paraId="00DCBC33" w14:textId="15BE0C59" w:rsidR="00E91106" w:rsidRPr="00141CBE" w:rsidRDefault="005D7B0E" w:rsidP="00C76DBA">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Pr>
                <w:noProof/>
                <w:color w:val="auto"/>
              </w:rPr>
              <w:drawing>
                <wp:inline distT="0" distB="0" distL="0" distR="0" wp14:anchorId="669EE5A4" wp14:editId="46910ADB">
                  <wp:extent cx="2725420" cy="1213485"/>
                  <wp:effectExtent l="0" t="0" r="0" b="5715"/>
                  <wp:docPr id="445634399" name="Picture 18" descr="A bar chart showing the proportion of respondents who indicated that the 'impact'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4399" name="Picture 18" descr="A bar chart showing the proportion of respondents who indicated that the 'impact' component of their role had reduced, grown or remained unchanged over the last four year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3DAC13D1" w14:textId="77777777" w:rsidTr="00C76DBA">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5D2C9C97" w14:textId="77777777" w:rsidR="00E91106" w:rsidRPr="00141CBE" w:rsidRDefault="00E91106" w:rsidP="00C76DBA">
            <w:pPr>
              <w:pStyle w:val="10Tabletext"/>
              <w:rPr>
                <w:b w:val="0"/>
                <w:bCs/>
                <w:color w:val="auto"/>
              </w:rPr>
            </w:pPr>
            <w:r w:rsidRPr="00141CBE">
              <w:rPr>
                <w:color w:val="auto"/>
              </w:rPr>
              <w:t>Breadth:</w:t>
            </w:r>
          </w:p>
          <w:p w14:paraId="13802829" w14:textId="77777777" w:rsidR="00E91106" w:rsidRPr="00141CBE" w:rsidRDefault="00E91106" w:rsidP="00C76DBA">
            <w:pPr>
              <w:pStyle w:val="11Bulletsinatable"/>
              <w:ind w:left="360" w:hanging="360"/>
              <w:rPr>
                <w:b w:val="0"/>
                <w:color w:val="auto"/>
              </w:rPr>
            </w:pPr>
            <w:r w:rsidRPr="00141CBE">
              <w:rPr>
                <w:b w:val="0"/>
                <w:color w:val="auto"/>
              </w:rPr>
              <w:t>diversity of activities and functions managed by your position</w:t>
            </w:r>
          </w:p>
          <w:p w14:paraId="369159DA" w14:textId="77777777" w:rsidR="00E91106" w:rsidRPr="00141CBE" w:rsidRDefault="00E91106" w:rsidP="00C76DBA">
            <w:pPr>
              <w:pStyle w:val="11Bulletsinatable"/>
              <w:ind w:left="360" w:hanging="360"/>
              <w:rPr>
                <w:b w:val="0"/>
                <w:color w:val="auto"/>
              </w:rPr>
            </w:pPr>
            <w:r w:rsidRPr="00141CBE">
              <w:rPr>
                <w:b w:val="0"/>
                <w:color w:val="auto"/>
              </w:rPr>
              <w:t>geographical breadth of responsibility</w:t>
            </w:r>
          </w:p>
          <w:p w14:paraId="0130D970" w14:textId="77777777" w:rsidR="00E91106" w:rsidRPr="00141CBE" w:rsidRDefault="00E91106" w:rsidP="00C76DBA">
            <w:pPr>
              <w:pStyle w:val="11Bulletsinatable"/>
              <w:ind w:left="360" w:hanging="360"/>
              <w:rPr>
                <w:color w:val="auto"/>
              </w:rPr>
            </w:pPr>
            <w:r w:rsidRPr="00141CBE">
              <w:rPr>
                <w:b w:val="0"/>
                <w:color w:val="auto"/>
              </w:rPr>
              <w:t>range of programs, products and services managed by your position.</w:t>
            </w:r>
          </w:p>
        </w:tc>
        <w:tc>
          <w:tcPr>
            <w:tcW w:w="4587" w:type="dxa"/>
          </w:tcPr>
          <w:p w14:paraId="4A125DFA" w14:textId="132A0DEB" w:rsidR="00E91106" w:rsidRPr="00141CBE" w:rsidRDefault="005D7B0E" w:rsidP="00C76DBA">
            <w:pPr>
              <w:pStyle w:val="Tabletext"/>
              <w:jc w:val="center"/>
              <w:cnfStyle w:val="000000100000" w:firstRow="0" w:lastRow="0" w:firstColumn="0" w:lastColumn="0" w:oddVBand="0" w:evenVBand="0" w:oddHBand="1" w:evenHBand="0" w:firstRowFirstColumn="0" w:firstRowLastColumn="0" w:lastRowFirstColumn="0" w:lastRowLastColumn="0"/>
              <w:rPr>
                <w:color w:val="auto"/>
              </w:rPr>
            </w:pPr>
            <w:r>
              <w:rPr>
                <w:noProof/>
                <w:color w:val="auto"/>
              </w:rPr>
              <w:drawing>
                <wp:inline distT="0" distB="0" distL="0" distR="0" wp14:anchorId="4E4ADBED" wp14:editId="0CBEACCA">
                  <wp:extent cx="2725420" cy="1213485"/>
                  <wp:effectExtent l="0" t="0" r="0" b="5715"/>
                  <wp:docPr id="2030467250" name="Picture 19" descr="A bar chart showing the proportion of respondents who indicated that the 'breadth'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67250" name="Picture 19" descr="A bar chart showing the proportion of respondents who indicated that the 'breadth' component of their role had reduced, grown or remained unchanged over the last four year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r w:rsidR="00C76DBA" w:rsidRPr="00141CBE" w14:paraId="195E275E" w14:textId="77777777" w:rsidTr="00C76DBA">
        <w:trPr>
          <w:trHeight w:val="1928"/>
        </w:trPr>
        <w:tc>
          <w:tcPr>
            <w:cnfStyle w:val="001000000000" w:firstRow="0" w:lastRow="0" w:firstColumn="1" w:lastColumn="0" w:oddVBand="0" w:evenVBand="0" w:oddHBand="0" w:evenHBand="0" w:firstRowFirstColumn="0" w:firstRowLastColumn="0" w:lastRowFirstColumn="0" w:lastRowLastColumn="0"/>
            <w:tcW w:w="4587" w:type="dxa"/>
            <w:vAlign w:val="top"/>
          </w:tcPr>
          <w:p w14:paraId="0D810F9F" w14:textId="77777777" w:rsidR="00E91106" w:rsidRPr="00141CBE" w:rsidRDefault="00E91106" w:rsidP="00C76DBA">
            <w:pPr>
              <w:pStyle w:val="10Tabletext"/>
              <w:rPr>
                <w:b w:val="0"/>
                <w:bCs/>
                <w:color w:val="auto"/>
              </w:rPr>
            </w:pPr>
            <w:r w:rsidRPr="00141CBE">
              <w:rPr>
                <w:color w:val="auto"/>
              </w:rPr>
              <w:t>Resource management:</w:t>
            </w:r>
          </w:p>
          <w:p w14:paraId="77B59D5B" w14:textId="7CAA0917" w:rsidR="00E91106" w:rsidRPr="00225CC0" w:rsidRDefault="00E91106" w:rsidP="00C76DBA">
            <w:pPr>
              <w:pStyle w:val="11Bulletsinatable"/>
              <w:ind w:left="360" w:hanging="360"/>
              <w:rPr>
                <w:b w:val="0"/>
                <w:color w:val="auto"/>
              </w:rPr>
            </w:pPr>
            <w:r w:rsidRPr="00141CBE">
              <w:rPr>
                <w:b w:val="0"/>
                <w:color w:val="auto"/>
              </w:rPr>
              <w:t>number of staff and size of resources and budget.</w:t>
            </w:r>
          </w:p>
        </w:tc>
        <w:tc>
          <w:tcPr>
            <w:tcW w:w="4587" w:type="dxa"/>
          </w:tcPr>
          <w:p w14:paraId="0D6290EA" w14:textId="30E10405" w:rsidR="00E91106" w:rsidRPr="00141CBE" w:rsidRDefault="005D7B0E" w:rsidP="00C76DBA">
            <w:pPr>
              <w:pStyle w:val="Tabletext"/>
              <w:jc w:val="center"/>
              <w:cnfStyle w:val="000000000000" w:firstRow="0" w:lastRow="0" w:firstColumn="0" w:lastColumn="0" w:oddVBand="0" w:evenVBand="0" w:oddHBand="0" w:evenHBand="0" w:firstRowFirstColumn="0" w:firstRowLastColumn="0" w:lastRowFirstColumn="0" w:lastRowLastColumn="0"/>
              <w:rPr>
                <w:color w:val="auto"/>
              </w:rPr>
            </w:pPr>
            <w:r>
              <w:rPr>
                <w:noProof/>
                <w:color w:val="auto"/>
              </w:rPr>
              <w:drawing>
                <wp:inline distT="0" distB="0" distL="0" distR="0" wp14:anchorId="3B86F963" wp14:editId="6494A4B2">
                  <wp:extent cx="2725420" cy="1213485"/>
                  <wp:effectExtent l="0" t="0" r="0" b="5715"/>
                  <wp:docPr id="776238780" name="Picture 20" descr="A bar chart showing the proportion of respondents who indicated that the 'resource management' component of their role had reduced, grown or remained unchanged over the last four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38780" name="Picture 20" descr="A bar chart showing the proportion of respondents who indicated that the 'resource management' component of their role had reduced, grown or remained unchanged over the last four year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25420" cy="1213485"/>
                          </a:xfrm>
                          <a:prstGeom prst="rect">
                            <a:avLst/>
                          </a:prstGeom>
                          <a:noFill/>
                        </pic:spPr>
                      </pic:pic>
                    </a:graphicData>
                  </a:graphic>
                </wp:inline>
              </w:drawing>
            </w:r>
          </w:p>
        </w:tc>
      </w:tr>
    </w:tbl>
    <w:p w14:paraId="65A85A84" w14:textId="09A9B3C2" w:rsidR="00725C38" w:rsidRDefault="00725C38" w:rsidP="00CE2E2A">
      <w:pPr>
        <w:pStyle w:val="09Sourcesandnotesfortablesfiguresboxes"/>
      </w:pPr>
      <w:r w:rsidRPr="00DF6060">
        <w:t>Note: (a)</w:t>
      </w:r>
      <w:r w:rsidR="00E24D50" w:rsidRPr="00DF6060">
        <w:t xml:space="preserve"> The sum</w:t>
      </w:r>
      <w:r w:rsidR="00E24D50" w:rsidRPr="00E24D50">
        <w:t xml:space="preserve"> of the percentages </w:t>
      </w:r>
      <w:r w:rsidR="00DF6060">
        <w:t>may not add to</w:t>
      </w:r>
      <w:r w:rsidR="00E24D50" w:rsidRPr="00E24D50">
        <w:t xml:space="preserve"> 100 per cent due to the rounding of individual percentages to the nearest whole number.</w:t>
      </w:r>
    </w:p>
    <w:p w14:paraId="4C190A21" w14:textId="23AE02A6" w:rsidR="00E91106" w:rsidRPr="00122D95" w:rsidRDefault="00E91106" w:rsidP="00662054">
      <w:pPr>
        <w:pStyle w:val="03VIRTHeading3"/>
      </w:pPr>
      <w:r w:rsidRPr="00122D95">
        <w:t>Levels and structure of the executive remuneration bands</w:t>
      </w:r>
    </w:p>
    <w:p w14:paraId="77A66AAD" w14:textId="77777777" w:rsidR="00E91106" w:rsidRPr="00122D95" w:rsidRDefault="00E91106">
      <w:pPr>
        <w:pStyle w:val="05Paragraph"/>
      </w:pPr>
      <w:r w:rsidRPr="00122D95">
        <w:t>More than half of respondents did not consider the executive remuneration bands to be competitive for the type of work that they do (Table A.2</w:t>
      </w:r>
      <w:r>
        <w:t>3</w:t>
      </w:r>
      <w:r w:rsidRPr="00122D95">
        <w:t>).</w:t>
      </w:r>
    </w:p>
    <w:p w14:paraId="4657751E" w14:textId="77777777" w:rsidR="00E91106" w:rsidRPr="00953394" w:rsidRDefault="00E91106" w:rsidP="00E91106">
      <w:pPr>
        <w:pStyle w:val="08Figuretableboxheading"/>
        <w:rPr>
          <w:vertAlign w:val="superscript"/>
        </w:rPr>
      </w:pPr>
      <w:r w:rsidRPr="00122D95">
        <w:lastRenderedPageBreak/>
        <w:t>Table A.2</w:t>
      </w:r>
      <w:r>
        <w:t>3</w:t>
      </w:r>
      <w:r w:rsidRPr="00122D95">
        <w:t xml:space="preserve">: Do you consider the executive remuneration bands to be competitive for the type of work that you </w:t>
      </w:r>
      <w:proofErr w:type="gramStart"/>
      <w:r w:rsidRPr="00122D95">
        <w:t>do?</w:t>
      </w:r>
      <w:r>
        <w:rPr>
          <w:vertAlign w:val="superscript"/>
        </w:rPr>
        <w:t>(</w:t>
      </w:r>
      <w:proofErr w:type="gramEnd"/>
      <w:r>
        <w:rPr>
          <w:vertAlign w:val="superscript"/>
        </w:rPr>
        <w:t>a)</w:t>
      </w:r>
    </w:p>
    <w:tbl>
      <w:tblPr>
        <w:tblStyle w:val="ListTable3-Accent1"/>
        <w:tblW w:w="8505" w:type="dxa"/>
        <w:tblLayout w:type="fixed"/>
        <w:tblLook w:val="04A0" w:firstRow="1" w:lastRow="0" w:firstColumn="1" w:lastColumn="0" w:noHBand="0" w:noVBand="1"/>
      </w:tblPr>
      <w:tblGrid>
        <w:gridCol w:w="5812"/>
        <w:gridCol w:w="1276"/>
        <w:gridCol w:w="1417"/>
      </w:tblGrid>
      <w:tr w:rsidR="007C1A06" w:rsidRPr="00122D95" w14:paraId="75D9E31C" w14:textId="77777777" w:rsidTr="007C1A0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812" w:type="dxa"/>
            <w:tcBorders>
              <w:left w:val="nil"/>
            </w:tcBorders>
          </w:tcPr>
          <w:p w14:paraId="74685832" w14:textId="3C2C6E20" w:rsidR="007C1A06" w:rsidRPr="00513362" w:rsidRDefault="007C1A06" w:rsidP="007C1A06">
            <w:pPr>
              <w:pStyle w:val="10Tabletext"/>
              <w:keepNext/>
            </w:pPr>
            <w:r w:rsidRPr="00A873C2">
              <w:t>Answer choices</w:t>
            </w:r>
          </w:p>
        </w:tc>
        <w:tc>
          <w:tcPr>
            <w:tcW w:w="1276" w:type="dxa"/>
          </w:tcPr>
          <w:p w14:paraId="620C7B76" w14:textId="2B74890B" w:rsidR="007C1A06" w:rsidRPr="00513362"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417" w:type="dxa"/>
            <w:tcBorders>
              <w:right w:val="nil"/>
            </w:tcBorders>
          </w:tcPr>
          <w:p w14:paraId="13E93D1B" w14:textId="7448DEE9" w:rsidR="007C1A06" w:rsidRPr="00513362" w:rsidRDefault="007C1A06" w:rsidP="007C1A06">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r>
              <w:rPr>
                <w:vertAlign w:val="superscript"/>
              </w:rPr>
              <w:t>(b)</w:t>
            </w:r>
          </w:p>
        </w:tc>
      </w:tr>
      <w:tr w:rsidR="00E91106" w:rsidRPr="00122D95" w14:paraId="2E3CAEB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42EAB31D" w14:textId="77777777" w:rsidR="00E91106" w:rsidRPr="00225CC0" w:rsidRDefault="00E91106" w:rsidP="00E91106">
            <w:pPr>
              <w:pStyle w:val="10Tabletext"/>
              <w:keepNext/>
              <w:rPr>
                <w:b w:val="0"/>
              </w:rPr>
            </w:pPr>
            <w:r w:rsidRPr="00225CC0">
              <w:rPr>
                <w:b w:val="0"/>
              </w:rPr>
              <w:t>Yes</w:t>
            </w:r>
          </w:p>
        </w:tc>
        <w:tc>
          <w:tcPr>
            <w:tcW w:w="1276" w:type="dxa"/>
          </w:tcPr>
          <w:p w14:paraId="40E648CF" w14:textId="77777777" w:rsidR="00E91106" w:rsidRPr="00122D95" w:rsidRDefault="00E91106" w:rsidP="00E91106">
            <w:pPr>
              <w:pStyle w:val="10Tabletext"/>
              <w:keepNext/>
              <w:jc w:val="center"/>
              <w:cnfStyle w:val="000000100000" w:firstRow="0" w:lastRow="0" w:firstColumn="0" w:lastColumn="0" w:oddVBand="0" w:evenVBand="0" w:oddHBand="1" w:evenHBand="0" w:firstRowFirstColumn="0" w:firstRowLastColumn="0" w:lastRowFirstColumn="0" w:lastRowLastColumn="0"/>
            </w:pPr>
            <w:r>
              <w:t>97</w:t>
            </w:r>
          </w:p>
        </w:tc>
        <w:tc>
          <w:tcPr>
            <w:tcW w:w="1417" w:type="dxa"/>
            <w:tcBorders>
              <w:right w:val="nil"/>
            </w:tcBorders>
          </w:tcPr>
          <w:p w14:paraId="5D840EE7" w14:textId="77777777" w:rsidR="00E91106" w:rsidRPr="00122D95" w:rsidRDefault="00E91106" w:rsidP="00E91106">
            <w:pPr>
              <w:pStyle w:val="10Tabletext"/>
              <w:keepNext/>
              <w:jc w:val="center"/>
              <w:cnfStyle w:val="000000100000" w:firstRow="0" w:lastRow="0" w:firstColumn="0" w:lastColumn="0" w:oddVBand="0" w:evenVBand="0" w:oddHBand="1" w:evenHBand="0" w:firstRowFirstColumn="0" w:firstRowLastColumn="0" w:lastRowFirstColumn="0" w:lastRowLastColumn="0"/>
            </w:pPr>
            <w:r>
              <w:t>35</w:t>
            </w:r>
          </w:p>
        </w:tc>
      </w:tr>
      <w:tr w:rsidR="00E91106" w:rsidRPr="00122D95" w14:paraId="6A7F4270"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6907E43E" w14:textId="77777777" w:rsidR="00E91106" w:rsidRPr="00225CC0" w:rsidRDefault="00E91106" w:rsidP="00E91106">
            <w:pPr>
              <w:pStyle w:val="10Tabletext"/>
              <w:keepNext/>
              <w:rPr>
                <w:b w:val="0"/>
              </w:rPr>
            </w:pPr>
            <w:r w:rsidRPr="00225CC0">
              <w:rPr>
                <w:b w:val="0"/>
              </w:rPr>
              <w:t>No</w:t>
            </w:r>
          </w:p>
        </w:tc>
        <w:tc>
          <w:tcPr>
            <w:tcW w:w="1276" w:type="dxa"/>
          </w:tcPr>
          <w:p w14:paraId="6ECC1415" w14:textId="77777777" w:rsidR="00E91106" w:rsidRPr="00122D95" w:rsidRDefault="00E91106" w:rsidP="00E91106">
            <w:pPr>
              <w:pStyle w:val="10Tabletext"/>
              <w:keepNext/>
              <w:jc w:val="center"/>
              <w:cnfStyle w:val="000000000000" w:firstRow="0" w:lastRow="0" w:firstColumn="0" w:lastColumn="0" w:oddVBand="0" w:evenVBand="0" w:oddHBand="0" w:evenHBand="0" w:firstRowFirstColumn="0" w:firstRowLastColumn="0" w:lastRowFirstColumn="0" w:lastRowLastColumn="0"/>
            </w:pPr>
            <w:r>
              <w:t>152</w:t>
            </w:r>
          </w:p>
        </w:tc>
        <w:tc>
          <w:tcPr>
            <w:tcW w:w="1417" w:type="dxa"/>
            <w:tcBorders>
              <w:right w:val="nil"/>
            </w:tcBorders>
          </w:tcPr>
          <w:p w14:paraId="262B699C" w14:textId="77777777" w:rsidR="00E91106" w:rsidRPr="00122D95" w:rsidRDefault="00E91106" w:rsidP="00E91106">
            <w:pPr>
              <w:pStyle w:val="10Tabletext"/>
              <w:keepNext/>
              <w:jc w:val="center"/>
              <w:cnfStyle w:val="000000000000" w:firstRow="0" w:lastRow="0" w:firstColumn="0" w:lastColumn="0" w:oddVBand="0" w:evenVBand="0" w:oddHBand="0" w:evenHBand="0" w:firstRowFirstColumn="0" w:firstRowLastColumn="0" w:lastRowFirstColumn="0" w:lastRowLastColumn="0"/>
            </w:pPr>
            <w:r>
              <w:t>55</w:t>
            </w:r>
          </w:p>
        </w:tc>
      </w:tr>
      <w:tr w:rsidR="00E91106" w:rsidRPr="00122D95" w14:paraId="3FD8927A" w14:textId="77777777" w:rsidTr="007C1A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2F24A871" w14:textId="77777777" w:rsidR="00E91106" w:rsidRPr="00225CC0" w:rsidRDefault="00E91106" w:rsidP="00E91106">
            <w:pPr>
              <w:pStyle w:val="10Tabletext"/>
              <w:keepNext/>
              <w:rPr>
                <w:b w:val="0"/>
              </w:rPr>
            </w:pPr>
            <w:r w:rsidRPr="00225CC0">
              <w:rPr>
                <w:b w:val="0"/>
              </w:rPr>
              <w:t>I don’t know</w:t>
            </w:r>
          </w:p>
        </w:tc>
        <w:tc>
          <w:tcPr>
            <w:tcW w:w="1276" w:type="dxa"/>
          </w:tcPr>
          <w:p w14:paraId="2C5EC427" w14:textId="77777777" w:rsidR="00E91106" w:rsidRPr="00122D95" w:rsidRDefault="00E91106" w:rsidP="00E91106">
            <w:pPr>
              <w:pStyle w:val="10Tabletext"/>
              <w:keepNext/>
              <w:jc w:val="center"/>
              <w:cnfStyle w:val="000000100000" w:firstRow="0" w:lastRow="0" w:firstColumn="0" w:lastColumn="0" w:oddVBand="0" w:evenVBand="0" w:oddHBand="1" w:evenHBand="0" w:firstRowFirstColumn="0" w:firstRowLastColumn="0" w:lastRowFirstColumn="0" w:lastRowLastColumn="0"/>
            </w:pPr>
            <w:r>
              <w:t>26</w:t>
            </w:r>
          </w:p>
        </w:tc>
        <w:tc>
          <w:tcPr>
            <w:tcW w:w="1417" w:type="dxa"/>
            <w:tcBorders>
              <w:right w:val="nil"/>
            </w:tcBorders>
          </w:tcPr>
          <w:p w14:paraId="4A97E27C" w14:textId="77777777" w:rsidR="00E91106" w:rsidRPr="00122D95" w:rsidRDefault="00E91106" w:rsidP="00E91106">
            <w:pPr>
              <w:pStyle w:val="10Tabletext"/>
              <w:keepNext/>
              <w:jc w:val="center"/>
              <w:cnfStyle w:val="000000100000" w:firstRow="0" w:lastRow="0" w:firstColumn="0" w:lastColumn="0" w:oddVBand="0" w:evenVBand="0" w:oddHBand="1" w:evenHBand="0" w:firstRowFirstColumn="0" w:firstRowLastColumn="0" w:lastRowFirstColumn="0" w:lastRowLastColumn="0"/>
            </w:pPr>
            <w:r>
              <w:t>9</w:t>
            </w:r>
          </w:p>
        </w:tc>
      </w:tr>
      <w:tr w:rsidR="00E91106" w:rsidRPr="00122D95" w14:paraId="057DF421" w14:textId="77777777" w:rsidTr="007C1A06">
        <w:trPr>
          <w:cantSplit/>
        </w:trPr>
        <w:tc>
          <w:tcPr>
            <w:cnfStyle w:val="001000000000" w:firstRow="0" w:lastRow="0" w:firstColumn="1" w:lastColumn="0" w:oddVBand="0" w:evenVBand="0" w:oddHBand="0" w:evenHBand="0" w:firstRowFirstColumn="0" w:firstRowLastColumn="0" w:lastRowFirstColumn="0" w:lastRowLastColumn="0"/>
            <w:tcW w:w="5812" w:type="dxa"/>
            <w:tcBorders>
              <w:left w:val="nil"/>
            </w:tcBorders>
          </w:tcPr>
          <w:p w14:paraId="72782D95" w14:textId="77777777" w:rsidR="00E91106" w:rsidRPr="00122D95" w:rsidRDefault="00E91106">
            <w:pPr>
              <w:pStyle w:val="10Tabletext"/>
            </w:pPr>
            <w:r w:rsidRPr="00122D95">
              <w:t>Total</w:t>
            </w:r>
          </w:p>
        </w:tc>
        <w:tc>
          <w:tcPr>
            <w:tcW w:w="1276" w:type="dxa"/>
          </w:tcPr>
          <w:p w14:paraId="0779901D" w14:textId="77777777" w:rsidR="00E91106" w:rsidRPr="00225CC0"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r w:rsidRPr="00225CC0">
              <w:rPr>
                <w:b/>
              </w:rPr>
              <w:t>275</w:t>
            </w:r>
          </w:p>
        </w:tc>
        <w:tc>
          <w:tcPr>
            <w:tcW w:w="1417" w:type="dxa"/>
            <w:tcBorders>
              <w:right w:val="nil"/>
            </w:tcBorders>
          </w:tcPr>
          <w:p w14:paraId="5D9A5A10" w14:textId="77777777" w:rsidR="00E91106" w:rsidRPr="00225CC0" w:rsidRDefault="00E91106">
            <w:pPr>
              <w:pStyle w:val="10Tabletext"/>
              <w:jc w:val="center"/>
              <w:cnfStyle w:val="000000000000" w:firstRow="0" w:lastRow="0" w:firstColumn="0" w:lastColumn="0" w:oddVBand="0" w:evenVBand="0" w:oddHBand="0" w:evenHBand="0" w:firstRowFirstColumn="0" w:firstRowLastColumn="0" w:lastRowFirstColumn="0" w:lastRowLastColumn="0"/>
              <w:rPr>
                <w:b/>
              </w:rPr>
            </w:pPr>
          </w:p>
        </w:tc>
      </w:tr>
    </w:tbl>
    <w:p w14:paraId="4C0B4112" w14:textId="31B3DCA3" w:rsidR="00E91106" w:rsidRDefault="00E91106">
      <w:pPr>
        <w:pStyle w:val="09Sourcesandnotesfortablesfiguresboxes"/>
      </w:pPr>
      <w:r w:rsidRPr="00122D95">
        <w:t>Note</w:t>
      </w:r>
      <w:r w:rsidR="00E24D50">
        <w:t>s</w:t>
      </w:r>
      <w:r w:rsidRPr="00122D95">
        <w:t xml:space="preserve">: </w:t>
      </w:r>
      <w:r>
        <w:t>(a)</w:t>
      </w:r>
      <w:r w:rsidRPr="00122D95">
        <w:t xml:space="preserve"> </w:t>
      </w:r>
      <w:r>
        <w:t>The remuneration of most executives is governed by the PESES executive remuneration bands, but some executives are governed by the SES executive remuneration bands. (b)</w:t>
      </w:r>
      <w:r w:rsidRPr="00E944DC">
        <w:t xml:space="preserve"> </w:t>
      </w:r>
      <w:bookmarkStart w:id="94" w:name="_Hlk182989473"/>
      <w:r w:rsidRPr="00E944DC">
        <w:t>The sum of the percentages in this table is lower than 100 per cent due to the rounding of individual percentages to the nearest whole number.</w:t>
      </w:r>
      <w:bookmarkEnd w:id="94"/>
    </w:p>
    <w:p w14:paraId="66CC3A62" w14:textId="77777777" w:rsidR="00E91106" w:rsidRPr="00122D95" w:rsidRDefault="00E91106">
      <w:pPr>
        <w:pStyle w:val="05Paragraph"/>
      </w:pPr>
      <w:r>
        <w:t>R</w:t>
      </w:r>
      <w:r w:rsidRPr="00122D95">
        <w:t xml:space="preserve">espondents </w:t>
      </w:r>
      <w:r>
        <w:t>were asked to consider whether the difference in remuneration between executive and non-executive positions was appropriate, with a similar number of respondents considering that the ‘gap’ was ‘too small or ‘about right’</w:t>
      </w:r>
      <w:r w:rsidRPr="00122D95">
        <w:t xml:space="preserve"> (Table A.2</w:t>
      </w:r>
      <w:r>
        <w:t>4</w:t>
      </w:r>
      <w:r w:rsidRPr="00122D95">
        <w:t>).</w:t>
      </w:r>
    </w:p>
    <w:p w14:paraId="43E8C28E" w14:textId="77777777" w:rsidR="00E91106" w:rsidRPr="00122D95" w:rsidRDefault="00E91106">
      <w:pPr>
        <w:pStyle w:val="08Figuretableboxheading"/>
      </w:pPr>
      <w:r w:rsidRPr="00122D95">
        <w:t>Table A.2</w:t>
      </w:r>
      <w:r>
        <w:t>4</w:t>
      </w:r>
      <w:r w:rsidRPr="00122D95">
        <w:t xml:space="preserve">: Do you consider the difference in remuneration between non-executives and executives in </w:t>
      </w:r>
      <w:r>
        <w:t>your organisation</w:t>
      </w:r>
      <w:r w:rsidRPr="00122D95">
        <w:t xml:space="preserve"> to </w:t>
      </w:r>
      <w:r>
        <w:t>be</w:t>
      </w:r>
      <w:r w:rsidRPr="00122D95">
        <w:t xml:space="preserve"> </w:t>
      </w:r>
      <w:r>
        <w:t>too small, too large or about right</w:t>
      </w:r>
      <w:r w:rsidRPr="00122D95">
        <w:t>?</w:t>
      </w:r>
    </w:p>
    <w:tbl>
      <w:tblPr>
        <w:tblStyle w:val="ListTable3-Accent1"/>
        <w:tblW w:w="8505" w:type="dxa"/>
        <w:tblLayout w:type="fixed"/>
        <w:tblLook w:val="04A0" w:firstRow="1" w:lastRow="0" w:firstColumn="1" w:lastColumn="0" w:noHBand="0" w:noVBand="1"/>
      </w:tblPr>
      <w:tblGrid>
        <w:gridCol w:w="6096"/>
        <w:gridCol w:w="1204"/>
        <w:gridCol w:w="1205"/>
      </w:tblGrid>
      <w:tr w:rsidR="007C1A06" w:rsidRPr="00122D95" w14:paraId="1A0C06F2"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6096" w:type="dxa"/>
            <w:tcBorders>
              <w:left w:val="nil"/>
            </w:tcBorders>
          </w:tcPr>
          <w:p w14:paraId="6A5CD3B7" w14:textId="1A38EC8E" w:rsidR="007C1A06" w:rsidRPr="00513362" w:rsidRDefault="007C1A06" w:rsidP="007C1A06">
            <w:pPr>
              <w:pStyle w:val="10Tabletext"/>
            </w:pPr>
            <w:r w:rsidRPr="00A873C2">
              <w:t>Answer choices</w:t>
            </w:r>
          </w:p>
        </w:tc>
        <w:tc>
          <w:tcPr>
            <w:tcW w:w="1204" w:type="dxa"/>
          </w:tcPr>
          <w:p w14:paraId="06330586" w14:textId="3687A518" w:rsidR="007C1A06" w:rsidRPr="00513362"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Number of responses</w:t>
            </w:r>
          </w:p>
        </w:tc>
        <w:tc>
          <w:tcPr>
            <w:tcW w:w="1205" w:type="dxa"/>
            <w:tcBorders>
              <w:right w:val="nil"/>
            </w:tcBorders>
          </w:tcPr>
          <w:p w14:paraId="6E67AAB0" w14:textId="166A1ED7" w:rsidR="007C1A06" w:rsidRPr="00513362" w:rsidRDefault="007C1A06" w:rsidP="007C1A06">
            <w:pPr>
              <w:pStyle w:val="10Tabletext"/>
              <w:jc w:val="center"/>
              <w:cnfStyle w:val="100000000000" w:firstRow="1" w:lastRow="0" w:firstColumn="0" w:lastColumn="0" w:oddVBand="0" w:evenVBand="0" w:oddHBand="0" w:evenHBand="0" w:firstRowFirstColumn="0" w:firstRowLastColumn="0" w:lastRowFirstColumn="0" w:lastRowLastColumn="0"/>
              <w:rPr>
                <w:b w:val="0"/>
                <w:bCs/>
              </w:rPr>
            </w:pPr>
            <w:r w:rsidRPr="00A873C2">
              <w:t>% of responses</w:t>
            </w:r>
          </w:p>
        </w:tc>
      </w:tr>
      <w:tr w:rsidR="00E91106" w:rsidRPr="00122D95" w14:paraId="1667472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A731FB2" w14:textId="77777777" w:rsidR="00E91106" w:rsidRPr="00225CC0" w:rsidRDefault="00E91106">
            <w:pPr>
              <w:pStyle w:val="10Tabletext"/>
              <w:rPr>
                <w:b w:val="0"/>
              </w:rPr>
            </w:pPr>
            <w:r w:rsidRPr="00225CC0">
              <w:rPr>
                <w:b w:val="0"/>
              </w:rPr>
              <w:t>The gap is too small</w:t>
            </w:r>
          </w:p>
        </w:tc>
        <w:tc>
          <w:tcPr>
            <w:tcW w:w="1204" w:type="dxa"/>
          </w:tcPr>
          <w:p w14:paraId="0D93C8D5"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110</w:t>
            </w:r>
          </w:p>
        </w:tc>
        <w:tc>
          <w:tcPr>
            <w:tcW w:w="1205" w:type="dxa"/>
            <w:tcBorders>
              <w:right w:val="nil"/>
            </w:tcBorders>
          </w:tcPr>
          <w:p w14:paraId="798C4CB2"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40</w:t>
            </w:r>
          </w:p>
        </w:tc>
      </w:tr>
      <w:tr w:rsidR="00E91106" w:rsidRPr="00122D95" w14:paraId="3B44C487"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321214C" w14:textId="77777777" w:rsidR="00E91106" w:rsidRPr="00225CC0" w:rsidRDefault="00E91106">
            <w:pPr>
              <w:pStyle w:val="10Tabletext"/>
              <w:rPr>
                <w:b w:val="0"/>
              </w:rPr>
            </w:pPr>
            <w:r w:rsidRPr="00225CC0">
              <w:rPr>
                <w:b w:val="0"/>
              </w:rPr>
              <w:t>The gap is about right</w:t>
            </w:r>
          </w:p>
        </w:tc>
        <w:tc>
          <w:tcPr>
            <w:tcW w:w="1204" w:type="dxa"/>
          </w:tcPr>
          <w:p w14:paraId="790725B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116</w:t>
            </w:r>
          </w:p>
        </w:tc>
        <w:tc>
          <w:tcPr>
            <w:tcW w:w="1205" w:type="dxa"/>
            <w:tcBorders>
              <w:right w:val="nil"/>
            </w:tcBorders>
          </w:tcPr>
          <w:p w14:paraId="223DE346"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42</w:t>
            </w:r>
          </w:p>
        </w:tc>
      </w:tr>
      <w:tr w:rsidR="00E91106" w:rsidRPr="00122D95" w14:paraId="37F11A1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8344F8D" w14:textId="77777777" w:rsidR="00E91106" w:rsidRPr="00225CC0" w:rsidRDefault="00E91106">
            <w:pPr>
              <w:pStyle w:val="10Tabletext"/>
              <w:rPr>
                <w:b w:val="0"/>
              </w:rPr>
            </w:pPr>
            <w:r w:rsidRPr="00225CC0">
              <w:rPr>
                <w:b w:val="0"/>
              </w:rPr>
              <w:t>The gap is too large</w:t>
            </w:r>
          </w:p>
        </w:tc>
        <w:tc>
          <w:tcPr>
            <w:tcW w:w="1204" w:type="dxa"/>
          </w:tcPr>
          <w:p w14:paraId="69DCAC43"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29</w:t>
            </w:r>
          </w:p>
        </w:tc>
        <w:tc>
          <w:tcPr>
            <w:tcW w:w="1205" w:type="dxa"/>
            <w:tcBorders>
              <w:right w:val="nil"/>
            </w:tcBorders>
          </w:tcPr>
          <w:p w14:paraId="51C97096" w14:textId="77777777" w:rsidR="00E91106" w:rsidRPr="00122D95" w:rsidRDefault="00E91106">
            <w:pPr>
              <w:pStyle w:val="10Tabletext"/>
              <w:jc w:val="center"/>
              <w:cnfStyle w:val="000000100000" w:firstRow="0" w:lastRow="0" w:firstColumn="0" w:lastColumn="0" w:oddVBand="0" w:evenVBand="0" w:oddHBand="1" w:evenHBand="0" w:firstRowFirstColumn="0" w:firstRowLastColumn="0" w:lastRowFirstColumn="0" w:lastRowLastColumn="0"/>
            </w:pPr>
            <w:r>
              <w:t>11</w:t>
            </w:r>
          </w:p>
        </w:tc>
      </w:tr>
      <w:tr w:rsidR="00E91106" w:rsidRPr="00122D95" w14:paraId="742B041A" w14:textId="77777777">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7819D0C" w14:textId="77777777" w:rsidR="00E91106" w:rsidRPr="00225CC0" w:rsidRDefault="00E91106">
            <w:pPr>
              <w:pStyle w:val="10Tabletext"/>
              <w:rPr>
                <w:b w:val="0"/>
              </w:rPr>
            </w:pPr>
            <w:r w:rsidRPr="00225CC0">
              <w:rPr>
                <w:b w:val="0"/>
              </w:rPr>
              <w:t>I don’t know</w:t>
            </w:r>
          </w:p>
        </w:tc>
        <w:tc>
          <w:tcPr>
            <w:tcW w:w="1204" w:type="dxa"/>
          </w:tcPr>
          <w:p w14:paraId="0272A8E9"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20</w:t>
            </w:r>
          </w:p>
        </w:tc>
        <w:tc>
          <w:tcPr>
            <w:tcW w:w="1205" w:type="dxa"/>
            <w:tcBorders>
              <w:right w:val="nil"/>
            </w:tcBorders>
          </w:tcPr>
          <w:p w14:paraId="03C69411" w14:textId="77777777" w:rsidR="00E91106" w:rsidRPr="00122D95" w:rsidRDefault="00E91106">
            <w:pPr>
              <w:pStyle w:val="10Tabletext"/>
              <w:jc w:val="center"/>
              <w:cnfStyle w:val="000000000000" w:firstRow="0" w:lastRow="0" w:firstColumn="0" w:lastColumn="0" w:oddVBand="0" w:evenVBand="0" w:oddHBand="0" w:evenHBand="0" w:firstRowFirstColumn="0" w:firstRowLastColumn="0" w:lastRowFirstColumn="0" w:lastRowLastColumn="0"/>
            </w:pPr>
            <w:r>
              <w:t>7</w:t>
            </w:r>
          </w:p>
        </w:tc>
      </w:tr>
      <w:tr w:rsidR="00E91106" w:rsidRPr="00122D95" w14:paraId="47162DA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149458F" w14:textId="77777777" w:rsidR="00E91106" w:rsidRPr="00122D95" w:rsidRDefault="00E91106">
            <w:pPr>
              <w:pStyle w:val="10Tabletext"/>
            </w:pPr>
            <w:r w:rsidRPr="00122D95">
              <w:t>Total</w:t>
            </w:r>
          </w:p>
        </w:tc>
        <w:tc>
          <w:tcPr>
            <w:tcW w:w="1204" w:type="dxa"/>
          </w:tcPr>
          <w:p w14:paraId="62FE4DB2" w14:textId="77777777" w:rsidR="00E91106" w:rsidRPr="00225CC0"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r w:rsidRPr="00225CC0">
              <w:rPr>
                <w:b/>
              </w:rPr>
              <w:t>275</w:t>
            </w:r>
          </w:p>
        </w:tc>
        <w:tc>
          <w:tcPr>
            <w:tcW w:w="1205" w:type="dxa"/>
            <w:tcBorders>
              <w:right w:val="nil"/>
            </w:tcBorders>
          </w:tcPr>
          <w:p w14:paraId="50F7A232" w14:textId="77777777" w:rsidR="00E91106" w:rsidRPr="00225CC0" w:rsidRDefault="00E91106">
            <w:pPr>
              <w:pStyle w:val="10Tabletext"/>
              <w:jc w:val="center"/>
              <w:cnfStyle w:val="000000100000" w:firstRow="0" w:lastRow="0" w:firstColumn="0" w:lastColumn="0" w:oddVBand="0" w:evenVBand="0" w:oddHBand="1" w:evenHBand="0" w:firstRowFirstColumn="0" w:firstRowLastColumn="0" w:lastRowFirstColumn="0" w:lastRowLastColumn="0"/>
              <w:rPr>
                <w:b/>
              </w:rPr>
            </w:pPr>
          </w:p>
        </w:tc>
      </w:tr>
    </w:tbl>
    <w:p w14:paraId="38E26989" w14:textId="77777777" w:rsidR="00E91106" w:rsidRDefault="00E91106">
      <w:pPr>
        <w:pStyle w:val="05Paragraph"/>
      </w:pPr>
      <w:r>
        <w:t>Respondents were evenly split in their views about their current remuneration with 40 per cent either very satisfied or satisfied compared to 38 per cent who were very dissatisfied or dissatisfied (Figure A.2).</w:t>
      </w:r>
    </w:p>
    <w:p w14:paraId="60F78F00" w14:textId="77777777" w:rsidR="00E91106" w:rsidRDefault="00E91106">
      <w:pPr>
        <w:pStyle w:val="08Figuretableboxheading"/>
      </w:pPr>
      <w:r w:rsidRPr="00122D95">
        <w:t>Figure A.</w:t>
      </w:r>
      <w:r>
        <w:t>2</w:t>
      </w:r>
      <w:r w:rsidRPr="00122D95">
        <w:t xml:space="preserve">: </w:t>
      </w:r>
      <w:r w:rsidRPr="009972B4">
        <w:t>How satisfied or unsatisfied are you with your current remuneration considering the type or work you do</w:t>
      </w:r>
      <w:r>
        <w:t>?</w:t>
      </w:r>
    </w:p>
    <w:p w14:paraId="1435D1DD" w14:textId="58EE3017" w:rsidR="00E91106" w:rsidRDefault="005D7B0E">
      <w:r>
        <w:rPr>
          <w:noProof/>
        </w:rPr>
        <w:drawing>
          <wp:inline distT="0" distB="0" distL="0" distR="0" wp14:anchorId="4BD570BA" wp14:editId="6458EC9E">
            <wp:extent cx="5414010" cy="1475105"/>
            <wp:effectExtent l="0" t="0" r="0" b="0"/>
            <wp:docPr id="311801801" name="Picture 21" descr="A stacked bar chart showing responses to the question 'How satisfied or unsatisfied are you with your current remuneration considering the type or work you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01801" name="Picture 21" descr="A stacked bar chart showing responses to the question 'How satisfied or unsatisfied are you with your current remuneration considering the type or work you d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14010" cy="1475105"/>
                    </a:xfrm>
                    <a:prstGeom prst="rect">
                      <a:avLst/>
                    </a:prstGeom>
                    <a:noFill/>
                  </pic:spPr>
                </pic:pic>
              </a:graphicData>
            </a:graphic>
          </wp:inline>
        </w:drawing>
      </w:r>
    </w:p>
    <w:p w14:paraId="6FC0BD1C" w14:textId="77777777" w:rsidR="00E91106" w:rsidRDefault="00E91106">
      <w:pPr>
        <w:rPr>
          <w:rFonts w:ascii="Rockwell" w:hAnsi="Rockwell" w:cs="Times New Roman (Body CS)"/>
          <w:color w:val="007449"/>
          <w:sz w:val="44"/>
          <w:szCs w:val="44"/>
        </w:rPr>
      </w:pPr>
      <w:r>
        <w:br w:type="page"/>
      </w:r>
    </w:p>
    <w:p w14:paraId="5023D35B" w14:textId="4D29CCA9" w:rsidR="00E91106" w:rsidRPr="00122D95" w:rsidRDefault="00185F10" w:rsidP="00FD7C35">
      <w:pPr>
        <w:pStyle w:val="02VIRTHeading2"/>
      </w:pPr>
      <w:bookmarkStart w:id="95" w:name="_Toc185012393"/>
      <w:r>
        <w:lastRenderedPageBreak/>
        <w:t>A.2</w:t>
      </w:r>
      <w:r>
        <w:tab/>
      </w:r>
      <w:r w:rsidR="00E91106" w:rsidRPr="00122D95">
        <w:t>Segment analysis</w:t>
      </w:r>
      <w:bookmarkEnd w:id="95"/>
    </w:p>
    <w:p w14:paraId="09703163" w14:textId="77777777" w:rsidR="00E91106" w:rsidRPr="00122D95" w:rsidRDefault="00E91106">
      <w:pPr>
        <w:pStyle w:val="05Paragraph"/>
      </w:pPr>
      <w:r w:rsidRPr="00777B5E">
        <w:t>The questionnaire responses have been further analysed to consider differences between Chief Executive Officers (CEOs) and other executives.</w:t>
      </w:r>
      <w:r w:rsidRPr="00122D95">
        <w:t xml:space="preserve"> </w:t>
      </w:r>
    </w:p>
    <w:p w14:paraId="302368F3" w14:textId="77777777" w:rsidR="00E91106" w:rsidRPr="00122D95" w:rsidRDefault="00E91106">
      <w:pPr>
        <w:pStyle w:val="05Paragraph"/>
      </w:pPr>
      <w:r w:rsidRPr="00122D95">
        <w:t>S</w:t>
      </w:r>
      <w:bookmarkStart w:id="96" w:name="_Hlk182922116"/>
      <w:r w:rsidRPr="00122D95">
        <w:t xml:space="preserve">everal results are highlighted as being ‘significantly’ different. This wording is only used where there is a </w:t>
      </w:r>
      <w:r w:rsidRPr="00122D95">
        <w:rPr>
          <w:b/>
          <w:bCs/>
        </w:rPr>
        <w:t>statistically significant difference</w:t>
      </w:r>
      <w:r w:rsidRPr="00122D95">
        <w:t xml:space="preserve"> between how certain response groups answered those questions. Statistical significance means that the numbers </w:t>
      </w:r>
      <w:bookmarkEnd w:id="96"/>
      <w:r w:rsidRPr="00122D95">
        <w:t>are reliably different using a standard 95 per cent confidence level. This means the difference between the two groups has less than a 5 per cent probability of occurring by chance or sampling error alone.</w:t>
      </w:r>
      <w:r w:rsidRPr="00122D95">
        <w:rPr>
          <w:rStyle w:val="FootnoteReference"/>
        </w:rPr>
        <w:footnoteReference w:id="241"/>
      </w:r>
    </w:p>
    <w:p w14:paraId="597DFEC7" w14:textId="77777777" w:rsidR="00E91106" w:rsidRDefault="00E91106" w:rsidP="00662054">
      <w:pPr>
        <w:pStyle w:val="03VIRTHeading3"/>
      </w:pPr>
      <w:r>
        <w:t>CEOs and other executives</w:t>
      </w:r>
    </w:p>
    <w:p w14:paraId="51A40397" w14:textId="0080D1EB" w:rsidR="00E91106" w:rsidRDefault="00E91106">
      <w:pPr>
        <w:pStyle w:val="05Paragraph"/>
      </w:pPr>
      <w:r>
        <w:t>Respondents were asked to identify if they are the CEO or equivalent for their organisation</w:t>
      </w:r>
      <w:r w:rsidR="000F75B7">
        <w:t xml:space="preserve"> (Figure A.3)</w:t>
      </w:r>
      <w:r>
        <w:t xml:space="preserve">. </w:t>
      </w:r>
    </w:p>
    <w:p w14:paraId="1C2A95E5" w14:textId="77777777" w:rsidR="00E91106" w:rsidRDefault="00E91106">
      <w:pPr>
        <w:pStyle w:val="08Figuretableboxheading"/>
      </w:pPr>
      <w:r w:rsidRPr="00122D95">
        <w:t>Figure A.</w:t>
      </w:r>
      <w:r>
        <w:t>3</w:t>
      </w:r>
      <w:r w:rsidRPr="00122D95">
        <w:t xml:space="preserve">: </w:t>
      </w:r>
      <w:r>
        <w:t>Are you the Chief Executive Officer (or equivalent) for your organisation?</w:t>
      </w:r>
    </w:p>
    <w:p w14:paraId="28C52418" w14:textId="34008249" w:rsidR="00E91106" w:rsidRDefault="005D7B0E">
      <w:r>
        <w:rPr>
          <w:noProof/>
        </w:rPr>
        <w:drawing>
          <wp:inline distT="0" distB="0" distL="0" distR="0" wp14:anchorId="41D3BFBB" wp14:editId="3D06096A">
            <wp:extent cx="5414010" cy="2176145"/>
            <wp:effectExtent l="0" t="0" r="0" b="0"/>
            <wp:docPr id="1608788276" name="Picture 22" descr="A pie chart showing repsonses to the question 'Are you the Chief Executive Officer (or equivalent) for your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88276" name="Picture 22" descr="A pie chart showing repsonses to the question 'Are you the Chief Executive Officer (or equivalent) for your organisa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4010" cy="2176145"/>
                    </a:xfrm>
                    <a:prstGeom prst="rect">
                      <a:avLst/>
                    </a:prstGeom>
                    <a:noFill/>
                  </pic:spPr>
                </pic:pic>
              </a:graphicData>
            </a:graphic>
          </wp:inline>
        </w:drawing>
      </w:r>
    </w:p>
    <w:p w14:paraId="2E068583" w14:textId="1DA573E1" w:rsidR="00E91106" w:rsidRDefault="00E91106">
      <w:pPr>
        <w:pStyle w:val="05Paragraph"/>
      </w:pPr>
      <w:r>
        <w:t>Of the respondents to the questionnaire, CEOs were significantly more likely to report being very satisfied with their current remuneration. Over half (52 per cent) of CEOs reported being either satisfied or very satisfied with their current remuneration, compared with only 34 per cent of other executives</w:t>
      </w:r>
      <w:r w:rsidR="000F75B7">
        <w:t xml:space="preserve"> (Figure A.4)</w:t>
      </w:r>
      <w:r>
        <w:t>.</w:t>
      </w:r>
    </w:p>
    <w:p w14:paraId="4B3CAF6E" w14:textId="77777777" w:rsidR="00E91106" w:rsidRDefault="00E91106">
      <w:pPr>
        <w:pStyle w:val="08Figuretableboxheading"/>
      </w:pPr>
      <w:r w:rsidRPr="00122D95">
        <w:lastRenderedPageBreak/>
        <w:t>Figure A.</w:t>
      </w:r>
      <w:r>
        <w:t>4</w:t>
      </w:r>
      <w:r w:rsidRPr="00122D95">
        <w:t xml:space="preserve">: </w:t>
      </w:r>
      <w:r>
        <w:t xml:space="preserve">Satisfaction level with current remuneration, CEOs and other </w:t>
      </w:r>
      <w:proofErr w:type="gramStart"/>
      <w:r>
        <w:t>executives.</w:t>
      </w:r>
      <w:r w:rsidRPr="00B87274">
        <w:rPr>
          <w:vertAlign w:val="superscript"/>
        </w:rPr>
        <w:t>(</w:t>
      </w:r>
      <w:proofErr w:type="gramEnd"/>
      <w:r w:rsidRPr="00B87274">
        <w:rPr>
          <w:vertAlign w:val="superscript"/>
        </w:rPr>
        <w:t>a)</w:t>
      </w:r>
    </w:p>
    <w:p w14:paraId="7222FBAE" w14:textId="470B7462" w:rsidR="00E91106" w:rsidRDefault="005D7B0E" w:rsidP="00112A28">
      <w:pPr>
        <w:spacing w:after="0"/>
      </w:pPr>
      <w:r>
        <w:rPr>
          <w:noProof/>
        </w:rPr>
        <w:drawing>
          <wp:inline distT="0" distB="0" distL="0" distR="0" wp14:anchorId="36DE1275" wp14:editId="4327CFC0">
            <wp:extent cx="5414010" cy="2341245"/>
            <wp:effectExtent l="0" t="0" r="0" b="1905"/>
            <wp:docPr id="309417808" name="Picture 23" descr="A stacked bar chart showing responses to the question 'How satisfied or unsatisfied are you with your current remuneration considering the type or work you do?' for both CEOs and other execu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17808" name="Picture 23" descr="A stacked bar chart showing responses to the question 'How satisfied or unsatisfied are you with your current remuneration considering the type or work you do?' for both CEOs and other executiv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14010" cy="2341245"/>
                    </a:xfrm>
                    <a:prstGeom prst="rect">
                      <a:avLst/>
                    </a:prstGeom>
                    <a:noFill/>
                  </pic:spPr>
                </pic:pic>
              </a:graphicData>
            </a:graphic>
          </wp:inline>
        </w:drawing>
      </w:r>
    </w:p>
    <w:p w14:paraId="431E318E" w14:textId="77777777" w:rsidR="00E91106" w:rsidRDefault="00E91106">
      <w:pPr>
        <w:pStyle w:val="09Sourcesandnotesfortablesfiguresboxes"/>
      </w:pPr>
      <w:r>
        <w:t xml:space="preserve">Note: (a) </w:t>
      </w:r>
      <w:r w:rsidRPr="0039791E">
        <w:t xml:space="preserve">The sum of the percentages in this </w:t>
      </w:r>
      <w:r>
        <w:t>figure</w:t>
      </w:r>
      <w:r w:rsidRPr="0039791E">
        <w:t xml:space="preserve"> </w:t>
      </w:r>
      <w:r>
        <w:t xml:space="preserve">exceeds </w:t>
      </w:r>
      <w:r w:rsidRPr="0039791E">
        <w:t>100 per cent due to the rounding of individual percentages to the nearest whole number.</w:t>
      </w:r>
    </w:p>
    <w:p w14:paraId="785FEB6D" w14:textId="0970CE1C" w:rsidR="00E91106" w:rsidRDefault="00E91106">
      <w:pPr>
        <w:pStyle w:val="05Paragraph"/>
      </w:pPr>
      <w:r>
        <w:t>CEOs were more likely to consider the executive remuneration bands to be competitive</w:t>
      </w:r>
      <w:r w:rsidR="00401F32">
        <w:t xml:space="preserve"> </w:t>
      </w:r>
      <w:r w:rsidR="00401F32" w:rsidRPr="00401F32">
        <w:t>(Figure A.5)</w:t>
      </w:r>
      <w:r>
        <w:t>.</w:t>
      </w:r>
    </w:p>
    <w:p w14:paraId="12D7A272" w14:textId="0FDB33F6" w:rsidR="00E91106" w:rsidRDefault="00E91106">
      <w:pPr>
        <w:pStyle w:val="08Figuretableboxheading"/>
      </w:pPr>
      <w:r w:rsidRPr="00122D95">
        <w:t>Figure A.</w:t>
      </w:r>
      <w:r>
        <w:t>5</w:t>
      </w:r>
      <w:r w:rsidRPr="00122D95">
        <w:t xml:space="preserve">: </w:t>
      </w:r>
      <w:r>
        <w:t>Do you consider the executive remuneration bands to be competitive for the type of work you do, CEOs and other executives.</w:t>
      </w:r>
    </w:p>
    <w:p w14:paraId="757FADFA" w14:textId="70D18502" w:rsidR="00E91106" w:rsidRDefault="005D7B0E" w:rsidP="00112A28">
      <w:pPr>
        <w:spacing w:after="0"/>
      </w:pPr>
      <w:r>
        <w:rPr>
          <w:noProof/>
        </w:rPr>
        <w:drawing>
          <wp:inline distT="0" distB="0" distL="0" distR="0" wp14:anchorId="430DFA7D" wp14:editId="6D0F7301">
            <wp:extent cx="5414010" cy="2341245"/>
            <wp:effectExtent l="0" t="0" r="0" b="1905"/>
            <wp:docPr id="349188441" name="Picture 24" descr="A stacked bar chart showing responses to the question 'Do you consider the executive remuneration bands to be competitive for the type of work you do?' for both CEOs and other execu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88441" name="Picture 24" descr="A stacked bar chart showing responses to the question 'Do you consider the executive remuneration bands to be competitive for the type of work you do?' for both CEOs and other executiv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14010" cy="2341245"/>
                    </a:xfrm>
                    <a:prstGeom prst="rect">
                      <a:avLst/>
                    </a:prstGeom>
                    <a:noFill/>
                  </pic:spPr>
                </pic:pic>
              </a:graphicData>
            </a:graphic>
          </wp:inline>
        </w:drawing>
      </w:r>
    </w:p>
    <w:p w14:paraId="3E42435C" w14:textId="77777777" w:rsidR="00E91106" w:rsidRDefault="00E91106">
      <w:pPr>
        <w:pStyle w:val="09Sourcesandnotesfortablesfiguresboxes"/>
      </w:pPr>
      <w:r>
        <w:t xml:space="preserve">Note: (a) </w:t>
      </w:r>
      <w:r w:rsidRPr="0039791E">
        <w:t xml:space="preserve">The sum of the percentages in this </w:t>
      </w:r>
      <w:r>
        <w:t>figure</w:t>
      </w:r>
      <w:r w:rsidRPr="0039791E">
        <w:t xml:space="preserve"> </w:t>
      </w:r>
      <w:r>
        <w:t xml:space="preserve">exceeds </w:t>
      </w:r>
      <w:r w:rsidRPr="0039791E">
        <w:t>100 per cent due to the rounding of individual percentages to the nearest whole number.</w:t>
      </w:r>
    </w:p>
    <w:p w14:paraId="0F1EFDDC" w14:textId="4EBE83EB" w:rsidR="00E91106" w:rsidRDefault="00E91106">
      <w:pPr>
        <w:pStyle w:val="05Paragraph"/>
      </w:pPr>
      <w:r>
        <w:t>CEOs were significantly more likely to consider the difference in remuneration between non-executives and executives to be about right, while other executives were significantly more likely to consider the difference to be too small</w:t>
      </w:r>
      <w:r w:rsidR="00401F32">
        <w:t xml:space="preserve"> </w:t>
      </w:r>
      <w:r w:rsidR="00401F32" w:rsidRPr="00401F32">
        <w:t>(Figure</w:t>
      </w:r>
      <w:r w:rsidR="00401F32">
        <w:t> </w:t>
      </w:r>
      <w:r w:rsidR="00401F32" w:rsidRPr="00401F32">
        <w:t>A.</w:t>
      </w:r>
      <w:r w:rsidR="00401F32">
        <w:t>6</w:t>
      </w:r>
      <w:r w:rsidR="00401F32" w:rsidRPr="00401F32">
        <w:t>)</w:t>
      </w:r>
      <w:r>
        <w:t xml:space="preserve">. </w:t>
      </w:r>
    </w:p>
    <w:p w14:paraId="32FDA7CE" w14:textId="77777777" w:rsidR="00E91106" w:rsidRDefault="00E91106">
      <w:pPr>
        <w:pStyle w:val="08Figuretableboxheading"/>
      </w:pPr>
      <w:r w:rsidRPr="00122D95">
        <w:lastRenderedPageBreak/>
        <w:t>Figure A.</w:t>
      </w:r>
      <w:r>
        <w:t>6</w:t>
      </w:r>
      <w:r w:rsidRPr="00122D95">
        <w:t xml:space="preserve">: </w:t>
      </w:r>
      <w:r>
        <w:t>Do you consider the difference in remuneration between non-executives and executives in your organisation to be too small, too large or about right, CEOs and other executives.</w:t>
      </w:r>
    </w:p>
    <w:p w14:paraId="481B5D3B" w14:textId="77CC2739" w:rsidR="00E91106" w:rsidRDefault="005D7B0E">
      <w:r>
        <w:rPr>
          <w:noProof/>
        </w:rPr>
        <w:drawing>
          <wp:inline distT="0" distB="0" distL="0" distR="0" wp14:anchorId="5791CC70" wp14:editId="238D0555">
            <wp:extent cx="5414010" cy="2341245"/>
            <wp:effectExtent l="0" t="0" r="0" b="1905"/>
            <wp:docPr id="548827564" name="Picture 25" descr="A stacked bar chart showing responses to the question 'Do you consider the difference in remuneration between non-executives and executives in your organisation to be too small, too large or about right' for both CEOs and other execu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27564" name="Picture 25" descr="A stacked bar chart showing responses to the question 'Do you consider the difference in remuneration between non-executives and executives in your organisation to be too small, too large or about right' for both CEOs and other executiv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4010" cy="2341245"/>
                    </a:xfrm>
                    <a:prstGeom prst="rect">
                      <a:avLst/>
                    </a:prstGeom>
                    <a:noFill/>
                  </pic:spPr>
                </pic:pic>
              </a:graphicData>
            </a:graphic>
          </wp:inline>
        </w:drawing>
      </w:r>
    </w:p>
    <w:p w14:paraId="5CD480A4" w14:textId="77777777" w:rsidR="00E91106" w:rsidRDefault="00E91106">
      <w:pPr>
        <w:pStyle w:val="05Paragraph"/>
      </w:pPr>
      <w:r>
        <w:t>In considering changes to their roles since the 2020 PE Determination, CEOs and other executives had similar views across most dimensions of the core competencies in the PEECF.</w:t>
      </w:r>
    </w:p>
    <w:p w14:paraId="5F57F61B" w14:textId="4DFF50C0" w:rsidR="00E91106" w:rsidRDefault="00E91106">
      <w:pPr>
        <w:pStyle w:val="05Paragraph"/>
      </w:pPr>
      <w:r>
        <w:t>However, CEOs were more likely to report that the degree of ‘independence’ in their role had not changed over the past four years, while other executives were more likely to report that their level of ‘independence’ had increased</w:t>
      </w:r>
      <w:r w:rsidR="00401F32">
        <w:t xml:space="preserve"> (Figure A.7)</w:t>
      </w:r>
      <w:r>
        <w:t>.</w:t>
      </w:r>
    </w:p>
    <w:p w14:paraId="4C89648A" w14:textId="77777777" w:rsidR="00E91106" w:rsidRDefault="00E91106">
      <w:pPr>
        <w:pStyle w:val="Figureheading"/>
      </w:pPr>
      <w:r w:rsidRPr="00122D95">
        <w:t>Figure A.</w:t>
      </w:r>
      <w:r>
        <w:t>7</w:t>
      </w:r>
      <w:r w:rsidRPr="00122D95">
        <w:t xml:space="preserve">: </w:t>
      </w:r>
      <w:r>
        <w:t>How has independence</w:t>
      </w:r>
      <w:r>
        <w:rPr>
          <w:vertAlign w:val="superscript"/>
        </w:rPr>
        <w:t>(a)</w:t>
      </w:r>
      <w:r>
        <w:t xml:space="preserve"> within your roles changed over the past four years, CEOs and other </w:t>
      </w:r>
      <w:proofErr w:type="gramStart"/>
      <w:r>
        <w:t>executives.</w:t>
      </w:r>
      <w:r w:rsidRPr="00B87274">
        <w:rPr>
          <w:vertAlign w:val="superscript"/>
        </w:rPr>
        <w:t>(</w:t>
      </w:r>
      <w:proofErr w:type="gramEnd"/>
      <w:r w:rsidRPr="00B87274">
        <w:rPr>
          <w:vertAlign w:val="superscript"/>
        </w:rPr>
        <w:t>b)</w:t>
      </w:r>
    </w:p>
    <w:p w14:paraId="4DE2F034" w14:textId="06F39E62" w:rsidR="00E91106" w:rsidRDefault="005D7B0E" w:rsidP="006E7B60">
      <w:pPr>
        <w:spacing w:after="0"/>
      </w:pPr>
      <w:r>
        <w:rPr>
          <w:noProof/>
        </w:rPr>
        <w:drawing>
          <wp:inline distT="0" distB="0" distL="0" distR="0" wp14:anchorId="3EB88BE8" wp14:editId="0BC4670D">
            <wp:extent cx="5414010" cy="2341245"/>
            <wp:effectExtent l="0" t="0" r="0" b="1905"/>
            <wp:docPr id="1209488838" name="Picture 26" descr="A stacked bar chart showing responses to the question 'How has independence within your roles changed over the past four years' for both CEOs and other execu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88838" name="Picture 26" descr="A stacked bar chart showing responses to the question 'How has independence within your roles changed over the past four years' for both CEOs and other executive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14010" cy="2341245"/>
                    </a:xfrm>
                    <a:prstGeom prst="rect">
                      <a:avLst/>
                    </a:prstGeom>
                    <a:noFill/>
                  </pic:spPr>
                </pic:pic>
              </a:graphicData>
            </a:graphic>
          </wp:inline>
        </w:drawing>
      </w:r>
    </w:p>
    <w:p w14:paraId="1625CE37" w14:textId="7C50098B" w:rsidR="00E91106" w:rsidRDefault="00E91106">
      <w:pPr>
        <w:pStyle w:val="09Sourcesandnotesfortablesfiguresboxes"/>
      </w:pPr>
      <w:r w:rsidRPr="00122D95">
        <w:t>Note</w:t>
      </w:r>
      <w:r w:rsidR="005274BB">
        <w:t>s</w:t>
      </w:r>
      <w:r w:rsidRPr="00122D95">
        <w:t xml:space="preserve">: </w:t>
      </w:r>
      <w:r>
        <w:t>(a)</w:t>
      </w:r>
      <w:r w:rsidRPr="00122D95">
        <w:t xml:space="preserve"> </w:t>
      </w:r>
      <w:r w:rsidRPr="00C962EC">
        <w:t>Independence</w:t>
      </w:r>
      <w:r>
        <w:t xml:space="preserve"> is ‘t</w:t>
      </w:r>
      <w:r w:rsidRPr="00C962EC">
        <w:t>he requirement to make decisions without support; authority and freedom to plan objectives; requirement to contribute to or lead strategic direction of the entity</w:t>
      </w:r>
      <w:r>
        <w:t>’</w:t>
      </w:r>
      <w:r w:rsidRPr="00122D95">
        <w:t>.</w:t>
      </w:r>
      <w:r>
        <w:t xml:space="preserve"> (b) </w:t>
      </w:r>
      <w:r w:rsidRPr="0039791E">
        <w:t xml:space="preserve">The sum of the percentages in this </w:t>
      </w:r>
      <w:r>
        <w:t>figure</w:t>
      </w:r>
      <w:r w:rsidRPr="0039791E">
        <w:t xml:space="preserve"> </w:t>
      </w:r>
      <w:r>
        <w:t xml:space="preserve">exceeds </w:t>
      </w:r>
      <w:r w:rsidRPr="0039791E">
        <w:t>100 per cent due to the rounding of individual percentages to the nearest whole number.</w:t>
      </w:r>
    </w:p>
    <w:p w14:paraId="49BFA04C" w14:textId="58C9B2C9" w:rsidR="00EB2A31" w:rsidRDefault="00EB2A31">
      <w:pPr>
        <w:spacing w:before="0" w:after="80" w:line="240" w:lineRule="auto"/>
        <w:jc w:val="left"/>
        <w:rPr>
          <w:rFonts w:cs="Arial"/>
          <w:color w:val="auto"/>
          <w:szCs w:val="20"/>
        </w:rPr>
      </w:pPr>
      <w:r>
        <w:br w:type="page"/>
      </w:r>
    </w:p>
    <w:p w14:paraId="0F9FBD68" w14:textId="77777777" w:rsidR="00EB2A31" w:rsidRDefault="00EB2A31" w:rsidP="002F7028">
      <w:pPr>
        <w:pStyle w:val="01Chapterheading"/>
        <w:spacing w:after="0"/>
        <w:ind w:left="-11"/>
        <w:rPr>
          <w:color w:val="26664E"/>
        </w:rPr>
      </w:pPr>
      <w:bookmarkStart w:id="97" w:name="_Toc185012394"/>
      <w:r w:rsidRPr="00E24118">
        <w:rPr>
          <w:color w:val="26664E"/>
        </w:rPr>
        <w:lastRenderedPageBreak/>
        <w:t>References</w:t>
      </w:r>
      <w:bookmarkEnd w:id="97"/>
    </w:p>
    <w:p w14:paraId="7E31ECA2" w14:textId="09A1C092" w:rsidR="00EB2A31" w:rsidRPr="00E24118" w:rsidRDefault="00EB2A31" w:rsidP="002F7028">
      <w:pPr>
        <w:pStyle w:val="05Paragraph"/>
        <w:spacing w:after="180"/>
        <w:rPr>
          <w:color w:val="26664E"/>
        </w:rPr>
      </w:pPr>
    </w:p>
    <w:p w14:paraId="6A339F85" w14:textId="1F81D642"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ABS (Australian Bureau of Statistics) (2015), </w:t>
      </w:r>
      <w:r w:rsidRPr="00E80A8A">
        <w:rPr>
          <w:rFonts w:eastAsia="Aptos" w:cs="Arial"/>
          <w:i/>
          <w:iCs/>
          <w:color w:val="000000"/>
          <w:szCs w:val="20"/>
          <w:lang w:val="en-US"/>
        </w:rPr>
        <w:t xml:space="preserve">Australian System of Government Finance Statistics: Concepts, Sources and Methods, </w:t>
      </w:r>
      <w:hyperlink r:id="rId49" w:history="1">
        <w:r w:rsidRPr="00E80A8A">
          <w:rPr>
            <w:rFonts w:eastAsia="Aptos" w:cs="Arial"/>
            <w:color w:val="467886"/>
            <w:szCs w:val="20"/>
            <w:u w:val="single"/>
            <w:lang w:val="en-US"/>
          </w:rPr>
          <w:t>https://www.abs.gov.au/statistics/detailed-methodology-information/concepts-sources-methods/australian-system-government-finance-statistics-concepts-sources-and-methods/2015</w:t>
        </w:r>
      </w:hyperlink>
      <w:r w:rsidRPr="00E80A8A">
        <w:rPr>
          <w:rFonts w:eastAsia="Aptos" w:cs="Arial"/>
          <w:color w:val="000000"/>
          <w:szCs w:val="20"/>
          <w:lang w:val="en-US"/>
        </w:rPr>
        <w:t>, accessed 14</w:t>
      </w:r>
      <w:r w:rsidR="00490BDD">
        <w:rPr>
          <w:rFonts w:eastAsia="Aptos" w:cs="Arial"/>
          <w:color w:val="000000"/>
          <w:szCs w:val="20"/>
          <w:lang w:val="en-US"/>
        </w:rPr>
        <w:t> </w:t>
      </w:r>
      <w:r w:rsidRPr="00E80A8A">
        <w:rPr>
          <w:rFonts w:eastAsia="Aptos" w:cs="Arial"/>
          <w:color w:val="000000"/>
          <w:szCs w:val="20"/>
          <w:lang w:val="en-US"/>
        </w:rPr>
        <w:t>December 2024.</w:t>
      </w:r>
    </w:p>
    <w:p w14:paraId="597B9E09" w14:textId="77777777"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rPr>
        <w:t xml:space="preserve">——— (2024a), </w:t>
      </w:r>
      <w:r w:rsidRPr="00E80A8A">
        <w:rPr>
          <w:rFonts w:eastAsia="Aptos" w:cs="Arial"/>
          <w:i/>
          <w:iCs/>
          <w:color w:val="000000"/>
          <w:szCs w:val="20"/>
          <w:lang w:val="en-US"/>
        </w:rPr>
        <w:t>Australian National Accounts: National Income, Expenditure and Product</w:t>
      </w:r>
      <w:r w:rsidRPr="00E80A8A">
        <w:rPr>
          <w:rFonts w:eastAsia="Aptos" w:cs="Arial"/>
          <w:color w:val="000000"/>
          <w:szCs w:val="20"/>
          <w:lang w:val="en-US"/>
        </w:rPr>
        <w:t>, September 2024.</w:t>
      </w:r>
    </w:p>
    <w:p w14:paraId="766AAE9C" w14:textId="119DCD9D"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rPr>
        <w:t xml:space="preserve">——— (2024b), </w:t>
      </w:r>
      <w:r w:rsidRPr="00E80A8A">
        <w:rPr>
          <w:rFonts w:eastAsia="Aptos" w:cs="Arial"/>
          <w:i/>
          <w:iCs/>
          <w:color w:val="000000"/>
          <w:szCs w:val="20"/>
          <w:lang w:val="en-US"/>
        </w:rPr>
        <w:t>Australian National Accounts: State Accounts</w:t>
      </w:r>
      <w:r w:rsidRPr="00F52070">
        <w:rPr>
          <w:rFonts w:eastAsia="Aptos" w:cs="Arial"/>
          <w:color w:val="000000"/>
          <w:szCs w:val="20"/>
          <w:lang w:val="en-US"/>
        </w:rPr>
        <w:t>, 2023-24</w:t>
      </w:r>
      <w:r w:rsidR="00C80D2D">
        <w:rPr>
          <w:rFonts w:eastAsia="Aptos" w:cs="Arial"/>
          <w:color w:val="000000"/>
          <w:szCs w:val="20"/>
          <w:lang w:val="en-US"/>
        </w:rPr>
        <w:t xml:space="preserve"> financial year</w:t>
      </w:r>
      <w:r w:rsidRPr="00E80A8A">
        <w:rPr>
          <w:rFonts w:eastAsia="Aptos" w:cs="Arial"/>
          <w:color w:val="000000"/>
          <w:szCs w:val="20"/>
          <w:lang w:val="en-US"/>
        </w:rPr>
        <w:t>.</w:t>
      </w:r>
    </w:p>
    <w:p w14:paraId="75B993B9" w14:textId="123ED297"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rPr>
        <w:t xml:space="preserve">——— (2024c), </w:t>
      </w:r>
      <w:r w:rsidRPr="00E80A8A">
        <w:rPr>
          <w:rFonts w:eastAsia="Aptos" w:cs="Arial"/>
          <w:i/>
          <w:iCs/>
          <w:color w:val="000000"/>
          <w:szCs w:val="20"/>
          <w:lang w:val="en-US"/>
        </w:rPr>
        <w:t>Consumer Price Index</w:t>
      </w:r>
      <w:r w:rsidRPr="00E80A8A">
        <w:rPr>
          <w:rFonts w:eastAsia="Aptos" w:cs="Arial"/>
          <w:color w:val="000000"/>
          <w:szCs w:val="20"/>
          <w:lang w:val="en-US"/>
        </w:rPr>
        <w:t xml:space="preserve">, Australia, September </w:t>
      </w:r>
      <w:r w:rsidR="00C80D2D">
        <w:rPr>
          <w:rFonts w:eastAsia="Aptos" w:cs="Arial"/>
          <w:color w:val="000000"/>
          <w:szCs w:val="20"/>
          <w:lang w:val="en-US"/>
        </w:rPr>
        <w:t xml:space="preserve">quarter </w:t>
      </w:r>
      <w:r w:rsidRPr="00E80A8A">
        <w:rPr>
          <w:rFonts w:eastAsia="Aptos" w:cs="Arial"/>
          <w:color w:val="000000"/>
          <w:szCs w:val="20"/>
          <w:lang w:val="en-US"/>
        </w:rPr>
        <w:t>2024.</w:t>
      </w:r>
    </w:p>
    <w:p w14:paraId="6B65268D" w14:textId="77777777" w:rsidR="000946E4" w:rsidRPr="00E80A8A" w:rsidRDefault="000946E4" w:rsidP="000946E4">
      <w:pPr>
        <w:spacing w:after="0"/>
        <w:ind w:left="720" w:hanging="720"/>
        <w:jc w:val="left"/>
        <w:rPr>
          <w:rFonts w:eastAsia="Aptos" w:cs="Arial"/>
          <w:color w:val="000000"/>
          <w:szCs w:val="20"/>
        </w:rPr>
      </w:pPr>
      <w:r w:rsidRPr="00E80A8A">
        <w:rPr>
          <w:rFonts w:eastAsia="Aptos" w:cs="Arial"/>
          <w:color w:val="000000"/>
          <w:szCs w:val="20"/>
        </w:rPr>
        <w:t xml:space="preserve">——— (2024d), </w:t>
      </w:r>
      <w:r w:rsidRPr="00E80A8A">
        <w:rPr>
          <w:rFonts w:eastAsia="Aptos" w:cs="Arial"/>
          <w:i/>
          <w:iCs/>
          <w:color w:val="000000"/>
          <w:szCs w:val="20"/>
        </w:rPr>
        <w:t>Job Vacancies</w:t>
      </w:r>
      <w:r w:rsidRPr="00E80A8A">
        <w:rPr>
          <w:rFonts w:eastAsia="Aptos" w:cs="Arial"/>
          <w:color w:val="000000"/>
          <w:szCs w:val="20"/>
        </w:rPr>
        <w:t>, Australia, August 2024.</w:t>
      </w:r>
    </w:p>
    <w:p w14:paraId="2284E34A" w14:textId="77777777"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rPr>
        <w:t xml:space="preserve">——— (2024e), </w:t>
      </w:r>
      <w:r w:rsidRPr="00E80A8A">
        <w:rPr>
          <w:rFonts w:eastAsia="Aptos" w:cs="Arial"/>
          <w:i/>
          <w:iCs/>
          <w:color w:val="000000"/>
          <w:szCs w:val="20"/>
        </w:rPr>
        <w:t>Labour Force</w:t>
      </w:r>
      <w:r w:rsidRPr="00E80A8A">
        <w:rPr>
          <w:rFonts w:eastAsia="Aptos" w:cs="Arial"/>
          <w:color w:val="000000"/>
          <w:szCs w:val="20"/>
        </w:rPr>
        <w:t>, Australia, November 2024.</w:t>
      </w:r>
    </w:p>
    <w:p w14:paraId="5F104F4B" w14:textId="77777777" w:rsidR="000946E4" w:rsidRPr="00E80A8A" w:rsidRDefault="000946E4" w:rsidP="000946E4">
      <w:pPr>
        <w:spacing w:after="0"/>
        <w:ind w:left="720" w:hanging="720"/>
        <w:jc w:val="left"/>
        <w:rPr>
          <w:rFonts w:eastAsia="Aptos" w:cs="Arial"/>
          <w:color w:val="000000"/>
          <w:szCs w:val="20"/>
          <w:lang w:val="en-US"/>
        </w:rPr>
      </w:pPr>
      <w:r w:rsidRPr="00E80A8A">
        <w:rPr>
          <w:rFonts w:eastAsia="Aptos" w:cs="Arial"/>
          <w:color w:val="000000"/>
          <w:szCs w:val="20"/>
        </w:rPr>
        <w:t xml:space="preserve">——— (2024f), </w:t>
      </w:r>
      <w:r w:rsidRPr="00E80A8A">
        <w:rPr>
          <w:rFonts w:eastAsia="Aptos" w:cs="Arial"/>
          <w:i/>
          <w:iCs/>
          <w:color w:val="000000"/>
          <w:szCs w:val="20"/>
        </w:rPr>
        <w:t>Wage Price Index</w:t>
      </w:r>
      <w:r w:rsidRPr="00E80A8A">
        <w:rPr>
          <w:rFonts w:eastAsia="Aptos" w:cs="Arial"/>
          <w:color w:val="000000"/>
          <w:szCs w:val="20"/>
        </w:rPr>
        <w:t>, Australia, September 2024.</w:t>
      </w:r>
    </w:p>
    <w:p w14:paraId="21064229" w14:textId="0EDEE58B"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Agriculture Victoria Services (2024), </w:t>
      </w:r>
      <w:r w:rsidRPr="00E80A8A">
        <w:rPr>
          <w:rFonts w:eastAsia="Aptos" w:cs="Arial"/>
          <w:i/>
          <w:iCs/>
          <w:color w:val="000000"/>
          <w:szCs w:val="20"/>
          <w:lang w:val="en-US"/>
        </w:rPr>
        <w:t>About us</w:t>
      </w:r>
      <w:r w:rsidRPr="00E80A8A">
        <w:rPr>
          <w:rFonts w:eastAsia="Aptos" w:cs="Arial"/>
          <w:color w:val="000000"/>
          <w:szCs w:val="20"/>
          <w:lang w:val="en-US"/>
        </w:rPr>
        <w:t xml:space="preserve">, </w:t>
      </w:r>
      <w:hyperlink r:id="rId50" w:history="1">
        <w:r w:rsidRPr="00E80A8A">
          <w:rPr>
            <w:rFonts w:eastAsia="Aptos" w:cs="Arial"/>
            <w:color w:val="467886"/>
            <w:szCs w:val="20"/>
            <w:u w:val="single"/>
            <w:lang w:val="en-US"/>
          </w:rPr>
          <w:t>https://agvicservices.com.au/</w:t>
        </w:r>
      </w:hyperlink>
      <w:r w:rsidRPr="00E80A8A">
        <w:rPr>
          <w:rFonts w:eastAsia="Aptos" w:cs="Arial"/>
          <w:color w:val="000000"/>
          <w:szCs w:val="20"/>
          <w:lang w:val="en-US"/>
        </w:rPr>
        <w:t xml:space="preserve">, accessed 2 December 2024.  </w:t>
      </w:r>
    </w:p>
    <w:p w14:paraId="0824DF4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Alpine Resorts Victoria (2023), </w:t>
      </w:r>
      <w:r w:rsidRPr="00E80A8A">
        <w:rPr>
          <w:rFonts w:eastAsia="Aptos" w:cs="Arial"/>
          <w:i/>
          <w:iCs/>
          <w:color w:val="000000"/>
          <w:szCs w:val="20"/>
          <w:lang w:val="en-US"/>
        </w:rPr>
        <w:t>Alpine Resorts (Management) Act 1997</w:t>
      </w:r>
      <w:r w:rsidRPr="00E80A8A">
        <w:rPr>
          <w:rFonts w:eastAsia="Aptos" w:cs="Arial"/>
          <w:color w:val="000000"/>
          <w:szCs w:val="20"/>
          <w:lang w:val="en-US"/>
        </w:rPr>
        <w:t xml:space="preserve">, </w:t>
      </w:r>
      <w:hyperlink r:id="rId51" w:history="1">
        <w:r w:rsidRPr="00E80A8A">
          <w:rPr>
            <w:rFonts w:eastAsia="Aptos" w:cs="Arial"/>
            <w:color w:val="467886"/>
            <w:szCs w:val="20"/>
            <w:u w:val="single"/>
            <w:lang w:val="en-US"/>
          </w:rPr>
          <w:t>https://www.alpineresorts.vic.gov.au/about-arv/alpine-resorts-management-act-1997</w:t>
        </w:r>
      </w:hyperlink>
      <w:r w:rsidRPr="00E80A8A">
        <w:rPr>
          <w:rFonts w:eastAsia="Aptos" w:cs="Arial"/>
          <w:color w:val="000000"/>
          <w:szCs w:val="20"/>
          <w:lang w:val="en-US"/>
        </w:rPr>
        <w:t xml:space="preserve">, accessed on 5 December 2024. </w:t>
      </w:r>
    </w:p>
    <w:p w14:paraId="0995C1F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AMES Australia (2024), </w:t>
      </w:r>
      <w:r w:rsidRPr="00E80A8A">
        <w:rPr>
          <w:rFonts w:eastAsia="Aptos" w:cs="Arial"/>
          <w:i/>
          <w:iCs/>
          <w:color w:val="000000"/>
          <w:szCs w:val="20"/>
          <w:lang w:val="en-US"/>
        </w:rPr>
        <w:t>Annual Report 2023-2024</w:t>
      </w:r>
      <w:r w:rsidRPr="00E80A8A">
        <w:rPr>
          <w:rFonts w:eastAsia="Aptos" w:cs="Arial"/>
          <w:color w:val="000000"/>
          <w:szCs w:val="20"/>
          <w:lang w:val="en-US"/>
        </w:rPr>
        <w:t>.</w:t>
      </w:r>
    </w:p>
    <w:p w14:paraId="513E01A8" w14:textId="1BD79920"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Arts Centre Melbourne (2024), </w:t>
      </w:r>
      <w:r w:rsidRPr="00E80A8A">
        <w:rPr>
          <w:rFonts w:eastAsia="Aptos" w:cs="Arial"/>
          <w:i/>
          <w:iCs/>
          <w:color w:val="000000"/>
          <w:szCs w:val="20"/>
          <w:lang w:val="en-US"/>
        </w:rPr>
        <w:t>About us</w:t>
      </w:r>
      <w:r w:rsidRPr="00E80A8A">
        <w:rPr>
          <w:rFonts w:eastAsia="Aptos" w:cs="Arial"/>
          <w:color w:val="000000"/>
          <w:szCs w:val="20"/>
          <w:lang w:val="en-US"/>
        </w:rPr>
        <w:t xml:space="preserve">, </w:t>
      </w:r>
      <w:hyperlink r:id="rId52" w:history="1">
        <w:r w:rsidRPr="00E80A8A">
          <w:rPr>
            <w:rFonts w:eastAsia="Aptos" w:cs="Arial"/>
            <w:color w:val="467886"/>
            <w:szCs w:val="20"/>
            <w:u w:val="single"/>
            <w:lang w:val="en-US"/>
          </w:rPr>
          <w:t>https://www.artscentremelbourne.com.au/about-us</w:t>
        </w:r>
      </w:hyperlink>
      <w:r w:rsidRPr="00E80A8A">
        <w:rPr>
          <w:rFonts w:eastAsia="Aptos" w:cs="Arial"/>
          <w:color w:val="000000"/>
          <w:szCs w:val="20"/>
          <w:lang w:val="en-US"/>
        </w:rPr>
        <w:t>, accessed 5</w:t>
      </w:r>
      <w:r w:rsidR="00490BDD">
        <w:rPr>
          <w:rFonts w:eastAsia="Aptos" w:cs="Arial"/>
          <w:color w:val="000000"/>
          <w:szCs w:val="20"/>
          <w:lang w:val="en-US"/>
        </w:rPr>
        <w:t> </w:t>
      </w:r>
      <w:r w:rsidRPr="00E80A8A">
        <w:rPr>
          <w:rFonts w:eastAsia="Aptos" w:cs="Arial"/>
          <w:color w:val="000000"/>
          <w:szCs w:val="20"/>
          <w:lang w:val="en-US"/>
        </w:rPr>
        <w:t xml:space="preserve">December 2024. </w:t>
      </w:r>
    </w:p>
    <w:p w14:paraId="5C973C98"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Australian Grand Prix Corporation (2024), </w:t>
      </w:r>
      <w:r w:rsidRPr="00E80A8A">
        <w:rPr>
          <w:rFonts w:eastAsia="Aptos" w:cs="Arial"/>
          <w:i/>
          <w:iCs/>
          <w:color w:val="000000"/>
          <w:szCs w:val="20"/>
          <w:lang w:val="en-US"/>
        </w:rPr>
        <w:t>2024 Annual Report</w:t>
      </w:r>
      <w:r w:rsidRPr="00E80A8A">
        <w:rPr>
          <w:rFonts w:eastAsia="Aptos" w:cs="Arial"/>
          <w:color w:val="000000"/>
          <w:szCs w:val="20"/>
          <w:lang w:val="en-US"/>
        </w:rPr>
        <w:t>.</w:t>
      </w:r>
    </w:p>
    <w:p w14:paraId="30FC8077"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Australian Institute of Company Directors (2020), </w:t>
      </w:r>
      <w:r w:rsidRPr="00E80A8A">
        <w:rPr>
          <w:rFonts w:eastAsia="Aptos" w:cs="Arial"/>
          <w:i/>
          <w:iCs/>
          <w:color w:val="000000"/>
          <w:szCs w:val="20"/>
          <w:lang w:val="en-US"/>
        </w:rPr>
        <w:t>Role of chief executive officer (CEO) or managing director (MD)</w:t>
      </w:r>
      <w:r w:rsidRPr="00E80A8A">
        <w:rPr>
          <w:rFonts w:eastAsia="Aptos" w:cs="Arial"/>
          <w:color w:val="000000"/>
          <w:szCs w:val="20"/>
          <w:lang w:val="en-US"/>
        </w:rPr>
        <w:t xml:space="preserve">, </w:t>
      </w:r>
      <w:hyperlink r:id="rId53" w:history="1">
        <w:r w:rsidRPr="00E80A8A">
          <w:rPr>
            <w:rFonts w:eastAsia="Aptos" w:cs="Arial"/>
            <w:color w:val="467886"/>
            <w:szCs w:val="20"/>
            <w:u w:val="single"/>
            <w:lang w:val="en-US"/>
          </w:rPr>
          <w:t>https://www.aicd.com.au/board-of-</w:t>
        </w:r>
        <w:r w:rsidRPr="00E80A8A">
          <w:rPr>
            <w:rFonts w:eastAsia="Aptos" w:cs="Arial"/>
            <w:color w:val="467886"/>
            <w:szCs w:val="20"/>
            <w:u w:val="single"/>
            <w:lang w:val="en-US"/>
          </w:rPr>
          <w:lastRenderedPageBreak/>
          <w:t>directors/roles/executive/role-of-chief-executive-officer-ceo-or-managing-director-md.html</w:t>
        </w:r>
      </w:hyperlink>
      <w:r w:rsidRPr="00E80A8A">
        <w:rPr>
          <w:rFonts w:eastAsia="Aptos" w:cs="Arial"/>
          <w:color w:val="000000"/>
          <w:szCs w:val="20"/>
          <w:lang w:val="en-US"/>
        </w:rPr>
        <w:t>, accessed 14 December 2024.</w:t>
      </w:r>
    </w:p>
    <w:p w14:paraId="61D928A0"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Better Regulation Victoria (2024), </w:t>
      </w:r>
      <w:r w:rsidRPr="00E80A8A">
        <w:rPr>
          <w:rFonts w:eastAsia="Aptos" w:cs="Arial"/>
          <w:i/>
          <w:iCs/>
          <w:color w:val="000000"/>
          <w:szCs w:val="20"/>
          <w:lang w:val="en-US"/>
        </w:rPr>
        <w:t>2024 Victorian Guide to Regulation.</w:t>
      </w:r>
    </w:p>
    <w:p w14:paraId="62F86255"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Breakthrough Victoria (2024), </w:t>
      </w:r>
      <w:r w:rsidRPr="00E80A8A">
        <w:rPr>
          <w:rFonts w:eastAsia="Aptos" w:cs="Arial"/>
          <w:i/>
          <w:iCs/>
          <w:color w:val="000000"/>
          <w:szCs w:val="20"/>
          <w:lang w:val="en-US"/>
        </w:rPr>
        <w:t>Investing in innovation for impact</w:t>
      </w:r>
      <w:r w:rsidRPr="00E80A8A">
        <w:rPr>
          <w:rFonts w:eastAsia="Aptos" w:cs="Arial"/>
          <w:color w:val="000000"/>
          <w:szCs w:val="20"/>
          <w:lang w:val="en-US"/>
        </w:rPr>
        <w:t xml:space="preserve">, </w:t>
      </w:r>
      <w:hyperlink r:id="rId54" w:history="1">
        <w:r w:rsidRPr="00E80A8A">
          <w:rPr>
            <w:rFonts w:eastAsia="Aptos" w:cs="Arial"/>
            <w:color w:val="467886"/>
            <w:szCs w:val="20"/>
            <w:u w:val="single"/>
            <w:lang w:val="en-US"/>
          </w:rPr>
          <w:t>https://breakthroughvictoria.com/</w:t>
        </w:r>
      </w:hyperlink>
      <w:r w:rsidRPr="00E80A8A">
        <w:rPr>
          <w:rFonts w:eastAsia="Aptos" w:cs="Arial"/>
          <w:color w:val="000000"/>
          <w:szCs w:val="20"/>
          <w:lang w:val="en-US"/>
        </w:rPr>
        <w:t xml:space="preserve">, accessed on 5 December 2024. </w:t>
      </w:r>
    </w:p>
    <w:p w14:paraId="6DE13968"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CFA (Country Fire Authority) (2024), </w:t>
      </w:r>
      <w:r w:rsidRPr="00E80A8A">
        <w:rPr>
          <w:rFonts w:eastAsia="Aptos" w:cs="Arial"/>
          <w:i/>
          <w:iCs/>
          <w:color w:val="000000"/>
          <w:szCs w:val="20"/>
          <w:lang w:val="en-US"/>
        </w:rPr>
        <w:t>What we do</w:t>
      </w:r>
      <w:r w:rsidRPr="00E80A8A">
        <w:rPr>
          <w:rFonts w:eastAsia="Aptos" w:cs="Arial"/>
          <w:color w:val="000000"/>
          <w:szCs w:val="20"/>
          <w:lang w:val="en-US"/>
        </w:rPr>
        <w:t xml:space="preserve">, </w:t>
      </w:r>
      <w:hyperlink r:id="rId55" w:history="1">
        <w:r w:rsidRPr="00E80A8A">
          <w:rPr>
            <w:rFonts w:eastAsia="Aptos" w:cs="Arial"/>
            <w:color w:val="467886"/>
            <w:szCs w:val="20"/>
            <w:u w:val="single"/>
            <w:lang w:val="en-US"/>
          </w:rPr>
          <w:t>https://www.cfa.vic.gov.au/about-us/what-we-do</w:t>
        </w:r>
      </w:hyperlink>
      <w:r w:rsidRPr="00E80A8A">
        <w:rPr>
          <w:rFonts w:eastAsia="Aptos" w:cs="Arial"/>
          <w:color w:val="000000"/>
          <w:szCs w:val="20"/>
          <w:lang w:val="en-US"/>
        </w:rPr>
        <w:t xml:space="preserve">, accessed 5 December 2024. </w:t>
      </w:r>
    </w:p>
    <w:p w14:paraId="7464458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Commonwealth of Australia (2019), </w:t>
      </w:r>
      <w:r w:rsidRPr="00E80A8A">
        <w:rPr>
          <w:rFonts w:eastAsia="Aptos" w:cs="Arial"/>
          <w:i/>
          <w:iCs/>
          <w:color w:val="000000"/>
          <w:szCs w:val="20"/>
          <w:lang w:val="en-US"/>
        </w:rPr>
        <w:t>Our Public Service, Our Future – Independent review of the Australian Public Service</w:t>
      </w:r>
      <w:r w:rsidRPr="00E80A8A">
        <w:rPr>
          <w:rFonts w:eastAsia="Aptos" w:cs="Arial"/>
          <w:color w:val="000000"/>
          <w:szCs w:val="20"/>
          <w:lang w:val="en-US"/>
        </w:rPr>
        <w:t>.</w:t>
      </w:r>
    </w:p>
    <w:p w14:paraId="45CBA0CF"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(2023), </w:t>
      </w:r>
      <w:r w:rsidRPr="00E80A8A">
        <w:rPr>
          <w:rFonts w:eastAsia="Aptos" w:cs="Arial"/>
          <w:i/>
          <w:iCs/>
          <w:color w:val="000000"/>
          <w:szCs w:val="20"/>
        </w:rPr>
        <w:t xml:space="preserve">Royal Commission into the </w:t>
      </w:r>
      <w:proofErr w:type="spellStart"/>
      <w:r w:rsidRPr="00E80A8A">
        <w:rPr>
          <w:rFonts w:eastAsia="Aptos" w:cs="Arial"/>
          <w:i/>
          <w:iCs/>
          <w:color w:val="000000"/>
          <w:szCs w:val="20"/>
        </w:rPr>
        <w:t>Robodebt</w:t>
      </w:r>
      <w:proofErr w:type="spellEnd"/>
      <w:r w:rsidRPr="00E80A8A">
        <w:rPr>
          <w:rFonts w:eastAsia="Aptos" w:cs="Arial"/>
          <w:i/>
          <w:iCs/>
          <w:color w:val="000000"/>
          <w:szCs w:val="20"/>
        </w:rPr>
        <w:t xml:space="preserve"> Scheme – Report</w:t>
      </w:r>
      <w:r w:rsidRPr="00E80A8A">
        <w:rPr>
          <w:rFonts w:eastAsia="Aptos" w:cs="Arial"/>
          <w:color w:val="000000"/>
          <w:szCs w:val="20"/>
        </w:rPr>
        <w:t>.</w:t>
      </w:r>
    </w:p>
    <w:p w14:paraId="2FE50688"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COVID-19 Hotel Quarantine Inquiry (2020), </w:t>
      </w:r>
      <w:r w:rsidRPr="00E80A8A">
        <w:rPr>
          <w:rFonts w:eastAsia="Aptos" w:cs="Arial"/>
          <w:i/>
          <w:iCs/>
          <w:color w:val="000000"/>
          <w:szCs w:val="20"/>
          <w:lang w:val="en-US"/>
        </w:rPr>
        <w:t>Final Report and Recommendations</w:t>
      </w:r>
      <w:r w:rsidRPr="00E80A8A">
        <w:rPr>
          <w:rFonts w:eastAsia="Aptos" w:cs="Arial"/>
          <w:color w:val="000000"/>
          <w:szCs w:val="20"/>
          <w:lang w:val="en-US"/>
        </w:rPr>
        <w:t>.</w:t>
      </w:r>
    </w:p>
    <w:p w14:paraId="00386760"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Deloitte (2022), </w:t>
      </w:r>
      <w:r w:rsidRPr="00E80A8A">
        <w:rPr>
          <w:rFonts w:eastAsia="Aptos" w:cs="Arial"/>
          <w:i/>
          <w:iCs/>
          <w:color w:val="000000"/>
          <w:szCs w:val="20"/>
          <w:lang w:val="en-US"/>
        </w:rPr>
        <w:t>Hybrid hiccups: Moving to distributed working in the public sector</w:t>
      </w:r>
      <w:r w:rsidRPr="00E80A8A">
        <w:rPr>
          <w:rFonts w:eastAsia="Aptos" w:cs="Arial"/>
          <w:color w:val="000000"/>
          <w:szCs w:val="20"/>
          <w:lang w:val="en-US"/>
        </w:rPr>
        <w:t xml:space="preserve">, </w:t>
      </w:r>
      <w:hyperlink r:id="rId56" w:history="1">
        <w:r w:rsidRPr="00E80A8A">
          <w:rPr>
            <w:rFonts w:eastAsia="Aptos" w:cs="Arial"/>
            <w:color w:val="467886"/>
            <w:szCs w:val="20"/>
            <w:u w:val="single"/>
            <w:lang w:val="en-US"/>
          </w:rPr>
          <w:t>https://www2.deloitte.com/us/en/insights/industry/public-sector/hybrid-work-challenges.html</w:t>
        </w:r>
      </w:hyperlink>
      <w:r w:rsidRPr="00E80A8A">
        <w:rPr>
          <w:rFonts w:eastAsia="Aptos" w:cs="Arial"/>
          <w:color w:val="000000"/>
          <w:szCs w:val="20"/>
          <w:lang w:val="en-US"/>
        </w:rPr>
        <w:t>, accessed 14 December 2024.</w:t>
      </w:r>
    </w:p>
    <w:p w14:paraId="0EE28ACC"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Department of Energy, Environment and Climate Action (2023), </w:t>
      </w:r>
      <w:r w:rsidRPr="00E80A8A">
        <w:rPr>
          <w:rFonts w:eastAsia="Aptos" w:cs="Arial"/>
          <w:i/>
          <w:iCs/>
          <w:color w:val="000000"/>
          <w:szCs w:val="20"/>
          <w:lang w:val="en-US"/>
        </w:rPr>
        <w:t>Catchment governance</w:t>
      </w:r>
      <w:r w:rsidRPr="00E80A8A">
        <w:rPr>
          <w:rFonts w:eastAsia="Aptos" w:cs="Arial"/>
          <w:color w:val="000000"/>
          <w:szCs w:val="20"/>
          <w:lang w:val="en-US"/>
        </w:rPr>
        <w:t xml:space="preserve">, </w:t>
      </w:r>
      <w:hyperlink r:id="rId57" w:history="1">
        <w:r w:rsidRPr="00E80A8A">
          <w:rPr>
            <w:rFonts w:eastAsia="Aptos" w:cs="Arial"/>
            <w:color w:val="467886"/>
            <w:szCs w:val="20"/>
            <w:u w:val="single"/>
            <w:lang w:val="en-US"/>
          </w:rPr>
          <w:t>https://www.water.vic.gov.au/catchments/catchment-governance</w:t>
        </w:r>
      </w:hyperlink>
      <w:r w:rsidRPr="00E80A8A">
        <w:rPr>
          <w:rFonts w:eastAsia="Aptos" w:cs="Arial"/>
          <w:color w:val="000000"/>
          <w:szCs w:val="20"/>
          <w:lang w:val="en-US"/>
        </w:rPr>
        <w:t xml:space="preserve">, accessed 5 December 2024.  </w:t>
      </w:r>
    </w:p>
    <w:p w14:paraId="23F35B13" w14:textId="68CC0B6A"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 </w:t>
      </w:r>
      <w:r w:rsidRPr="00E80A8A">
        <w:rPr>
          <w:rFonts w:eastAsia="Aptos" w:cs="Arial"/>
          <w:i/>
          <w:iCs/>
          <w:color w:val="000000"/>
          <w:szCs w:val="20"/>
          <w:lang w:val="en-US"/>
        </w:rPr>
        <w:t>Forestry in Victoria</w:t>
      </w:r>
      <w:r w:rsidRPr="00E80A8A">
        <w:rPr>
          <w:rFonts w:eastAsia="Aptos" w:cs="Arial"/>
          <w:color w:val="000000"/>
          <w:szCs w:val="20"/>
          <w:lang w:val="en-US"/>
        </w:rPr>
        <w:t xml:space="preserve">, </w:t>
      </w:r>
      <w:hyperlink r:id="rId58" w:history="1">
        <w:r w:rsidRPr="00E80A8A">
          <w:rPr>
            <w:rFonts w:eastAsia="Aptos" w:cs="Arial"/>
            <w:color w:val="467886"/>
            <w:szCs w:val="20"/>
            <w:u w:val="single"/>
            <w:lang w:val="en-US"/>
          </w:rPr>
          <w:t>https://www.deeca.vic.gov.au/forestry/forestry-in-victoria</w:t>
        </w:r>
      </w:hyperlink>
      <w:r w:rsidRPr="00E80A8A">
        <w:rPr>
          <w:rFonts w:eastAsia="Aptos" w:cs="Arial"/>
          <w:color w:val="000000"/>
          <w:szCs w:val="20"/>
          <w:lang w:val="en-US"/>
        </w:rPr>
        <w:t>, accessed 5</w:t>
      </w:r>
      <w:r w:rsidR="004874E7">
        <w:rPr>
          <w:rFonts w:eastAsia="Aptos" w:cs="Arial"/>
          <w:color w:val="000000"/>
          <w:szCs w:val="20"/>
          <w:lang w:val="en-US"/>
        </w:rPr>
        <w:t> </w:t>
      </w:r>
      <w:r w:rsidRPr="00E80A8A">
        <w:rPr>
          <w:rFonts w:eastAsia="Aptos" w:cs="Arial"/>
          <w:color w:val="000000"/>
          <w:szCs w:val="20"/>
          <w:lang w:val="en-US"/>
        </w:rPr>
        <w:t xml:space="preserve">December 2024. </w:t>
      </w:r>
    </w:p>
    <w:p w14:paraId="49F9BB21" w14:textId="1C623F9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Department of Families, Fairness and Housing (2023), </w:t>
      </w:r>
      <w:r w:rsidR="004874E7" w:rsidRPr="00193BD4">
        <w:rPr>
          <w:rFonts w:eastAsia="Aptos" w:cs="Arial"/>
          <w:i/>
          <w:iCs/>
          <w:color w:val="auto"/>
          <w:szCs w:val="20"/>
          <w:lang w:val="en-US"/>
        </w:rPr>
        <w:t>Our equal state: Victoria’s gender equality strategy and action plan 2023-2027</w:t>
      </w:r>
      <w:r w:rsidRPr="00E80A8A">
        <w:rPr>
          <w:rFonts w:eastAsia="Aptos" w:cs="Arial"/>
          <w:color w:val="000000"/>
          <w:szCs w:val="20"/>
          <w:lang w:val="en-US"/>
        </w:rPr>
        <w:t>.</w:t>
      </w:r>
    </w:p>
    <w:p w14:paraId="0C8CBB2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Department of Transport (2021), </w:t>
      </w:r>
      <w:r w:rsidRPr="00E80A8A">
        <w:rPr>
          <w:rFonts w:eastAsia="Aptos" w:cs="Arial"/>
          <w:i/>
          <w:iCs/>
          <w:color w:val="000000"/>
          <w:szCs w:val="20"/>
          <w:lang w:val="en-US"/>
        </w:rPr>
        <w:t>Annual Report 2020-21</w:t>
      </w:r>
      <w:r w:rsidRPr="00E80A8A">
        <w:rPr>
          <w:rFonts w:eastAsia="Aptos" w:cs="Arial"/>
          <w:color w:val="000000"/>
          <w:szCs w:val="20"/>
          <w:lang w:val="en-US"/>
        </w:rPr>
        <w:t>.</w:t>
      </w:r>
    </w:p>
    <w:p w14:paraId="0DF3A82C" w14:textId="462B2E82"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Development Victoria (2024), </w:t>
      </w:r>
      <w:r w:rsidRPr="00E80A8A">
        <w:rPr>
          <w:rFonts w:eastAsia="Aptos" w:cs="Arial"/>
          <w:i/>
          <w:iCs/>
          <w:color w:val="000000"/>
          <w:szCs w:val="20"/>
          <w:lang w:val="en-US"/>
        </w:rPr>
        <w:t>What we do</w:t>
      </w:r>
      <w:r w:rsidRPr="00E80A8A">
        <w:rPr>
          <w:rFonts w:eastAsia="Aptos" w:cs="Arial"/>
          <w:color w:val="000000"/>
          <w:szCs w:val="20"/>
          <w:lang w:val="en-US"/>
        </w:rPr>
        <w:t xml:space="preserve">, </w:t>
      </w:r>
      <w:hyperlink r:id="rId59" w:history="1">
        <w:r w:rsidRPr="00E80A8A">
          <w:rPr>
            <w:rFonts w:eastAsia="Aptos" w:cs="Arial"/>
            <w:color w:val="467886"/>
            <w:szCs w:val="20"/>
            <w:u w:val="single"/>
            <w:lang w:val="en-US"/>
          </w:rPr>
          <w:t>https://www.development.vic.gov.au/about/what-we-do</w:t>
        </w:r>
      </w:hyperlink>
      <w:r w:rsidRPr="00E80A8A">
        <w:rPr>
          <w:rFonts w:eastAsia="Aptos" w:cs="Arial"/>
          <w:color w:val="000000"/>
          <w:szCs w:val="20"/>
          <w:lang w:val="en-US"/>
        </w:rPr>
        <w:t>, accessed 5</w:t>
      </w:r>
      <w:r w:rsidR="00564975">
        <w:rPr>
          <w:rFonts w:eastAsia="Aptos" w:cs="Arial"/>
          <w:color w:val="000000"/>
          <w:szCs w:val="20"/>
          <w:lang w:val="en-US"/>
        </w:rPr>
        <w:t> </w:t>
      </w:r>
      <w:r w:rsidRPr="00E80A8A">
        <w:rPr>
          <w:rFonts w:eastAsia="Aptos" w:cs="Arial"/>
          <w:color w:val="000000"/>
          <w:szCs w:val="20"/>
          <w:lang w:val="en-US"/>
        </w:rPr>
        <w:t xml:space="preserve">December 2024. </w:t>
      </w:r>
    </w:p>
    <w:p w14:paraId="578768E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Docklands Studios Melbourne (n.d.), </w:t>
      </w:r>
      <w:r w:rsidRPr="00E80A8A">
        <w:rPr>
          <w:rFonts w:eastAsia="Aptos" w:cs="Arial"/>
          <w:i/>
          <w:iCs/>
          <w:color w:val="000000"/>
          <w:szCs w:val="20"/>
          <w:lang w:val="en-US"/>
        </w:rPr>
        <w:t>Homepage</w:t>
      </w:r>
      <w:r w:rsidRPr="00E80A8A">
        <w:rPr>
          <w:rFonts w:eastAsia="Aptos" w:cs="Arial"/>
          <w:color w:val="000000"/>
          <w:szCs w:val="20"/>
          <w:lang w:val="en-US"/>
        </w:rPr>
        <w:t xml:space="preserve">, </w:t>
      </w:r>
      <w:hyperlink r:id="rId60" w:history="1">
        <w:r w:rsidRPr="00E80A8A">
          <w:rPr>
            <w:rFonts w:eastAsia="Aptos" w:cs="Arial"/>
            <w:color w:val="467886"/>
            <w:szCs w:val="20"/>
            <w:u w:val="single"/>
            <w:lang w:val="en-US"/>
          </w:rPr>
          <w:t>https://www.dsmelbourne.com/</w:t>
        </w:r>
      </w:hyperlink>
      <w:r w:rsidRPr="00E80A8A">
        <w:rPr>
          <w:rFonts w:eastAsia="Aptos" w:cs="Arial"/>
          <w:color w:val="000000"/>
          <w:szCs w:val="20"/>
          <w:lang w:val="en-US"/>
        </w:rPr>
        <w:t xml:space="preserve">, accessed 5 December 2024. </w:t>
      </w:r>
    </w:p>
    <w:p w14:paraId="00CFC28E"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lastRenderedPageBreak/>
        <w:t xml:space="preserve">DTF (Department of Treasury and Finance) (2023), </w:t>
      </w:r>
      <w:r w:rsidRPr="00E80A8A">
        <w:rPr>
          <w:rFonts w:eastAsia="Aptos" w:cs="Arial"/>
          <w:i/>
          <w:iCs/>
          <w:color w:val="000000"/>
          <w:szCs w:val="20"/>
          <w:lang w:val="en-US"/>
        </w:rPr>
        <w:t>Victorian Budget 2023-24 – COVID Debt Repayment Plan.</w:t>
      </w:r>
    </w:p>
    <w:p w14:paraId="3D677F41"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w:t>
      </w:r>
      <w:r w:rsidRPr="00E80A8A">
        <w:rPr>
          <w:rFonts w:eastAsia="Aptos" w:cs="Arial"/>
          <w:color w:val="000000"/>
          <w:szCs w:val="20"/>
          <w:lang w:val="en-US"/>
        </w:rPr>
        <w:t xml:space="preserve"> (2024a), </w:t>
      </w:r>
      <w:r w:rsidRPr="00E80A8A">
        <w:rPr>
          <w:rFonts w:eastAsia="Aptos" w:cs="Arial"/>
          <w:i/>
          <w:iCs/>
          <w:color w:val="000000"/>
          <w:szCs w:val="20"/>
          <w:lang w:val="en-US"/>
        </w:rPr>
        <w:t>2023-24 Financial Report (inc. Quarterly Financial Report No. 4)</w:t>
      </w:r>
      <w:r w:rsidRPr="00E80A8A">
        <w:rPr>
          <w:rFonts w:eastAsia="Aptos" w:cs="Arial"/>
          <w:color w:val="000000"/>
          <w:szCs w:val="20"/>
          <w:lang w:val="en-US"/>
        </w:rPr>
        <w:t>.</w:t>
      </w:r>
    </w:p>
    <w:p w14:paraId="4689A6E6" w14:textId="0D284D43"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w:t>
      </w:r>
      <w:r w:rsidRPr="00E80A8A">
        <w:rPr>
          <w:rFonts w:eastAsia="Aptos" w:cs="Arial"/>
          <w:color w:val="000000"/>
          <w:szCs w:val="20"/>
          <w:lang w:val="en-US"/>
        </w:rPr>
        <w:t xml:space="preserve"> (2024b), </w:t>
      </w:r>
      <w:r w:rsidRPr="00E80A8A">
        <w:rPr>
          <w:rFonts w:eastAsia="Aptos" w:cs="Arial"/>
          <w:i/>
          <w:iCs/>
          <w:color w:val="000000"/>
          <w:szCs w:val="20"/>
          <w:lang w:val="en-US"/>
        </w:rPr>
        <w:t>Aggregate financial statements</w:t>
      </w:r>
      <w:r w:rsidR="00CD3020" w:rsidRPr="006B5F4C">
        <w:rPr>
          <w:rFonts w:eastAsia="Aptos" w:cs="Arial"/>
          <w:color w:val="000000"/>
          <w:szCs w:val="20"/>
          <w:lang w:val="en-US"/>
        </w:rPr>
        <w:t xml:space="preserve">, </w:t>
      </w:r>
      <w:hyperlink r:id="rId61" w:history="1">
        <w:r w:rsidR="00483063" w:rsidRPr="00554EA7">
          <w:rPr>
            <w:rStyle w:val="Hyperlink"/>
            <w:rFonts w:eastAsia="Aptos" w:cs="Arial"/>
            <w:szCs w:val="20"/>
            <w:lang w:val="en-US"/>
          </w:rPr>
          <w:t>https://www.dtf.vic.gov.au/aggregate-financial-statements</w:t>
        </w:r>
      </w:hyperlink>
      <w:r w:rsidR="00483063">
        <w:rPr>
          <w:rFonts w:eastAsia="Aptos" w:cs="Arial"/>
          <w:color w:val="000000"/>
          <w:szCs w:val="20"/>
          <w:lang w:val="en-US"/>
        </w:rPr>
        <w:t>, accessed 13 December 2024</w:t>
      </w:r>
      <w:r w:rsidRPr="00E80A8A">
        <w:rPr>
          <w:rFonts w:eastAsia="Aptos" w:cs="Arial"/>
          <w:color w:val="000000"/>
          <w:szCs w:val="20"/>
          <w:lang w:val="en-US"/>
        </w:rPr>
        <w:t>.</w:t>
      </w:r>
    </w:p>
    <w:p w14:paraId="29D49308"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(2024c), </w:t>
      </w:r>
      <w:r w:rsidRPr="00E80A8A">
        <w:rPr>
          <w:rFonts w:eastAsia="Aptos" w:cs="Arial"/>
          <w:i/>
          <w:iCs/>
          <w:color w:val="000000"/>
          <w:szCs w:val="20"/>
          <w:lang w:val="en-US"/>
        </w:rPr>
        <w:t>Statement of Expectations for Regulators</w:t>
      </w:r>
      <w:r w:rsidRPr="00E80A8A">
        <w:rPr>
          <w:rFonts w:eastAsia="Aptos" w:cs="Arial"/>
          <w:color w:val="000000"/>
          <w:szCs w:val="20"/>
          <w:lang w:val="en-US"/>
        </w:rPr>
        <w:t>.</w:t>
      </w:r>
    </w:p>
    <w:p w14:paraId="5B196CB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(2024d), </w:t>
      </w:r>
      <w:r w:rsidRPr="00E80A8A">
        <w:rPr>
          <w:rFonts w:eastAsia="Aptos" w:cs="Arial"/>
          <w:i/>
          <w:iCs/>
          <w:color w:val="000000"/>
          <w:szCs w:val="20"/>
          <w:lang w:val="en-US"/>
        </w:rPr>
        <w:t>Victorian Budget 2024-25 — 2024-25 Budget Update</w:t>
      </w:r>
      <w:r w:rsidRPr="00E80A8A">
        <w:rPr>
          <w:rFonts w:eastAsia="Aptos" w:cs="Arial"/>
          <w:color w:val="000000"/>
          <w:szCs w:val="20"/>
          <w:lang w:val="en-US"/>
        </w:rPr>
        <w:t>.</w:t>
      </w:r>
    </w:p>
    <w:p w14:paraId="796C0436"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w:t>
      </w:r>
      <w:r w:rsidRPr="00E80A8A">
        <w:rPr>
          <w:rFonts w:eastAsia="Aptos" w:cs="Arial"/>
          <w:color w:val="000000"/>
          <w:szCs w:val="20"/>
          <w:lang w:val="en-US"/>
        </w:rPr>
        <w:t xml:space="preserve"> (2024e), </w:t>
      </w:r>
      <w:r w:rsidRPr="00E80A8A">
        <w:rPr>
          <w:rFonts w:eastAsia="Aptos" w:cs="Arial"/>
          <w:i/>
          <w:iCs/>
          <w:color w:val="000000"/>
          <w:szCs w:val="20"/>
          <w:lang w:val="en-US"/>
        </w:rPr>
        <w:t>Victorian Budget 2024-25 — Budget Paper No. 2: Strategy and Outlook</w:t>
      </w:r>
      <w:r w:rsidRPr="00E80A8A">
        <w:rPr>
          <w:rFonts w:eastAsia="Aptos" w:cs="Arial"/>
          <w:color w:val="000000"/>
          <w:szCs w:val="20"/>
          <w:lang w:val="en-US"/>
        </w:rPr>
        <w:t>.</w:t>
      </w:r>
    </w:p>
    <w:p w14:paraId="3FEA8F1E"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(2024f), </w:t>
      </w:r>
      <w:r w:rsidRPr="00E80A8A">
        <w:rPr>
          <w:rFonts w:eastAsia="Aptos" w:cs="Arial"/>
          <w:i/>
          <w:color w:val="000000"/>
          <w:spacing w:val="-2"/>
          <w:szCs w:val="20"/>
          <w:lang w:val="en-US"/>
        </w:rPr>
        <w:t>Victorian Budget 2024-25 — Budget Paper No. 3: Service Delivery</w:t>
      </w:r>
      <w:r w:rsidRPr="00E80A8A">
        <w:rPr>
          <w:rFonts w:eastAsia="Aptos" w:cs="Arial"/>
          <w:color w:val="000000"/>
          <w:spacing w:val="-2"/>
          <w:szCs w:val="20"/>
          <w:lang w:val="en-US"/>
        </w:rPr>
        <w:t>.</w:t>
      </w:r>
      <w:r w:rsidRPr="00E80A8A">
        <w:rPr>
          <w:rFonts w:eastAsia="Aptos" w:cs="Arial"/>
          <w:color w:val="000000"/>
          <w:szCs w:val="20"/>
          <w:lang w:val="en-US"/>
        </w:rPr>
        <w:t xml:space="preserve"> </w:t>
      </w:r>
    </w:p>
    <w:p w14:paraId="24814359" w14:textId="789B5B12" w:rsidR="00E80A8A" w:rsidRPr="00E80A8A" w:rsidRDefault="00E80A8A" w:rsidP="00E80A8A">
      <w:pPr>
        <w:spacing w:after="0"/>
        <w:ind w:left="720" w:hanging="720"/>
        <w:jc w:val="left"/>
        <w:rPr>
          <w:rFonts w:eastAsia="Aptos" w:cs="Arial"/>
          <w:color w:val="000000"/>
          <w:spacing w:val="-2"/>
          <w:szCs w:val="20"/>
          <w:lang w:val="en-US"/>
        </w:rPr>
      </w:pPr>
      <w:r w:rsidRPr="00E80A8A">
        <w:rPr>
          <w:rFonts w:eastAsia="Aptos" w:cs="Arial"/>
          <w:color w:val="000000"/>
          <w:szCs w:val="20"/>
        </w:rPr>
        <w:t>———</w:t>
      </w:r>
      <w:r w:rsidRPr="00E80A8A">
        <w:rPr>
          <w:rFonts w:eastAsia="Aptos" w:cs="Arial"/>
          <w:color w:val="000000"/>
          <w:szCs w:val="20"/>
          <w:lang w:val="en-US"/>
        </w:rPr>
        <w:t xml:space="preserve"> (2024g</w:t>
      </w:r>
      <w:proofErr w:type="gramStart"/>
      <w:r w:rsidRPr="00E80A8A">
        <w:rPr>
          <w:rFonts w:eastAsia="Aptos" w:cs="Arial"/>
          <w:color w:val="000000"/>
          <w:szCs w:val="20"/>
          <w:lang w:val="en-US"/>
        </w:rPr>
        <w:t>),</w:t>
      </w:r>
      <w:r w:rsidRPr="00E80A8A">
        <w:rPr>
          <w:rFonts w:eastAsia="Aptos" w:cs="Arial"/>
          <w:i/>
          <w:iCs/>
          <w:color w:val="000000"/>
          <w:spacing w:val="-2"/>
          <w:szCs w:val="20"/>
          <w:lang w:val="en-US"/>
        </w:rPr>
        <w:t>Victorian</w:t>
      </w:r>
      <w:proofErr w:type="gramEnd"/>
      <w:r w:rsidRPr="00E80A8A">
        <w:rPr>
          <w:rFonts w:eastAsia="Aptos" w:cs="Arial"/>
          <w:i/>
          <w:iCs/>
          <w:color w:val="000000"/>
          <w:spacing w:val="-2"/>
          <w:szCs w:val="20"/>
          <w:lang w:val="en-US"/>
        </w:rPr>
        <w:t xml:space="preserve"> Budget 2024-25 — Budget Paper No. 4</w:t>
      </w:r>
      <w:r w:rsidR="00586780">
        <w:rPr>
          <w:rFonts w:eastAsia="Aptos" w:cs="Arial"/>
          <w:i/>
          <w:iCs/>
          <w:color w:val="000000"/>
          <w:spacing w:val="-2"/>
          <w:szCs w:val="20"/>
          <w:lang w:val="en-US"/>
        </w:rPr>
        <w:t>:</w:t>
      </w:r>
      <w:r w:rsidRPr="00E80A8A">
        <w:rPr>
          <w:rFonts w:eastAsia="Aptos" w:cs="Arial"/>
          <w:i/>
          <w:iCs/>
          <w:color w:val="000000"/>
          <w:spacing w:val="-2"/>
          <w:szCs w:val="20"/>
          <w:lang w:val="en-US"/>
        </w:rPr>
        <w:t xml:space="preserve"> State Capital Program</w:t>
      </w:r>
      <w:r w:rsidRPr="00E80A8A">
        <w:rPr>
          <w:rFonts w:eastAsia="Aptos" w:cs="Arial"/>
          <w:color w:val="000000"/>
          <w:spacing w:val="-2"/>
          <w:szCs w:val="20"/>
          <w:lang w:val="en-US"/>
        </w:rPr>
        <w:t>.</w:t>
      </w:r>
    </w:p>
    <w:p w14:paraId="0E0171D2"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(2024h), </w:t>
      </w:r>
      <w:r w:rsidRPr="00E80A8A">
        <w:rPr>
          <w:rFonts w:eastAsia="Aptos" w:cs="Arial"/>
          <w:i/>
          <w:iCs/>
          <w:color w:val="000000"/>
          <w:szCs w:val="20"/>
          <w:lang w:val="en-US"/>
        </w:rPr>
        <w:t>Victorian Government submission to the Annual Wage Review 2023</w:t>
      </w:r>
      <w:r w:rsidRPr="00E80A8A">
        <w:rPr>
          <w:rFonts w:eastAsia="Aptos" w:cs="Arial"/>
          <w:i/>
          <w:iCs/>
          <w:color w:val="000000"/>
          <w:szCs w:val="20"/>
          <w:lang w:val="en-US"/>
        </w:rPr>
        <w:noBreakHyphen/>
        <w:t>24</w:t>
      </w:r>
      <w:r w:rsidRPr="00E80A8A">
        <w:rPr>
          <w:rFonts w:eastAsia="Aptos" w:cs="Arial"/>
          <w:color w:val="000000"/>
          <w:szCs w:val="20"/>
          <w:lang w:val="en-US"/>
        </w:rPr>
        <w:t>.</w:t>
      </w:r>
    </w:p>
    <w:p w14:paraId="68783983" w14:textId="1E6F23C4"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Engage Victoria (n.d.) </w:t>
      </w:r>
      <w:r w:rsidRPr="00E80A8A">
        <w:rPr>
          <w:rFonts w:eastAsia="Aptos" w:cs="Arial"/>
          <w:i/>
          <w:iCs/>
          <w:color w:val="000000"/>
          <w:szCs w:val="20"/>
          <w:lang w:val="en-US"/>
        </w:rPr>
        <w:t>Public Entity Executive Classification Framework</w:t>
      </w:r>
      <w:r w:rsidRPr="00E80A8A">
        <w:rPr>
          <w:rFonts w:eastAsia="Aptos" w:cs="Arial"/>
          <w:color w:val="000000"/>
          <w:szCs w:val="20"/>
          <w:lang w:val="en-US"/>
        </w:rPr>
        <w:t xml:space="preserve">, </w:t>
      </w:r>
      <w:hyperlink r:id="rId62" w:history="1">
        <w:r w:rsidRPr="00E80A8A">
          <w:rPr>
            <w:rFonts w:eastAsia="Aptos" w:cs="Arial"/>
            <w:color w:val="467886"/>
            <w:szCs w:val="20"/>
            <w:u w:val="single"/>
            <w:lang w:val="en-US"/>
          </w:rPr>
          <w:t>https://engage.vic.gov.au/public-entity-executive-classification-framework</w:t>
        </w:r>
      </w:hyperlink>
      <w:r w:rsidRPr="00E80A8A">
        <w:rPr>
          <w:rFonts w:eastAsia="Aptos" w:cs="Arial"/>
          <w:color w:val="000000"/>
          <w:szCs w:val="20"/>
          <w:lang w:val="en-US"/>
        </w:rPr>
        <w:t>, accessed 2 December 2024</w:t>
      </w:r>
      <w:r w:rsidR="00586780">
        <w:rPr>
          <w:rFonts w:eastAsia="Aptos" w:cs="Arial"/>
          <w:color w:val="000000"/>
          <w:szCs w:val="20"/>
          <w:lang w:val="en-US"/>
        </w:rPr>
        <w:t>.</w:t>
      </w:r>
      <w:r w:rsidRPr="00E80A8A">
        <w:rPr>
          <w:rFonts w:eastAsia="Aptos" w:cs="Arial"/>
          <w:color w:val="000000"/>
          <w:szCs w:val="20"/>
          <w:lang w:val="en-US"/>
        </w:rPr>
        <w:t xml:space="preserve"> </w:t>
      </w:r>
    </w:p>
    <w:p w14:paraId="67434794"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Essential Services Commission (2024), </w:t>
      </w:r>
      <w:r w:rsidRPr="00E80A8A">
        <w:rPr>
          <w:rFonts w:eastAsia="Aptos" w:cs="Arial"/>
          <w:i/>
          <w:iCs/>
          <w:color w:val="000000"/>
          <w:szCs w:val="20"/>
          <w:lang w:val="en-US"/>
        </w:rPr>
        <w:t>Annual Report 2023-24</w:t>
      </w:r>
      <w:r w:rsidRPr="00E80A8A">
        <w:rPr>
          <w:rFonts w:eastAsia="Aptos" w:cs="Arial"/>
          <w:color w:val="000000"/>
          <w:szCs w:val="20"/>
          <w:lang w:val="en-US"/>
        </w:rPr>
        <w:t>.</w:t>
      </w:r>
    </w:p>
    <w:p w14:paraId="1B1DF5AC"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FWC (Fair Work Commission) (2024a), </w:t>
      </w:r>
      <w:r w:rsidRPr="00E80A8A">
        <w:rPr>
          <w:rFonts w:eastAsia="Aptos" w:cs="Arial"/>
          <w:i/>
          <w:iCs/>
          <w:color w:val="000000"/>
          <w:szCs w:val="20"/>
          <w:lang w:val="en-US"/>
        </w:rPr>
        <w:t>Decision — Annual Wage Review 2023-24</w:t>
      </w:r>
      <w:r w:rsidRPr="00E80A8A">
        <w:rPr>
          <w:rFonts w:eastAsia="Aptos" w:cs="Arial"/>
          <w:color w:val="000000"/>
          <w:szCs w:val="20"/>
          <w:lang w:val="en-US"/>
        </w:rPr>
        <w:t>.</w:t>
      </w:r>
    </w:p>
    <w:p w14:paraId="67669974"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(2024b), </w:t>
      </w:r>
      <w:r w:rsidRPr="00E80A8A">
        <w:rPr>
          <w:rFonts w:eastAsia="Aptos" w:cs="Arial"/>
          <w:i/>
          <w:iCs/>
          <w:color w:val="000000"/>
          <w:szCs w:val="20"/>
          <w:lang w:val="en-US"/>
        </w:rPr>
        <w:t>Decision — Victorian Public Service Enterprise Agreement 2024</w:t>
      </w:r>
      <w:r w:rsidRPr="00E80A8A">
        <w:rPr>
          <w:rFonts w:eastAsia="Aptos" w:cs="Arial"/>
          <w:color w:val="000000"/>
          <w:szCs w:val="20"/>
          <w:lang w:val="en-US"/>
        </w:rPr>
        <w:t>.</w:t>
      </w:r>
    </w:p>
    <w:p w14:paraId="6619EC67" w14:textId="6C5AA534"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(2024c), </w:t>
      </w:r>
      <w:r w:rsidRPr="00E80A8A">
        <w:rPr>
          <w:rFonts w:eastAsia="Aptos" w:cs="Arial"/>
          <w:i/>
          <w:iCs/>
          <w:color w:val="000000"/>
          <w:szCs w:val="20"/>
          <w:lang w:val="en-US"/>
        </w:rPr>
        <w:t xml:space="preserve">Find an enterprise agreement, </w:t>
      </w:r>
      <w:hyperlink r:id="rId63" w:history="1">
        <w:r w:rsidRPr="00E80A8A">
          <w:rPr>
            <w:rFonts w:eastAsia="Aptos" w:cs="Arial"/>
            <w:color w:val="467886"/>
            <w:szCs w:val="20"/>
            <w:u w:val="single"/>
            <w:lang w:val="en-US"/>
          </w:rPr>
          <w:t>https://www.fwc.gov.au/work-conditions/enterprise-agreements/find-enterprise-agreement</w:t>
        </w:r>
      </w:hyperlink>
      <w:r w:rsidRPr="00E80A8A">
        <w:rPr>
          <w:rFonts w:eastAsia="Aptos" w:cs="Arial"/>
          <w:color w:val="000000"/>
          <w:szCs w:val="20"/>
          <w:lang w:val="en-US"/>
        </w:rPr>
        <w:t xml:space="preserve">, accessed </w:t>
      </w:r>
      <w:r w:rsidR="001B33CD">
        <w:rPr>
          <w:rFonts w:eastAsia="Aptos" w:cs="Arial"/>
          <w:color w:val="000000"/>
          <w:szCs w:val="20"/>
          <w:lang w:val="en-US"/>
        </w:rPr>
        <w:t>13</w:t>
      </w:r>
      <w:r w:rsidR="009E0F78" w:rsidRPr="0084143F">
        <w:rPr>
          <w:rFonts w:eastAsia="Aptos" w:cs="Arial"/>
          <w:color w:val="000000"/>
          <w:szCs w:val="20"/>
          <w:lang w:val="en-US"/>
        </w:rPr>
        <w:t> </w:t>
      </w:r>
      <w:r w:rsidR="001B33CD">
        <w:rPr>
          <w:rFonts w:eastAsia="Aptos" w:cs="Arial"/>
          <w:color w:val="000000"/>
          <w:szCs w:val="20"/>
          <w:lang w:val="en-US"/>
        </w:rPr>
        <w:t>November </w:t>
      </w:r>
      <w:r w:rsidRPr="009E0F78">
        <w:rPr>
          <w:rFonts w:eastAsia="Aptos" w:cs="Arial"/>
          <w:color w:val="000000"/>
          <w:szCs w:val="20"/>
          <w:lang w:val="en-US"/>
        </w:rPr>
        <w:t>2</w:t>
      </w:r>
      <w:r w:rsidRPr="00E80A8A">
        <w:rPr>
          <w:rFonts w:eastAsia="Aptos" w:cs="Arial"/>
          <w:color w:val="000000"/>
          <w:szCs w:val="20"/>
          <w:lang w:val="en-US"/>
        </w:rPr>
        <w:t>024.</w:t>
      </w:r>
    </w:p>
    <w:p w14:paraId="0B8F0F87"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Greater Melbourne Cemeteries Trust (n.d.), </w:t>
      </w:r>
      <w:r w:rsidRPr="00E80A8A">
        <w:rPr>
          <w:rFonts w:eastAsia="Aptos" w:cs="Arial"/>
          <w:i/>
          <w:iCs/>
          <w:color w:val="000000"/>
          <w:szCs w:val="20"/>
          <w:lang w:val="en-US"/>
        </w:rPr>
        <w:t xml:space="preserve">Locations, </w:t>
      </w:r>
      <w:hyperlink r:id="rId64" w:history="1">
        <w:r w:rsidRPr="00E80A8A">
          <w:rPr>
            <w:rFonts w:eastAsia="Aptos" w:cs="Arial"/>
            <w:i/>
            <w:iCs/>
            <w:color w:val="467886"/>
            <w:szCs w:val="20"/>
            <w:u w:val="single"/>
            <w:lang w:val="en-US"/>
          </w:rPr>
          <w:t>https://www.gmct.com.au/our-locations</w:t>
        </w:r>
      </w:hyperlink>
      <w:r w:rsidRPr="00E80A8A">
        <w:rPr>
          <w:rFonts w:eastAsia="Aptos" w:cs="Arial"/>
          <w:i/>
          <w:iCs/>
          <w:color w:val="000000"/>
          <w:szCs w:val="20"/>
          <w:lang w:val="en-US"/>
        </w:rPr>
        <w:t xml:space="preserve">, </w:t>
      </w:r>
      <w:r w:rsidRPr="00E80A8A">
        <w:rPr>
          <w:rFonts w:eastAsia="Aptos" w:cs="Arial"/>
          <w:color w:val="000000"/>
          <w:szCs w:val="20"/>
          <w:lang w:val="en-US"/>
        </w:rPr>
        <w:t>accessed 5 December 2024.</w:t>
      </w:r>
    </w:p>
    <w:p w14:paraId="0A5354EF"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IBAC (Independent Broad-based Anti-</w:t>
      </w:r>
      <w:proofErr w:type="gramStart"/>
      <w:r w:rsidRPr="00E80A8A">
        <w:rPr>
          <w:rFonts w:eastAsia="Aptos" w:cs="Arial"/>
          <w:color w:val="000000"/>
          <w:szCs w:val="20"/>
          <w:lang w:val="en-US"/>
        </w:rPr>
        <w:t>corruption</w:t>
      </w:r>
      <w:proofErr w:type="gramEnd"/>
      <w:r w:rsidRPr="00E80A8A">
        <w:rPr>
          <w:rFonts w:eastAsia="Aptos" w:cs="Arial"/>
          <w:color w:val="000000"/>
          <w:szCs w:val="20"/>
          <w:lang w:val="en-US"/>
        </w:rPr>
        <w:t xml:space="preserve"> Commission) and Victorian Ombudsman (2022), </w:t>
      </w:r>
      <w:r w:rsidRPr="00E80A8A">
        <w:rPr>
          <w:rFonts w:eastAsia="Aptos" w:cs="Arial"/>
          <w:i/>
          <w:iCs/>
          <w:color w:val="000000"/>
          <w:szCs w:val="20"/>
          <w:lang w:val="en-US"/>
        </w:rPr>
        <w:t xml:space="preserve">Operation Watts – Investigation into allegations of </w:t>
      </w:r>
      <w:r w:rsidRPr="00E80A8A">
        <w:rPr>
          <w:rFonts w:eastAsia="Aptos" w:cs="Arial"/>
          <w:i/>
          <w:iCs/>
          <w:color w:val="000000"/>
          <w:szCs w:val="20"/>
          <w:lang w:val="en-US"/>
        </w:rPr>
        <w:lastRenderedPageBreak/>
        <w:t>misuse of electorate office and ministerial office staff and resources for branch stacking and other party-related activities</w:t>
      </w:r>
      <w:r w:rsidRPr="00E80A8A">
        <w:rPr>
          <w:rFonts w:eastAsia="Aptos" w:cs="Arial"/>
          <w:color w:val="000000"/>
          <w:szCs w:val="20"/>
          <w:lang w:val="en-US"/>
        </w:rPr>
        <w:t>.</w:t>
      </w:r>
    </w:p>
    <w:p w14:paraId="39EE12B7"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Industrial Relations Victoria (2023), </w:t>
      </w:r>
      <w:r w:rsidRPr="00E80A8A">
        <w:rPr>
          <w:rFonts w:eastAsia="Aptos" w:cs="Arial"/>
          <w:i/>
          <w:iCs/>
          <w:color w:val="000000"/>
          <w:szCs w:val="20"/>
          <w:lang w:val="en-US"/>
        </w:rPr>
        <w:t>Wages Policy and the Enterprise Bargaining Framework</w:t>
      </w:r>
      <w:r w:rsidRPr="00E80A8A">
        <w:rPr>
          <w:rFonts w:eastAsia="Aptos" w:cs="Arial"/>
          <w:color w:val="000000"/>
          <w:szCs w:val="20"/>
          <w:lang w:val="en-US"/>
        </w:rPr>
        <w:t>.</w:t>
      </w:r>
    </w:p>
    <w:p w14:paraId="7D50D1AA"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Infrastructure Victoria (n.d.), </w:t>
      </w:r>
      <w:r w:rsidRPr="00E80A8A">
        <w:rPr>
          <w:rFonts w:eastAsia="Aptos" w:cs="Arial"/>
          <w:i/>
          <w:iCs/>
          <w:color w:val="000000"/>
          <w:szCs w:val="20"/>
          <w:lang w:val="en-US"/>
        </w:rPr>
        <w:t>Homepage</w:t>
      </w:r>
      <w:r w:rsidRPr="00E80A8A">
        <w:rPr>
          <w:rFonts w:eastAsia="Aptos" w:cs="Arial"/>
          <w:color w:val="000000"/>
          <w:szCs w:val="20"/>
          <w:lang w:val="en-US"/>
        </w:rPr>
        <w:t xml:space="preserve">, </w:t>
      </w:r>
      <w:hyperlink r:id="rId65" w:history="1">
        <w:r w:rsidRPr="00E80A8A">
          <w:rPr>
            <w:rFonts w:eastAsia="Aptos" w:cs="Arial"/>
            <w:color w:val="467886"/>
            <w:szCs w:val="20"/>
            <w:u w:val="single"/>
            <w:lang w:val="en-US"/>
          </w:rPr>
          <w:t>https://www.infrastructurevictoria.com.au/</w:t>
        </w:r>
      </w:hyperlink>
      <w:r w:rsidRPr="00E80A8A">
        <w:rPr>
          <w:rFonts w:eastAsia="Aptos" w:cs="Arial"/>
          <w:color w:val="000000"/>
          <w:szCs w:val="20"/>
          <w:lang w:val="en-US"/>
        </w:rPr>
        <w:t xml:space="preserve">, accessed 5 December 2024. </w:t>
      </w:r>
    </w:p>
    <w:p w14:paraId="2088692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International Monetary Fund (2024), </w:t>
      </w:r>
      <w:r w:rsidRPr="00E80A8A">
        <w:rPr>
          <w:rFonts w:eastAsia="Aptos" w:cs="Arial"/>
          <w:i/>
          <w:iCs/>
          <w:color w:val="000000"/>
          <w:szCs w:val="20"/>
          <w:lang w:val="en-US"/>
        </w:rPr>
        <w:t>Australia: Staff Concluding Statement of the 2024 Article IV Mission</w:t>
      </w:r>
      <w:r w:rsidRPr="00E80A8A">
        <w:rPr>
          <w:rFonts w:eastAsia="Aptos" w:cs="Arial"/>
          <w:color w:val="000000"/>
          <w:szCs w:val="20"/>
          <w:lang w:val="en-US"/>
        </w:rPr>
        <w:t xml:space="preserve">, </w:t>
      </w:r>
      <w:hyperlink r:id="rId66" w:history="1">
        <w:r w:rsidRPr="00E80A8A">
          <w:rPr>
            <w:rFonts w:eastAsia="Aptos" w:cs="Arial"/>
            <w:color w:val="467886"/>
            <w:szCs w:val="20"/>
            <w:u w:val="single"/>
            <w:lang w:val="en-US"/>
          </w:rPr>
          <w:t>https://www.imf.org/en/News/Articles/</w:t>
        </w:r>
        <w:r w:rsidRPr="00E80A8A">
          <w:rPr>
            <w:rFonts w:eastAsia="Aptos" w:cs="Arial"/>
            <w:color w:val="467886"/>
            <w:szCs w:val="20"/>
            <w:u w:val="single"/>
            <w:lang w:val="en-US"/>
          </w:rPr>
          <w:br/>
          <w:t>2024/10/02/mcs-australia-staff-concluding-statement-of-the-2024-article-iv-mission</w:t>
        </w:r>
      </w:hyperlink>
      <w:r w:rsidRPr="00E80A8A">
        <w:rPr>
          <w:rFonts w:eastAsia="Aptos" w:cs="Arial"/>
          <w:color w:val="000000"/>
          <w:szCs w:val="20"/>
          <w:lang w:val="en-US"/>
        </w:rPr>
        <w:t>, accessed 14 December 2024.</w:t>
      </w:r>
    </w:p>
    <w:p w14:paraId="2C36194A"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JSA (Jobs and Skills Australia) (2024a), </w:t>
      </w:r>
      <w:r w:rsidRPr="00E80A8A">
        <w:rPr>
          <w:rFonts w:eastAsia="Aptos" w:cs="Arial"/>
          <w:i/>
          <w:iCs/>
          <w:color w:val="000000"/>
          <w:szCs w:val="20"/>
          <w:lang w:val="en-US"/>
        </w:rPr>
        <w:t>2024 Occupational Shortage List</w:t>
      </w:r>
      <w:r w:rsidRPr="00E80A8A">
        <w:rPr>
          <w:rFonts w:eastAsia="Aptos" w:cs="Arial"/>
          <w:color w:val="000000"/>
          <w:szCs w:val="20"/>
          <w:lang w:val="en-US"/>
        </w:rPr>
        <w:t xml:space="preserve">. </w:t>
      </w:r>
    </w:p>
    <w:p w14:paraId="327500DA"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(2024b), </w:t>
      </w:r>
      <w:r w:rsidRPr="00E80A8A">
        <w:rPr>
          <w:rFonts w:eastAsia="Aptos" w:cs="Arial"/>
          <w:i/>
          <w:iCs/>
          <w:color w:val="000000"/>
          <w:szCs w:val="20"/>
        </w:rPr>
        <w:t>Internet Vacancy Index</w:t>
      </w:r>
      <w:r w:rsidRPr="00E80A8A">
        <w:rPr>
          <w:rFonts w:eastAsia="Aptos" w:cs="Arial"/>
          <w:color w:val="000000"/>
          <w:szCs w:val="20"/>
        </w:rPr>
        <w:t>, November 2024.</w:t>
      </w:r>
    </w:p>
    <w:p w14:paraId="4DAE8449"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Language Loop (2024), </w:t>
      </w:r>
      <w:r w:rsidRPr="00E80A8A">
        <w:rPr>
          <w:rFonts w:eastAsia="Aptos" w:cs="Arial"/>
          <w:i/>
          <w:iCs/>
          <w:color w:val="000000"/>
          <w:szCs w:val="20"/>
          <w:lang w:val="en-US"/>
        </w:rPr>
        <w:t>About Us</w:t>
      </w:r>
      <w:r w:rsidRPr="00E80A8A">
        <w:rPr>
          <w:rFonts w:eastAsia="Aptos" w:cs="Arial"/>
          <w:color w:val="000000"/>
          <w:szCs w:val="20"/>
          <w:lang w:val="en-US"/>
        </w:rPr>
        <w:t xml:space="preserve">, </w:t>
      </w:r>
      <w:hyperlink r:id="rId67" w:history="1">
        <w:r w:rsidRPr="00E80A8A">
          <w:rPr>
            <w:rFonts w:eastAsia="Aptos" w:cs="Arial"/>
            <w:color w:val="467886"/>
            <w:szCs w:val="20"/>
            <w:u w:val="single"/>
            <w:lang w:val="en-US"/>
          </w:rPr>
          <w:t>https://languageloop.com.au/about-us/about-us/</w:t>
        </w:r>
      </w:hyperlink>
      <w:r w:rsidRPr="00E80A8A">
        <w:rPr>
          <w:rFonts w:eastAsia="Aptos" w:cs="Arial"/>
          <w:color w:val="000000"/>
          <w:szCs w:val="20"/>
          <w:lang w:val="en-US"/>
        </w:rPr>
        <w:t xml:space="preserve">, accessed 5 December 2024. </w:t>
      </w:r>
    </w:p>
    <w:p w14:paraId="3B15BD3C"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Melbourne Market (n.d.), </w:t>
      </w:r>
      <w:r w:rsidRPr="00E80A8A">
        <w:rPr>
          <w:rFonts w:eastAsia="Aptos" w:cs="Arial"/>
          <w:i/>
          <w:iCs/>
          <w:color w:val="000000"/>
          <w:szCs w:val="20"/>
          <w:lang w:val="en-US"/>
        </w:rPr>
        <w:t>Overview</w:t>
      </w:r>
      <w:r w:rsidRPr="00E80A8A">
        <w:rPr>
          <w:rFonts w:eastAsia="Aptos" w:cs="Arial"/>
          <w:color w:val="000000"/>
          <w:szCs w:val="20"/>
          <w:lang w:val="en-US"/>
        </w:rPr>
        <w:t xml:space="preserve">, </w:t>
      </w:r>
      <w:hyperlink r:id="rId68" w:history="1">
        <w:r w:rsidRPr="00E80A8A">
          <w:rPr>
            <w:rFonts w:eastAsia="Aptos" w:cs="Arial"/>
            <w:color w:val="467886"/>
            <w:szCs w:val="20"/>
            <w:u w:val="single"/>
            <w:lang w:val="en-US"/>
          </w:rPr>
          <w:t>https://melbournemarkets.com.au/about-the-market/overview/</w:t>
        </w:r>
      </w:hyperlink>
      <w:r w:rsidRPr="00E80A8A">
        <w:rPr>
          <w:rFonts w:eastAsia="Aptos" w:cs="Arial"/>
          <w:color w:val="000000"/>
          <w:szCs w:val="20"/>
          <w:lang w:val="en-US"/>
        </w:rPr>
        <w:t xml:space="preserve">, accessed 5 December 2024. </w:t>
      </w:r>
    </w:p>
    <w:p w14:paraId="4C098308"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Melbourne Water Corporation (2020), </w:t>
      </w:r>
      <w:r w:rsidRPr="00E80A8A">
        <w:rPr>
          <w:rFonts w:eastAsia="Aptos" w:cs="Arial"/>
          <w:i/>
          <w:iCs/>
          <w:color w:val="000000"/>
          <w:szCs w:val="20"/>
          <w:lang w:val="en-US"/>
        </w:rPr>
        <w:t>Diversity and Inclusion Strategy 2020-25</w:t>
      </w:r>
      <w:r w:rsidRPr="00E80A8A">
        <w:rPr>
          <w:rFonts w:eastAsia="Aptos" w:cs="Arial"/>
          <w:color w:val="000000"/>
          <w:szCs w:val="20"/>
          <w:lang w:val="en-US"/>
        </w:rPr>
        <w:t>.</w:t>
      </w:r>
    </w:p>
    <w:p w14:paraId="23F4BAC0"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Mercer Consulting (2024), </w:t>
      </w:r>
      <w:r w:rsidRPr="00E80A8A">
        <w:rPr>
          <w:rFonts w:eastAsia="Aptos" w:cs="Arial"/>
          <w:i/>
          <w:iCs/>
          <w:color w:val="000000"/>
          <w:szCs w:val="20"/>
          <w:lang w:val="en-US"/>
        </w:rPr>
        <w:t>Executive Remuneration Benchmarking and Advice – Secretary and Senior Executive Service, report to the Victorian Independent Remuneration Tribunal</w:t>
      </w:r>
      <w:r w:rsidRPr="00E80A8A">
        <w:rPr>
          <w:rFonts w:eastAsia="Aptos" w:cs="Arial"/>
          <w:color w:val="000000"/>
          <w:szCs w:val="20"/>
          <w:lang w:val="en-US"/>
        </w:rPr>
        <w:t xml:space="preserve">. </w:t>
      </w:r>
    </w:p>
    <w:p w14:paraId="7EAD205A" w14:textId="654032EE"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North East Link State Tolling Corporation (2024), </w:t>
      </w:r>
      <w:r w:rsidRPr="00E80A8A">
        <w:rPr>
          <w:rFonts w:eastAsia="Aptos" w:cs="Arial"/>
          <w:i/>
          <w:iCs/>
          <w:color w:val="000000"/>
          <w:szCs w:val="20"/>
          <w:lang w:val="en-US"/>
        </w:rPr>
        <w:t>North East Link State Tolling Corporation</w:t>
      </w:r>
      <w:r w:rsidR="00CD0475" w:rsidRPr="006B5F4C">
        <w:rPr>
          <w:rFonts w:eastAsia="Aptos" w:cs="Arial"/>
          <w:color w:val="000000"/>
          <w:szCs w:val="20"/>
          <w:lang w:val="en-US"/>
        </w:rPr>
        <w:t>,</w:t>
      </w:r>
      <w:r w:rsidR="00CD0475">
        <w:rPr>
          <w:rFonts w:eastAsia="Aptos" w:cs="Arial"/>
          <w:color w:val="000000"/>
          <w:szCs w:val="20"/>
          <w:lang w:val="en-US"/>
        </w:rPr>
        <w:t xml:space="preserve"> </w:t>
      </w:r>
      <w:hyperlink r:id="rId69" w:history="1">
        <w:r w:rsidR="00CD0475" w:rsidRPr="008A7F4C">
          <w:rPr>
            <w:color w:val="467886"/>
            <w:u w:val="single"/>
          </w:rPr>
          <w:t>https://www.vic.gov.au/north-east-link-state-tolling-corporation</w:t>
        </w:r>
      </w:hyperlink>
      <w:r w:rsidR="00CD0475">
        <w:rPr>
          <w:rFonts w:eastAsia="Aptos" w:cs="Arial"/>
          <w:color w:val="000000"/>
          <w:szCs w:val="20"/>
          <w:lang w:val="en-US"/>
        </w:rPr>
        <w:t>, accessed 5 December 2024</w:t>
      </w:r>
      <w:r w:rsidRPr="00E80A8A">
        <w:rPr>
          <w:rFonts w:eastAsia="Aptos" w:cs="Arial"/>
          <w:color w:val="000000"/>
          <w:szCs w:val="20"/>
          <w:lang w:val="en-US"/>
        </w:rPr>
        <w:t xml:space="preserve">. </w:t>
      </w:r>
    </w:p>
    <w:p w14:paraId="52BF1D45"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Parliament of Victoria (</w:t>
      </w:r>
      <w:proofErr w:type="spellStart"/>
      <w:r w:rsidRPr="00E80A8A">
        <w:rPr>
          <w:rFonts w:eastAsia="Aptos" w:cs="Arial"/>
          <w:color w:val="000000"/>
          <w:szCs w:val="20"/>
          <w:lang w:val="en-US"/>
        </w:rPr>
        <w:t>n.d.a</w:t>
      </w:r>
      <w:proofErr w:type="spellEnd"/>
      <w:r w:rsidRPr="00E80A8A">
        <w:rPr>
          <w:rFonts w:eastAsia="Aptos" w:cs="Arial"/>
          <w:color w:val="000000"/>
          <w:szCs w:val="20"/>
          <w:lang w:val="en-US"/>
        </w:rPr>
        <w:t xml:space="preserve">), </w:t>
      </w:r>
      <w:r w:rsidRPr="00E80A8A">
        <w:rPr>
          <w:rFonts w:eastAsia="Aptos" w:cs="Arial"/>
          <w:i/>
          <w:iCs/>
          <w:color w:val="000000"/>
          <w:szCs w:val="20"/>
          <w:lang w:val="en-US"/>
        </w:rPr>
        <w:t>Inquiry into the 2022 Flood Event in Victoria</w:t>
      </w:r>
      <w:r w:rsidRPr="00E80A8A">
        <w:rPr>
          <w:rFonts w:eastAsia="Aptos" w:cs="Arial"/>
          <w:color w:val="000000"/>
          <w:szCs w:val="20"/>
          <w:lang w:val="en-US"/>
        </w:rPr>
        <w:t xml:space="preserve">, </w:t>
      </w:r>
      <w:hyperlink r:id="rId70" w:history="1">
        <w:r w:rsidRPr="00E80A8A">
          <w:rPr>
            <w:rFonts w:eastAsia="Aptos" w:cs="Arial"/>
            <w:color w:val="467886"/>
            <w:szCs w:val="20"/>
            <w:u w:val="single"/>
            <w:lang w:val="en-US"/>
          </w:rPr>
          <w:t>https://www.parliament.vic.gov.au/floodinquiry</w:t>
        </w:r>
      </w:hyperlink>
      <w:r w:rsidRPr="00E80A8A">
        <w:rPr>
          <w:rFonts w:eastAsia="Aptos" w:cs="Arial"/>
          <w:color w:val="000000"/>
          <w:szCs w:val="20"/>
          <w:lang w:val="en-US"/>
        </w:rPr>
        <w:t>, accessed 14 December 2024.</w:t>
      </w:r>
    </w:p>
    <w:p w14:paraId="08D2D495" w14:textId="4B19476C"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w:t>
      </w:r>
      <w:proofErr w:type="spellStart"/>
      <w:r w:rsidRPr="00E80A8A">
        <w:rPr>
          <w:rFonts w:eastAsia="Aptos" w:cs="Arial"/>
          <w:color w:val="000000"/>
          <w:szCs w:val="20"/>
          <w:lang w:val="en-US"/>
        </w:rPr>
        <w:t>n.d.b</w:t>
      </w:r>
      <w:proofErr w:type="spellEnd"/>
      <w:r w:rsidRPr="00E80A8A">
        <w:rPr>
          <w:rFonts w:eastAsia="Aptos" w:cs="Arial"/>
          <w:color w:val="000000"/>
          <w:szCs w:val="20"/>
        </w:rPr>
        <w:t xml:space="preserve">), </w:t>
      </w:r>
      <w:r w:rsidRPr="00E80A8A">
        <w:rPr>
          <w:rFonts w:eastAsia="Aptos" w:cs="Arial"/>
          <w:i/>
          <w:iCs/>
          <w:color w:val="000000"/>
          <w:szCs w:val="20"/>
          <w:lang w:val="en-US"/>
        </w:rPr>
        <w:t>Inquiry into the 2023-24 financial and performance outcomes</w:t>
      </w:r>
      <w:r w:rsidRPr="00E80A8A">
        <w:rPr>
          <w:rFonts w:eastAsia="Aptos" w:cs="Arial"/>
          <w:color w:val="000000"/>
          <w:szCs w:val="20"/>
          <w:lang w:val="en-US"/>
        </w:rPr>
        <w:t xml:space="preserve">, </w:t>
      </w:r>
      <w:hyperlink r:id="rId71" w:history="1">
        <w:r w:rsidRPr="00E80A8A">
          <w:rPr>
            <w:rFonts w:eastAsia="Aptos" w:cs="Arial"/>
            <w:color w:val="467886"/>
            <w:szCs w:val="20"/>
            <w:u w:val="single"/>
            <w:lang w:val="en-US"/>
          </w:rPr>
          <w:t>https://www.parliament.vic.gov.au/get-involved/inquiries/inquiry-into-the-2023-24-financial-and-performance-outcomes</w:t>
        </w:r>
      </w:hyperlink>
      <w:r w:rsidRPr="00E80A8A">
        <w:rPr>
          <w:rFonts w:eastAsia="Aptos" w:cs="Arial"/>
          <w:color w:val="000000"/>
          <w:szCs w:val="20"/>
        </w:rPr>
        <w:t>, accessed 14</w:t>
      </w:r>
      <w:r w:rsidR="00DD7DB0">
        <w:rPr>
          <w:rFonts w:eastAsia="Aptos" w:cs="Arial"/>
          <w:color w:val="000000"/>
          <w:szCs w:val="20"/>
        </w:rPr>
        <w:t> </w:t>
      </w:r>
      <w:r w:rsidRPr="00E80A8A">
        <w:rPr>
          <w:rFonts w:eastAsia="Aptos" w:cs="Arial"/>
          <w:color w:val="000000"/>
          <w:szCs w:val="20"/>
        </w:rPr>
        <w:t>December 2024.</w:t>
      </w:r>
    </w:p>
    <w:p w14:paraId="1B321CEA"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lastRenderedPageBreak/>
        <w:t>——— (</w:t>
      </w:r>
      <w:proofErr w:type="spellStart"/>
      <w:r w:rsidRPr="00E80A8A">
        <w:rPr>
          <w:rFonts w:eastAsia="Aptos" w:cs="Arial"/>
          <w:color w:val="000000"/>
          <w:szCs w:val="20"/>
          <w:lang w:val="en-US"/>
        </w:rPr>
        <w:t>n.d.c</w:t>
      </w:r>
      <w:proofErr w:type="spellEnd"/>
      <w:r w:rsidRPr="00E80A8A">
        <w:rPr>
          <w:rFonts w:eastAsia="Aptos" w:cs="Arial"/>
          <w:color w:val="000000"/>
          <w:szCs w:val="20"/>
        </w:rPr>
        <w:t xml:space="preserve">), </w:t>
      </w:r>
      <w:r w:rsidRPr="00E80A8A">
        <w:rPr>
          <w:rFonts w:eastAsia="Aptos" w:cs="Arial"/>
          <w:i/>
          <w:iCs/>
          <w:color w:val="000000"/>
          <w:szCs w:val="20"/>
        </w:rPr>
        <w:t>Inquiry into Victoria's recreational native bird hunting arrangements</w:t>
      </w:r>
      <w:r w:rsidRPr="00E80A8A">
        <w:rPr>
          <w:rFonts w:eastAsia="Aptos" w:cs="Arial"/>
          <w:color w:val="000000"/>
          <w:szCs w:val="20"/>
        </w:rPr>
        <w:t xml:space="preserve">, </w:t>
      </w:r>
      <w:hyperlink r:id="rId72" w:history="1">
        <w:r w:rsidRPr="00E80A8A">
          <w:rPr>
            <w:rFonts w:eastAsia="Aptos" w:cs="Arial"/>
            <w:color w:val="467886"/>
            <w:szCs w:val="20"/>
            <w:u w:val="single"/>
          </w:rPr>
          <w:t>https://www.parliament.vic.gov.au/nativebirdhunting</w:t>
        </w:r>
      </w:hyperlink>
      <w:r w:rsidRPr="00E80A8A">
        <w:rPr>
          <w:rFonts w:eastAsia="Aptos" w:cs="Arial"/>
          <w:color w:val="000000"/>
          <w:szCs w:val="20"/>
        </w:rPr>
        <w:t>, accessed 14 December 2024.</w:t>
      </w:r>
    </w:p>
    <w:p w14:paraId="6C8C0D1B"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Phillip Island Nature Parks (n.d.), </w:t>
      </w:r>
      <w:r w:rsidRPr="00E80A8A">
        <w:rPr>
          <w:rFonts w:eastAsia="Aptos" w:cs="Arial"/>
          <w:i/>
          <w:iCs/>
          <w:color w:val="000000"/>
          <w:szCs w:val="20"/>
          <w:lang w:val="en-US"/>
        </w:rPr>
        <w:t>Conservation Meets Ecotourism</w:t>
      </w:r>
      <w:r w:rsidRPr="00E80A8A">
        <w:rPr>
          <w:rFonts w:eastAsia="Aptos" w:cs="Arial"/>
          <w:color w:val="000000"/>
          <w:szCs w:val="20"/>
          <w:lang w:val="en-US"/>
        </w:rPr>
        <w:t xml:space="preserve">, </w:t>
      </w:r>
      <w:hyperlink r:id="rId73" w:history="1">
        <w:r w:rsidRPr="00E80A8A">
          <w:rPr>
            <w:rFonts w:eastAsia="Aptos" w:cs="Arial"/>
            <w:color w:val="467886"/>
            <w:szCs w:val="20"/>
            <w:u w:val="single"/>
            <w:lang w:val="en-US"/>
          </w:rPr>
          <w:t>https://www.penguins.org.au/about/</w:t>
        </w:r>
      </w:hyperlink>
      <w:r w:rsidRPr="00E80A8A">
        <w:rPr>
          <w:rFonts w:eastAsia="Aptos" w:cs="Arial"/>
          <w:color w:val="000000"/>
          <w:szCs w:val="20"/>
          <w:lang w:val="en-US"/>
        </w:rPr>
        <w:t xml:space="preserve">, accessed 5 December 2024. </w:t>
      </w:r>
    </w:p>
    <w:p w14:paraId="53DFA551" w14:textId="699675E0"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Ports Victoria (n.d.), </w:t>
      </w:r>
      <w:r w:rsidRPr="00E80A8A">
        <w:rPr>
          <w:rFonts w:eastAsia="Aptos" w:cs="Arial"/>
          <w:i/>
          <w:iCs/>
          <w:color w:val="000000"/>
          <w:szCs w:val="20"/>
          <w:lang w:val="en-US"/>
        </w:rPr>
        <w:t>About us</w:t>
      </w:r>
      <w:r w:rsidRPr="00E80A8A">
        <w:rPr>
          <w:rFonts w:eastAsia="Aptos" w:cs="Arial"/>
          <w:color w:val="000000"/>
          <w:szCs w:val="20"/>
          <w:lang w:val="en-US"/>
        </w:rPr>
        <w:t xml:space="preserve">, </w:t>
      </w:r>
      <w:hyperlink r:id="rId74" w:history="1">
        <w:r w:rsidRPr="00E80A8A">
          <w:rPr>
            <w:rFonts w:eastAsia="Aptos" w:cs="Arial"/>
            <w:color w:val="467886"/>
            <w:szCs w:val="20"/>
            <w:u w:val="single"/>
            <w:lang w:val="en-US"/>
          </w:rPr>
          <w:t>https://ports.vic.gov.au/about-us/</w:t>
        </w:r>
      </w:hyperlink>
      <w:r w:rsidR="00B80EC5" w:rsidRPr="00A4125C">
        <w:rPr>
          <w:rFonts w:eastAsia="Aptos" w:cs="Arial"/>
          <w:color w:val="auto"/>
          <w:szCs w:val="20"/>
          <w:lang w:val="en-US"/>
        </w:rPr>
        <w:t>, accessed 5 December 2024</w:t>
      </w:r>
      <w:r w:rsidRPr="00A4125C">
        <w:rPr>
          <w:rFonts w:eastAsia="Aptos" w:cs="Arial"/>
          <w:color w:val="auto"/>
          <w:szCs w:val="20"/>
          <w:lang w:val="en-US"/>
        </w:rPr>
        <w:t>.</w:t>
      </w:r>
      <w:r w:rsidRPr="00E80A8A">
        <w:rPr>
          <w:rFonts w:eastAsia="Aptos" w:cs="Arial"/>
          <w:color w:val="000000"/>
          <w:szCs w:val="20"/>
          <w:lang w:val="en-US"/>
        </w:rPr>
        <w:t xml:space="preserve">  </w:t>
      </w:r>
    </w:p>
    <w:p w14:paraId="45D5EC77" w14:textId="0462094A"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Premier of Victoria (2023), </w:t>
      </w:r>
      <w:r w:rsidRPr="00E80A8A">
        <w:rPr>
          <w:rFonts w:eastAsia="Aptos" w:cs="Arial"/>
          <w:i/>
          <w:iCs/>
          <w:color w:val="000000"/>
          <w:szCs w:val="20"/>
          <w:lang w:val="en-US"/>
        </w:rPr>
        <w:t>New Legislation to Reform Victoria’s Triple Zero Service</w:t>
      </w:r>
      <w:r w:rsidRPr="00E80A8A">
        <w:rPr>
          <w:rFonts w:eastAsia="Aptos" w:cs="Arial"/>
          <w:color w:val="000000"/>
          <w:szCs w:val="20"/>
          <w:lang w:val="en-US"/>
        </w:rPr>
        <w:t xml:space="preserve">, </w:t>
      </w:r>
      <w:hyperlink r:id="rId75" w:history="1">
        <w:r w:rsidRPr="00E80A8A">
          <w:rPr>
            <w:rFonts w:eastAsia="Aptos" w:cs="Arial"/>
            <w:color w:val="467886"/>
            <w:szCs w:val="20"/>
            <w:u w:val="single"/>
            <w:lang w:val="en-US"/>
          </w:rPr>
          <w:t>https://www.premier.vic.gov.au/site-4/new-legislation-reform-victorias-triple-zero-service</w:t>
        </w:r>
      </w:hyperlink>
      <w:r w:rsidRPr="00E80A8A">
        <w:rPr>
          <w:rFonts w:eastAsia="Aptos" w:cs="Arial"/>
          <w:color w:val="000000"/>
          <w:szCs w:val="20"/>
          <w:lang w:val="en-US"/>
        </w:rPr>
        <w:t xml:space="preserve">, </w:t>
      </w:r>
      <w:r w:rsidR="00FC0B84">
        <w:rPr>
          <w:rFonts w:eastAsia="Aptos" w:cs="Arial"/>
          <w:color w:val="000000"/>
          <w:szCs w:val="20"/>
          <w:lang w:val="en-US"/>
        </w:rPr>
        <w:t>accessed 5 December 2024</w:t>
      </w:r>
      <w:r w:rsidRPr="00E80A8A">
        <w:rPr>
          <w:rFonts w:eastAsia="Aptos" w:cs="Arial"/>
          <w:color w:val="000000"/>
          <w:szCs w:val="20"/>
          <w:lang w:val="en-US"/>
        </w:rPr>
        <w:t>.</w:t>
      </w:r>
    </w:p>
    <w:p w14:paraId="3ADD7B7B" w14:textId="77777777" w:rsidR="00E80A8A" w:rsidRPr="00E80A8A" w:rsidRDefault="00E80A8A" w:rsidP="00E80A8A">
      <w:pPr>
        <w:spacing w:after="0"/>
        <w:ind w:left="720" w:hanging="720"/>
        <w:jc w:val="left"/>
        <w:rPr>
          <w:rFonts w:eastAsia="Aptos" w:cs="Arial"/>
          <w:color w:val="000000"/>
          <w:szCs w:val="20"/>
          <w:lang w:val="en-US"/>
        </w:rPr>
      </w:pPr>
      <w:proofErr w:type="spellStart"/>
      <w:r w:rsidRPr="00E80A8A">
        <w:rPr>
          <w:rFonts w:eastAsia="Aptos" w:cs="Arial"/>
          <w:color w:val="000000"/>
          <w:szCs w:val="20"/>
          <w:lang w:val="en-US"/>
        </w:rPr>
        <w:t>Primesafe</w:t>
      </w:r>
      <w:proofErr w:type="spellEnd"/>
      <w:r w:rsidRPr="00E80A8A">
        <w:rPr>
          <w:rFonts w:eastAsia="Aptos" w:cs="Arial"/>
          <w:color w:val="000000"/>
          <w:szCs w:val="20"/>
          <w:lang w:val="en-US"/>
        </w:rPr>
        <w:t xml:space="preserve"> (2024), </w:t>
      </w:r>
      <w:r w:rsidRPr="00E80A8A">
        <w:rPr>
          <w:rFonts w:eastAsia="Aptos" w:cs="Arial"/>
          <w:i/>
          <w:iCs/>
          <w:color w:val="000000"/>
          <w:szCs w:val="20"/>
          <w:lang w:val="en-US"/>
        </w:rPr>
        <w:t>Homepage</w:t>
      </w:r>
      <w:r w:rsidRPr="00E80A8A">
        <w:rPr>
          <w:rFonts w:eastAsia="Aptos" w:cs="Arial"/>
          <w:color w:val="000000"/>
          <w:szCs w:val="20"/>
          <w:lang w:val="en-US"/>
        </w:rPr>
        <w:t xml:space="preserve">, </w:t>
      </w:r>
      <w:hyperlink r:id="rId76" w:history="1">
        <w:r w:rsidRPr="00E80A8A">
          <w:rPr>
            <w:rFonts w:eastAsia="Aptos" w:cs="Arial"/>
            <w:color w:val="467886"/>
            <w:szCs w:val="20"/>
            <w:u w:val="single"/>
            <w:lang w:val="en-US"/>
          </w:rPr>
          <w:t>https://www.primesafe.vic.gov.au/</w:t>
        </w:r>
      </w:hyperlink>
      <w:r w:rsidRPr="00E80A8A">
        <w:rPr>
          <w:rFonts w:eastAsia="Aptos" w:cs="Arial"/>
          <w:color w:val="000000"/>
          <w:szCs w:val="20"/>
          <w:lang w:val="en-US"/>
        </w:rPr>
        <w:t xml:space="preserve">, accessed 5 December 2024. </w:t>
      </w:r>
    </w:p>
    <w:p w14:paraId="5DD6E6E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RBA (Reserve Bank of Australia) (2024a), </w:t>
      </w:r>
      <w:r w:rsidRPr="00E80A8A">
        <w:rPr>
          <w:rFonts w:eastAsia="Aptos" w:cs="Arial"/>
          <w:i/>
          <w:iCs/>
          <w:color w:val="000000"/>
          <w:szCs w:val="20"/>
          <w:lang w:val="en-US"/>
        </w:rPr>
        <w:t>Statement on Monetary Policy — May 2024</w:t>
      </w:r>
      <w:r w:rsidRPr="00E80A8A">
        <w:rPr>
          <w:rFonts w:eastAsia="Aptos" w:cs="Arial"/>
          <w:color w:val="000000"/>
          <w:szCs w:val="20"/>
          <w:lang w:val="en-US"/>
        </w:rPr>
        <w:t>.</w:t>
      </w:r>
    </w:p>
    <w:p w14:paraId="18647E1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(2024b),</w:t>
      </w:r>
      <w:r w:rsidRPr="00E80A8A">
        <w:rPr>
          <w:rFonts w:eastAsia="Aptos" w:cs="Arial"/>
          <w:color w:val="000000"/>
          <w:szCs w:val="20"/>
        </w:rPr>
        <w:t xml:space="preserve"> </w:t>
      </w:r>
      <w:r w:rsidRPr="00E80A8A">
        <w:rPr>
          <w:rFonts w:eastAsia="Aptos" w:cs="Arial"/>
          <w:i/>
          <w:iCs/>
          <w:color w:val="000000"/>
          <w:szCs w:val="20"/>
          <w:lang w:val="en-US"/>
        </w:rPr>
        <w:t>Statement on Monetary Policy — August 2024</w:t>
      </w:r>
      <w:r w:rsidRPr="00E80A8A">
        <w:rPr>
          <w:rFonts w:eastAsia="Aptos" w:cs="Arial"/>
          <w:color w:val="000000"/>
          <w:szCs w:val="20"/>
          <w:lang w:val="en-US"/>
        </w:rPr>
        <w:t>.</w:t>
      </w:r>
      <w:r w:rsidRPr="00E80A8A">
        <w:rPr>
          <w:rFonts w:eastAsia="Aptos" w:cs="Arial"/>
          <w:color w:val="000000"/>
          <w:szCs w:val="20"/>
        </w:rPr>
        <w:t xml:space="preserve"> </w:t>
      </w:r>
    </w:p>
    <w:p w14:paraId="6244FF5B"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(2024c), </w:t>
      </w:r>
      <w:r w:rsidRPr="00E80A8A">
        <w:rPr>
          <w:rFonts w:eastAsia="Aptos" w:cs="Arial"/>
          <w:i/>
          <w:iCs/>
          <w:color w:val="000000"/>
          <w:szCs w:val="20"/>
          <w:lang w:val="en-US"/>
        </w:rPr>
        <w:t>Statement on Monetary Policy — November 2024</w:t>
      </w:r>
      <w:r w:rsidRPr="00E80A8A">
        <w:rPr>
          <w:rFonts w:eastAsia="Aptos" w:cs="Arial"/>
          <w:color w:val="000000"/>
          <w:szCs w:val="20"/>
          <w:lang w:val="en-US"/>
        </w:rPr>
        <w:t xml:space="preserve">. </w:t>
      </w:r>
    </w:p>
    <w:p w14:paraId="0C053435" w14:textId="400B1128"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Recycling Victoria (2022), </w:t>
      </w:r>
      <w:r w:rsidRPr="00E80A8A">
        <w:rPr>
          <w:rFonts w:eastAsia="Aptos" w:cs="Arial"/>
          <w:i/>
          <w:iCs/>
          <w:color w:val="000000"/>
          <w:szCs w:val="20"/>
          <w:lang w:val="en-US"/>
        </w:rPr>
        <w:t>Establishing Recycling Victoria</w:t>
      </w:r>
      <w:r w:rsidRPr="00E80A8A">
        <w:rPr>
          <w:rFonts w:eastAsia="Aptos" w:cs="Arial"/>
          <w:color w:val="000000"/>
          <w:szCs w:val="20"/>
          <w:lang w:val="en-US"/>
        </w:rPr>
        <w:t xml:space="preserve">, </w:t>
      </w:r>
      <w:hyperlink r:id="rId77" w:history="1">
        <w:r w:rsidRPr="00E80A8A">
          <w:rPr>
            <w:rFonts w:eastAsia="Aptos" w:cs="Arial"/>
            <w:color w:val="467886"/>
            <w:szCs w:val="20"/>
            <w:u w:val="single"/>
            <w:lang w:val="en-US"/>
          </w:rPr>
          <w:t>https://www.vic.gov.au/establishment-recycling-victoria</w:t>
        </w:r>
      </w:hyperlink>
      <w:r w:rsidRPr="00E80A8A">
        <w:rPr>
          <w:rFonts w:eastAsia="Aptos" w:cs="Arial"/>
          <w:color w:val="000000"/>
          <w:szCs w:val="20"/>
          <w:lang w:val="en-US"/>
        </w:rPr>
        <w:t>, accessed 5</w:t>
      </w:r>
      <w:r w:rsidR="00DD7DB0">
        <w:rPr>
          <w:rFonts w:eastAsia="Aptos" w:cs="Arial"/>
          <w:color w:val="000000"/>
          <w:szCs w:val="20"/>
          <w:lang w:val="en-US"/>
        </w:rPr>
        <w:t> </w:t>
      </w:r>
      <w:r w:rsidRPr="00E80A8A">
        <w:rPr>
          <w:rFonts w:eastAsia="Aptos" w:cs="Arial"/>
          <w:color w:val="000000"/>
          <w:szCs w:val="20"/>
          <w:lang w:val="en-US"/>
        </w:rPr>
        <w:t xml:space="preserve">December 2024. </w:t>
      </w:r>
    </w:p>
    <w:p w14:paraId="3EB0892E"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Shrine Melbourne (2024), </w:t>
      </w:r>
      <w:r w:rsidRPr="00E80A8A">
        <w:rPr>
          <w:rFonts w:eastAsia="Aptos" w:cs="Arial"/>
          <w:i/>
          <w:iCs/>
          <w:color w:val="000000"/>
          <w:szCs w:val="20"/>
          <w:lang w:val="en-US"/>
        </w:rPr>
        <w:t>About the Shrine</w:t>
      </w:r>
      <w:r w:rsidRPr="00E80A8A">
        <w:rPr>
          <w:rFonts w:eastAsia="Aptos" w:cs="Arial"/>
          <w:color w:val="000000"/>
          <w:szCs w:val="20"/>
          <w:lang w:val="en-US"/>
        </w:rPr>
        <w:t xml:space="preserve">, </w:t>
      </w:r>
      <w:hyperlink r:id="rId78" w:history="1">
        <w:r w:rsidRPr="00E80A8A">
          <w:rPr>
            <w:rFonts w:eastAsia="Aptos" w:cs="Arial"/>
            <w:color w:val="467886"/>
            <w:szCs w:val="20"/>
            <w:u w:val="single"/>
            <w:lang w:val="en-US"/>
          </w:rPr>
          <w:t>https://www.shrine.org.au/about-shrine-remembrance</w:t>
        </w:r>
      </w:hyperlink>
      <w:r w:rsidRPr="00E80A8A">
        <w:rPr>
          <w:rFonts w:eastAsia="Aptos" w:cs="Arial"/>
          <w:color w:val="000000"/>
          <w:szCs w:val="20"/>
          <w:lang w:val="en-US"/>
        </w:rPr>
        <w:t xml:space="preserve">, accessed 5 December 2024. </w:t>
      </w:r>
    </w:p>
    <w:p w14:paraId="158B7ED5" w14:textId="7B80826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Social Services Regulator (2024a), </w:t>
      </w:r>
      <w:r w:rsidRPr="00E80A8A">
        <w:rPr>
          <w:rFonts w:eastAsia="Aptos" w:cs="Arial"/>
          <w:i/>
          <w:iCs/>
          <w:color w:val="000000"/>
          <w:szCs w:val="20"/>
          <w:lang w:val="en-US"/>
        </w:rPr>
        <w:t>About the Social Services Regulator</w:t>
      </w:r>
      <w:r w:rsidRPr="00E80A8A">
        <w:rPr>
          <w:rFonts w:eastAsia="Aptos" w:cs="Arial"/>
          <w:color w:val="000000"/>
          <w:szCs w:val="20"/>
          <w:lang w:val="en-US"/>
        </w:rPr>
        <w:t xml:space="preserve">, </w:t>
      </w:r>
      <w:hyperlink r:id="rId79" w:history="1">
        <w:r w:rsidRPr="00E80A8A">
          <w:rPr>
            <w:rFonts w:eastAsia="Aptos" w:cs="Arial"/>
            <w:color w:val="467886"/>
            <w:szCs w:val="20"/>
            <w:u w:val="single"/>
            <w:lang w:val="en-US"/>
          </w:rPr>
          <w:t>https://www.vic.gov.au/about-social-services-regulator</w:t>
        </w:r>
      </w:hyperlink>
      <w:r w:rsidRPr="00E80A8A">
        <w:rPr>
          <w:rFonts w:eastAsia="Aptos" w:cs="Arial"/>
          <w:color w:val="000000"/>
          <w:szCs w:val="20"/>
          <w:lang w:val="en-US"/>
        </w:rPr>
        <w:t>, accessed 5</w:t>
      </w:r>
      <w:r w:rsidR="00147F9E">
        <w:rPr>
          <w:rFonts w:eastAsia="Aptos" w:cs="Arial"/>
          <w:color w:val="000000"/>
          <w:szCs w:val="20"/>
          <w:lang w:val="en-US"/>
        </w:rPr>
        <w:t> </w:t>
      </w:r>
      <w:r w:rsidRPr="00E80A8A">
        <w:rPr>
          <w:rFonts w:eastAsia="Aptos" w:cs="Arial"/>
          <w:color w:val="000000"/>
          <w:szCs w:val="20"/>
          <w:lang w:val="en-US"/>
        </w:rPr>
        <w:t>December 2024.</w:t>
      </w:r>
    </w:p>
    <w:p w14:paraId="238D720B" w14:textId="51800435"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(2024b), </w:t>
      </w:r>
      <w:r w:rsidRPr="00E80A8A">
        <w:rPr>
          <w:rFonts w:eastAsia="Aptos" w:cs="Arial"/>
          <w:i/>
          <w:iCs/>
          <w:color w:val="000000"/>
          <w:szCs w:val="20"/>
          <w:lang w:val="en-US"/>
        </w:rPr>
        <w:t>Changes to the regulation of social services</w:t>
      </w:r>
      <w:r w:rsidRPr="00E80A8A">
        <w:rPr>
          <w:rFonts w:eastAsia="Aptos" w:cs="Arial"/>
          <w:color w:val="000000"/>
          <w:szCs w:val="20"/>
          <w:lang w:val="en-US"/>
        </w:rPr>
        <w:t xml:space="preserve">, </w:t>
      </w:r>
      <w:hyperlink r:id="rId80" w:history="1">
        <w:r w:rsidRPr="00E80A8A">
          <w:rPr>
            <w:rFonts w:eastAsia="Aptos" w:cs="Arial"/>
            <w:color w:val="467886"/>
            <w:szCs w:val="20"/>
            <w:u w:val="single"/>
            <w:lang w:val="en-US"/>
          </w:rPr>
          <w:t>https://www.vic.gov.au/changes-regulation-social-services</w:t>
        </w:r>
      </w:hyperlink>
      <w:r w:rsidRPr="00E80A8A">
        <w:rPr>
          <w:rFonts w:eastAsia="Aptos" w:cs="Arial"/>
          <w:color w:val="000000"/>
          <w:szCs w:val="20"/>
          <w:lang w:val="en-US"/>
        </w:rPr>
        <w:t>, accessed 5</w:t>
      </w:r>
      <w:r w:rsidR="00147F9E">
        <w:rPr>
          <w:rFonts w:eastAsia="Aptos" w:cs="Arial"/>
          <w:color w:val="000000"/>
          <w:szCs w:val="20"/>
          <w:lang w:val="en-US"/>
        </w:rPr>
        <w:t> </w:t>
      </w:r>
      <w:r w:rsidRPr="00E80A8A">
        <w:rPr>
          <w:rFonts w:eastAsia="Aptos" w:cs="Arial"/>
          <w:color w:val="000000"/>
          <w:szCs w:val="20"/>
          <w:lang w:val="en-US"/>
        </w:rPr>
        <w:t xml:space="preserve">December 2024. </w:t>
      </w:r>
    </w:p>
    <w:p w14:paraId="045CE079"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State Government of Victoria (2024a), </w:t>
      </w:r>
      <w:r w:rsidRPr="00E80A8A">
        <w:rPr>
          <w:rFonts w:eastAsia="Aptos" w:cs="Arial"/>
          <w:i/>
          <w:iCs/>
          <w:color w:val="000000"/>
          <w:szCs w:val="20"/>
          <w:lang w:val="en-US"/>
        </w:rPr>
        <w:t>Bonus Removal Offer</w:t>
      </w:r>
      <w:r w:rsidRPr="00E80A8A">
        <w:rPr>
          <w:rFonts w:eastAsia="Aptos" w:cs="Arial"/>
          <w:color w:val="000000"/>
          <w:szCs w:val="20"/>
          <w:lang w:val="en-US"/>
        </w:rPr>
        <w:t xml:space="preserve">, </w:t>
      </w:r>
      <w:hyperlink r:id="rId81" w:history="1">
        <w:r w:rsidRPr="00E80A8A">
          <w:rPr>
            <w:rFonts w:eastAsia="Aptos" w:cs="Arial"/>
            <w:color w:val="467886"/>
            <w:szCs w:val="20"/>
            <w:u w:val="single"/>
            <w:lang w:val="en-US"/>
          </w:rPr>
          <w:t>https://www.vic.gov.au/bonus-removal-offer-0</w:t>
        </w:r>
      </w:hyperlink>
      <w:r w:rsidRPr="00E80A8A">
        <w:rPr>
          <w:rFonts w:eastAsia="Aptos" w:cs="Arial"/>
          <w:color w:val="000000"/>
          <w:szCs w:val="20"/>
          <w:lang w:val="en-US"/>
        </w:rPr>
        <w:t xml:space="preserve">, accessed 5 December 2024. </w:t>
      </w:r>
    </w:p>
    <w:p w14:paraId="7A1C3894"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lastRenderedPageBreak/>
        <w:t>———</w:t>
      </w:r>
      <w:r w:rsidRPr="00E80A8A">
        <w:rPr>
          <w:rFonts w:eastAsia="Aptos" w:cs="Arial"/>
          <w:color w:val="000000"/>
          <w:szCs w:val="20"/>
          <w:lang w:val="en-US"/>
        </w:rPr>
        <w:t xml:space="preserve"> (2024b), </w:t>
      </w:r>
      <w:r w:rsidRPr="00E80A8A">
        <w:rPr>
          <w:rFonts w:eastAsia="Aptos" w:cs="Arial"/>
          <w:i/>
          <w:iCs/>
          <w:color w:val="000000"/>
          <w:szCs w:val="20"/>
        </w:rPr>
        <w:t>Executive and senior office holders annual remuneration changes</w:t>
      </w:r>
      <w:r w:rsidRPr="00E80A8A">
        <w:rPr>
          <w:rFonts w:eastAsia="Aptos" w:cs="Arial"/>
          <w:color w:val="000000"/>
          <w:szCs w:val="20"/>
        </w:rPr>
        <w:t xml:space="preserve">, </w:t>
      </w:r>
      <w:hyperlink r:id="rId82" w:history="1">
        <w:r w:rsidRPr="00E80A8A">
          <w:rPr>
            <w:rFonts w:eastAsia="Aptos" w:cs="Arial"/>
            <w:color w:val="467886"/>
            <w:szCs w:val="20"/>
            <w:u w:val="single"/>
          </w:rPr>
          <w:t>https://www.vic.gov.au/executive-and-senior-office-holders-annual-remuneration-changes</w:t>
        </w:r>
      </w:hyperlink>
      <w:r w:rsidRPr="00E80A8A">
        <w:rPr>
          <w:rFonts w:eastAsia="Aptos" w:cs="Arial"/>
          <w:color w:val="000000"/>
          <w:szCs w:val="20"/>
        </w:rPr>
        <w:t>, accessed 18 September 2024.</w:t>
      </w:r>
    </w:p>
    <w:p w14:paraId="27B36F9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(2024c), </w:t>
      </w:r>
      <w:r w:rsidRPr="00E80A8A">
        <w:rPr>
          <w:rFonts w:eastAsia="Aptos" w:cs="Arial"/>
          <w:i/>
          <w:iCs/>
          <w:color w:val="000000"/>
          <w:szCs w:val="20"/>
          <w:lang w:val="en-US"/>
        </w:rPr>
        <w:t>Public entity executive remuneration policy</w:t>
      </w:r>
      <w:r w:rsidRPr="00E80A8A">
        <w:rPr>
          <w:rFonts w:eastAsia="Aptos" w:cs="Arial"/>
          <w:color w:val="000000"/>
          <w:szCs w:val="20"/>
          <w:lang w:val="en-US"/>
        </w:rPr>
        <w:t xml:space="preserve">, </w:t>
      </w:r>
      <w:hyperlink r:id="rId83" w:history="1">
        <w:r w:rsidRPr="00E80A8A">
          <w:rPr>
            <w:rFonts w:eastAsia="Aptos" w:cs="Arial"/>
            <w:color w:val="467886"/>
            <w:szCs w:val="20"/>
            <w:u w:val="single"/>
            <w:lang w:val="en-US"/>
          </w:rPr>
          <w:t>https://www.vic.gov.au/public-entity-executive-remuneration-policy</w:t>
        </w:r>
      </w:hyperlink>
      <w:r w:rsidRPr="00E80A8A">
        <w:rPr>
          <w:rFonts w:eastAsia="Aptos" w:cs="Arial"/>
          <w:color w:val="000000"/>
          <w:szCs w:val="20"/>
          <w:lang w:val="en-US"/>
        </w:rPr>
        <w:t xml:space="preserve">, accessed 5 December 2024. </w:t>
      </w:r>
    </w:p>
    <w:p w14:paraId="29CBD370" w14:textId="6281AACB"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State Trustees (n.d.), </w:t>
      </w:r>
      <w:r w:rsidRPr="00E80A8A">
        <w:rPr>
          <w:rFonts w:eastAsia="Aptos" w:cs="Arial"/>
          <w:i/>
          <w:iCs/>
          <w:color w:val="000000"/>
          <w:szCs w:val="20"/>
          <w:lang w:val="en-US"/>
        </w:rPr>
        <w:t>Homepage</w:t>
      </w:r>
      <w:r w:rsidRPr="00E80A8A">
        <w:rPr>
          <w:rFonts w:eastAsia="Aptos" w:cs="Arial"/>
          <w:color w:val="000000"/>
          <w:szCs w:val="20"/>
          <w:lang w:val="en-US"/>
        </w:rPr>
        <w:t xml:space="preserve">, </w:t>
      </w:r>
      <w:hyperlink r:id="rId84" w:history="1">
        <w:r w:rsidRPr="00E80A8A">
          <w:rPr>
            <w:rFonts w:eastAsia="Aptos" w:cs="Arial"/>
            <w:color w:val="467886"/>
            <w:szCs w:val="20"/>
            <w:u w:val="single"/>
            <w:lang w:val="en-US"/>
          </w:rPr>
          <w:t>https://www.statetrustees.com.au/</w:t>
        </w:r>
      </w:hyperlink>
      <w:r w:rsidRPr="00E80A8A">
        <w:rPr>
          <w:rFonts w:eastAsia="Aptos" w:cs="Arial"/>
          <w:color w:val="000000"/>
          <w:szCs w:val="20"/>
          <w:lang w:val="en-US"/>
        </w:rPr>
        <w:t>, accessed 5</w:t>
      </w:r>
      <w:r w:rsidR="00147F9E">
        <w:rPr>
          <w:rFonts w:eastAsia="Aptos" w:cs="Arial"/>
          <w:color w:val="000000"/>
          <w:szCs w:val="20"/>
          <w:lang w:val="en-US"/>
        </w:rPr>
        <w:t> </w:t>
      </w:r>
      <w:r w:rsidRPr="00E80A8A">
        <w:rPr>
          <w:rFonts w:eastAsia="Aptos" w:cs="Arial"/>
          <w:color w:val="000000"/>
          <w:szCs w:val="20"/>
          <w:lang w:val="en-US"/>
        </w:rPr>
        <w:t xml:space="preserve">December 2024. </w:t>
      </w:r>
    </w:p>
    <w:p w14:paraId="0B7B274A"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Suburban Rail Loop Authority (2023), </w:t>
      </w:r>
      <w:r w:rsidRPr="00E80A8A">
        <w:rPr>
          <w:rFonts w:eastAsia="Aptos" w:cs="Arial"/>
          <w:i/>
          <w:iCs/>
          <w:color w:val="000000"/>
          <w:szCs w:val="20"/>
          <w:lang w:val="en-US"/>
        </w:rPr>
        <w:t xml:space="preserve">Annual Report 2022-2023. </w:t>
      </w:r>
    </w:p>
    <w:p w14:paraId="0E9EECD2" w14:textId="3DA8FDBE"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SurveyMonkey (n.d.), </w:t>
      </w:r>
      <w:r w:rsidRPr="00E80A8A">
        <w:rPr>
          <w:rFonts w:eastAsia="Aptos" w:cs="Arial"/>
          <w:i/>
          <w:iCs/>
          <w:color w:val="000000"/>
          <w:szCs w:val="20"/>
          <w:lang w:val="en-US"/>
        </w:rPr>
        <w:t>Statistical Significance</w:t>
      </w:r>
      <w:r w:rsidRPr="00E80A8A">
        <w:rPr>
          <w:rFonts w:eastAsia="Aptos" w:cs="Arial"/>
          <w:color w:val="000000"/>
          <w:szCs w:val="20"/>
          <w:lang w:val="en-US"/>
        </w:rPr>
        <w:t xml:space="preserve">, </w:t>
      </w:r>
      <w:hyperlink r:id="rId85" w:history="1">
        <w:r w:rsidR="009C6778" w:rsidRPr="00667D45">
          <w:rPr>
            <w:rStyle w:val="Hyperlink"/>
            <w:rFonts w:eastAsia="Aptos" w:cs="Arial"/>
            <w:szCs w:val="20"/>
            <w:lang w:val="en-US"/>
          </w:rPr>
          <w:t>https://help.surveymonkey.com/en/surveymonkey/analyze/significant-differences/</w:t>
        </w:r>
      </w:hyperlink>
      <w:r w:rsidR="009C6778">
        <w:rPr>
          <w:rFonts w:eastAsia="Aptos" w:cs="Arial"/>
          <w:color w:val="000000"/>
          <w:szCs w:val="20"/>
          <w:lang w:val="en-US"/>
        </w:rPr>
        <w:t>,</w:t>
      </w:r>
      <w:r w:rsidRPr="00E80A8A">
        <w:rPr>
          <w:rFonts w:eastAsia="Aptos" w:cs="Arial"/>
          <w:color w:val="000000"/>
          <w:szCs w:val="20"/>
          <w:lang w:val="en-US"/>
        </w:rPr>
        <w:t xml:space="preserve"> accessed 22 November 2024.</w:t>
      </w:r>
    </w:p>
    <w:p w14:paraId="01EFEAD7"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TCV (Treasury Corporation of Victoria) (2024), </w:t>
      </w:r>
      <w:r w:rsidRPr="00E80A8A">
        <w:rPr>
          <w:rFonts w:eastAsia="Aptos" w:cs="Arial"/>
          <w:i/>
          <w:iCs/>
          <w:color w:val="000000"/>
          <w:szCs w:val="20"/>
          <w:lang w:val="en-US"/>
        </w:rPr>
        <w:t>About TCV</w:t>
      </w:r>
      <w:r w:rsidRPr="00E80A8A">
        <w:rPr>
          <w:rFonts w:eastAsia="Aptos" w:cs="Arial"/>
          <w:color w:val="000000"/>
          <w:szCs w:val="20"/>
          <w:lang w:val="en-US"/>
        </w:rPr>
        <w:t xml:space="preserve">, </w:t>
      </w:r>
      <w:hyperlink r:id="rId86" w:history="1">
        <w:r w:rsidRPr="00E80A8A">
          <w:rPr>
            <w:rFonts w:eastAsia="Aptos" w:cs="Arial"/>
            <w:color w:val="467886"/>
            <w:szCs w:val="20"/>
            <w:u w:val="single"/>
            <w:lang w:val="en-US"/>
          </w:rPr>
          <w:t>https://www.tcv.vic.gov.au/about-tcv</w:t>
        </w:r>
      </w:hyperlink>
      <w:r w:rsidRPr="00E80A8A">
        <w:rPr>
          <w:rFonts w:eastAsia="Aptos" w:cs="Arial"/>
          <w:color w:val="000000"/>
          <w:szCs w:val="20"/>
          <w:lang w:val="en-US"/>
        </w:rPr>
        <w:t xml:space="preserve">, accessed 5 December 2024. </w:t>
      </w:r>
    </w:p>
    <w:p w14:paraId="6C10F692"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The Age (2019), </w:t>
      </w:r>
      <w:r w:rsidRPr="00E80A8A">
        <w:rPr>
          <w:rFonts w:eastAsia="Aptos" w:cs="Arial"/>
          <w:i/>
          <w:iCs/>
          <w:color w:val="000000"/>
          <w:szCs w:val="20"/>
          <w:lang w:val="en-US"/>
        </w:rPr>
        <w:t>Big merger: VicRoads and PTV to become one mega-agency</w:t>
      </w:r>
      <w:r w:rsidRPr="00E80A8A">
        <w:rPr>
          <w:rFonts w:eastAsia="Aptos" w:cs="Arial"/>
          <w:color w:val="000000"/>
          <w:szCs w:val="20"/>
          <w:lang w:val="en-US"/>
        </w:rPr>
        <w:t xml:space="preserve">, </w:t>
      </w:r>
      <w:hyperlink r:id="rId87" w:history="1">
        <w:r w:rsidRPr="00E80A8A">
          <w:rPr>
            <w:rFonts w:eastAsia="Aptos" w:cs="Arial"/>
            <w:color w:val="467886"/>
            <w:szCs w:val="20"/>
            <w:u w:val="single"/>
            <w:lang w:val="en-US"/>
          </w:rPr>
          <w:t>https://www.theage.com.au/national/victoria/big-merger-vicroads-and-ptv-to-become-one-mega-agency-20190404-p51arj.html</w:t>
        </w:r>
      </w:hyperlink>
      <w:r w:rsidRPr="00E80A8A">
        <w:rPr>
          <w:rFonts w:eastAsia="Aptos" w:cs="Arial"/>
          <w:color w:val="000000"/>
          <w:szCs w:val="20"/>
          <w:lang w:val="en-US"/>
        </w:rPr>
        <w:t xml:space="preserve">, accessed 24 October 2024. </w:t>
      </w:r>
    </w:p>
    <w:p w14:paraId="2E3F56F0" w14:textId="77777777" w:rsidR="00550FD8" w:rsidRDefault="00550FD8" w:rsidP="00550FD8">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The Australia and New Zealand School of Government (2021), </w:t>
      </w:r>
      <w:r w:rsidRPr="00E80A8A">
        <w:rPr>
          <w:rFonts w:eastAsia="Aptos" w:cs="Arial"/>
          <w:i/>
          <w:iCs/>
          <w:color w:val="000000"/>
          <w:szCs w:val="20"/>
          <w:lang w:val="en-US"/>
        </w:rPr>
        <w:t>Senior Executive Service Case Study – Victoria</w:t>
      </w:r>
      <w:r w:rsidRPr="00E80A8A">
        <w:rPr>
          <w:rFonts w:eastAsia="Aptos" w:cs="Arial"/>
          <w:color w:val="000000"/>
          <w:szCs w:val="20"/>
          <w:lang w:val="en-US"/>
        </w:rPr>
        <w:t>.</w:t>
      </w:r>
    </w:p>
    <w:p w14:paraId="61D02F48" w14:textId="2E58F21F" w:rsidR="00E80A8A" w:rsidRPr="00E80A8A" w:rsidRDefault="00027138"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(2023), </w:t>
      </w:r>
      <w:r w:rsidRPr="00E80A8A">
        <w:rPr>
          <w:rFonts w:eastAsia="Aptos" w:cs="Arial"/>
          <w:i/>
          <w:iCs/>
          <w:color w:val="000000"/>
          <w:szCs w:val="20"/>
        </w:rPr>
        <w:t>ANZSOG insights into how leaders can support hybrid work in the public sector</w:t>
      </w:r>
      <w:r w:rsidRPr="00E80A8A">
        <w:rPr>
          <w:rFonts w:eastAsia="Aptos" w:cs="Arial"/>
          <w:color w:val="000000"/>
          <w:szCs w:val="20"/>
        </w:rPr>
        <w:t xml:space="preserve">, </w:t>
      </w:r>
      <w:hyperlink r:id="rId88" w:history="1">
        <w:r w:rsidRPr="00E80A8A">
          <w:rPr>
            <w:rFonts w:eastAsia="Aptos" w:cs="Arial"/>
            <w:color w:val="467886"/>
            <w:szCs w:val="20"/>
            <w:u w:val="single"/>
          </w:rPr>
          <w:t>https://anzsog.edu.au/news/anzsog-insights-into-how-leaders-can-support-hybrid-work-in-the-public-sector/</w:t>
        </w:r>
      </w:hyperlink>
      <w:r w:rsidRPr="00E80A8A">
        <w:rPr>
          <w:rFonts w:eastAsia="Aptos" w:cs="Arial"/>
          <w:color w:val="000000"/>
          <w:szCs w:val="20"/>
        </w:rPr>
        <w:t xml:space="preserve">, accessed 5 December 2024. </w:t>
      </w:r>
      <w:r w:rsidR="00E80A8A" w:rsidRPr="00E80A8A">
        <w:rPr>
          <w:rFonts w:eastAsia="Aptos" w:cs="Arial"/>
          <w:color w:val="000000"/>
          <w:szCs w:val="20"/>
          <w:lang w:val="en-US"/>
        </w:rPr>
        <w:t xml:space="preserve">The Wheeler Centre (2024), </w:t>
      </w:r>
      <w:r w:rsidR="00E80A8A" w:rsidRPr="00E80A8A">
        <w:rPr>
          <w:rFonts w:eastAsia="Aptos" w:cs="Arial"/>
          <w:i/>
          <w:iCs/>
          <w:color w:val="000000"/>
          <w:szCs w:val="20"/>
          <w:lang w:val="en-US"/>
        </w:rPr>
        <w:t>About the Wheeler Centre</w:t>
      </w:r>
      <w:r w:rsidR="00E80A8A" w:rsidRPr="00E80A8A">
        <w:rPr>
          <w:rFonts w:eastAsia="Aptos" w:cs="Arial"/>
          <w:color w:val="000000"/>
          <w:szCs w:val="20"/>
          <w:lang w:val="en-US"/>
        </w:rPr>
        <w:t xml:space="preserve">,  </w:t>
      </w:r>
      <w:hyperlink r:id="rId89" w:history="1">
        <w:r w:rsidR="00E80A8A" w:rsidRPr="00E80A8A">
          <w:rPr>
            <w:rFonts w:eastAsia="Aptos" w:cs="Arial"/>
            <w:color w:val="467886"/>
            <w:szCs w:val="20"/>
            <w:u w:val="single"/>
            <w:lang w:val="en-US"/>
          </w:rPr>
          <w:t>https://www.wheelercentre.com/about-us</w:t>
        </w:r>
      </w:hyperlink>
      <w:r w:rsidR="00E80A8A" w:rsidRPr="00E80A8A">
        <w:rPr>
          <w:rFonts w:eastAsia="Aptos" w:cs="Arial"/>
          <w:color w:val="000000"/>
          <w:szCs w:val="20"/>
          <w:lang w:val="en-US"/>
        </w:rPr>
        <w:t xml:space="preserve">, accessed 5 December 2024.  </w:t>
      </w:r>
    </w:p>
    <w:p w14:paraId="0AB2D1D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Tribunal (Victorian Independent Remuneration Tribunal) (2020), </w:t>
      </w:r>
      <w:r w:rsidRPr="00E80A8A">
        <w:rPr>
          <w:rFonts w:eastAsia="Aptos" w:cs="Arial"/>
          <w:i/>
          <w:iCs/>
          <w:color w:val="000000"/>
          <w:szCs w:val="20"/>
          <w:lang w:val="en-US"/>
        </w:rPr>
        <w:t>Remuneration bands for executives employed in prescribed public entities (Victoria) Determination No. 01/2020</w:t>
      </w:r>
      <w:r w:rsidRPr="00E80A8A">
        <w:rPr>
          <w:rFonts w:eastAsia="Aptos" w:cs="Arial"/>
          <w:color w:val="000000"/>
          <w:szCs w:val="20"/>
          <w:lang w:val="en-US"/>
        </w:rPr>
        <w:t>.</w:t>
      </w:r>
    </w:p>
    <w:p w14:paraId="09283803" w14:textId="79A6D00C" w:rsidR="00E80A8A" w:rsidRPr="00E80A8A" w:rsidRDefault="00E80A8A" w:rsidP="00E80A8A">
      <w:pPr>
        <w:spacing w:after="0"/>
        <w:ind w:left="720" w:hanging="720"/>
        <w:jc w:val="left"/>
        <w:rPr>
          <w:rFonts w:eastAsia="Aptos" w:cs="Arial"/>
          <w:i/>
          <w:iCs/>
          <w:color w:val="000000"/>
          <w:szCs w:val="20"/>
        </w:rPr>
      </w:pPr>
      <w:r w:rsidRPr="00E80A8A">
        <w:rPr>
          <w:rFonts w:eastAsia="Aptos" w:cs="Arial"/>
          <w:color w:val="000000"/>
          <w:szCs w:val="20"/>
        </w:rPr>
        <w:t xml:space="preserve">——— (2023), </w:t>
      </w:r>
      <w:r w:rsidRPr="00E80A8A">
        <w:rPr>
          <w:rFonts w:eastAsia="Aptos" w:cs="Arial"/>
          <w:i/>
          <w:iCs/>
          <w:color w:val="000000"/>
          <w:szCs w:val="20"/>
        </w:rPr>
        <w:t>Remuneration bands for executives employed in prescribed public entities (Victoria) Annual Adjustment Determination 2023</w:t>
      </w:r>
      <w:r w:rsidR="0098227B">
        <w:rPr>
          <w:rFonts w:eastAsia="Aptos" w:cs="Arial"/>
          <w:i/>
          <w:iCs/>
          <w:color w:val="000000"/>
          <w:szCs w:val="20"/>
        </w:rPr>
        <w:t>.</w:t>
      </w:r>
    </w:p>
    <w:p w14:paraId="66F992F2"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lastRenderedPageBreak/>
        <w:t xml:space="preserve">——— (2024), </w:t>
      </w:r>
      <w:r w:rsidRPr="00E80A8A">
        <w:rPr>
          <w:rFonts w:eastAsia="Aptos" w:cs="Arial"/>
          <w:i/>
          <w:iCs/>
          <w:color w:val="000000"/>
          <w:szCs w:val="20"/>
        </w:rPr>
        <w:t>Remuneration bands for executives employed in public service bodies (Victoria) Determination No. 01/2024</w:t>
      </w:r>
      <w:r w:rsidRPr="00E80A8A">
        <w:rPr>
          <w:rFonts w:eastAsia="Aptos" w:cs="Arial"/>
          <w:color w:val="000000"/>
          <w:szCs w:val="20"/>
        </w:rPr>
        <w:t>.</w:t>
      </w:r>
    </w:p>
    <w:p w14:paraId="0F872F2D" w14:textId="254D4DE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Triple Zero Victoria (2024), </w:t>
      </w:r>
      <w:r w:rsidRPr="00E80A8A">
        <w:rPr>
          <w:rFonts w:eastAsia="Aptos" w:cs="Arial"/>
          <w:i/>
          <w:iCs/>
          <w:color w:val="000000"/>
          <w:szCs w:val="20"/>
          <w:lang w:val="en-US"/>
        </w:rPr>
        <w:t>About Triple Zero Victoria</w:t>
      </w:r>
      <w:r w:rsidRPr="00E80A8A">
        <w:rPr>
          <w:rFonts w:eastAsia="Aptos" w:cs="Arial"/>
          <w:color w:val="000000"/>
          <w:szCs w:val="20"/>
          <w:lang w:val="en-US"/>
        </w:rPr>
        <w:t xml:space="preserve">, </w:t>
      </w:r>
      <w:hyperlink r:id="rId90" w:history="1">
        <w:r w:rsidRPr="00E80A8A">
          <w:rPr>
            <w:rFonts w:eastAsia="Aptos" w:cs="Arial"/>
            <w:color w:val="467886"/>
            <w:szCs w:val="20"/>
            <w:u w:val="single"/>
            <w:lang w:val="en-US"/>
          </w:rPr>
          <w:t>https://www.triplezero.vic.gov.au/about-triple-zero-victoria</w:t>
        </w:r>
      </w:hyperlink>
      <w:r w:rsidRPr="00E80A8A">
        <w:rPr>
          <w:rFonts w:eastAsia="Aptos" w:cs="Arial"/>
          <w:color w:val="000000"/>
          <w:szCs w:val="20"/>
          <w:lang w:val="en-US"/>
        </w:rPr>
        <w:t>, accessed 5</w:t>
      </w:r>
      <w:r w:rsidR="004249D3">
        <w:rPr>
          <w:rFonts w:eastAsia="Aptos" w:cs="Arial"/>
          <w:color w:val="000000"/>
          <w:szCs w:val="20"/>
          <w:lang w:val="en-US"/>
        </w:rPr>
        <w:t> </w:t>
      </w:r>
      <w:r w:rsidRPr="00E80A8A">
        <w:rPr>
          <w:rFonts w:eastAsia="Aptos" w:cs="Arial"/>
          <w:color w:val="000000"/>
          <w:szCs w:val="20"/>
          <w:lang w:val="en-US"/>
        </w:rPr>
        <w:t xml:space="preserve">December 2024. </w:t>
      </w:r>
    </w:p>
    <w:p w14:paraId="50297BFB"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Trust for Nature (2017), </w:t>
      </w:r>
      <w:r w:rsidRPr="00E80A8A">
        <w:rPr>
          <w:rFonts w:eastAsia="Aptos" w:cs="Arial"/>
          <w:i/>
          <w:iCs/>
          <w:color w:val="000000"/>
          <w:szCs w:val="20"/>
          <w:lang w:val="en-US"/>
        </w:rPr>
        <w:t>What we do</w:t>
      </w:r>
      <w:r w:rsidRPr="00E80A8A">
        <w:rPr>
          <w:rFonts w:eastAsia="Aptos" w:cs="Arial"/>
          <w:color w:val="000000"/>
          <w:szCs w:val="20"/>
          <w:lang w:val="en-US"/>
        </w:rPr>
        <w:t xml:space="preserve">, </w:t>
      </w:r>
      <w:hyperlink r:id="rId91" w:history="1">
        <w:r w:rsidRPr="00E80A8A">
          <w:rPr>
            <w:rFonts w:eastAsia="Aptos" w:cs="Arial"/>
            <w:color w:val="467886"/>
            <w:szCs w:val="20"/>
            <w:u w:val="single"/>
            <w:lang w:val="en-US"/>
          </w:rPr>
          <w:t>https://trustfornature.org.au/what-we-do</w:t>
        </w:r>
      </w:hyperlink>
      <w:r w:rsidRPr="00E80A8A">
        <w:rPr>
          <w:rFonts w:eastAsia="Aptos" w:cs="Arial"/>
          <w:color w:val="000000"/>
          <w:szCs w:val="20"/>
          <w:lang w:val="en-US"/>
        </w:rPr>
        <w:t xml:space="preserve">, accessed 5 December 2024. </w:t>
      </w:r>
    </w:p>
    <w:p w14:paraId="62863395"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VAGO (Victorian Auditor-General’s Office) (2023), </w:t>
      </w:r>
      <w:r w:rsidRPr="00E80A8A">
        <w:rPr>
          <w:rFonts w:eastAsia="Aptos" w:cs="Arial"/>
          <w:i/>
          <w:iCs/>
          <w:color w:val="000000"/>
          <w:szCs w:val="20"/>
          <w:lang w:val="en-US"/>
        </w:rPr>
        <w:t>Reducing the Illegal Disposal of Asbestos</w:t>
      </w:r>
      <w:r w:rsidRPr="00E80A8A">
        <w:rPr>
          <w:rFonts w:eastAsia="Aptos" w:cs="Arial"/>
          <w:color w:val="000000"/>
          <w:szCs w:val="20"/>
          <w:lang w:val="en-US"/>
        </w:rPr>
        <w:t>.</w:t>
      </w:r>
    </w:p>
    <w:p w14:paraId="5175CE7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(2024), </w:t>
      </w:r>
      <w:r w:rsidRPr="00E80A8A">
        <w:rPr>
          <w:rFonts w:eastAsia="Aptos" w:cs="Arial"/>
          <w:i/>
          <w:iCs/>
          <w:color w:val="000000"/>
          <w:szCs w:val="20"/>
        </w:rPr>
        <w:t>Auditor-General's Report on the Annual Financial Report of the State of Victoria: 2023-24</w:t>
      </w:r>
      <w:r w:rsidRPr="00E80A8A">
        <w:rPr>
          <w:rFonts w:eastAsia="Aptos" w:cs="Arial"/>
          <w:color w:val="000000"/>
          <w:szCs w:val="20"/>
        </w:rPr>
        <w:t xml:space="preserve">. </w:t>
      </w:r>
    </w:p>
    <w:p w14:paraId="2F7DB3CC"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VFMC (Victorian Funds Management Corporation) (n.d.), </w:t>
      </w:r>
      <w:r w:rsidRPr="00E80A8A">
        <w:rPr>
          <w:rFonts w:eastAsia="Aptos" w:cs="Arial"/>
          <w:i/>
          <w:iCs/>
          <w:color w:val="000000"/>
          <w:szCs w:val="20"/>
          <w:lang w:val="en-US"/>
        </w:rPr>
        <w:t>Balanced Lives</w:t>
      </w:r>
      <w:r w:rsidRPr="00E80A8A">
        <w:rPr>
          <w:rFonts w:eastAsia="Aptos" w:cs="Arial"/>
          <w:color w:val="000000"/>
          <w:szCs w:val="20"/>
          <w:lang w:val="en-US"/>
        </w:rPr>
        <w:t xml:space="preserve">, </w:t>
      </w:r>
      <w:hyperlink r:id="rId92" w:history="1">
        <w:r w:rsidRPr="00E80A8A">
          <w:rPr>
            <w:rFonts w:eastAsia="Aptos" w:cs="Arial"/>
            <w:color w:val="467886"/>
            <w:szCs w:val="20"/>
            <w:u w:val="single"/>
          </w:rPr>
          <w:t>https://www.vfmc.vic.gov.au/why-join-vfmc/balanced-lives/</w:t>
        </w:r>
      </w:hyperlink>
      <w:r w:rsidRPr="00E80A8A">
        <w:rPr>
          <w:rFonts w:eastAsia="Aptos" w:cs="Arial"/>
          <w:color w:val="000000"/>
          <w:szCs w:val="20"/>
        </w:rPr>
        <w:t>, accessed 14 December 2024.</w:t>
      </w:r>
    </w:p>
    <w:p w14:paraId="04675E6C" w14:textId="14817F53"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VicHealth (n.d.), </w:t>
      </w:r>
      <w:r w:rsidRPr="00E80A8A">
        <w:rPr>
          <w:rFonts w:eastAsia="Aptos" w:cs="Arial"/>
          <w:i/>
          <w:iCs/>
          <w:color w:val="000000"/>
          <w:szCs w:val="20"/>
          <w:lang w:val="en-US"/>
        </w:rPr>
        <w:t>Homepage</w:t>
      </w:r>
      <w:r w:rsidRPr="00E80A8A">
        <w:rPr>
          <w:rFonts w:eastAsia="Aptos" w:cs="Arial"/>
          <w:color w:val="000000"/>
          <w:szCs w:val="20"/>
          <w:lang w:val="en-US"/>
        </w:rPr>
        <w:t xml:space="preserve">, </w:t>
      </w:r>
      <w:hyperlink r:id="rId93" w:history="1">
        <w:r w:rsidRPr="00E80A8A">
          <w:rPr>
            <w:rFonts w:eastAsia="Aptos" w:cs="Arial"/>
            <w:color w:val="467886"/>
            <w:szCs w:val="20"/>
            <w:u w:val="single"/>
            <w:lang w:val="en-US"/>
          </w:rPr>
          <w:t>https://www.vichealth.vic.gov.au/</w:t>
        </w:r>
      </w:hyperlink>
      <w:r w:rsidRPr="00E80A8A">
        <w:rPr>
          <w:rFonts w:eastAsia="Aptos" w:cs="Arial"/>
          <w:color w:val="000000"/>
          <w:szCs w:val="20"/>
          <w:lang w:val="en-US"/>
        </w:rPr>
        <w:t>, accessed 5</w:t>
      </w:r>
      <w:r w:rsidR="004249D3">
        <w:rPr>
          <w:rFonts w:eastAsia="Aptos" w:cs="Arial"/>
          <w:color w:val="000000"/>
          <w:szCs w:val="20"/>
          <w:lang w:val="en-US"/>
        </w:rPr>
        <w:t> </w:t>
      </w:r>
      <w:r w:rsidRPr="00E80A8A">
        <w:rPr>
          <w:rFonts w:eastAsia="Aptos" w:cs="Arial"/>
          <w:color w:val="000000"/>
          <w:szCs w:val="20"/>
          <w:lang w:val="en-US"/>
        </w:rPr>
        <w:t xml:space="preserve">December 2024. </w:t>
      </w:r>
    </w:p>
    <w:p w14:paraId="0C9E0963"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Victoria Law Foundation (2024), </w:t>
      </w:r>
      <w:r w:rsidRPr="00E80A8A">
        <w:rPr>
          <w:rFonts w:eastAsia="Aptos" w:cs="Arial"/>
          <w:i/>
          <w:iCs/>
          <w:color w:val="000000"/>
          <w:szCs w:val="20"/>
          <w:lang w:val="en-US"/>
        </w:rPr>
        <w:t>Annual Report 2023-24</w:t>
      </w:r>
      <w:r w:rsidRPr="00E80A8A">
        <w:rPr>
          <w:rFonts w:eastAsia="Aptos" w:cs="Arial"/>
          <w:color w:val="000000"/>
          <w:szCs w:val="20"/>
          <w:lang w:val="en-US"/>
        </w:rPr>
        <w:t xml:space="preserve">. </w:t>
      </w:r>
    </w:p>
    <w:p w14:paraId="25DADEA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Victorian Institute of Sport (2024), </w:t>
      </w:r>
      <w:r w:rsidRPr="00E80A8A">
        <w:rPr>
          <w:rFonts w:eastAsia="Aptos" w:cs="Arial"/>
          <w:i/>
          <w:iCs/>
          <w:color w:val="000000"/>
          <w:szCs w:val="20"/>
          <w:lang w:val="en-US"/>
        </w:rPr>
        <w:t>2023/2024 Annual Review.</w:t>
      </w:r>
    </w:p>
    <w:p w14:paraId="589B7AC9" w14:textId="133F7B54"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Victorian Ombudsman (2023), </w:t>
      </w:r>
      <w:r w:rsidRPr="00E80A8A">
        <w:rPr>
          <w:rFonts w:eastAsia="Aptos" w:cs="Arial"/>
          <w:i/>
          <w:iCs/>
          <w:color w:val="000000"/>
          <w:szCs w:val="20"/>
          <w:lang w:val="en-US"/>
        </w:rPr>
        <w:t xml:space="preserve">Alleged </w:t>
      </w:r>
      <w:proofErr w:type="spellStart"/>
      <w:r w:rsidRPr="00E80A8A">
        <w:rPr>
          <w:rFonts w:eastAsia="Aptos" w:cs="Arial"/>
          <w:i/>
          <w:iCs/>
          <w:color w:val="000000"/>
          <w:szCs w:val="20"/>
          <w:lang w:val="en-US"/>
        </w:rPr>
        <w:t>politicisation</w:t>
      </w:r>
      <w:proofErr w:type="spellEnd"/>
      <w:r w:rsidRPr="00E80A8A">
        <w:rPr>
          <w:rFonts w:eastAsia="Aptos" w:cs="Arial"/>
          <w:i/>
          <w:iCs/>
          <w:color w:val="000000"/>
          <w:szCs w:val="20"/>
          <w:lang w:val="en-US"/>
        </w:rPr>
        <w:t xml:space="preserve"> of the public sector – Investigation of a matter referred from the Legislative Council on 9 February 2022 </w:t>
      </w:r>
      <w:r w:rsidR="000D66EC" w:rsidRPr="00E80A8A">
        <w:rPr>
          <w:rFonts w:eastAsia="Aptos" w:cs="Arial"/>
          <w:i/>
          <w:iCs/>
          <w:color w:val="000000"/>
          <w:szCs w:val="20"/>
          <w:lang w:val="en-US"/>
        </w:rPr>
        <w:t>–</w:t>
      </w:r>
      <w:r w:rsidRPr="00E80A8A">
        <w:rPr>
          <w:rFonts w:eastAsia="Aptos" w:cs="Arial"/>
          <w:i/>
          <w:iCs/>
          <w:color w:val="000000"/>
          <w:szCs w:val="20"/>
          <w:lang w:val="en-US"/>
        </w:rPr>
        <w:t xml:space="preserve"> Part 2</w:t>
      </w:r>
      <w:r w:rsidRPr="00E80A8A">
        <w:rPr>
          <w:rFonts w:eastAsia="Aptos" w:cs="Arial"/>
          <w:color w:val="000000"/>
          <w:szCs w:val="20"/>
          <w:lang w:val="en-US"/>
        </w:rPr>
        <w:t>.</w:t>
      </w:r>
    </w:p>
    <w:p w14:paraId="5FC268FA"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Victorian Responsible Gambling Foundation (2024), </w:t>
      </w:r>
      <w:r w:rsidRPr="00E80A8A">
        <w:rPr>
          <w:rFonts w:eastAsia="Aptos" w:cs="Arial"/>
          <w:i/>
          <w:iCs/>
          <w:color w:val="000000"/>
          <w:szCs w:val="20"/>
          <w:lang w:val="en-US"/>
        </w:rPr>
        <w:t>Changing the way we talk about gambling harm</w:t>
      </w:r>
      <w:r w:rsidRPr="00E80A8A">
        <w:rPr>
          <w:rFonts w:eastAsia="Aptos" w:cs="Arial"/>
          <w:color w:val="000000"/>
          <w:szCs w:val="20"/>
          <w:lang w:val="en-US"/>
        </w:rPr>
        <w:t xml:space="preserve">, </w:t>
      </w:r>
      <w:hyperlink r:id="rId94" w:history="1">
        <w:r w:rsidRPr="00E80A8A">
          <w:rPr>
            <w:rFonts w:eastAsia="Aptos" w:cs="Arial"/>
            <w:color w:val="467886"/>
            <w:szCs w:val="20"/>
            <w:u w:val="single"/>
            <w:lang w:val="en-US"/>
          </w:rPr>
          <w:t>https://responsiblegambling.vic.gov.au/about-us/news-and-media/changing-the-way-we-talk-about-gambling-harm/</w:t>
        </w:r>
      </w:hyperlink>
      <w:r w:rsidRPr="00E80A8A">
        <w:rPr>
          <w:rFonts w:eastAsia="Aptos" w:cs="Arial"/>
          <w:color w:val="000000"/>
          <w:szCs w:val="20"/>
          <w:lang w:val="en-US"/>
        </w:rPr>
        <w:t>, accessed 5 December 2024.</w:t>
      </w:r>
    </w:p>
    <w:p w14:paraId="4042379B"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Victoria’s Big Build (2024), </w:t>
      </w:r>
      <w:r w:rsidRPr="00E80A8A">
        <w:rPr>
          <w:rFonts w:eastAsia="Aptos" w:cs="Arial"/>
          <w:i/>
          <w:iCs/>
          <w:color w:val="000000"/>
          <w:szCs w:val="20"/>
          <w:lang w:val="en-US"/>
        </w:rPr>
        <w:t>About the Suburban Rail Loop Authority</w:t>
      </w:r>
      <w:r w:rsidRPr="00E80A8A">
        <w:rPr>
          <w:rFonts w:eastAsia="Aptos" w:cs="Arial"/>
          <w:color w:val="000000"/>
          <w:szCs w:val="20"/>
          <w:lang w:val="en-US"/>
        </w:rPr>
        <w:t xml:space="preserve">, </w:t>
      </w:r>
      <w:hyperlink r:id="rId95" w:history="1">
        <w:r w:rsidRPr="00E80A8A">
          <w:rPr>
            <w:rFonts w:eastAsia="Aptos" w:cs="Arial"/>
            <w:color w:val="467886"/>
            <w:szCs w:val="20"/>
            <w:u w:val="single"/>
            <w:lang w:val="en-US"/>
          </w:rPr>
          <w:t>https://bigbuild.vic.gov.au/about/about-the-suburban-rail-loop-authority</w:t>
        </w:r>
      </w:hyperlink>
      <w:r w:rsidRPr="00E80A8A">
        <w:rPr>
          <w:rFonts w:eastAsia="Aptos" w:cs="Arial"/>
          <w:color w:val="000000"/>
          <w:szCs w:val="20"/>
          <w:lang w:val="en-US"/>
        </w:rPr>
        <w:t xml:space="preserve">, accessed 2 December 2024.  </w:t>
      </w:r>
    </w:p>
    <w:p w14:paraId="475C07A8" w14:textId="77777777" w:rsidR="00E80A8A" w:rsidRPr="00E80A8A" w:rsidRDefault="00E80A8A" w:rsidP="00E80A8A">
      <w:pPr>
        <w:spacing w:after="0"/>
        <w:ind w:left="720" w:hanging="720"/>
        <w:jc w:val="left"/>
        <w:rPr>
          <w:rFonts w:eastAsia="Aptos" w:cs="Arial"/>
          <w:color w:val="000000"/>
          <w:szCs w:val="20"/>
          <w:lang w:val="en-US"/>
        </w:rPr>
      </w:pPr>
      <w:proofErr w:type="spellStart"/>
      <w:r w:rsidRPr="00E80A8A">
        <w:rPr>
          <w:rFonts w:eastAsia="Aptos" w:cs="Arial"/>
          <w:color w:val="000000"/>
          <w:szCs w:val="20"/>
          <w:lang w:val="en-US"/>
        </w:rPr>
        <w:t>VicTrack</w:t>
      </w:r>
      <w:proofErr w:type="spellEnd"/>
      <w:r w:rsidRPr="00E80A8A">
        <w:rPr>
          <w:rFonts w:eastAsia="Aptos" w:cs="Arial"/>
          <w:color w:val="000000"/>
          <w:szCs w:val="20"/>
          <w:lang w:val="en-US"/>
        </w:rPr>
        <w:t xml:space="preserve"> (n.d.), </w:t>
      </w:r>
      <w:r w:rsidRPr="00E80A8A">
        <w:rPr>
          <w:rFonts w:eastAsia="Aptos" w:cs="Arial"/>
          <w:i/>
          <w:iCs/>
          <w:color w:val="000000"/>
          <w:szCs w:val="20"/>
          <w:lang w:val="en-US"/>
        </w:rPr>
        <w:t>Our role</w:t>
      </w:r>
      <w:r w:rsidRPr="00E80A8A">
        <w:rPr>
          <w:rFonts w:eastAsia="Aptos" w:cs="Arial"/>
          <w:color w:val="000000"/>
          <w:szCs w:val="20"/>
          <w:lang w:val="en-US"/>
        </w:rPr>
        <w:t xml:space="preserve">, </w:t>
      </w:r>
      <w:hyperlink r:id="rId96" w:history="1">
        <w:r w:rsidRPr="00E80A8A">
          <w:rPr>
            <w:rFonts w:eastAsia="Aptos" w:cs="Arial"/>
            <w:color w:val="467886"/>
            <w:szCs w:val="20"/>
            <w:u w:val="single"/>
            <w:lang w:val="en-US"/>
          </w:rPr>
          <w:t>https://www.victrack.com.au/about/our-role</w:t>
        </w:r>
      </w:hyperlink>
      <w:r w:rsidRPr="00E80A8A">
        <w:rPr>
          <w:rFonts w:eastAsia="Aptos" w:cs="Arial"/>
          <w:color w:val="000000"/>
          <w:szCs w:val="20"/>
          <w:lang w:val="en-US"/>
        </w:rPr>
        <w:t xml:space="preserve">, accessed 5 December 2024. </w:t>
      </w:r>
    </w:p>
    <w:p w14:paraId="309E8369" w14:textId="056AEF68"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lastRenderedPageBreak/>
        <w:t>V/Line Corporation (2024</w:t>
      </w:r>
      <w:r w:rsidRPr="00292804">
        <w:rPr>
          <w:rFonts w:eastAsia="Aptos" w:cs="Arial"/>
          <w:color w:val="auto"/>
          <w:szCs w:val="20"/>
          <w:lang w:val="en-US"/>
        </w:rPr>
        <w:t xml:space="preserve">), </w:t>
      </w:r>
      <w:r w:rsidR="00B05050" w:rsidRPr="00292804">
        <w:rPr>
          <w:rFonts w:eastAsia="Aptos" w:cs="Arial"/>
          <w:i/>
          <w:iCs/>
          <w:color w:val="auto"/>
          <w:szCs w:val="20"/>
          <w:lang w:val="en-US"/>
        </w:rPr>
        <w:t>Annual Report 2023-24</w:t>
      </w:r>
      <w:r w:rsidRPr="00292804">
        <w:rPr>
          <w:rFonts w:eastAsia="Aptos" w:cs="Arial"/>
          <w:color w:val="auto"/>
          <w:szCs w:val="20"/>
          <w:lang w:val="en-US"/>
        </w:rPr>
        <w:t>.</w:t>
      </w:r>
    </w:p>
    <w:p w14:paraId="4C2422A5"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lang w:val="en-US"/>
        </w:rPr>
        <w:t xml:space="preserve">VPSC (Victorian Public Sector Commission) (2018), </w:t>
      </w:r>
      <w:r w:rsidRPr="00E80A8A">
        <w:rPr>
          <w:rFonts w:eastAsia="Aptos" w:cs="Arial"/>
          <w:i/>
          <w:iCs/>
          <w:color w:val="000000"/>
          <w:szCs w:val="20"/>
          <w:lang w:val="en-US"/>
        </w:rPr>
        <w:t>Executive Workforce Reform, Industry Segment Reviews: final report for public release</w:t>
      </w:r>
      <w:r w:rsidRPr="00E80A8A">
        <w:rPr>
          <w:rFonts w:eastAsia="Aptos" w:cs="Arial"/>
          <w:color w:val="000000"/>
          <w:szCs w:val="20"/>
          <w:lang w:val="en-US"/>
        </w:rPr>
        <w:t>.</w:t>
      </w:r>
    </w:p>
    <w:p w14:paraId="2151E311"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(2022a), </w:t>
      </w:r>
      <w:r w:rsidRPr="00E80A8A">
        <w:rPr>
          <w:rFonts w:eastAsia="Aptos" w:cs="Arial"/>
          <w:i/>
          <w:iCs/>
          <w:color w:val="000000"/>
          <w:szCs w:val="20"/>
          <w:lang w:val="en-US"/>
        </w:rPr>
        <w:t>Employment arrangements for public entities</w:t>
      </w:r>
      <w:r w:rsidRPr="00E80A8A">
        <w:rPr>
          <w:rFonts w:eastAsia="Aptos" w:cs="Arial"/>
          <w:color w:val="000000"/>
          <w:szCs w:val="20"/>
          <w:lang w:val="en-US"/>
        </w:rPr>
        <w:t xml:space="preserve">. </w:t>
      </w:r>
    </w:p>
    <w:p w14:paraId="5D80D5D2"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w:t>
      </w:r>
      <w:r w:rsidRPr="00E80A8A">
        <w:rPr>
          <w:rFonts w:eastAsia="Aptos" w:cs="Arial"/>
          <w:color w:val="000000"/>
          <w:szCs w:val="20"/>
          <w:lang w:val="en-US"/>
        </w:rPr>
        <w:t xml:space="preserve">(2022b), </w:t>
      </w:r>
      <w:r w:rsidRPr="00E80A8A">
        <w:rPr>
          <w:rFonts w:eastAsia="Aptos" w:cs="Arial"/>
          <w:i/>
          <w:iCs/>
          <w:color w:val="000000"/>
          <w:szCs w:val="20"/>
          <w:lang w:val="en-US"/>
        </w:rPr>
        <w:t>Flexible work policy</w:t>
      </w:r>
      <w:r w:rsidRPr="00E80A8A">
        <w:rPr>
          <w:rFonts w:eastAsia="Aptos" w:cs="Arial"/>
          <w:color w:val="000000"/>
          <w:szCs w:val="20"/>
          <w:lang w:val="en-US"/>
        </w:rPr>
        <w:t>.</w:t>
      </w:r>
    </w:p>
    <w:p w14:paraId="3297C08B"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(2022c), </w:t>
      </w:r>
      <w:r w:rsidRPr="00E80A8A">
        <w:rPr>
          <w:rFonts w:eastAsia="Aptos" w:cs="Arial"/>
          <w:i/>
          <w:iCs/>
          <w:color w:val="000000"/>
          <w:szCs w:val="20"/>
        </w:rPr>
        <w:t>Legal form and governance arrangements for public entities.</w:t>
      </w:r>
      <w:r w:rsidRPr="00E80A8A">
        <w:rPr>
          <w:rFonts w:eastAsia="Aptos" w:cs="Arial"/>
          <w:color w:val="000000"/>
          <w:szCs w:val="20"/>
        </w:rPr>
        <w:t xml:space="preserve"> </w:t>
      </w:r>
    </w:p>
    <w:p w14:paraId="02C25384"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(2022d), </w:t>
      </w:r>
      <w:r w:rsidRPr="00E80A8A">
        <w:rPr>
          <w:rFonts w:eastAsia="Aptos" w:cs="Arial"/>
          <w:i/>
          <w:iCs/>
          <w:color w:val="000000"/>
          <w:szCs w:val="20"/>
        </w:rPr>
        <w:t>Public entity executive classification framework</w:t>
      </w:r>
      <w:r w:rsidRPr="00E80A8A">
        <w:rPr>
          <w:rFonts w:eastAsia="Aptos" w:cs="Arial"/>
          <w:color w:val="000000"/>
          <w:szCs w:val="20"/>
        </w:rPr>
        <w:t xml:space="preserve">, </w:t>
      </w:r>
      <w:hyperlink r:id="rId97" w:history="1">
        <w:r w:rsidRPr="00E80A8A">
          <w:rPr>
            <w:rFonts w:eastAsia="Aptos" w:cs="Arial"/>
            <w:color w:val="467886"/>
            <w:szCs w:val="20"/>
            <w:u w:val="single"/>
          </w:rPr>
          <w:t>https://vpsc.vic.gov.au/execut</w:t>
        </w:r>
        <w:bookmarkStart w:id="98" w:name="_Hlt185246202"/>
        <w:bookmarkStart w:id="99" w:name="_Hlt185246203"/>
        <w:r w:rsidRPr="00E80A8A">
          <w:rPr>
            <w:rFonts w:eastAsia="Aptos" w:cs="Arial"/>
            <w:color w:val="467886"/>
            <w:szCs w:val="20"/>
            <w:u w:val="single"/>
          </w:rPr>
          <w:t>i</w:t>
        </w:r>
        <w:bookmarkEnd w:id="98"/>
        <w:bookmarkEnd w:id="99"/>
        <w:r w:rsidRPr="00E80A8A">
          <w:rPr>
            <w:rFonts w:eastAsia="Aptos" w:cs="Arial"/>
            <w:color w:val="467886"/>
            <w:szCs w:val="20"/>
            <w:u w:val="single"/>
          </w:rPr>
          <w:t>ve-employment/victorian-public-entity-executive-employment/public-entity-executive-classification-framework/</w:t>
        </w:r>
      </w:hyperlink>
      <w:r w:rsidRPr="00E80A8A">
        <w:rPr>
          <w:rFonts w:eastAsia="Aptos" w:cs="Arial"/>
          <w:color w:val="000000"/>
          <w:szCs w:val="20"/>
        </w:rPr>
        <w:t>, accessed 14 December 2024.</w:t>
      </w:r>
    </w:p>
    <w:p w14:paraId="740A9936"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(2022e), </w:t>
      </w:r>
      <w:r w:rsidRPr="00E80A8A">
        <w:rPr>
          <w:rFonts w:eastAsia="Aptos" w:cs="Arial"/>
          <w:i/>
          <w:iCs/>
          <w:color w:val="000000"/>
          <w:szCs w:val="20"/>
        </w:rPr>
        <w:t>Public entity executive handbook</w:t>
      </w:r>
      <w:r w:rsidRPr="00E80A8A">
        <w:rPr>
          <w:rFonts w:eastAsia="Aptos" w:cs="Arial"/>
          <w:color w:val="000000"/>
          <w:szCs w:val="20"/>
        </w:rPr>
        <w:t>.</w:t>
      </w:r>
    </w:p>
    <w:p w14:paraId="55A4978B"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w:t>
      </w:r>
      <w:r w:rsidRPr="00E80A8A">
        <w:rPr>
          <w:rFonts w:eastAsia="Aptos" w:cs="Arial"/>
          <w:color w:val="000000"/>
          <w:szCs w:val="20"/>
          <w:lang w:val="en-US"/>
        </w:rPr>
        <w:t xml:space="preserve"> (2022f), </w:t>
      </w:r>
      <w:r w:rsidRPr="00E80A8A">
        <w:rPr>
          <w:rFonts w:eastAsia="Aptos" w:cs="Arial"/>
          <w:i/>
          <w:iCs/>
          <w:color w:val="000000"/>
          <w:szCs w:val="20"/>
          <w:lang w:val="en-US"/>
        </w:rPr>
        <w:t>Serving Victoria: A guide for public sector CEOs.</w:t>
      </w:r>
    </w:p>
    <w:p w14:paraId="265681B2"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w:t>
      </w:r>
      <w:r w:rsidRPr="00E80A8A">
        <w:rPr>
          <w:rFonts w:eastAsia="Aptos" w:cs="Arial"/>
          <w:color w:val="000000"/>
          <w:szCs w:val="20"/>
          <w:lang w:val="en-US"/>
        </w:rPr>
        <w:t xml:space="preserve">(2022g), </w:t>
      </w:r>
      <w:r w:rsidRPr="00E80A8A">
        <w:rPr>
          <w:rFonts w:eastAsia="Aptos" w:cs="Arial"/>
          <w:i/>
          <w:iCs/>
          <w:color w:val="000000"/>
          <w:szCs w:val="20"/>
          <w:lang w:val="en-US"/>
        </w:rPr>
        <w:t>Victorian Public Service (VPS) executive classification framewor</w:t>
      </w:r>
      <w:r w:rsidRPr="00E80A8A">
        <w:rPr>
          <w:rFonts w:eastAsia="Aptos" w:cs="Arial"/>
          <w:color w:val="000000"/>
          <w:szCs w:val="20"/>
          <w:lang w:val="en-US"/>
        </w:rPr>
        <w:t xml:space="preserve">k, </w:t>
      </w:r>
      <w:hyperlink r:id="rId98" w:history="1">
        <w:r w:rsidRPr="00E80A8A">
          <w:rPr>
            <w:rFonts w:eastAsia="Aptos" w:cs="Arial"/>
            <w:color w:val="467886"/>
            <w:szCs w:val="20"/>
            <w:u w:val="single"/>
            <w:lang w:val="en-US"/>
          </w:rPr>
          <w:t>https://vpsc.vic.gov.au/executive-employment/victorian-public-service-executive-employment/vps-executive-classification-framework/</w:t>
        </w:r>
      </w:hyperlink>
      <w:r w:rsidRPr="00E80A8A">
        <w:rPr>
          <w:rFonts w:eastAsia="Aptos" w:cs="Arial"/>
          <w:color w:val="000000"/>
          <w:szCs w:val="20"/>
          <w:lang w:val="en-US"/>
        </w:rPr>
        <w:t>, accessed 14 December 2024.</w:t>
      </w:r>
    </w:p>
    <w:p w14:paraId="5FBA471B"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(2024a), </w:t>
      </w:r>
      <w:r w:rsidRPr="00E80A8A">
        <w:rPr>
          <w:rFonts w:eastAsia="Aptos" w:cs="Arial"/>
          <w:i/>
          <w:iCs/>
          <w:color w:val="000000"/>
          <w:szCs w:val="20"/>
        </w:rPr>
        <w:t>Executive pay and gender pay 2023</w:t>
      </w:r>
      <w:r w:rsidRPr="00E80A8A">
        <w:rPr>
          <w:rFonts w:eastAsia="Aptos" w:cs="Arial"/>
          <w:color w:val="000000"/>
          <w:szCs w:val="20"/>
        </w:rPr>
        <w:t xml:space="preserve">, </w:t>
      </w:r>
      <w:hyperlink r:id="rId99" w:history="1">
        <w:r w:rsidRPr="00E80A8A">
          <w:rPr>
            <w:rFonts w:eastAsia="Aptos" w:cs="Arial"/>
            <w:color w:val="467886"/>
            <w:szCs w:val="20"/>
            <w:u w:val="single"/>
          </w:rPr>
          <w:t>https://vpsc.vic.gov.au/workforce-data-state-of-the-public-sector/employee-and-executive-pay-leave-and-work-arrangements-2023/executive-pay-and-gender-pay-2023/</w:t>
        </w:r>
      </w:hyperlink>
      <w:r w:rsidRPr="00E80A8A">
        <w:rPr>
          <w:rFonts w:eastAsia="Aptos" w:cs="Arial"/>
          <w:color w:val="000000"/>
          <w:szCs w:val="20"/>
        </w:rPr>
        <w:t>, accessed 2 December 2024.</w:t>
      </w:r>
    </w:p>
    <w:p w14:paraId="0846AE8E"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(2024b), </w:t>
      </w:r>
      <w:r w:rsidRPr="00E80A8A">
        <w:rPr>
          <w:rFonts w:eastAsia="Aptos" w:cs="Arial"/>
          <w:i/>
          <w:iCs/>
          <w:color w:val="000000"/>
          <w:szCs w:val="20"/>
        </w:rPr>
        <w:t>Flexible work 2023</w:t>
      </w:r>
      <w:r w:rsidRPr="00E80A8A">
        <w:rPr>
          <w:rFonts w:eastAsia="Aptos" w:cs="Arial"/>
          <w:color w:val="000000"/>
          <w:szCs w:val="20"/>
        </w:rPr>
        <w:t xml:space="preserve">, </w:t>
      </w:r>
      <w:hyperlink r:id="rId100" w:history="1">
        <w:r w:rsidRPr="00E80A8A">
          <w:rPr>
            <w:rFonts w:eastAsia="Aptos" w:cs="Arial"/>
            <w:color w:val="467886"/>
            <w:szCs w:val="20"/>
            <w:u w:val="single"/>
          </w:rPr>
          <w:t>https://vpsc.vic.gov.au/workforce-data-state-of-the-public-sector/employee-experiences-in-the-workplace-2023/flexible-work-2023/</w:t>
        </w:r>
      </w:hyperlink>
      <w:r w:rsidRPr="00E80A8A">
        <w:rPr>
          <w:rFonts w:eastAsia="Aptos" w:cs="Arial"/>
          <w:color w:val="000000"/>
          <w:szCs w:val="20"/>
        </w:rPr>
        <w:t>, accessed 14 December 2024.</w:t>
      </w:r>
    </w:p>
    <w:p w14:paraId="1AA3259A" w14:textId="0045B5CC"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w:t>
      </w:r>
      <w:r w:rsidRPr="00E80A8A">
        <w:rPr>
          <w:rFonts w:eastAsia="Aptos" w:cs="Arial"/>
          <w:color w:val="000000"/>
          <w:szCs w:val="20"/>
          <w:lang w:val="en-US"/>
        </w:rPr>
        <w:t>(2024c),</w:t>
      </w:r>
      <w:r w:rsidRPr="00E80A8A">
        <w:rPr>
          <w:rFonts w:eastAsia="Aptos" w:cs="Arial"/>
          <w:color w:val="000000"/>
          <w:szCs w:val="20"/>
        </w:rPr>
        <w:t xml:space="preserve"> </w:t>
      </w:r>
      <w:r w:rsidRPr="00E80A8A">
        <w:rPr>
          <w:rFonts w:eastAsia="Aptos" w:cs="Arial"/>
          <w:i/>
          <w:iCs/>
          <w:color w:val="000000"/>
          <w:szCs w:val="20"/>
          <w:lang w:val="en-US"/>
        </w:rPr>
        <w:t>Functions and features of public entities</w:t>
      </w:r>
      <w:r w:rsidRPr="00E80A8A">
        <w:rPr>
          <w:rFonts w:eastAsia="Aptos" w:cs="Arial"/>
          <w:color w:val="000000"/>
          <w:szCs w:val="20"/>
          <w:lang w:val="en-US"/>
        </w:rPr>
        <w:t xml:space="preserve">, </w:t>
      </w:r>
      <w:hyperlink r:id="rId101" w:history="1">
        <w:r w:rsidRPr="00E80A8A">
          <w:rPr>
            <w:rFonts w:eastAsia="Aptos" w:cs="Arial"/>
            <w:color w:val="467886"/>
            <w:szCs w:val="20"/>
            <w:u w:val="single"/>
            <w:lang w:val="en-US"/>
          </w:rPr>
          <w:t>https://vpsc.vic.gov.au/governance/public-entity-types-features-and-functions/functions-and-features-of-public-entities/</w:t>
        </w:r>
      </w:hyperlink>
      <w:r w:rsidRPr="00E80A8A">
        <w:rPr>
          <w:rFonts w:eastAsia="Aptos" w:cs="Arial"/>
          <w:color w:val="000000"/>
          <w:szCs w:val="20"/>
          <w:lang w:val="en-US"/>
        </w:rPr>
        <w:t>, accessed 5</w:t>
      </w:r>
      <w:r w:rsidR="00F573FF">
        <w:rPr>
          <w:rFonts w:eastAsia="Aptos" w:cs="Arial"/>
          <w:color w:val="000000"/>
          <w:szCs w:val="20"/>
          <w:lang w:val="en-US"/>
        </w:rPr>
        <w:t> </w:t>
      </w:r>
      <w:r w:rsidRPr="00E80A8A">
        <w:rPr>
          <w:rFonts w:eastAsia="Aptos" w:cs="Arial"/>
          <w:color w:val="000000"/>
          <w:szCs w:val="20"/>
          <w:lang w:val="en-US"/>
        </w:rPr>
        <w:t xml:space="preserve">December 2024. </w:t>
      </w:r>
    </w:p>
    <w:p w14:paraId="7FE63845"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(2024d), </w:t>
      </w:r>
      <w:r w:rsidRPr="00E80A8A">
        <w:rPr>
          <w:rFonts w:eastAsia="Aptos" w:cs="Arial"/>
          <w:i/>
          <w:iCs/>
          <w:color w:val="000000"/>
          <w:szCs w:val="20"/>
        </w:rPr>
        <w:t>List of public sector employers</w:t>
      </w:r>
      <w:r w:rsidRPr="00E80A8A">
        <w:rPr>
          <w:rFonts w:eastAsia="Aptos" w:cs="Arial"/>
          <w:color w:val="000000"/>
          <w:szCs w:val="20"/>
        </w:rPr>
        <w:t xml:space="preserve">, </w:t>
      </w:r>
      <w:hyperlink r:id="rId102" w:history="1">
        <w:r w:rsidRPr="00E80A8A">
          <w:rPr>
            <w:rFonts w:eastAsia="Aptos" w:cs="Arial"/>
            <w:color w:val="467886"/>
            <w:szCs w:val="20"/>
            <w:u w:val="single"/>
          </w:rPr>
          <w:t>https://vpsc.vic.gov.au/about-public-sector/employer-public-sector-bodies/</w:t>
        </w:r>
      </w:hyperlink>
      <w:r w:rsidRPr="00E80A8A">
        <w:rPr>
          <w:rFonts w:eastAsia="Aptos" w:cs="Arial"/>
          <w:color w:val="000000"/>
          <w:szCs w:val="20"/>
        </w:rPr>
        <w:t xml:space="preserve">, accessed 5 December 2024.  </w:t>
      </w:r>
    </w:p>
    <w:p w14:paraId="3E09992A" w14:textId="2150F9F6"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lastRenderedPageBreak/>
        <w:t xml:space="preserve">——— </w:t>
      </w:r>
      <w:r w:rsidRPr="00E80A8A">
        <w:rPr>
          <w:rFonts w:eastAsia="Aptos" w:cs="Arial"/>
          <w:color w:val="000000"/>
          <w:szCs w:val="20"/>
          <w:lang w:val="en-US"/>
        </w:rPr>
        <w:t xml:space="preserve">(2024e), </w:t>
      </w:r>
      <w:r w:rsidRPr="00E80A8A">
        <w:rPr>
          <w:rFonts w:eastAsia="Aptos" w:cs="Arial"/>
          <w:i/>
          <w:iCs/>
          <w:color w:val="000000"/>
          <w:szCs w:val="20"/>
          <w:lang w:val="en-US"/>
        </w:rPr>
        <w:t>Public sector integrity framework</w:t>
      </w:r>
      <w:r w:rsidRPr="00E80A8A">
        <w:rPr>
          <w:rFonts w:eastAsia="Aptos" w:cs="Arial"/>
          <w:color w:val="000000"/>
          <w:szCs w:val="20"/>
          <w:lang w:val="en-US"/>
        </w:rPr>
        <w:t xml:space="preserve">, </w:t>
      </w:r>
      <w:hyperlink r:id="rId103" w:history="1">
        <w:r w:rsidRPr="00E80A8A">
          <w:rPr>
            <w:rFonts w:eastAsia="Aptos" w:cs="Arial"/>
            <w:color w:val="467886"/>
            <w:szCs w:val="20"/>
            <w:u w:val="single"/>
          </w:rPr>
          <w:t>https://vpsc.vic.gov.au/ethics-behaviours-culture/public-sector-integrity-framework/</w:t>
        </w:r>
      </w:hyperlink>
      <w:r w:rsidRPr="00E80A8A">
        <w:rPr>
          <w:rFonts w:eastAsia="Aptos" w:cs="Arial"/>
          <w:color w:val="000000"/>
          <w:szCs w:val="20"/>
        </w:rPr>
        <w:t>, accessed 14</w:t>
      </w:r>
      <w:r w:rsidR="00F573FF">
        <w:rPr>
          <w:rFonts w:eastAsia="Aptos" w:cs="Arial"/>
          <w:color w:val="000000"/>
          <w:szCs w:val="20"/>
        </w:rPr>
        <w:t> </w:t>
      </w:r>
      <w:r w:rsidRPr="00E80A8A">
        <w:rPr>
          <w:rFonts w:eastAsia="Aptos" w:cs="Arial"/>
          <w:color w:val="000000"/>
          <w:szCs w:val="20"/>
        </w:rPr>
        <w:t>December2024.</w:t>
      </w:r>
    </w:p>
    <w:p w14:paraId="1145C1E4" w14:textId="77777777" w:rsidR="00E80A8A" w:rsidRPr="00E80A8A" w:rsidRDefault="00E80A8A" w:rsidP="00E80A8A">
      <w:pPr>
        <w:spacing w:after="0"/>
        <w:ind w:left="720" w:hanging="720"/>
        <w:jc w:val="left"/>
        <w:rPr>
          <w:rFonts w:eastAsia="Aptos" w:cs="Arial"/>
          <w:color w:val="000000"/>
          <w:szCs w:val="20"/>
          <w:lang w:val="en-US"/>
        </w:rPr>
      </w:pPr>
      <w:r w:rsidRPr="00E80A8A">
        <w:rPr>
          <w:rFonts w:eastAsia="Aptos" w:cs="Arial"/>
          <w:color w:val="000000"/>
          <w:szCs w:val="20"/>
        </w:rPr>
        <w:t xml:space="preserve">——— </w:t>
      </w:r>
      <w:r w:rsidRPr="00E80A8A">
        <w:rPr>
          <w:rFonts w:eastAsia="Aptos" w:cs="Arial"/>
          <w:color w:val="000000"/>
          <w:szCs w:val="20"/>
          <w:lang w:val="en-US"/>
        </w:rPr>
        <w:t xml:space="preserve">(2024f), </w:t>
      </w:r>
      <w:r w:rsidRPr="00E80A8A">
        <w:rPr>
          <w:rFonts w:eastAsia="Aptos" w:cs="Arial"/>
          <w:i/>
          <w:iCs/>
          <w:color w:val="000000"/>
          <w:szCs w:val="20"/>
          <w:lang w:val="en-US"/>
        </w:rPr>
        <w:t>VPS Executive Employment Handbook</w:t>
      </w:r>
      <w:r w:rsidRPr="00E80A8A">
        <w:rPr>
          <w:rFonts w:eastAsia="Aptos" w:cs="Arial"/>
          <w:color w:val="000000"/>
          <w:szCs w:val="20"/>
          <w:lang w:val="en-US"/>
        </w:rPr>
        <w:t>.</w:t>
      </w:r>
    </w:p>
    <w:p w14:paraId="3C2C154E"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 </w:t>
      </w:r>
      <w:r w:rsidRPr="00E80A8A">
        <w:rPr>
          <w:rFonts w:eastAsia="Aptos" w:cs="Arial"/>
          <w:color w:val="000000"/>
          <w:szCs w:val="20"/>
          <w:lang w:val="en-US"/>
        </w:rPr>
        <w:t xml:space="preserve">(n.d.), </w:t>
      </w:r>
      <w:r w:rsidRPr="00E80A8A">
        <w:rPr>
          <w:rFonts w:eastAsia="Aptos" w:cs="Arial"/>
          <w:i/>
          <w:iCs/>
          <w:color w:val="000000"/>
          <w:szCs w:val="20"/>
        </w:rPr>
        <w:t>Standard contract</w:t>
      </w:r>
      <w:r w:rsidRPr="00E80A8A">
        <w:rPr>
          <w:rFonts w:eastAsia="Aptos" w:cs="Arial"/>
          <w:color w:val="000000"/>
          <w:szCs w:val="20"/>
        </w:rPr>
        <w:t xml:space="preserve">. </w:t>
      </w:r>
    </w:p>
    <w:p w14:paraId="023A2423"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Williamson S, Taylor H, Lundy J and </w:t>
      </w:r>
      <w:proofErr w:type="spellStart"/>
      <w:r w:rsidRPr="00E80A8A">
        <w:rPr>
          <w:rFonts w:eastAsia="Aptos" w:cs="Arial"/>
          <w:color w:val="000000"/>
          <w:szCs w:val="20"/>
        </w:rPr>
        <w:t>Jogulu</w:t>
      </w:r>
      <w:proofErr w:type="spellEnd"/>
      <w:r w:rsidRPr="00E80A8A">
        <w:rPr>
          <w:rFonts w:eastAsia="Aptos" w:cs="Arial"/>
          <w:color w:val="000000"/>
          <w:szCs w:val="20"/>
        </w:rPr>
        <w:t xml:space="preserve"> U (2024),</w:t>
      </w:r>
      <w:r w:rsidRPr="00E80A8A">
        <w:rPr>
          <w:rFonts w:eastAsia="Aptos" w:cs="Arial"/>
          <w:i/>
          <w:iCs/>
          <w:color w:val="000000"/>
          <w:szCs w:val="20"/>
        </w:rPr>
        <w:t xml:space="preserve"> Hybrid Working: From ‘the new normal’ to ‘business as usual’</w:t>
      </w:r>
      <w:r w:rsidRPr="00E80A8A">
        <w:rPr>
          <w:rFonts w:eastAsia="Aptos" w:cs="Arial"/>
          <w:color w:val="000000"/>
          <w:szCs w:val="20"/>
        </w:rPr>
        <w:t xml:space="preserve">. </w:t>
      </w:r>
    </w:p>
    <w:p w14:paraId="0B88FB2E" w14:textId="77777777" w:rsidR="00E80A8A" w:rsidRPr="00E80A8A" w:rsidRDefault="00E80A8A" w:rsidP="00E80A8A">
      <w:pPr>
        <w:spacing w:after="0"/>
        <w:ind w:left="720" w:hanging="720"/>
        <w:jc w:val="left"/>
        <w:rPr>
          <w:rFonts w:eastAsia="Aptos" w:cs="Arial"/>
          <w:color w:val="000000"/>
          <w:szCs w:val="20"/>
        </w:rPr>
      </w:pPr>
      <w:r w:rsidRPr="00E80A8A">
        <w:rPr>
          <w:rFonts w:eastAsia="Aptos" w:cs="Arial"/>
          <w:color w:val="000000"/>
          <w:szCs w:val="20"/>
        </w:rPr>
        <w:t xml:space="preserve">Workplace Injury Commission (2024), </w:t>
      </w:r>
      <w:r w:rsidRPr="00E80A8A">
        <w:rPr>
          <w:rFonts w:eastAsia="Aptos" w:cs="Arial"/>
          <w:i/>
          <w:iCs/>
          <w:color w:val="000000"/>
          <w:szCs w:val="20"/>
        </w:rPr>
        <w:t>Homepage</w:t>
      </w:r>
      <w:r w:rsidRPr="00E80A8A">
        <w:rPr>
          <w:rFonts w:eastAsia="Aptos" w:cs="Arial"/>
          <w:color w:val="000000"/>
          <w:szCs w:val="20"/>
        </w:rPr>
        <w:t xml:space="preserve">, </w:t>
      </w:r>
      <w:hyperlink r:id="rId104" w:history="1">
        <w:r w:rsidRPr="00E80A8A">
          <w:rPr>
            <w:rFonts w:eastAsia="Aptos" w:cs="Arial"/>
            <w:color w:val="467886"/>
            <w:szCs w:val="20"/>
            <w:u w:val="single"/>
          </w:rPr>
          <w:t>https://www.wic.vic.gov.au/</w:t>
        </w:r>
      </w:hyperlink>
      <w:r w:rsidRPr="00E80A8A">
        <w:rPr>
          <w:rFonts w:eastAsia="Aptos" w:cs="Arial"/>
          <w:color w:val="000000"/>
          <w:szCs w:val="20"/>
        </w:rPr>
        <w:t xml:space="preserve">, accessed 5 December 2024. </w:t>
      </w:r>
    </w:p>
    <w:p w14:paraId="5C500959" w14:textId="7BB2C04F" w:rsidR="00EB2A31" w:rsidRDefault="00EB2A31" w:rsidP="00EB2A31">
      <w:pPr>
        <w:pStyle w:val="05Paragraph"/>
        <w:ind w:left="720" w:hanging="720"/>
        <w:jc w:val="left"/>
        <w:rPr>
          <w:highlight w:val="yellow"/>
          <w:lang w:val="en-US"/>
        </w:rPr>
      </w:pPr>
    </w:p>
    <w:p w14:paraId="4CDCBA03" w14:textId="77777777" w:rsidR="00BD1707" w:rsidRDefault="00BD1707" w:rsidP="00DA3664">
      <w:pPr>
        <w:pStyle w:val="05Paragraph"/>
        <w:ind w:left="720" w:hanging="720"/>
        <w:jc w:val="left"/>
      </w:pPr>
    </w:p>
    <w:sectPr w:rsidR="00BD1707" w:rsidSect="00FF54A2">
      <w:headerReference w:type="even" r:id="rId105"/>
      <w:headerReference w:type="default" r:id="rId106"/>
      <w:footerReference w:type="even" r:id="rId107"/>
      <w:footerReference w:type="default" r:id="rId108"/>
      <w:headerReference w:type="first" r:id="rId109"/>
      <w:footerReference w:type="first" r:id="rId110"/>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914C" w14:textId="77777777" w:rsidR="002C2EFB" w:rsidRDefault="002C2EFB" w:rsidP="0041202E">
      <w:pPr>
        <w:spacing w:after="0"/>
      </w:pPr>
      <w:r>
        <w:separator/>
      </w:r>
    </w:p>
  </w:endnote>
  <w:endnote w:type="continuationSeparator" w:id="0">
    <w:p w14:paraId="03B4CB0E" w14:textId="77777777" w:rsidR="002C2EFB" w:rsidRDefault="002C2EFB" w:rsidP="0041202E">
      <w:pPr>
        <w:spacing w:after="0"/>
      </w:pPr>
      <w:r>
        <w:continuationSeparator/>
      </w:r>
    </w:p>
  </w:endnote>
  <w:endnote w:type="continuationNotice" w:id="1">
    <w:p w14:paraId="7B8B4EBD" w14:textId="77777777" w:rsidR="002C2EFB" w:rsidRDefault="002C2E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MinchoB">
    <w:altName w:val="HG明朝B"/>
    <w:panose1 w:val="00000000000000000000"/>
    <w:charset w:val="8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Mincho">
    <w:altName w:val="@Yu Gothic"/>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33FF" w14:textId="65216896" w:rsidR="00422BA7" w:rsidRDefault="004E4B41">
    <w:pPr>
      <w:pStyle w:val="Footer"/>
    </w:pPr>
    <w:r>
      <w:rPr>
        <w:noProof/>
      </w:rPr>
      <mc:AlternateContent>
        <mc:Choice Requires="wps">
          <w:drawing>
            <wp:anchor distT="0" distB="0" distL="0" distR="0" simplePos="0" relativeHeight="251656192" behindDoc="0" locked="0" layoutInCell="1" allowOverlap="1" wp14:anchorId="4DB62459" wp14:editId="2222190D">
              <wp:simplePos x="635" y="635"/>
              <wp:positionH relativeFrom="page">
                <wp:align>left</wp:align>
              </wp:positionH>
              <wp:positionV relativeFrom="page">
                <wp:align>bottom</wp:align>
              </wp:positionV>
              <wp:extent cx="759460" cy="501015"/>
              <wp:effectExtent l="0" t="0" r="2540" b="0"/>
              <wp:wrapNone/>
              <wp:docPr id="108169106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3094CEEA" w14:textId="57D2B6F5"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B62459" id="_x0000_t202" coordsize="21600,21600" o:spt="202" path="m,l,21600r21600,l21600,xe">
              <v:stroke joinstyle="miter"/>
              <v:path gradientshapeok="t" o:connecttype="rect"/>
            </v:shapetype>
            <v:shape id="Text Box 11" o:spid="_x0000_s1040" type="#_x0000_t202" alt="OFFICIAL" style="position:absolute;left:0;text-align:left;margin-left:0;margin-top:0;width:59.8pt;height:39.4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" filled="f" stroked="f">
              <v:textbox style="mso-fit-shape-to-text:t" inset="20pt,0,0,15pt">
                <w:txbxContent>
                  <w:p w14:paraId="3094CEEA" w14:textId="57D2B6F5"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v:textbox>
              <w10:wrap anchorx="page" anchory="page"/>
            </v:shape>
          </w:pict>
        </mc:Fallback>
      </mc:AlternateContent>
    </w:r>
  </w:p>
  <w:p w14:paraId="7690B080" w14:textId="77777777" w:rsidR="00422BA7" w:rsidRDefault="00422BA7">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C791" w14:textId="724B1486" w:rsidR="00422BA7" w:rsidRDefault="004E4B41">
    <w:pPr>
      <w:pStyle w:val="Footer"/>
      <w:jc w:val="center"/>
    </w:pPr>
    <w:r>
      <w:rPr>
        <w:noProof/>
      </w:rPr>
      <mc:AlternateContent>
        <mc:Choice Requires="wps">
          <w:drawing>
            <wp:anchor distT="0" distB="0" distL="0" distR="0" simplePos="0" relativeHeight="251655168" behindDoc="0" locked="0" layoutInCell="1" allowOverlap="1" wp14:anchorId="455F41BB" wp14:editId="563E6807">
              <wp:simplePos x="635" y="635"/>
              <wp:positionH relativeFrom="page">
                <wp:align>left</wp:align>
              </wp:positionH>
              <wp:positionV relativeFrom="page">
                <wp:align>bottom</wp:align>
              </wp:positionV>
              <wp:extent cx="759460" cy="501015"/>
              <wp:effectExtent l="0" t="0" r="2540" b="0"/>
              <wp:wrapNone/>
              <wp:docPr id="173476490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51F61FD8" w14:textId="6A308D4A"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5F41BB" id="_x0000_t202" coordsize="21600,21600" o:spt="202" path="m,l,21600r21600,l21600,xe">
              <v:stroke joinstyle="miter"/>
              <v:path gradientshapeok="t" o:connecttype="rect"/>
            </v:shapetype>
            <v:shape id="Text Box 10" o:spid="_x0000_s1041" type="#_x0000_t202" alt="OFFICIAL" style="position:absolute;left:0;text-align:left;margin-left:0;margin-top:0;width:59.8pt;height:39.45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" filled="f" stroked="f">
              <v:textbox style="mso-fit-shape-to-text:t" inset="20pt,0,0,15pt">
                <w:txbxContent>
                  <w:p w14:paraId="51F61FD8" w14:textId="6A308D4A"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v:textbox>
              <w10:wrap anchorx="page" anchory="page"/>
            </v:shape>
          </w:pict>
        </mc:Fallback>
      </mc:AlternateContent>
    </w:r>
    <w:r w:rsidR="00422BA7">
      <w:fldChar w:fldCharType="begin"/>
    </w:r>
    <w:r w:rsidR="00422BA7">
      <w:instrText xml:space="preserve"> PAGE   \* MERGEFORMAT </w:instrText>
    </w:r>
    <w:r w:rsidR="00422BA7">
      <w:fldChar w:fldCharType="separate"/>
    </w:r>
    <w:r w:rsidR="00422BA7">
      <w:rPr>
        <w:noProof/>
      </w:rPr>
      <w:t>2</w:t>
    </w:r>
    <w:r w:rsidR="00422BA7">
      <w:rPr>
        <w:noProof/>
      </w:rPr>
      <w:fldChar w:fldCharType="end"/>
    </w:r>
  </w:p>
  <w:p w14:paraId="1498DF38" w14:textId="77777777" w:rsidR="00422BA7" w:rsidRDefault="00422B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B803" w14:textId="2A62D99C" w:rsidR="00AF3606" w:rsidRDefault="004E4B41">
    <w:pPr>
      <w:pStyle w:val="Footer"/>
    </w:pPr>
    <w:r>
      <w:rPr>
        <w:noProof/>
      </w:rPr>
      <mc:AlternateContent>
        <mc:Choice Requires="wps">
          <w:drawing>
            <wp:anchor distT="0" distB="0" distL="0" distR="0" simplePos="0" relativeHeight="251658240" behindDoc="0" locked="0" layoutInCell="1" allowOverlap="1" wp14:anchorId="2D42F390" wp14:editId="51B2C250">
              <wp:simplePos x="635" y="635"/>
              <wp:positionH relativeFrom="page">
                <wp:align>left</wp:align>
              </wp:positionH>
              <wp:positionV relativeFrom="page">
                <wp:align>bottom</wp:align>
              </wp:positionV>
              <wp:extent cx="759460" cy="501015"/>
              <wp:effectExtent l="0" t="0" r="2540" b="0"/>
              <wp:wrapNone/>
              <wp:docPr id="172843899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57142883" w14:textId="3B630587"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2F390" id="_x0000_t202" coordsize="21600,21600" o:spt="202" path="m,l,21600r21600,l21600,xe">
              <v:stroke joinstyle="miter"/>
              <v:path gradientshapeok="t" o:connecttype="rect"/>
            </v:shapetype>
            <v:shape id="Text Box 14" o:spid="_x0000_s1042" type="#_x0000_t202" alt="OFFICIAL" style="position:absolute;left:0;text-align:left;margin-left:0;margin-top:0;width:59.8pt;height:39.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" filled="f" stroked="f">
              <v:textbox style="mso-fit-shape-to-text:t" inset="20pt,0,0,15pt">
                <w:txbxContent>
                  <w:p w14:paraId="57142883" w14:textId="3B630587"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2883" w14:textId="73641753" w:rsidR="004C290F" w:rsidRPr="000D0C8E" w:rsidRDefault="004C3BB2">
    <w:pPr>
      <w:pStyle w:val="Footer"/>
      <w:jc w:val="center"/>
      <w:rPr>
        <w:color w:val="auto"/>
      </w:rPr>
    </w:pPr>
    <w:sdt>
      <w:sdtPr>
        <w:id w:val="-428116657"/>
        <w:docPartObj>
          <w:docPartGallery w:val="Page Numbers (Bottom of Page)"/>
          <w:docPartUnique/>
        </w:docPartObj>
      </w:sdtPr>
      <w:sdtEndPr>
        <w:rPr>
          <w:noProof/>
          <w:color w:val="auto"/>
        </w:rPr>
      </w:sdtEndPr>
      <w:sdtContent>
        <w:r w:rsidR="004C290F" w:rsidRPr="000D0C8E">
          <w:rPr>
            <w:color w:val="auto"/>
          </w:rPr>
          <w:fldChar w:fldCharType="begin"/>
        </w:r>
        <w:r w:rsidR="004C290F" w:rsidRPr="000D0C8E">
          <w:rPr>
            <w:color w:val="auto"/>
          </w:rPr>
          <w:instrText xml:space="preserve"> PAGE   \* MERGEFORMAT </w:instrText>
        </w:r>
        <w:r w:rsidR="004C290F" w:rsidRPr="000D0C8E">
          <w:rPr>
            <w:color w:val="auto"/>
          </w:rPr>
          <w:fldChar w:fldCharType="separate"/>
        </w:r>
        <w:r w:rsidR="004C290F" w:rsidRPr="000D0C8E">
          <w:rPr>
            <w:noProof/>
            <w:color w:val="auto"/>
          </w:rPr>
          <w:t>2</w:t>
        </w:r>
        <w:r w:rsidR="004C290F" w:rsidRPr="000D0C8E">
          <w:rPr>
            <w:noProof/>
            <w:color w:val="auto"/>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CAAF" w14:textId="03F1EED5" w:rsidR="004C290F" w:rsidRPr="00283E8D" w:rsidRDefault="004C3BB2">
    <w:pPr>
      <w:pStyle w:val="Footer"/>
      <w:jc w:val="center"/>
      <w:rPr>
        <w:color w:val="auto"/>
      </w:rPr>
    </w:pPr>
    <w:sdt>
      <w:sdtPr>
        <w:id w:val="-1026943058"/>
        <w:docPartObj>
          <w:docPartGallery w:val="Page Numbers (Bottom of Page)"/>
          <w:docPartUnique/>
        </w:docPartObj>
      </w:sdtPr>
      <w:sdtEndPr>
        <w:rPr>
          <w:noProof/>
          <w:color w:val="auto"/>
        </w:rPr>
      </w:sdtEndPr>
      <w:sdtContent>
        <w:r w:rsidR="004C290F" w:rsidRPr="00283E8D">
          <w:rPr>
            <w:color w:val="auto"/>
          </w:rPr>
          <w:fldChar w:fldCharType="begin"/>
        </w:r>
        <w:r w:rsidR="004C290F" w:rsidRPr="00283E8D">
          <w:rPr>
            <w:color w:val="auto"/>
          </w:rPr>
          <w:instrText xml:space="preserve"> PAGE   \* MERGEFORMAT </w:instrText>
        </w:r>
        <w:r w:rsidR="004C290F" w:rsidRPr="00283E8D">
          <w:rPr>
            <w:color w:val="auto"/>
          </w:rPr>
          <w:fldChar w:fldCharType="separate"/>
        </w:r>
        <w:r w:rsidR="004C290F" w:rsidRPr="00283E8D">
          <w:rPr>
            <w:noProof/>
            <w:color w:val="auto"/>
          </w:rPr>
          <w:t>2</w:t>
        </w:r>
        <w:r w:rsidR="004C290F" w:rsidRPr="00283E8D">
          <w:rPr>
            <w:noProof/>
            <w:color w:val="auto"/>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D5D6" w14:textId="79869592" w:rsidR="00AF3606" w:rsidRDefault="004E4B41">
    <w:pPr>
      <w:pStyle w:val="Footer"/>
    </w:pPr>
    <w:r>
      <w:rPr>
        <w:noProof/>
      </w:rPr>
      <mc:AlternateContent>
        <mc:Choice Requires="wps">
          <w:drawing>
            <wp:anchor distT="0" distB="0" distL="0" distR="0" simplePos="0" relativeHeight="251661312" behindDoc="0" locked="0" layoutInCell="1" allowOverlap="1" wp14:anchorId="3B24E937" wp14:editId="6D475BF5">
              <wp:simplePos x="635" y="635"/>
              <wp:positionH relativeFrom="page">
                <wp:align>left</wp:align>
              </wp:positionH>
              <wp:positionV relativeFrom="page">
                <wp:align>bottom</wp:align>
              </wp:positionV>
              <wp:extent cx="759460" cy="501015"/>
              <wp:effectExtent l="0" t="0" r="2540" b="0"/>
              <wp:wrapNone/>
              <wp:docPr id="136624292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01015"/>
                      </a:xfrm>
                      <a:prstGeom prst="rect">
                        <a:avLst/>
                      </a:prstGeom>
                      <a:noFill/>
                      <a:ln>
                        <a:noFill/>
                      </a:ln>
                    </wps:spPr>
                    <wps:txbx>
                      <w:txbxContent>
                        <w:p w14:paraId="1AF1CDF2" w14:textId="49767CFA"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24E937" id="_x0000_t202" coordsize="21600,21600" o:spt="202" path="m,l,21600r21600,l21600,xe">
              <v:stroke joinstyle="miter"/>
              <v:path gradientshapeok="t" o:connecttype="rect"/>
            </v:shapetype>
            <v:shape id="Text Box 17" o:spid="_x0000_s1043" type="#_x0000_t202" alt="OFFICIAL" style="position:absolute;left:0;text-align:left;margin-left:0;margin-top:0;width:59.8pt;height:39.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" filled="f" stroked="f">
              <v:textbox style="mso-fit-shape-to-text:t" inset="20pt,0,0,15pt">
                <w:txbxContent>
                  <w:p w14:paraId="1AF1CDF2" w14:textId="49767CFA" w:rsidR="004E4B41" w:rsidRPr="004E4B41" w:rsidRDefault="004E4B41" w:rsidP="004E4B41">
                    <w:pPr>
                      <w:spacing w:after="0"/>
                      <w:rPr>
                        <w:rFonts w:ascii="Calibri" w:eastAsia="Calibri" w:hAnsi="Calibri" w:cs="Calibri"/>
                        <w:noProof/>
                        <w:color w:val="000000"/>
                        <w:sz w:val="22"/>
                      </w:rPr>
                    </w:pPr>
                    <w:r w:rsidRPr="004E4B41">
                      <w:rPr>
                        <w:rFonts w:ascii="Calibri" w:eastAsia="Calibri" w:hAnsi="Calibri" w:cs="Calibri"/>
                        <w:noProof/>
                        <w:color w:val="000000"/>
                        <w:sz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11B6" w14:textId="6047424A" w:rsidR="00BF7D4E" w:rsidRPr="00914703" w:rsidRDefault="004C3BB2">
    <w:pPr>
      <w:pStyle w:val="Footer"/>
      <w:jc w:val="center"/>
      <w:rPr>
        <w:color w:val="auto"/>
      </w:rPr>
    </w:pPr>
    <w:sdt>
      <w:sdtPr>
        <w:id w:val="690259969"/>
        <w:docPartObj>
          <w:docPartGallery w:val="Page Numbers (Bottom of Page)"/>
          <w:docPartUnique/>
        </w:docPartObj>
      </w:sdtPr>
      <w:sdtEndPr>
        <w:rPr>
          <w:noProof/>
          <w:color w:val="auto"/>
        </w:rPr>
      </w:sdtEndPr>
      <w:sdtContent>
        <w:r w:rsidR="00BF7D4E" w:rsidRPr="00914703">
          <w:rPr>
            <w:color w:val="auto"/>
          </w:rPr>
          <w:fldChar w:fldCharType="begin"/>
        </w:r>
        <w:r w:rsidR="00BF7D4E" w:rsidRPr="00914703">
          <w:rPr>
            <w:color w:val="auto"/>
          </w:rPr>
          <w:instrText xml:space="preserve"> PAGE   \* MERGEFORMAT </w:instrText>
        </w:r>
        <w:r w:rsidR="00BF7D4E" w:rsidRPr="00914703">
          <w:rPr>
            <w:color w:val="auto"/>
          </w:rPr>
          <w:fldChar w:fldCharType="separate"/>
        </w:r>
        <w:r w:rsidR="00BF7D4E" w:rsidRPr="00914703">
          <w:rPr>
            <w:noProof/>
            <w:color w:val="auto"/>
          </w:rPr>
          <w:t>2</w:t>
        </w:r>
        <w:r w:rsidR="00BF7D4E" w:rsidRPr="00914703">
          <w:rPr>
            <w:noProof/>
            <w:color w:val="auto"/>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4D77" w14:textId="61DFC2F6" w:rsidR="00BF7D4E" w:rsidRPr="00914703" w:rsidRDefault="004C3BB2">
    <w:pPr>
      <w:pStyle w:val="Footer"/>
      <w:jc w:val="center"/>
      <w:rPr>
        <w:color w:val="auto"/>
      </w:rPr>
    </w:pPr>
    <w:sdt>
      <w:sdtPr>
        <w:id w:val="-1636634897"/>
        <w:docPartObj>
          <w:docPartGallery w:val="Page Numbers (Bottom of Page)"/>
          <w:docPartUnique/>
        </w:docPartObj>
      </w:sdtPr>
      <w:sdtEndPr>
        <w:rPr>
          <w:noProof/>
          <w:color w:val="auto"/>
        </w:rPr>
      </w:sdtEndPr>
      <w:sdtContent>
        <w:r w:rsidR="00BF7D4E" w:rsidRPr="00914703">
          <w:rPr>
            <w:color w:val="auto"/>
          </w:rPr>
          <w:fldChar w:fldCharType="begin"/>
        </w:r>
        <w:r w:rsidR="00BF7D4E" w:rsidRPr="00914703">
          <w:rPr>
            <w:color w:val="auto"/>
          </w:rPr>
          <w:instrText xml:space="preserve"> PAGE   \* MERGEFORMAT </w:instrText>
        </w:r>
        <w:r w:rsidR="00BF7D4E" w:rsidRPr="00914703">
          <w:rPr>
            <w:color w:val="auto"/>
          </w:rPr>
          <w:fldChar w:fldCharType="separate"/>
        </w:r>
        <w:r w:rsidR="00BF7D4E" w:rsidRPr="00914703">
          <w:rPr>
            <w:noProof/>
            <w:color w:val="auto"/>
          </w:rPr>
          <w:t>2</w:t>
        </w:r>
        <w:r w:rsidR="00BF7D4E" w:rsidRPr="00914703">
          <w:rPr>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7B8E" w14:textId="77777777" w:rsidR="002C2EFB" w:rsidRDefault="002C2EFB" w:rsidP="0041202E">
      <w:pPr>
        <w:spacing w:after="0"/>
      </w:pPr>
      <w:r>
        <w:separator/>
      </w:r>
    </w:p>
  </w:footnote>
  <w:footnote w:type="continuationSeparator" w:id="0">
    <w:p w14:paraId="2E2E91DB" w14:textId="77777777" w:rsidR="002C2EFB" w:rsidRDefault="002C2EFB" w:rsidP="0041202E">
      <w:pPr>
        <w:spacing w:after="0"/>
      </w:pPr>
      <w:r>
        <w:continuationSeparator/>
      </w:r>
    </w:p>
  </w:footnote>
  <w:footnote w:type="continuationNotice" w:id="1">
    <w:p w14:paraId="12AF89E1" w14:textId="77777777" w:rsidR="002C2EFB" w:rsidRDefault="002C2EFB">
      <w:pPr>
        <w:spacing w:before="0" w:after="0" w:line="240" w:lineRule="auto"/>
      </w:pPr>
    </w:p>
  </w:footnote>
  <w:footnote w:id="2">
    <w:p w14:paraId="2FB57275" w14:textId="77777777" w:rsidR="003F26DA" w:rsidRDefault="003F26DA">
      <w:pPr>
        <w:pStyle w:val="FootnoteText"/>
      </w:pPr>
      <w:r>
        <w:rPr>
          <w:rStyle w:val="FootnoteReference"/>
        </w:rPr>
        <w:footnoteRef/>
      </w:r>
      <w:r>
        <w:t xml:space="preserve"> </w:t>
      </w:r>
      <w:r>
        <w:tab/>
      </w:r>
      <w:r w:rsidRPr="004668D4">
        <w:t>VIRTIPS Act, s</w:t>
      </w:r>
      <w:r>
        <w:t>.</w:t>
      </w:r>
      <w:r w:rsidRPr="004668D4">
        <w:t xml:space="preserve"> 5.</w:t>
      </w:r>
    </w:p>
  </w:footnote>
  <w:footnote w:id="3">
    <w:p w14:paraId="5EF4AFF2" w14:textId="77777777" w:rsidR="003F26DA" w:rsidRDefault="003F26DA">
      <w:pPr>
        <w:pStyle w:val="FootnoteText"/>
      </w:pPr>
      <w:r>
        <w:rPr>
          <w:rStyle w:val="FootnoteReference"/>
        </w:rPr>
        <w:footnoteRef/>
      </w:r>
      <w:r>
        <w:t xml:space="preserve"> </w:t>
      </w:r>
      <w:r>
        <w:tab/>
      </w:r>
      <w:r w:rsidRPr="004668D4">
        <w:t>VIRTIPS Act, s</w:t>
      </w:r>
      <w:r>
        <w:t>.</w:t>
      </w:r>
      <w:r w:rsidRPr="004668D4">
        <w:t xml:space="preserve"> </w:t>
      </w:r>
      <w:r>
        <w:t>19(2)</w:t>
      </w:r>
      <w:r w:rsidRPr="004668D4">
        <w:t>.</w:t>
      </w:r>
    </w:p>
  </w:footnote>
  <w:footnote w:id="4">
    <w:p w14:paraId="6C0EAEA7" w14:textId="77777777" w:rsidR="003F26DA" w:rsidRDefault="003F26DA">
      <w:pPr>
        <w:pStyle w:val="FootnoteText"/>
      </w:pPr>
      <w:r>
        <w:rPr>
          <w:rStyle w:val="FootnoteReference"/>
        </w:rPr>
        <w:footnoteRef/>
      </w:r>
      <w:r>
        <w:t xml:space="preserve"> </w:t>
      </w:r>
      <w:r>
        <w:tab/>
      </w:r>
      <w:r w:rsidRPr="004668D4">
        <w:t>VIRTIPS Act, s</w:t>
      </w:r>
      <w:r>
        <w:t>.</w:t>
      </w:r>
      <w:r w:rsidRPr="004668D4">
        <w:t xml:space="preserve"> </w:t>
      </w:r>
      <w:r>
        <w:t>25.</w:t>
      </w:r>
    </w:p>
  </w:footnote>
  <w:footnote w:id="5">
    <w:p w14:paraId="0A4F3169" w14:textId="77777777" w:rsidR="003F26DA" w:rsidRDefault="003F26DA">
      <w:pPr>
        <w:pStyle w:val="FootnoteText"/>
      </w:pPr>
      <w:r>
        <w:rPr>
          <w:rStyle w:val="FootnoteReference"/>
        </w:rPr>
        <w:footnoteRef/>
      </w:r>
      <w:r>
        <w:t xml:space="preserve"> </w:t>
      </w:r>
      <w:r>
        <w:tab/>
      </w:r>
      <w:r w:rsidRPr="00B809B5">
        <w:t>Victorian Independent Remuneration Tribunal and Improving Parliamentary Standards (Prescribed Public Entities) Regulations 2021</w:t>
      </w:r>
      <w:r>
        <w:t>, s. 5.</w:t>
      </w:r>
    </w:p>
  </w:footnote>
  <w:footnote w:id="6">
    <w:p w14:paraId="1B273C9F" w14:textId="21395D02" w:rsidR="003F26DA" w:rsidRDefault="003F26DA">
      <w:pPr>
        <w:pStyle w:val="FootnoteText"/>
      </w:pPr>
      <w:r>
        <w:rPr>
          <w:rStyle w:val="FootnoteReference"/>
        </w:rPr>
        <w:footnoteRef/>
      </w:r>
      <w:r>
        <w:t xml:space="preserve"> </w:t>
      </w:r>
      <w:r>
        <w:tab/>
      </w:r>
      <w:r w:rsidR="00E10EE4" w:rsidRPr="00E10EE4">
        <w:t xml:space="preserve">State Government of Victoria </w:t>
      </w:r>
      <w:r w:rsidR="00E10EE4">
        <w:t>(2024c)</w:t>
      </w:r>
      <w:r>
        <w:t>, cl</w:t>
      </w:r>
      <w:r w:rsidR="00C36D6B">
        <w:t>ause</w:t>
      </w:r>
      <w:r>
        <w:t xml:space="preserve"> 1.1.</w:t>
      </w:r>
    </w:p>
  </w:footnote>
  <w:footnote w:id="7">
    <w:p w14:paraId="4B4D716F" w14:textId="72224DAD" w:rsidR="003F26DA" w:rsidRDefault="003F26DA">
      <w:pPr>
        <w:pStyle w:val="FootnoteText"/>
      </w:pPr>
      <w:r>
        <w:rPr>
          <w:rStyle w:val="FootnoteReference"/>
        </w:rPr>
        <w:footnoteRef/>
      </w:r>
      <w:r>
        <w:t xml:space="preserve"> </w:t>
      </w:r>
      <w:r>
        <w:tab/>
      </w:r>
      <w:r w:rsidR="00892FA7" w:rsidRPr="00892FA7">
        <w:t>State Government of Victoria (2024c)</w:t>
      </w:r>
      <w:r>
        <w:t>, cl</w:t>
      </w:r>
      <w:r w:rsidR="00C36D6B">
        <w:t>ause</w:t>
      </w:r>
      <w:r>
        <w:t xml:space="preserve"> 4.1.</w:t>
      </w:r>
    </w:p>
  </w:footnote>
  <w:footnote w:id="8">
    <w:p w14:paraId="750588B6" w14:textId="44FD39B5" w:rsidR="003F26DA" w:rsidRDefault="003F26DA">
      <w:pPr>
        <w:pStyle w:val="FootnoteText"/>
      </w:pPr>
      <w:r>
        <w:rPr>
          <w:rStyle w:val="FootnoteReference"/>
        </w:rPr>
        <w:footnoteRef/>
      </w:r>
      <w:r>
        <w:t xml:space="preserve"> </w:t>
      </w:r>
      <w:r>
        <w:tab/>
      </w:r>
      <w:r w:rsidR="00892FA7" w:rsidRPr="00892FA7">
        <w:t>State Government of Victoria (2024c)</w:t>
      </w:r>
      <w:r>
        <w:t>,</w:t>
      </w:r>
      <w:r w:rsidRPr="00BB16CE">
        <w:t xml:space="preserve"> cl</w:t>
      </w:r>
      <w:r w:rsidR="00C36D6B">
        <w:t>ause</w:t>
      </w:r>
      <w:r w:rsidRPr="00BB16CE">
        <w:t xml:space="preserve"> 5.</w:t>
      </w:r>
      <w:r>
        <w:t>1</w:t>
      </w:r>
      <w:r w:rsidRPr="00BB16CE">
        <w:t>.</w:t>
      </w:r>
    </w:p>
  </w:footnote>
  <w:footnote w:id="9">
    <w:p w14:paraId="705AA2B4" w14:textId="0E2D5F73" w:rsidR="003F26DA" w:rsidRDefault="003F26DA">
      <w:pPr>
        <w:pStyle w:val="FootnoteText"/>
      </w:pPr>
      <w:r>
        <w:rPr>
          <w:rStyle w:val="FootnoteReference"/>
        </w:rPr>
        <w:footnoteRef/>
      </w:r>
      <w:r>
        <w:t xml:space="preserve"> </w:t>
      </w:r>
      <w:r>
        <w:tab/>
      </w:r>
      <w:r w:rsidR="00A906AA" w:rsidRPr="00A906AA">
        <w:t>State Government of Victoria (2024c)</w:t>
      </w:r>
      <w:r>
        <w:t>, cl</w:t>
      </w:r>
      <w:r w:rsidR="00B87EFC">
        <w:t>ause</w:t>
      </w:r>
      <w:r>
        <w:t xml:space="preserve"> 5.2</w:t>
      </w:r>
      <w:r w:rsidR="00CA3CCF">
        <w:t xml:space="preserve">; </w:t>
      </w:r>
      <w:r w:rsidRPr="006104CE">
        <w:t>VIRTIPS Act, s</w:t>
      </w:r>
      <w:r>
        <w:t>.</w:t>
      </w:r>
      <w:r w:rsidRPr="006104CE">
        <w:t xml:space="preserve"> </w:t>
      </w:r>
      <w:r>
        <w:t>37(1)(a)</w:t>
      </w:r>
      <w:r w:rsidR="00CA3CCF">
        <w:t>.</w:t>
      </w:r>
    </w:p>
  </w:footnote>
  <w:footnote w:id="10">
    <w:p w14:paraId="6020C581" w14:textId="77777777" w:rsidR="003F26DA" w:rsidRDefault="003F26DA">
      <w:pPr>
        <w:pStyle w:val="FootnoteText"/>
      </w:pPr>
      <w:r>
        <w:rPr>
          <w:rStyle w:val="FootnoteReference"/>
        </w:rPr>
        <w:footnoteRef/>
      </w:r>
      <w:r>
        <w:t xml:space="preserve"> </w:t>
      </w:r>
      <w:r>
        <w:tab/>
        <w:t>VIRTIPS Act, s. 36(6).</w:t>
      </w:r>
    </w:p>
  </w:footnote>
  <w:footnote w:id="11">
    <w:p w14:paraId="6445D847" w14:textId="67048E41" w:rsidR="003F26DA" w:rsidRDefault="003F26DA">
      <w:pPr>
        <w:pStyle w:val="FootnoteText"/>
      </w:pPr>
      <w:r>
        <w:rPr>
          <w:rStyle w:val="FootnoteReference"/>
        </w:rPr>
        <w:footnoteRef/>
      </w:r>
      <w:r>
        <w:t xml:space="preserve"> </w:t>
      </w:r>
      <w:r>
        <w:tab/>
        <w:t>VIRTIPS Act, s. 19(3) and ss. 24(2)(a)-(d).</w:t>
      </w:r>
    </w:p>
  </w:footnote>
  <w:footnote w:id="12">
    <w:p w14:paraId="668703A4" w14:textId="77777777" w:rsidR="003F26DA" w:rsidRDefault="003F26DA">
      <w:pPr>
        <w:pStyle w:val="FootnoteText"/>
      </w:pPr>
      <w:r>
        <w:rPr>
          <w:rStyle w:val="FootnoteReference"/>
        </w:rPr>
        <w:footnoteRef/>
      </w:r>
      <w:r>
        <w:t xml:space="preserve"> </w:t>
      </w:r>
      <w:r>
        <w:tab/>
        <w:t>VIRTIPS Act, s. 24(1).</w:t>
      </w:r>
    </w:p>
  </w:footnote>
  <w:footnote w:id="13">
    <w:p w14:paraId="64A3A156" w14:textId="77777777" w:rsidR="003F26DA" w:rsidRDefault="003F26DA">
      <w:pPr>
        <w:pStyle w:val="FootnoteText"/>
      </w:pPr>
      <w:r>
        <w:rPr>
          <w:rStyle w:val="FootnoteReference"/>
        </w:rPr>
        <w:footnoteRef/>
      </w:r>
      <w:r>
        <w:t xml:space="preserve"> </w:t>
      </w:r>
      <w:r>
        <w:tab/>
      </w:r>
      <w:r w:rsidRPr="006104CE">
        <w:t>VIRTIPS Act, s</w:t>
      </w:r>
      <w:r>
        <w:t>.</w:t>
      </w:r>
      <w:r w:rsidRPr="006104CE">
        <w:t xml:space="preserve"> </w:t>
      </w:r>
      <w:r>
        <w:t>24(3)</w:t>
      </w:r>
      <w:r w:rsidRPr="006104CE">
        <w:t>.</w:t>
      </w:r>
    </w:p>
  </w:footnote>
  <w:footnote w:id="14">
    <w:p w14:paraId="69F0CF9B" w14:textId="2207B02A" w:rsidR="003F26DA" w:rsidRDefault="003F26DA">
      <w:pPr>
        <w:pStyle w:val="FootnoteText"/>
      </w:pPr>
      <w:r>
        <w:rPr>
          <w:rStyle w:val="FootnoteReference"/>
        </w:rPr>
        <w:footnoteRef/>
      </w:r>
      <w:r>
        <w:t xml:space="preserve"> </w:t>
      </w:r>
      <w:r>
        <w:tab/>
      </w:r>
      <w:r w:rsidRPr="00FD4F5F">
        <w:t>VPSC (2022</w:t>
      </w:r>
      <w:r w:rsidR="009D4BB5">
        <w:t>c</w:t>
      </w:r>
      <w:r w:rsidRPr="00FD4F5F">
        <w:t>)</w:t>
      </w:r>
      <w:r>
        <w:t>, section 2.</w:t>
      </w:r>
    </w:p>
  </w:footnote>
  <w:footnote w:id="15">
    <w:p w14:paraId="565966C4" w14:textId="3E9D64A1" w:rsidR="003F26DA" w:rsidRDefault="003F26DA">
      <w:pPr>
        <w:pStyle w:val="FootnoteText"/>
      </w:pPr>
      <w:r>
        <w:rPr>
          <w:rStyle w:val="FootnoteReference"/>
        </w:rPr>
        <w:footnoteRef/>
      </w:r>
      <w:r>
        <w:t xml:space="preserve"> </w:t>
      </w:r>
      <w:r>
        <w:tab/>
        <w:t>The Age</w:t>
      </w:r>
      <w:r w:rsidR="00A57E51">
        <w:t xml:space="preserve"> (2019)</w:t>
      </w:r>
      <w:r>
        <w:t xml:space="preserve">; </w:t>
      </w:r>
      <w:r w:rsidR="003F13C1" w:rsidRPr="003F13C1">
        <w:t xml:space="preserve">The Australia and New Zealand School of Government </w:t>
      </w:r>
      <w:r w:rsidRPr="003B2A06">
        <w:t>(2021),</w:t>
      </w:r>
      <w:r w:rsidR="00920094" w:rsidRPr="003B2A06" w:rsidDel="00920094">
        <w:t xml:space="preserve"> </w:t>
      </w:r>
      <w:r w:rsidRPr="003B2A06">
        <w:t>p</w:t>
      </w:r>
      <w:r w:rsidR="00920094">
        <w:t>.</w:t>
      </w:r>
      <w:r w:rsidRPr="003B2A06">
        <w:t xml:space="preserve"> 17.</w:t>
      </w:r>
    </w:p>
  </w:footnote>
  <w:footnote w:id="16">
    <w:p w14:paraId="3EC857E7" w14:textId="7EC4CC24" w:rsidR="003F26DA" w:rsidRDefault="003F26DA">
      <w:pPr>
        <w:pStyle w:val="FootnoteText"/>
      </w:pPr>
      <w:r>
        <w:rPr>
          <w:rStyle w:val="FootnoteReference"/>
        </w:rPr>
        <w:footnoteRef/>
      </w:r>
      <w:r>
        <w:t xml:space="preserve"> </w:t>
      </w:r>
      <w:r>
        <w:tab/>
      </w:r>
      <w:r w:rsidRPr="00B353FF">
        <w:t>VPSC (2022</w:t>
      </w:r>
      <w:r w:rsidR="00AD77E4">
        <w:t>c</w:t>
      </w:r>
      <w:r w:rsidRPr="00B353FF">
        <w:t>)</w:t>
      </w:r>
      <w:r w:rsidRPr="00CE2452">
        <w:t>,</w:t>
      </w:r>
      <w:r>
        <w:t xml:space="preserve"> section 2.2.1.</w:t>
      </w:r>
    </w:p>
  </w:footnote>
  <w:footnote w:id="17">
    <w:p w14:paraId="26E10592" w14:textId="0FCB05E2" w:rsidR="003F26DA" w:rsidRDefault="003F26DA">
      <w:pPr>
        <w:pStyle w:val="FootnoteText"/>
      </w:pPr>
      <w:r>
        <w:rPr>
          <w:rStyle w:val="FootnoteReference"/>
        </w:rPr>
        <w:footnoteRef/>
      </w:r>
      <w:r>
        <w:t xml:space="preserve"> </w:t>
      </w:r>
      <w:r>
        <w:tab/>
        <w:t>PAA, s. 13.</w:t>
      </w:r>
    </w:p>
  </w:footnote>
  <w:footnote w:id="18">
    <w:p w14:paraId="219F84E9" w14:textId="3070BEA8" w:rsidR="003F26DA" w:rsidRDefault="003F26DA">
      <w:pPr>
        <w:pStyle w:val="FootnoteText"/>
      </w:pPr>
      <w:r>
        <w:rPr>
          <w:rStyle w:val="FootnoteReference"/>
        </w:rPr>
        <w:footnoteRef/>
      </w:r>
      <w:r>
        <w:t xml:space="preserve"> </w:t>
      </w:r>
      <w:r>
        <w:tab/>
      </w:r>
      <w:r w:rsidRPr="009C7A9C">
        <w:t>PAA</w:t>
      </w:r>
      <w:r w:rsidRPr="00E47D3F">
        <w:t>, s</w:t>
      </w:r>
      <w:r>
        <w:t>s.</w:t>
      </w:r>
      <w:r w:rsidRPr="00E47D3F">
        <w:t xml:space="preserve"> 13</w:t>
      </w:r>
      <w:r w:rsidR="00920094">
        <w:t>-</w:t>
      </w:r>
      <w:r>
        <w:t>13A</w:t>
      </w:r>
      <w:r w:rsidRPr="00E47D3F">
        <w:t>.</w:t>
      </w:r>
    </w:p>
  </w:footnote>
  <w:footnote w:id="19">
    <w:p w14:paraId="7FBAB46F" w14:textId="77777777" w:rsidR="003F26DA" w:rsidRDefault="003F26DA">
      <w:pPr>
        <w:pStyle w:val="FootnoteText"/>
      </w:pPr>
      <w:r>
        <w:rPr>
          <w:rStyle w:val="FootnoteReference"/>
        </w:rPr>
        <w:footnoteRef/>
      </w:r>
      <w:r>
        <w:t xml:space="preserve"> </w:t>
      </w:r>
      <w:r>
        <w:tab/>
      </w:r>
      <w:r w:rsidRPr="009C7A9C">
        <w:t>PAA</w:t>
      </w:r>
      <w:r w:rsidRPr="00E47D3F">
        <w:t>, s</w:t>
      </w:r>
      <w:r>
        <w:t>. 13A</w:t>
      </w:r>
      <w:r w:rsidRPr="00E47D3F">
        <w:t>.</w:t>
      </w:r>
    </w:p>
  </w:footnote>
  <w:footnote w:id="20">
    <w:p w14:paraId="38A905B4" w14:textId="211DE79A" w:rsidR="003F26DA" w:rsidRDefault="003F26DA">
      <w:pPr>
        <w:pStyle w:val="FootnoteText"/>
      </w:pPr>
      <w:r>
        <w:rPr>
          <w:rStyle w:val="FootnoteReference"/>
        </w:rPr>
        <w:footnoteRef/>
      </w:r>
      <w:r>
        <w:t xml:space="preserve"> </w:t>
      </w:r>
      <w:r>
        <w:tab/>
      </w:r>
      <w:r w:rsidRPr="00B353FF">
        <w:t>VPSC (2022</w:t>
      </w:r>
      <w:r w:rsidR="00AD77E4">
        <w:t>c</w:t>
      </w:r>
      <w:r w:rsidRPr="00B353FF">
        <w:t>)</w:t>
      </w:r>
      <w:r w:rsidRPr="00CE2452">
        <w:t>,</w:t>
      </w:r>
      <w:r>
        <w:t xml:space="preserve"> section 2.2.2.</w:t>
      </w:r>
    </w:p>
  </w:footnote>
  <w:footnote w:id="21">
    <w:p w14:paraId="474C9C23" w14:textId="375D605C" w:rsidR="003F26DA" w:rsidRPr="00B353FF" w:rsidRDefault="003F26DA">
      <w:pPr>
        <w:pStyle w:val="FootnoteText"/>
      </w:pPr>
      <w:r>
        <w:rPr>
          <w:rStyle w:val="FootnoteReference"/>
        </w:rPr>
        <w:footnoteRef/>
      </w:r>
      <w:r>
        <w:t xml:space="preserve"> </w:t>
      </w:r>
      <w:r>
        <w:tab/>
      </w:r>
      <w:r w:rsidRPr="00B353FF">
        <w:t>VPSC (2022</w:t>
      </w:r>
      <w:r w:rsidR="000877A0">
        <w:t>c</w:t>
      </w:r>
      <w:r w:rsidRPr="00B353FF">
        <w:t>)</w:t>
      </w:r>
      <w:r w:rsidRPr="00CE2452">
        <w:t xml:space="preserve">, </w:t>
      </w:r>
      <w:r>
        <w:t>section 2.2.2.</w:t>
      </w:r>
    </w:p>
  </w:footnote>
  <w:footnote w:id="22">
    <w:p w14:paraId="610ECB12" w14:textId="77777777" w:rsidR="003F26DA" w:rsidRDefault="003F26DA">
      <w:pPr>
        <w:pStyle w:val="FootnoteText"/>
      </w:pPr>
      <w:r>
        <w:rPr>
          <w:rStyle w:val="FootnoteReference"/>
        </w:rPr>
        <w:footnoteRef/>
      </w:r>
      <w:r>
        <w:t xml:space="preserve"> </w:t>
      </w:r>
      <w:r>
        <w:tab/>
      </w:r>
      <w:r w:rsidRPr="009C7A9C">
        <w:t>PAA</w:t>
      </w:r>
      <w:r w:rsidRPr="00E47D3F">
        <w:t>, s</w:t>
      </w:r>
      <w:r>
        <w:t>. 14</w:t>
      </w:r>
      <w:r w:rsidRPr="00E47D3F">
        <w:t>.</w:t>
      </w:r>
    </w:p>
  </w:footnote>
  <w:footnote w:id="23">
    <w:p w14:paraId="0F916202" w14:textId="10A55BD3" w:rsidR="003F26DA" w:rsidRDefault="003F26DA">
      <w:pPr>
        <w:pStyle w:val="FootnoteText"/>
      </w:pPr>
      <w:r>
        <w:rPr>
          <w:rStyle w:val="FootnoteReference"/>
        </w:rPr>
        <w:footnoteRef/>
      </w:r>
      <w:r>
        <w:t xml:space="preserve"> </w:t>
      </w:r>
      <w:r>
        <w:tab/>
      </w:r>
      <w:r w:rsidRPr="009C7A9C">
        <w:t>PAA</w:t>
      </w:r>
      <w:r>
        <w:t>,</w:t>
      </w:r>
      <w:r w:rsidRPr="00BC0800">
        <w:t xml:space="preserve"> s</w:t>
      </w:r>
      <w:r>
        <w:t>.</w:t>
      </w:r>
      <w:r w:rsidRPr="00BC0800">
        <w:t xml:space="preserve"> 5</w:t>
      </w:r>
      <w:r>
        <w:t xml:space="preserve">; </w:t>
      </w:r>
      <w:r w:rsidRPr="00CE2452">
        <w:t>VPSC</w:t>
      </w:r>
      <w:r w:rsidR="003A0726">
        <w:t xml:space="preserve"> (2022c)</w:t>
      </w:r>
      <w:r w:rsidRPr="00CE2452">
        <w:t>, section 3.1.</w:t>
      </w:r>
    </w:p>
  </w:footnote>
  <w:footnote w:id="24">
    <w:p w14:paraId="5769B2DA" w14:textId="07A065E9" w:rsidR="003F26DA" w:rsidRDefault="003F26DA">
      <w:pPr>
        <w:pStyle w:val="FootnoteText"/>
      </w:pPr>
      <w:r>
        <w:rPr>
          <w:rStyle w:val="FootnoteReference"/>
        </w:rPr>
        <w:footnoteRef/>
      </w:r>
      <w:r>
        <w:t xml:space="preserve"> </w:t>
      </w:r>
      <w:r>
        <w:tab/>
      </w:r>
      <w:r w:rsidRPr="00CE2452">
        <w:t>VPSC</w:t>
      </w:r>
      <w:r>
        <w:t xml:space="preserve"> (2022</w:t>
      </w:r>
      <w:r w:rsidR="00621EA0">
        <w:t>c</w:t>
      </w:r>
      <w:r>
        <w:t>)</w:t>
      </w:r>
      <w:r w:rsidRPr="00CE2452">
        <w:t>, section 3.</w:t>
      </w:r>
    </w:p>
  </w:footnote>
  <w:footnote w:id="25">
    <w:p w14:paraId="0CFF4405" w14:textId="51A52F2A" w:rsidR="003F26DA" w:rsidRDefault="003F26DA">
      <w:pPr>
        <w:pStyle w:val="FootnoteText"/>
      </w:pPr>
      <w:r>
        <w:rPr>
          <w:rStyle w:val="FootnoteReference"/>
        </w:rPr>
        <w:footnoteRef/>
      </w:r>
      <w:r>
        <w:t xml:space="preserve"> </w:t>
      </w:r>
      <w:r>
        <w:tab/>
      </w:r>
      <w:r w:rsidRPr="00B353FF">
        <w:t>VPSC (2022</w:t>
      </w:r>
      <w:r w:rsidR="00621EA0">
        <w:t>c</w:t>
      </w:r>
      <w:r w:rsidRPr="00B353FF">
        <w:t>)</w:t>
      </w:r>
      <w:r>
        <w:t>.</w:t>
      </w:r>
    </w:p>
  </w:footnote>
  <w:footnote w:id="26">
    <w:p w14:paraId="37E119BB" w14:textId="667AD92D" w:rsidR="003F26DA" w:rsidRDefault="003F26DA">
      <w:pPr>
        <w:pStyle w:val="FootnoteText"/>
      </w:pPr>
      <w:r>
        <w:rPr>
          <w:rStyle w:val="FootnoteReference"/>
        </w:rPr>
        <w:footnoteRef/>
      </w:r>
      <w:r>
        <w:t xml:space="preserve"> </w:t>
      </w:r>
      <w:r>
        <w:tab/>
      </w:r>
      <w:r w:rsidRPr="00CE2452">
        <w:t>VPSC</w:t>
      </w:r>
      <w:r>
        <w:t xml:space="preserve"> (2022</w:t>
      </w:r>
      <w:r w:rsidR="000F159D">
        <w:t>c</w:t>
      </w:r>
      <w:r>
        <w:t>)</w:t>
      </w:r>
      <w:r w:rsidRPr="00CE2452">
        <w:t>, section 3.</w:t>
      </w:r>
      <w:r>
        <w:t>3</w:t>
      </w:r>
      <w:r w:rsidRPr="00CE2452">
        <w:t>.</w:t>
      </w:r>
    </w:p>
  </w:footnote>
  <w:footnote w:id="27">
    <w:p w14:paraId="51A4F153" w14:textId="24F54B6D" w:rsidR="003F26DA" w:rsidRDefault="003F26DA">
      <w:pPr>
        <w:pStyle w:val="FootnoteText"/>
      </w:pPr>
      <w:r>
        <w:rPr>
          <w:rStyle w:val="FootnoteReference"/>
        </w:rPr>
        <w:footnoteRef/>
      </w:r>
      <w:r>
        <w:t xml:space="preserve"> </w:t>
      </w:r>
      <w:r>
        <w:tab/>
      </w:r>
      <w:r w:rsidRPr="00FF4587">
        <w:t>Phillip Island Nature Parks</w:t>
      </w:r>
      <w:r>
        <w:t xml:space="preserve"> (n.d.).</w:t>
      </w:r>
    </w:p>
  </w:footnote>
  <w:footnote w:id="28">
    <w:p w14:paraId="3FCAE78D" w14:textId="68B46F5D" w:rsidR="003F26DA" w:rsidRDefault="003F26DA">
      <w:pPr>
        <w:pStyle w:val="FootnoteText"/>
      </w:pPr>
      <w:r>
        <w:rPr>
          <w:rStyle w:val="FootnoteReference"/>
        </w:rPr>
        <w:footnoteRef/>
      </w:r>
      <w:r>
        <w:t xml:space="preserve"> </w:t>
      </w:r>
      <w:r>
        <w:tab/>
      </w:r>
      <w:r w:rsidRPr="00C34B19">
        <w:t>Better Regulation Victoria (</w:t>
      </w:r>
      <w:r>
        <w:t>2024</w:t>
      </w:r>
      <w:r w:rsidRPr="00C34B19">
        <w:t>), p. 1.</w:t>
      </w:r>
    </w:p>
  </w:footnote>
  <w:footnote w:id="29">
    <w:p w14:paraId="6621E35D" w14:textId="2B0BEF86" w:rsidR="003F26DA" w:rsidRDefault="003F26DA">
      <w:pPr>
        <w:pStyle w:val="FootnoteText"/>
      </w:pPr>
      <w:r>
        <w:rPr>
          <w:rStyle w:val="FootnoteReference"/>
        </w:rPr>
        <w:footnoteRef/>
      </w:r>
      <w:r>
        <w:t xml:space="preserve"> </w:t>
      </w:r>
      <w:r>
        <w:tab/>
        <w:t>Essential Services Commission (2024), p. 8.</w:t>
      </w:r>
    </w:p>
  </w:footnote>
  <w:footnote w:id="30">
    <w:p w14:paraId="3D1C4A24" w14:textId="0656B17F" w:rsidR="003F26DA" w:rsidRDefault="003F26DA">
      <w:pPr>
        <w:pStyle w:val="FootnoteText"/>
      </w:pPr>
      <w:r>
        <w:rPr>
          <w:rStyle w:val="FootnoteReference"/>
        </w:rPr>
        <w:footnoteRef/>
      </w:r>
      <w:r>
        <w:t xml:space="preserve"> </w:t>
      </w:r>
      <w:r>
        <w:tab/>
        <w:t>Victoria Law Foundation (2024)</w:t>
      </w:r>
      <w:r w:rsidRPr="00996122">
        <w:t>,</w:t>
      </w:r>
      <w:r>
        <w:t xml:space="preserve"> pp. 8-9.</w:t>
      </w:r>
    </w:p>
  </w:footnote>
  <w:footnote w:id="31">
    <w:p w14:paraId="01551B60" w14:textId="07BEC3AD" w:rsidR="003F26DA" w:rsidRDefault="003F26DA">
      <w:pPr>
        <w:pStyle w:val="FootnoteText"/>
      </w:pPr>
      <w:r>
        <w:rPr>
          <w:rStyle w:val="FootnoteReference"/>
        </w:rPr>
        <w:footnoteRef/>
      </w:r>
      <w:r>
        <w:t xml:space="preserve"> </w:t>
      </w:r>
      <w:r>
        <w:tab/>
        <w:t>VPSC (2024</w:t>
      </w:r>
      <w:r w:rsidR="006B68AA">
        <w:t>c</w:t>
      </w:r>
      <w:r>
        <w:t>).</w:t>
      </w:r>
    </w:p>
  </w:footnote>
  <w:footnote w:id="32">
    <w:p w14:paraId="3907F29D" w14:textId="77777777" w:rsidR="003F26DA" w:rsidRDefault="003F26DA">
      <w:pPr>
        <w:pStyle w:val="FootnoteText"/>
      </w:pPr>
      <w:r>
        <w:rPr>
          <w:rStyle w:val="FootnoteReference"/>
        </w:rPr>
        <w:footnoteRef/>
      </w:r>
      <w:r>
        <w:t xml:space="preserve"> </w:t>
      </w:r>
      <w:r>
        <w:tab/>
      </w:r>
      <w:r w:rsidRPr="009C7A9C">
        <w:t>PAA</w:t>
      </w:r>
      <w:r>
        <w:t xml:space="preserve">, </w:t>
      </w:r>
      <w:r w:rsidRPr="00C37B6A">
        <w:t>s. 85.</w:t>
      </w:r>
    </w:p>
  </w:footnote>
  <w:footnote w:id="33">
    <w:p w14:paraId="00F3487B" w14:textId="0FD5D730" w:rsidR="003F26DA" w:rsidRDefault="003F26DA">
      <w:pPr>
        <w:pStyle w:val="FootnoteText"/>
      </w:pPr>
      <w:r>
        <w:rPr>
          <w:rStyle w:val="FootnoteReference"/>
        </w:rPr>
        <w:footnoteRef/>
      </w:r>
      <w:r>
        <w:t xml:space="preserve"> </w:t>
      </w:r>
      <w:r>
        <w:tab/>
      </w:r>
      <w:r w:rsidR="00CA73A1">
        <w:t xml:space="preserve">DTF (2024c), </w:t>
      </w:r>
      <w:r w:rsidR="002002D6">
        <w:t>p. 1.</w:t>
      </w:r>
    </w:p>
  </w:footnote>
  <w:footnote w:id="34">
    <w:p w14:paraId="103054A7" w14:textId="1CDE8E79" w:rsidR="003F26DA" w:rsidRDefault="003F26DA">
      <w:pPr>
        <w:pStyle w:val="FootnoteText"/>
      </w:pPr>
      <w:r>
        <w:rPr>
          <w:rStyle w:val="FootnoteReference"/>
        </w:rPr>
        <w:footnoteRef/>
      </w:r>
      <w:r>
        <w:t xml:space="preserve"> </w:t>
      </w:r>
      <w:r>
        <w:tab/>
      </w:r>
      <w:r w:rsidRPr="00CE2452">
        <w:t>VPSC</w:t>
      </w:r>
      <w:r>
        <w:t xml:space="preserve"> (2022</w:t>
      </w:r>
      <w:r w:rsidR="00C64CE2">
        <w:t>c</w:t>
      </w:r>
      <w:r>
        <w:t>)</w:t>
      </w:r>
      <w:r w:rsidRPr="00CE2452">
        <w:t xml:space="preserve">, section </w:t>
      </w:r>
      <w:r>
        <w:t>4</w:t>
      </w:r>
      <w:r w:rsidRPr="00CE2452">
        <w:t>.</w:t>
      </w:r>
    </w:p>
  </w:footnote>
  <w:footnote w:id="35">
    <w:p w14:paraId="292C4677" w14:textId="74E12EBA" w:rsidR="003F26DA" w:rsidRDefault="003F26DA">
      <w:pPr>
        <w:pStyle w:val="FootnoteText"/>
      </w:pPr>
      <w:r>
        <w:rPr>
          <w:rStyle w:val="FootnoteReference"/>
        </w:rPr>
        <w:footnoteRef/>
      </w:r>
      <w:r>
        <w:t xml:space="preserve"> </w:t>
      </w:r>
      <w:r>
        <w:tab/>
      </w:r>
      <w:r w:rsidRPr="00CE2452">
        <w:t>VPSC</w:t>
      </w:r>
      <w:r>
        <w:t xml:space="preserve"> (2022</w:t>
      </w:r>
      <w:r w:rsidR="00C64CE2">
        <w:t>c</w:t>
      </w:r>
      <w:r>
        <w:t>)</w:t>
      </w:r>
      <w:r w:rsidRPr="00CE2452">
        <w:t xml:space="preserve">, section </w:t>
      </w:r>
      <w:r>
        <w:t>4.2</w:t>
      </w:r>
      <w:r w:rsidRPr="00CE2452">
        <w:t>.</w:t>
      </w:r>
    </w:p>
  </w:footnote>
  <w:footnote w:id="36">
    <w:p w14:paraId="22980043" w14:textId="77777777" w:rsidR="003F26DA" w:rsidRDefault="003F26DA">
      <w:pPr>
        <w:pStyle w:val="FootnoteText"/>
      </w:pPr>
      <w:r>
        <w:rPr>
          <w:rStyle w:val="FootnoteReference"/>
        </w:rPr>
        <w:footnoteRef/>
      </w:r>
      <w:r>
        <w:t xml:space="preserve"> </w:t>
      </w:r>
      <w:r>
        <w:tab/>
      </w:r>
      <w:r w:rsidRPr="00891D6F">
        <w:rPr>
          <w:i/>
          <w:iCs/>
        </w:rPr>
        <w:t>Royal Botanic Gardens Act 1991</w:t>
      </w:r>
      <w:r w:rsidRPr="0055712B">
        <w:t xml:space="preserve"> (Vic)</w:t>
      </w:r>
      <w:r>
        <w:t>, Part 2.</w:t>
      </w:r>
    </w:p>
  </w:footnote>
  <w:footnote w:id="37">
    <w:p w14:paraId="3C4ECEF0" w14:textId="77777777" w:rsidR="003F26DA" w:rsidRDefault="003F26DA">
      <w:pPr>
        <w:pStyle w:val="FootnoteText"/>
      </w:pPr>
      <w:r>
        <w:rPr>
          <w:rStyle w:val="FootnoteReference"/>
        </w:rPr>
        <w:footnoteRef/>
      </w:r>
      <w:r>
        <w:t xml:space="preserve"> </w:t>
      </w:r>
      <w:r>
        <w:tab/>
      </w:r>
      <w:r w:rsidRPr="0027428A">
        <w:rPr>
          <w:i/>
          <w:iCs/>
        </w:rPr>
        <w:t>Catchment and Land Protection Act 1994</w:t>
      </w:r>
      <w:r w:rsidRPr="0027428A">
        <w:t xml:space="preserve"> (Vic), Part 2.</w:t>
      </w:r>
    </w:p>
  </w:footnote>
  <w:footnote w:id="38">
    <w:p w14:paraId="36659F0C" w14:textId="77777777" w:rsidR="003F26DA" w:rsidRDefault="003F26DA">
      <w:pPr>
        <w:pStyle w:val="FootnoteText"/>
      </w:pPr>
      <w:r>
        <w:rPr>
          <w:rStyle w:val="FootnoteReference"/>
        </w:rPr>
        <w:footnoteRef/>
      </w:r>
      <w:r>
        <w:t xml:space="preserve"> </w:t>
      </w:r>
      <w:r>
        <w:tab/>
      </w:r>
      <w:r w:rsidRPr="00806914">
        <w:rPr>
          <w:i/>
          <w:iCs/>
        </w:rPr>
        <w:t>State-Owned Enterprises Act 1992</w:t>
      </w:r>
      <w:r w:rsidRPr="00806914">
        <w:t xml:space="preserve"> (Vic)</w:t>
      </w:r>
      <w:r>
        <w:t>.</w:t>
      </w:r>
    </w:p>
  </w:footnote>
  <w:footnote w:id="39">
    <w:p w14:paraId="73936706" w14:textId="5CAD639C" w:rsidR="003F26DA" w:rsidRDefault="003F26DA">
      <w:pPr>
        <w:pStyle w:val="FootnoteText"/>
      </w:pPr>
      <w:r>
        <w:rPr>
          <w:rStyle w:val="FootnoteReference"/>
        </w:rPr>
        <w:footnoteRef/>
      </w:r>
      <w:r>
        <w:t xml:space="preserve"> </w:t>
      </w:r>
      <w:r>
        <w:tab/>
      </w:r>
      <w:r w:rsidRPr="00CE2452">
        <w:t>VPSC</w:t>
      </w:r>
      <w:r>
        <w:t xml:space="preserve"> (2022</w:t>
      </w:r>
      <w:r w:rsidR="00781EFA">
        <w:t>c</w:t>
      </w:r>
      <w:r>
        <w:t>)</w:t>
      </w:r>
      <w:r w:rsidRPr="00CE2452">
        <w:t xml:space="preserve">, section </w:t>
      </w:r>
      <w:r>
        <w:t>5.2</w:t>
      </w:r>
      <w:r w:rsidRPr="00CE2452">
        <w:t>.</w:t>
      </w:r>
    </w:p>
  </w:footnote>
  <w:footnote w:id="40">
    <w:p w14:paraId="78E43EF2" w14:textId="7E403AC4" w:rsidR="003F26DA" w:rsidRDefault="003F26DA">
      <w:pPr>
        <w:pStyle w:val="FootnoteText"/>
      </w:pPr>
      <w:r>
        <w:rPr>
          <w:rStyle w:val="FootnoteReference"/>
        </w:rPr>
        <w:footnoteRef/>
      </w:r>
      <w:r>
        <w:t xml:space="preserve"> </w:t>
      </w:r>
      <w:r>
        <w:tab/>
      </w:r>
      <w:r w:rsidR="00781EFA" w:rsidRPr="00781EFA">
        <w:t xml:space="preserve">State Government of Victoria (2024c), </w:t>
      </w:r>
      <w:r w:rsidRPr="00ED7A87">
        <w:t>cl</w:t>
      </w:r>
      <w:r w:rsidR="000478BC">
        <w:t>ause</w:t>
      </w:r>
      <w:r>
        <w:t xml:space="preserve"> 4.2</w:t>
      </w:r>
      <w:r w:rsidRPr="00ED7A87">
        <w:t>.</w:t>
      </w:r>
    </w:p>
  </w:footnote>
  <w:footnote w:id="41">
    <w:p w14:paraId="674FCE29" w14:textId="182220C0" w:rsidR="003F26DA" w:rsidRDefault="003F26DA">
      <w:pPr>
        <w:pStyle w:val="FootnoteText"/>
      </w:pPr>
      <w:r>
        <w:rPr>
          <w:rStyle w:val="FootnoteReference"/>
        </w:rPr>
        <w:footnoteRef/>
      </w:r>
      <w:r>
        <w:t xml:space="preserve"> </w:t>
      </w:r>
      <w:r>
        <w:tab/>
        <w:t xml:space="preserve">Victorian Independent Remuneration Tribunal and Improving Parliamentary Standards (Prescribed Public Entities) Regulations 2021, s. 5. Conversely, the regulations in place at the time of the 2020 PE Determination — the </w:t>
      </w:r>
      <w:r w:rsidRPr="000A551E">
        <w:t>Victorian Independent Remuneration Tribunal and Improving Parliamentary Standards (Prescribed Public Entities) Regulations 20</w:t>
      </w:r>
      <w:r>
        <w:t>19 — listed the specific entities that were covered by the Determination.</w:t>
      </w:r>
    </w:p>
  </w:footnote>
  <w:footnote w:id="42">
    <w:p w14:paraId="7BA4EBA9" w14:textId="77777777" w:rsidR="003F26DA" w:rsidRDefault="003F26DA">
      <w:pPr>
        <w:pStyle w:val="FootnoteText"/>
      </w:pPr>
      <w:r>
        <w:rPr>
          <w:rStyle w:val="FootnoteReference"/>
        </w:rPr>
        <w:footnoteRef/>
      </w:r>
      <w:r>
        <w:t xml:space="preserve"> </w:t>
      </w:r>
      <w:r>
        <w:tab/>
        <w:t>Victorian Independent Remuneration Tribunal and Improving Parliamentary Standards (Prescribed Public Entities) Regulations 2021, s. 5.</w:t>
      </w:r>
    </w:p>
  </w:footnote>
  <w:footnote w:id="43">
    <w:p w14:paraId="00F19A66" w14:textId="6A1426BA" w:rsidR="003F26DA" w:rsidRDefault="003F26DA">
      <w:pPr>
        <w:pStyle w:val="FootnoteText"/>
      </w:pPr>
      <w:r>
        <w:rPr>
          <w:rStyle w:val="FootnoteReference"/>
        </w:rPr>
        <w:footnoteRef/>
      </w:r>
      <w:r>
        <w:t xml:space="preserve"> </w:t>
      </w:r>
      <w:r>
        <w:tab/>
        <w:t>VPSC (2024</w:t>
      </w:r>
      <w:r w:rsidR="0024010B">
        <w:t>d</w:t>
      </w:r>
      <w:r>
        <w:t>)</w:t>
      </w:r>
      <w:r w:rsidR="00F53F05">
        <w:t>.</w:t>
      </w:r>
    </w:p>
  </w:footnote>
  <w:footnote w:id="44">
    <w:p w14:paraId="4FBCF307" w14:textId="2DD9BAA5" w:rsidR="003F26DA" w:rsidRPr="00C635C6" w:rsidRDefault="003F26DA">
      <w:pPr>
        <w:pStyle w:val="FootnoteText"/>
      </w:pPr>
      <w:r>
        <w:rPr>
          <w:rStyle w:val="FootnoteReference"/>
        </w:rPr>
        <w:footnoteRef/>
      </w:r>
      <w:r>
        <w:t xml:space="preserve"> </w:t>
      </w:r>
      <w:r>
        <w:tab/>
        <w:t>VPSC (2024</w:t>
      </w:r>
      <w:r w:rsidR="0024010B">
        <w:t>d</w:t>
      </w:r>
      <w:r>
        <w:t>)</w:t>
      </w:r>
      <w:r w:rsidR="00F53F05">
        <w:t>.</w:t>
      </w:r>
    </w:p>
  </w:footnote>
  <w:footnote w:id="45">
    <w:p w14:paraId="1EC42152" w14:textId="37B05078" w:rsidR="003F26DA" w:rsidRDefault="003F26DA">
      <w:pPr>
        <w:pStyle w:val="FootnoteText"/>
      </w:pPr>
      <w:r>
        <w:rPr>
          <w:rStyle w:val="FootnoteReference"/>
        </w:rPr>
        <w:footnoteRef/>
      </w:r>
      <w:r>
        <w:t xml:space="preserve"> </w:t>
      </w:r>
      <w:r>
        <w:tab/>
        <w:t>Tribunal (2024), pp. 30, 32.</w:t>
      </w:r>
    </w:p>
  </w:footnote>
  <w:footnote w:id="46">
    <w:p w14:paraId="653F1A8F" w14:textId="2AB3158D" w:rsidR="003F26DA" w:rsidRDefault="003F26DA">
      <w:pPr>
        <w:pStyle w:val="FootnoteText"/>
      </w:pPr>
      <w:r>
        <w:rPr>
          <w:rStyle w:val="FootnoteReference"/>
        </w:rPr>
        <w:footnoteRef/>
      </w:r>
      <w:r>
        <w:t xml:space="preserve"> </w:t>
      </w:r>
      <w:r>
        <w:tab/>
      </w:r>
      <w:r w:rsidRPr="007D27C6">
        <w:t>VAGO (2024), pp. D1-D3.</w:t>
      </w:r>
    </w:p>
  </w:footnote>
  <w:footnote w:id="47">
    <w:p w14:paraId="40EABCA3" w14:textId="084C6FD2" w:rsidR="003F26DA" w:rsidRDefault="003F26DA">
      <w:pPr>
        <w:pStyle w:val="FootnoteText"/>
      </w:pPr>
      <w:r>
        <w:rPr>
          <w:rStyle w:val="FootnoteReference"/>
        </w:rPr>
        <w:footnoteRef/>
      </w:r>
      <w:r>
        <w:t xml:space="preserve"> </w:t>
      </w:r>
      <w:r>
        <w:tab/>
        <w:t xml:space="preserve">Victoria’s Big Build (2024). </w:t>
      </w:r>
    </w:p>
  </w:footnote>
  <w:footnote w:id="48">
    <w:p w14:paraId="08538725" w14:textId="749B2C52" w:rsidR="003F26DA" w:rsidRDefault="003F26DA">
      <w:pPr>
        <w:pStyle w:val="FootnoteText"/>
      </w:pPr>
      <w:r>
        <w:rPr>
          <w:rStyle w:val="FootnoteReference"/>
        </w:rPr>
        <w:footnoteRef/>
      </w:r>
      <w:r>
        <w:t xml:space="preserve"> </w:t>
      </w:r>
      <w:r>
        <w:tab/>
      </w:r>
      <w:r w:rsidRPr="00FD6E5D">
        <w:t xml:space="preserve">North East Link State Tolling Corporation </w:t>
      </w:r>
      <w:r>
        <w:t xml:space="preserve">(2024). </w:t>
      </w:r>
    </w:p>
  </w:footnote>
  <w:footnote w:id="49">
    <w:p w14:paraId="07744653" w14:textId="5C35FCDA" w:rsidR="003F26DA" w:rsidRDefault="003F26DA">
      <w:pPr>
        <w:pStyle w:val="FootnoteText"/>
      </w:pPr>
      <w:r>
        <w:rPr>
          <w:rStyle w:val="FootnoteReference"/>
        </w:rPr>
        <w:footnoteRef/>
      </w:r>
      <w:r>
        <w:t xml:space="preserve"> </w:t>
      </w:r>
      <w:r>
        <w:tab/>
      </w:r>
      <w:r w:rsidRPr="004B0BE3">
        <w:rPr>
          <w:i/>
          <w:iCs/>
        </w:rPr>
        <w:t>Circular Economy (Waste Reduction and Recycling) Act 2021</w:t>
      </w:r>
      <w:r w:rsidRPr="004B0BE3">
        <w:t xml:space="preserve"> (Vic), ss</w:t>
      </w:r>
      <w:r>
        <w:t>.</w:t>
      </w:r>
      <w:r w:rsidRPr="004B0BE3">
        <w:t xml:space="preserve"> 184</w:t>
      </w:r>
      <w:r w:rsidR="00081C86">
        <w:t>-</w:t>
      </w:r>
      <w:r w:rsidRPr="004B0BE3">
        <w:t>190</w:t>
      </w:r>
      <w:r w:rsidR="00816766">
        <w:t>; Recycling Victoria</w:t>
      </w:r>
      <w:r w:rsidR="00816766" w:rsidRPr="004B0BE3">
        <w:t xml:space="preserve"> (2022)</w:t>
      </w:r>
      <w:r w:rsidR="00816766">
        <w:t>.</w:t>
      </w:r>
    </w:p>
  </w:footnote>
  <w:footnote w:id="50">
    <w:p w14:paraId="12BA9441" w14:textId="7CB08248" w:rsidR="003F26DA" w:rsidRDefault="003F26DA">
      <w:pPr>
        <w:pStyle w:val="FootnoteText"/>
      </w:pPr>
      <w:r>
        <w:rPr>
          <w:rStyle w:val="FootnoteReference"/>
        </w:rPr>
        <w:footnoteRef/>
      </w:r>
      <w:r>
        <w:t xml:space="preserve"> </w:t>
      </w:r>
      <w:r>
        <w:tab/>
      </w:r>
      <w:r w:rsidRPr="004B0BE3">
        <w:t>Alpine Resorts Victoria (2023).</w:t>
      </w:r>
    </w:p>
  </w:footnote>
  <w:footnote w:id="51">
    <w:p w14:paraId="1AD63AA3" w14:textId="35D010CC" w:rsidR="003F26DA" w:rsidRDefault="003F26DA">
      <w:pPr>
        <w:pStyle w:val="FootnoteText"/>
      </w:pPr>
      <w:r>
        <w:rPr>
          <w:rStyle w:val="FootnoteReference"/>
        </w:rPr>
        <w:footnoteRef/>
      </w:r>
      <w:r>
        <w:t xml:space="preserve"> </w:t>
      </w:r>
      <w:r>
        <w:tab/>
      </w:r>
      <w:r w:rsidRPr="004B0BE3">
        <w:t>Premier of Victoria</w:t>
      </w:r>
      <w:r w:rsidR="00FA7B81">
        <w:t xml:space="preserve"> (2023)</w:t>
      </w:r>
      <w:r>
        <w:t>.</w:t>
      </w:r>
    </w:p>
  </w:footnote>
  <w:footnote w:id="52">
    <w:p w14:paraId="27943B76" w14:textId="3FFF4E04" w:rsidR="003F26DA" w:rsidRDefault="003F26DA">
      <w:pPr>
        <w:pStyle w:val="FootnoteText"/>
      </w:pPr>
      <w:r>
        <w:rPr>
          <w:rStyle w:val="FootnoteReference"/>
        </w:rPr>
        <w:footnoteRef/>
      </w:r>
      <w:r>
        <w:t xml:space="preserve"> </w:t>
      </w:r>
      <w:r>
        <w:tab/>
        <w:t>Social Services Regulator (2024</w:t>
      </w:r>
      <w:r w:rsidR="006276E9">
        <w:t>a</w:t>
      </w:r>
      <w:r>
        <w:t>)</w:t>
      </w:r>
      <w:r w:rsidR="00532EC9">
        <w:t>,</w:t>
      </w:r>
      <w:r>
        <w:t xml:space="preserve"> (2024</w:t>
      </w:r>
      <w:r w:rsidR="006276E9">
        <w:t>b</w:t>
      </w:r>
      <w:r>
        <w:t>).</w:t>
      </w:r>
    </w:p>
  </w:footnote>
  <w:footnote w:id="53">
    <w:p w14:paraId="7CB9D2D7" w14:textId="271EE4CF" w:rsidR="003F26DA" w:rsidRDefault="003F26DA">
      <w:pPr>
        <w:pStyle w:val="FootnoteText"/>
      </w:pPr>
      <w:r>
        <w:rPr>
          <w:rStyle w:val="FootnoteReference"/>
        </w:rPr>
        <w:footnoteRef/>
      </w:r>
      <w:r>
        <w:t xml:space="preserve"> </w:t>
      </w:r>
      <w:r>
        <w:tab/>
      </w:r>
      <w:r w:rsidR="00475CDF" w:rsidRPr="00475CDF">
        <w:t>Department of Energy, Environment and Climate Action</w:t>
      </w:r>
      <w:r w:rsidRPr="004976C9">
        <w:t xml:space="preserve"> (2024); Victorian Responsible Gambling Foundation (2024).</w:t>
      </w:r>
    </w:p>
  </w:footnote>
  <w:footnote w:id="54">
    <w:p w14:paraId="7FDA6C0D" w14:textId="0BCEFE1B" w:rsidR="003F26DA" w:rsidRDefault="003F26DA">
      <w:pPr>
        <w:pStyle w:val="FootnoteText"/>
      </w:pPr>
      <w:r>
        <w:rPr>
          <w:rStyle w:val="FootnoteReference"/>
        </w:rPr>
        <w:footnoteRef/>
      </w:r>
      <w:r>
        <w:t xml:space="preserve"> </w:t>
      </w:r>
      <w:r>
        <w:tab/>
        <w:t>Arts Centre Melbourne (2024</w:t>
      </w:r>
      <w:r w:rsidR="00E25106">
        <w:t xml:space="preserve">); </w:t>
      </w:r>
      <w:r>
        <w:t>The Wheeler Centre (2024).</w:t>
      </w:r>
    </w:p>
  </w:footnote>
  <w:footnote w:id="55">
    <w:p w14:paraId="797028ED" w14:textId="7EFB5E39" w:rsidR="003F26DA" w:rsidRDefault="003F26DA">
      <w:pPr>
        <w:pStyle w:val="FootnoteText"/>
      </w:pPr>
      <w:r>
        <w:rPr>
          <w:rStyle w:val="FootnoteReference"/>
        </w:rPr>
        <w:footnoteRef/>
      </w:r>
      <w:r>
        <w:t xml:space="preserve"> </w:t>
      </w:r>
      <w:r>
        <w:tab/>
      </w:r>
      <w:r w:rsidR="00990378" w:rsidRPr="00990378">
        <w:t>Department of Energy, Environment and Climate Action</w:t>
      </w:r>
      <w:r>
        <w:t xml:space="preserve"> (2023).</w:t>
      </w:r>
    </w:p>
  </w:footnote>
  <w:footnote w:id="56">
    <w:p w14:paraId="5EDF1630" w14:textId="0A86421B" w:rsidR="003F26DA" w:rsidRDefault="003F26DA">
      <w:pPr>
        <w:pStyle w:val="FootnoteText"/>
      </w:pPr>
      <w:r>
        <w:rPr>
          <w:rStyle w:val="FootnoteReference"/>
        </w:rPr>
        <w:footnoteRef/>
      </w:r>
      <w:r>
        <w:t xml:space="preserve"> </w:t>
      </w:r>
      <w:r>
        <w:tab/>
        <w:t xml:space="preserve">Greater Melbourne Cemeteries Trust (n.d.). </w:t>
      </w:r>
    </w:p>
  </w:footnote>
  <w:footnote w:id="57">
    <w:p w14:paraId="2F6326A6" w14:textId="0AF091AC" w:rsidR="003F26DA" w:rsidRDefault="003F26DA">
      <w:pPr>
        <w:pStyle w:val="FootnoteText"/>
      </w:pPr>
      <w:r>
        <w:rPr>
          <w:rStyle w:val="FootnoteReference"/>
        </w:rPr>
        <w:footnoteRef/>
      </w:r>
      <w:r>
        <w:t xml:space="preserve"> </w:t>
      </w:r>
      <w:r>
        <w:tab/>
        <w:t>Agriculture Victoria Services (2024</w:t>
      </w:r>
      <w:r w:rsidR="00E25106">
        <w:t xml:space="preserve">); </w:t>
      </w:r>
      <w:r>
        <w:t xml:space="preserve">Breakthrough Victoria (2024). </w:t>
      </w:r>
    </w:p>
  </w:footnote>
  <w:footnote w:id="58">
    <w:p w14:paraId="09CE87C6" w14:textId="0BC45C9C" w:rsidR="003F26DA" w:rsidRDefault="003F26DA">
      <w:pPr>
        <w:pStyle w:val="FootnoteText"/>
      </w:pPr>
      <w:r>
        <w:rPr>
          <w:rStyle w:val="FootnoteReference"/>
        </w:rPr>
        <w:footnoteRef/>
      </w:r>
      <w:r>
        <w:t xml:space="preserve"> </w:t>
      </w:r>
      <w:r>
        <w:tab/>
      </w:r>
      <w:r w:rsidR="00E25106">
        <w:t xml:space="preserve">Language Loop (2024); </w:t>
      </w:r>
      <w:r>
        <w:t>Victoria Law Foundation (2024)</w:t>
      </w:r>
      <w:r w:rsidRPr="00996122">
        <w:t>,</w:t>
      </w:r>
      <w:r>
        <w:t xml:space="preserve"> pp. 8-9</w:t>
      </w:r>
      <w:r w:rsidR="00E25106">
        <w:t>.</w:t>
      </w:r>
      <w:r>
        <w:t xml:space="preserve"> </w:t>
      </w:r>
    </w:p>
  </w:footnote>
  <w:footnote w:id="59">
    <w:p w14:paraId="533B65C2" w14:textId="6526F4E4" w:rsidR="003F26DA" w:rsidRDefault="003F26DA">
      <w:pPr>
        <w:pStyle w:val="FootnoteText"/>
      </w:pPr>
      <w:r>
        <w:rPr>
          <w:rStyle w:val="FootnoteReference"/>
        </w:rPr>
        <w:footnoteRef/>
      </w:r>
      <w:r>
        <w:t xml:space="preserve"> </w:t>
      </w:r>
      <w:r>
        <w:tab/>
        <w:t xml:space="preserve">CFA (2024); Triple Zero Victoria (2024). </w:t>
      </w:r>
    </w:p>
  </w:footnote>
  <w:footnote w:id="60">
    <w:p w14:paraId="28BBB179" w14:textId="6F9B1626" w:rsidR="003F26DA" w:rsidRDefault="003F26DA">
      <w:pPr>
        <w:pStyle w:val="FootnoteText"/>
      </w:pPr>
      <w:r>
        <w:rPr>
          <w:rStyle w:val="FootnoteReference"/>
        </w:rPr>
        <w:footnoteRef/>
      </w:r>
      <w:r>
        <w:t xml:space="preserve"> </w:t>
      </w:r>
      <w:r>
        <w:tab/>
        <w:t>Docklands Studios Melbourne (n.d</w:t>
      </w:r>
      <w:r w:rsidR="00127DFC">
        <w:t xml:space="preserve">.); Melbourne Market (n.d.); </w:t>
      </w:r>
      <w:r>
        <w:t>Shrine Melbourne (2024)</w:t>
      </w:r>
      <w:r w:rsidR="00127DFC">
        <w:t>.</w:t>
      </w:r>
      <w:r>
        <w:t xml:space="preserve"> </w:t>
      </w:r>
    </w:p>
  </w:footnote>
  <w:footnote w:id="61">
    <w:p w14:paraId="43943B4F" w14:textId="2920BFCA" w:rsidR="003F26DA" w:rsidRDefault="003F26DA">
      <w:pPr>
        <w:pStyle w:val="FootnoteText"/>
      </w:pPr>
      <w:r>
        <w:rPr>
          <w:rStyle w:val="FootnoteReference"/>
        </w:rPr>
        <w:footnoteRef/>
      </w:r>
      <w:r>
        <w:t xml:space="preserve"> </w:t>
      </w:r>
      <w:r>
        <w:tab/>
        <w:t xml:space="preserve">State Trustees (n.d.); TCV (2024). </w:t>
      </w:r>
    </w:p>
  </w:footnote>
  <w:footnote w:id="62">
    <w:p w14:paraId="28B42310" w14:textId="4E9CBEAA" w:rsidR="003F26DA" w:rsidRDefault="003F26DA">
      <w:pPr>
        <w:pStyle w:val="FootnoteText"/>
      </w:pPr>
      <w:r>
        <w:rPr>
          <w:rStyle w:val="FootnoteReference"/>
        </w:rPr>
        <w:footnoteRef/>
      </w:r>
      <w:r>
        <w:t xml:space="preserve"> </w:t>
      </w:r>
      <w:r>
        <w:tab/>
        <w:t xml:space="preserve">VicHealth (n.d.). </w:t>
      </w:r>
    </w:p>
  </w:footnote>
  <w:footnote w:id="63">
    <w:p w14:paraId="21B1DCBA" w14:textId="5026083F" w:rsidR="003F26DA" w:rsidRDefault="003F26DA">
      <w:pPr>
        <w:pStyle w:val="FootnoteText"/>
      </w:pPr>
      <w:r>
        <w:rPr>
          <w:rStyle w:val="FootnoteReference"/>
        </w:rPr>
        <w:footnoteRef/>
      </w:r>
      <w:r>
        <w:t xml:space="preserve"> </w:t>
      </w:r>
      <w:r>
        <w:tab/>
        <w:t xml:space="preserve">Trust for Nature (2017). </w:t>
      </w:r>
    </w:p>
  </w:footnote>
  <w:footnote w:id="64">
    <w:p w14:paraId="3F6DA316" w14:textId="4B17411A" w:rsidR="003F26DA" w:rsidRDefault="003F26DA">
      <w:pPr>
        <w:pStyle w:val="FootnoteText"/>
      </w:pPr>
      <w:r>
        <w:rPr>
          <w:rStyle w:val="FootnoteReference"/>
        </w:rPr>
        <w:footnoteRef/>
      </w:r>
      <w:r>
        <w:t xml:space="preserve"> </w:t>
      </w:r>
      <w:r>
        <w:tab/>
        <w:t xml:space="preserve">Development Victoria (2024); Infrastructure Victoria (n.d.). </w:t>
      </w:r>
    </w:p>
  </w:footnote>
  <w:footnote w:id="65">
    <w:p w14:paraId="6C1662D3" w14:textId="5C139261" w:rsidR="003F26DA" w:rsidRDefault="003F26DA">
      <w:pPr>
        <w:pStyle w:val="FootnoteText"/>
      </w:pPr>
      <w:r>
        <w:rPr>
          <w:rStyle w:val="FootnoteReference"/>
        </w:rPr>
        <w:footnoteRef/>
      </w:r>
      <w:r>
        <w:t xml:space="preserve"> </w:t>
      </w:r>
      <w:r>
        <w:tab/>
        <w:t xml:space="preserve">Primesafe (2024); Workplace Injury Commission (2024).  </w:t>
      </w:r>
    </w:p>
  </w:footnote>
  <w:footnote w:id="66">
    <w:p w14:paraId="31DA1EB5" w14:textId="72CF1017" w:rsidR="003F26DA" w:rsidRDefault="003F26DA">
      <w:pPr>
        <w:pStyle w:val="FootnoteText"/>
      </w:pPr>
      <w:r>
        <w:rPr>
          <w:rStyle w:val="FootnoteReference"/>
        </w:rPr>
        <w:footnoteRef/>
      </w:r>
      <w:r>
        <w:t xml:space="preserve"> </w:t>
      </w:r>
      <w:r>
        <w:tab/>
        <w:t>Australian Grand Prix Corporation (2024); Victorian Institute of Sport</w:t>
      </w:r>
      <w:r w:rsidR="00CA1298">
        <w:t xml:space="preserve"> (2024)</w:t>
      </w:r>
      <w:r>
        <w:t>.</w:t>
      </w:r>
    </w:p>
  </w:footnote>
  <w:footnote w:id="67">
    <w:p w14:paraId="17D8C885" w14:textId="7B8EA830" w:rsidR="003F26DA" w:rsidRDefault="003F26DA">
      <w:pPr>
        <w:pStyle w:val="FootnoteText"/>
      </w:pPr>
      <w:r>
        <w:rPr>
          <w:rStyle w:val="FootnoteReference"/>
        </w:rPr>
        <w:footnoteRef/>
      </w:r>
      <w:r>
        <w:t xml:space="preserve"> </w:t>
      </w:r>
      <w:r>
        <w:tab/>
        <w:t>AMES Australia (2024), pp. 1-11.</w:t>
      </w:r>
    </w:p>
  </w:footnote>
  <w:footnote w:id="68">
    <w:p w14:paraId="729143B8" w14:textId="71F45D1C" w:rsidR="003F26DA" w:rsidRDefault="003F26DA">
      <w:pPr>
        <w:pStyle w:val="FootnoteText"/>
      </w:pPr>
      <w:r>
        <w:rPr>
          <w:rStyle w:val="FootnoteReference"/>
        </w:rPr>
        <w:footnoteRef/>
      </w:r>
      <w:r>
        <w:t xml:space="preserve"> </w:t>
      </w:r>
      <w:r>
        <w:tab/>
        <w:t>Ports Victoria (n.d</w:t>
      </w:r>
      <w:r w:rsidR="00127DFC">
        <w:t xml:space="preserve">.); </w:t>
      </w:r>
      <w:r>
        <w:t>VicTrack (n.d.)</w:t>
      </w:r>
      <w:r w:rsidR="00127DFC">
        <w:t>.</w:t>
      </w:r>
      <w:r>
        <w:t xml:space="preserve"> </w:t>
      </w:r>
    </w:p>
  </w:footnote>
  <w:footnote w:id="69">
    <w:p w14:paraId="169EF2C1" w14:textId="77777777" w:rsidR="003F26DA" w:rsidRDefault="003F26DA">
      <w:pPr>
        <w:pStyle w:val="FootnoteText"/>
      </w:pPr>
      <w:r>
        <w:rPr>
          <w:rStyle w:val="FootnoteReference"/>
        </w:rPr>
        <w:footnoteRef/>
      </w:r>
      <w:r>
        <w:t xml:space="preserve"> </w:t>
      </w:r>
      <w:r>
        <w:tab/>
        <w:t>VIRTIPS Act, s. 19.</w:t>
      </w:r>
    </w:p>
  </w:footnote>
  <w:footnote w:id="70">
    <w:p w14:paraId="6AD381B8" w14:textId="77777777" w:rsidR="003F26DA" w:rsidRPr="008B5714" w:rsidRDefault="003F26DA">
      <w:pPr>
        <w:pStyle w:val="Footnotes"/>
      </w:pPr>
      <w:r>
        <w:rPr>
          <w:rStyle w:val="FootnoteReference"/>
        </w:rPr>
        <w:footnoteRef/>
      </w:r>
      <w:r>
        <w:t xml:space="preserve"> </w:t>
      </w:r>
      <w:r>
        <w:tab/>
        <w:t>Tribunal (2020), p. 33.</w:t>
      </w:r>
    </w:p>
  </w:footnote>
  <w:footnote w:id="71">
    <w:p w14:paraId="4F24651B" w14:textId="77777777" w:rsidR="003F26DA" w:rsidRDefault="003F26DA">
      <w:pPr>
        <w:pStyle w:val="FootnoteText"/>
      </w:pPr>
      <w:r>
        <w:rPr>
          <w:rStyle w:val="FootnoteReference"/>
        </w:rPr>
        <w:footnoteRef/>
      </w:r>
      <w:r>
        <w:t xml:space="preserve"> </w:t>
      </w:r>
      <w:r>
        <w:tab/>
      </w:r>
      <w:r w:rsidRPr="00713978">
        <w:t>At June 2023, around 200</w:t>
      </w:r>
      <w:r>
        <w:t xml:space="preserve"> executives in public entities (approximately 20 per cent) were employed under Part 3 of the PAA.</w:t>
      </w:r>
    </w:p>
  </w:footnote>
  <w:footnote w:id="72">
    <w:p w14:paraId="4247A0FD" w14:textId="28C47E3B" w:rsidR="003F26DA" w:rsidRDefault="003F26DA">
      <w:pPr>
        <w:pStyle w:val="FootnoteText"/>
      </w:pPr>
      <w:r>
        <w:rPr>
          <w:rStyle w:val="FootnoteReference"/>
        </w:rPr>
        <w:footnoteRef/>
      </w:r>
      <w:r>
        <w:t xml:space="preserve"> </w:t>
      </w:r>
      <w:r>
        <w:tab/>
      </w:r>
      <w:r w:rsidR="007F0674" w:rsidRPr="007F0674">
        <w:t xml:space="preserve">State Government of Victoria </w:t>
      </w:r>
      <w:r w:rsidR="007F0674">
        <w:t>(2024c)</w:t>
      </w:r>
      <w:r>
        <w:t>, cl</w:t>
      </w:r>
      <w:r w:rsidR="007F0674">
        <w:t>ause</w:t>
      </w:r>
      <w:r>
        <w:t xml:space="preserve"> 6.</w:t>
      </w:r>
    </w:p>
  </w:footnote>
  <w:footnote w:id="73">
    <w:p w14:paraId="50F7DE21" w14:textId="77777777" w:rsidR="003F26DA" w:rsidRDefault="003F26DA">
      <w:pPr>
        <w:pStyle w:val="FootnoteText"/>
      </w:pPr>
      <w:r>
        <w:rPr>
          <w:rStyle w:val="FootnoteReference"/>
        </w:rPr>
        <w:footnoteRef/>
      </w:r>
      <w:r>
        <w:t xml:space="preserve"> </w:t>
      </w:r>
      <w:r>
        <w:tab/>
        <w:t>Tribunal (2024), p. 34.</w:t>
      </w:r>
    </w:p>
  </w:footnote>
  <w:footnote w:id="74">
    <w:p w14:paraId="5011781F" w14:textId="101FBAB3" w:rsidR="003F26DA" w:rsidRDefault="003F26DA">
      <w:pPr>
        <w:pStyle w:val="FootnoteText"/>
      </w:pPr>
      <w:r>
        <w:rPr>
          <w:rStyle w:val="FootnoteReference"/>
        </w:rPr>
        <w:footnoteRef/>
      </w:r>
      <w:r>
        <w:t xml:space="preserve"> </w:t>
      </w:r>
      <w:r>
        <w:tab/>
      </w:r>
      <w:r>
        <w:rPr>
          <w:lang w:val="en-US"/>
        </w:rPr>
        <w:t>VPSC (2022</w:t>
      </w:r>
      <w:r w:rsidR="001A5B7F">
        <w:rPr>
          <w:lang w:val="en-US"/>
        </w:rPr>
        <w:t>d</w:t>
      </w:r>
      <w:r>
        <w:rPr>
          <w:lang w:val="en-US"/>
        </w:rPr>
        <w:t>)</w:t>
      </w:r>
      <w:r w:rsidR="001A5B7F">
        <w:rPr>
          <w:lang w:val="en-US"/>
        </w:rPr>
        <w:t>.</w:t>
      </w:r>
    </w:p>
  </w:footnote>
  <w:footnote w:id="75">
    <w:p w14:paraId="493A18D3" w14:textId="67DF673D" w:rsidR="003F26DA" w:rsidRDefault="003F26DA">
      <w:pPr>
        <w:pStyle w:val="FootnoteText"/>
      </w:pPr>
      <w:r>
        <w:rPr>
          <w:rStyle w:val="FootnoteReference"/>
        </w:rPr>
        <w:footnoteRef/>
      </w:r>
      <w:r>
        <w:t xml:space="preserve"> </w:t>
      </w:r>
      <w:r>
        <w:tab/>
      </w:r>
      <w:r>
        <w:rPr>
          <w:lang w:val="en-US"/>
        </w:rPr>
        <w:t>VPSC (2022</w:t>
      </w:r>
      <w:r w:rsidR="006A6283">
        <w:rPr>
          <w:lang w:val="en-US"/>
        </w:rPr>
        <w:t>d</w:t>
      </w:r>
      <w:r>
        <w:rPr>
          <w:lang w:val="en-US"/>
        </w:rPr>
        <w:t>)</w:t>
      </w:r>
      <w:r w:rsidR="006A6283">
        <w:rPr>
          <w:lang w:val="en-US"/>
        </w:rPr>
        <w:t>;</w:t>
      </w:r>
      <w:r>
        <w:rPr>
          <w:lang w:val="en-US"/>
        </w:rPr>
        <w:t xml:space="preserve"> VPSC (2022</w:t>
      </w:r>
      <w:r w:rsidR="006A6283">
        <w:rPr>
          <w:lang w:val="en-US"/>
        </w:rPr>
        <w:t>g</w:t>
      </w:r>
      <w:r>
        <w:rPr>
          <w:lang w:val="en-US"/>
        </w:rPr>
        <w:t>)</w:t>
      </w:r>
      <w:r w:rsidR="006A6283">
        <w:rPr>
          <w:lang w:val="en-US"/>
        </w:rPr>
        <w:t>.</w:t>
      </w:r>
    </w:p>
  </w:footnote>
  <w:footnote w:id="76">
    <w:p w14:paraId="54D72F24" w14:textId="21FB1BC3" w:rsidR="003F26DA" w:rsidRDefault="003F26DA">
      <w:pPr>
        <w:pStyle w:val="FootnoteText"/>
      </w:pPr>
      <w:r>
        <w:rPr>
          <w:rStyle w:val="FootnoteReference"/>
        </w:rPr>
        <w:footnoteRef/>
      </w:r>
      <w:r>
        <w:t xml:space="preserve"> </w:t>
      </w:r>
      <w:r>
        <w:tab/>
      </w:r>
      <w:r>
        <w:rPr>
          <w:lang w:val="en-US"/>
        </w:rPr>
        <w:t>VPSC (2022</w:t>
      </w:r>
      <w:r w:rsidR="00CF4193">
        <w:rPr>
          <w:lang w:val="en-US"/>
        </w:rPr>
        <w:t>d</w:t>
      </w:r>
      <w:r>
        <w:rPr>
          <w:lang w:val="en-US"/>
        </w:rPr>
        <w:t>)</w:t>
      </w:r>
      <w:r w:rsidR="00CF4193">
        <w:rPr>
          <w:lang w:val="en-US"/>
        </w:rPr>
        <w:t>;</w:t>
      </w:r>
      <w:r>
        <w:rPr>
          <w:lang w:val="en-US"/>
        </w:rPr>
        <w:t xml:space="preserve"> VPSC (2022</w:t>
      </w:r>
      <w:r w:rsidR="00CF4193">
        <w:rPr>
          <w:lang w:val="en-US"/>
        </w:rPr>
        <w:t>g</w:t>
      </w:r>
      <w:r>
        <w:rPr>
          <w:lang w:val="en-US"/>
        </w:rPr>
        <w:t>)</w:t>
      </w:r>
      <w:r w:rsidR="00CF4193">
        <w:rPr>
          <w:lang w:val="en-US"/>
        </w:rPr>
        <w:t>.</w:t>
      </w:r>
    </w:p>
  </w:footnote>
  <w:footnote w:id="77">
    <w:p w14:paraId="5E3865C6" w14:textId="1C270ABA" w:rsidR="003F26DA" w:rsidRDefault="003F26DA">
      <w:pPr>
        <w:pStyle w:val="FootnoteText"/>
      </w:pPr>
      <w:r>
        <w:rPr>
          <w:rStyle w:val="FootnoteReference"/>
        </w:rPr>
        <w:footnoteRef/>
      </w:r>
      <w:r>
        <w:t xml:space="preserve"> </w:t>
      </w:r>
      <w:r>
        <w:tab/>
        <w:t>The</w:t>
      </w:r>
      <w:r w:rsidRPr="00A5469D">
        <w:t xml:space="preserve"> Tribunal</w:t>
      </w:r>
      <w:r w:rsidR="00B313F5">
        <w:t>’s analysis of VPSC data</w:t>
      </w:r>
      <w:r w:rsidR="00C33BCB">
        <w:t xml:space="preserve"> </w:t>
      </w:r>
      <w:r w:rsidR="00B313F5">
        <w:t>shows</w:t>
      </w:r>
      <w:r w:rsidRPr="00A5469D">
        <w:t xml:space="preserve"> that CEOs</w:t>
      </w:r>
      <w:r>
        <w:t xml:space="preserve"> and</w:t>
      </w:r>
      <w:r w:rsidRPr="00A5469D">
        <w:t xml:space="preserve"> equivalent positions represented around 10 per cent of all executives employed in prescribed public entities at June 2023</w:t>
      </w:r>
      <w:r>
        <w:t>.</w:t>
      </w:r>
    </w:p>
  </w:footnote>
  <w:footnote w:id="78">
    <w:p w14:paraId="34A533C6" w14:textId="0E423AA5" w:rsidR="003F26DA" w:rsidRDefault="003F26DA">
      <w:pPr>
        <w:pStyle w:val="FootnoteText"/>
      </w:pPr>
      <w:r>
        <w:rPr>
          <w:rStyle w:val="FootnoteReference"/>
        </w:rPr>
        <w:footnoteRef/>
      </w:r>
      <w:r w:rsidRPr="000A71FB">
        <w:t xml:space="preserve"> </w:t>
      </w:r>
      <w:r w:rsidRPr="000A71FB">
        <w:tab/>
        <w:t>VPSC (2022</w:t>
      </w:r>
      <w:r w:rsidR="00AD17F0" w:rsidRPr="001646D2">
        <w:t>f</w:t>
      </w:r>
      <w:r w:rsidRPr="000A71FB">
        <w:t>), p. 16.</w:t>
      </w:r>
    </w:p>
  </w:footnote>
  <w:footnote w:id="79">
    <w:p w14:paraId="40BFFA69" w14:textId="1003B5DA" w:rsidR="003F26DA" w:rsidRDefault="003F26DA">
      <w:pPr>
        <w:pStyle w:val="FootnoteText"/>
      </w:pPr>
      <w:r>
        <w:rPr>
          <w:rStyle w:val="FootnoteReference"/>
        </w:rPr>
        <w:footnoteRef/>
      </w:r>
      <w:r>
        <w:t xml:space="preserve"> </w:t>
      </w:r>
      <w:r>
        <w:tab/>
      </w:r>
      <w:r w:rsidRPr="00C96E78">
        <w:rPr>
          <w:i/>
          <w:iCs/>
        </w:rPr>
        <w:t>Transport Integration Act 2010</w:t>
      </w:r>
      <w:r>
        <w:t xml:space="preserve"> (Vic), s. </w:t>
      </w:r>
      <w:r w:rsidRPr="000A71FB">
        <w:t xml:space="preserve">151A; V/Line Corporation (2024), p. </w:t>
      </w:r>
      <w:r>
        <w:t>32.</w:t>
      </w:r>
    </w:p>
  </w:footnote>
  <w:footnote w:id="80">
    <w:p w14:paraId="1FF672ED" w14:textId="09D2DB61" w:rsidR="003F26DA" w:rsidRDefault="003F26DA">
      <w:pPr>
        <w:pStyle w:val="FootnoteText"/>
      </w:pPr>
      <w:r>
        <w:rPr>
          <w:rStyle w:val="FootnoteReference"/>
        </w:rPr>
        <w:footnoteRef/>
      </w:r>
      <w:r w:rsidRPr="000A71FB">
        <w:t xml:space="preserve"> </w:t>
      </w:r>
      <w:r w:rsidRPr="000A71FB">
        <w:tab/>
        <w:t>VPSC (2022</w:t>
      </w:r>
      <w:r w:rsidR="00C70B5E" w:rsidRPr="000A71FB">
        <w:t>f</w:t>
      </w:r>
      <w:r w:rsidRPr="000A71FB">
        <w:t xml:space="preserve">), p. 28; </w:t>
      </w:r>
      <w:r w:rsidR="00DC729C" w:rsidRPr="001646D2">
        <w:t xml:space="preserve">Australian Institute of Company Directors </w:t>
      </w:r>
      <w:r w:rsidRPr="000A71FB">
        <w:t>(2020), p. 2.</w:t>
      </w:r>
    </w:p>
  </w:footnote>
  <w:footnote w:id="81">
    <w:p w14:paraId="4CA3AD56" w14:textId="543DB3E2" w:rsidR="003F26DA" w:rsidRDefault="003F26DA">
      <w:pPr>
        <w:pStyle w:val="FootnoteText"/>
      </w:pPr>
      <w:r>
        <w:rPr>
          <w:rStyle w:val="FootnoteReference"/>
        </w:rPr>
        <w:footnoteRef/>
      </w:r>
      <w:r w:rsidRPr="000A71FB">
        <w:t xml:space="preserve"> </w:t>
      </w:r>
      <w:r w:rsidRPr="000A71FB">
        <w:tab/>
        <w:t>VPSC (2022</w:t>
      </w:r>
      <w:r w:rsidR="00C70B5E" w:rsidRPr="006E458D">
        <w:t>f</w:t>
      </w:r>
      <w:r w:rsidRPr="000A71FB">
        <w:t>), p. 3.</w:t>
      </w:r>
    </w:p>
  </w:footnote>
  <w:footnote w:id="82">
    <w:p w14:paraId="3E3DA1C5" w14:textId="324DDB6F" w:rsidR="003F26DA" w:rsidRDefault="003F26DA">
      <w:pPr>
        <w:pStyle w:val="FootnoteText"/>
      </w:pPr>
      <w:r>
        <w:rPr>
          <w:rStyle w:val="FootnoteReference"/>
        </w:rPr>
        <w:footnoteRef/>
      </w:r>
      <w:r w:rsidRPr="000A71FB">
        <w:t xml:space="preserve"> </w:t>
      </w:r>
      <w:r w:rsidRPr="000A71FB">
        <w:tab/>
      </w:r>
      <w:r w:rsidR="00DC729C" w:rsidRPr="001646D2">
        <w:t xml:space="preserve">Australian Institute of Company Directors </w:t>
      </w:r>
      <w:r w:rsidRPr="000A71FB">
        <w:t>(2020), p. 2.</w:t>
      </w:r>
    </w:p>
  </w:footnote>
  <w:footnote w:id="83">
    <w:p w14:paraId="5D73E120" w14:textId="15EEE99F" w:rsidR="003F26DA" w:rsidRDefault="003F26DA">
      <w:pPr>
        <w:pStyle w:val="FootnoteText"/>
      </w:pPr>
      <w:r>
        <w:rPr>
          <w:rStyle w:val="FootnoteReference"/>
        </w:rPr>
        <w:footnoteRef/>
      </w:r>
      <w:r w:rsidRPr="000A71FB">
        <w:t xml:space="preserve"> </w:t>
      </w:r>
      <w:r w:rsidRPr="000A71FB">
        <w:tab/>
        <w:t>VPSC (2022</w:t>
      </w:r>
      <w:r w:rsidR="000A71FB" w:rsidRPr="00E1452F">
        <w:t>f</w:t>
      </w:r>
      <w:r w:rsidRPr="000A71FB">
        <w:t>), p. 17.</w:t>
      </w:r>
    </w:p>
  </w:footnote>
  <w:footnote w:id="84">
    <w:p w14:paraId="41906B4E" w14:textId="0D506AC7" w:rsidR="003F26DA" w:rsidRDefault="003F26DA">
      <w:pPr>
        <w:pStyle w:val="FootnoteText"/>
      </w:pPr>
      <w:r>
        <w:rPr>
          <w:rStyle w:val="FootnoteReference"/>
        </w:rPr>
        <w:footnoteRef/>
      </w:r>
      <w:r>
        <w:t xml:space="preserve"> </w:t>
      </w:r>
      <w:r>
        <w:tab/>
        <w:t>VPSC (2022</w:t>
      </w:r>
      <w:r w:rsidR="00F55B91">
        <w:t>f</w:t>
      </w:r>
      <w:r>
        <w:t xml:space="preserve">), pp. </w:t>
      </w:r>
      <w:r w:rsidRPr="004911EB">
        <w:t>17-18</w:t>
      </w:r>
      <w:r>
        <w:t>.</w:t>
      </w:r>
    </w:p>
  </w:footnote>
  <w:footnote w:id="85">
    <w:p w14:paraId="5C7171A4" w14:textId="02DD0B0E" w:rsidR="003F26DA" w:rsidRDefault="003F26DA">
      <w:pPr>
        <w:pStyle w:val="FootnoteText"/>
      </w:pPr>
      <w:r>
        <w:rPr>
          <w:rStyle w:val="FootnoteReference"/>
        </w:rPr>
        <w:footnoteRef/>
      </w:r>
      <w:r>
        <w:t xml:space="preserve"> </w:t>
      </w:r>
      <w:r>
        <w:tab/>
        <w:t>VPSC (2022</w:t>
      </w:r>
      <w:r w:rsidR="00F55B91">
        <w:t>f</w:t>
      </w:r>
      <w:r>
        <w:t>)</w:t>
      </w:r>
      <w:r w:rsidR="00F55B91">
        <w:t>,</w:t>
      </w:r>
      <w:r>
        <w:t xml:space="preserve"> pp. </w:t>
      </w:r>
      <w:r w:rsidRPr="004911EB">
        <w:t>7</w:t>
      </w:r>
      <w:r>
        <w:t>, 19; PAA, s. 13A(2).</w:t>
      </w:r>
    </w:p>
  </w:footnote>
  <w:footnote w:id="86">
    <w:p w14:paraId="07218669" w14:textId="77777777" w:rsidR="003F26DA" w:rsidRDefault="003F26DA">
      <w:pPr>
        <w:pStyle w:val="FootnoteText"/>
      </w:pPr>
      <w:r>
        <w:rPr>
          <w:rStyle w:val="FootnoteReference"/>
        </w:rPr>
        <w:footnoteRef/>
      </w:r>
      <w:r>
        <w:t xml:space="preserve"> </w:t>
      </w:r>
      <w:r>
        <w:tab/>
        <w:t>PAA, s. 13(3).</w:t>
      </w:r>
    </w:p>
  </w:footnote>
  <w:footnote w:id="87">
    <w:p w14:paraId="2C2E17DA" w14:textId="65FB4100" w:rsidR="003F26DA" w:rsidRDefault="003F26DA">
      <w:pPr>
        <w:pStyle w:val="FootnoteText"/>
      </w:pPr>
      <w:r>
        <w:rPr>
          <w:rStyle w:val="FootnoteReference"/>
        </w:rPr>
        <w:footnoteRef/>
      </w:r>
      <w:r>
        <w:t xml:space="preserve"> </w:t>
      </w:r>
      <w:r>
        <w:tab/>
        <w:t>VAGO (2024), p. 37.</w:t>
      </w:r>
    </w:p>
  </w:footnote>
  <w:footnote w:id="88">
    <w:p w14:paraId="7F55D863" w14:textId="61CD99B7" w:rsidR="003F26DA" w:rsidRDefault="003F26DA">
      <w:pPr>
        <w:pStyle w:val="FootnoteText"/>
      </w:pPr>
      <w:r>
        <w:rPr>
          <w:rStyle w:val="FootnoteReference"/>
        </w:rPr>
        <w:footnoteRef/>
      </w:r>
      <w:r>
        <w:t xml:space="preserve"> </w:t>
      </w:r>
      <w:r>
        <w:tab/>
        <w:t>DTF (2024</w:t>
      </w:r>
      <w:r w:rsidR="0071001D">
        <w:t>g</w:t>
      </w:r>
      <w:r>
        <w:t>)</w:t>
      </w:r>
      <w:r w:rsidR="00EA34DF">
        <w:t>, pp. 20, 182.</w:t>
      </w:r>
    </w:p>
  </w:footnote>
  <w:footnote w:id="89">
    <w:p w14:paraId="1B5B5823" w14:textId="1933FD0B" w:rsidR="003F26DA" w:rsidRDefault="003F26DA">
      <w:pPr>
        <w:pStyle w:val="FootnoteText"/>
      </w:pPr>
      <w:r>
        <w:rPr>
          <w:rStyle w:val="FootnoteReference"/>
        </w:rPr>
        <w:footnoteRef/>
      </w:r>
      <w:r>
        <w:t xml:space="preserve"> </w:t>
      </w:r>
      <w:r>
        <w:tab/>
        <w:t>VPSC (</w:t>
      </w:r>
      <w:r w:rsidRPr="00FD5694">
        <w:t>2022</w:t>
      </w:r>
      <w:r w:rsidR="00A05A6C" w:rsidRPr="00F86C3D">
        <w:t>f</w:t>
      </w:r>
      <w:r w:rsidRPr="00FD5694">
        <w:t>),</w:t>
      </w:r>
      <w:r>
        <w:t xml:space="preserve"> p. 32.</w:t>
      </w:r>
    </w:p>
  </w:footnote>
  <w:footnote w:id="90">
    <w:p w14:paraId="1A50E818" w14:textId="4369C2CA" w:rsidR="003F26DA" w:rsidRDefault="003F26DA">
      <w:pPr>
        <w:pStyle w:val="FootnoteText"/>
      </w:pPr>
      <w:r>
        <w:rPr>
          <w:rStyle w:val="FootnoteReference"/>
        </w:rPr>
        <w:footnoteRef/>
      </w:r>
      <w:r>
        <w:t xml:space="preserve"> </w:t>
      </w:r>
      <w:r>
        <w:tab/>
        <w:t>According to the Parliament of Victoria’s website, these inquiries assist ‘Parliament and the community to gauge what the Government achieved in the last financial year(s) compared to what the Government planned to achieve’, and aim to improve accountability and transparency. Parliament of Victoria (n.d.b).</w:t>
      </w:r>
    </w:p>
  </w:footnote>
  <w:footnote w:id="91">
    <w:p w14:paraId="2CE4AF18" w14:textId="3DAB746A" w:rsidR="003F26DA" w:rsidRDefault="003F26DA">
      <w:pPr>
        <w:pStyle w:val="FootnoteText"/>
      </w:pPr>
      <w:r>
        <w:rPr>
          <w:rStyle w:val="FootnoteReference"/>
        </w:rPr>
        <w:footnoteRef/>
      </w:r>
      <w:r>
        <w:t xml:space="preserve"> </w:t>
      </w:r>
      <w:r>
        <w:tab/>
        <w:t>Parliament of Victoria (n.d.b).</w:t>
      </w:r>
    </w:p>
  </w:footnote>
  <w:footnote w:id="92">
    <w:p w14:paraId="5C1E0568" w14:textId="2CFF3B81" w:rsidR="003F26DA" w:rsidRDefault="003F26DA">
      <w:pPr>
        <w:pStyle w:val="FootnoteText"/>
      </w:pPr>
      <w:r>
        <w:rPr>
          <w:rStyle w:val="FootnoteReference"/>
        </w:rPr>
        <w:footnoteRef/>
      </w:r>
      <w:r>
        <w:t xml:space="preserve"> </w:t>
      </w:r>
      <w:r>
        <w:tab/>
      </w:r>
      <w:r w:rsidRPr="00661573">
        <w:t>Parliament of Victoria (n.d.a).</w:t>
      </w:r>
    </w:p>
  </w:footnote>
  <w:footnote w:id="93">
    <w:p w14:paraId="06C250E2" w14:textId="7D5AADF7" w:rsidR="003F26DA" w:rsidRDefault="003F26DA">
      <w:pPr>
        <w:pStyle w:val="FootnoteText"/>
      </w:pPr>
      <w:r>
        <w:rPr>
          <w:rStyle w:val="FootnoteReference"/>
        </w:rPr>
        <w:footnoteRef/>
      </w:r>
      <w:r>
        <w:t xml:space="preserve"> </w:t>
      </w:r>
      <w:r>
        <w:tab/>
        <w:t>Parliament of Victoria (n.d.c).</w:t>
      </w:r>
    </w:p>
  </w:footnote>
  <w:footnote w:id="94">
    <w:p w14:paraId="67A5A95E" w14:textId="77777777" w:rsidR="003F26DA" w:rsidRDefault="003F26DA">
      <w:pPr>
        <w:pStyle w:val="FootnoteText"/>
      </w:pPr>
      <w:r>
        <w:rPr>
          <w:rStyle w:val="FootnoteReference"/>
        </w:rPr>
        <w:footnoteRef/>
      </w:r>
      <w:r>
        <w:t xml:space="preserve"> </w:t>
      </w:r>
      <w:r>
        <w:tab/>
      </w:r>
      <w:r w:rsidRPr="00F46331">
        <w:rPr>
          <w:i/>
          <w:iCs/>
        </w:rPr>
        <w:t>Audit Act 1994</w:t>
      </w:r>
      <w:r>
        <w:t xml:space="preserve"> (Vic), s. 14.</w:t>
      </w:r>
    </w:p>
  </w:footnote>
  <w:footnote w:id="95">
    <w:p w14:paraId="595F6EFD" w14:textId="19B993E9" w:rsidR="003F26DA" w:rsidRDefault="003F26DA">
      <w:pPr>
        <w:pStyle w:val="FootnoteText"/>
      </w:pPr>
      <w:r>
        <w:rPr>
          <w:rStyle w:val="FootnoteReference"/>
        </w:rPr>
        <w:footnoteRef/>
      </w:r>
      <w:r>
        <w:t xml:space="preserve"> </w:t>
      </w:r>
      <w:r>
        <w:tab/>
        <w:t>VAGO (2023), pp. 1-2.</w:t>
      </w:r>
    </w:p>
  </w:footnote>
  <w:footnote w:id="96">
    <w:p w14:paraId="3D31B2B5" w14:textId="77777777" w:rsidR="003F26DA" w:rsidRDefault="003F26DA">
      <w:pPr>
        <w:pStyle w:val="FootnoteText"/>
      </w:pPr>
      <w:r>
        <w:rPr>
          <w:rStyle w:val="FootnoteReference"/>
        </w:rPr>
        <w:footnoteRef/>
      </w:r>
      <w:r>
        <w:t xml:space="preserve"> </w:t>
      </w:r>
      <w:r>
        <w:tab/>
        <w:t>Tribunal (2020), p. 38.</w:t>
      </w:r>
    </w:p>
  </w:footnote>
  <w:footnote w:id="97">
    <w:p w14:paraId="36A19894" w14:textId="4BCE61EE" w:rsidR="003F26DA" w:rsidRDefault="003F26DA">
      <w:pPr>
        <w:pStyle w:val="FootnoteText"/>
      </w:pPr>
      <w:r>
        <w:rPr>
          <w:rStyle w:val="FootnoteReference"/>
        </w:rPr>
        <w:footnoteRef/>
      </w:r>
      <w:r>
        <w:t xml:space="preserve"> </w:t>
      </w:r>
      <w:r>
        <w:tab/>
        <w:t>VPSC (2022</w:t>
      </w:r>
      <w:r w:rsidR="000D7D8D" w:rsidRPr="00046B96">
        <w:t>d</w:t>
      </w:r>
      <w:r>
        <w:t>).</w:t>
      </w:r>
    </w:p>
  </w:footnote>
  <w:footnote w:id="98">
    <w:p w14:paraId="706742E6" w14:textId="0AB02D69" w:rsidR="003F26DA" w:rsidRDefault="003F26DA">
      <w:pPr>
        <w:pStyle w:val="FootnoteText"/>
      </w:pPr>
      <w:r>
        <w:rPr>
          <w:rStyle w:val="FootnoteReference"/>
        </w:rPr>
        <w:footnoteRef/>
      </w:r>
      <w:r>
        <w:t xml:space="preserve"> </w:t>
      </w:r>
      <w:r>
        <w:tab/>
      </w:r>
      <w:r w:rsidRPr="00CA3841">
        <w:t xml:space="preserve">De-identified submission </w:t>
      </w:r>
      <w:r w:rsidR="00C543FA" w:rsidRPr="00CA3841">
        <w:t>4</w:t>
      </w:r>
      <w:r w:rsidRPr="00CA3841">
        <w:t>.</w:t>
      </w:r>
    </w:p>
  </w:footnote>
  <w:footnote w:id="99">
    <w:p w14:paraId="447E694A" w14:textId="77777777" w:rsidR="003F26DA" w:rsidRDefault="003F26DA">
      <w:pPr>
        <w:pStyle w:val="FootnoteText"/>
      </w:pPr>
      <w:r>
        <w:rPr>
          <w:rStyle w:val="FootnoteReference"/>
        </w:rPr>
        <w:footnoteRef/>
      </w:r>
      <w:r>
        <w:t xml:space="preserve"> </w:t>
      </w:r>
      <w:r>
        <w:tab/>
        <w:t>Tribunal (2024), pp. 38-42.</w:t>
      </w:r>
    </w:p>
  </w:footnote>
  <w:footnote w:id="100">
    <w:p w14:paraId="409A1FEA" w14:textId="23FE4B44" w:rsidR="003F26DA" w:rsidRDefault="003F26DA">
      <w:pPr>
        <w:pStyle w:val="FootnoteText"/>
      </w:pPr>
      <w:r>
        <w:rPr>
          <w:rStyle w:val="FootnoteReference"/>
        </w:rPr>
        <w:footnoteRef/>
      </w:r>
      <w:r>
        <w:t xml:space="preserve"> </w:t>
      </w:r>
      <w:r>
        <w:tab/>
      </w:r>
      <w:r w:rsidR="00EA34DF">
        <w:t>DTF (2023)</w:t>
      </w:r>
      <w:r w:rsidR="00747B2E">
        <w:t>, p. 14.</w:t>
      </w:r>
    </w:p>
  </w:footnote>
  <w:footnote w:id="101">
    <w:p w14:paraId="73C71A4A" w14:textId="358499B2" w:rsidR="003F26DA" w:rsidRDefault="003F26DA">
      <w:pPr>
        <w:pStyle w:val="FootnoteText"/>
      </w:pPr>
      <w:r>
        <w:rPr>
          <w:rStyle w:val="FootnoteReference"/>
        </w:rPr>
        <w:footnoteRef/>
      </w:r>
      <w:r>
        <w:t xml:space="preserve"> </w:t>
      </w:r>
      <w:r>
        <w:tab/>
      </w:r>
      <w:r w:rsidR="00747B2E">
        <w:t>DTF (2023), p. 19.</w:t>
      </w:r>
    </w:p>
  </w:footnote>
  <w:footnote w:id="102">
    <w:p w14:paraId="38487142" w14:textId="2CEE1FEF" w:rsidR="003F26DA" w:rsidRDefault="003F26DA">
      <w:pPr>
        <w:pStyle w:val="FootnoteText"/>
      </w:pPr>
      <w:r>
        <w:rPr>
          <w:rStyle w:val="FootnoteReference"/>
        </w:rPr>
        <w:footnoteRef/>
      </w:r>
      <w:r>
        <w:t xml:space="preserve"> </w:t>
      </w:r>
      <w:r>
        <w:tab/>
      </w:r>
      <w:r w:rsidR="0076457A">
        <w:t>DTF (2024f), p. 92.</w:t>
      </w:r>
    </w:p>
  </w:footnote>
  <w:footnote w:id="103">
    <w:p w14:paraId="4E2DCBDD" w14:textId="77777777" w:rsidR="003F26DA" w:rsidRDefault="003F26DA">
      <w:pPr>
        <w:pStyle w:val="FootnoteText"/>
      </w:pPr>
      <w:r>
        <w:rPr>
          <w:rStyle w:val="FootnoteReference"/>
        </w:rPr>
        <w:footnoteRef/>
      </w:r>
      <w:r>
        <w:t xml:space="preserve"> </w:t>
      </w:r>
      <w:r>
        <w:tab/>
        <w:t>Tribunal (2024), p. 39.</w:t>
      </w:r>
    </w:p>
  </w:footnote>
  <w:footnote w:id="104">
    <w:p w14:paraId="4DF2C3C9" w14:textId="183F3FB1" w:rsidR="003F26DA" w:rsidRDefault="003F26DA">
      <w:pPr>
        <w:pStyle w:val="FootnoteText"/>
      </w:pPr>
      <w:r>
        <w:rPr>
          <w:rStyle w:val="FootnoteReference"/>
        </w:rPr>
        <w:footnoteRef/>
      </w:r>
      <w:r>
        <w:t xml:space="preserve"> </w:t>
      </w:r>
      <w:r>
        <w:tab/>
      </w:r>
      <w:r w:rsidRPr="000752D0">
        <w:t>VPSC (2022</w:t>
      </w:r>
      <w:r w:rsidR="00AC64CB">
        <w:t>b</w:t>
      </w:r>
      <w:r w:rsidRPr="000752D0">
        <w:t>)</w:t>
      </w:r>
      <w:r>
        <w:t>, pp. 5, 11-12</w:t>
      </w:r>
      <w:r w:rsidRPr="000752D0">
        <w:t>.</w:t>
      </w:r>
    </w:p>
  </w:footnote>
  <w:footnote w:id="105">
    <w:p w14:paraId="754DE270" w14:textId="77777777" w:rsidR="003F26DA" w:rsidRDefault="003F26DA">
      <w:pPr>
        <w:pStyle w:val="FootnoteText"/>
      </w:pPr>
      <w:r>
        <w:rPr>
          <w:rStyle w:val="FootnoteReference"/>
        </w:rPr>
        <w:footnoteRef/>
      </w:r>
      <w:r>
        <w:t xml:space="preserve"> </w:t>
      </w:r>
      <w:r>
        <w:tab/>
      </w:r>
      <w:r w:rsidRPr="00480011">
        <w:rPr>
          <w:i/>
          <w:iCs/>
        </w:rPr>
        <w:t>Gender Equality Act 2020</w:t>
      </w:r>
      <w:r>
        <w:t xml:space="preserve"> (Vic), ss. 10, 19.</w:t>
      </w:r>
    </w:p>
  </w:footnote>
  <w:footnote w:id="106">
    <w:p w14:paraId="47F4DC85" w14:textId="5B99B277" w:rsidR="003F26DA" w:rsidRDefault="003F26DA">
      <w:pPr>
        <w:pStyle w:val="FootnoteText"/>
      </w:pPr>
      <w:r>
        <w:rPr>
          <w:rStyle w:val="FootnoteReference"/>
        </w:rPr>
        <w:footnoteRef/>
      </w:r>
      <w:r>
        <w:t xml:space="preserve"> </w:t>
      </w:r>
      <w:r>
        <w:tab/>
        <w:t>Department of Families, Fairness and Housing</w:t>
      </w:r>
      <w:r w:rsidRPr="00713AE1">
        <w:t xml:space="preserve"> (2023)</w:t>
      </w:r>
      <w:r>
        <w:t xml:space="preserve">, p. </w:t>
      </w:r>
      <w:r w:rsidRPr="007A7ABF">
        <w:t>75</w:t>
      </w:r>
      <w:r w:rsidRPr="00713AE1">
        <w:t>.</w:t>
      </w:r>
    </w:p>
  </w:footnote>
  <w:footnote w:id="107">
    <w:p w14:paraId="17BCC1A5" w14:textId="77777777" w:rsidR="003F26DA" w:rsidRDefault="003F26DA">
      <w:pPr>
        <w:pStyle w:val="FootnoteText"/>
      </w:pPr>
      <w:r>
        <w:rPr>
          <w:rStyle w:val="FootnoteReference"/>
        </w:rPr>
        <w:footnoteRef/>
      </w:r>
      <w:r>
        <w:t xml:space="preserve"> </w:t>
      </w:r>
      <w:r>
        <w:tab/>
        <w:t>Tribunal (2024), p. 41.</w:t>
      </w:r>
    </w:p>
  </w:footnote>
  <w:footnote w:id="108">
    <w:p w14:paraId="3F5D9CED" w14:textId="77777777" w:rsidR="003F26DA" w:rsidRDefault="003F26DA">
      <w:pPr>
        <w:pStyle w:val="FootnoteText"/>
      </w:pPr>
      <w:r>
        <w:rPr>
          <w:rStyle w:val="FootnoteReference"/>
        </w:rPr>
        <w:footnoteRef/>
      </w:r>
      <w:r>
        <w:t xml:space="preserve"> </w:t>
      </w:r>
      <w:r>
        <w:tab/>
        <w:t>COVID-19 Hotel Quarantine Inquiry</w:t>
      </w:r>
      <w:r w:rsidRPr="004E3819">
        <w:t xml:space="preserve"> (2020)</w:t>
      </w:r>
      <w:r>
        <w:t xml:space="preserve">; </w:t>
      </w:r>
      <w:r w:rsidRPr="004E3819">
        <w:t>Commonwealth of Australia (2019)</w:t>
      </w:r>
      <w:r>
        <w:t xml:space="preserve">; </w:t>
      </w:r>
      <w:r w:rsidRPr="00FF4EB9">
        <w:t>Commonwealth of Australia (2023); IBAC and Victorian Ombudsman (2022)</w:t>
      </w:r>
      <w:r>
        <w:t>; Victorian Ombudsman (2023).</w:t>
      </w:r>
    </w:p>
  </w:footnote>
  <w:footnote w:id="109">
    <w:p w14:paraId="0559FC9A" w14:textId="7EA020D3" w:rsidR="003F26DA" w:rsidRDefault="003F26DA">
      <w:pPr>
        <w:pStyle w:val="FootnoteText"/>
      </w:pPr>
      <w:r>
        <w:rPr>
          <w:rStyle w:val="FootnoteReference"/>
        </w:rPr>
        <w:footnoteRef/>
      </w:r>
      <w:r>
        <w:t xml:space="preserve"> </w:t>
      </w:r>
      <w:r>
        <w:tab/>
        <w:t>VPSC (2024</w:t>
      </w:r>
      <w:r w:rsidR="00692823">
        <w:t>e</w:t>
      </w:r>
      <w:r>
        <w:t>).</w:t>
      </w:r>
    </w:p>
  </w:footnote>
  <w:footnote w:id="110">
    <w:p w14:paraId="683C64E1" w14:textId="77777777" w:rsidR="003F26DA" w:rsidRDefault="003F26DA">
      <w:pPr>
        <w:pStyle w:val="FootnoteText"/>
      </w:pPr>
      <w:r>
        <w:rPr>
          <w:rStyle w:val="FootnoteReference"/>
        </w:rPr>
        <w:footnoteRef/>
      </w:r>
      <w:r>
        <w:t xml:space="preserve"> </w:t>
      </w:r>
      <w:r>
        <w:tab/>
        <w:t>VicWater is the peak body representing Victoria’s 18 water corporations and other water sector bodies.</w:t>
      </w:r>
    </w:p>
  </w:footnote>
  <w:footnote w:id="111">
    <w:p w14:paraId="6FF6E9C5" w14:textId="77777777" w:rsidR="003F26DA" w:rsidRDefault="003F26DA">
      <w:pPr>
        <w:pStyle w:val="FootnoteText"/>
      </w:pPr>
      <w:r>
        <w:rPr>
          <w:rStyle w:val="FootnoteReference"/>
        </w:rPr>
        <w:footnoteRef/>
      </w:r>
      <w:r>
        <w:t xml:space="preserve"> </w:t>
      </w:r>
      <w:r>
        <w:tab/>
        <w:t xml:space="preserve">Tribunal (2024), pp. </w:t>
      </w:r>
      <w:r w:rsidRPr="00C97255">
        <w:t>45-48</w:t>
      </w:r>
      <w:r>
        <w:t>.</w:t>
      </w:r>
    </w:p>
  </w:footnote>
  <w:footnote w:id="112">
    <w:p w14:paraId="6E732931" w14:textId="7909B12A" w:rsidR="003F26DA" w:rsidRDefault="003F26DA">
      <w:pPr>
        <w:pStyle w:val="FootnoteText"/>
      </w:pPr>
      <w:r>
        <w:rPr>
          <w:rStyle w:val="FootnoteReference"/>
        </w:rPr>
        <w:footnoteRef/>
      </w:r>
      <w:r>
        <w:t xml:space="preserve"> </w:t>
      </w:r>
      <w:r>
        <w:tab/>
      </w:r>
      <w:r w:rsidR="00EE69A9" w:rsidRPr="00C85048">
        <w:t>DTF (202</w:t>
      </w:r>
      <w:r w:rsidR="00EE69A9">
        <w:t>4e</w:t>
      </w:r>
      <w:r w:rsidR="00EE69A9" w:rsidRPr="00C85048">
        <w:t>),</w:t>
      </w:r>
      <w:r w:rsidR="00EE69A9">
        <w:t xml:space="preserve"> p. 73.</w:t>
      </w:r>
    </w:p>
  </w:footnote>
  <w:footnote w:id="113">
    <w:p w14:paraId="53003C1A" w14:textId="20A26E7A" w:rsidR="003F26DA" w:rsidRDefault="003F26DA">
      <w:pPr>
        <w:pStyle w:val="FootnoteText"/>
      </w:pPr>
      <w:r>
        <w:rPr>
          <w:rStyle w:val="FootnoteReference"/>
        </w:rPr>
        <w:footnoteRef/>
      </w:r>
      <w:r>
        <w:t xml:space="preserve"> </w:t>
      </w:r>
      <w:r>
        <w:tab/>
        <w:t>Thirty-two</w:t>
      </w:r>
      <w:r w:rsidRPr="007836A1">
        <w:t xml:space="preserve"> per cent of </w:t>
      </w:r>
      <w:r>
        <w:t>public sector</w:t>
      </w:r>
      <w:r w:rsidRPr="007836A1">
        <w:t xml:space="preserve"> employees who took part in the 2023 </w:t>
      </w:r>
      <w:r w:rsidRPr="007836A1">
        <w:rPr>
          <w:i/>
          <w:iCs/>
        </w:rPr>
        <w:t>People matter survey</w:t>
      </w:r>
      <w:r w:rsidRPr="007836A1">
        <w:t xml:space="preserve"> selected ‘working from an alternative location’ as one of their flexible work arrangements. VPSC (2024</w:t>
      </w:r>
      <w:r w:rsidR="00FD19B5">
        <w:t>b</w:t>
      </w:r>
      <w:r w:rsidRPr="007836A1">
        <w:t>).</w:t>
      </w:r>
    </w:p>
  </w:footnote>
  <w:footnote w:id="114">
    <w:p w14:paraId="4B0EA2A9" w14:textId="018F3327" w:rsidR="003F26DA" w:rsidRDefault="003F26DA">
      <w:pPr>
        <w:pStyle w:val="FootnoteText"/>
      </w:pPr>
      <w:r>
        <w:rPr>
          <w:rStyle w:val="FootnoteReference"/>
        </w:rPr>
        <w:footnoteRef/>
      </w:r>
      <w:r>
        <w:t xml:space="preserve"> </w:t>
      </w:r>
      <w:r>
        <w:tab/>
        <w:t xml:space="preserve">Melbourne Water </w:t>
      </w:r>
      <w:r w:rsidR="00F64DCB">
        <w:t xml:space="preserve">Corporation </w:t>
      </w:r>
      <w:r>
        <w:t>(2020), p. 17; VFMC (n.d.).</w:t>
      </w:r>
    </w:p>
  </w:footnote>
  <w:footnote w:id="115">
    <w:p w14:paraId="0B8318D8" w14:textId="37B88821" w:rsidR="003F26DA" w:rsidRDefault="003F26DA">
      <w:pPr>
        <w:pStyle w:val="FootnoteText"/>
      </w:pPr>
      <w:r>
        <w:rPr>
          <w:rStyle w:val="FootnoteReference"/>
        </w:rPr>
        <w:footnoteRef/>
      </w:r>
      <w:r>
        <w:t xml:space="preserve"> </w:t>
      </w:r>
      <w:r>
        <w:tab/>
      </w:r>
      <w:r w:rsidR="00F21600" w:rsidRPr="00F21600">
        <w:t xml:space="preserve">The Australia and New Zealand School of Government </w:t>
      </w:r>
      <w:r>
        <w:t>(2023)</w:t>
      </w:r>
      <w:r w:rsidR="00EC2B4F">
        <w:t>.</w:t>
      </w:r>
    </w:p>
  </w:footnote>
  <w:footnote w:id="116">
    <w:p w14:paraId="3F5CDC14" w14:textId="29277D05" w:rsidR="003F26DA" w:rsidRDefault="003F26DA">
      <w:pPr>
        <w:pStyle w:val="FootnoteText"/>
      </w:pPr>
      <w:r>
        <w:rPr>
          <w:rStyle w:val="FootnoteReference"/>
        </w:rPr>
        <w:footnoteRef/>
      </w:r>
      <w:r>
        <w:t xml:space="preserve"> </w:t>
      </w:r>
      <w:r>
        <w:tab/>
        <w:t>Williamson, Taylor et al. (2024), pp. 25, 28</w:t>
      </w:r>
    </w:p>
  </w:footnote>
  <w:footnote w:id="117">
    <w:p w14:paraId="6873BB49" w14:textId="4B60A8EB" w:rsidR="003F26DA" w:rsidRDefault="003F26DA">
      <w:pPr>
        <w:pStyle w:val="FootnoteText"/>
      </w:pPr>
      <w:r>
        <w:rPr>
          <w:rStyle w:val="FootnoteReference"/>
        </w:rPr>
        <w:footnoteRef/>
      </w:r>
      <w:r>
        <w:t xml:space="preserve"> </w:t>
      </w:r>
      <w:r>
        <w:tab/>
        <w:t>Williamson, Taylor et al. (2024), pp. 25, 28</w:t>
      </w:r>
    </w:p>
  </w:footnote>
  <w:footnote w:id="118">
    <w:p w14:paraId="3AE4DF6C" w14:textId="5D9B693C" w:rsidR="003F26DA" w:rsidRDefault="003F26DA">
      <w:pPr>
        <w:pStyle w:val="FootnoteText"/>
      </w:pPr>
      <w:r>
        <w:rPr>
          <w:rStyle w:val="FootnoteReference"/>
        </w:rPr>
        <w:footnoteRef/>
      </w:r>
      <w:r>
        <w:t xml:space="preserve"> </w:t>
      </w:r>
      <w:r>
        <w:tab/>
      </w:r>
      <w:r w:rsidRPr="00B33E1E">
        <w:t>Deloitte (2022)</w:t>
      </w:r>
      <w:r>
        <w:t>.</w:t>
      </w:r>
    </w:p>
  </w:footnote>
  <w:footnote w:id="119">
    <w:p w14:paraId="2AF4089A" w14:textId="77777777" w:rsidR="003F26DA" w:rsidRDefault="003F26DA">
      <w:pPr>
        <w:pStyle w:val="FootnoteText"/>
      </w:pPr>
      <w:r>
        <w:rPr>
          <w:rStyle w:val="FootnoteReference"/>
        </w:rPr>
        <w:footnoteRef/>
      </w:r>
      <w:r>
        <w:t xml:space="preserve"> </w:t>
      </w:r>
      <w:r>
        <w:tab/>
        <w:t xml:space="preserve">VIRTIPS Act, s. 19(3). </w:t>
      </w:r>
    </w:p>
  </w:footnote>
  <w:footnote w:id="120">
    <w:p w14:paraId="6EFAB590" w14:textId="77777777" w:rsidR="003F26DA" w:rsidRDefault="003F26DA">
      <w:pPr>
        <w:pStyle w:val="FootnoteText"/>
      </w:pPr>
      <w:r>
        <w:rPr>
          <w:rStyle w:val="FootnoteReference"/>
        </w:rPr>
        <w:footnoteRef/>
      </w:r>
      <w:r>
        <w:t xml:space="preserve"> </w:t>
      </w:r>
      <w:r>
        <w:tab/>
        <w:t xml:space="preserve">PAA, s. 92. </w:t>
      </w:r>
    </w:p>
  </w:footnote>
  <w:footnote w:id="121">
    <w:p w14:paraId="2314494E" w14:textId="6640CD80" w:rsidR="003F26DA" w:rsidRDefault="003F26DA">
      <w:pPr>
        <w:pStyle w:val="FootnoteText"/>
      </w:pPr>
      <w:r>
        <w:rPr>
          <w:rStyle w:val="FootnoteReference"/>
        </w:rPr>
        <w:footnoteRef/>
      </w:r>
      <w:r>
        <w:t xml:space="preserve"> </w:t>
      </w:r>
      <w:r>
        <w:tab/>
      </w:r>
      <w:r w:rsidR="00AF4D49" w:rsidRPr="00AF4D49">
        <w:t>State Government of Victoria (2024</w:t>
      </w:r>
      <w:r w:rsidR="00AF4D49">
        <w:t>c)</w:t>
      </w:r>
      <w:r>
        <w:t>, cl</w:t>
      </w:r>
      <w:r w:rsidR="00AF4D49">
        <w:t>ause</w:t>
      </w:r>
      <w:r>
        <w:t xml:space="preserve"> 4.1. </w:t>
      </w:r>
    </w:p>
  </w:footnote>
  <w:footnote w:id="122">
    <w:p w14:paraId="5C4CEFB4" w14:textId="7F19B50B" w:rsidR="003F26DA" w:rsidRDefault="003F26DA">
      <w:pPr>
        <w:pStyle w:val="FootnoteText"/>
      </w:pPr>
      <w:r>
        <w:rPr>
          <w:rStyle w:val="FootnoteReference"/>
        </w:rPr>
        <w:footnoteRef/>
      </w:r>
      <w:r>
        <w:t xml:space="preserve"> </w:t>
      </w:r>
      <w:r>
        <w:tab/>
      </w:r>
      <w:r w:rsidR="005D1F57" w:rsidRPr="00AF4D49">
        <w:t>State Government of Victoria (2024</w:t>
      </w:r>
      <w:r w:rsidR="005D1F57">
        <w:t>c), clause</w:t>
      </w:r>
      <w:r>
        <w:t xml:space="preserve"> 4.1. </w:t>
      </w:r>
    </w:p>
  </w:footnote>
  <w:footnote w:id="123">
    <w:p w14:paraId="0E94B957" w14:textId="785413CD" w:rsidR="003F26DA" w:rsidRDefault="003F26DA">
      <w:pPr>
        <w:pStyle w:val="FootnoteText"/>
      </w:pPr>
      <w:r>
        <w:rPr>
          <w:rStyle w:val="FootnoteReference"/>
        </w:rPr>
        <w:footnoteRef/>
      </w:r>
      <w:r>
        <w:t xml:space="preserve"> </w:t>
      </w:r>
      <w:r>
        <w:tab/>
      </w:r>
      <w:r w:rsidR="005D1F57" w:rsidRPr="00AF4D49">
        <w:t>State Government of Victoria (2024</w:t>
      </w:r>
      <w:r w:rsidR="005D1F57">
        <w:t>c), clause</w:t>
      </w:r>
      <w:r>
        <w:t xml:space="preserve"> 4.2.</w:t>
      </w:r>
    </w:p>
  </w:footnote>
  <w:footnote w:id="124">
    <w:p w14:paraId="7A96F620" w14:textId="008B8D98" w:rsidR="003F26DA" w:rsidRDefault="003F26DA">
      <w:pPr>
        <w:pStyle w:val="FootnoteText"/>
      </w:pPr>
      <w:r>
        <w:rPr>
          <w:rStyle w:val="FootnoteReference"/>
        </w:rPr>
        <w:footnoteRef/>
      </w:r>
      <w:r>
        <w:tab/>
      </w:r>
      <w:r w:rsidR="005D1F57" w:rsidRPr="00AF4D49">
        <w:t>State Government of Victoria (2024</w:t>
      </w:r>
      <w:r w:rsidR="005D1F57">
        <w:t>c), clause</w:t>
      </w:r>
      <w:r>
        <w:t xml:space="preserve"> 6.</w:t>
      </w:r>
    </w:p>
  </w:footnote>
  <w:footnote w:id="125">
    <w:p w14:paraId="0C6D1A52" w14:textId="53AEDB45" w:rsidR="003F26DA" w:rsidRPr="00B24398" w:rsidRDefault="003F26DA">
      <w:pPr>
        <w:pStyle w:val="FootnoteText"/>
      </w:pPr>
      <w:r>
        <w:rPr>
          <w:rStyle w:val="FootnoteReference"/>
        </w:rPr>
        <w:footnoteRef/>
      </w:r>
      <w:r>
        <w:tab/>
        <w:t xml:space="preserve">Engage Victoria (n.d.). </w:t>
      </w:r>
    </w:p>
  </w:footnote>
  <w:footnote w:id="126">
    <w:p w14:paraId="50977675" w14:textId="6E3DDAF2" w:rsidR="003F26DA" w:rsidRDefault="003F26DA">
      <w:pPr>
        <w:pStyle w:val="FootnoteText"/>
      </w:pPr>
      <w:r>
        <w:rPr>
          <w:rStyle w:val="FootnoteReference"/>
        </w:rPr>
        <w:footnoteRef/>
      </w:r>
      <w:r>
        <w:tab/>
        <w:t>Tribunal (2024), pp. 33-34, 54-55.</w:t>
      </w:r>
    </w:p>
  </w:footnote>
  <w:footnote w:id="127">
    <w:p w14:paraId="5DA848F5" w14:textId="0AA6402E" w:rsidR="003F26DA" w:rsidRDefault="003F26DA">
      <w:pPr>
        <w:pStyle w:val="FootnoteText"/>
      </w:pPr>
      <w:r>
        <w:rPr>
          <w:rStyle w:val="FootnoteReference"/>
        </w:rPr>
        <w:footnoteRef/>
      </w:r>
      <w:r>
        <w:tab/>
      </w:r>
      <w:r w:rsidR="009A1806" w:rsidRPr="00AF4D49">
        <w:t>State Government of Victoria (2024</w:t>
      </w:r>
      <w:r w:rsidR="009A1806">
        <w:t xml:space="preserve">c), </w:t>
      </w:r>
      <w:r>
        <w:t>cl</w:t>
      </w:r>
      <w:r w:rsidR="009A1806">
        <w:t>ause</w:t>
      </w:r>
      <w:r>
        <w:t xml:space="preserve"> 6.2.</w:t>
      </w:r>
    </w:p>
  </w:footnote>
  <w:footnote w:id="128">
    <w:p w14:paraId="1C03D2C5" w14:textId="54C1C143" w:rsidR="003F26DA" w:rsidRDefault="003F26DA">
      <w:pPr>
        <w:pStyle w:val="FootnoteText"/>
      </w:pPr>
      <w:r>
        <w:rPr>
          <w:rStyle w:val="FootnoteReference"/>
        </w:rPr>
        <w:footnoteRef/>
      </w:r>
      <w:r>
        <w:tab/>
      </w:r>
      <w:r w:rsidR="009A1806" w:rsidRPr="00AF4D49">
        <w:t>State Government of Victoria (2024</w:t>
      </w:r>
      <w:r w:rsidR="009A1806">
        <w:t>c), clause</w:t>
      </w:r>
      <w:r>
        <w:t xml:space="preserve"> 6. </w:t>
      </w:r>
    </w:p>
  </w:footnote>
  <w:footnote w:id="129">
    <w:p w14:paraId="59B99B65" w14:textId="6CBC6C38" w:rsidR="003F26DA" w:rsidRDefault="003F26DA">
      <w:pPr>
        <w:pStyle w:val="FootnoteText"/>
      </w:pPr>
      <w:r>
        <w:rPr>
          <w:rStyle w:val="FootnoteReference"/>
        </w:rPr>
        <w:footnoteRef/>
      </w:r>
      <w:r>
        <w:t xml:space="preserve"> </w:t>
      </w:r>
      <w:r>
        <w:tab/>
      </w:r>
      <w:r w:rsidR="008A7B11">
        <w:t>VPSC (2022e)</w:t>
      </w:r>
      <w:r>
        <w:t>, p. 20</w:t>
      </w:r>
      <w:r w:rsidR="005B445E">
        <w:t>;</w:t>
      </w:r>
      <w:r>
        <w:t xml:space="preserve"> Tribunal analysis of VPSC data.</w:t>
      </w:r>
    </w:p>
  </w:footnote>
  <w:footnote w:id="130">
    <w:p w14:paraId="408B44A3" w14:textId="6DC478B3" w:rsidR="003F26DA" w:rsidRDefault="003F26DA">
      <w:pPr>
        <w:pStyle w:val="FootnoteText"/>
      </w:pPr>
      <w:r>
        <w:rPr>
          <w:rStyle w:val="FootnoteReference"/>
        </w:rPr>
        <w:footnoteRef/>
      </w:r>
      <w:r>
        <w:t xml:space="preserve"> </w:t>
      </w:r>
      <w:r>
        <w:tab/>
        <w:t>VPSC (2024</w:t>
      </w:r>
      <w:r w:rsidR="00BC14A1">
        <w:t>f</w:t>
      </w:r>
      <w:r>
        <w:t>), p. 20.</w:t>
      </w:r>
    </w:p>
  </w:footnote>
  <w:footnote w:id="131">
    <w:p w14:paraId="39D4FDFA" w14:textId="5A494B3B" w:rsidR="003F26DA" w:rsidRDefault="003F26DA">
      <w:pPr>
        <w:pStyle w:val="FootnoteText"/>
      </w:pPr>
      <w:r>
        <w:rPr>
          <w:rStyle w:val="FootnoteReference"/>
        </w:rPr>
        <w:footnoteRef/>
      </w:r>
      <w:r>
        <w:t xml:space="preserve"> </w:t>
      </w:r>
      <w:r>
        <w:tab/>
        <w:t>VPSC (2018), p. 12</w:t>
      </w:r>
      <w:r w:rsidR="00BC14A1">
        <w:t>.</w:t>
      </w:r>
    </w:p>
  </w:footnote>
  <w:footnote w:id="132">
    <w:p w14:paraId="3B2034B7" w14:textId="06C00A76" w:rsidR="003F26DA" w:rsidRDefault="003F26DA">
      <w:pPr>
        <w:pStyle w:val="FootnoteText"/>
      </w:pPr>
      <w:r>
        <w:rPr>
          <w:rStyle w:val="FootnoteReference"/>
        </w:rPr>
        <w:footnoteRef/>
      </w:r>
      <w:r>
        <w:t xml:space="preserve"> </w:t>
      </w:r>
      <w:r>
        <w:tab/>
        <w:t>State Government of Victoria (2024</w:t>
      </w:r>
      <w:r w:rsidR="00BC14A1">
        <w:t>a</w:t>
      </w:r>
      <w:r>
        <w:t xml:space="preserve">); </w:t>
      </w:r>
      <w:r w:rsidR="00C16BDF">
        <w:t>State Government of Victoria (2024</w:t>
      </w:r>
      <w:r w:rsidR="009E3BD0">
        <w:t>c</w:t>
      </w:r>
      <w:r w:rsidR="00C16BDF">
        <w:t>)</w:t>
      </w:r>
      <w:r>
        <w:t>, cl</w:t>
      </w:r>
      <w:r w:rsidR="00C16BDF">
        <w:t>ause</w:t>
      </w:r>
      <w:r>
        <w:t xml:space="preserve"> 8.</w:t>
      </w:r>
    </w:p>
  </w:footnote>
  <w:footnote w:id="133">
    <w:p w14:paraId="5D93229A" w14:textId="6715CFF5" w:rsidR="003F26DA" w:rsidRDefault="003F26DA">
      <w:pPr>
        <w:pStyle w:val="FootnoteText"/>
      </w:pPr>
      <w:r>
        <w:rPr>
          <w:rStyle w:val="FootnoteReference"/>
        </w:rPr>
        <w:footnoteRef/>
      </w:r>
      <w:r>
        <w:t xml:space="preserve"> </w:t>
      </w:r>
      <w:r>
        <w:tab/>
      </w:r>
      <w:r w:rsidR="009E3BD0">
        <w:t>State Government of Victoria (2024c), clause</w:t>
      </w:r>
      <w:r w:rsidR="009E3BD0" w:rsidDel="009E3BD0">
        <w:t xml:space="preserve"> </w:t>
      </w:r>
      <w:r>
        <w:t xml:space="preserve">8. </w:t>
      </w:r>
    </w:p>
  </w:footnote>
  <w:footnote w:id="134">
    <w:p w14:paraId="70A34AC7" w14:textId="77777777" w:rsidR="003F26DA" w:rsidRDefault="003F26DA">
      <w:pPr>
        <w:pStyle w:val="FootnoteText"/>
      </w:pPr>
      <w:r>
        <w:rPr>
          <w:rStyle w:val="FootnoteReference"/>
        </w:rPr>
        <w:footnoteRef/>
      </w:r>
      <w:r>
        <w:t xml:space="preserve"> </w:t>
      </w:r>
      <w:r>
        <w:tab/>
        <w:t xml:space="preserve">Tribunal analysis of VPSC data. </w:t>
      </w:r>
    </w:p>
  </w:footnote>
  <w:footnote w:id="135">
    <w:p w14:paraId="4378B685" w14:textId="77777777" w:rsidR="003F26DA" w:rsidRDefault="003F26DA">
      <w:pPr>
        <w:pStyle w:val="FootnoteText"/>
      </w:pPr>
      <w:r>
        <w:rPr>
          <w:rStyle w:val="FootnoteReference"/>
        </w:rPr>
        <w:footnoteRef/>
      </w:r>
      <w:r>
        <w:t xml:space="preserve"> </w:t>
      </w:r>
      <w:r>
        <w:tab/>
        <w:t>PAA, s. 27.</w:t>
      </w:r>
    </w:p>
  </w:footnote>
  <w:footnote w:id="136">
    <w:p w14:paraId="08FEDA78" w14:textId="77777777" w:rsidR="003F26DA" w:rsidRDefault="003F26DA">
      <w:pPr>
        <w:pStyle w:val="FootnoteText"/>
      </w:pPr>
      <w:r>
        <w:rPr>
          <w:rStyle w:val="FootnoteReference"/>
        </w:rPr>
        <w:footnoteRef/>
      </w:r>
      <w:r>
        <w:t xml:space="preserve"> </w:t>
      </w:r>
      <w:r>
        <w:tab/>
      </w:r>
      <w:r w:rsidRPr="000C549F">
        <w:t>PAA, s</w:t>
      </w:r>
      <w:r>
        <w:t>.</w:t>
      </w:r>
      <w:r w:rsidRPr="000C549F">
        <w:t xml:space="preserve"> 27(2)</w:t>
      </w:r>
      <w:r>
        <w:t>.</w:t>
      </w:r>
    </w:p>
  </w:footnote>
  <w:footnote w:id="137">
    <w:p w14:paraId="340FF261" w14:textId="0E3B916A" w:rsidR="003F26DA" w:rsidRPr="00883248" w:rsidRDefault="003F26DA">
      <w:pPr>
        <w:pStyle w:val="FootnoteText"/>
      </w:pPr>
      <w:r>
        <w:rPr>
          <w:rStyle w:val="FootnoteReference"/>
        </w:rPr>
        <w:footnoteRef/>
      </w:r>
      <w:r>
        <w:t xml:space="preserve"> </w:t>
      </w:r>
      <w:r>
        <w:tab/>
      </w:r>
      <w:r w:rsidR="009E3BD0" w:rsidRPr="009E3BD0">
        <w:t>State Government of Victoria (2024c), clause</w:t>
      </w:r>
      <w:r>
        <w:t xml:space="preserve"> 5; VIRTIPS </w:t>
      </w:r>
      <w:r w:rsidRPr="00883248">
        <w:t xml:space="preserve">Act, s. 37. </w:t>
      </w:r>
    </w:p>
  </w:footnote>
  <w:footnote w:id="138">
    <w:p w14:paraId="62D24356" w14:textId="6ADC60FE" w:rsidR="003F26DA" w:rsidRDefault="003F26DA">
      <w:pPr>
        <w:pStyle w:val="FootnoteText"/>
      </w:pPr>
      <w:r w:rsidRPr="00883248">
        <w:rPr>
          <w:rStyle w:val="FootnoteReference"/>
        </w:rPr>
        <w:footnoteRef/>
      </w:r>
      <w:r w:rsidRPr="00883248">
        <w:t xml:space="preserve"> </w:t>
      </w:r>
      <w:r w:rsidRPr="00883248">
        <w:tab/>
      </w:r>
      <w:r w:rsidR="00D71E83" w:rsidRPr="00D71E83">
        <w:t>State Government of Victoria (2024c), clause</w:t>
      </w:r>
      <w:r w:rsidR="00D71E83" w:rsidRPr="00D71E83" w:rsidDel="00D71E83">
        <w:t xml:space="preserve"> </w:t>
      </w:r>
      <w:r w:rsidRPr="00883248">
        <w:t>7.1</w:t>
      </w:r>
      <w:r w:rsidR="00D71E83">
        <w:t>;</w:t>
      </w:r>
      <w:r w:rsidRPr="00883248">
        <w:t xml:space="preserve"> VPS</w:t>
      </w:r>
      <w:r w:rsidR="00D71E83">
        <w:t>C</w:t>
      </w:r>
      <w:r w:rsidR="00BC7A97">
        <w:t xml:space="preserve"> (2024f)</w:t>
      </w:r>
      <w:r w:rsidRPr="00883248">
        <w:t>, p. 25.</w:t>
      </w:r>
    </w:p>
  </w:footnote>
  <w:footnote w:id="139">
    <w:p w14:paraId="376E1AC0" w14:textId="2E1A349B" w:rsidR="003F26DA" w:rsidRDefault="003F26DA">
      <w:pPr>
        <w:pStyle w:val="FootnoteText"/>
      </w:pPr>
      <w:r>
        <w:rPr>
          <w:rStyle w:val="FootnoteReference"/>
        </w:rPr>
        <w:footnoteRef/>
      </w:r>
      <w:r>
        <w:t xml:space="preserve"> </w:t>
      </w:r>
      <w:r>
        <w:tab/>
      </w:r>
      <w:r w:rsidR="00BC7A97">
        <w:t>VPSC (2022</w:t>
      </w:r>
      <w:r w:rsidR="00943BD9">
        <w:t>e</w:t>
      </w:r>
      <w:r w:rsidR="00BC7A97">
        <w:t>)</w:t>
      </w:r>
      <w:r>
        <w:t>, p. 34; VPS</w:t>
      </w:r>
      <w:r w:rsidR="00BC7A97">
        <w:t>C (2024f)</w:t>
      </w:r>
      <w:r>
        <w:t xml:space="preserve">, p. 42. </w:t>
      </w:r>
    </w:p>
  </w:footnote>
  <w:footnote w:id="140">
    <w:p w14:paraId="16050FCB" w14:textId="48B71DF0" w:rsidR="003F26DA" w:rsidRDefault="003F26DA">
      <w:pPr>
        <w:pStyle w:val="FootnoteText"/>
      </w:pPr>
      <w:r>
        <w:rPr>
          <w:rStyle w:val="FootnoteReference"/>
        </w:rPr>
        <w:footnoteRef/>
      </w:r>
      <w:r>
        <w:t xml:space="preserve"> </w:t>
      </w:r>
      <w:r>
        <w:tab/>
      </w:r>
      <w:r w:rsidR="00943BD9">
        <w:t>VPSC (2022e)</w:t>
      </w:r>
      <w:r>
        <w:t>, p. 39.</w:t>
      </w:r>
    </w:p>
  </w:footnote>
  <w:footnote w:id="141">
    <w:p w14:paraId="5B3BA2A1" w14:textId="05414747" w:rsidR="003F26DA" w:rsidRDefault="003F26DA">
      <w:pPr>
        <w:pStyle w:val="FootnoteText"/>
      </w:pPr>
      <w:r w:rsidRPr="00712C3D">
        <w:rPr>
          <w:rStyle w:val="FootnoteReference"/>
        </w:rPr>
        <w:footnoteRef/>
      </w:r>
      <w:r w:rsidRPr="00712C3D">
        <w:t xml:space="preserve"> </w:t>
      </w:r>
      <w:r w:rsidRPr="00712C3D">
        <w:tab/>
      </w:r>
      <w:r w:rsidR="00943BD9">
        <w:t>VPSC (2022e),</w:t>
      </w:r>
      <w:r w:rsidRPr="00712C3D">
        <w:t xml:space="preserve"> p</w:t>
      </w:r>
      <w:r w:rsidR="00943BD9">
        <w:t>p</w:t>
      </w:r>
      <w:r w:rsidRPr="00712C3D">
        <w:t>. 40</w:t>
      </w:r>
      <w:r w:rsidR="00943BD9">
        <w:t>-</w:t>
      </w:r>
      <w:r w:rsidRPr="00712C3D">
        <w:t>41.</w:t>
      </w:r>
      <w:r>
        <w:t xml:space="preserve"> </w:t>
      </w:r>
    </w:p>
  </w:footnote>
  <w:footnote w:id="142">
    <w:p w14:paraId="19DAEA0F" w14:textId="28B2FE49" w:rsidR="003F26DA" w:rsidRDefault="003F26DA">
      <w:pPr>
        <w:pStyle w:val="FootnoteText"/>
      </w:pPr>
      <w:r>
        <w:rPr>
          <w:rStyle w:val="FootnoteReference"/>
        </w:rPr>
        <w:footnoteRef/>
      </w:r>
      <w:r>
        <w:tab/>
      </w:r>
      <w:r w:rsidR="00564E31">
        <w:t>Tribunal (</w:t>
      </w:r>
      <w:r w:rsidRPr="003153D1">
        <w:t>2020</w:t>
      </w:r>
      <w:r w:rsidR="00564E31">
        <w:t>)</w:t>
      </w:r>
      <w:r>
        <w:t>, pp. 5, 85.</w:t>
      </w:r>
    </w:p>
  </w:footnote>
  <w:footnote w:id="143">
    <w:p w14:paraId="7E5206AE" w14:textId="67931877" w:rsidR="003F26DA" w:rsidRDefault="003F26DA">
      <w:pPr>
        <w:pStyle w:val="FootnoteText"/>
      </w:pPr>
      <w:r>
        <w:rPr>
          <w:rStyle w:val="FootnoteReference"/>
        </w:rPr>
        <w:footnoteRef/>
      </w:r>
      <w:r w:rsidR="003B65E5">
        <w:tab/>
      </w:r>
      <w:r w:rsidR="00770B3A" w:rsidRPr="00770B3A">
        <w:t>State Government of Victoria (2024</w:t>
      </w:r>
      <w:r w:rsidR="00C501F8">
        <w:t>c)</w:t>
      </w:r>
      <w:r>
        <w:t>, cl</w:t>
      </w:r>
      <w:r w:rsidR="00C501F8">
        <w:t>ause</w:t>
      </w:r>
      <w:r>
        <w:t xml:space="preserve"> 5; VIRTIPS Act, s. 37.</w:t>
      </w:r>
    </w:p>
  </w:footnote>
  <w:footnote w:id="144">
    <w:p w14:paraId="2BD73B1F" w14:textId="17267416" w:rsidR="003F26DA" w:rsidRDefault="003F26DA">
      <w:pPr>
        <w:pStyle w:val="FootnoteText"/>
      </w:pPr>
      <w:r>
        <w:rPr>
          <w:rStyle w:val="FootnoteReference"/>
        </w:rPr>
        <w:footnoteRef/>
      </w:r>
      <w:r>
        <w:t xml:space="preserve"> </w:t>
      </w:r>
      <w:r>
        <w:tab/>
        <w:t xml:space="preserve">For information on executives in public service bodies paid above the band, see Tribunal (2024), p. 62. </w:t>
      </w:r>
    </w:p>
  </w:footnote>
  <w:footnote w:id="145">
    <w:p w14:paraId="7B03DC1D" w14:textId="37332BB1" w:rsidR="003F26DA" w:rsidRDefault="003F26DA">
      <w:pPr>
        <w:pStyle w:val="FootnoteText"/>
      </w:pPr>
      <w:r>
        <w:rPr>
          <w:rStyle w:val="FootnoteReference"/>
        </w:rPr>
        <w:footnoteRef/>
      </w:r>
      <w:r>
        <w:t xml:space="preserve"> </w:t>
      </w:r>
      <w:r>
        <w:tab/>
        <w:t xml:space="preserve">Education and Training Reform Act 2006 Ministerial Direction TAFE </w:t>
      </w:r>
      <w:r w:rsidR="009712BE">
        <w:t>I</w:t>
      </w:r>
      <w:r>
        <w:t>nstitute Executive Remuneration (No. 2).</w:t>
      </w:r>
    </w:p>
  </w:footnote>
  <w:footnote w:id="146">
    <w:p w14:paraId="5E204C27" w14:textId="7F77BC62" w:rsidR="003F26DA" w:rsidRDefault="003F26DA">
      <w:pPr>
        <w:pStyle w:val="FootnoteText"/>
      </w:pPr>
      <w:r>
        <w:rPr>
          <w:rStyle w:val="FootnoteReference"/>
        </w:rPr>
        <w:footnoteRef/>
      </w:r>
      <w:r>
        <w:t xml:space="preserve"> </w:t>
      </w:r>
      <w:r>
        <w:tab/>
        <w:t>VPSC (2024</w:t>
      </w:r>
      <w:r w:rsidR="000F274E">
        <w:t>a</w:t>
      </w:r>
      <w:r>
        <w:t xml:space="preserve">). </w:t>
      </w:r>
    </w:p>
  </w:footnote>
  <w:footnote w:id="147">
    <w:p w14:paraId="18166BAE" w14:textId="77777777" w:rsidR="003F26DA" w:rsidRDefault="003F26DA">
      <w:pPr>
        <w:pStyle w:val="FootnoteText"/>
      </w:pPr>
      <w:r>
        <w:rPr>
          <w:rStyle w:val="FootnoteReference"/>
        </w:rPr>
        <w:footnoteRef/>
      </w:r>
      <w:r>
        <w:t xml:space="preserve"> </w:t>
      </w:r>
      <w:r>
        <w:tab/>
        <w:t xml:space="preserve">PAA, s. 8. </w:t>
      </w:r>
    </w:p>
  </w:footnote>
  <w:footnote w:id="148">
    <w:p w14:paraId="2F2DC130" w14:textId="37F84C08" w:rsidR="003F26DA" w:rsidRDefault="003F26DA">
      <w:pPr>
        <w:pStyle w:val="FootnoteText"/>
      </w:pPr>
      <w:r>
        <w:rPr>
          <w:rStyle w:val="FootnoteReference"/>
        </w:rPr>
        <w:footnoteRef/>
      </w:r>
      <w:r>
        <w:t xml:space="preserve"> </w:t>
      </w:r>
      <w:r>
        <w:tab/>
      </w:r>
      <w:r w:rsidR="006F602B">
        <w:t>VPSC (2022e)</w:t>
      </w:r>
      <w:r w:rsidRPr="001C6644">
        <w:t>, p. 28.</w:t>
      </w:r>
    </w:p>
  </w:footnote>
  <w:footnote w:id="149">
    <w:p w14:paraId="09591327" w14:textId="5565B987" w:rsidR="003F26DA" w:rsidRDefault="003F26DA">
      <w:pPr>
        <w:pStyle w:val="FootnoteText"/>
      </w:pPr>
      <w:r>
        <w:rPr>
          <w:rStyle w:val="FootnoteReference"/>
        </w:rPr>
        <w:footnoteRef/>
      </w:r>
      <w:r>
        <w:t xml:space="preserve"> </w:t>
      </w:r>
      <w:r>
        <w:tab/>
        <w:t xml:space="preserve">VPSC (n.d.), </w:t>
      </w:r>
      <w:r w:rsidRPr="001F0075">
        <w:t>p. 4.</w:t>
      </w:r>
      <w:r>
        <w:t xml:space="preserve"> </w:t>
      </w:r>
    </w:p>
  </w:footnote>
  <w:footnote w:id="150">
    <w:p w14:paraId="394061EF" w14:textId="4F12930D" w:rsidR="003F26DA" w:rsidRDefault="003F26DA">
      <w:pPr>
        <w:pStyle w:val="FootnoteText"/>
      </w:pPr>
      <w:r>
        <w:rPr>
          <w:rStyle w:val="FootnoteReference"/>
        </w:rPr>
        <w:footnoteRef/>
      </w:r>
      <w:r>
        <w:t xml:space="preserve"> </w:t>
      </w:r>
      <w:r>
        <w:tab/>
        <w:t>State Government of Victoria (2024</w:t>
      </w:r>
      <w:r w:rsidR="00C146D1">
        <w:t>b</w:t>
      </w:r>
      <w:r>
        <w:t xml:space="preserve">). </w:t>
      </w:r>
    </w:p>
  </w:footnote>
  <w:footnote w:id="151">
    <w:p w14:paraId="75F9F273" w14:textId="516A318E" w:rsidR="003F26DA" w:rsidRDefault="003F26DA">
      <w:pPr>
        <w:pStyle w:val="FootnoteText"/>
      </w:pPr>
      <w:r>
        <w:rPr>
          <w:rStyle w:val="FootnoteReference"/>
        </w:rPr>
        <w:footnoteRef/>
      </w:r>
      <w:r>
        <w:t xml:space="preserve"> </w:t>
      </w:r>
      <w:r>
        <w:tab/>
      </w:r>
      <w:r w:rsidR="00C146D1">
        <w:t>VPSC (n.d.</w:t>
      </w:r>
      <w:r w:rsidR="00C146D1" w:rsidRPr="00CD121E">
        <w:t>)</w:t>
      </w:r>
      <w:r>
        <w:t>, p. 4.</w:t>
      </w:r>
    </w:p>
  </w:footnote>
  <w:footnote w:id="152">
    <w:p w14:paraId="4F70661E" w14:textId="2AEB183E" w:rsidR="003F26DA" w:rsidRDefault="003F26DA">
      <w:pPr>
        <w:pStyle w:val="FootnoteText"/>
      </w:pPr>
      <w:r>
        <w:rPr>
          <w:rStyle w:val="FootnoteReference"/>
        </w:rPr>
        <w:footnoteRef/>
      </w:r>
      <w:r>
        <w:t xml:space="preserve"> </w:t>
      </w:r>
      <w:r>
        <w:tab/>
        <w:t>RBA (2024</w:t>
      </w:r>
      <w:r w:rsidR="00FC73F8">
        <w:t>c</w:t>
      </w:r>
      <w:r w:rsidR="00B061D8">
        <w:t>),</w:t>
      </w:r>
      <w:r>
        <w:t xml:space="preserve"> p. 23.</w:t>
      </w:r>
    </w:p>
  </w:footnote>
  <w:footnote w:id="153">
    <w:p w14:paraId="260A7952" w14:textId="1E387628" w:rsidR="003F26DA" w:rsidRDefault="003F26DA">
      <w:pPr>
        <w:pStyle w:val="FootnoteText"/>
      </w:pPr>
      <w:r>
        <w:rPr>
          <w:rStyle w:val="FootnoteReference"/>
        </w:rPr>
        <w:footnoteRef/>
      </w:r>
      <w:r>
        <w:t xml:space="preserve"> </w:t>
      </w:r>
      <w:r>
        <w:tab/>
        <w:t>JSA (2024</w:t>
      </w:r>
      <w:r w:rsidR="0021785E">
        <w:t>a</w:t>
      </w:r>
      <w:r>
        <w:t xml:space="preserve">), p. 5. </w:t>
      </w:r>
    </w:p>
  </w:footnote>
  <w:footnote w:id="154">
    <w:p w14:paraId="5D2E3191" w14:textId="21790907" w:rsidR="004E0AE3" w:rsidRDefault="004E0AE3">
      <w:pPr>
        <w:pStyle w:val="FootnoteText"/>
      </w:pPr>
      <w:r>
        <w:rPr>
          <w:rStyle w:val="FootnoteReference"/>
        </w:rPr>
        <w:footnoteRef/>
      </w:r>
      <w:r>
        <w:t xml:space="preserve"> </w:t>
      </w:r>
      <w:r>
        <w:tab/>
      </w:r>
      <w:r w:rsidR="00AD7D5E" w:rsidRPr="00AD7D5E">
        <w:t>ABS (2024e)</w:t>
      </w:r>
      <w:r w:rsidR="00AD7D5E">
        <w:t>.</w:t>
      </w:r>
      <w:r w:rsidR="00AD7D5E" w:rsidRPr="00AD7D5E">
        <w:t xml:space="preserve"> </w:t>
      </w:r>
    </w:p>
  </w:footnote>
  <w:footnote w:id="155">
    <w:p w14:paraId="7ADD1242" w14:textId="5F622872" w:rsidR="003F26DA" w:rsidRDefault="003F26DA">
      <w:pPr>
        <w:pStyle w:val="FootnoteText"/>
      </w:pPr>
      <w:r>
        <w:rPr>
          <w:rStyle w:val="FootnoteReference"/>
        </w:rPr>
        <w:footnoteRef/>
      </w:r>
      <w:r>
        <w:t xml:space="preserve"> </w:t>
      </w:r>
      <w:r>
        <w:tab/>
        <w:t>Tribunal (2020), p. 16; Tribunal analysis of VPSC data.</w:t>
      </w:r>
    </w:p>
  </w:footnote>
  <w:footnote w:id="156">
    <w:p w14:paraId="0E125528" w14:textId="684330D4" w:rsidR="003F26DA" w:rsidRDefault="003F26DA">
      <w:pPr>
        <w:pStyle w:val="FootnoteText"/>
      </w:pPr>
      <w:r>
        <w:rPr>
          <w:rStyle w:val="FootnoteReference"/>
        </w:rPr>
        <w:footnoteRef/>
      </w:r>
      <w:r>
        <w:t xml:space="preserve"> </w:t>
      </w:r>
      <w:r>
        <w:tab/>
        <w:t>Department of Transport</w:t>
      </w:r>
      <w:r w:rsidR="00C03AE1">
        <w:t xml:space="preserve"> (2021)</w:t>
      </w:r>
      <w:r w:rsidR="003A6064">
        <w:t>,</w:t>
      </w:r>
      <w:r>
        <w:t xml:space="preserve"> p. 228; Suburban Rail Loop Authority</w:t>
      </w:r>
      <w:r w:rsidR="003A6064">
        <w:t xml:space="preserve"> (</w:t>
      </w:r>
      <w:r>
        <w:t>2023</w:t>
      </w:r>
      <w:r w:rsidR="003A6064">
        <w:t>),</w:t>
      </w:r>
      <w:r>
        <w:t xml:space="preserve"> p. 17. </w:t>
      </w:r>
    </w:p>
  </w:footnote>
  <w:footnote w:id="157">
    <w:p w14:paraId="705997A6" w14:textId="0A4C99F3" w:rsidR="003F26DA" w:rsidRDefault="003F26DA">
      <w:pPr>
        <w:pStyle w:val="FootnoteText"/>
      </w:pPr>
      <w:r>
        <w:rPr>
          <w:rStyle w:val="FootnoteReference"/>
        </w:rPr>
        <w:footnoteRef/>
      </w:r>
      <w:r>
        <w:t xml:space="preserve"> </w:t>
      </w:r>
      <w:r>
        <w:tab/>
        <w:t xml:space="preserve">According to JSA, ‘An occupation is in shortage when employers are unable to fill or have considerable difficulty filling vacancies for an occupation or cannot meet specialised skill needs within that occupation, at current levels of remuneration and conditions of employment and in reasonably accessible locations’. </w:t>
      </w:r>
      <w:r w:rsidR="005F1061">
        <w:t>JSA (2024a)</w:t>
      </w:r>
      <w:r w:rsidR="00FF7AEF">
        <w:t xml:space="preserve">, </w:t>
      </w:r>
      <w:r>
        <w:t>p. 4.</w:t>
      </w:r>
    </w:p>
  </w:footnote>
  <w:footnote w:id="158">
    <w:p w14:paraId="381BBD62" w14:textId="45DF3548" w:rsidR="003F26DA" w:rsidRDefault="003F26DA">
      <w:pPr>
        <w:pStyle w:val="FootnoteText"/>
      </w:pPr>
      <w:r>
        <w:rPr>
          <w:rStyle w:val="FootnoteReference"/>
        </w:rPr>
        <w:footnoteRef/>
      </w:r>
      <w:r>
        <w:t xml:space="preserve"> </w:t>
      </w:r>
      <w:r>
        <w:tab/>
        <w:t>JSA (2024</w:t>
      </w:r>
      <w:r w:rsidR="00FF7AEF">
        <w:t>a</w:t>
      </w:r>
      <w:r>
        <w:t xml:space="preserve">), p. 10. </w:t>
      </w:r>
    </w:p>
  </w:footnote>
  <w:footnote w:id="159">
    <w:p w14:paraId="1B3D18AB" w14:textId="6BD5C8C9" w:rsidR="003F26DA" w:rsidRDefault="003F26DA">
      <w:pPr>
        <w:pStyle w:val="FootnoteText"/>
      </w:pPr>
      <w:r>
        <w:rPr>
          <w:rStyle w:val="FootnoteReference"/>
        </w:rPr>
        <w:footnoteRef/>
      </w:r>
      <w:r>
        <w:t xml:space="preserve"> </w:t>
      </w:r>
      <w:r>
        <w:tab/>
        <w:t>JSA (2024</w:t>
      </w:r>
      <w:r w:rsidR="00FF7AEF">
        <w:t>a</w:t>
      </w:r>
      <w:r>
        <w:t>), p. 22.</w:t>
      </w:r>
    </w:p>
  </w:footnote>
  <w:footnote w:id="160">
    <w:p w14:paraId="11E81737" w14:textId="4DE48437" w:rsidR="003F26DA" w:rsidRDefault="003F26DA">
      <w:pPr>
        <w:pStyle w:val="FootnoteText"/>
      </w:pPr>
      <w:r>
        <w:rPr>
          <w:rStyle w:val="FootnoteReference"/>
        </w:rPr>
        <w:footnoteRef/>
      </w:r>
      <w:r>
        <w:t xml:space="preserve"> </w:t>
      </w:r>
      <w:r>
        <w:tab/>
      </w:r>
      <w:r w:rsidRPr="0042559E">
        <w:t xml:space="preserve">Tribunal (2020), p. </w:t>
      </w:r>
      <w:r>
        <w:t>96.</w:t>
      </w:r>
    </w:p>
  </w:footnote>
  <w:footnote w:id="161">
    <w:p w14:paraId="0FCF4A36" w14:textId="53FA57F5" w:rsidR="003F26DA" w:rsidRDefault="003F26DA">
      <w:pPr>
        <w:pStyle w:val="FootnoteText"/>
      </w:pPr>
      <w:r>
        <w:rPr>
          <w:rStyle w:val="FootnoteReference"/>
        </w:rPr>
        <w:footnoteRef/>
      </w:r>
      <w:r>
        <w:t xml:space="preserve"> </w:t>
      </w:r>
      <w:r>
        <w:tab/>
        <w:t xml:space="preserve">Tribunal (2020), p. 98. </w:t>
      </w:r>
    </w:p>
  </w:footnote>
  <w:footnote w:id="162">
    <w:p w14:paraId="1E5EBA0F" w14:textId="23CE0E68" w:rsidR="003F26DA" w:rsidRDefault="003F26DA">
      <w:pPr>
        <w:pStyle w:val="FootnoteText"/>
      </w:pPr>
      <w:r>
        <w:rPr>
          <w:rStyle w:val="FootnoteReference"/>
        </w:rPr>
        <w:footnoteRef/>
      </w:r>
      <w:r>
        <w:t xml:space="preserve"> </w:t>
      </w:r>
      <w:r>
        <w:tab/>
        <w:t>Tribunal (2020</w:t>
      </w:r>
      <w:r w:rsidR="00AC6034">
        <w:t>)</w:t>
      </w:r>
      <w:r>
        <w:t xml:space="preserve">, p. 98. </w:t>
      </w:r>
    </w:p>
  </w:footnote>
  <w:footnote w:id="163">
    <w:p w14:paraId="33148D05" w14:textId="14791225" w:rsidR="003F26DA" w:rsidRDefault="003F26DA">
      <w:pPr>
        <w:pStyle w:val="FootnoteText"/>
      </w:pPr>
      <w:r>
        <w:rPr>
          <w:rStyle w:val="FootnoteReference"/>
        </w:rPr>
        <w:footnoteRef/>
      </w:r>
      <w:r>
        <w:t xml:space="preserve"> </w:t>
      </w:r>
      <w:r>
        <w:tab/>
        <w:t xml:space="preserve">Mercer </w:t>
      </w:r>
      <w:r w:rsidR="00AC47B3">
        <w:t xml:space="preserve">Consulting </w:t>
      </w:r>
      <w:r>
        <w:t>(2024), p. 25</w:t>
      </w:r>
    </w:p>
  </w:footnote>
  <w:footnote w:id="164">
    <w:p w14:paraId="3672BBCE" w14:textId="6501CE02" w:rsidR="003F26DA" w:rsidRDefault="003F26DA">
      <w:pPr>
        <w:pStyle w:val="FootnoteText"/>
      </w:pPr>
      <w:r>
        <w:rPr>
          <w:rStyle w:val="FootnoteReference"/>
        </w:rPr>
        <w:footnoteRef/>
      </w:r>
      <w:r>
        <w:t xml:space="preserve"> </w:t>
      </w:r>
      <w:r>
        <w:tab/>
        <w:t>Tribunal (2024), p. 10.</w:t>
      </w:r>
    </w:p>
  </w:footnote>
  <w:footnote w:id="165">
    <w:p w14:paraId="152E4941" w14:textId="77777777" w:rsidR="003F26DA" w:rsidRDefault="003F26DA">
      <w:pPr>
        <w:pStyle w:val="FootnoteText"/>
      </w:pPr>
      <w:r>
        <w:rPr>
          <w:rStyle w:val="FootnoteReference"/>
        </w:rPr>
        <w:footnoteRef/>
      </w:r>
      <w:r>
        <w:t xml:space="preserve"> </w:t>
      </w:r>
      <w:r>
        <w:tab/>
        <w:t>VIRTIPS Act, s. 24(2).</w:t>
      </w:r>
    </w:p>
  </w:footnote>
  <w:footnote w:id="166">
    <w:p w14:paraId="2BBD0946" w14:textId="3EB9F0D0" w:rsidR="003F26DA" w:rsidRDefault="003F26DA">
      <w:pPr>
        <w:pStyle w:val="FootnoteText"/>
      </w:pPr>
      <w:r>
        <w:rPr>
          <w:rStyle w:val="FootnoteReference"/>
        </w:rPr>
        <w:footnoteRef/>
      </w:r>
      <w:r>
        <w:t xml:space="preserve"> </w:t>
      </w:r>
      <w:r>
        <w:tab/>
      </w:r>
      <w:r w:rsidR="00EB4967" w:rsidRPr="00487CF0">
        <w:t>ABS</w:t>
      </w:r>
      <w:r w:rsidR="00EB4967">
        <w:t xml:space="preserve"> (2024b).</w:t>
      </w:r>
    </w:p>
  </w:footnote>
  <w:footnote w:id="167">
    <w:p w14:paraId="0E1980EC" w14:textId="40EE18FB" w:rsidR="003F26DA" w:rsidRDefault="003F26DA">
      <w:pPr>
        <w:pStyle w:val="FootnoteText"/>
      </w:pPr>
      <w:r>
        <w:rPr>
          <w:rStyle w:val="FootnoteReference"/>
        </w:rPr>
        <w:footnoteRef/>
      </w:r>
      <w:r>
        <w:t xml:space="preserve"> </w:t>
      </w:r>
      <w:r>
        <w:tab/>
        <w:t>ABS</w:t>
      </w:r>
      <w:r w:rsidR="00E3776F">
        <w:t xml:space="preserve"> (2024a)</w:t>
      </w:r>
      <w:r w:rsidR="00FE717B">
        <w:t>.</w:t>
      </w:r>
      <w:r>
        <w:t xml:space="preserve"> </w:t>
      </w:r>
    </w:p>
  </w:footnote>
  <w:footnote w:id="168">
    <w:p w14:paraId="0373A3F2" w14:textId="4267762B" w:rsidR="003F26DA" w:rsidRDefault="003F26DA">
      <w:pPr>
        <w:pStyle w:val="FootnoteText"/>
      </w:pPr>
      <w:r>
        <w:rPr>
          <w:rStyle w:val="FootnoteReference"/>
        </w:rPr>
        <w:footnoteRef/>
      </w:r>
      <w:r>
        <w:t xml:space="preserve"> </w:t>
      </w:r>
      <w:r>
        <w:tab/>
        <w:t>ABS</w:t>
      </w:r>
      <w:r w:rsidR="00EB4967">
        <w:t xml:space="preserve"> (2024b).</w:t>
      </w:r>
      <w:r w:rsidR="00BC3B90">
        <w:t xml:space="preserve"> </w:t>
      </w:r>
      <w:r>
        <w:t>Unless referring to a comment by the ABS or RBA the long</w:t>
      </w:r>
      <w:r w:rsidR="00F427FE">
        <w:t>-</w:t>
      </w:r>
      <w:r w:rsidR="00F17DE4">
        <w:t>run</w:t>
      </w:r>
      <w:r>
        <w:t xml:space="preserve"> pr</w:t>
      </w:r>
      <w:r w:rsidR="00F427FE">
        <w:t>e-</w:t>
      </w:r>
      <w:r>
        <w:t>pandemic average refers to the average from June 1999 to June 2019 calculated by the Tribunal.</w:t>
      </w:r>
    </w:p>
  </w:footnote>
  <w:footnote w:id="169">
    <w:p w14:paraId="066535F6" w14:textId="5B05E2EB" w:rsidR="003F26DA" w:rsidRDefault="003F26DA">
      <w:pPr>
        <w:pStyle w:val="FootnoteText"/>
      </w:pPr>
      <w:r>
        <w:rPr>
          <w:rStyle w:val="FootnoteReference"/>
        </w:rPr>
        <w:footnoteRef/>
      </w:r>
      <w:r>
        <w:t xml:space="preserve"> </w:t>
      </w:r>
      <w:r>
        <w:tab/>
        <w:t>RBA</w:t>
      </w:r>
      <w:r w:rsidR="001D2601">
        <w:t xml:space="preserve"> (2024</w:t>
      </w:r>
      <w:r w:rsidR="00FC73F8">
        <w:t>c</w:t>
      </w:r>
      <w:r w:rsidR="001D2601">
        <w:t>)</w:t>
      </w:r>
      <w:r>
        <w:t>, pp. 29-3</w:t>
      </w:r>
      <w:r w:rsidR="002760C5">
        <w:t>0.</w:t>
      </w:r>
    </w:p>
  </w:footnote>
  <w:footnote w:id="170">
    <w:p w14:paraId="5C42F9B7" w14:textId="1B3656AA" w:rsidR="002760C5" w:rsidRDefault="002760C5">
      <w:pPr>
        <w:pStyle w:val="FootnoteText"/>
      </w:pPr>
      <w:r>
        <w:rPr>
          <w:rStyle w:val="FootnoteReference"/>
        </w:rPr>
        <w:footnoteRef/>
      </w:r>
      <w:r>
        <w:t xml:space="preserve"> </w:t>
      </w:r>
      <w:r>
        <w:tab/>
        <w:t>RBA (2024c), pp. 29-31.</w:t>
      </w:r>
    </w:p>
  </w:footnote>
  <w:footnote w:id="171">
    <w:p w14:paraId="73D3D6EF" w14:textId="42DB94F4" w:rsidR="003F26DA" w:rsidRDefault="003F26DA">
      <w:pPr>
        <w:pStyle w:val="FootnoteText"/>
      </w:pPr>
      <w:r>
        <w:rPr>
          <w:rStyle w:val="FootnoteReference"/>
        </w:rPr>
        <w:footnoteRef/>
      </w:r>
      <w:r>
        <w:t xml:space="preserve"> </w:t>
      </w:r>
      <w:r>
        <w:tab/>
      </w:r>
      <w:r w:rsidR="00634D57" w:rsidRPr="00634D57">
        <w:t xml:space="preserve">DTF (2024d), p. </w:t>
      </w:r>
      <w:r w:rsidR="00FA3992">
        <w:t>9</w:t>
      </w:r>
      <w:r w:rsidR="00634D57" w:rsidRPr="00634D57">
        <w:t xml:space="preserve">. </w:t>
      </w:r>
    </w:p>
  </w:footnote>
  <w:footnote w:id="172">
    <w:p w14:paraId="20E99459" w14:textId="4B76AB32" w:rsidR="003F26DA" w:rsidRDefault="003F26DA">
      <w:pPr>
        <w:pStyle w:val="FootnoteText"/>
      </w:pPr>
      <w:r>
        <w:rPr>
          <w:rStyle w:val="FootnoteReference"/>
        </w:rPr>
        <w:footnoteRef/>
      </w:r>
      <w:r>
        <w:t xml:space="preserve"> </w:t>
      </w:r>
      <w:r w:rsidR="00E60F0F">
        <w:tab/>
      </w:r>
      <w:r w:rsidR="00BC3B90" w:rsidRPr="00487CF0">
        <w:t>ABS</w:t>
      </w:r>
      <w:r w:rsidR="00BC3B90">
        <w:t xml:space="preserve"> (2024b).</w:t>
      </w:r>
    </w:p>
  </w:footnote>
  <w:footnote w:id="173">
    <w:p w14:paraId="3BECE82F" w14:textId="223DC6B2" w:rsidR="003F26DA" w:rsidRDefault="003F26DA">
      <w:pPr>
        <w:pStyle w:val="FootnoteText"/>
      </w:pPr>
      <w:r>
        <w:rPr>
          <w:rStyle w:val="FootnoteReference"/>
        </w:rPr>
        <w:footnoteRef/>
      </w:r>
      <w:r>
        <w:t xml:space="preserve"> </w:t>
      </w:r>
      <w:r>
        <w:tab/>
      </w:r>
      <w:r w:rsidR="009B2A28">
        <w:t>ABS (2024a).</w:t>
      </w:r>
    </w:p>
  </w:footnote>
  <w:footnote w:id="174">
    <w:p w14:paraId="0A94225A" w14:textId="10FA433F" w:rsidR="003F26DA" w:rsidRDefault="003F26DA">
      <w:pPr>
        <w:pStyle w:val="FootnoteText"/>
      </w:pPr>
      <w:r>
        <w:rPr>
          <w:rStyle w:val="FootnoteReference"/>
        </w:rPr>
        <w:footnoteRef/>
      </w:r>
      <w:r>
        <w:t xml:space="preserve"> </w:t>
      </w:r>
      <w:r>
        <w:tab/>
        <w:t>RBA</w:t>
      </w:r>
      <w:r w:rsidR="004E0E55">
        <w:t xml:space="preserve"> (2024</w:t>
      </w:r>
      <w:r w:rsidR="00FC73F8">
        <w:t>c</w:t>
      </w:r>
      <w:r w:rsidR="004E0E55">
        <w:t>)</w:t>
      </w:r>
      <w:r w:rsidRPr="00602CEC">
        <w:rPr>
          <w:i/>
          <w:iCs/>
        </w:rPr>
        <w:t>,</w:t>
      </w:r>
      <w:r>
        <w:t xml:space="preserve"> p</w:t>
      </w:r>
      <w:r w:rsidR="0071481D">
        <w:t>.</w:t>
      </w:r>
      <w:r>
        <w:t xml:space="preserve"> 34.</w:t>
      </w:r>
    </w:p>
  </w:footnote>
  <w:footnote w:id="175">
    <w:p w14:paraId="6FF690E9" w14:textId="493B7F32" w:rsidR="003F26DA" w:rsidRDefault="003F26DA">
      <w:pPr>
        <w:pStyle w:val="FootnoteText"/>
      </w:pPr>
      <w:r>
        <w:rPr>
          <w:rStyle w:val="FootnoteReference"/>
        </w:rPr>
        <w:footnoteRef/>
      </w:r>
      <w:r>
        <w:t xml:space="preserve"> </w:t>
      </w:r>
      <w:r>
        <w:tab/>
        <w:t>ABS</w:t>
      </w:r>
      <w:r w:rsidR="00A448CB">
        <w:t xml:space="preserve"> (2024c)</w:t>
      </w:r>
      <w:r w:rsidR="00291FE7">
        <w:t>.</w:t>
      </w:r>
    </w:p>
  </w:footnote>
  <w:footnote w:id="176">
    <w:p w14:paraId="61224004" w14:textId="3AB0D376" w:rsidR="003F26DA" w:rsidRDefault="003F26DA">
      <w:pPr>
        <w:pStyle w:val="FootnoteText"/>
      </w:pPr>
      <w:r>
        <w:rPr>
          <w:rStyle w:val="FootnoteReference"/>
        </w:rPr>
        <w:footnoteRef/>
      </w:r>
      <w:r>
        <w:t xml:space="preserve"> </w:t>
      </w:r>
      <w:r>
        <w:tab/>
      </w:r>
      <w:r w:rsidR="006931DC">
        <w:t>ABS (2024c).</w:t>
      </w:r>
    </w:p>
  </w:footnote>
  <w:footnote w:id="177">
    <w:p w14:paraId="79FEBF94" w14:textId="75B1AE62" w:rsidR="003F26DA" w:rsidRDefault="003F26DA">
      <w:pPr>
        <w:pStyle w:val="FootnoteText"/>
      </w:pPr>
      <w:r>
        <w:rPr>
          <w:rStyle w:val="FootnoteReference"/>
        </w:rPr>
        <w:footnoteRef/>
      </w:r>
      <w:r>
        <w:t xml:space="preserve"> </w:t>
      </w:r>
      <w:r>
        <w:tab/>
      </w:r>
      <w:r w:rsidRPr="004A6737">
        <w:t>While the RBA targets headline inflation, it has noted that it is necessary to ‘look through’ temporary volatility in prices to assess whether inflation will sustainab</w:t>
      </w:r>
      <w:r w:rsidR="0066366B">
        <w:t>ly</w:t>
      </w:r>
      <w:r w:rsidRPr="004A6737">
        <w:t xml:space="preserve"> return to the midpoint of the target band. Measures of underlying inflation help to inform this assessment. </w:t>
      </w:r>
      <w:r w:rsidRPr="00BE6F7C">
        <w:t>RBA (2024</w:t>
      </w:r>
      <w:r w:rsidR="00FC73F8">
        <w:t>b</w:t>
      </w:r>
      <w:r w:rsidRPr="00BE6F7C">
        <w:t xml:space="preserve">), </w:t>
      </w:r>
      <w:r w:rsidR="00E10F19" w:rsidRPr="005F7556">
        <w:t>p</w:t>
      </w:r>
      <w:r w:rsidR="0050138C" w:rsidRPr="005F7556">
        <w:t>p</w:t>
      </w:r>
      <w:r w:rsidR="00E10F19" w:rsidRPr="005F7556">
        <w:t>.</w:t>
      </w:r>
      <w:r w:rsidR="0050138C" w:rsidRPr="005F7556">
        <w:t xml:space="preserve"> 59-61.</w:t>
      </w:r>
      <w:r w:rsidRPr="005F7556">
        <w:rPr>
          <w:highlight w:val="yellow"/>
        </w:rPr>
        <w:t xml:space="preserve"> </w:t>
      </w:r>
    </w:p>
  </w:footnote>
  <w:footnote w:id="178">
    <w:p w14:paraId="38FA1745" w14:textId="2C25049B" w:rsidR="008D27B1" w:rsidRDefault="008D27B1">
      <w:pPr>
        <w:pStyle w:val="FootnoteText"/>
      </w:pPr>
      <w:r>
        <w:rPr>
          <w:rStyle w:val="FootnoteReference"/>
        </w:rPr>
        <w:footnoteRef/>
      </w:r>
      <w:r>
        <w:t xml:space="preserve"> </w:t>
      </w:r>
      <w:r>
        <w:tab/>
        <w:t>ABS (2024c).</w:t>
      </w:r>
    </w:p>
  </w:footnote>
  <w:footnote w:id="179">
    <w:p w14:paraId="3D0880B6" w14:textId="0DA6882E" w:rsidR="003F26DA" w:rsidRDefault="003F26DA">
      <w:pPr>
        <w:pStyle w:val="FootnoteText"/>
      </w:pPr>
      <w:r>
        <w:rPr>
          <w:rStyle w:val="FootnoteReference"/>
        </w:rPr>
        <w:footnoteRef/>
      </w:r>
      <w:r>
        <w:t xml:space="preserve"> </w:t>
      </w:r>
      <w:r>
        <w:tab/>
      </w:r>
      <w:r w:rsidR="00EC7959">
        <w:t>ABS (2024c).</w:t>
      </w:r>
    </w:p>
  </w:footnote>
  <w:footnote w:id="180">
    <w:p w14:paraId="0A3E87FC" w14:textId="6D931031" w:rsidR="003F26DA" w:rsidRDefault="003F26DA">
      <w:pPr>
        <w:pStyle w:val="FootnoteText"/>
      </w:pPr>
      <w:r>
        <w:rPr>
          <w:rStyle w:val="FootnoteReference"/>
        </w:rPr>
        <w:footnoteRef/>
      </w:r>
      <w:r>
        <w:t xml:space="preserve"> </w:t>
      </w:r>
      <w:r>
        <w:tab/>
        <w:t>RBA</w:t>
      </w:r>
      <w:r w:rsidR="00647B3F">
        <w:t xml:space="preserve"> (2024</w:t>
      </w:r>
      <w:r w:rsidR="00FC73F8">
        <w:t>c</w:t>
      </w:r>
      <w:r w:rsidR="00647B3F">
        <w:t>)</w:t>
      </w:r>
      <w:r w:rsidRPr="00953FB1">
        <w:t xml:space="preserve">, </w:t>
      </w:r>
      <w:r>
        <w:t>pp</w:t>
      </w:r>
      <w:r w:rsidR="0071481D">
        <w:t>.</w:t>
      </w:r>
      <w:r>
        <w:t xml:space="preserve"> 38-39.</w:t>
      </w:r>
    </w:p>
  </w:footnote>
  <w:footnote w:id="181">
    <w:p w14:paraId="1D49C8AA" w14:textId="47282AA6" w:rsidR="007E5D0B" w:rsidRDefault="007E5D0B">
      <w:pPr>
        <w:pStyle w:val="FootnoteText"/>
      </w:pPr>
      <w:r>
        <w:rPr>
          <w:rStyle w:val="FootnoteReference"/>
        </w:rPr>
        <w:footnoteRef/>
      </w:r>
      <w:r>
        <w:t xml:space="preserve"> </w:t>
      </w:r>
      <w:r w:rsidR="000A15F7">
        <w:tab/>
        <w:t>RBA (2024c)</w:t>
      </w:r>
      <w:r w:rsidR="000A15F7" w:rsidRPr="00953FB1">
        <w:t xml:space="preserve">, </w:t>
      </w:r>
      <w:r w:rsidR="000A15F7">
        <w:t>p</w:t>
      </w:r>
      <w:r w:rsidR="00A72413">
        <w:t xml:space="preserve">. </w:t>
      </w:r>
      <w:r w:rsidR="000A15F7">
        <w:t>39.</w:t>
      </w:r>
    </w:p>
  </w:footnote>
  <w:footnote w:id="182">
    <w:p w14:paraId="1BF37510" w14:textId="6AFFDBCA" w:rsidR="003F26DA" w:rsidRDefault="003F26DA">
      <w:pPr>
        <w:pStyle w:val="FootnoteText"/>
      </w:pPr>
      <w:r>
        <w:rPr>
          <w:rStyle w:val="FootnoteReference"/>
        </w:rPr>
        <w:footnoteRef/>
      </w:r>
      <w:r>
        <w:t xml:space="preserve"> </w:t>
      </w:r>
      <w:r>
        <w:tab/>
      </w:r>
      <w:r w:rsidR="00EC7959">
        <w:t>ABS (2024c).</w:t>
      </w:r>
    </w:p>
  </w:footnote>
  <w:footnote w:id="183">
    <w:p w14:paraId="65DEA839" w14:textId="4DADDC8B" w:rsidR="003F26DA" w:rsidRDefault="003F26DA">
      <w:pPr>
        <w:pStyle w:val="FootnoteText"/>
      </w:pPr>
      <w:r>
        <w:rPr>
          <w:rStyle w:val="FootnoteReference"/>
        </w:rPr>
        <w:footnoteRef/>
      </w:r>
      <w:r>
        <w:t xml:space="preserve"> </w:t>
      </w:r>
      <w:r>
        <w:tab/>
        <w:t>RBA</w:t>
      </w:r>
      <w:r w:rsidR="00FD24C5">
        <w:t xml:space="preserve"> (2024</w:t>
      </w:r>
      <w:r w:rsidR="00FC73F8">
        <w:t>c</w:t>
      </w:r>
      <w:r w:rsidR="00FD24C5">
        <w:t>)</w:t>
      </w:r>
      <w:r w:rsidRPr="00953FB1">
        <w:t xml:space="preserve">, </w:t>
      </w:r>
      <w:r>
        <w:t>p</w:t>
      </w:r>
      <w:r w:rsidR="0071481D">
        <w:t>.</w:t>
      </w:r>
      <w:r>
        <w:t xml:space="preserve"> 38.</w:t>
      </w:r>
    </w:p>
  </w:footnote>
  <w:footnote w:id="184">
    <w:p w14:paraId="29E88280" w14:textId="6CD30040" w:rsidR="003F26DA" w:rsidRPr="009269C2" w:rsidRDefault="003F26DA">
      <w:pPr>
        <w:pStyle w:val="FootnoteText"/>
      </w:pPr>
      <w:r>
        <w:rPr>
          <w:rStyle w:val="FootnoteReference"/>
        </w:rPr>
        <w:footnoteRef/>
      </w:r>
      <w:r>
        <w:t xml:space="preserve"> </w:t>
      </w:r>
      <w:r>
        <w:tab/>
      </w:r>
      <w:r w:rsidR="00AE4A4D">
        <w:t>ABS (2024c).</w:t>
      </w:r>
    </w:p>
  </w:footnote>
  <w:footnote w:id="185">
    <w:p w14:paraId="57E342A3" w14:textId="3DA98998" w:rsidR="003F26DA" w:rsidRDefault="003F26DA">
      <w:pPr>
        <w:pStyle w:val="FootnoteText"/>
      </w:pPr>
      <w:r>
        <w:rPr>
          <w:rStyle w:val="FootnoteReference"/>
        </w:rPr>
        <w:footnoteRef/>
      </w:r>
      <w:r>
        <w:t xml:space="preserve"> </w:t>
      </w:r>
      <w:r>
        <w:tab/>
        <w:t>RBA</w:t>
      </w:r>
      <w:r w:rsidR="00FD24C5">
        <w:t xml:space="preserve"> (2024</w:t>
      </w:r>
      <w:r w:rsidR="00FC73F8">
        <w:t>c</w:t>
      </w:r>
      <w:r w:rsidR="00FD24C5">
        <w:t>)</w:t>
      </w:r>
      <w:r w:rsidRPr="00953FB1">
        <w:t xml:space="preserve">, </w:t>
      </w:r>
      <w:r>
        <w:t>p</w:t>
      </w:r>
      <w:r w:rsidR="0071481D">
        <w:t>.</w:t>
      </w:r>
      <w:r>
        <w:t xml:space="preserve"> 33.</w:t>
      </w:r>
    </w:p>
  </w:footnote>
  <w:footnote w:id="186">
    <w:p w14:paraId="448054C3" w14:textId="060B723F" w:rsidR="003F26DA" w:rsidRDefault="003F26DA">
      <w:pPr>
        <w:pStyle w:val="FootnoteText"/>
      </w:pPr>
      <w:r>
        <w:rPr>
          <w:rStyle w:val="FootnoteReference"/>
        </w:rPr>
        <w:footnoteRef/>
      </w:r>
      <w:r>
        <w:t xml:space="preserve"> </w:t>
      </w:r>
      <w:r>
        <w:tab/>
      </w:r>
      <w:r w:rsidRPr="006869FB">
        <w:t>ABS</w:t>
      </w:r>
      <w:r w:rsidR="003E5D39">
        <w:t xml:space="preserve"> (2024</w:t>
      </w:r>
      <w:r w:rsidR="00070DDE">
        <w:t>e).</w:t>
      </w:r>
    </w:p>
  </w:footnote>
  <w:footnote w:id="187">
    <w:p w14:paraId="1F98A37F" w14:textId="58CB80D1" w:rsidR="00507584" w:rsidRDefault="00507584">
      <w:pPr>
        <w:pStyle w:val="FootnoteText"/>
      </w:pPr>
      <w:r>
        <w:rPr>
          <w:rStyle w:val="FootnoteReference"/>
        </w:rPr>
        <w:footnoteRef/>
      </w:r>
      <w:r>
        <w:t xml:space="preserve"> </w:t>
      </w:r>
      <w:r>
        <w:tab/>
      </w:r>
      <w:r w:rsidRPr="006869FB">
        <w:t>ABS</w:t>
      </w:r>
      <w:r>
        <w:t xml:space="preserve"> (2024e).</w:t>
      </w:r>
    </w:p>
  </w:footnote>
  <w:footnote w:id="188">
    <w:p w14:paraId="0A4085C0" w14:textId="69011C31" w:rsidR="003F26DA" w:rsidRDefault="003F26DA">
      <w:pPr>
        <w:pStyle w:val="FootnoteText"/>
      </w:pPr>
      <w:r>
        <w:rPr>
          <w:rStyle w:val="FootnoteReference"/>
        </w:rPr>
        <w:footnoteRef/>
      </w:r>
      <w:r>
        <w:t xml:space="preserve"> </w:t>
      </w:r>
      <w:r>
        <w:tab/>
      </w:r>
      <w:bookmarkStart w:id="79" w:name="_Hlk185095308"/>
      <w:r>
        <w:t>ABS</w:t>
      </w:r>
      <w:r w:rsidR="00CC2776">
        <w:t xml:space="preserve"> (2024f)</w:t>
      </w:r>
      <w:r w:rsidR="001758C3">
        <w:t>.</w:t>
      </w:r>
      <w:bookmarkEnd w:id="79"/>
    </w:p>
  </w:footnote>
  <w:footnote w:id="189">
    <w:p w14:paraId="6857C01C" w14:textId="1E8669C8" w:rsidR="003F26DA" w:rsidRDefault="003F26DA">
      <w:pPr>
        <w:pStyle w:val="FootnoteText"/>
      </w:pPr>
      <w:r>
        <w:rPr>
          <w:rStyle w:val="FootnoteReference"/>
        </w:rPr>
        <w:footnoteRef/>
      </w:r>
      <w:r>
        <w:t xml:space="preserve"> </w:t>
      </w:r>
      <w:r>
        <w:tab/>
      </w:r>
      <w:r w:rsidRPr="00F630E7">
        <w:t>RBA</w:t>
      </w:r>
      <w:r w:rsidR="00494566">
        <w:t xml:space="preserve"> (2024</w:t>
      </w:r>
      <w:r w:rsidR="00FC73F8">
        <w:t>c</w:t>
      </w:r>
      <w:r w:rsidR="00494566">
        <w:t>)</w:t>
      </w:r>
      <w:r w:rsidRPr="005F7556">
        <w:t>,</w:t>
      </w:r>
      <w:r w:rsidRPr="00F630E7">
        <w:t xml:space="preserve"> p</w:t>
      </w:r>
      <w:r w:rsidR="0071481D">
        <w:t>.</w:t>
      </w:r>
      <w:r w:rsidRPr="00F630E7">
        <w:t xml:space="preserve"> 3</w:t>
      </w:r>
      <w:r>
        <w:t>5</w:t>
      </w:r>
      <w:r w:rsidRPr="00F630E7">
        <w:t>.</w:t>
      </w:r>
    </w:p>
  </w:footnote>
  <w:footnote w:id="190">
    <w:p w14:paraId="0971D634" w14:textId="574C5E09" w:rsidR="003F26DA" w:rsidRDefault="003F26DA">
      <w:pPr>
        <w:pStyle w:val="FootnoteText"/>
      </w:pPr>
      <w:r>
        <w:rPr>
          <w:rStyle w:val="FootnoteReference"/>
        </w:rPr>
        <w:footnoteRef/>
      </w:r>
      <w:r>
        <w:t xml:space="preserve"> </w:t>
      </w:r>
      <w:r>
        <w:tab/>
      </w:r>
      <w:r w:rsidRPr="00C1392F">
        <w:t>FWC</w:t>
      </w:r>
      <w:r w:rsidR="00654480">
        <w:t xml:space="preserve"> (2024</w:t>
      </w:r>
      <w:r w:rsidR="00FA5770">
        <w:t>a</w:t>
      </w:r>
      <w:r w:rsidR="00654480">
        <w:t>)</w:t>
      </w:r>
      <w:r w:rsidR="007147E1">
        <w:t>,</w:t>
      </w:r>
      <w:r w:rsidRPr="00C1392F">
        <w:t xml:space="preserve"> p. 8.</w:t>
      </w:r>
    </w:p>
  </w:footnote>
  <w:footnote w:id="191">
    <w:p w14:paraId="6F334F2C" w14:textId="75FC190C" w:rsidR="003F26DA" w:rsidRDefault="003F26DA">
      <w:pPr>
        <w:pStyle w:val="FootnoteText"/>
      </w:pPr>
      <w:r>
        <w:rPr>
          <w:rStyle w:val="FootnoteReference"/>
        </w:rPr>
        <w:footnoteRef/>
      </w:r>
      <w:r>
        <w:t xml:space="preserve"> </w:t>
      </w:r>
      <w:r>
        <w:tab/>
      </w:r>
      <w:r w:rsidR="001758C3">
        <w:t>ABS (2024f).</w:t>
      </w:r>
    </w:p>
  </w:footnote>
  <w:footnote w:id="192">
    <w:p w14:paraId="1E71335D" w14:textId="1ABEF00D" w:rsidR="003F26DA" w:rsidRDefault="003F26DA">
      <w:pPr>
        <w:pStyle w:val="FootnoteText"/>
      </w:pPr>
      <w:r>
        <w:rPr>
          <w:rStyle w:val="FootnoteReference"/>
        </w:rPr>
        <w:footnoteRef/>
      </w:r>
      <w:r>
        <w:t xml:space="preserve"> </w:t>
      </w:r>
      <w:r>
        <w:tab/>
      </w:r>
      <w:r w:rsidR="001758C3">
        <w:t>ABS (2024f).</w:t>
      </w:r>
    </w:p>
  </w:footnote>
  <w:footnote w:id="193">
    <w:p w14:paraId="77CC2B4F" w14:textId="39EF381C" w:rsidR="003F26DA" w:rsidRDefault="003F26DA">
      <w:pPr>
        <w:pStyle w:val="FootnoteText"/>
      </w:pPr>
      <w:r>
        <w:rPr>
          <w:rStyle w:val="FootnoteReference"/>
        </w:rPr>
        <w:footnoteRef/>
      </w:r>
      <w:r>
        <w:t xml:space="preserve"> </w:t>
      </w:r>
      <w:r>
        <w:tab/>
      </w:r>
      <w:r w:rsidR="001758C3">
        <w:t>ABS (2024f).</w:t>
      </w:r>
    </w:p>
  </w:footnote>
  <w:footnote w:id="194">
    <w:p w14:paraId="6EA65C33" w14:textId="1447656B" w:rsidR="003F26DA" w:rsidRDefault="003F26DA">
      <w:pPr>
        <w:pStyle w:val="FootnoteText"/>
      </w:pPr>
      <w:r>
        <w:rPr>
          <w:rStyle w:val="FootnoteReference"/>
        </w:rPr>
        <w:footnoteRef/>
      </w:r>
      <w:r>
        <w:t xml:space="preserve"> </w:t>
      </w:r>
      <w:r>
        <w:tab/>
      </w:r>
      <w:r w:rsidRPr="00242513">
        <w:t>DTF</w:t>
      </w:r>
      <w:r w:rsidR="00B750F6">
        <w:t xml:space="preserve"> (2024</w:t>
      </w:r>
      <w:r w:rsidR="008F2133">
        <w:t>h</w:t>
      </w:r>
      <w:r w:rsidR="00B750F6">
        <w:t>)</w:t>
      </w:r>
      <w:r>
        <w:t>,</w:t>
      </w:r>
      <w:r w:rsidR="00A86FE4">
        <w:t xml:space="preserve"> p. 8.</w:t>
      </w:r>
    </w:p>
  </w:footnote>
  <w:footnote w:id="195">
    <w:p w14:paraId="4599D5FE" w14:textId="5D49B9AD" w:rsidR="004F38CE" w:rsidRDefault="004F38CE">
      <w:pPr>
        <w:pStyle w:val="FootnoteText"/>
      </w:pPr>
      <w:r>
        <w:rPr>
          <w:rStyle w:val="FootnoteReference"/>
        </w:rPr>
        <w:footnoteRef/>
      </w:r>
      <w:r>
        <w:t xml:space="preserve"> </w:t>
      </w:r>
      <w:r>
        <w:tab/>
      </w:r>
      <w:r w:rsidRPr="004F38CE">
        <w:t>ABS (2024c); ABS (2024f).</w:t>
      </w:r>
    </w:p>
  </w:footnote>
  <w:footnote w:id="196">
    <w:p w14:paraId="7F2BFCF2" w14:textId="53165EF1" w:rsidR="003F26DA" w:rsidRDefault="003F26DA">
      <w:pPr>
        <w:pStyle w:val="FootnoteText"/>
      </w:pPr>
      <w:r>
        <w:rPr>
          <w:rStyle w:val="FootnoteReference"/>
        </w:rPr>
        <w:footnoteRef/>
      </w:r>
      <w:r>
        <w:t xml:space="preserve"> </w:t>
      </w:r>
      <w:r>
        <w:tab/>
      </w:r>
      <w:r w:rsidRPr="007B4BAB">
        <w:t>RBA</w:t>
      </w:r>
      <w:r w:rsidR="00EC0983">
        <w:t xml:space="preserve"> (2024</w:t>
      </w:r>
      <w:r w:rsidR="00FC73F8">
        <w:t>c</w:t>
      </w:r>
      <w:r w:rsidR="00EC0983">
        <w:t>)</w:t>
      </w:r>
      <w:r w:rsidRPr="007B4BAB">
        <w:t>, p</w:t>
      </w:r>
      <w:r w:rsidR="008D5CA1">
        <w:t>.</w:t>
      </w:r>
      <w:r w:rsidRPr="007B4BAB">
        <w:t xml:space="preserve"> </w:t>
      </w:r>
      <w:r>
        <w:t>48</w:t>
      </w:r>
      <w:r w:rsidRPr="007B4BAB">
        <w:t>.</w:t>
      </w:r>
    </w:p>
  </w:footnote>
  <w:footnote w:id="197">
    <w:p w14:paraId="3BBE6B78" w14:textId="37E7DEA0" w:rsidR="00696402" w:rsidRDefault="00696402">
      <w:pPr>
        <w:pStyle w:val="FootnoteText"/>
      </w:pPr>
      <w:r>
        <w:rPr>
          <w:rStyle w:val="FootnoteReference"/>
        </w:rPr>
        <w:footnoteRef/>
      </w:r>
      <w:r>
        <w:t xml:space="preserve"> </w:t>
      </w:r>
      <w:r>
        <w:tab/>
      </w:r>
      <w:r w:rsidRPr="001A5AFF">
        <w:t>RBA</w:t>
      </w:r>
      <w:r>
        <w:t xml:space="preserve"> (2024c)</w:t>
      </w:r>
      <w:r w:rsidRPr="001A5AFF">
        <w:t>, p</w:t>
      </w:r>
      <w:r>
        <w:t>p.</w:t>
      </w:r>
      <w:r w:rsidRPr="001A5AFF">
        <w:t xml:space="preserve"> </w:t>
      </w:r>
      <w:r>
        <w:t>48-49</w:t>
      </w:r>
      <w:r w:rsidRPr="001A5AFF">
        <w:t>.</w:t>
      </w:r>
    </w:p>
  </w:footnote>
  <w:footnote w:id="198">
    <w:p w14:paraId="5593C9D2" w14:textId="449AC74E" w:rsidR="003F26DA" w:rsidRDefault="003F26DA">
      <w:pPr>
        <w:pStyle w:val="FootnoteText"/>
      </w:pPr>
      <w:r>
        <w:rPr>
          <w:rStyle w:val="FootnoteReference"/>
        </w:rPr>
        <w:footnoteRef/>
      </w:r>
      <w:r>
        <w:t xml:space="preserve"> </w:t>
      </w:r>
      <w:r>
        <w:tab/>
      </w:r>
      <w:r w:rsidRPr="001A5AFF">
        <w:t>RBA</w:t>
      </w:r>
      <w:r w:rsidR="00EC0983">
        <w:t xml:space="preserve"> (2024</w:t>
      </w:r>
      <w:r w:rsidR="00FC73F8">
        <w:t>c</w:t>
      </w:r>
      <w:r w:rsidR="00EC0983">
        <w:t>)</w:t>
      </w:r>
      <w:r w:rsidRPr="001A5AFF">
        <w:t>, p</w:t>
      </w:r>
      <w:r w:rsidR="008D5CA1">
        <w:t>.</w:t>
      </w:r>
      <w:r w:rsidRPr="001A5AFF">
        <w:t xml:space="preserve"> </w:t>
      </w:r>
      <w:r>
        <w:t>5</w:t>
      </w:r>
      <w:r w:rsidRPr="001A5AFF">
        <w:t>5.</w:t>
      </w:r>
    </w:p>
  </w:footnote>
  <w:footnote w:id="199">
    <w:p w14:paraId="5A5947B1" w14:textId="2EA44164" w:rsidR="00B84813" w:rsidRDefault="00B84813">
      <w:pPr>
        <w:pStyle w:val="FootnoteText"/>
      </w:pPr>
      <w:r>
        <w:rPr>
          <w:rStyle w:val="FootnoteReference"/>
        </w:rPr>
        <w:footnoteRef/>
      </w:r>
      <w:r>
        <w:t xml:space="preserve"> </w:t>
      </w:r>
      <w:r>
        <w:tab/>
      </w:r>
      <w:bookmarkStart w:id="82" w:name="_Hlk185004236"/>
      <w:r w:rsidR="00824574" w:rsidRPr="00AC3E22">
        <w:t>DTF (2024d),</w:t>
      </w:r>
      <w:r w:rsidR="00824574">
        <w:t xml:space="preserve"> p. </w:t>
      </w:r>
      <w:r w:rsidR="00640C48">
        <w:t>8</w:t>
      </w:r>
      <w:r w:rsidR="00824574">
        <w:t>.</w:t>
      </w:r>
      <w:bookmarkEnd w:id="82"/>
    </w:p>
  </w:footnote>
  <w:footnote w:id="200">
    <w:p w14:paraId="21B26B83" w14:textId="5EFFF28E" w:rsidR="003F26DA" w:rsidRDefault="003F26DA">
      <w:pPr>
        <w:pStyle w:val="FootnoteText"/>
      </w:pPr>
      <w:r>
        <w:rPr>
          <w:rStyle w:val="FootnoteReference"/>
        </w:rPr>
        <w:footnoteRef/>
      </w:r>
      <w:r>
        <w:t xml:space="preserve"> </w:t>
      </w:r>
      <w:r>
        <w:tab/>
      </w:r>
      <w:r w:rsidR="00640C48" w:rsidRPr="00AC3E22">
        <w:t>DTF (2024d),</w:t>
      </w:r>
      <w:r w:rsidR="00640C48">
        <w:t xml:space="preserve"> p. 10.</w:t>
      </w:r>
    </w:p>
  </w:footnote>
  <w:footnote w:id="201">
    <w:p w14:paraId="54D33B7C" w14:textId="4A443728" w:rsidR="003F26DA" w:rsidRDefault="003F26DA">
      <w:pPr>
        <w:pStyle w:val="FootnoteText"/>
      </w:pPr>
      <w:r>
        <w:rPr>
          <w:rStyle w:val="FootnoteReference"/>
        </w:rPr>
        <w:footnoteRef/>
      </w:r>
      <w:r>
        <w:t xml:space="preserve"> </w:t>
      </w:r>
      <w:r>
        <w:tab/>
      </w:r>
      <w:r w:rsidRPr="001A5AFF">
        <w:t>RBA</w:t>
      </w:r>
      <w:r w:rsidR="00EC0983">
        <w:t xml:space="preserve"> (2024</w:t>
      </w:r>
      <w:r w:rsidR="00FC73F8">
        <w:t>c</w:t>
      </w:r>
      <w:r w:rsidR="00EC0983">
        <w:t>)</w:t>
      </w:r>
      <w:r w:rsidRPr="001A5AFF">
        <w:t>, p</w:t>
      </w:r>
      <w:r w:rsidR="008D5CA1">
        <w:t>.</w:t>
      </w:r>
      <w:r>
        <w:t xml:space="preserve"> 49</w:t>
      </w:r>
      <w:r w:rsidRPr="001A5AFF">
        <w:t>.</w:t>
      </w:r>
    </w:p>
  </w:footnote>
  <w:footnote w:id="202">
    <w:p w14:paraId="469DD50B" w14:textId="28A99582" w:rsidR="003F26DA" w:rsidRDefault="003F26DA">
      <w:pPr>
        <w:pStyle w:val="FootnoteText"/>
      </w:pPr>
      <w:r>
        <w:rPr>
          <w:rStyle w:val="FootnoteReference"/>
        </w:rPr>
        <w:footnoteRef/>
      </w:r>
      <w:r>
        <w:t xml:space="preserve"> </w:t>
      </w:r>
      <w:r>
        <w:tab/>
      </w:r>
      <w:r w:rsidR="00AC198A" w:rsidRPr="001A5AFF">
        <w:t>RBA</w:t>
      </w:r>
      <w:r w:rsidR="00AC198A">
        <w:t xml:space="preserve"> (2024</w:t>
      </w:r>
      <w:r w:rsidR="00FC73F8">
        <w:t>c</w:t>
      </w:r>
      <w:r w:rsidR="00AC198A">
        <w:t>)</w:t>
      </w:r>
      <w:r w:rsidR="00AC198A" w:rsidRPr="001A5AFF">
        <w:t>,</w:t>
      </w:r>
      <w:r w:rsidRPr="001A5AFF">
        <w:t xml:space="preserve"> p</w:t>
      </w:r>
      <w:r>
        <w:t>p</w:t>
      </w:r>
      <w:r w:rsidR="008D5CA1">
        <w:t>.</w:t>
      </w:r>
      <w:r>
        <w:t xml:space="preserve"> 49, 53-54</w:t>
      </w:r>
      <w:r w:rsidRPr="001A5AFF">
        <w:t>.</w:t>
      </w:r>
    </w:p>
  </w:footnote>
  <w:footnote w:id="203">
    <w:p w14:paraId="3002EE66" w14:textId="13EFC78A" w:rsidR="003F26DA" w:rsidRDefault="003F26DA">
      <w:pPr>
        <w:pStyle w:val="FootnoteText"/>
      </w:pPr>
      <w:r>
        <w:rPr>
          <w:rStyle w:val="FootnoteReference"/>
        </w:rPr>
        <w:footnoteRef/>
      </w:r>
      <w:r>
        <w:t xml:space="preserve"> </w:t>
      </w:r>
      <w:r>
        <w:tab/>
      </w:r>
      <w:r w:rsidR="00AC198A" w:rsidRPr="001A5AFF">
        <w:t>RBA</w:t>
      </w:r>
      <w:r w:rsidR="00AC198A">
        <w:t xml:space="preserve"> (2024</w:t>
      </w:r>
      <w:r w:rsidR="00FC73F8">
        <w:t>c</w:t>
      </w:r>
      <w:r w:rsidR="00AC198A">
        <w:t>)</w:t>
      </w:r>
      <w:r w:rsidR="00AC198A" w:rsidRPr="001A5AFF">
        <w:t>,</w:t>
      </w:r>
      <w:r w:rsidRPr="001A5AFF">
        <w:t xml:space="preserve"> p</w:t>
      </w:r>
      <w:r>
        <w:t>p</w:t>
      </w:r>
      <w:r w:rsidR="008D5CA1">
        <w:t>.</w:t>
      </w:r>
      <w:r>
        <w:t xml:space="preserve"> 51-52</w:t>
      </w:r>
      <w:r w:rsidRPr="001A5AFF">
        <w:t>.</w:t>
      </w:r>
    </w:p>
  </w:footnote>
  <w:footnote w:id="204">
    <w:p w14:paraId="7B808C01" w14:textId="48A5B420" w:rsidR="003F26DA" w:rsidRDefault="003F26DA">
      <w:pPr>
        <w:pStyle w:val="FootnoteText"/>
      </w:pPr>
      <w:r>
        <w:rPr>
          <w:rStyle w:val="FootnoteReference"/>
        </w:rPr>
        <w:footnoteRef/>
      </w:r>
      <w:r>
        <w:t xml:space="preserve"> </w:t>
      </w:r>
      <w:r>
        <w:tab/>
      </w:r>
      <w:r w:rsidR="009014E3" w:rsidRPr="009014E3">
        <w:t>RBA (2024a</w:t>
      </w:r>
      <w:r w:rsidR="00A53D3C">
        <w:t>)</w:t>
      </w:r>
      <w:r w:rsidR="009014E3" w:rsidRPr="009014E3">
        <w:t>, pp. 45-46</w:t>
      </w:r>
      <w:r w:rsidR="00A53D3C">
        <w:t xml:space="preserve">; </w:t>
      </w:r>
      <w:r w:rsidRPr="001A5AFF">
        <w:t>RBA</w:t>
      </w:r>
      <w:r w:rsidR="001C672E">
        <w:t xml:space="preserve"> (2024c)</w:t>
      </w:r>
      <w:r w:rsidRPr="001A5AFF">
        <w:t xml:space="preserve">, p </w:t>
      </w:r>
      <w:r>
        <w:t>3</w:t>
      </w:r>
      <w:r w:rsidR="00A53D3C">
        <w:t>.</w:t>
      </w:r>
    </w:p>
  </w:footnote>
  <w:footnote w:id="205">
    <w:p w14:paraId="25BE2A48" w14:textId="565BFC4F" w:rsidR="009D2FD7" w:rsidRDefault="009D2FD7">
      <w:pPr>
        <w:pStyle w:val="FootnoteText"/>
      </w:pPr>
      <w:r>
        <w:rPr>
          <w:rStyle w:val="FootnoteReference"/>
        </w:rPr>
        <w:footnoteRef/>
      </w:r>
      <w:r>
        <w:t xml:space="preserve"> </w:t>
      </w:r>
      <w:r>
        <w:tab/>
      </w:r>
      <w:r w:rsidR="00640C48" w:rsidRPr="00AC3E22">
        <w:t>DTF (2024d),</w:t>
      </w:r>
      <w:r w:rsidR="00640C48">
        <w:t xml:space="preserve"> p. 12.</w:t>
      </w:r>
    </w:p>
  </w:footnote>
  <w:footnote w:id="206">
    <w:p w14:paraId="0D87F11C" w14:textId="582077FF" w:rsidR="003F26DA" w:rsidRDefault="003F26DA">
      <w:pPr>
        <w:pStyle w:val="FootnoteText"/>
      </w:pPr>
      <w:r>
        <w:rPr>
          <w:rStyle w:val="FootnoteReference"/>
        </w:rPr>
        <w:footnoteRef/>
      </w:r>
      <w:r>
        <w:t xml:space="preserve"> </w:t>
      </w:r>
      <w:r>
        <w:tab/>
      </w:r>
      <w:r w:rsidRPr="001A5AFF">
        <w:t>RBA</w:t>
      </w:r>
      <w:r w:rsidR="001C672E">
        <w:t xml:space="preserve"> (2024c)</w:t>
      </w:r>
      <w:r w:rsidRPr="001A5AFF">
        <w:t>, p</w:t>
      </w:r>
      <w:r>
        <w:t>p</w:t>
      </w:r>
      <w:r w:rsidR="00FB3931">
        <w:t>.</w:t>
      </w:r>
      <w:r w:rsidRPr="001A5AFF">
        <w:t xml:space="preserve"> </w:t>
      </w:r>
      <w:r>
        <w:t>50, 55.</w:t>
      </w:r>
    </w:p>
  </w:footnote>
  <w:footnote w:id="207">
    <w:p w14:paraId="333984A2" w14:textId="579F95DF" w:rsidR="003F26DA" w:rsidRDefault="003F26DA">
      <w:pPr>
        <w:pStyle w:val="FootnoteText"/>
      </w:pPr>
      <w:r>
        <w:rPr>
          <w:rStyle w:val="FootnoteReference"/>
        </w:rPr>
        <w:footnoteRef/>
      </w:r>
      <w:r>
        <w:t xml:space="preserve"> </w:t>
      </w:r>
      <w:r>
        <w:tab/>
      </w:r>
      <w:r w:rsidRPr="001A5AFF">
        <w:t>RBA</w:t>
      </w:r>
      <w:r w:rsidR="001C672E">
        <w:t xml:space="preserve"> (2024c)</w:t>
      </w:r>
      <w:r w:rsidRPr="001A5AFF">
        <w:t>, p</w:t>
      </w:r>
      <w:r w:rsidR="00FB3931">
        <w:t>.</w:t>
      </w:r>
      <w:r w:rsidRPr="001A5AFF">
        <w:t xml:space="preserve"> </w:t>
      </w:r>
      <w:r>
        <w:t>50.</w:t>
      </w:r>
    </w:p>
  </w:footnote>
  <w:footnote w:id="208">
    <w:p w14:paraId="757A3C13" w14:textId="7623044A" w:rsidR="0075596F" w:rsidRDefault="0075596F">
      <w:pPr>
        <w:pStyle w:val="FootnoteText"/>
      </w:pPr>
      <w:r>
        <w:rPr>
          <w:rStyle w:val="FootnoteReference"/>
        </w:rPr>
        <w:footnoteRef/>
      </w:r>
      <w:r>
        <w:t xml:space="preserve"> </w:t>
      </w:r>
      <w:r>
        <w:tab/>
      </w:r>
      <w:r w:rsidR="0045230A" w:rsidRPr="00AC3E22">
        <w:t>DTF (2024d),</w:t>
      </w:r>
      <w:r w:rsidR="0045230A">
        <w:t xml:space="preserve"> p. 11.</w:t>
      </w:r>
    </w:p>
  </w:footnote>
  <w:footnote w:id="209">
    <w:p w14:paraId="40A1FCF0" w14:textId="23A57040" w:rsidR="003F26DA" w:rsidRDefault="003F26DA">
      <w:pPr>
        <w:pStyle w:val="FootnoteText"/>
      </w:pPr>
      <w:r>
        <w:rPr>
          <w:rStyle w:val="FootnoteReference"/>
        </w:rPr>
        <w:footnoteRef/>
      </w:r>
      <w:r>
        <w:t xml:space="preserve"> </w:t>
      </w:r>
      <w:r>
        <w:tab/>
      </w:r>
      <w:r w:rsidRPr="001A5AFF">
        <w:t>RBA</w:t>
      </w:r>
      <w:r w:rsidR="003622F5">
        <w:t xml:space="preserve"> (2024c),</w:t>
      </w:r>
      <w:r w:rsidRPr="001A5AFF">
        <w:t xml:space="preserve"> p</w:t>
      </w:r>
      <w:r w:rsidR="00FB3931">
        <w:t>.</w:t>
      </w:r>
      <w:r w:rsidRPr="001A5AFF">
        <w:t xml:space="preserve"> </w:t>
      </w:r>
      <w:r>
        <w:t>50</w:t>
      </w:r>
      <w:r w:rsidR="00E62D77">
        <w:t>, 55</w:t>
      </w:r>
      <w:r>
        <w:t>.</w:t>
      </w:r>
    </w:p>
  </w:footnote>
  <w:footnote w:id="210">
    <w:p w14:paraId="44FA5EF6" w14:textId="5A2D29DA" w:rsidR="00363424" w:rsidRDefault="00363424">
      <w:pPr>
        <w:pStyle w:val="FootnoteText"/>
      </w:pPr>
      <w:r>
        <w:rPr>
          <w:rStyle w:val="FootnoteReference"/>
        </w:rPr>
        <w:footnoteRef/>
      </w:r>
      <w:r>
        <w:t xml:space="preserve"> </w:t>
      </w:r>
      <w:r>
        <w:tab/>
      </w:r>
      <w:r w:rsidR="0045230A" w:rsidRPr="00AC3E22">
        <w:t>DTF (2024d),</w:t>
      </w:r>
      <w:r w:rsidR="0045230A">
        <w:t xml:space="preserve"> p. 13.</w:t>
      </w:r>
    </w:p>
  </w:footnote>
  <w:footnote w:id="211">
    <w:p w14:paraId="217164F9" w14:textId="3CEDA467" w:rsidR="003F26DA" w:rsidRDefault="003F26DA">
      <w:pPr>
        <w:pStyle w:val="FootnoteText"/>
      </w:pPr>
      <w:r>
        <w:rPr>
          <w:rStyle w:val="FootnoteReference"/>
        </w:rPr>
        <w:footnoteRef/>
      </w:r>
      <w:r>
        <w:t xml:space="preserve"> </w:t>
      </w:r>
      <w:r>
        <w:tab/>
      </w:r>
      <w:r w:rsidRPr="001A5AFF">
        <w:t>RBA</w:t>
      </w:r>
      <w:r w:rsidR="00BC5BA9">
        <w:t xml:space="preserve"> (2024c)</w:t>
      </w:r>
      <w:r w:rsidRPr="001A5AFF">
        <w:t>, p</w:t>
      </w:r>
      <w:r w:rsidR="00935721">
        <w:t>.</w:t>
      </w:r>
      <w:r w:rsidRPr="001A5AFF">
        <w:t xml:space="preserve"> </w:t>
      </w:r>
      <w:r>
        <w:t>55.</w:t>
      </w:r>
    </w:p>
  </w:footnote>
  <w:footnote w:id="212">
    <w:p w14:paraId="163B5982" w14:textId="4BB128FF" w:rsidR="003F26DA" w:rsidRDefault="003F26DA">
      <w:pPr>
        <w:pStyle w:val="FootnoteText"/>
      </w:pPr>
      <w:r>
        <w:rPr>
          <w:rStyle w:val="FootnoteReference"/>
        </w:rPr>
        <w:footnoteRef/>
      </w:r>
      <w:r>
        <w:t xml:space="preserve"> </w:t>
      </w:r>
      <w:r>
        <w:tab/>
      </w:r>
      <w:r w:rsidRPr="00A96A17">
        <w:t>RBA</w:t>
      </w:r>
      <w:r w:rsidR="00BC5BA9">
        <w:t xml:space="preserve"> (2024c)</w:t>
      </w:r>
      <w:r w:rsidRPr="00A96A17">
        <w:t>, p</w:t>
      </w:r>
      <w:r>
        <w:t>p</w:t>
      </w:r>
      <w:r w:rsidR="009F7174">
        <w:t>.</w:t>
      </w:r>
      <w:r w:rsidRPr="00A96A17">
        <w:t xml:space="preserve"> 5</w:t>
      </w:r>
      <w:r>
        <w:t>3-54; International Monetary Fund</w:t>
      </w:r>
      <w:r w:rsidR="009F7174">
        <w:t xml:space="preserve"> (</w:t>
      </w:r>
      <w:r w:rsidR="001F4ECC">
        <w:t>2024</w:t>
      </w:r>
      <w:r w:rsidR="009F7174">
        <w:t>)</w:t>
      </w:r>
      <w:r w:rsidR="00E26CE0">
        <w:t>.</w:t>
      </w:r>
    </w:p>
  </w:footnote>
  <w:footnote w:id="213">
    <w:p w14:paraId="477D8C38" w14:textId="0720B942" w:rsidR="008C174F" w:rsidRDefault="008C174F">
      <w:pPr>
        <w:pStyle w:val="FootnoteText"/>
      </w:pPr>
      <w:r>
        <w:rPr>
          <w:rStyle w:val="FootnoteReference"/>
        </w:rPr>
        <w:footnoteRef/>
      </w:r>
      <w:r>
        <w:t xml:space="preserve"> </w:t>
      </w:r>
      <w:r>
        <w:tab/>
      </w:r>
      <w:r w:rsidRPr="001A5AFF">
        <w:t>RBA</w:t>
      </w:r>
      <w:r>
        <w:t xml:space="preserve"> (2024c)</w:t>
      </w:r>
      <w:r w:rsidRPr="001A5AFF">
        <w:t>, p</w:t>
      </w:r>
      <w:r w:rsidR="008869A3">
        <w:t>p</w:t>
      </w:r>
      <w:r>
        <w:t>.</w:t>
      </w:r>
      <w:r w:rsidRPr="001A5AFF">
        <w:t xml:space="preserve"> </w:t>
      </w:r>
      <w:r w:rsidR="008869A3">
        <w:t>53-54</w:t>
      </w:r>
      <w:r>
        <w:t>.</w:t>
      </w:r>
    </w:p>
  </w:footnote>
  <w:footnote w:id="214">
    <w:p w14:paraId="4450DD02" w14:textId="60889750" w:rsidR="008869A3" w:rsidRDefault="008869A3">
      <w:pPr>
        <w:pStyle w:val="FootnoteText"/>
      </w:pPr>
      <w:r>
        <w:rPr>
          <w:rStyle w:val="FootnoteReference"/>
        </w:rPr>
        <w:footnoteRef/>
      </w:r>
      <w:r>
        <w:t xml:space="preserve"> </w:t>
      </w:r>
      <w:r>
        <w:tab/>
      </w:r>
      <w:r w:rsidR="009A7D64" w:rsidRPr="001A5AFF">
        <w:t>RBA</w:t>
      </w:r>
      <w:r w:rsidR="009A7D64">
        <w:t xml:space="preserve"> (2024c)</w:t>
      </w:r>
      <w:r w:rsidR="009A7D64" w:rsidRPr="001A5AFF">
        <w:t>, p</w:t>
      </w:r>
      <w:r w:rsidR="009A7D64">
        <w:t>.</w:t>
      </w:r>
      <w:r w:rsidR="009A7D64" w:rsidRPr="001A5AFF">
        <w:t xml:space="preserve"> </w:t>
      </w:r>
      <w:r w:rsidR="009A7D64">
        <w:t>53.</w:t>
      </w:r>
    </w:p>
  </w:footnote>
  <w:footnote w:id="215">
    <w:p w14:paraId="61033283" w14:textId="1D6AA103" w:rsidR="00A25649" w:rsidRDefault="00A25649">
      <w:pPr>
        <w:pStyle w:val="FootnoteText"/>
      </w:pPr>
      <w:r>
        <w:rPr>
          <w:rStyle w:val="FootnoteReference"/>
        </w:rPr>
        <w:footnoteRef/>
      </w:r>
      <w:r>
        <w:t xml:space="preserve"> </w:t>
      </w:r>
      <w:r>
        <w:tab/>
      </w:r>
      <w:r w:rsidR="009F7174" w:rsidRPr="00A96A17">
        <w:t>RBA</w:t>
      </w:r>
      <w:r w:rsidR="006C1966">
        <w:t xml:space="preserve"> (2024c)</w:t>
      </w:r>
      <w:r w:rsidR="009F7174" w:rsidRPr="00A96A17">
        <w:t>, p</w:t>
      </w:r>
      <w:r w:rsidR="009F7174">
        <w:t xml:space="preserve">. 54; </w:t>
      </w:r>
      <w:r w:rsidR="00BB56D0">
        <w:t>International Monetary Fund (</w:t>
      </w:r>
      <w:r w:rsidR="006C1966">
        <w:t>2024).</w:t>
      </w:r>
    </w:p>
  </w:footnote>
  <w:footnote w:id="216">
    <w:p w14:paraId="4771DB66" w14:textId="268B9433" w:rsidR="00BE17BD" w:rsidRDefault="00BE17BD">
      <w:pPr>
        <w:pStyle w:val="FootnoteText"/>
      </w:pPr>
      <w:r>
        <w:rPr>
          <w:rStyle w:val="FootnoteReference"/>
        </w:rPr>
        <w:footnoteRef/>
      </w:r>
      <w:r>
        <w:t xml:space="preserve"> </w:t>
      </w:r>
      <w:r>
        <w:tab/>
      </w:r>
      <w:r w:rsidR="0045230A" w:rsidRPr="00AC3E22">
        <w:t>DTF (2024d),</w:t>
      </w:r>
      <w:r w:rsidR="0045230A">
        <w:t xml:space="preserve"> p. 15.</w:t>
      </w:r>
    </w:p>
  </w:footnote>
  <w:footnote w:id="217">
    <w:p w14:paraId="6C6FBA3A" w14:textId="71B61998" w:rsidR="003F26DA" w:rsidRDefault="003F26DA">
      <w:pPr>
        <w:pStyle w:val="FootnoteText"/>
      </w:pPr>
      <w:r>
        <w:rPr>
          <w:rStyle w:val="FootnoteReference"/>
        </w:rPr>
        <w:footnoteRef/>
      </w:r>
      <w:r>
        <w:t xml:space="preserve"> </w:t>
      </w:r>
      <w:r>
        <w:tab/>
      </w:r>
      <w:r w:rsidR="00CD764B" w:rsidRPr="00C85048">
        <w:t>DTF (202</w:t>
      </w:r>
      <w:r w:rsidR="00CD764B">
        <w:t>4e</w:t>
      </w:r>
      <w:r w:rsidR="00CD764B" w:rsidRPr="00C85048">
        <w:t>),</w:t>
      </w:r>
      <w:r w:rsidR="00CD764B">
        <w:t xml:space="preserve"> p. </w:t>
      </w:r>
      <w:r w:rsidR="00821DB6">
        <w:t>4</w:t>
      </w:r>
      <w:r w:rsidR="00CD764B">
        <w:t>.</w:t>
      </w:r>
    </w:p>
  </w:footnote>
  <w:footnote w:id="218">
    <w:p w14:paraId="15483FAE" w14:textId="5B3764C7" w:rsidR="003F26DA" w:rsidRDefault="003F26DA">
      <w:pPr>
        <w:pStyle w:val="FootnoteText"/>
      </w:pPr>
      <w:r>
        <w:rPr>
          <w:rStyle w:val="FootnoteReference"/>
        </w:rPr>
        <w:footnoteRef/>
      </w:r>
      <w:r>
        <w:t xml:space="preserve"> </w:t>
      </w:r>
      <w:r>
        <w:tab/>
      </w:r>
      <w:r w:rsidR="00E1033B">
        <w:t>DTF (2023), p. 20.</w:t>
      </w:r>
    </w:p>
  </w:footnote>
  <w:footnote w:id="219">
    <w:p w14:paraId="0FBFAC63" w14:textId="15002571" w:rsidR="003F26DA" w:rsidRDefault="003F26DA">
      <w:pPr>
        <w:pStyle w:val="FootnoteText"/>
      </w:pPr>
      <w:r>
        <w:rPr>
          <w:rStyle w:val="FootnoteReference"/>
        </w:rPr>
        <w:footnoteRef/>
      </w:r>
      <w:r>
        <w:t xml:space="preserve"> </w:t>
      </w:r>
      <w:r>
        <w:tab/>
      </w:r>
      <w:r w:rsidR="000532FE" w:rsidRPr="00C85048">
        <w:t>DTF (202</w:t>
      </w:r>
      <w:r w:rsidR="000532FE">
        <w:t>4e</w:t>
      </w:r>
      <w:r w:rsidR="000532FE" w:rsidRPr="00C85048">
        <w:t>),</w:t>
      </w:r>
      <w:r w:rsidR="000532FE">
        <w:t xml:space="preserve"> p. 4.</w:t>
      </w:r>
    </w:p>
  </w:footnote>
  <w:footnote w:id="220">
    <w:p w14:paraId="474511F4" w14:textId="0AD9FFD4" w:rsidR="003F26DA" w:rsidRDefault="003F26DA">
      <w:pPr>
        <w:pStyle w:val="FootnoteText"/>
      </w:pPr>
      <w:r>
        <w:rPr>
          <w:rStyle w:val="FootnoteReference"/>
        </w:rPr>
        <w:footnoteRef/>
      </w:r>
      <w:r>
        <w:t xml:space="preserve"> </w:t>
      </w:r>
      <w:r>
        <w:tab/>
      </w:r>
      <w:r w:rsidR="00166A7F" w:rsidRPr="00C85048">
        <w:t>DTF (202</w:t>
      </w:r>
      <w:r w:rsidR="00166A7F">
        <w:t>4e</w:t>
      </w:r>
      <w:r w:rsidR="00166A7F" w:rsidRPr="00C85048">
        <w:t>),</w:t>
      </w:r>
      <w:r w:rsidR="00166A7F">
        <w:t xml:space="preserve"> p. 6.</w:t>
      </w:r>
    </w:p>
  </w:footnote>
  <w:footnote w:id="221">
    <w:p w14:paraId="24ED8042" w14:textId="090C6F13" w:rsidR="00E86239" w:rsidRDefault="00E86239">
      <w:pPr>
        <w:pStyle w:val="FootnoteText"/>
      </w:pPr>
      <w:r>
        <w:rPr>
          <w:rStyle w:val="FootnoteReference"/>
        </w:rPr>
        <w:footnoteRef/>
      </w:r>
      <w:r>
        <w:t xml:space="preserve"> </w:t>
      </w:r>
      <w:r w:rsidR="0069437A">
        <w:tab/>
      </w:r>
      <w:r w:rsidR="005C222C" w:rsidRPr="00AC3E22">
        <w:t>DTF (2024d),</w:t>
      </w:r>
      <w:r w:rsidR="005C222C">
        <w:t xml:space="preserve"> p. 19.</w:t>
      </w:r>
    </w:p>
  </w:footnote>
  <w:footnote w:id="222">
    <w:p w14:paraId="3FCE9C20" w14:textId="2C4F6557" w:rsidR="003F26DA" w:rsidRDefault="003F26DA">
      <w:pPr>
        <w:pStyle w:val="FootnoteText"/>
      </w:pPr>
      <w:r>
        <w:rPr>
          <w:rStyle w:val="FootnoteReference"/>
        </w:rPr>
        <w:footnoteRef/>
      </w:r>
      <w:r>
        <w:t xml:space="preserve"> </w:t>
      </w:r>
      <w:r>
        <w:tab/>
      </w:r>
      <w:r w:rsidR="005C222C" w:rsidRPr="00AC3E22">
        <w:t>DTF (2024d),</w:t>
      </w:r>
      <w:r w:rsidR="005C222C">
        <w:t xml:space="preserve"> p. </w:t>
      </w:r>
      <w:r w:rsidR="001B212F">
        <w:t>19</w:t>
      </w:r>
      <w:r w:rsidR="005C222C">
        <w:t xml:space="preserve">. </w:t>
      </w:r>
    </w:p>
  </w:footnote>
  <w:footnote w:id="223">
    <w:p w14:paraId="74485356" w14:textId="2ACAEFC0" w:rsidR="003F26DA" w:rsidRDefault="003F26DA">
      <w:pPr>
        <w:pStyle w:val="FootnoteText"/>
      </w:pPr>
      <w:r>
        <w:rPr>
          <w:rStyle w:val="FootnoteReference"/>
        </w:rPr>
        <w:footnoteRef/>
      </w:r>
      <w:r>
        <w:t xml:space="preserve"> </w:t>
      </w:r>
      <w:r>
        <w:tab/>
      </w:r>
      <w:r w:rsidR="00543028" w:rsidRPr="00543028">
        <w:t>DTF (2024</w:t>
      </w:r>
      <w:r w:rsidR="00F7437D">
        <w:t>a</w:t>
      </w:r>
      <w:r w:rsidR="00543028" w:rsidRPr="00543028">
        <w:t>),</w:t>
      </w:r>
      <w:r w:rsidR="006D5C27">
        <w:t xml:space="preserve"> p.</w:t>
      </w:r>
      <w:r w:rsidR="00A8685C">
        <w:t xml:space="preserve"> </w:t>
      </w:r>
      <w:r w:rsidR="006D5C27">
        <w:t>6.</w:t>
      </w:r>
      <w:r w:rsidR="002B0D50">
        <w:t xml:space="preserve"> </w:t>
      </w:r>
      <w:r>
        <w:t xml:space="preserve">The general government sector comprises ‘all government units and non-profit institutions controlled by government’, where a government unit </w:t>
      </w:r>
      <w:r w:rsidRPr="00B56428">
        <w:t>provide</w:t>
      </w:r>
      <w:r>
        <w:t>s</w:t>
      </w:r>
      <w:r w:rsidRPr="00B56428">
        <w:t xml:space="preserve"> goods </w:t>
      </w:r>
      <w:r>
        <w:t xml:space="preserve">or </w:t>
      </w:r>
      <w:r w:rsidRPr="00B56428">
        <w:t xml:space="preserve">services free of charge or at </w:t>
      </w:r>
      <w:r>
        <w:t>‘</w:t>
      </w:r>
      <w:r w:rsidRPr="00B56428">
        <w:t>prices that are not economically significant</w:t>
      </w:r>
      <w:r>
        <w:t xml:space="preserve">’ or </w:t>
      </w:r>
      <w:r w:rsidRPr="00B56428">
        <w:t>redistribute</w:t>
      </w:r>
      <w:r>
        <w:t>s</w:t>
      </w:r>
      <w:r w:rsidRPr="00B56428">
        <w:t xml:space="preserve"> income and wealth</w:t>
      </w:r>
      <w:r>
        <w:t>,</w:t>
      </w:r>
      <w:r w:rsidRPr="00B56428">
        <w:t xml:space="preserve"> </w:t>
      </w:r>
      <w:r>
        <w:t xml:space="preserve">and a non-profit institution provides goods or services but does not generate profit or financial gain for its owner. ABS (2015). </w:t>
      </w:r>
    </w:p>
  </w:footnote>
  <w:footnote w:id="224">
    <w:p w14:paraId="15B1F0AC" w14:textId="1A0B1B2E" w:rsidR="003F26DA" w:rsidRDefault="003F26DA">
      <w:pPr>
        <w:pStyle w:val="FootnoteText"/>
      </w:pPr>
      <w:r>
        <w:rPr>
          <w:rStyle w:val="FootnoteReference"/>
        </w:rPr>
        <w:footnoteRef/>
      </w:r>
      <w:r>
        <w:t xml:space="preserve"> </w:t>
      </w:r>
      <w:r>
        <w:tab/>
        <w:t>DTF (</w:t>
      </w:r>
      <w:r w:rsidR="00206352" w:rsidRPr="00543028">
        <w:t>2024</w:t>
      </w:r>
      <w:r w:rsidR="00206352">
        <w:t>a</w:t>
      </w:r>
      <w:r w:rsidR="00206352" w:rsidRPr="00543028">
        <w:t>),</w:t>
      </w:r>
      <w:r w:rsidR="00206352">
        <w:t xml:space="preserve"> p.</w:t>
      </w:r>
      <w:r w:rsidR="00A8685C">
        <w:t xml:space="preserve"> </w:t>
      </w:r>
      <w:r w:rsidR="00206352">
        <w:t>7.</w:t>
      </w:r>
    </w:p>
  </w:footnote>
  <w:footnote w:id="225">
    <w:p w14:paraId="05531359" w14:textId="73B51297" w:rsidR="000815C8" w:rsidRDefault="000815C8">
      <w:pPr>
        <w:pStyle w:val="FootnoteText"/>
      </w:pPr>
      <w:r>
        <w:rPr>
          <w:rStyle w:val="FootnoteReference"/>
        </w:rPr>
        <w:footnoteRef/>
      </w:r>
      <w:r>
        <w:t xml:space="preserve"> </w:t>
      </w:r>
      <w:r>
        <w:tab/>
      </w:r>
      <w:bookmarkStart w:id="84" w:name="_Hlk185007031"/>
      <w:r w:rsidR="005C222C" w:rsidRPr="00AC3E22">
        <w:t>DTF (2024d),</w:t>
      </w:r>
      <w:r w:rsidR="005C222C">
        <w:t xml:space="preserve"> p. 24.</w:t>
      </w:r>
      <w:bookmarkEnd w:id="84"/>
    </w:p>
  </w:footnote>
  <w:footnote w:id="226">
    <w:p w14:paraId="42F97BDE" w14:textId="4BD3DEAF" w:rsidR="000F550E" w:rsidRDefault="000F550E">
      <w:pPr>
        <w:pStyle w:val="FootnoteText"/>
      </w:pPr>
      <w:r>
        <w:rPr>
          <w:rStyle w:val="FootnoteReference"/>
        </w:rPr>
        <w:footnoteRef/>
      </w:r>
      <w:r>
        <w:t xml:space="preserve"> </w:t>
      </w:r>
      <w:r>
        <w:tab/>
      </w:r>
      <w:r w:rsidR="005C222C" w:rsidRPr="00AC3E22">
        <w:t>DTF (2024d),</w:t>
      </w:r>
      <w:r w:rsidR="005C222C">
        <w:t xml:space="preserve"> pp. </w:t>
      </w:r>
      <w:r w:rsidR="005C222C" w:rsidRPr="000F550E">
        <w:t>24</w:t>
      </w:r>
      <w:r w:rsidR="005C222C">
        <w:t>, 69-70, 138.</w:t>
      </w:r>
    </w:p>
  </w:footnote>
  <w:footnote w:id="227">
    <w:p w14:paraId="666AB5A6" w14:textId="4424A81B" w:rsidR="003F26DA" w:rsidRDefault="003F26DA">
      <w:pPr>
        <w:pStyle w:val="FootnoteText"/>
      </w:pPr>
      <w:r>
        <w:rPr>
          <w:rStyle w:val="FootnoteReference"/>
        </w:rPr>
        <w:footnoteRef/>
      </w:r>
      <w:r>
        <w:t xml:space="preserve"> </w:t>
      </w:r>
      <w:r>
        <w:tab/>
        <w:t>DTF (2024</w:t>
      </w:r>
      <w:r w:rsidR="00E64863">
        <w:t>b</w:t>
      </w:r>
      <w:r>
        <w:t>)</w:t>
      </w:r>
      <w:r w:rsidR="00E64863">
        <w:t>;</w:t>
      </w:r>
      <w:r>
        <w:t xml:space="preserve"> </w:t>
      </w:r>
      <w:r w:rsidR="00ED5B59" w:rsidRPr="00AC3E22">
        <w:t>DTF (2024d),</w:t>
      </w:r>
      <w:r w:rsidR="00ED5B59">
        <w:t xml:space="preserve"> p. </w:t>
      </w:r>
      <w:r w:rsidR="00CA3B3C">
        <w:t>19</w:t>
      </w:r>
      <w:r w:rsidR="00ED5B59">
        <w:t>.</w:t>
      </w:r>
    </w:p>
  </w:footnote>
  <w:footnote w:id="228">
    <w:p w14:paraId="26C77FDE" w14:textId="78DAF8E6" w:rsidR="003F26DA" w:rsidRDefault="003F26DA">
      <w:pPr>
        <w:pStyle w:val="FootnoteText"/>
      </w:pPr>
      <w:r>
        <w:rPr>
          <w:rStyle w:val="FootnoteReference"/>
        </w:rPr>
        <w:footnoteRef/>
      </w:r>
      <w:r>
        <w:t xml:space="preserve"> </w:t>
      </w:r>
      <w:r>
        <w:tab/>
      </w:r>
      <w:r w:rsidR="00207EB9" w:rsidRPr="00C85048">
        <w:t>DTF (202</w:t>
      </w:r>
      <w:r w:rsidR="00207EB9">
        <w:t>4e</w:t>
      </w:r>
      <w:r w:rsidR="00207EB9" w:rsidRPr="00C85048">
        <w:t>),</w:t>
      </w:r>
      <w:r w:rsidR="00207EB9">
        <w:t xml:space="preserve"> p. 4.</w:t>
      </w:r>
    </w:p>
  </w:footnote>
  <w:footnote w:id="229">
    <w:p w14:paraId="4E8123F7" w14:textId="12E52309" w:rsidR="003F26DA" w:rsidRDefault="003F26DA">
      <w:pPr>
        <w:pStyle w:val="FootnoteText"/>
      </w:pPr>
      <w:r>
        <w:rPr>
          <w:rStyle w:val="FootnoteReference"/>
        </w:rPr>
        <w:footnoteRef/>
      </w:r>
      <w:r>
        <w:t xml:space="preserve"> </w:t>
      </w:r>
      <w:r>
        <w:tab/>
        <w:t>DTF (</w:t>
      </w:r>
      <w:r w:rsidR="00A8685C" w:rsidRPr="00543028">
        <w:t>2024</w:t>
      </w:r>
      <w:r w:rsidR="00A8685C">
        <w:t>a</w:t>
      </w:r>
      <w:r w:rsidR="00A8685C" w:rsidRPr="00543028">
        <w:t>),</w:t>
      </w:r>
      <w:r w:rsidR="00A8685C">
        <w:t xml:space="preserve"> p. 5.</w:t>
      </w:r>
    </w:p>
  </w:footnote>
  <w:footnote w:id="230">
    <w:p w14:paraId="4B4D9D09" w14:textId="41519116" w:rsidR="003F26DA" w:rsidRDefault="003F26DA">
      <w:pPr>
        <w:pStyle w:val="FootnoteText"/>
      </w:pPr>
      <w:r>
        <w:rPr>
          <w:rStyle w:val="FootnoteReference"/>
        </w:rPr>
        <w:footnoteRef/>
      </w:r>
      <w:r>
        <w:t xml:space="preserve"> </w:t>
      </w:r>
      <w:r>
        <w:tab/>
        <w:t>VAGO (2024), p</w:t>
      </w:r>
      <w:r w:rsidR="00570C8B">
        <w:t>.</w:t>
      </w:r>
      <w:r>
        <w:t xml:space="preserve"> 18.</w:t>
      </w:r>
    </w:p>
  </w:footnote>
  <w:footnote w:id="231">
    <w:p w14:paraId="7B8E4818" w14:textId="3A719F94" w:rsidR="003F26DA" w:rsidRDefault="003F26DA">
      <w:pPr>
        <w:pStyle w:val="FootnoteText"/>
      </w:pPr>
      <w:r>
        <w:rPr>
          <w:rStyle w:val="FootnoteReference"/>
        </w:rPr>
        <w:footnoteRef/>
      </w:r>
      <w:r>
        <w:t xml:space="preserve"> </w:t>
      </w:r>
      <w:r>
        <w:tab/>
      </w:r>
      <w:r w:rsidRPr="00F7501F">
        <w:t>VAGO (2024)</w:t>
      </w:r>
      <w:r>
        <w:t>,</w:t>
      </w:r>
      <w:r w:rsidRPr="00F7501F">
        <w:t xml:space="preserve"> </w:t>
      </w:r>
      <w:r w:rsidR="007E69BF">
        <w:t>p. 36</w:t>
      </w:r>
      <w:r w:rsidR="004B5C72">
        <w:t>.</w:t>
      </w:r>
    </w:p>
  </w:footnote>
  <w:footnote w:id="232">
    <w:p w14:paraId="45ADE7E3" w14:textId="77777777" w:rsidR="00EE7C78" w:rsidRDefault="00EE7C78" w:rsidP="00EE7C78">
      <w:pPr>
        <w:pStyle w:val="FootnoteText"/>
      </w:pPr>
      <w:r>
        <w:rPr>
          <w:rStyle w:val="FootnoteReference"/>
        </w:rPr>
        <w:footnoteRef/>
      </w:r>
      <w:r>
        <w:t xml:space="preserve"> </w:t>
      </w:r>
      <w:r>
        <w:tab/>
        <w:t>FWC (2024b).</w:t>
      </w:r>
    </w:p>
  </w:footnote>
  <w:footnote w:id="233">
    <w:p w14:paraId="2BC89984" w14:textId="0F956720" w:rsidR="003F26DA" w:rsidRDefault="003F26DA">
      <w:pPr>
        <w:pStyle w:val="FootnoteText"/>
      </w:pPr>
      <w:r>
        <w:rPr>
          <w:rStyle w:val="FootnoteReference"/>
        </w:rPr>
        <w:footnoteRef/>
      </w:r>
      <w:r>
        <w:t xml:space="preserve"> </w:t>
      </w:r>
      <w:r>
        <w:tab/>
      </w:r>
      <w:r w:rsidR="009E0F78">
        <w:t>T</w:t>
      </w:r>
      <w:r w:rsidR="009E0F78" w:rsidRPr="009E0F78">
        <w:t xml:space="preserve">ribunal analysis of </w:t>
      </w:r>
      <w:r w:rsidR="009E0F78">
        <w:t>selected</w:t>
      </w:r>
      <w:r w:rsidR="009E0F78" w:rsidRPr="009E0F78">
        <w:t xml:space="preserve"> public sector </w:t>
      </w:r>
      <w:r w:rsidR="002859AF">
        <w:t>enterprise agreements</w:t>
      </w:r>
      <w:r w:rsidR="009E0F78" w:rsidRPr="009E0F78">
        <w:t xml:space="preserve"> which commenced since April 2023</w:t>
      </w:r>
      <w:r w:rsidR="009E0F78" w:rsidRPr="005676EE">
        <w:t>.</w:t>
      </w:r>
      <w:r w:rsidR="009E0F78" w:rsidRPr="00C032BD">
        <w:t xml:space="preserve"> </w:t>
      </w:r>
      <w:r w:rsidRPr="00C032BD">
        <w:t>F</w:t>
      </w:r>
      <w:r w:rsidR="00135F36" w:rsidRPr="00C032BD">
        <w:t>WC</w:t>
      </w:r>
      <w:r w:rsidR="005B4878" w:rsidRPr="00C032BD">
        <w:t xml:space="preserve"> (2024</w:t>
      </w:r>
      <w:r w:rsidR="005676EE" w:rsidRPr="00C032BD">
        <w:t>c</w:t>
      </w:r>
      <w:r w:rsidR="005B4878" w:rsidRPr="00C032BD">
        <w:t>)</w:t>
      </w:r>
      <w:r w:rsidR="008C2830" w:rsidRPr="00C032BD">
        <w:t>.</w:t>
      </w:r>
    </w:p>
  </w:footnote>
  <w:footnote w:id="234">
    <w:p w14:paraId="5AE81C58" w14:textId="79D0AEA8" w:rsidR="00BE4BF2" w:rsidRDefault="00BE4BF2">
      <w:pPr>
        <w:pStyle w:val="FootnoteText"/>
      </w:pPr>
      <w:r>
        <w:rPr>
          <w:rStyle w:val="FootnoteReference"/>
        </w:rPr>
        <w:footnoteRef/>
      </w:r>
      <w:r>
        <w:t xml:space="preserve"> </w:t>
      </w:r>
      <w:r w:rsidR="001C7129">
        <w:tab/>
      </w:r>
      <w:r w:rsidR="006D6D55">
        <w:t>Tribunal (2024), pp. 12</w:t>
      </w:r>
      <w:r w:rsidR="00986E73">
        <w:t>5-126.</w:t>
      </w:r>
    </w:p>
  </w:footnote>
  <w:footnote w:id="235">
    <w:p w14:paraId="16F5C5AE" w14:textId="377F63C9" w:rsidR="00986E73" w:rsidRDefault="00986E73">
      <w:pPr>
        <w:pStyle w:val="FootnoteText"/>
      </w:pPr>
      <w:r>
        <w:rPr>
          <w:rStyle w:val="FootnoteReference"/>
        </w:rPr>
        <w:footnoteRef/>
      </w:r>
      <w:r>
        <w:t xml:space="preserve"> </w:t>
      </w:r>
      <w:r w:rsidR="001C7129">
        <w:tab/>
      </w:r>
      <w:r>
        <w:t xml:space="preserve">Tribunal (2024), </w:t>
      </w:r>
      <w:r w:rsidR="001C7129">
        <w:t>p.129.</w:t>
      </w:r>
    </w:p>
  </w:footnote>
  <w:footnote w:id="236">
    <w:p w14:paraId="773C4C22" w14:textId="30AF09CF" w:rsidR="005B3CB4" w:rsidRDefault="005B3CB4">
      <w:pPr>
        <w:pStyle w:val="FootnoteText"/>
      </w:pPr>
      <w:r>
        <w:rPr>
          <w:rStyle w:val="FootnoteReference"/>
        </w:rPr>
        <w:footnoteRef/>
      </w:r>
      <w:r>
        <w:t xml:space="preserve"> </w:t>
      </w:r>
      <w:r>
        <w:tab/>
      </w:r>
      <w:r w:rsidR="00F57457">
        <w:t>Tribunal (</w:t>
      </w:r>
      <w:r>
        <w:t>2020</w:t>
      </w:r>
      <w:r w:rsidR="00F57457">
        <w:t>)</w:t>
      </w:r>
      <w:r>
        <w:t>, p. 100.</w:t>
      </w:r>
    </w:p>
  </w:footnote>
  <w:footnote w:id="237">
    <w:p w14:paraId="48927DA0" w14:textId="77777777" w:rsidR="00E91106" w:rsidRPr="009658CA" w:rsidRDefault="00E91106">
      <w:pPr>
        <w:pStyle w:val="FootnoteText"/>
        <w:rPr>
          <w:rFonts w:cs="Calibri Light"/>
          <w:szCs w:val="18"/>
        </w:rPr>
      </w:pPr>
      <w:r w:rsidRPr="009658CA">
        <w:rPr>
          <w:rStyle w:val="FootnoteReference"/>
          <w:rFonts w:cs="Calibri Light"/>
          <w:szCs w:val="18"/>
        </w:rPr>
        <w:footnoteRef/>
      </w:r>
      <w:r w:rsidRPr="009658CA">
        <w:rPr>
          <w:rFonts w:cs="Calibri Light"/>
          <w:szCs w:val="18"/>
        </w:rPr>
        <w:t xml:space="preserve"> </w:t>
      </w:r>
      <w:r w:rsidRPr="009658CA">
        <w:rPr>
          <w:rFonts w:cs="Calibri Light"/>
          <w:szCs w:val="18"/>
        </w:rPr>
        <w:tab/>
        <w:t>Branching logic is the term used when respondents are directed through different paths in the questionnaire based on their answers.</w:t>
      </w:r>
    </w:p>
  </w:footnote>
  <w:footnote w:id="238">
    <w:p w14:paraId="36EA40F0" w14:textId="3F601636" w:rsidR="00E91106" w:rsidRPr="009658CA" w:rsidRDefault="00E91106">
      <w:pPr>
        <w:pStyle w:val="FootnoteText"/>
        <w:rPr>
          <w:rFonts w:cs="Calibri Light"/>
          <w:szCs w:val="18"/>
        </w:rPr>
      </w:pPr>
      <w:r w:rsidRPr="009658CA">
        <w:rPr>
          <w:rStyle w:val="FootnoteReference"/>
          <w:rFonts w:cs="Calibri Light"/>
          <w:szCs w:val="18"/>
        </w:rPr>
        <w:footnoteRef/>
      </w:r>
      <w:r w:rsidRPr="009658CA">
        <w:rPr>
          <w:rFonts w:cs="Calibri Light"/>
          <w:szCs w:val="18"/>
        </w:rPr>
        <w:t xml:space="preserve"> </w:t>
      </w:r>
      <w:r w:rsidRPr="009658CA">
        <w:rPr>
          <w:rFonts w:cs="Calibri Light"/>
          <w:szCs w:val="18"/>
        </w:rPr>
        <w:tab/>
        <w:t>‘Completed’ means the respondent answered all mandatory questions at a minimum.</w:t>
      </w:r>
    </w:p>
  </w:footnote>
  <w:footnote w:id="239">
    <w:p w14:paraId="53C9FA8C" w14:textId="0E4EEB0E" w:rsidR="00E91106" w:rsidRDefault="00E91106">
      <w:pPr>
        <w:pStyle w:val="FootnoteText"/>
      </w:pPr>
      <w:r w:rsidRPr="009658CA">
        <w:rPr>
          <w:rStyle w:val="FootnoteReference"/>
          <w:rFonts w:cs="Calibri Light"/>
          <w:szCs w:val="18"/>
        </w:rPr>
        <w:footnoteRef/>
      </w:r>
      <w:r w:rsidRPr="009658CA">
        <w:rPr>
          <w:rFonts w:cs="Calibri Light"/>
          <w:szCs w:val="18"/>
        </w:rPr>
        <w:t xml:space="preserve"> </w:t>
      </w:r>
      <w:r w:rsidRPr="009658CA">
        <w:rPr>
          <w:rFonts w:cs="Calibri Light"/>
          <w:szCs w:val="18"/>
        </w:rPr>
        <w:tab/>
        <w:t xml:space="preserve">The margin of error indicates how much the questionnaire results can be expected to reflect the views of the whole cohort of public entity executives. The margin of error is a range of values above and below the actual results from the </w:t>
      </w:r>
      <w:r w:rsidR="0072225E">
        <w:rPr>
          <w:rFonts w:cs="Calibri Light"/>
          <w:szCs w:val="18"/>
        </w:rPr>
        <w:t>questionnaire</w:t>
      </w:r>
      <w:r w:rsidRPr="009658CA">
        <w:rPr>
          <w:rFonts w:cs="Calibri Light"/>
          <w:szCs w:val="18"/>
        </w:rPr>
        <w:t>. For example, a 60 per cent ‘yes’ response with a margin of error of 6 per cent means that between 54 and 66 per cent of the whole cohort think that the answer is ‘yes’.</w:t>
      </w:r>
    </w:p>
  </w:footnote>
  <w:footnote w:id="240">
    <w:p w14:paraId="069DB204" w14:textId="18366E50" w:rsidR="00E91106" w:rsidRPr="00254CA0" w:rsidRDefault="00E91106">
      <w:pPr>
        <w:pStyle w:val="FootnoteText"/>
        <w:rPr>
          <w:rFonts w:cs="Calibri Light"/>
        </w:rPr>
      </w:pPr>
      <w:r w:rsidRPr="00254CA0">
        <w:rPr>
          <w:rStyle w:val="FootnoteReference"/>
          <w:rFonts w:cs="Calibri Light"/>
          <w:szCs w:val="18"/>
        </w:rPr>
        <w:footnoteRef/>
      </w:r>
      <w:r w:rsidRPr="00254CA0">
        <w:rPr>
          <w:rFonts w:cs="Calibri Light"/>
        </w:rPr>
        <w:t xml:space="preserve"> </w:t>
      </w:r>
      <w:r w:rsidRPr="00254CA0">
        <w:rPr>
          <w:rFonts w:cs="Calibri Light"/>
        </w:rPr>
        <w:tab/>
      </w:r>
      <w:r w:rsidR="00F419D9" w:rsidRPr="00F419D9">
        <w:rPr>
          <w:rFonts w:cs="Calibri Light"/>
        </w:rPr>
        <w:t>State Government of Victoria (2024</w:t>
      </w:r>
      <w:r w:rsidR="00F419D9">
        <w:rPr>
          <w:rFonts w:cs="Calibri Light"/>
        </w:rPr>
        <w:t>c</w:t>
      </w:r>
      <w:r w:rsidR="00F419D9" w:rsidRPr="00F419D9">
        <w:rPr>
          <w:rFonts w:cs="Calibri Light"/>
        </w:rPr>
        <w:t>),</w:t>
      </w:r>
      <w:r w:rsidRPr="00254CA0">
        <w:rPr>
          <w:rFonts w:cs="Calibri Light"/>
        </w:rPr>
        <w:t xml:space="preserve"> cl</w:t>
      </w:r>
      <w:r w:rsidR="00F419D9">
        <w:rPr>
          <w:rFonts w:cs="Calibri Light"/>
        </w:rPr>
        <w:t>ause</w:t>
      </w:r>
      <w:r w:rsidRPr="00254CA0">
        <w:rPr>
          <w:rFonts w:cs="Calibri Light"/>
        </w:rPr>
        <w:t xml:space="preserve"> 7.1.</w:t>
      </w:r>
    </w:p>
  </w:footnote>
  <w:footnote w:id="241">
    <w:p w14:paraId="6AC2FF2B" w14:textId="1B5C7C84" w:rsidR="00E91106" w:rsidRPr="00D5541B" w:rsidRDefault="00E91106">
      <w:pPr>
        <w:pStyle w:val="FootnoteText"/>
        <w:rPr>
          <w:rFonts w:cs="Calibri Light"/>
        </w:rPr>
      </w:pPr>
      <w:r w:rsidRPr="00D5541B">
        <w:rPr>
          <w:rStyle w:val="FootnoteReference"/>
          <w:rFonts w:cs="Calibri Light"/>
        </w:rPr>
        <w:footnoteRef/>
      </w:r>
      <w:r w:rsidRPr="00D5541B">
        <w:rPr>
          <w:rFonts w:cs="Calibri Light"/>
        </w:rPr>
        <w:t xml:space="preserve"> </w:t>
      </w:r>
      <w:r w:rsidRPr="00D5541B">
        <w:rPr>
          <w:rFonts w:cs="Calibri Light"/>
        </w:rPr>
        <w:tab/>
        <w:t>SurveyMonkey</w:t>
      </w:r>
      <w:r w:rsidR="002130A6">
        <w:rPr>
          <w:rFonts w:cs="Calibri Light"/>
        </w:rPr>
        <w:t xml:space="preserve"> (n.d.)</w:t>
      </w:r>
      <w:r w:rsidRPr="00D5541B">
        <w:rPr>
          <w:rFonts w:cs="Calibri Ligh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6C881" w14:textId="4BADA4DF" w:rsidR="00422BA7" w:rsidRDefault="00422BA7">
    <w:pPr>
      <w:pStyle w:val="Header"/>
    </w:pPr>
    <w:r>
      <w:rPr>
        <w:noProof/>
      </w:rPr>
      <mc:AlternateContent>
        <mc:Choice Requires="wps">
          <w:drawing>
            <wp:anchor distT="0" distB="0" distL="114300" distR="114300" simplePos="0" relativeHeight="251654144" behindDoc="1" locked="0" layoutInCell="0" allowOverlap="1" wp14:anchorId="65F022C0" wp14:editId="1F7AF8F5">
              <wp:simplePos x="0" y="0"/>
              <wp:positionH relativeFrom="margin">
                <wp:align>center</wp:align>
              </wp:positionH>
              <wp:positionV relativeFrom="margin">
                <wp:align>center</wp:align>
              </wp:positionV>
              <wp:extent cx="3860800" cy="1543685"/>
              <wp:effectExtent l="0" t="1047750" r="0" b="847090"/>
              <wp:wrapNone/>
              <wp:docPr id="1076494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3D887" w14:textId="77777777" w:rsidR="00422BA7" w:rsidRDefault="00422BA7" w:rsidP="00422BA7">
                          <w:pPr>
                            <w:jc w:val="center"/>
                            <w:rPr>
                              <w:rFonts w:ascii="Arial" w:hAnsi="Arial" w:cs="Arial"/>
                              <w:color w:val="D9D9D9" w:themeColor="background1" w:themeShade="D9"/>
                              <w:sz w:val="2"/>
                              <w:szCs w:val="2"/>
                              <w14:textFill>
                                <w14:solidFill>
                                  <w14:schemeClr w14:val="bg1">
                                    <w14:alpha w14:val="50000"/>
                                    <w14:lumMod w14:val="85000"/>
                                  </w14:schemeClr>
                                </w14:solidFill>
                              </w14:textFill>
                            </w:rPr>
                          </w:pPr>
                          <w:r>
                            <w:rPr>
                              <w:rFonts w:ascii="Arial" w:hAnsi="Arial"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F022C0" id="_x0000_t202" coordsize="21600,21600" o:spt="202" path="m,l,21600r21600,l21600,xe">
              <v:stroke joinstyle="miter"/>
              <v:path gradientshapeok="t" o:connecttype="rect"/>
            </v:shapetype>
            <v:shape id="Text Box 3" o:spid="_x0000_s1037" type="#_x0000_t202" style="position:absolute;left:0;text-align:left;margin-left:0;margin-top:0;width:304pt;height:121.5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Qw8wEAAMU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" o:allowincell="f" filled="f" stroked="f">
              <v:stroke joinstyle="round"/>
              <o:lock v:ext="edit" shapetype="t"/>
              <v:textbox style="mso-fit-shape-to-text:t">
                <w:txbxContent>
                  <w:p w14:paraId="15A3D887" w14:textId="77777777" w:rsidR="00422BA7" w:rsidRDefault="00422BA7" w:rsidP="00422BA7">
                    <w:pPr>
                      <w:jc w:val="center"/>
                      <w:rPr>
                        <w:rFonts w:ascii="Arial" w:hAnsi="Arial" w:cs="Arial"/>
                        <w:color w:val="D9D9D9" w:themeColor="background1" w:themeShade="D9"/>
                        <w:sz w:val="2"/>
                        <w:szCs w:val="2"/>
                        <w14:textFill>
                          <w14:solidFill>
                            <w14:schemeClr w14:val="bg1">
                              <w14:alpha w14:val="50000"/>
                              <w14:lumMod w14:val="85000"/>
                            </w14:schemeClr>
                          </w14:solidFill>
                        </w14:textFill>
                      </w:rPr>
                    </w:pPr>
                    <w:r>
                      <w:rPr>
                        <w:rFonts w:ascii="Arial" w:hAnsi="Arial"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4872074D" wp14:editId="440EA152">
              <wp:simplePos x="0" y="0"/>
              <wp:positionH relativeFrom="margin">
                <wp:align>center</wp:align>
              </wp:positionH>
              <wp:positionV relativeFrom="margin">
                <wp:align>center</wp:align>
              </wp:positionV>
              <wp:extent cx="3860800" cy="1543685"/>
              <wp:effectExtent l="0" t="1047750" r="0" b="847090"/>
              <wp:wrapNone/>
              <wp:docPr id="1193869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F81B89" w14:textId="77777777" w:rsidR="00422BA7" w:rsidRDefault="00422BA7" w:rsidP="00422BA7">
                          <w:pPr>
                            <w:jc w:val="center"/>
                            <w:rPr>
                              <w:rFonts w:ascii="Arial" w:hAnsi="Arial" w:cs="Arial"/>
                              <w:color w:val="D9D9D9" w:themeColor="background1" w:themeShade="D9"/>
                              <w:sz w:val="2"/>
                              <w:szCs w:val="2"/>
                              <w14:textFill>
                                <w14:solidFill>
                                  <w14:schemeClr w14:val="bg1">
                                    <w14:alpha w14:val="50000"/>
                                    <w14:lumMod w14:val="85000"/>
                                  </w14:schemeClr>
                                </w14:solidFill>
                              </w14:textFill>
                            </w:rPr>
                          </w:pPr>
                          <w:r>
                            <w:rPr>
                              <w:rFonts w:ascii="Arial" w:hAnsi="Arial"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72074D" id="Text Box 2" o:spid="_x0000_s1038" type="#_x0000_t202" style="position:absolute;left:0;text-align:left;margin-left:0;margin-top:0;width:304pt;height:121.5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9g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" o:allowincell="f" filled="f" stroked="f">
              <v:stroke joinstyle="round"/>
              <o:lock v:ext="edit" shapetype="t"/>
              <v:textbox style="mso-fit-shape-to-text:t">
                <w:txbxContent>
                  <w:p w14:paraId="4DF81B89" w14:textId="77777777" w:rsidR="00422BA7" w:rsidRDefault="00422BA7" w:rsidP="00422BA7">
                    <w:pPr>
                      <w:jc w:val="center"/>
                      <w:rPr>
                        <w:rFonts w:ascii="Arial" w:hAnsi="Arial" w:cs="Arial"/>
                        <w:color w:val="D9D9D9" w:themeColor="background1" w:themeShade="D9"/>
                        <w:sz w:val="2"/>
                        <w:szCs w:val="2"/>
                        <w14:textFill>
                          <w14:solidFill>
                            <w14:schemeClr w14:val="bg1">
                              <w14:alpha w14:val="50000"/>
                              <w14:lumMod w14:val="85000"/>
                            </w14:schemeClr>
                          </w14:solidFill>
                        </w14:textFill>
                      </w:rPr>
                    </w:pPr>
                    <w:r>
                      <w:rPr>
                        <w:rFonts w:ascii="Arial" w:hAnsi="Arial"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096" behindDoc="1" locked="0" layoutInCell="0" allowOverlap="1" wp14:anchorId="598EEFDC" wp14:editId="0865404B">
              <wp:simplePos x="0" y="0"/>
              <wp:positionH relativeFrom="margin">
                <wp:align>center</wp:align>
              </wp:positionH>
              <wp:positionV relativeFrom="margin">
                <wp:align>center</wp:align>
              </wp:positionV>
              <wp:extent cx="3378200" cy="2026920"/>
              <wp:effectExtent l="0" t="742950" r="0" b="421005"/>
              <wp:wrapNone/>
              <wp:docPr id="12281081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8C7822" w14:textId="77777777" w:rsidR="00422BA7" w:rsidRDefault="00422BA7" w:rsidP="00422B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8EEFDC" id="Text Box 1" o:spid="_x0000_s1039" type="#_x0000_t202" style="position:absolute;left:0;text-align:left;margin-left:0;margin-top:0;width:266pt;height:159.6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" o:allowincell="f" filled="f" stroked="f">
              <v:stroke joinstyle="round"/>
              <o:lock v:ext="edit" shapetype="t"/>
              <v:textbox style="mso-fit-shape-to-text:t">
                <w:txbxContent>
                  <w:p w14:paraId="468C7822" w14:textId="77777777" w:rsidR="00422BA7" w:rsidRDefault="00422BA7" w:rsidP="00422BA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928E" w14:textId="77777777" w:rsidR="004C290F" w:rsidRDefault="004C3BB2">
    <w:pPr>
      <w:pStyle w:val="Header"/>
    </w:pPr>
    <w:r>
      <w:rPr>
        <w:noProof/>
      </w:rPr>
      <w:pict w14:anchorId="1AB7D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374.7pt;height:22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948D" w14:textId="2A291F9C" w:rsidR="004C290F" w:rsidRDefault="004C29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0318" w14:textId="5D2D7373" w:rsidR="004C290F" w:rsidRDefault="004C29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62B0" w14:textId="37882980" w:rsidR="00BF7D4E" w:rsidRDefault="00BF7D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BAFB" w14:textId="7DACF31B" w:rsidR="00BF7D4E" w:rsidRDefault="00BF7D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E00F" w14:textId="10CA2F60" w:rsidR="00BF7D4E" w:rsidRDefault="00BF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14C66DD"/>
    <w:multiLevelType w:val="hybridMultilevel"/>
    <w:tmpl w:val="BB9CCCBC"/>
    <w:lvl w:ilvl="0" w:tplc="24E4964E">
      <w:start w:val="1"/>
      <w:numFmt w:val="bullet"/>
      <w:pStyle w:val="13Boxbullets"/>
      <w:lvlText w:val=""/>
      <w:lvlJc w:val="left"/>
      <w:pPr>
        <w:ind w:left="360"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027B51CE"/>
    <w:multiLevelType w:val="hybridMultilevel"/>
    <w:tmpl w:val="21786D98"/>
    <w:lvl w:ilvl="0" w:tplc="02C6BB5A">
      <w:start w:val="1"/>
      <w:numFmt w:val="bullet"/>
      <w:pStyle w:val="Bulletswithinnumberedparaslvl1"/>
      <w:lvlText w:val="‒"/>
      <w:lvlJc w:val="left"/>
      <w:pPr>
        <w:ind w:left="1077" w:hanging="360"/>
      </w:pPr>
      <w:rPr>
        <w:rFonts w:ascii="Calibri Light" w:hAnsi="Calibri Light"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B3A70FF"/>
    <w:multiLevelType w:val="hybridMultilevel"/>
    <w:tmpl w:val="0B6A3C3C"/>
    <w:lvl w:ilvl="0" w:tplc="B23047DC">
      <w:start w:val="1"/>
      <w:numFmt w:val="decimal"/>
      <w:lvlText w:val="2.%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31F7C"/>
    <w:multiLevelType w:val="hybridMultilevel"/>
    <w:tmpl w:val="3226522E"/>
    <w:lvl w:ilvl="0" w:tplc="041ADB22">
      <w:start w:val="1"/>
      <w:numFmt w:val="lowerLetter"/>
      <w:pStyle w:val="Instrumentlevel3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4" w15:restartNumberingAfterBreak="0">
    <w:nsid w:val="1BFF4B80"/>
    <w:multiLevelType w:val="multilevel"/>
    <w:tmpl w:val="D27ED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5" w15:restartNumberingAfterBreak="0">
    <w:nsid w:val="25CD63F4"/>
    <w:multiLevelType w:val="hybridMultilevel"/>
    <w:tmpl w:val="C494DC62"/>
    <w:lvl w:ilvl="0" w:tplc="32E273BC">
      <w:start w:val="1"/>
      <w:numFmt w:val="bullet"/>
      <w:lvlText w:val=""/>
      <w:lvlJc w:val="left"/>
      <w:pPr>
        <w:ind w:left="720" w:hanging="360"/>
      </w:pPr>
      <w:rPr>
        <w:rFonts w:ascii="Symbol" w:hAnsi="Symbol"/>
      </w:rPr>
    </w:lvl>
    <w:lvl w:ilvl="1" w:tplc="59906CDA">
      <w:start w:val="1"/>
      <w:numFmt w:val="bullet"/>
      <w:lvlText w:val=""/>
      <w:lvlJc w:val="left"/>
      <w:pPr>
        <w:ind w:left="720" w:hanging="360"/>
      </w:pPr>
      <w:rPr>
        <w:rFonts w:ascii="Symbol" w:hAnsi="Symbol"/>
      </w:rPr>
    </w:lvl>
    <w:lvl w:ilvl="2" w:tplc="55A8931A">
      <w:start w:val="1"/>
      <w:numFmt w:val="bullet"/>
      <w:lvlText w:val=""/>
      <w:lvlJc w:val="left"/>
      <w:pPr>
        <w:ind w:left="720" w:hanging="360"/>
      </w:pPr>
      <w:rPr>
        <w:rFonts w:ascii="Symbol" w:hAnsi="Symbol"/>
      </w:rPr>
    </w:lvl>
    <w:lvl w:ilvl="3" w:tplc="C624E7A8">
      <w:start w:val="1"/>
      <w:numFmt w:val="bullet"/>
      <w:lvlText w:val=""/>
      <w:lvlJc w:val="left"/>
      <w:pPr>
        <w:ind w:left="720" w:hanging="360"/>
      </w:pPr>
      <w:rPr>
        <w:rFonts w:ascii="Symbol" w:hAnsi="Symbol"/>
      </w:rPr>
    </w:lvl>
    <w:lvl w:ilvl="4" w:tplc="B1F0D2FE">
      <w:start w:val="1"/>
      <w:numFmt w:val="bullet"/>
      <w:lvlText w:val=""/>
      <w:lvlJc w:val="left"/>
      <w:pPr>
        <w:ind w:left="720" w:hanging="360"/>
      </w:pPr>
      <w:rPr>
        <w:rFonts w:ascii="Symbol" w:hAnsi="Symbol"/>
      </w:rPr>
    </w:lvl>
    <w:lvl w:ilvl="5" w:tplc="D596665E">
      <w:start w:val="1"/>
      <w:numFmt w:val="bullet"/>
      <w:lvlText w:val=""/>
      <w:lvlJc w:val="left"/>
      <w:pPr>
        <w:ind w:left="720" w:hanging="360"/>
      </w:pPr>
      <w:rPr>
        <w:rFonts w:ascii="Symbol" w:hAnsi="Symbol"/>
      </w:rPr>
    </w:lvl>
    <w:lvl w:ilvl="6" w:tplc="92E28300">
      <w:start w:val="1"/>
      <w:numFmt w:val="bullet"/>
      <w:lvlText w:val=""/>
      <w:lvlJc w:val="left"/>
      <w:pPr>
        <w:ind w:left="720" w:hanging="360"/>
      </w:pPr>
      <w:rPr>
        <w:rFonts w:ascii="Symbol" w:hAnsi="Symbol"/>
      </w:rPr>
    </w:lvl>
    <w:lvl w:ilvl="7" w:tplc="0EB8EFD4">
      <w:start w:val="1"/>
      <w:numFmt w:val="bullet"/>
      <w:lvlText w:val=""/>
      <w:lvlJc w:val="left"/>
      <w:pPr>
        <w:ind w:left="720" w:hanging="360"/>
      </w:pPr>
      <w:rPr>
        <w:rFonts w:ascii="Symbol" w:hAnsi="Symbol"/>
      </w:rPr>
    </w:lvl>
    <w:lvl w:ilvl="8" w:tplc="48BCB8B4">
      <w:start w:val="1"/>
      <w:numFmt w:val="bullet"/>
      <w:lvlText w:val=""/>
      <w:lvlJc w:val="left"/>
      <w:pPr>
        <w:ind w:left="720" w:hanging="360"/>
      </w:pPr>
      <w:rPr>
        <w:rFonts w:ascii="Symbol" w:hAnsi="Symbol"/>
      </w:rPr>
    </w:lvl>
  </w:abstractNum>
  <w:abstractNum w:abstractNumId="16" w15:restartNumberingAfterBreak="0">
    <w:nsid w:val="2F5638CC"/>
    <w:multiLevelType w:val="hybridMultilevel"/>
    <w:tmpl w:val="417478E6"/>
    <w:lvl w:ilvl="0" w:tplc="8828FC52">
      <w:start w:val="1"/>
      <w:numFmt w:val="decimal"/>
      <w:lvlText w:val="%1)"/>
      <w:lvlJc w:val="left"/>
      <w:pPr>
        <w:ind w:left="1020" w:hanging="360"/>
      </w:pPr>
    </w:lvl>
    <w:lvl w:ilvl="1" w:tplc="8B7A371E">
      <w:start w:val="1"/>
      <w:numFmt w:val="decimal"/>
      <w:lvlText w:val="%2)"/>
      <w:lvlJc w:val="left"/>
      <w:pPr>
        <w:ind w:left="1020" w:hanging="360"/>
      </w:pPr>
    </w:lvl>
    <w:lvl w:ilvl="2" w:tplc="E68ADE70">
      <w:start w:val="1"/>
      <w:numFmt w:val="decimal"/>
      <w:lvlText w:val="%3)"/>
      <w:lvlJc w:val="left"/>
      <w:pPr>
        <w:ind w:left="1020" w:hanging="360"/>
      </w:pPr>
    </w:lvl>
    <w:lvl w:ilvl="3" w:tplc="FB8023A0">
      <w:start w:val="1"/>
      <w:numFmt w:val="decimal"/>
      <w:lvlText w:val="%4)"/>
      <w:lvlJc w:val="left"/>
      <w:pPr>
        <w:ind w:left="1020" w:hanging="360"/>
      </w:pPr>
    </w:lvl>
    <w:lvl w:ilvl="4" w:tplc="FE548EE0">
      <w:start w:val="1"/>
      <w:numFmt w:val="decimal"/>
      <w:lvlText w:val="%5)"/>
      <w:lvlJc w:val="left"/>
      <w:pPr>
        <w:ind w:left="1020" w:hanging="360"/>
      </w:pPr>
    </w:lvl>
    <w:lvl w:ilvl="5" w:tplc="9ACE3902">
      <w:start w:val="1"/>
      <w:numFmt w:val="decimal"/>
      <w:lvlText w:val="%6)"/>
      <w:lvlJc w:val="left"/>
      <w:pPr>
        <w:ind w:left="1020" w:hanging="360"/>
      </w:pPr>
    </w:lvl>
    <w:lvl w:ilvl="6" w:tplc="7EA63B96">
      <w:start w:val="1"/>
      <w:numFmt w:val="decimal"/>
      <w:lvlText w:val="%7)"/>
      <w:lvlJc w:val="left"/>
      <w:pPr>
        <w:ind w:left="1020" w:hanging="360"/>
      </w:pPr>
    </w:lvl>
    <w:lvl w:ilvl="7" w:tplc="4BA43E14">
      <w:start w:val="1"/>
      <w:numFmt w:val="decimal"/>
      <w:lvlText w:val="%8)"/>
      <w:lvlJc w:val="left"/>
      <w:pPr>
        <w:ind w:left="1020" w:hanging="360"/>
      </w:pPr>
    </w:lvl>
    <w:lvl w:ilvl="8" w:tplc="CE8A372A">
      <w:start w:val="1"/>
      <w:numFmt w:val="decimal"/>
      <w:lvlText w:val="%9)"/>
      <w:lvlJc w:val="left"/>
      <w:pPr>
        <w:ind w:left="1020" w:hanging="360"/>
      </w:pPr>
    </w:lvl>
  </w:abstractNum>
  <w:abstractNum w:abstractNumId="17" w15:restartNumberingAfterBreak="0">
    <w:nsid w:val="30E8038B"/>
    <w:multiLevelType w:val="hybridMultilevel"/>
    <w:tmpl w:val="EDC8B058"/>
    <w:lvl w:ilvl="0" w:tplc="9C9EE5F0">
      <w:start w:val="1"/>
      <w:numFmt w:val="lowerLetter"/>
      <w:pStyle w:val="VIRTBulletpoints"/>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E40CD8"/>
    <w:multiLevelType w:val="multilevel"/>
    <w:tmpl w:val="D27ED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9" w15:restartNumberingAfterBreak="0">
    <w:nsid w:val="37282AFE"/>
    <w:multiLevelType w:val="multilevel"/>
    <w:tmpl w:val="AD46D6BE"/>
    <w:lvl w:ilvl="0">
      <w:start w:val="8"/>
      <w:numFmt w:val="decimal"/>
      <w:lvlText w:val="%1"/>
      <w:lvlJc w:val="left"/>
      <w:pPr>
        <w:ind w:left="390"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600" w:hanging="3600"/>
      </w:pPr>
      <w:rPr>
        <w:rFonts w:hint="default"/>
      </w:rPr>
    </w:lvl>
    <w:lvl w:ilvl="8">
      <w:start w:val="1"/>
      <w:numFmt w:val="decimal"/>
      <w:isLgl/>
      <w:lvlText w:val="%1.%2.%3.%4.%5.%6.%7.%8.%9"/>
      <w:lvlJc w:val="left"/>
      <w:pPr>
        <w:ind w:left="3960" w:hanging="3960"/>
      </w:pPr>
      <w:rPr>
        <w:rFonts w:hint="default"/>
      </w:rPr>
    </w:lvl>
  </w:abstractNum>
  <w:abstractNum w:abstractNumId="20"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7A1145"/>
    <w:multiLevelType w:val="hybridMultilevel"/>
    <w:tmpl w:val="6F42DA38"/>
    <w:lvl w:ilvl="0" w:tplc="569891FA">
      <w:start w:val="1"/>
      <w:numFmt w:val="bullet"/>
      <w:lvlText w:val="o"/>
      <w:lvlJc w:val="left"/>
      <w:pPr>
        <w:ind w:left="720" w:hanging="363"/>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478D2"/>
    <w:multiLevelType w:val="multilevel"/>
    <w:tmpl w:val="F0AA3594"/>
    <w:styleLink w:val="ZZBullets"/>
    <w:lvl w:ilvl="0">
      <w:start w:val="1"/>
      <w:numFmt w:val="bullet"/>
      <w:pStyle w:val="DPCbullet1"/>
      <w:lvlText w:val=""/>
      <w:lvlJc w:val="left"/>
      <w:pPr>
        <w:ind w:left="360" w:hanging="360"/>
      </w:pPr>
      <w:rPr>
        <w:rFonts w:ascii="Symbol" w:hAnsi="Symbol" w:hint="default"/>
        <w:sz w:val="24"/>
      </w:rPr>
    </w:lvl>
    <w:lvl w:ilvl="1">
      <w:start w:val="1"/>
      <w:numFmt w:val="bullet"/>
      <w:pStyle w:val="DPCbullet2"/>
      <w:lvlText w:val="o"/>
      <w:lvlJc w:val="left"/>
      <w:pPr>
        <w:tabs>
          <w:tab w:val="num" w:pos="284"/>
        </w:tabs>
        <w:ind w:left="567" w:hanging="283"/>
      </w:pPr>
      <w:rPr>
        <w:rFonts w:ascii="Courier New" w:hAnsi="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6C5758"/>
    <w:multiLevelType w:val="hybridMultilevel"/>
    <w:tmpl w:val="CBDE77D0"/>
    <w:lvl w:ilvl="0" w:tplc="57EC8C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C84346"/>
    <w:multiLevelType w:val="hybridMultilevel"/>
    <w:tmpl w:val="49FCB1CE"/>
    <w:styleLink w:val="ZZNumbersdigi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2000A"/>
    <w:multiLevelType w:val="multilevel"/>
    <w:tmpl w:val="9E5E2608"/>
    <w:lvl w:ilvl="0">
      <w:start w:val="1"/>
      <w:numFmt w:val="decimal"/>
      <w:pStyle w:val="Instrumentlevel1numberedparagraphs"/>
      <w:lvlText w:val="%1."/>
      <w:lvlJc w:val="left"/>
      <w:pPr>
        <w:ind w:left="360" w:hanging="360"/>
      </w:pPr>
      <w:rPr>
        <w:rFonts w:hint="default"/>
        <w:b w:val="0"/>
        <w:i w:val="0"/>
      </w:rPr>
    </w:lvl>
    <w:lvl w:ilvl="1">
      <w:start w:val="1"/>
      <w:numFmt w:val="decimal"/>
      <w:pStyle w:val="Instrumentlevel2numberedparagraph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0B7803"/>
    <w:multiLevelType w:val="hybridMultilevel"/>
    <w:tmpl w:val="2FFA0AAC"/>
    <w:lvl w:ilvl="0" w:tplc="1E6EE588">
      <w:start w:val="1"/>
      <w:numFmt w:val="bullet"/>
      <w:pStyle w:val="06VIRTBulletpoints"/>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F52EE"/>
    <w:multiLevelType w:val="hybridMultilevel"/>
    <w:tmpl w:val="51FCACFC"/>
    <w:lvl w:ilvl="0" w:tplc="41A0098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DB32D9"/>
    <w:multiLevelType w:val="hybridMultilevel"/>
    <w:tmpl w:val="9A5C5EE2"/>
    <w:lvl w:ilvl="0" w:tplc="54EAF110">
      <w:start w:val="1"/>
      <w:numFmt w:val="bullet"/>
      <w:pStyle w:val="Bulletslevel2"/>
      <w:lvlText w:val="o"/>
      <w:lvlJc w:val="left"/>
      <w:pPr>
        <w:ind w:left="890" w:hanging="360"/>
      </w:pPr>
      <w:rPr>
        <w:rFonts w:ascii="Courier New" w:hAnsi="Courier New" w:hint="default"/>
        <w:color w:val="0068A7"/>
      </w:rPr>
    </w:lvl>
    <w:lvl w:ilvl="1" w:tplc="0C090003" w:tentative="1">
      <w:start w:val="1"/>
      <w:numFmt w:val="bullet"/>
      <w:lvlText w:val="o"/>
      <w:lvlJc w:val="left"/>
      <w:pPr>
        <w:ind w:left="2594" w:hanging="360"/>
      </w:pPr>
      <w:rPr>
        <w:rFonts w:ascii="Courier New" w:hAnsi="Courier New" w:cs="Courier New" w:hint="default"/>
      </w:rPr>
    </w:lvl>
    <w:lvl w:ilvl="2" w:tplc="0C090005" w:tentative="1">
      <w:start w:val="1"/>
      <w:numFmt w:val="bullet"/>
      <w:lvlText w:val=""/>
      <w:lvlJc w:val="left"/>
      <w:pPr>
        <w:ind w:left="3314" w:hanging="360"/>
      </w:pPr>
      <w:rPr>
        <w:rFonts w:ascii="Wingdings" w:hAnsi="Wingdings" w:hint="default"/>
      </w:rPr>
    </w:lvl>
    <w:lvl w:ilvl="3" w:tplc="0C090001" w:tentative="1">
      <w:start w:val="1"/>
      <w:numFmt w:val="bullet"/>
      <w:lvlText w:val=""/>
      <w:lvlJc w:val="left"/>
      <w:pPr>
        <w:ind w:left="4034" w:hanging="360"/>
      </w:pPr>
      <w:rPr>
        <w:rFonts w:ascii="Symbol" w:hAnsi="Symbol" w:hint="default"/>
      </w:rPr>
    </w:lvl>
    <w:lvl w:ilvl="4" w:tplc="0C090003" w:tentative="1">
      <w:start w:val="1"/>
      <w:numFmt w:val="bullet"/>
      <w:lvlText w:val="o"/>
      <w:lvlJc w:val="left"/>
      <w:pPr>
        <w:ind w:left="4754" w:hanging="360"/>
      </w:pPr>
      <w:rPr>
        <w:rFonts w:ascii="Courier New" w:hAnsi="Courier New" w:cs="Courier New" w:hint="default"/>
      </w:rPr>
    </w:lvl>
    <w:lvl w:ilvl="5" w:tplc="0C090005" w:tentative="1">
      <w:start w:val="1"/>
      <w:numFmt w:val="bullet"/>
      <w:lvlText w:val=""/>
      <w:lvlJc w:val="left"/>
      <w:pPr>
        <w:ind w:left="5474" w:hanging="360"/>
      </w:pPr>
      <w:rPr>
        <w:rFonts w:ascii="Wingdings" w:hAnsi="Wingdings" w:hint="default"/>
      </w:rPr>
    </w:lvl>
    <w:lvl w:ilvl="6" w:tplc="0C090001" w:tentative="1">
      <w:start w:val="1"/>
      <w:numFmt w:val="bullet"/>
      <w:lvlText w:val=""/>
      <w:lvlJc w:val="left"/>
      <w:pPr>
        <w:ind w:left="6194" w:hanging="360"/>
      </w:pPr>
      <w:rPr>
        <w:rFonts w:ascii="Symbol" w:hAnsi="Symbol" w:hint="default"/>
      </w:rPr>
    </w:lvl>
    <w:lvl w:ilvl="7" w:tplc="0C090003" w:tentative="1">
      <w:start w:val="1"/>
      <w:numFmt w:val="bullet"/>
      <w:lvlText w:val="o"/>
      <w:lvlJc w:val="left"/>
      <w:pPr>
        <w:ind w:left="6914" w:hanging="360"/>
      </w:pPr>
      <w:rPr>
        <w:rFonts w:ascii="Courier New" w:hAnsi="Courier New" w:cs="Courier New" w:hint="default"/>
      </w:rPr>
    </w:lvl>
    <w:lvl w:ilvl="8" w:tplc="0C090005" w:tentative="1">
      <w:start w:val="1"/>
      <w:numFmt w:val="bullet"/>
      <w:lvlText w:val=""/>
      <w:lvlJc w:val="left"/>
      <w:pPr>
        <w:ind w:left="7634" w:hanging="360"/>
      </w:pPr>
      <w:rPr>
        <w:rFonts w:ascii="Wingdings" w:hAnsi="Wingdings" w:hint="default"/>
      </w:rPr>
    </w:lvl>
  </w:abstractNum>
  <w:abstractNum w:abstractNumId="29" w15:restartNumberingAfterBreak="0">
    <w:nsid w:val="5E3C6366"/>
    <w:multiLevelType w:val="hybridMultilevel"/>
    <w:tmpl w:val="689225CA"/>
    <w:styleLink w:val="ZZNumbersdigit11"/>
    <w:lvl w:ilvl="0" w:tplc="FDF08CC6">
      <w:start w:val="1"/>
      <w:numFmt w:val="bullet"/>
      <w:pStyle w:val="VIRTDeterminationbullets"/>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0D802D6"/>
    <w:multiLevelType w:val="hybridMultilevel"/>
    <w:tmpl w:val="076E4384"/>
    <w:lvl w:ilvl="0" w:tplc="FA6485DC">
      <w:start w:val="1"/>
      <w:numFmt w:val="bullet"/>
      <w:pStyle w:val="11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DB2CF3"/>
    <w:multiLevelType w:val="hybridMultilevel"/>
    <w:tmpl w:val="FD0A02D8"/>
    <w:lvl w:ilvl="0" w:tplc="6FB4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BF220C"/>
    <w:multiLevelType w:val="hybridMultilevel"/>
    <w:tmpl w:val="9E7EDCB4"/>
    <w:lvl w:ilvl="0" w:tplc="6FB4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5F1B71"/>
    <w:multiLevelType w:val="hybridMultilevel"/>
    <w:tmpl w:val="43DA7D58"/>
    <w:lvl w:ilvl="0" w:tplc="1738006E">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6911BE"/>
    <w:multiLevelType w:val="hybridMultilevel"/>
    <w:tmpl w:val="345AB8EE"/>
    <w:lvl w:ilvl="0" w:tplc="6DCA4D28">
      <w:start w:val="1"/>
      <w:numFmt w:val="bullet"/>
      <w:pStyle w:val="Bullets"/>
      <w:lvlText w:val=""/>
      <w:lvlJc w:val="left"/>
      <w:pPr>
        <w:ind w:left="530" w:hanging="360"/>
      </w:pPr>
      <w:rPr>
        <w:rFonts w:ascii="Symbol" w:hAnsi="Symbol" w:hint="default"/>
        <w:color w:val="005A65"/>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7"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8" w15:restartNumberingAfterBreak="0">
    <w:nsid w:val="766C6BD6"/>
    <w:multiLevelType w:val="hybridMultilevel"/>
    <w:tmpl w:val="465A438A"/>
    <w:lvl w:ilvl="0" w:tplc="A95A8FA4">
      <w:start w:val="1"/>
      <w:numFmt w:val="bullet"/>
      <w:pStyle w:val="Tablebullets"/>
      <w:lvlText w:val=""/>
      <w:lvlJc w:val="left"/>
      <w:pPr>
        <w:ind w:left="360" w:hanging="360"/>
      </w:pPr>
      <w:rPr>
        <w:rFonts w:ascii="Symbol" w:hAnsi="Symbol" w:hint="default"/>
      </w:rPr>
    </w:lvl>
    <w:lvl w:ilvl="1" w:tplc="C9DC9770">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911643"/>
    <w:multiLevelType w:val="hybridMultilevel"/>
    <w:tmpl w:val="6938EB6A"/>
    <w:lvl w:ilvl="0" w:tplc="FE1289A8">
      <w:start w:val="1"/>
      <w:numFmt w:val="bullet"/>
      <w:pStyle w:val="VIRTDo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594897">
    <w:abstractNumId w:val="39"/>
  </w:num>
  <w:num w:numId="2" w16cid:durableId="1073044153">
    <w:abstractNumId w:val="22"/>
  </w:num>
  <w:num w:numId="3" w16cid:durableId="785931604">
    <w:abstractNumId w:val="38"/>
  </w:num>
  <w:num w:numId="4" w16cid:durableId="2123305372">
    <w:abstractNumId w:val="17"/>
  </w:num>
  <w:num w:numId="5" w16cid:durableId="409354586">
    <w:abstractNumId w:val="29"/>
  </w:num>
  <w:num w:numId="6" w16cid:durableId="1463771150">
    <w:abstractNumId w:val="25"/>
  </w:num>
  <w:num w:numId="7" w16cid:durableId="5636837">
    <w:abstractNumId w:val="18"/>
  </w:num>
  <w:num w:numId="8" w16cid:durableId="585500432">
    <w:abstractNumId w:val="13"/>
  </w:num>
  <w:num w:numId="9" w16cid:durableId="1281305750">
    <w:abstractNumId w:val="13"/>
    <w:lvlOverride w:ilvl="0">
      <w:startOverride w:val="1"/>
    </w:lvlOverride>
  </w:num>
  <w:num w:numId="10" w16cid:durableId="1934975254">
    <w:abstractNumId w:val="26"/>
  </w:num>
  <w:num w:numId="11" w16cid:durableId="463813146">
    <w:abstractNumId w:val="24"/>
  </w:num>
  <w:num w:numId="12" w16cid:durableId="408694904">
    <w:abstractNumId w:val="28"/>
  </w:num>
  <w:num w:numId="13" w16cid:durableId="679090737">
    <w:abstractNumId w:val="35"/>
  </w:num>
  <w:num w:numId="14" w16cid:durableId="1317492370">
    <w:abstractNumId w:val="34"/>
  </w:num>
  <w:num w:numId="15" w16cid:durableId="652561621">
    <w:abstractNumId w:val="11"/>
  </w:num>
  <w:num w:numId="16" w16cid:durableId="1404598139">
    <w:abstractNumId w:val="9"/>
  </w:num>
  <w:num w:numId="17" w16cid:durableId="1105151226">
    <w:abstractNumId w:val="7"/>
  </w:num>
  <w:num w:numId="18" w16cid:durableId="386073348">
    <w:abstractNumId w:val="6"/>
  </w:num>
  <w:num w:numId="19" w16cid:durableId="116611378">
    <w:abstractNumId w:val="5"/>
  </w:num>
  <w:num w:numId="20" w16cid:durableId="246963019">
    <w:abstractNumId w:val="4"/>
  </w:num>
  <w:num w:numId="21" w16cid:durableId="13725694">
    <w:abstractNumId w:val="8"/>
  </w:num>
  <w:num w:numId="22" w16cid:durableId="1156609986">
    <w:abstractNumId w:val="3"/>
  </w:num>
  <w:num w:numId="23" w16cid:durableId="373967501">
    <w:abstractNumId w:val="2"/>
  </w:num>
  <w:num w:numId="24" w16cid:durableId="1465195892">
    <w:abstractNumId w:val="1"/>
  </w:num>
  <w:num w:numId="25" w16cid:durableId="1070158135">
    <w:abstractNumId w:val="0"/>
  </w:num>
  <w:num w:numId="26" w16cid:durableId="1141656481">
    <w:abstractNumId w:val="36"/>
  </w:num>
  <w:num w:numId="27" w16cid:durableId="1110275153">
    <w:abstractNumId w:val="20"/>
  </w:num>
  <w:num w:numId="28" w16cid:durableId="1683774381">
    <w:abstractNumId w:val="37"/>
  </w:num>
  <w:num w:numId="29" w16cid:durableId="2025016590">
    <w:abstractNumId w:val="31"/>
  </w:num>
  <w:num w:numId="30" w16cid:durableId="1034306427">
    <w:abstractNumId w:val="10"/>
  </w:num>
  <w:num w:numId="31" w16cid:durableId="1034814281">
    <w:abstractNumId w:val="23"/>
  </w:num>
  <w:num w:numId="32" w16cid:durableId="617879613">
    <w:abstractNumId w:val="14"/>
  </w:num>
  <w:num w:numId="33" w16cid:durableId="2127506182">
    <w:abstractNumId w:val="30"/>
  </w:num>
  <w:num w:numId="34" w16cid:durableId="1739135079">
    <w:abstractNumId w:val="27"/>
  </w:num>
  <w:num w:numId="35" w16cid:durableId="185103077">
    <w:abstractNumId w:val="12"/>
  </w:num>
  <w:num w:numId="36" w16cid:durableId="1116020045">
    <w:abstractNumId w:val="21"/>
  </w:num>
  <w:num w:numId="37" w16cid:durableId="720903571">
    <w:abstractNumId w:val="19"/>
  </w:num>
  <w:num w:numId="38" w16cid:durableId="1874419954">
    <w:abstractNumId w:val="32"/>
  </w:num>
  <w:num w:numId="39" w16cid:durableId="986326787">
    <w:abstractNumId w:val="33"/>
  </w:num>
  <w:num w:numId="40" w16cid:durableId="1660958236">
    <w:abstractNumId w:val="16"/>
  </w:num>
  <w:num w:numId="41" w16cid:durableId="59378078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defaultTableStyle w:val="ListTable3-Accent2"/>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E0"/>
    <w:rsid w:val="00001648"/>
    <w:rsid w:val="00001F7F"/>
    <w:rsid w:val="00002125"/>
    <w:rsid w:val="000025F0"/>
    <w:rsid w:val="00002B4F"/>
    <w:rsid w:val="00003123"/>
    <w:rsid w:val="000035D5"/>
    <w:rsid w:val="00004084"/>
    <w:rsid w:val="00005AAC"/>
    <w:rsid w:val="00005C25"/>
    <w:rsid w:val="00007355"/>
    <w:rsid w:val="0000748B"/>
    <w:rsid w:val="00007654"/>
    <w:rsid w:val="000077D4"/>
    <w:rsid w:val="00007DA0"/>
    <w:rsid w:val="00010522"/>
    <w:rsid w:val="00010AD7"/>
    <w:rsid w:val="00011360"/>
    <w:rsid w:val="000118C2"/>
    <w:rsid w:val="00011A63"/>
    <w:rsid w:val="00011C91"/>
    <w:rsid w:val="000129A1"/>
    <w:rsid w:val="00012DBA"/>
    <w:rsid w:val="00013151"/>
    <w:rsid w:val="0001315E"/>
    <w:rsid w:val="00013213"/>
    <w:rsid w:val="00013704"/>
    <w:rsid w:val="0001382F"/>
    <w:rsid w:val="0001407C"/>
    <w:rsid w:val="000142FC"/>
    <w:rsid w:val="000150EF"/>
    <w:rsid w:val="00015ACD"/>
    <w:rsid w:val="00016B94"/>
    <w:rsid w:val="00017C15"/>
    <w:rsid w:val="00020693"/>
    <w:rsid w:val="00020AB1"/>
    <w:rsid w:val="0002185D"/>
    <w:rsid w:val="00021AB5"/>
    <w:rsid w:val="00021B57"/>
    <w:rsid w:val="0002212F"/>
    <w:rsid w:val="0002422C"/>
    <w:rsid w:val="0002494E"/>
    <w:rsid w:val="00024CD5"/>
    <w:rsid w:val="00025134"/>
    <w:rsid w:val="000251DA"/>
    <w:rsid w:val="000253FE"/>
    <w:rsid w:val="00025514"/>
    <w:rsid w:val="00025C81"/>
    <w:rsid w:val="0002615B"/>
    <w:rsid w:val="000269B3"/>
    <w:rsid w:val="000269FF"/>
    <w:rsid w:val="00026BC9"/>
    <w:rsid w:val="00026D07"/>
    <w:rsid w:val="00026F42"/>
    <w:rsid w:val="00026F97"/>
    <w:rsid w:val="00027067"/>
    <w:rsid w:val="00027138"/>
    <w:rsid w:val="0002748A"/>
    <w:rsid w:val="000279B2"/>
    <w:rsid w:val="00027BB9"/>
    <w:rsid w:val="00027CA9"/>
    <w:rsid w:val="00030701"/>
    <w:rsid w:val="00030EA0"/>
    <w:rsid w:val="00031508"/>
    <w:rsid w:val="0003162A"/>
    <w:rsid w:val="00031BC2"/>
    <w:rsid w:val="00031DDD"/>
    <w:rsid w:val="00032512"/>
    <w:rsid w:val="00032B59"/>
    <w:rsid w:val="0003317D"/>
    <w:rsid w:val="00033413"/>
    <w:rsid w:val="00033627"/>
    <w:rsid w:val="000338B5"/>
    <w:rsid w:val="000339F2"/>
    <w:rsid w:val="00034140"/>
    <w:rsid w:val="00034508"/>
    <w:rsid w:val="00034BA0"/>
    <w:rsid w:val="00034E83"/>
    <w:rsid w:val="00035062"/>
    <w:rsid w:val="00035B1A"/>
    <w:rsid w:val="00036DFF"/>
    <w:rsid w:val="00037221"/>
    <w:rsid w:val="00037472"/>
    <w:rsid w:val="000375C8"/>
    <w:rsid w:val="00037984"/>
    <w:rsid w:val="000401F2"/>
    <w:rsid w:val="00040E71"/>
    <w:rsid w:val="00040EF5"/>
    <w:rsid w:val="00041310"/>
    <w:rsid w:val="0004212C"/>
    <w:rsid w:val="00042138"/>
    <w:rsid w:val="00042AC2"/>
    <w:rsid w:val="00042E9D"/>
    <w:rsid w:val="00042F1D"/>
    <w:rsid w:val="000432B1"/>
    <w:rsid w:val="000434C9"/>
    <w:rsid w:val="00043791"/>
    <w:rsid w:val="000445C8"/>
    <w:rsid w:val="00044ABE"/>
    <w:rsid w:val="00044CC7"/>
    <w:rsid w:val="000451F5"/>
    <w:rsid w:val="0004545A"/>
    <w:rsid w:val="000455AE"/>
    <w:rsid w:val="000455FA"/>
    <w:rsid w:val="00045839"/>
    <w:rsid w:val="00045878"/>
    <w:rsid w:val="00045AA4"/>
    <w:rsid w:val="00045E33"/>
    <w:rsid w:val="00046732"/>
    <w:rsid w:val="00046850"/>
    <w:rsid w:val="0004689D"/>
    <w:rsid w:val="00046B96"/>
    <w:rsid w:val="00046EA0"/>
    <w:rsid w:val="000470B6"/>
    <w:rsid w:val="000470E2"/>
    <w:rsid w:val="00047817"/>
    <w:rsid w:val="000478BC"/>
    <w:rsid w:val="0005011D"/>
    <w:rsid w:val="00050AE6"/>
    <w:rsid w:val="00050ECE"/>
    <w:rsid w:val="00051548"/>
    <w:rsid w:val="0005186A"/>
    <w:rsid w:val="000521B3"/>
    <w:rsid w:val="000524D3"/>
    <w:rsid w:val="00052658"/>
    <w:rsid w:val="0005272C"/>
    <w:rsid w:val="00052861"/>
    <w:rsid w:val="00052D06"/>
    <w:rsid w:val="00052D42"/>
    <w:rsid w:val="000532FE"/>
    <w:rsid w:val="000538DD"/>
    <w:rsid w:val="0005401F"/>
    <w:rsid w:val="00054574"/>
    <w:rsid w:val="00055352"/>
    <w:rsid w:val="00055A61"/>
    <w:rsid w:val="00055B9E"/>
    <w:rsid w:val="000566F6"/>
    <w:rsid w:val="00056C55"/>
    <w:rsid w:val="000577C4"/>
    <w:rsid w:val="00057BCC"/>
    <w:rsid w:val="00057D17"/>
    <w:rsid w:val="00060144"/>
    <w:rsid w:val="00060312"/>
    <w:rsid w:val="00060CDF"/>
    <w:rsid w:val="00060ED9"/>
    <w:rsid w:val="000610C8"/>
    <w:rsid w:val="00061789"/>
    <w:rsid w:val="000617DA"/>
    <w:rsid w:val="00061CD1"/>
    <w:rsid w:val="00061D9E"/>
    <w:rsid w:val="000620FA"/>
    <w:rsid w:val="000631D5"/>
    <w:rsid w:val="00063AA2"/>
    <w:rsid w:val="0006427C"/>
    <w:rsid w:val="0006459C"/>
    <w:rsid w:val="00064A6B"/>
    <w:rsid w:val="00064A79"/>
    <w:rsid w:val="00064F0A"/>
    <w:rsid w:val="0006539F"/>
    <w:rsid w:val="00066056"/>
    <w:rsid w:val="00066393"/>
    <w:rsid w:val="000669BA"/>
    <w:rsid w:val="00066A4A"/>
    <w:rsid w:val="00066D68"/>
    <w:rsid w:val="00066E06"/>
    <w:rsid w:val="00067B8F"/>
    <w:rsid w:val="00067E19"/>
    <w:rsid w:val="00067EE4"/>
    <w:rsid w:val="00070B79"/>
    <w:rsid w:val="00070DDE"/>
    <w:rsid w:val="00070DF6"/>
    <w:rsid w:val="00071BA8"/>
    <w:rsid w:val="00071D54"/>
    <w:rsid w:val="00073072"/>
    <w:rsid w:val="000730B5"/>
    <w:rsid w:val="00073627"/>
    <w:rsid w:val="00073E9C"/>
    <w:rsid w:val="0007432F"/>
    <w:rsid w:val="00074354"/>
    <w:rsid w:val="000744C1"/>
    <w:rsid w:val="000746AE"/>
    <w:rsid w:val="00074733"/>
    <w:rsid w:val="00075B30"/>
    <w:rsid w:val="00075D37"/>
    <w:rsid w:val="00075D79"/>
    <w:rsid w:val="0007604D"/>
    <w:rsid w:val="00076167"/>
    <w:rsid w:val="0007737D"/>
    <w:rsid w:val="00077687"/>
    <w:rsid w:val="00077A86"/>
    <w:rsid w:val="00077A90"/>
    <w:rsid w:val="00077CE9"/>
    <w:rsid w:val="0008018B"/>
    <w:rsid w:val="000810AD"/>
    <w:rsid w:val="00081540"/>
    <w:rsid w:val="000815C8"/>
    <w:rsid w:val="00081C86"/>
    <w:rsid w:val="00081E61"/>
    <w:rsid w:val="00082552"/>
    <w:rsid w:val="00082A0D"/>
    <w:rsid w:val="00082CC2"/>
    <w:rsid w:val="000830BC"/>
    <w:rsid w:val="000831ED"/>
    <w:rsid w:val="00083D09"/>
    <w:rsid w:val="00084C86"/>
    <w:rsid w:val="000855DE"/>
    <w:rsid w:val="00085774"/>
    <w:rsid w:val="000861C4"/>
    <w:rsid w:val="00086E89"/>
    <w:rsid w:val="00087288"/>
    <w:rsid w:val="000877A0"/>
    <w:rsid w:val="0008797B"/>
    <w:rsid w:val="00087A24"/>
    <w:rsid w:val="00090179"/>
    <w:rsid w:val="000908B9"/>
    <w:rsid w:val="00090DB2"/>
    <w:rsid w:val="0009105C"/>
    <w:rsid w:val="00091A85"/>
    <w:rsid w:val="00092436"/>
    <w:rsid w:val="000924FB"/>
    <w:rsid w:val="00093266"/>
    <w:rsid w:val="00093E8D"/>
    <w:rsid w:val="00093F82"/>
    <w:rsid w:val="00094168"/>
    <w:rsid w:val="0009423B"/>
    <w:rsid w:val="000946E4"/>
    <w:rsid w:val="000954A4"/>
    <w:rsid w:val="000956F2"/>
    <w:rsid w:val="00095BA3"/>
    <w:rsid w:val="000964CC"/>
    <w:rsid w:val="00096C8E"/>
    <w:rsid w:val="00096E86"/>
    <w:rsid w:val="000A00EB"/>
    <w:rsid w:val="000A01F9"/>
    <w:rsid w:val="000A0308"/>
    <w:rsid w:val="000A15F7"/>
    <w:rsid w:val="000A1EAC"/>
    <w:rsid w:val="000A1EC1"/>
    <w:rsid w:val="000A1EF7"/>
    <w:rsid w:val="000A25C0"/>
    <w:rsid w:val="000A2B57"/>
    <w:rsid w:val="000A2BA8"/>
    <w:rsid w:val="000A2FF5"/>
    <w:rsid w:val="000A37D2"/>
    <w:rsid w:val="000A3849"/>
    <w:rsid w:val="000A388A"/>
    <w:rsid w:val="000A44A1"/>
    <w:rsid w:val="000A4C33"/>
    <w:rsid w:val="000A4EE6"/>
    <w:rsid w:val="000A50BE"/>
    <w:rsid w:val="000A50E2"/>
    <w:rsid w:val="000A5B38"/>
    <w:rsid w:val="000A612D"/>
    <w:rsid w:val="000A6142"/>
    <w:rsid w:val="000A6151"/>
    <w:rsid w:val="000A71FB"/>
    <w:rsid w:val="000A72AB"/>
    <w:rsid w:val="000A762B"/>
    <w:rsid w:val="000A76BB"/>
    <w:rsid w:val="000B01C9"/>
    <w:rsid w:val="000B032E"/>
    <w:rsid w:val="000B034D"/>
    <w:rsid w:val="000B0A8D"/>
    <w:rsid w:val="000B152E"/>
    <w:rsid w:val="000B198D"/>
    <w:rsid w:val="000B1CD7"/>
    <w:rsid w:val="000B2457"/>
    <w:rsid w:val="000B2A7C"/>
    <w:rsid w:val="000B3ECF"/>
    <w:rsid w:val="000B481F"/>
    <w:rsid w:val="000B4FE2"/>
    <w:rsid w:val="000B5528"/>
    <w:rsid w:val="000B55FB"/>
    <w:rsid w:val="000B5818"/>
    <w:rsid w:val="000B5B11"/>
    <w:rsid w:val="000B5C3D"/>
    <w:rsid w:val="000B5F0E"/>
    <w:rsid w:val="000B6043"/>
    <w:rsid w:val="000B65A2"/>
    <w:rsid w:val="000B6A0E"/>
    <w:rsid w:val="000B6C23"/>
    <w:rsid w:val="000B7DC0"/>
    <w:rsid w:val="000B7E54"/>
    <w:rsid w:val="000C02A5"/>
    <w:rsid w:val="000C0422"/>
    <w:rsid w:val="000C05DE"/>
    <w:rsid w:val="000C0A74"/>
    <w:rsid w:val="000C0C05"/>
    <w:rsid w:val="000C1244"/>
    <w:rsid w:val="000C20DF"/>
    <w:rsid w:val="000C2AB9"/>
    <w:rsid w:val="000C3476"/>
    <w:rsid w:val="000C3618"/>
    <w:rsid w:val="000C37E4"/>
    <w:rsid w:val="000C3DE4"/>
    <w:rsid w:val="000C46AA"/>
    <w:rsid w:val="000C4C75"/>
    <w:rsid w:val="000C4EB4"/>
    <w:rsid w:val="000C5483"/>
    <w:rsid w:val="000C55C5"/>
    <w:rsid w:val="000C63AF"/>
    <w:rsid w:val="000C6A66"/>
    <w:rsid w:val="000C6CCD"/>
    <w:rsid w:val="000C720B"/>
    <w:rsid w:val="000D0432"/>
    <w:rsid w:val="000D0641"/>
    <w:rsid w:val="000D0A68"/>
    <w:rsid w:val="000D0AF0"/>
    <w:rsid w:val="000D0C8E"/>
    <w:rsid w:val="000D1223"/>
    <w:rsid w:val="000D173F"/>
    <w:rsid w:val="000D1CE2"/>
    <w:rsid w:val="000D212B"/>
    <w:rsid w:val="000D2226"/>
    <w:rsid w:val="000D2C50"/>
    <w:rsid w:val="000D2D89"/>
    <w:rsid w:val="000D3BB5"/>
    <w:rsid w:val="000D481E"/>
    <w:rsid w:val="000D49E8"/>
    <w:rsid w:val="000D4F62"/>
    <w:rsid w:val="000D5B57"/>
    <w:rsid w:val="000D60F1"/>
    <w:rsid w:val="000D62FF"/>
    <w:rsid w:val="000D63D4"/>
    <w:rsid w:val="000D652C"/>
    <w:rsid w:val="000D66EC"/>
    <w:rsid w:val="000D6F2A"/>
    <w:rsid w:val="000D76DE"/>
    <w:rsid w:val="000D7D8D"/>
    <w:rsid w:val="000E066B"/>
    <w:rsid w:val="000E1117"/>
    <w:rsid w:val="000E127A"/>
    <w:rsid w:val="000E132D"/>
    <w:rsid w:val="000E16BF"/>
    <w:rsid w:val="000E2597"/>
    <w:rsid w:val="000E27BD"/>
    <w:rsid w:val="000E3488"/>
    <w:rsid w:val="000E3D79"/>
    <w:rsid w:val="000E40CF"/>
    <w:rsid w:val="000E4191"/>
    <w:rsid w:val="000E465A"/>
    <w:rsid w:val="000E57B7"/>
    <w:rsid w:val="000E5978"/>
    <w:rsid w:val="000E60FD"/>
    <w:rsid w:val="000E6AC1"/>
    <w:rsid w:val="000E6C8D"/>
    <w:rsid w:val="000E7044"/>
    <w:rsid w:val="000E72C2"/>
    <w:rsid w:val="000E7744"/>
    <w:rsid w:val="000E793D"/>
    <w:rsid w:val="000F00E2"/>
    <w:rsid w:val="000F064A"/>
    <w:rsid w:val="000F067C"/>
    <w:rsid w:val="000F06C2"/>
    <w:rsid w:val="000F0730"/>
    <w:rsid w:val="000F0841"/>
    <w:rsid w:val="000F0A7C"/>
    <w:rsid w:val="000F0B65"/>
    <w:rsid w:val="000F0CAB"/>
    <w:rsid w:val="000F154F"/>
    <w:rsid w:val="000F159D"/>
    <w:rsid w:val="000F198E"/>
    <w:rsid w:val="000F1CA2"/>
    <w:rsid w:val="000F1E88"/>
    <w:rsid w:val="000F1F3F"/>
    <w:rsid w:val="000F2058"/>
    <w:rsid w:val="000F2103"/>
    <w:rsid w:val="000F274E"/>
    <w:rsid w:val="000F2CD3"/>
    <w:rsid w:val="000F3008"/>
    <w:rsid w:val="000F3F4D"/>
    <w:rsid w:val="000F3F8F"/>
    <w:rsid w:val="000F4258"/>
    <w:rsid w:val="000F4679"/>
    <w:rsid w:val="000F4A35"/>
    <w:rsid w:val="000F4A93"/>
    <w:rsid w:val="000F4AA4"/>
    <w:rsid w:val="000F5027"/>
    <w:rsid w:val="000F5052"/>
    <w:rsid w:val="000F5308"/>
    <w:rsid w:val="000F550E"/>
    <w:rsid w:val="000F5636"/>
    <w:rsid w:val="000F582C"/>
    <w:rsid w:val="000F5986"/>
    <w:rsid w:val="000F5AD5"/>
    <w:rsid w:val="000F64FC"/>
    <w:rsid w:val="000F6C35"/>
    <w:rsid w:val="000F6CE8"/>
    <w:rsid w:val="000F70D6"/>
    <w:rsid w:val="000F722D"/>
    <w:rsid w:val="000F7357"/>
    <w:rsid w:val="000F7499"/>
    <w:rsid w:val="000F75B7"/>
    <w:rsid w:val="000F7647"/>
    <w:rsid w:val="000F7A66"/>
    <w:rsid w:val="00100321"/>
    <w:rsid w:val="001009CE"/>
    <w:rsid w:val="0010139F"/>
    <w:rsid w:val="00101EEB"/>
    <w:rsid w:val="00101F59"/>
    <w:rsid w:val="0010203C"/>
    <w:rsid w:val="00102632"/>
    <w:rsid w:val="00102816"/>
    <w:rsid w:val="00103088"/>
    <w:rsid w:val="00103933"/>
    <w:rsid w:val="0010393D"/>
    <w:rsid w:val="001039C3"/>
    <w:rsid w:val="0010417D"/>
    <w:rsid w:val="00104585"/>
    <w:rsid w:val="001046E6"/>
    <w:rsid w:val="0010478A"/>
    <w:rsid w:val="0010551D"/>
    <w:rsid w:val="00105521"/>
    <w:rsid w:val="00105752"/>
    <w:rsid w:val="0010622F"/>
    <w:rsid w:val="0010647B"/>
    <w:rsid w:val="00106720"/>
    <w:rsid w:val="00106B68"/>
    <w:rsid w:val="00110523"/>
    <w:rsid w:val="00110C56"/>
    <w:rsid w:val="00111CE1"/>
    <w:rsid w:val="00111DA4"/>
    <w:rsid w:val="001123A3"/>
    <w:rsid w:val="00112A28"/>
    <w:rsid w:val="00112CE4"/>
    <w:rsid w:val="001139BB"/>
    <w:rsid w:val="001143E5"/>
    <w:rsid w:val="00114678"/>
    <w:rsid w:val="00115048"/>
    <w:rsid w:val="001155ED"/>
    <w:rsid w:val="00115B38"/>
    <w:rsid w:val="00115DD9"/>
    <w:rsid w:val="00115F46"/>
    <w:rsid w:val="00117272"/>
    <w:rsid w:val="00117BF6"/>
    <w:rsid w:val="001202BE"/>
    <w:rsid w:val="001205BF"/>
    <w:rsid w:val="00120DFA"/>
    <w:rsid w:val="0012105E"/>
    <w:rsid w:val="00121BCA"/>
    <w:rsid w:val="00121CC8"/>
    <w:rsid w:val="00121DA8"/>
    <w:rsid w:val="0012201C"/>
    <w:rsid w:val="00122198"/>
    <w:rsid w:val="00122398"/>
    <w:rsid w:val="00122815"/>
    <w:rsid w:val="00122986"/>
    <w:rsid w:val="00122C4C"/>
    <w:rsid w:val="00122F07"/>
    <w:rsid w:val="00123970"/>
    <w:rsid w:val="00123ABC"/>
    <w:rsid w:val="00123B32"/>
    <w:rsid w:val="00123D8A"/>
    <w:rsid w:val="00124468"/>
    <w:rsid w:val="00124573"/>
    <w:rsid w:val="00124A7A"/>
    <w:rsid w:val="00125318"/>
    <w:rsid w:val="0012548A"/>
    <w:rsid w:val="00126448"/>
    <w:rsid w:val="00126902"/>
    <w:rsid w:val="00126AF9"/>
    <w:rsid w:val="00126CC0"/>
    <w:rsid w:val="001273A6"/>
    <w:rsid w:val="001275DA"/>
    <w:rsid w:val="001276CA"/>
    <w:rsid w:val="00127DFC"/>
    <w:rsid w:val="00130343"/>
    <w:rsid w:val="001305CC"/>
    <w:rsid w:val="00131060"/>
    <w:rsid w:val="001310D6"/>
    <w:rsid w:val="001310DA"/>
    <w:rsid w:val="00131667"/>
    <w:rsid w:val="00131EC8"/>
    <w:rsid w:val="001328FB"/>
    <w:rsid w:val="00133247"/>
    <w:rsid w:val="001332A4"/>
    <w:rsid w:val="001338AC"/>
    <w:rsid w:val="00133978"/>
    <w:rsid w:val="00133FD9"/>
    <w:rsid w:val="00134801"/>
    <w:rsid w:val="00134C34"/>
    <w:rsid w:val="00134CFE"/>
    <w:rsid w:val="00135175"/>
    <w:rsid w:val="0013581A"/>
    <w:rsid w:val="00135A1B"/>
    <w:rsid w:val="00135F36"/>
    <w:rsid w:val="0013624E"/>
    <w:rsid w:val="0013642A"/>
    <w:rsid w:val="0013642E"/>
    <w:rsid w:val="00136B3A"/>
    <w:rsid w:val="00136F6E"/>
    <w:rsid w:val="001374B1"/>
    <w:rsid w:val="001375AB"/>
    <w:rsid w:val="00140296"/>
    <w:rsid w:val="0014030E"/>
    <w:rsid w:val="00140B32"/>
    <w:rsid w:val="00140B38"/>
    <w:rsid w:val="00141302"/>
    <w:rsid w:val="0014143D"/>
    <w:rsid w:val="00141CBE"/>
    <w:rsid w:val="00141EB3"/>
    <w:rsid w:val="001425EA"/>
    <w:rsid w:val="001427F2"/>
    <w:rsid w:val="001429FC"/>
    <w:rsid w:val="00143413"/>
    <w:rsid w:val="00143423"/>
    <w:rsid w:val="00143600"/>
    <w:rsid w:val="00143C46"/>
    <w:rsid w:val="00144B9D"/>
    <w:rsid w:val="00144BE8"/>
    <w:rsid w:val="00144E06"/>
    <w:rsid w:val="00145227"/>
    <w:rsid w:val="001452F7"/>
    <w:rsid w:val="00145EC4"/>
    <w:rsid w:val="00146143"/>
    <w:rsid w:val="00146EE1"/>
    <w:rsid w:val="001474A0"/>
    <w:rsid w:val="00147894"/>
    <w:rsid w:val="00147C9F"/>
    <w:rsid w:val="00147F9E"/>
    <w:rsid w:val="00150220"/>
    <w:rsid w:val="001509F4"/>
    <w:rsid w:val="00150F2D"/>
    <w:rsid w:val="00151471"/>
    <w:rsid w:val="001514EA"/>
    <w:rsid w:val="0015153E"/>
    <w:rsid w:val="00151AFB"/>
    <w:rsid w:val="00151C3E"/>
    <w:rsid w:val="00151D00"/>
    <w:rsid w:val="00152639"/>
    <w:rsid w:val="00152956"/>
    <w:rsid w:val="00152A05"/>
    <w:rsid w:val="00153150"/>
    <w:rsid w:val="00153455"/>
    <w:rsid w:val="00153744"/>
    <w:rsid w:val="00155B1E"/>
    <w:rsid w:val="00156163"/>
    <w:rsid w:val="00156262"/>
    <w:rsid w:val="00156418"/>
    <w:rsid w:val="00156DAA"/>
    <w:rsid w:val="00156E39"/>
    <w:rsid w:val="00157339"/>
    <w:rsid w:val="0015780E"/>
    <w:rsid w:val="00157AC2"/>
    <w:rsid w:val="00157C1E"/>
    <w:rsid w:val="00160433"/>
    <w:rsid w:val="0016049C"/>
    <w:rsid w:val="001608A9"/>
    <w:rsid w:val="00160C1D"/>
    <w:rsid w:val="00161599"/>
    <w:rsid w:val="00162818"/>
    <w:rsid w:val="00162CF2"/>
    <w:rsid w:val="00163812"/>
    <w:rsid w:val="0016384E"/>
    <w:rsid w:val="00163D00"/>
    <w:rsid w:val="00163DCD"/>
    <w:rsid w:val="0016442C"/>
    <w:rsid w:val="001644D4"/>
    <w:rsid w:val="001648A1"/>
    <w:rsid w:val="001648A7"/>
    <w:rsid w:val="00164E3F"/>
    <w:rsid w:val="00165079"/>
    <w:rsid w:val="00165686"/>
    <w:rsid w:val="00165B44"/>
    <w:rsid w:val="00165F95"/>
    <w:rsid w:val="00166638"/>
    <w:rsid w:val="00166A7F"/>
    <w:rsid w:val="00166F73"/>
    <w:rsid w:val="00166FCE"/>
    <w:rsid w:val="0016727B"/>
    <w:rsid w:val="001677F0"/>
    <w:rsid w:val="001701D7"/>
    <w:rsid w:val="00170AAD"/>
    <w:rsid w:val="00170E36"/>
    <w:rsid w:val="0017100D"/>
    <w:rsid w:val="00171538"/>
    <w:rsid w:val="0017174F"/>
    <w:rsid w:val="00171B9C"/>
    <w:rsid w:val="00171D2E"/>
    <w:rsid w:val="00171E8F"/>
    <w:rsid w:val="001728CE"/>
    <w:rsid w:val="0017318F"/>
    <w:rsid w:val="00173381"/>
    <w:rsid w:val="001733F4"/>
    <w:rsid w:val="00173698"/>
    <w:rsid w:val="00173BF5"/>
    <w:rsid w:val="00173D9E"/>
    <w:rsid w:val="00173E51"/>
    <w:rsid w:val="00174513"/>
    <w:rsid w:val="001758C3"/>
    <w:rsid w:val="001760B4"/>
    <w:rsid w:val="00176FAC"/>
    <w:rsid w:val="00176FF1"/>
    <w:rsid w:val="001770B0"/>
    <w:rsid w:val="00177269"/>
    <w:rsid w:val="0017769F"/>
    <w:rsid w:val="00177736"/>
    <w:rsid w:val="001778DF"/>
    <w:rsid w:val="00177903"/>
    <w:rsid w:val="00177DAB"/>
    <w:rsid w:val="00180966"/>
    <w:rsid w:val="00180A76"/>
    <w:rsid w:val="001826C8"/>
    <w:rsid w:val="001828CA"/>
    <w:rsid w:val="00182945"/>
    <w:rsid w:val="00182B6E"/>
    <w:rsid w:val="00182EC0"/>
    <w:rsid w:val="00182FA8"/>
    <w:rsid w:val="0018376D"/>
    <w:rsid w:val="00183BE9"/>
    <w:rsid w:val="00183CAC"/>
    <w:rsid w:val="00184B43"/>
    <w:rsid w:val="00184D8D"/>
    <w:rsid w:val="001853F3"/>
    <w:rsid w:val="00185DDE"/>
    <w:rsid w:val="00185F10"/>
    <w:rsid w:val="00186070"/>
    <w:rsid w:val="00187454"/>
    <w:rsid w:val="0018759B"/>
    <w:rsid w:val="00187B53"/>
    <w:rsid w:val="00187C7A"/>
    <w:rsid w:val="00187CA5"/>
    <w:rsid w:val="00190339"/>
    <w:rsid w:val="00190569"/>
    <w:rsid w:val="001907D6"/>
    <w:rsid w:val="0019095A"/>
    <w:rsid w:val="0019121F"/>
    <w:rsid w:val="0019131E"/>
    <w:rsid w:val="0019196F"/>
    <w:rsid w:val="00192523"/>
    <w:rsid w:val="001932C7"/>
    <w:rsid w:val="0019338E"/>
    <w:rsid w:val="00193394"/>
    <w:rsid w:val="00193BD4"/>
    <w:rsid w:val="00193BE5"/>
    <w:rsid w:val="00194762"/>
    <w:rsid w:val="001954AB"/>
    <w:rsid w:val="00195648"/>
    <w:rsid w:val="00195814"/>
    <w:rsid w:val="00195B70"/>
    <w:rsid w:val="00196326"/>
    <w:rsid w:val="00196378"/>
    <w:rsid w:val="00197287"/>
    <w:rsid w:val="001A0189"/>
    <w:rsid w:val="001A0600"/>
    <w:rsid w:val="001A1035"/>
    <w:rsid w:val="001A10FB"/>
    <w:rsid w:val="001A168B"/>
    <w:rsid w:val="001A18A4"/>
    <w:rsid w:val="001A24D9"/>
    <w:rsid w:val="001A293E"/>
    <w:rsid w:val="001A29BA"/>
    <w:rsid w:val="001A2E0B"/>
    <w:rsid w:val="001A3B01"/>
    <w:rsid w:val="001A3D8D"/>
    <w:rsid w:val="001A3DE0"/>
    <w:rsid w:val="001A42E8"/>
    <w:rsid w:val="001A4F9D"/>
    <w:rsid w:val="001A4FED"/>
    <w:rsid w:val="001A50AA"/>
    <w:rsid w:val="001A5370"/>
    <w:rsid w:val="001A53B1"/>
    <w:rsid w:val="001A5495"/>
    <w:rsid w:val="001A5608"/>
    <w:rsid w:val="001A5A44"/>
    <w:rsid w:val="001A5B7F"/>
    <w:rsid w:val="001A6974"/>
    <w:rsid w:val="001A765E"/>
    <w:rsid w:val="001A7FE0"/>
    <w:rsid w:val="001B01B2"/>
    <w:rsid w:val="001B0457"/>
    <w:rsid w:val="001B08F0"/>
    <w:rsid w:val="001B0D74"/>
    <w:rsid w:val="001B0DA6"/>
    <w:rsid w:val="001B13A5"/>
    <w:rsid w:val="001B13D6"/>
    <w:rsid w:val="001B184A"/>
    <w:rsid w:val="001B199E"/>
    <w:rsid w:val="001B1CDC"/>
    <w:rsid w:val="001B212F"/>
    <w:rsid w:val="001B2CC3"/>
    <w:rsid w:val="001B33CD"/>
    <w:rsid w:val="001B3E94"/>
    <w:rsid w:val="001B4280"/>
    <w:rsid w:val="001B4994"/>
    <w:rsid w:val="001B4A8F"/>
    <w:rsid w:val="001B4F97"/>
    <w:rsid w:val="001B4FBD"/>
    <w:rsid w:val="001B50A7"/>
    <w:rsid w:val="001B57D9"/>
    <w:rsid w:val="001B5AA3"/>
    <w:rsid w:val="001B5F9A"/>
    <w:rsid w:val="001B669D"/>
    <w:rsid w:val="001B66C8"/>
    <w:rsid w:val="001B6A11"/>
    <w:rsid w:val="001B6DEE"/>
    <w:rsid w:val="001B74D5"/>
    <w:rsid w:val="001B76F0"/>
    <w:rsid w:val="001B7942"/>
    <w:rsid w:val="001C04B1"/>
    <w:rsid w:val="001C0674"/>
    <w:rsid w:val="001C06E9"/>
    <w:rsid w:val="001C0AFE"/>
    <w:rsid w:val="001C1542"/>
    <w:rsid w:val="001C18E5"/>
    <w:rsid w:val="001C1D39"/>
    <w:rsid w:val="001C2B37"/>
    <w:rsid w:val="001C2B92"/>
    <w:rsid w:val="001C30A4"/>
    <w:rsid w:val="001C32CB"/>
    <w:rsid w:val="001C33BD"/>
    <w:rsid w:val="001C38B3"/>
    <w:rsid w:val="001C3B88"/>
    <w:rsid w:val="001C457F"/>
    <w:rsid w:val="001C4BBD"/>
    <w:rsid w:val="001C52D0"/>
    <w:rsid w:val="001C59DC"/>
    <w:rsid w:val="001C5C0C"/>
    <w:rsid w:val="001C63A7"/>
    <w:rsid w:val="001C6665"/>
    <w:rsid w:val="001C672E"/>
    <w:rsid w:val="001C6D75"/>
    <w:rsid w:val="001C7129"/>
    <w:rsid w:val="001C749D"/>
    <w:rsid w:val="001C75A5"/>
    <w:rsid w:val="001C791C"/>
    <w:rsid w:val="001C7F6B"/>
    <w:rsid w:val="001D054E"/>
    <w:rsid w:val="001D09A5"/>
    <w:rsid w:val="001D11F4"/>
    <w:rsid w:val="001D179F"/>
    <w:rsid w:val="001D17C0"/>
    <w:rsid w:val="001D1843"/>
    <w:rsid w:val="001D2601"/>
    <w:rsid w:val="001D278B"/>
    <w:rsid w:val="001D28C3"/>
    <w:rsid w:val="001D2DCC"/>
    <w:rsid w:val="001D2F6A"/>
    <w:rsid w:val="001D3312"/>
    <w:rsid w:val="001D3841"/>
    <w:rsid w:val="001D3C5E"/>
    <w:rsid w:val="001D5057"/>
    <w:rsid w:val="001D50E4"/>
    <w:rsid w:val="001D58C8"/>
    <w:rsid w:val="001D5C5B"/>
    <w:rsid w:val="001D5E5A"/>
    <w:rsid w:val="001D6029"/>
    <w:rsid w:val="001D6E25"/>
    <w:rsid w:val="001D6EDE"/>
    <w:rsid w:val="001D741B"/>
    <w:rsid w:val="001D7525"/>
    <w:rsid w:val="001D7BF3"/>
    <w:rsid w:val="001D7D24"/>
    <w:rsid w:val="001E0006"/>
    <w:rsid w:val="001E0288"/>
    <w:rsid w:val="001E0365"/>
    <w:rsid w:val="001E0912"/>
    <w:rsid w:val="001E0F02"/>
    <w:rsid w:val="001E146B"/>
    <w:rsid w:val="001E1681"/>
    <w:rsid w:val="001E1B9F"/>
    <w:rsid w:val="001E1CC8"/>
    <w:rsid w:val="001E1E74"/>
    <w:rsid w:val="001E208B"/>
    <w:rsid w:val="001E25BB"/>
    <w:rsid w:val="001E2625"/>
    <w:rsid w:val="001E2991"/>
    <w:rsid w:val="001E2ABC"/>
    <w:rsid w:val="001E3634"/>
    <w:rsid w:val="001E3646"/>
    <w:rsid w:val="001E38FB"/>
    <w:rsid w:val="001E3A19"/>
    <w:rsid w:val="001E3B79"/>
    <w:rsid w:val="001E3D6A"/>
    <w:rsid w:val="001E40F3"/>
    <w:rsid w:val="001E4FCB"/>
    <w:rsid w:val="001E4FD8"/>
    <w:rsid w:val="001E51BC"/>
    <w:rsid w:val="001E5AE1"/>
    <w:rsid w:val="001E60B5"/>
    <w:rsid w:val="001E684E"/>
    <w:rsid w:val="001E6C86"/>
    <w:rsid w:val="001E76AE"/>
    <w:rsid w:val="001E76B1"/>
    <w:rsid w:val="001E7ECD"/>
    <w:rsid w:val="001F0075"/>
    <w:rsid w:val="001F049F"/>
    <w:rsid w:val="001F0636"/>
    <w:rsid w:val="001F0C7E"/>
    <w:rsid w:val="001F0F32"/>
    <w:rsid w:val="001F12F7"/>
    <w:rsid w:val="001F1684"/>
    <w:rsid w:val="001F1EE6"/>
    <w:rsid w:val="001F1FDB"/>
    <w:rsid w:val="001F21F5"/>
    <w:rsid w:val="001F31BE"/>
    <w:rsid w:val="001F32EA"/>
    <w:rsid w:val="001F4097"/>
    <w:rsid w:val="001F4ECC"/>
    <w:rsid w:val="001F5317"/>
    <w:rsid w:val="001F5A09"/>
    <w:rsid w:val="001F5B62"/>
    <w:rsid w:val="001F5E74"/>
    <w:rsid w:val="001F61AF"/>
    <w:rsid w:val="001F713C"/>
    <w:rsid w:val="001F7B6B"/>
    <w:rsid w:val="002002D6"/>
    <w:rsid w:val="002005CB"/>
    <w:rsid w:val="002008D6"/>
    <w:rsid w:val="00200B33"/>
    <w:rsid w:val="00202327"/>
    <w:rsid w:val="00204036"/>
    <w:rsid w:val="002043CE"/>
    <w:rsid w:val="00204D9B"/>
    <w:rsid w:val="00205D17"/>
    <w:rsid w:val="00205E26"/>
    <w:rsid w:val="00206352"/>
    <w:rsid w:val="002063DD"/>
    <w:rsid w:val="0020668C"/>
    <w:rsid w:val="002068B8"/>
    <w:rsid w:val="002068C6"/>
    <w:rsid w:val="00206BF3"/>
    <w:rsid w:val="00206BF6"/>
    <w:rsid w:val="00206F38"/>
    <w:rsid w:val="0020723F"/>
    <w:rsid w:val="0020781F"/>
    <w:rsid w:val="00207AAC"/>
    <w:rsid w:val="00207E85"/>
    <w:rsid w:val="00207EB9"/>
    <w:rsid w:val="00207FC4"/>
    <w:rsid w:val="0021008E"/>
    <w:rsid w:val="00210C2C"/>
    <w:rsid w:val="00210E02"/>
    <w:rsid w:val="00211839"/>
    <w:rsid w:val="002127F3"/>
    <w:rsid w:val="002129DC"/>
    <w:rsid w:val="002130A6"/>
    <w:rsid w:val="00213BE9"/>
    <w:rsid w:val="00213C2F"/>
    <w:rsid w:val="00213D8C"/>
    <w:rsid w:val="00214501"/>
    <w:rsid w:val="00214E07"/>
    <w:rsid w:val="00215282"/>
    <w:rsid w:val="0021550D"/>
    <w:rsid w:val="00216904"/>
    <w:rsid w:val="00216955"/>
    <w:rsid w:val="00216A3F"/>
    <w:rsid w:val="00216D40"/>
    <w:rsid w:val="0021785E"/>
    <w:rsid w:val="0021798C"/>
    <w:rsid w:val="00220664"/>
    <w:rsid w:val="00220860"/>
    <w:rsid w:val="00220A5D"/>
    <w:rsid w:val="00220B53"/>
    <w:rsid w:val="00220C7D"/>
    <w:rsid w:val="002219FF"/>
    <w:rsid w:val="00221DD8"/>
    <w:rsid w:val="00222085"/>
    <w:rsid w:val="002229F5"/>
    <w:rsid w:val="00223088"/>
    <w:rsid w:val="002242A7"/>
    <w:rsid w:val="002243CA"/>
    <w:rsid w:val="00225776"/>
    <w:rsid w:val="00225CC0"/>
    <w:rsid w:val="00225D03"/>
    <w:rsid w:val="00225D85"/>
    <w:rsid w:val="00225D86"/>
    <w:rsid w:val="00226203"/>
    <w:rsid w:val="00226257"/>
    <w:rsid w:val="00226452"/>
    <w:rsid w:val="002267AF"/>
    <w:rsid w:val="00226FFE"/>
    <w:rsid w:val="002301F7"/>
    <w:rsid w:val="002302A0"/>
    <w:rsid w:val="002306D8"/>
    <w:rsid w:val="00231474"/>
    <w:rsid w:val="002315B8"/>
    <w:rsid w:val="002317AA"/>
    <w:rsid w:val="00232002"/>
    <w:rsid w:val="0023227F"/>
    <w:rsid w:val="002324CC"/>
    <w:rsid w:val="002326EC"/>
    <w:rsid w:val="00232793"/>
    <w:rsid w:val="002331D3"/>
    <w:rsid w:val="00233296"/>
    <w:rsid w:val="002332FC"/>
    <w:rsid w:val="002334ED"/>
    <w:rsid w:val="00233D2C"/>
    <w:rsid w:val="00233F29"/>
    <w:rsid w:val="00234CB5"/>
    <w:rsid w:val="00235B12"/>
    <w:rsid w:val="00235B52"/>
    <w:rsid w:val="00235B58"/>
    <w:rsid w:val="00236207"/>
    <w:rsid w:val="00236289"/>
    <w:rsid w:val="002362EE"/>
    <w:rsid w:val="002367A2"/>
    <w:rsid w:val="00236A8C"/>
    <w:rsid w:val="00237ADA"/>
    <w:rsid w:val="0024010B"/>
    <w:rsid w:val="00240367"/>
    <w:rsid w:val="00240731"/>
    <w:rsid w:val="00240FC3"/>
    <w:rsid w:val="002410E3"/>
    <w:rsid w:val="00241652"/>
    <w:rsid w:val="00241895"/>
    <w:rsid w:val="00241EFA"/>
    <w:rsid w:val="002427EF"/>
    <w:rsid w:val="00242B64"/>
    <w:rsid w:val="002430E1"/>
    <w:rsid w:val="002438DC"/>
    <w:rsid w:val="00243EAE"/>
    <w:rsid w:val="002441BF"/>
    <w:rsid w:val="00244229"/>
    <w:rsid w:val="00244B50"/>
    <w:rsid w:val="0024509C"/>
    <w:rsid w:val="00245171"/>
    <w:rsid w:val="002451A5"/>
    <w:rsid w:val="00245258"/>
    <w:rsid w:val="002456AA"/>
    <w:rsid w:val="0024574A"/>
    <w:rsid w:val="00245CC8"/>
    <w:rsid w:val="00245DFB"/>
    <w:rsid w:val="00245F0C"/>
    <w:rsid w:val="002469DC"/>
    <w:rsid w:val="00246C68"/>
    <w:rsid w:val="00246F95"/>
    <w:rsid w:val="00247332"/>
    <w:rsid w:val="0025012E"/>
    <w:rsid w:val="002509F7"/>
    <w:rsid w:val="002516B8"/>
    <w:rsid w:val="002518C7"/>
    <w:rsid w:val="00251FDB"/>
    <w:rsid w:val="002520D9"/>
    <w:rsid w:val="00252434"/>
    <w:rsid w:val="00252546"/>
    <w:rsid w:val="00252864"/>
    <w:rsid w:val="00252AEA"/>
    <w:rsid w:val="00253076"/>
    <w:rsid w:val="00253155"/>
    <w:rsid w:val="002537C8"/>
    <w:rsid w:val="00253D82"/>
    <w:rsid w:val="0025462A"/>
    <w:rsid w:val="00254887"/>
    <w:rsid w:val="002549CF"/>
    <w:rsid w:val="00255963"/>
    <w:rsid w:val="00255E6A"/>
    <w:rsid w:val="002561B7"/>
    <w:rsid w:val="00256DF9"/>
    <w:rsid w:val="00257AE2"/>
    <w:rsid w:val="00257B8F"/>
    <w:rsid w:val="0026026E"/>
    <w:rsid w:val="00260555"/>
    <w:rsid w:val="00260C01"/>
    <w:rsid w:val="00260CA2"/>
    <w:rsid w:val="00260F0C"/>
    <w:rsid w:val="00261033"/>
    <w:rsid w:val="002613E1"/>
    <w:rsid w:val="00261C7F"/>
    <w:rsid w:val="002623FD"/>
    <w:rsid w:val="0026240B"/>
    <w:rsid w:val="00262DA4"/>
    <w:rsid w:val="002650AA"/>
    <w:rsid w:val="0026512C"/>
    <w:rsid w:val="002651C9"/>
    <w:rsid w:val="002652B5"/>
    <w:rsid w:val="00265705"/>
    <w:rsid w:val="00266682"/>
    <w:rsid w:val="002667F6"/>
    <w:rsid w:val="00267572"/>
    <w:rsid w:val="0026786C"/>
    <w:rsid w:val="00267886"/>
    <w:rsid w:val="00270335"/>
    <w:rsid w:val="00270613"/>
    <w:rsid w:val="002708E1"/>
    <w:rsid w:val="00270C39"/>
    <w:rsid w:val="0027105C"/>
    <w:rsid w:val="002711C5"/>
    <w:rsid w:val="0027132F"/>
    <w:rsid w:val="00272845"/>
    <w:rsid w:val="002728BA"/>
    <w:rsid w:val="00272946"/>
    <w:rsid w:val="00272D33"/>
    <w:rsid w:val="0027401C"/>
    <w:rsid w:val="002742AE"/>
    <w:rsid w:val="00274581"/>
    <w:rsid w:val="00274F33"/>
    <w:rsid w:val="00275164"/>
    <w:rsid w:val="00275B50"/>
    <w:rsid w:val="00276036"/>
    <w:rsid w:val="002760C5"/>
    <w:rsid w:val="0027688D"/>
    <w:rsid w:val="00276D44"/>
    <w:rsid w:val="002772CE"/>
    <w:rsid w:val="002778F0"/>
    <w:rsid w:val="00277980"/>
    <w:rsid w:val="00277C74"/>
    <w:rsid w:val="0028076B"/>
    <w:rsid w:val="00280BAB"/>
    <w:rsid w:val="00281CBD"/>
    <w:rsid w:val="0028222C"/>
    <w:rsid w:val="0028353D"/>
    <w:rsid w:val="00283E8D"/>
    <w:rsid w:val="00284133"/>
    <w:rsid w:val="002844E7"/>
    <w:rsid w:val="00284E62"/>
    <w:rsid w:val="002853AB"/>
    <w:rsid w:val="00285593"/>
    <w:rsid w:val="002855E9"/>
    <w:rsid w:val="002859AF"/>
    <w:rsid w:val="00285C63"/>
    <w:rsid w:val="002865A1"/>
    <w:rsid w:val="00286735"/>
    <w:rsid w:val="002869FC"/>
    <w:rsid w:val="00286B1A"/>
    <w:rsid w:val="00286B61"/>
    <w:rsid w:val="00286F06"/>
    <w:rsid w:val="0028702F"/>
    <w:rsid w:val="002874DA"/>
    <w:rsid w:val="00287929"/>
    <w:rsid w:val="00290715"/>
    <w:rsid w:val="00290F46"/>
    <w:rsid w:val="002911C2"/>
    <w:rsid w:val="002918EE"/>
    <w:rsid w:val="00291E3B"/>
    <w:rsid w:val="00291FE7"/>
    <w:rsid w:val="00292016"/>
    <w:rsid w:val="00292804"/>
    <w:rsid w:val="0029367C"/>
    <w:rsid w:val="00293CCD"/>
    <w:rsid w:val="00294375"/>
    <w:rsid w:val="002965FF"/>
    <w:rsid w:val="0029690E"/>
    <w:rsid w:val="00296F7A"/>
    <w:rsid w:val="002972AA"/>
    <w:rsid w:val="00297BB4"/>
    <w:rsid w:val="00297E6F"/>
    <w:rsid w:val="002A0532"/>
    <w:rsid w:val="002A05C2"/>
    <w:rsid w:val="002A0B8F"/>
    <w:rsid w:val="002A0F1F"/>
    <w:rsid w:val="002A18A9"/>
    <w:rsid w:val="002A18E1"/>
    <w:rsid w:val="002A24EA"/>
    <w:rsid w:val="002A2C01"/>
    <w:rsid w:val="002A2C6C"/>
    <w:rsid w:val="002A3AC0"/>
    <w:rsid w:val="002A3B10"/>
    <w:rsid w:val="002A3CDB"/>
    <w:rsid w:val="002A43C7"/>
    <w:rsid w:val="002A45AB"/>
    <w:rsid w:val="002A632E"/>
    <w:rsid w:val="002A6799"/>
    <w:rsid w:val="002A730E"/>
    <w:rsid w:val="002A77D9"/>
    <w:rsid w:val="002A7841"/>
    <w:rsid w:val="002A78BA"/>
    <w:rsid w:val="002B01EF"/>
    <w:rsid w:val="002B0279"/>
    <w:rsid w:val="002B0B43"/>
    <w:rsid w:val="002B0CF0"/>
    <w:rsid w:val="002B0D50"/>
    <w:rsid w:val="002B10E0"/>
    <w:rsid w:val="002B1F78"/>
    <w:rsid w:val="002B295C"/>
    <w:rsid w:val="002B2EB0"/>
    <w:rsid w:val="002B350D"/>
    <w:rsid w:val="002B3C02"/>
    <w:rsid w:val="002B407B"/>
    <w:rsid w:val="002B4626"/>
    <w:rsid w:val="002B4D83"/>
    <w:rsid w:val="002B5015"/>
    <w:rsid w:val="002B6A55"/>
    <w:rsid w:val="002B70D3"/>
    <w:rsid w:val="002B7897"/>
    <w:rsid w:val="002C0088"/>
    <w:rsid w:val="002C0132"/>
    <w:rsid w:val="002C133E"/>
    <w:rsid w:val="002C1755"/>
    <w:rsid w:val="002C1961"/>
    <w:rsid w:val="002C1CD9"/>
    <w:rsid w:val="002C1E89"/>
    <w:rsid w:val="002C25BD"/>
    <w:rsid w:val="002C2EFB"/>
    <w:rsid w:val="002C339A"/>
    <w:rsid w:val="002C3B54"/>
    <w:rsid w:val="002C3E58"/>
    <w:rsid w:val="002C433B"/>
    <w:rsid w:val="002C444C"/>
    <w:rsid w:val="002C49DF"/>
    <w:rsid w:val="002C51F8"/>
    <w:rsid w:val="002C60EF"/>
    <w:rsid w:val="002C6D1D"/>
    <w:rsid w:val="002C7229"/>
    <w:rsid w:val="002C76AC"/>
    <w:rsid w:val="002C78B3"/>
    <w:rsid w:val="002D0464"/>
    <w:rsid w:val="002D08C2"/>
    <w:rsid w:val="002D0EB6"/>
    <w:rsid w:val="002D1349"/>
    <w:rsid w:val="002D18BF"/>
    <w:rsid w:val="002D1A39"/>
    <w:rsid w:val="002D1F19"/>
    <w:rsid w:val="002D1FD4"/>
    <w:rsid w:val="002D24D2"/>
    <w:rsid w:val="002D2556"/>
    <w:rsid w:val="002D359E"/>
    <w:rsid w:val="002D3FC6"/>
    <w:rsid w:val="002D421B"/>
    <w:rsid w:val="002D4459"/>
    <w:rsid w:val="002D522F"/>
    <w:rsid w:val="002D5396"/>
    <w:rsid w:val="002D5C7A"/>
    <w:rsid w:val="002D6280"/>
    <w:rsid w:val="002D6796"/>
    <w:rsid w:val="002D6849"/>
    <w:rsid w:val="002D71B5"/>
    <w:rsid w:val="002D7749"/>
    <w:rsid w:val="002D780D"/>
    <w:rsid w:val="002D7F2E"/>
    <w:rsid w:val="002D7F5D"/>
    <w:rsid w:val="002D7FF4"/>
    <w:rsid w:val="002E04E1"/>
    <w:rsid w:val="002E066D"/>
    <w:rsid w:val="002E0681"/>
    <w:rsid w:val="002E0695"/>
    <w:rsid w:val="002E06D5"/>
    <w:rsid w:val="002E0871"/>
    <w:rsid w:val="002E0AFD"/>
    <w:rsid w:val="002E0EFA"/>
    <w:rsid w:val="002E0FEB"/>
    <w:rsid w:val="002E1022"/>
    <w:rsid w:val="002E1705"/>
    <w:rsid w:val="002E1BF6"/>
    <w:rsid w:val="002E22EA"/>
    <w:rsid w:val="002E2FA9"/>
    <w:rsid w:val="002E332D"/>
    <w:rsid w:val="002E39E5"/>
    <w:rsid w:val="002E460F"/>
    <w:rsid w:val="002E47E0"/>
    <w:rsid w:val="002E4842"/>
    <w:rsid w:val="002E507B"/>
    <w:rsid w:val="002E6709"/>
    <w:rsid w:val="002E6866"/>
    <w:rsid w:val="002E688E"/>
    <w:rsid w:val="002E6A76"/>
    <w:rsid w:val="002E7497"/>
    <w:rsid w:val="002E7BDD"/>
    <w:rsid w:val="002E7BFF"/>
    <w:rsid w:val="002E7C4A"/>
    <w:rsid w:val="002E7C98"/>
    <w:rsid w:val="002E7D20"/>
    <w:rsid w:val="002F088E"/>
    <w:rsid w:val="002F0F4E"/>
    <w:rsid w:val="002F12C2"/>
    <w:rsid w:val="002F135E"/>
    <w:rsid w:val="002F15E3"/>
    <w:rsid w:val="002F1BE6"/>
    <w:rsid w:val="002F1FD7"/>
    <w:rsid w:val="002F29A8"/>
    <w:rsid w:val="002F2B64"/>
    <w:rsid w:val="002F32F5"/>
    <w:rsid w:val="002F3424"/>
    <w:rsid w:val="002F38CA"/>
    <w:rsid w:val="002F3A85"/>
    <w:rsid w:val="002F3B8B"/>
    <w:rsid w:val="002F4ADA"/>
    <w:rsid w:val="002F4C7B"/>
    <w:rsid w:val="002F52DA"/>
    <w:rsid w:val="002F54E4"/>
    <w:rsid w:val="002F577D"/>
    <w:rsid w:val="002F58D4"/>
    <w:rsid w:val="002F5B58"/>
    <w:rsid w:val="002F69A5"/>
    <w:rsid w:val="002F7028"/>
    <w:rsid w:val="002F70F3"/>
    <w:rsid w:val="002F7828"/>
    <w:rsid w:val="002F79A9"/>
    <w:rsid w:val="002F7B98"/>
    <w:rsid w:val="003007C5"/>
    <w:rsid w:val="00300F17"/>
    <w:rsid w:val="00301C8B"/>
    <w:rsid w:val="00301CDD"/>
    <w:rsid w:val="00301ED4"/>
    <w:rsid w:val="00303047"/>
    <w:rsid w:val="00303D49"/>
    <w:rsid w:val="00303E3C"/>
    <w:rsid w:val="00303F76"/>
    <w:rsid w:val="003040BD"/>
    <w:rsid w:val="003040F1"/>
    <w:rsid w:val="00304A13"/>
    <w:rsid w:val="00304F08"/>
    <w:rsid w:val="00305004"/>
    <w:rsid w:val="003051AD"/>
    <w:rsid w:val="003054FA"/>
    <w:rsid w:val="00305CF4"/>
    <w:rsid w:val="00305E3F"/>
    <w:rsid w:val="00305E73"/>
    <w:rsid w:val="00305FEC"/>
    <w:rsid w:val="003062E5"/>
    <w:rsid w:val="0030632B"/>
    <w:rsid w:val="0030635C"/>
    <w:rsid w:val="00306439"/>
    <w:rsid w:val="00306A3D"/>
    <w:rsid w:val="00306B9C"/>
    <w:rsid w:val="00310AE8"/>
    <w:rsid w:val="003110BC"/>
    <w:rsid w:val="0031115A"/>
    <w:rsid w:val="0031122B"/>
    <w:rsid w:val="003117CD"/>
    <w:rsid w:val="00311D7E"/>
    <w:rsid w:val="003124ED"/>
    <w:rsid w:val="003129D3"/>
    <w:rsid w:val="00312BA2"/>
    <w:rsid w:val="003134B7"/>
    <w:rsid w:val="00313818"/>
    <w:rsid w:val="00313F6B"/>
    <w:rsid w:val="003140B9"/>
    <w:rsid w:val="00314609"/>
    <w:rsid w:val="0031497C"/>
    <w:rsid w:val="00314F0F"/>
    <w:rsid w:val="00316257"/>
    <w:rsid w:val="003167C0"/>
    <w:rsid w:val="00317BEA"/>
    <w:rsid w:val="00317C02"/>
    <w:rsid w:val="00320041"/>
    <w:rsid w:val="003203F7"/>
    <w:rsid w:val="00320447"/>
    <w:rsid w:val="00320A8D"/>
    <w:rsid w:val="00320BF4"/>
    <w:rsid w:val="00321202"/>
    <w:rsid w:val="0032171E"/>
    <w:rsid w:val="003218B0"/>
    <w:rsid w:val="003221E5"/>
    <w:rsid w:val="00322355"/>
    <w:rsid w:val="0032243B"/>
    <w:rsid w:val="003230C4"/>
    <w:rsid w:val="00324A2F"/>
    <w:rsid w:val="00324AE3"/>
    <w:rsid w:val="0032534B"/>
    <w:rsid w:val="00325CD2"/>
    <w:rsid w:val="00326809"/>
    <w:rsid w:val="00326932"/>
    <w:rsid w:val="00326CF7"/>
    <w:rsid w:val="00326ECC"/>
    <w:rsid w:val="00327A54"/>
    <w:rsid w:val="00327D14"/>
    <w:rsid w:val="00327FF0"/>
    <w:rsid w:val="00330155"/>
    <w:rsid w:val="0033091C"/>
    <w:rsid w:val="0033092B"/>
    <w:rsid w:val="00331370"/>
    <w:rsid w:val="00331AEA"/>
    <w:rsid w:val="00332312"/>
    <w:rsid w:val="0033255D"/>
    <w:rsid w:val="003326BF"/>
    <w:rsid w:val="00332D61"/>
    <w:rsid w:val="00332D98"/>
    <w:rsid w:val="00332E29"/>
    <w:rsid w:val="00333312"/>
    <w:rsid w:val="00333526"/>
    <w:rsid w:val="00333797"/>
    <w:rsid w:val="00333983"/>
    <w:rsid w:val="00335048"/>
    <w:rsid w:val="0033508A"/>
    <w:rsid w:val="003354FF"/>
    <w:rsid w:val="00336226"/>
    <w:rsid w:val="00336F75"/>
    <w:rsid w:val="003371B8"/>
    <w:rsid w:val="0033735E"/>
    <w:rsid w:val="003376E1"/>
    <w:rsid w:val="00337976"/>
    <w:rsid w:val="00337FD2"/>
    <w:rsid w:val="003404AA"/>
    <w:rsid w:val="003405FA"/>
    <w:rsid w:val="00340D66"/>
    <w:rsid w:val="003410AD"/>
    <w:rsid w:val="00341958"/>
    <w:rsid w:val="00341A6A"/>
    <w:rsid w:val="00341B0B"/>
    <w:rsid w:val="0034220B"/>
    <w:rsid w:val="003424E1"/>
    <w:rsid w:val="00342E31"/>
    <w:rsid w:val="00343304"/>
    <w:rsid w:val="003436FE"/>
    <w:rsid w:val="00343888"/>
    <w:rsid w:val="003438F3"/>
    <w:rsid w:val="00343A2B"/>
    <w:rsid w:val="00343F5B"/>
    <w:rsid w:val="003444E2"/>
    <w:rsid w:val="003448F7"/>
    <w:rsid w:val="003449B7"/>
    <w:rsid w:val="003459A4"/>
    <w:rsid w:val="00346447"/>
    <w:rsid w:val="00346636"/>
    <w:rsid w:val="00346785"/>
    <w:rsid w:val="00346964"/>
    <w:rsid w:val="00346C4B"/>
    <w:rsid w:val="00346D35"/>
    <w:rsid w:val="00346D79"/>
    <w:rsid w:val="00346EB1"/>
    <w:rsid w:val="00347740"/>
    <w:rsid w:val="0034786B"/>
    <w:rsid w:val="00347EDD"/>
    <w:rsid w:val="00350344"/>
    <w:rsid w:val="00350AB3"/>
    <w:rsid w:val="003519CC"/>
    <w:rsid w:val="003520D7"/>
    <w:rsid w:val="00352171"/>
    <w:rsid w:val="00352AE8"/>
    <w:rsid w:val="00352DC6"/>
    <w:rsid w:val="003534CC"/>
    <w:rsid w:val="00353767"/>
    <w:rsid w:val="00353789"/>
    <w:rsid w:val="00353D3A"/>
    <w:rsid w:val="00354849"/>
    <w:rsid w:val="00354C26"/>
    <w:rsid w:val="00354DB0"/>
    <w:rsid w:val="0035505C"/>
    <w:rsid w:val="00355538"/>
    <w:rsid w:val="0035598A"/>
    <w:rsid w:val="00355A65"/>
    <w:rsid w:val="00355EBD"/>
    <w:rsid w:val="00356778"/>
    <w:rsid w:val="0035680C"/>
    <w:rsid w:val="00357156"/>
    <w:rsid w:val="003575D5"/>
    <w:rsid w:val="00357682"/>
    <w:rsid w:val="00357CCB"/>
    <w:rsid w:val="00360340"/>
    <w:rsid w:val="00360922"/>
    <w:rsid w:val="00360C88"/>
    <w:rsid w:val="003615E7"/>
    <w:rsid w:val="003617F2"/>
    <w:rsid w:val="00361805"/>
    <w:rsid w:val="00361BC0"/>
    <w:rsid w:val="00362242"/>
    <w:rsid w:val="003622F5"/>
    <w:rsid w:val="00362354"/>
    <w:rsid w:val="0036282A"/>
    <w:rsid w:val="00362DA6"/>
    <w:rsid w:val="00363424"/>
    <w:rsid w:val="00363903"/>
    <w:rsid w:val="00363D07"/>
    <w:rsid w:val="00363FEB"/>
    <w:rsid w:val="0036420E"/>
    <w:rsid w:val="003648AC"/>
    <w:rsid w:val="003655F8"/>
    <w:rsid w:val="00365AE5"/>
    <w:rsid w:val="00365F3D"/>
    <w:rsid w:val="0036641E"/>
    <w:rsid w:val="00366548"/>
    <w:rsid w:val="0036761D"/>
    <w:rsid w:val="00367885"/>
    <w:rsid w:val="00367C34"/>
    <w:rsid w:val="00367CE3"/>
    <w:rsid w:val="00370525"/>
    <w:rsid w:val="003716D5"/>
    <w:rsid w:val="003718A2"/>
    <w:rsid w:val="00371981"/>
    <w:rsid w:val="00371984"/>
    <w:rsid w:val="00371C0B"/>
    <w:rsid w:val="00372468"/>
    <w:rsid w:val="003726F1"/>
    <w:rsid w:val="00372722"/>
    <w:rsid w:val="00372994"/>
    <w:rsid w:val="00372F76"/>
    <w:rsid w:val="003737EE"/>
    <w:rsid w:val="00373812"/>
    <w:rsid w:val="0037398E"/>
    <w:rsid w:val="00373B5D"/>
    <w:rsid w:val="003748CC"/>
    <w:rsid w:val="00374EE8"/>
    <w:rsid w:val="0037501A"/>
    <w:rsid w:val="003752C8"/>
    <w:rsid w:val="00375BCA"/>
    <w:rsid w:val="00377E3D"/>
    <w:rsid w:val="00377F59"/>
    <w:rsid w:val="00380367"/>
    <w:rsid w:val="003807A5"/>
    <w:rsid w:val="00381DC5"/>
    <w:rsid w:val="00381FE8"/>
    <w:rsid w:val="00382F06"/>
    <w:rsid w:val="0038304A"/>
    <w:rsid w:val="00383212"/>
    <w:rsid w:val="00383262"/>
    <w:rsid w:val="00383615"/>
    <w:rsid w:val="0038371F"/>
    <w:rsid w:val="003844C7"/>
    <w:rsid w:val="00384A48"/>
    <w:rsid w:val="00384C72"/>
    <w:rsid w:val="00384E76"/>
    <w:rsid w:val="00385CEC"/>
    <w:rsid w:val="00386774"/>
    <w:rsid w:val="00386A1F"/>
    <w:rsid w:val="00386B4A"/>
    <w:rsid w:val="00386E91"/>
    <w:rsid w:val="0038754C"/>
    <w:rsid w:val="00387877"/>
    <w:rsid w:val="00387A45"/>
    <w:rsid w:val="00387ED4"/>
    <w:rsid w:val="00390F3D"/>
    <w:rsid w:val="00391294"/>
    <w:rsid w:val="00391B9F"/>
    <w:rsid w:val="00392D9E"/>
    <w:rsid w:val="00393C3F"/>
    <w:rsid w:val="00394194"/>
    <w:rsid w:val="00395013"/>
    <w:rsid w:val="003956A7"/>
    <w:rsid w:val="003957B6"/>
    <w:rsid w:val="003957E9"/>
    <w:rsid w:val="003967C5"/>
    <w:rsid w:val="00396C85"/>
    <w:rsid w:val="003975A2"/>
    <w:rsid w:val="0039789F"/>
    <w:rsid w:val="00397971"/>
    <w:rsid w:val="003A0059"/>
    <w:rsid w:val="003A06AF"/>
    <w:rsid w:val="003A0726"/>
    <w:rsid w:val="003A0CD1"/>
    <w:rsid w:val="003A0EF9"/>
    <w:rsid w:val="003A110E"/>
    <w:rsid w:val="003A13FA"/>
    <w:rsid w:val="003A1789"/>
    <w:rsid w:val="003A2BF7"/>
    <w:rsid w:val="003A320E"/>
    <w:rsid w:val="003A42F9"/>
    <w:rsid w:val="003A445D"/>
    <w:rsid w:val="003A446F"/>
    <w:rsid w:val="003A4AFC"/>
    <w:rsid w:val="003A558F"/>
    <w:rsid w:val="003A5E3D"/>
    <w:rsid w:val="003A6064"/>
    <w:rsid w:val="003A6CB0"/>
    <w:rsid w:val="003A6CD4"/>
    <w:rsid w:val="003A7291"/>
    <w:rsid w:val="003A7645"/>
    <w:rsid w:val="003A7715"/>
    <w:rsid w:val="003A7C3B"/>
    <w:rsid w:val="003A7FF5"/>
    <w:rsid w:val="003B00C9"/>
    <w:rsid w:val="003B05AA"/>
    <w:rsid w:val="003B0934"/>
    <w:rsid w:val="003B0D97"/>
    <w:rsid w:val="003B115D"/>
    <w:rsid w:val="003B14F9"/>
    <w:rsid w:val="003B1B7E"/>
    <w:rsid w:val="003B31AB"/>
    <w:rsid w:val="003B3D19"/>
    <w:rsid w:val="003B3DA7"/>
    <w:rsid w:val="003B3E81"/>
    <w:rsid w:val="003B4392"/>
    <w:rsid w:val="003B4532"/>
    <w:rsid w:val="003B4771"/>
    <w:rsid w:val="003B4A64"/>
    <w:rsid w:val="003B4AE4"/>
    <w:rsid w:val="003B528A"/>
    <w:rsid w:val="003B541C"/>
    <w:rsid w:val="003B54F5"/>
    <w:rsid w:val="003B5796"/>
    <w:rsid w:val="003B5DE5"/>
    <w:rsid w:val="003B61EE"/>
    <w:rsid w:val="003B63A5"/>
    <w:rsid w:val="003B646D"/>
    <w:rsid w:val="003B65E5"/>
    <w:rsid w:val="003B71F5"/>
    <w:rsid w:val="003B7774"/>
    <w:rsid w:val="003B778E"/>
    <w:rsid w:val="003C0184"/>
    <w:rsid w:val="003C0412"/>
    <w:rsid w:val="003C092A"/>
    <w:rsid w:val="003C0B5A"/>
    <w:rsid w:val="003C113D"/>
    <w:rsid w:val="003C14AD"/>
    <w:rsid w:val="003C1D00"/>
    <w:rsid w:val="003C20F4"/>
    <w:rsid w:val="003C227D"/>
    <w:rsid w:val="003C2788"/>
    <w:rsid w:val="003C2809"/>
    <w:rsid w:val="003C356A"/>
    <w:rsid w:val="003C386F"/>
    <w:rsid w:val="003C3D2A"/>
    <w:rsid w:val="003C401F"/>
    <w:rsid w:val="003C48B9"/>
    <w:rsid w:val="003C4D0B"/>
    <w:rsid w:val="003C4EC3"/>
    <w:rsid w:val="003C50F2"/>
    <w:rsid w:val="003C584D"/>
    <w:rsid w:val="003C62FB"/>
    <w:rsid w:val="003C6AC7"/>
    <w:rsid w:val="003C7E9B"/>
    <w:rsid w:val="003C7EBB"/>
    <w:rsid w:val="003D0628"/>
    <w:rsid w:val="003D0AA3"/>
    <w:rsid w:val="003D11CA"/>
    <w:rsid w:val="003D1FA1"/>
    <w:rsid w:val="003D1FB4"/>
    <w:rsid w:val="003D293E"/>
    <w:rsid w:val="003D3899"/>
    <w:rsid w:val="003D39CC"/>
    <w:rsid w:val="003D3B4E"/>
    <w:rsid w:val="003D3C2C"/>
    <w:rsid w:val="003D3D84"/>
    <w:rsid w:val="003D43A6"/>
    <w:rsid w:val="003D46F8"/>
    <w:rsid w:val="003D49D1"/>
    <w:rsid w:val="003D5068"/>
    <w:rsid w:val="003D5165"/>
    <w:rsid w:val="003D56BF"/>
    <w:rsid w:val="003D5E35"/>
    <w:rsid w:val="003D5E70"/>
    <w:rsid w:val="003D5ED2"/>
    <w:rsid w:val="003D615E"/>
    <w:rsid w:val="003D6B29"/>
    <w:rsid w:val="003D6FA8"/>
    <w:rsid w:val="003D7B70"/>
    <w:rsid w:val="003D7C63"/>
    <w:rsid w:val="003E03A4"/>
    <w:rsid w:val="003E06AB"/>
    <w:rsid w:val="003E0E47"/>
    <w:rsid w:val="003E12E8"/>
    <w:rsid w:val="003E138F"/>
    <w:rsid w:val="003E1727"/>
    <w:rsid w:val="003E2DAA"/>
    <w:rsid w:val="003E30D6"/>
    <w:rsid w:val="003E345B"/>
    <w:rsid w:val="003E381F"/>
    <w:rsid w:val="003E3A54"/>
    <w:rsid w:val="003E4971"/>
    <w:rsid w:val="003E50E9"/>
    <w:rsid w:val="003E5181"/>
    <w:rsid w:val="003E544E"/>
    <w:rsid w:val="003E590F"/>
    <w:rsid w:val="003E5D39"/>
    <w:rsid w:val="003E607B"/>
    <w:rsid w:val="003E60C0"/>
    <w:rsid w:val="003E6162"/>
    <w:rsid w:val="003E6EAB"/>
    <w:rsid w:val="003E6EB4"/>
    <w:rsid w:val="003E6F7F"/>
    <w:rsid w:val="003E6FE5"/>
    <w:rsid w:val="003E7204"/>
    <w:rsid w:val="003E7735"/>
    <w:rsid w:val="003F0899"/>
    <w:rsid w:val="003F0F4D"/>
    <w:rsid w:val="003F111E"/>
    <w:rsid w:val="003F1272"/>
    <w:rsid w:val="003F13C1"/>
    <w:rsid w:val="003F167D"/>
    <w:rsid w:val="003F19D9"/>
    <w:rsid w:val="003F1A04"/>
    <w:rsid w:val="003F2285"/>
    <w:rsid w:val="003F26DA"/>
    <w:rsid w:val="003F3002"/>
    <w:rsid w:val="003F3856"/>
    <w:rsid w:val="003F3BEB"/>
    <w:rsid w:val="003F3CF3"/>
    <w:rsid w:val="003F3DF2"/>
    <w:rsid w:val="003F53E2"/>
    <w:rsid w:val="003F5772"/>
    <w:rsid w:val="003F5831"/>
    <w:rsid w:val="003F5B6E"/>
    <w:rsid w:val="003F6297"/>
    <w:rsid w:val="003F6749"/>
    <w:rsid w:val="003F6CE7"/>
    <w:rsid w:val="003F7188"/>
    <w:rsid w:val="003F7CA4"/>
    <w:rsid w:val="00400593"/>
    <w:rsid w:val="00400CC9"/>
    <w:rsid w:val="00401939"/>
    <w:rsid w:val="00401DB3"/>
    <w:rsid w:val="00401EEC"/>
    <w:rsid w:val="00401F32"/>
    <w:rsid w:val="004025D2"/>
    <w:rsid w:val="0040269D"/>
    <w:rsid w:val="00402B29"/>
    <w:rsid w:val="00402EAD"/>
    <w:rsid w:val="00403580"/>
    <w:rsid w:val="004035CE"/>
    <w:rsid w:val="00403B0E"/>
    <w:rsid w:val="004046D3"/>
    <w:rsid w:val="004047E6"/>
    <w:rsid w:val="00404B81"/>
    <w:rsid w:val="00404BF0"/>
    <w:rsid w:val="00404CBB"/>
    <w:rsid w:val="00404F2B"/>
    <w:rsid w:val="004050A6"/>
    <w:rsid w:val="00405B5C"/>
    <w:rsid w:val="00405DFA"/>
    <w:rsid w:val="00405E48"/>
    <w:rsid w:val="00405E93"/>
    <w:rsid w:val="0040621A"/>
    <w:rsid w:val="00407675"/>
    <w:rsid w:val="004076F9"/>
    <w:rsid w:val="0040773A"/>
    <w:rsid w:val="004077AD"/>
    <w:rsid w:val="00407998"/>
    <w:rsid w:val="00407EBA"/>
    <w:rsid w:val="00410795"/>
    <w:rsid w:val="00410C29"/>
    <w:rsid w:val="00410DD0"/>
    <w:rsid w:val="00411193"/>
    <w:rsid w:val="00411592"/>
    <w:rsid w:val="00411B49"/>
    <w:rsid w:val="00411D63"/>
    <w:rsid w:val="0041202E"/>
    <w:rsid w:val="00412058"/>
    <w:rsid w:val="00412086"/>
    <w:rsid w:val="004121D0"/>
    <w:rsid w:val="0041256C"/>
    <w:rsid w:val="004126A9"/>
    <w:rsid w:val="00412DFB"/>
    <w:rsid w:val="004132FB"/>
    <w:rsid w:val="004136BB"/>
    <w:rsid w:val="00413AF2"/>
    <w:rsid w:val="00413D91"/>
    <w:rsid w:val="00413E14"/>
    <w:rsid w:val="00414787"/>
    <w:rsid w:val="004147CC"/>
    <w:rsid w:val="00415906"/>
    <w:rsid w:val="00415B2E"/>
    <w:rsid w:val="00415CC3"/>
    <w:rsid w:val="004161C7"/>
    <w:rsid w:val="00416CAE"/>
    <w:rsid w:val="004176E8"/>
    <w:rsid w:val="00417A99"/>
    <w:rsid w:val="00417E69"/>
    <w:rsid w:val="00420687"/>
    <w:rsid w:val="004211BD"/>
    <w:rsid w:val="00421581"/>
    <w:rsid w:val="004217CB"/>
    <w:rsid w:val="00421CBE"/>
    <w:rsid w:val="00421FFC"/>
    <w:rsid w:val="004221E1"/>
    <w:rsid w:val="00422294"/>
    <w:rsid w:val="00422880"/>
    <w:rsid w:val="00422AFE"/>
    <w:rsid w:val="00422BA7"/>
    <w:rsid w:val="004232CC"/>
    <w:rsid w:val="004236E6"/>
    <w:rsid w:val="00423E45"/>
    <w:rsid w:val="00423E82"/>
    <w:rsid w:val="004240F9"/>
    <w:rsid w:val="0042466C"/>
    <w:rsid w:val="00424719"/>
    <w:rsid w:val="0042497E"/>
    <w:rsid w:val="004249A0"/>
    <w:rsid w:val="004249D3"/>
    <w:rsid w:val="00425452"/>
    <w:rsid w:val="0042657F"/>
    <w:rsid w:val="00426A51"/>
    <w:rsid w:val="00426DE1"/>
    <w:rsid w:val="00427506"/>
    <w:rsid w:val="00427E24"/>
    <w:rsid w:val="00427E5C"/>
    <w:rsid w:val="00427F2F"/>
    <w:rsid w:val="00430E07"/>
    <w:rsid w:val="00430F64"/>
    <w:rsid w:val="00431EEE"/>
    <w:rsid w:val="0043220E"/>
    <w:rsid w:val="00432406"/>
    <w:rsid w:val="00432BA1"/>
    <w:rsid w:val="004332AE"/>
    <w:rsid w:val="00433B91"/>
    <w:rsid w:val="004347DA"/>
    <w:rsid w:val="00434832"/>
    <w:rsid w:val="004352B7"/>
    <w:rsid w:val="00435760"/>
    <w:rsid w:val="00435C2B"/>
    <w:rsid w:val="00435D71"/>
    <w:rsid w:val="004360CE"/>
    <w:rsid w:val="00436463"/>
    <w:rsid w:val="0043668F"/>
    <w:rsid w:val="00436A7B"/>
    <w:rsid w:val="0043704E"/>
    <w:rsid w:val="00437599"/>
    <w:rsid w:val="00437974"/>
    <w:rsid w:val="00437E10"/>
    <w:rsid w:val="004402BE"/>
    <w:rsid w:val="00440962"/>
    <w:rsid w:val="00441716"/>
    <w:rsid w:val="0044211A"/>
    <w:rsid w:val="004421FB"/>
    <w:rsid w:val="00442906"/>
    <w:rsid w:val="004429A4"/>
    <w:rsid w:val="00443B98"/>
    <w:rsid w:val="00443F74"/>
    <w:rsid w:val="00444737"/>
    <w:rsid w:val="0044656F"/>
    <w:rsid w:val="00446CE0"/>
    <w:rsid w:val="00446DCE"/>
    <w:rsid w:val="00446DF4"/>
    <w:rsid w:val="00447E40"/>
    <w:rsid w:val="00447FCA"/>
    <w:rsid w:val="004510B4"/>
    <w:rsid w:val="00451FC4"/>
    <w:rsid w:val="00452086"/>
    <w:rsid w:val="00452153"/>
    <w:rsid w:val="0045230A"/>
    <w:rsid w:val="004525EE"/>
    <w:rsid w:val="004527AE"/>
    <w:rsid w:val="00452B5C"/>
    <w:rsid w:val="00452DC8"/>
    <w:rsid w:val="00452DDA"/>
    <w:rsid w:val="00452DE6"/>
    <w:rsid w:val="0045308C"/>
    <w:rsid w:val="0045328C"/>
    <w:rsid w:val="004534C3"/>
    <w:rsid w:val="00453E2B"/>
    <w:rsid w:val="00453EA2"/>
    <w:rsid w:val="00453F71"/>
    <w:rsid w:val="0045464D"/>
    <w:rsid w:val="00454EE4"/>
    <w:rsid w:val="00456D22"/>
    <w:rsid w:val="004570C8"/>
    <w:rsid w:val="00457195"/>
    <w:rsid w:val="004572D0"/>
    <w:rsid w:val="004604F6"/>
    <w:rsid w:val="00460E1F"/>
    <w:rsid w:val="00460F0B"/>
    <w:rsid w:val="004617DB"/>
    <w:rsid w:val="00461BEC"/>
    <w:rsid w:val="00462336"/>
    <w:rsid w:val="00462403"/>
    <w:rsid w:val="00462465"/>
    <w:rsid w:val="00462D94"/>
    <w:rsid w:val="004634C5"/>
    <w:rsid w:val="00463588"/>
    <w:rsid w:val="004642B9"/>
    <w:rsid w:val="00464641"/>
    <w:rsid w:val="00464B61"/>
    <w:rsid w:val="004657E3"/>
    <w:rsid w:val="004661C0"/>
    <w:rsid w:val="00466746"/>
    <w:rsid w:val="004668B7"/>
    <w:rsid w:val="00466D48"/>
    <w:rsid w:val="00467BCC"/>
    <w:rsid w:val="00467CDD"/>
    <w:rsid w:val="00470481"/>
    <w:rsid w:val="00470871"/>
    <w:rsid w:val="0047246C"/>
    <w:rsid w:val="004729C1"/>
    <w:rsid w:val="00472E52"/>
    <w:rsid w:val="0047367B"/>
    <w:rsid w:val="00473FE7"/>
    <w:rsid w:val="00474504"/>
    <w:rsid w:val="00475588"/>
    <w:rsid w:val="004755D9"/>
    <w:rsid w:val="00475608"/>
    <w:rsid w:val="00475CDF"/>
    <w:rsid w:val="00475F90"/>
    <w:rsid w:val="00476668"/>
    <w:rsid w:val="00476689"/>
    <w:rsid w:val="00476997"/>
    <w:rsid w:val="00476D3B"/>
    <w:rsid w:val="004770E0"/>
    <w:rsid w:val="004777E5"/>
    <w:rsid w:val="00477906"/>
    <w:rsid w:val="00477D2B"/>
    <w:rsid w:val="00480385"/>
    <w:rsid w:val="0048062C"/>
    <w:rsid w:val="00480DCE"/>
    <w:rsid w:val="00481440"/>
    <w:rsid w:val="00481633"/>
    <w:rsid w:val="00481E37"/>
    <w:rsid w:val="00482290"/>
    <w:rsid w:val="004823BD"/>
    <w:rsid w:val="004828FD"/>
    <w:rsid w:val="00483063"/>
    <w:rsid w:val="0048307A"/>
    <w:rsid w:val="00483256"/>
    <w:rsid w:val="00483675"/>
    <w:rsid w:val="00483990"/>
    <w:rsid w:val="00483CE6"/>
    <w:rsid w:val="004853FD"/>
    <w:rsid w:val="0048542D"/>
    <w:rsid w:val="0048557F"/>
    <w:rsid w:val="00486025"/>
    <w:rsid w:val="004874E7"/>
    <w:rsid w:val="004878E5"/>
    <w:rsid w:val="00487BAA"/>
    <w:rsid w:val="00487CF0"/>
    <w:rsid w:val="00490BDD"/>
    <w:rsid w:val="00491EC1"/>
    <w:rsid w:val="00492759"/>
    <w:rsid w:val="00493060"/>
    <w:rsid w:val="004930D7"/>
    <w:rsid w:val="00493893"/>
    <w:rsid w:val="00493FA5"/>
    <w:rsid w:val="00494054"/>
    <w:rsid w:val="00494566"/>
    <w:rsid w:val="0049487E"/>
    <w:rsid w:val="00494D38"/>
    <w:rsid w:val="00494DA6"/>
    <w:rsid w:val="00495013"/>
    <w:rsid w:val="0049503B"/>
    <w:rsid w:val="00495E3A"/>
    <w:rsid w:val="00496087"/>
    <w:rsid w:val="004960DD"/>
    <w:rsid w:val="00496268"/>
    <w:rsid w:val="00496364"/>
    <w:rsid w:val="00497AAD"/>
    <w:rsid w:val="00497B3E"/>
    <w:rsid w:val="004A04A2"/>
    <w:rsid w:val="004A0523"/>
    <w:rsid w:val="004A0922"/>
    <w:rsid w:val="004A0C0E"/>
    <w:rsid w:val="004A0EB7"/>
    <w:rsid w:val="004A13B6"/>
    <w:rsid w:val="004A13D6"/>
    <w:rsid w:val="004A20B3"/>
    <w:rsid w:val="004A312A"/>
    <w:rsid w:val="004A3F78"/>
    <w:rsid w:val="004A4457"/>
    <w:rsid w:val="004A4504"/>
    <w:rsid w:val="004A5320"/>
    <w:rsid w:val="004A54B8"/>
    <w:rsid w:val="004A5720"/>
    <w:rsid w:val="004A58F7"/>
    <w:rsid w:val="004A5AB6"/>
    <w:rsid w:val="004A5BFD"/>
    <w:rsid w:val="004A5F5C"/>
    <w:rsid w:val="004A6AC5"/>
    <w:rsid w:val="004A6ADF"/>
    <w:rsid w:val="004A6B7A"/>
    <w:rsid w:val="004A6C99"/>
    <w:rsid w:val="004A6E95"/>
    <w:rsid w:val="004A733D"/>
    <w:rsid w:val="004A73E2"/>
    <w:rsid w:val="004A780F"/>
    <w:rsid w:val="004B0F4E"/>
    <w:rsid w:val="004B1562"/>
    <w:rsid w:val="004B16CE"/>
    <w:rsid w:val="004B198C"/>
    <w:rsid w:val="004B1E4C"/>
    <w:rsid w:val="004B2066"/>
    <w:rsid w:val="004B28E7"/>
    <w:rsid w:val="004B3FE6"/>
    <w:rsid w:val="004B4015"/>
    <w:rsid w:val="004B4490"/>
    <w:rsid w:val="004B49BE"/>
    <w:rsid w:val="004B52EA"/>
    <w:rsid w:val="004B5C2F"/>
    <w:rsid w:val="004B5C72"/>
    <w:rsid w:val="004B5C75"/>
    <w:rsid w:val="004B6A6C"/>
    <w:rsid w:val="004B6CCE"/>
    <w:rsid w:val="004B7005"/>
    <w:rsid w:val="004B7329"/>
    <w:rsid w:val="004B7761"/>
    <w:rsid w:val="004C02EF"/>
    <w:rsid w:val="004C03E0"/>
    <w:rsid w:val="004C18EC"/>
    <w:rsid w:val="004C1997"/>
    <w:rsid w:val="004C290F"/>
    <w:rsid w:val="004C2ADC"/>
    <w:rsid w:val="004C2BDC"/>
    <w:rsid w:val="004C34B5"/>
    <w:rsid w:val="004C3860"/>
    <w:rsid w:val="004C3B20"/>
    <w:rsid w:val="004C3BB2"/>
    <w:rsid w:val="004C3E97"/>
    <w:rsid w:val="004C40FF"/>
    <w:rsid w:val="004C4734"/>
    <w:rsid w:val="004C51D4"/>
    <w:rsid w:val="004C5243"/>
    <w:rsid w:val="004C5309"/>
    <w:rsid w:val="004C5538"/>
    <w:rsid w:val="004C560B"/>
    <w:rsid w:val="004C598F"/>
    <w:rsid w:val="004C5EDF"/>
    <w:rsid w:val="004C6085"/>
    <w:rsid w:val="004C6108"/>
    <w:rsid w:val="004C721E"/>
    <w:rsid w:val="004C75AF"/>
    <w:rsid w:val="004C7CD6"/>
    <w:rsid w:val="004C7FE7"/>
    <w:rsid w:val="004D009C"/>
    <w:rsid w:val="004D02B5"/>
    <w:rsid w:val="004D0D6B"/>
    <w:rsid w:val="004D0E2D"/>
    <w:rsid w:val="004D11D9"/>
    <w:rsid w:val="004D153A"/>
    <w:rsid w:val="004D1848"/>
    <w:rsid w:val="004D18A3"/>
    <w:rsid w:val="004D1ABE"/>
    <w:rsid w:val="004D214F"/>
    <w:rsid w:val="004D2445"/>
    <w:rsid w:val="004D2A59"/>
    <w:rsid w:val="004D2A68"/>
    <w:rsid w:val="004D2ADF"/>
    <w:rsid w:val="004D2B44"/>
    <w:rsid w:val="004D2C45"/>
    <w:rsid w:val="004D4F99"/>
    <w:rsid w:val="004D53AE"/>
    <w:rsid w:val="004D5AF1"/>
    <w:rsid w:val="004D60B9"/>
    <w:rsid w:val="004D6923"/>
    <w:rsid w:val="004D7176"/>
    <w:rsid w:val="004D7476"/>
    <w:rsid w:val="004D7DE3"/>
    <w:rsid w:val="004E0073"/>
    <w:rsid w:val="004E0AC4"/>
    <w:rsid w:val="004E0AE3"/>
    <w:rsid w:val="004E0CFC"/>
    <w:rsid w:val="004E0E55"/>
    <w:rsid w:val="004E1590"/>
    <w:rsid w:val="004E1678"/>
    <w:rsid w:val="004E17A8"/>
    <w:rsid w:val="004E1C50"/>
    <w:rsid w:val="004E1F31"/>
    <w:rsid w:val="004E24F7"/>
    <w:rsid w:val="004E2653"/>
    <w:rsid w:val="004E26D3"/>
    <w:rsid w:val="004E2F12"/>
    <w:rsid w:val="004E3725"/>
    <w:rsid w:val="004E3A0C"/>
    <w:rsid w:val="004E462E"/>
    <w:rsid w:val="004E4778"/>
    <w:rsid w:val="004E49B2"/>
    <w:rsid w:val="004E4B41"/>
    <w:rsid w:val="004E664C"/>
    <w:rsid w:val="004E6B57"/>
    <w:rsid w:val="004E710C"/>
    <w:rsid w:val="004E7418"/>
    <w:rsid w:val="004E7A1C"/>
    <w:rsid w:val="004F0332"/>
    <w:rsid w:val="004F0800"/>
    <w:rsid w:val="004F0FBA"/>
    <w:rsid w:val="004F1256"/>
    <w:rsid w:val="004F13B7"/>
    <w:rsid w:val="004F19BF"/>
    <w:rsid w:val="004F1B66"/>
    <w:rsid w:val="004F1F64"/>
    <w:rsid w:val="004F271D"/>
    <w:rsid w:val="004F2C77"/>
    <w:rsid w:val="004F38CE"/>
    <w:rsid w:val="004F3CD2"/>
    <w:rsid w:val="004F433C"/>
    <w:rsid w:val="004F4A86"/>
    <w:rsid w:val="004F4E9C"/>
    <w:rsid w:val="004F50A5"/>
    <w:rsid w:val="004F547F"/>
    <w:rsid w:val="004F5D99"/>
    <w:rsid w:val="004F648F"/>
    <w:rsid w:val="004F6521"/>
    <w:rsid w:val="004F6987"/>
    <w:rsid w:val="004F6994"/>
    <w:rsid w:val="00500205"/>
    <w:rsid w:val="005008FE"/>
    <w:rsid w:val="00500CC1"/>
    <w:rsid w:val="0050107E"/>
    <w:rsid w:val="0050116E"/>
    <w:rsid w:val="0050138C"/>
    <w:rsid w:val="0050156B"/>
    <w:rsid w:val="0050181A"/>
    <w:rsid w:val="005023A3"/>
    <w:rsid w:val="005024A1"/>
    <w:rsid w:val="005024B3"/>
    <w:rsid w:val="005033A6"/>
    <w:rsid w:val="00503D67"/>
    <w:rsid w:val="00503E5D"/>
    <w:rsid w:val="0050401D"/>
    <w:rsid w:val="00504027"/>
    <w:rsid w:val="00504066"/>
    <w:rsid w:val="0050433A"/>
    <w:rsid w:val="00504852"/>
    <w:rsid w:val="00504C22"/>
    <w:rsid w:val="005052AE"/>
    <w:rsid w:val="005062DB"/>
    <w:rsid w:val="005063E3"/>
    <w:rsid w:val="00506E36"/>
    <w:rsid w:val="0050727B"/>
    <w:rsid w:val="0050731C"/>
    <w:rsid w:val="00507331"/>
    <w:rsid w:val="00507584"/>
    <w:rsid w:val="0051001E"/>
    <w:rsid w:val="00510157"/>
    <w:rsid w:val="0051035D"/>
    <w:rsid w:val="0051072E"/>
    <w:rsid w:val="0051079A"/>
    <w:rsid w:val="00510FAB"/>
    <w:rsid w:val="00511A82"/>
    <w:rsid w:val="0051214B"/>
    <w:rsid w:val="00512243"/>
    <w:rsid w:val="00512B03"/>
    <w:rsid w:val="00514132"/>
    <w:rsid w:val="00514411"/>
    <w:rsid w:val="00514842"/>
    <w:rsid w:val="00514E2D"/>
    <w:rsid w:val="005153A7"/>
    <w:rsid w:val="00515772"/>
    <w:rsid w:val="00516135"/>
    <w:rsid w:val="005161D4"/>
    <w:rsid w:val="005174F1"/>
    <w:rsid w:val="00517E48"/>
    <w:rsid w:val="00517FD1"/>
    <w:rsid w:val="00520521"/>
    <w:rsid w:val="005211D6"/>
    <w:rsid w:val="005212B5"/>
    <w:rsid w:val="0052138E"/>
    <w:rsid w:val="0052187B"/>
    <w:rsid w:val="00521FC2"/>
    <w:rsid w:val="005222DB"/>
    <w:rsid w:val="005229E3"/>
    <w:rsid w:val="00523582"/>
    <w:rsid w:val="00523B40"/>
    <w:rsid w:val="00523D19"/>
    <w:rsid w:val="0052476F"/>
    <w:rsid w:val="00524B7D"/>
    <w:rsid w:val="00524CEE"/>
    <w:rsid w:val="00524E23"/>
    <w:rsid w:val="00525177"/>
    <w:rsid w:val="00525B1A"/>
    <w:rsid w:val="00525B36"/>
    <w:rsid w:val="00525C67"/>
    <w:rsid w:val="00525E9E"/>
    <w:rsid w:val="005260F9"/>
    <w:rsid w:val="00526C39"/>
    <w:rsid w:val="00527471"/>
    <w:rsid w:val="005274BB"/>
    <w:rsid w:val="005276F3"/>
    <w:rsid w:val="00527B69"/>
    <w:rsid w:val="005316DA"/>
    <w:rsid w:val="00531AC9"/>
    <w:rsid w:val="00531BCC"/>
    <w:rsid w:val="00531DB2"/>
    <w:rsid w:val="00532887"/>
    <w:rsid w:val="00532CC1"/>
    <w:rsid w:val="00532EC9"/>
    <w:rsid w:val="00533340"/>
    <w:rsid w:val="00533667"/>
    <w:rsid w:val="0053402E"/>
    <w:rsid w:val="00534281"/>
    <w:rsid w:val="00534EE7"/>
    <w:rsid w:val="00535716"/>
    <w:rsid w:val="00535ABB"/>
    <w:rsid w:val="00535ED9"/>
    <w:rsid w:val="0053605D"/>
    <w:rsid w:val="005363AB"/>
    <w:rsid w:val="0053667B"/>
    <w:rsid w:val="00536DEC"/>
    <w:rsid w:val="00540652"/>
    <w:rsid w:val="0054099E"/>
    <w:rsid w:val="00540B5A"/>
    <w:rsid w:val="00541437"/>
    <w:rsid w:val="005415B4"/>
    <w:rsid w:val="00541AA3"/>
    <w:rsid w:val="00541E44"/>
    <w:rsid w:val="005422DA"/>
    <w:rsid w:val="00542FDD"/>
    <w:rsid w:val="00543028"/>
    <w:rsid w:val="00543285"/>
    <w:rsid w:val="0054336E"/>
    <w:rsid w:val="0054398D"/>
    <w:rsid w:val="00544AA9"/>
    <w:rsid w:val="00544C50"/>
    <w:rsid w:val="00544C94"/>
    <w:rsid w:val="00544D3A"/>
    <w:rsid w:val="00545069"/>
    <w:rsid w:val="0054521E"/>
    <w:rsid w:val="00545231"/>
    <w:rsid w:val="00545BBA"/>
    <w:rsid w:val="005462AF"/>
    <w:rsid w:val="00547419"/>
    <w:rsid w:val="00547B3A"/>
    <w:rsid w:val="00547D1C"/>
    <w:rsid w:val="00547E75"/>
    <w:rsid w:val="005502F8"/>
    <w:rsid w:val="00550540"/>
    <w:rsid w:val="005508AC"/>
    <w:rsid w:val="00550FD8"/>
    <w:rsid w:val="005516AA"/>
    <w:rsid w:val="005516DE"/>
    <w:rsid w:val="00551779"/>
    <w:rsid w:val="00551AE8"/>
    <w:rsid w:val="00553800"/>
    <w:rsid w:val="0055465D"/>
    <w:rsid w:val="005549EA"/>
    <w:rsid w:val="0055502E"/>
    <w:rsid w:val="0055528B"/>
    <w:rsid w:val="00555426"/>
    <w:rsid w:val="00555549"/>
    <w:rsid w:val="00555A50"/>
    <w:rsid w:val="0055601D"/>
    <w:rsid w:val="005563D9"/>
    <w:rsid w:val="00556DC2"/>
    <w:rsid w:val="00557732"/>
    <w:rsid w:val="00557942"/>
    <w:rsid w:val="00557A3B"/>
    <w:rsid w:val="00557DB5"/>
    <w:rsid w:val="005600F7"/>
    <w:rsid w:val="00560579"/>
    <w:rsid w:val="0056068C"/>
    <w:rsid w:val="00560D3C"/>
    <w:rsid w:val="005612AC"/>
    <w:rsid w:val="0056216E"/>
    <w:rsid w:val="005621ED"/>
    <w:rsid w:val="00562769"/>
    <w:rsid w:val="005627EC"/>
    <w:rsid w:val="00562BCD"/>
    <w:rsid w:val="005642C2"/>
    <w:rsid w:val="005645D6"/>
    <w:rsid w:val="00564810"/>
    <w:rsid w:val="0056484D"/>
    <w:rsid w:val="00564935"/>
    <w:rsid w:val="00564975"/>
    <w:rsid w:val="00564E31"/>
    <w:rsid w:val="00565152"/>
    <w:rsid w:val="00565538"/>
    <w:rsid w:val="00565705"/>
    <w:rsid w:val="00565855"/>
    <w:rsid w:val="00565BA4"/>
    <w:rsid w:val="00566C20"/>
    <w:rsid w:val="00566F89"/>
    <w:rsid w:val="00567619"/>
    <w:rsid w:val="005676EE"/>
    <w:rsid w:val="005678B4"/>
    <w:rsid w:val="00567E2B"/>
    <w:rsid w:val="00567FB8"/>
    <w:rsid w:val="005704EF"/>
    <w:rsid w:val="00570C8B"/>
    <w:rsid w:val="00570E18"/>
    <w:rsid w:val="005710DA"/>
    <w:rsid w:val="0057133B"/>
    <w:rsid w:val="00571934"/>
    <w:rsid w:val="00571F4C"/>
    <w:rsid w:val="0057204E"/>
    <w:rsid w:val="005722E9"/>
    <w:rsid w:val="0057255C"/>
    <w:rsid w:val="0057330C"/>
    <w:rsid w:val="00573DCC"/>
    <w:rsid w:val="00573E30"/>
    <w:rsid w:val="00574743"/>
    <w:rsid w:val="00574DAF"/>
    <w:rsid w:val="00575125"/>
    <w:rsid w:val="005755A3"/>
    <w:rsid w:val="00575B25"/>
    <w:rsid w:val="00575F08"/>
    <w:rsid w:val="0057672B"/>
    <w:rsid w:val="00576802"/>
    <w:rsid w:val="00577485"/>
    <w:rsid w:val="005777F6"/>
    <w:rsid w:val="00577A2C"/>
    <w:rsid w:val="00577AB9"/>
    <w:rsid w:val="0058036C"/>
    <w:rsid w:val="00580388"/>
    <w:rsid w:val="00580918"/>
    <w:rsid w:val="00580D1B"/>
    <w:rsid w:val="005810BC"/>
    <w:rsid w:val="005818EF"/>
    <w:rsid w:val="0058287F"/>
    <w:rsid w:val="00582C16"/>
    <w:rsid w:val="005832D8"/>
    <w:rsid w:val="00583D91"/>
    <w:rsid w:val="00583E20"/>
    <w:rsid w:val="005841E7"/>
    <w:rsid w:val="00584670"/>
    <w:rsid w:val="00584C37"/>
    <w:rsid w:val="00584DA8"/>
    <w:rsid w:val="00584E67"/>
    <w:rsid w:val="005850E7"/>
    <w:rsid w:val="0058591A"/>
    <w:rsid w:val="00585F65"/>
    <w:rsid w:val="00586780"/>
    <w:rsid w:val="00586E5F"/>
    <w:rsid w:val="00586E97"/>
    <w:rsid w:val="00586F81"/>
    <w:rsid w:val="0058763B"/>
    <w:rsid w:val="005876F6"/>
    <w:rsid w:val="00587DDD"/>
    <w:rsid w:val="005900DF"/>
    <w:rsid w:val="005903FC"/>
    <w:rsid w:val="00590512"/>
    <w:rsid w:val="005905A3"/>
    <w:rsid w:val="00590A7C"/>
    <w:rsid w:val="005915DA"/>
    <w:rsid w:val="005918F9"/>
    <w:rsid w:val="00592300"/>
    <w:rsid w:val="005930AF"/>
    <w:rsid w:val="00593B18"/>
    <w:rsid w:val="00594830"/>
    <w:rsid w:val="00595CC0"/>
    <w:rsid w:val="00595FB5"/>
    <w:rsid w:val="0059628C"/>
    <w:rsid w:val="005963AE"/>
    <w:rsid w:val="00596B35"/>
    <w:rsid w:val="00597ACA"/>
    <w:rsid w:val="00597DAA"/>
    <w:rsid w:val="005A066D"/>
    <w:rsid w:val="005A0E6F"/>
    <w:rsid w:val="005A0FE3"/>
    <w:rsid w:val="005A1297"/>
    <w:rsid w:val="005A26B0"/>
    <w:rsid w:val="005A2A0C"/>
    <w:rsid w:val="005A40BB"/>
    <w:rsid w:val="005A481E"/>
    <w:rsid w:val="005A4A75"/>
    <w:rsid w:val="005A4CDA"/>
    <w:rsid w:val="005A565C"/>
    <w:rsid w:val="005A5A1B"/>
    <w:rsid w:val="005A5DEE"/>
    <w:rsid w:val="005A5EB4"/>
    <w:rsid w:val="005A69DE"/>
    <w:rsid w:val="005A6C05"/>
    <w:rsid w:val="005A6D4A"/>
    <w:rsid w:val="005A7243"/>
    <w:rsid w:val="005A7880"/>
    <w:rsid w:val="005A7A6E"/>
    <w:rsid w:val="005B02C5"/>
    <w:rsid w:val="005B03EF"/>
    <w:rsid w:val="005B0749"/>
    <w:rsid w:val="005B07D1"/>
    <w:rsid w:val="005B0FA5"/>
    <w:rsid w:val="005B0FBB"/>
    <w:rsid w:val="005B142F"/>
    <w:rsid w:val="005B1EBA"/>
    <w:rsid w:val="005B28B7"/>
    <w:rsid w:val="005B2F0B"/>
    <w:rsid w:val="005B31EB"/>
    <w:rsid w:val="005B3447"/>
    <w:rsid w:val="005B3569"/>
    <w:rsid w:val="005B36E2"/>
    <w:rsid w:val="005B3884"/>
    <w:rsid w:val="005B3AA0"/>
    <w:rsid w:val="005B3CB4"/>
    <w:rsid w:val="005B445E"/>
    <w:rsid w:val="005B46DB"/>
    <w:rsid w:val="005B47C4"/>
    <w:rsid w:val="005B4878"/>
    <w:rsid w:val="005B48F2"/>
    <w:rsid w:val="005B54BA"/>
    <w:rsid w:val="005B55C0"/>
    <w:rsid w:val="005B5DC0"/>
    <w:rsid w:val="005B5E8A"/>
    <w:rsid w:val="005B6297"/>
    <w:rsid w:val="005B6E45"/>
    <w:rsid w:val="005B7383"/>
    <w:rsid w:val="005B79AE"/>
    <w:rsid w:val="005B7FDB"/>
    <w:rsid w:val="005C1404"/>
    <w:rsid w:val="005C203F"/>
    <w:rsid w:val="005C222C"/>
    <w:rsid w:val="005C2921"/>
    <w:rsid w:val="005C2D60"/>
    <w:rsid w:val="005C3374"/>
    <w:rsid w:val="005C3820"/>
    <w:rsid w:val="005C3882"/>
    <w:rsid w:val="005C3A5E"/>
    <w:rsid w:val="005C424F"/>
    <w:rsid w:val="005C44C5"/>
    <w:rsid w:val="005C4629"/>
    <w:rsid w:val="005C47A1"/>
    <w:rsid w:val="005C4A3A"/>
    <w:rsid w:val="005C555B"/>
    <w:rsid w:val="005C5830"/>
    <w:rsid w:val="005C587A"/>
    <w:rsid w:val="005C5E36"/>
    <w:rsid w:val="005C6096"/>
    <w:rsid w:val="005C6670"/>
    <w:rsid w:val="005C6E32"/>
    <w:rsid w:val="005C7473"/>
    <w:rsid w:val="005C77CC"/>
    <w:rsid w:val="005C78C6"/>
    <w:rsid w:val="005C7DAA"/>
    <w:rsid w:val="005C7DE2"/>
    <w:rsid w:val="005D0A3E"/>
    <w:rsid w:val="005D0A5D"/>
    <w:rsid w:val="005D0BC8"/>
    <w:rsid w:val="005D0D9C"/>
    <w:rsid w:val="005D111D"/>
    <w:rsid w:val="005D1128"/>
    <w:rsid w:val="005D16BA"/>
    <w:rsid w:val="005D1D63"/>
    <w:rsid w:val="005D1E38"/>
    <w:rsid w:val="005D1EDC"/>
    <w:rsid w:val="005D1F57"/>
    <w:rsid w:val="005D25DE"/>
    <w:rsid w:val="005D25FA"/>
    <w:rsid w:val="005D329E"/>
    <w:rsid w:val="005D3315"/>
    <w:rsid w:val="005D35FE"/>
    <w:rsid w:val="005D365C"/>
    <w:rsid w:val="005D394C"/>
    <w:rsid w:val="005D3B6B"/>
    <w:rsid w:val="005D435C"/>
    <w:rsid w:val="005D45F7"/>
    <w:rsid w:val="005D5323"/>
    <w:rsid w:val="005D598B"/>
    <w:rsid w:val="005D5E2B"/>
    <w:rsid w:val="005D5F93"/>
    <w:rsid w:val="005D60B1"/>
    <w:rsid w:val="005D6D6E"/>
    <w:rsid w:val="005D7587"/>
    <w:rsid w:val="005D7B0E"/>
    <w:rsid w:val="005D7DA8"/>
    <w:rsid w:val="005E0080"/>
    <w:rsid w:val="005E0720"/>
    <w:rsid w:val="005E0E21"/>
    <w:rsid w:val="005E18E1"/>
    <w:rsid w:val="005E236A"/>
    <w:rsid w:val="005E2B43"/>
    <w:rsid w:val="005E35A9"/>
    <w:rsid w:val="005E35DD"/>
    <w:rsid w:val="005E3C63"/>
    <w:rsid w:val="005E3D24"/>
    <w:rsid w:val="005E3D3E"/>
    <w:rsid w:val="005E4650"/>
    <w:rsid w:val="005E4760"/>
    <w:rsid w:val="005E4F8A"/>
    <w:rsid w:val="005E51CC"/>
    <w:rsid w:val="005E5557"/>
    <w:rsid w:val="005E580E"/>
    <w:rsid w:val="005E58F1"/>
    <w:rsid w:val="005E5A68"/>
    <w:rsid w:val="005E645B"/>
    <w:rsid w:val="005E6582"/>
    <w:rsid w:val="005E6B2A"/>
    <w:rsid w:val="005E6C24"/>
    <w:rsid w:val="005E6D85"/>
    <w:rsid w:val="005E6F05"/>
    <w:rsid w:val="005E6FA0"/>
    <w:rsid w:val="005E74EE"/>
    <w:rsid w:val="005E7559"/>
    <w:rsid w:val="005E7E40"/>
    <w:rsid w:val="005F00ED"/>
    <w:rsid w:val="005F0FBC"/>
    <w:rsid w:val="005F1061"/>
    <w:rsid w:val="005F1B15"/>
    <w:rsid w:val="005F1DAB"/>
    <w:rsid w:val="005F2109"/>
    <w:rsid w:val="005F2128"/>
    <w:rsid w:val="005F25A8"/>
    <w:rsid w:val="005F27D3"/>
    <w:rsid w:val="005F2E10"/>
    <w:rsid w:val="005F2FE8"/>
    <w:rsid w:val="005F34A2"/>
    <w:rsid w:val="005F3583"/>
    <w:rsid w:val="005F360A"/>
    <w:rsid w:val="005F39D2"/>
    <w:rsid w:val="005F3A6F"/>
    <w:rsid w:val="005F43F4"/>
    <w:rsid w:val="005F4C70"/>
    <w:rsid w:val="005F4DD5"/>
    <w:rsid w:val="005F5D35"/>
    <w:rsid w:val="005F5D53"/>
    <w:rsid w:val="005F5FAE"/>
    <w:rsid w:val="005F693D"/>
    <w:rsid w:val="005F6C04"/>
    <w:rsid w:val="005F7273"/>
    <w:rsid w:val="005F7377"/>
    <w:rsid w:val="005F7556"/>
    <w:rsid w:val="005F7CB8"/>
    <w:rsid w:val="00600752"/>
    <w:rsid w:val="00600F97"/>
    <w:rsid w:val="006018E2"/>
    <w:rsid w:val="0060229C"/>
    <w:rsid w:val="00602481"/>
    <w:rsid w:val="006025A4"/>
    <w:rsid w:val="0060268C"/>
    <w:rsid w:val="006029CE"/>
    <w:rsid w:val="00602C18"/>
    <w:rsid w:val="00602CEC"/>
    <w:rsid w:val="00603996"/>
    <w:rsid w:val="00603F37"/>
    <w:rsid w:val="00604253"/>
    <w:rsid w:val="00604381"/>
    <w:rsid w:val="00604464"/>
    <w:rsid w:val="00604A8D"/>
    <w:rsid w:val="00604ABE"/>
    <w:rsid w:val="00604E28"/>
    <w:rsid w:val="006051AE"/>
    <w:rsid w:val="00605F79"/>
    <w:rsid w:val="006064E4"/>
    <w:rsid w:val="00606E10"/>
    <w:rsid w:val="00607998"/>
    <w:rsid w:val="00607A63"/>
    <w:rsid w:val="0061050B"/>
    <w:rsid w:val="006117F6"/>
    <w:rsid w:val="0061180B"/>
    <w:rsid w:val="00611E2F"/>
    <w:rsid w:val="00612116"/>
    <w:rsid w:val="00612465"/>
    <w:rsid w:val="00612AF4"/>
    <w:rsid w:val="00612D67"/>
    <w:rsid w:val="00612F70"/>
    <w:rsid w:val="00612FFD"/>
    <w:rsid w:val="0061326B"/>
    <w:rsid w:val="00614534"/>
    <w:rsid w:val="00614646"/>
    <w:rsid w:val="0061471F"/>
    <w:rsid w:val="006147D9"/>
    <w:rsid w:val="00614B8B"/>
    <w:rsid w:val="006154BC"/>
    <w:rsid w:val="00615B92"/>
    <w:rsid w:val="00615D2A"/>
    <w:rsid w:val="00616D68"/>
    <w:rsid w:val="00617212"/>
    <w:rsid w:val="00617882"/>
    <w:rsid w:val="00620130"/>
    <w:rsid w:val="00620874"/>
    <w:rsid w:val="00620D51"/>
    <w:rsid w:val="00620E77"/>
    <w:rsid w:val="0062130D"/>
    <w:rsid w:val="00621507"/>
    <w:rsid w:val="00621657"/>
    <w:rsid w:val="00621EA0"/>
    <w:rsid w:val="00621EA7"/>
    <w:rsid w:val="006221F5"/>
    <w:rsid w:val="0062225F"/>
    <w:rsid w:val="0062229D"/>
    <w:rsid w:val="0062326A"/>
    <w:rsid w:val="00623412"/>
    <w:rsid w:val="00623884"/>
    <w:rsid w:val="00623A5C"/>
    <w:rsid w:val="00623E7D"/>
    <w:rsid w:val="006242EC"/>
    <w:rsid w:val="00624CCB"/>
    <w:rsid w:val="00624F87"/>
    <w:rsid w:val="00625335"/>
    <w:rsid w:val="006255F0"/>
    <w:rsid w:val="00625AB0"/>
    <w:rsid w:val="00626B68"/>
    <w:rsid w:val="006276E9"/>
    <w:rsid w:val="00627FAE"/>
    <w:rsid w:val="00630D63"/>
    <w:rsid w:val="00630EDC"/>
    <w:rsid w:val="00631D47"/>
    <w:rsid w:val="00632656"/>
    <w:rsid w:val="0063356E"/>
    <w:rsid w:val="00633E43"/>
    <w:rsid w:val="00634D57"/>
    <w:rsid w:val="00634F78"/>
    <w:rsid w:val="00635063"/>
    <w:rsid w:val="006356D9"/>
    <w:rsid w:val="006356DC"/>
    <w:rsid w:val="0063631A"/>
    <w:rsid w:val="00636BFA"/>
    <w:rsid w:val="006373F1"/>
    <w:rsid w:val="006376C2"/>
    <w:rsid w:val="00637BC0"/>
    <w:rsid w:val="00640229"/>
    <w:rsid w:val="00640B70"/>
    <w:rsid w:val="00640C48"/>
    <w:rsid w:val="006415EB"/>
    <w:rsid w:val="00641C40"/>
    <w:rsid w:val="00642222"/>
    <w:rsid w:val="006427C3"/>
    <w:rsid w:val="00642DF3"/>
    <w:rsid w:val="00643A61"/>
    <w:rsid w:val="00643A73"/>
    <w:rsid w:val="00643B3C"/>
    <w:rsid w:val="00643ED8"/>
    <w:rsid w:val="0064496F"/>
    <w:rsid w:val="00644AEC"/>
    <w:rsid w:val="00644E35"/>
    <w:rsid w:val="00645B51"/>
    <w:rsid w:val="00645B6E"/>
    <w:rsid w:val="00645D18"/>
    <w:rsid w:val="00645D30"/>
    <w:rsid w:val="006461A6"/>
    <w:rsid w:val="006464B9"/>
    <w:rsid w:val="006466F9"/>
    <w:rsid w:val="006479F8"/>
    <w:rsid w:val="00647A56"/>
    <w:rsid w:val="00647B3F"/>
    <w:rsid w:val="0065040B"/>
    <w:rsid w:val="0065096F"/>
    <w:rsid w:val="0065112C"/>
    <w:rsid w:val="006514ED"/>
    <w:rsid w:val="00651653"/>
    <w:rsid w:val="00651809"/>
    <w:rsid w:val="0065193A"/>
    <w:rsid w:val="006524A0"/>
    <w:rsid w:val="006526AB"/>
    <w:rsid w:val="00652F8E"/>
    <w:rsid w:val="0065324A"/>
    <w:rsid w:val="006536C4"/>
    <w:rsid w:val="0065442D"/>
    <w:rsid w:val="00654480"/>
    <w:rsid w:val="00654E48"/>
    <w:rsid w:val="0065507F"/>
    <w:rsid w:val="00655740"/>
    <w:rsid w:val="006559A5"/>
    <w:rsid w:val="006560EC"/>
    <w:rsid w:val="00656FFC"/>
    <w:rsid w:val="0065715F"/>
    <w:rsid w:val="00657540"/>
    <w:rsid w:val="0066014A"/>
    <w:rsid w:val="006601B8"/>
    <w:rsid w:val="006602C2"/>
    <w:rsid w:val="00660C20"/>
    <w:rsid w:val="006617A2"/>
    <w:rsid w:val="00661896"/>
    <w:rsid w:val="006618D0"/>
    <w:rsid w:val="00661ED0"/>
    <w:rsid w:val="00662054"/>
    <w:rsid w:val="0066218B"/>
    <w:rsid w:val="00662375"/>
    <w:rsid w:val="006623DA"/>
    <w:rsid w:val="006623DC"/>
    <w:rsid w:val="00662566"/>
    <w:rsid w:val="006628F0"/>
    <w:rsid w:val="00662DE8"/>
    <w:rsid w:val="0066366B"/>
    <w:rsid w:val="006636C8"/>
    <w:rsid w:val="006639EA"/>
    <w:rsid w:val="00663E86"/>
    <w:rsid w:val="00664917"/>
    <w:rsid w:val="00664F2D"/>
    <w:rsid w:val="0066574B"/>
    <w:rsid w:val="00665A66"/>
    <w:rsid w:val="00665C63"/>
    <w:rsid w:val="00665EF4"/>
    <w:rsid w:val="00666495"/>
    <w:rsid w:val="00666585"/>
    <w:rsid w:val="00666DDD"/>
    <w:rsid w:val="0066706E"/>
    <w:rsid w:val="00667ACD"/>
    <w:rsid w:val="00667E7C"/>
    <w:rsid w:val="006703C2"/>
    <w:rsid w:val="00670654"/>
    <w:rsid w:val="00670E86"/>
    <w:rsid w:val="00671CB5"/>
    <w:rsid w:val="00671D14"/>
    <w:rsid w:val="00671EFD"/>
    <w:rsid w:val="00672553"/>
    <w:rsid w:val="0067298A"/>
    <w:rsid w:val="00672E91"/>
    <w:rsid w:val="00673160"/>
    <w:rsid w:val="006736E2"/>
    <w:rsid w:val="00673901"/>
    <w:rsid w:val="00674024"/>
    <w:rsid w:val="00674088"/>
    <w:rsid w:val="00674261"/>
    <w:rsid w:val="00674CB7"/>
    <w:rsid w:val="006755CF"/>
    <w:rsid w:val="00675785"/>
    <w:rsid w:val="00675DD9"/>
    <w:rsid w:val="00675E7B"/>
    <w:rsid w:val="006764AB"/>
    <w:rsid w:val="006769AB"/>
    <w:rsid w:val="00676DD3"/>
    <w:rsid w:val="00677466"/>
    <w:rsid w:val="00677BA8"/>
    <w:rsid w:val="006809F5"/>
    <w:rsid w:val="00680FE9"/>
    <w:rsid w:val="006825CF"/>
    <w:rsid w:val="0068278E"/>
    <w:rsid w:val="00682EB6"/>
    <w:rsid w:val="006831DD"/>
    <w:rsid w:val="006836F3"/>
    <w:rsid w:val="00683BC1"/>
    <w:rsid w:val="00684915"/>
    <w:rsid w:val="00684A09"/>
    <w:rsid w:val="00684AC2"/>
    <w:rsid w:val="00685049"/>
    <w:rsid w:val="006857C2"/>
    <w:rsid w:val="0068779E"/>
    <w:rsid w:val="00687B90"/>
    <w:rsid w:val="00687DBC"/>
    <w:rsid w:val="00690C22"/>
    <w:rsid w:val="00691A16"/>
    <w:rsid w:val="006922CE"/>
    <w:rsid w:val="00692310"/>
    <w:rsid w:val="0069252B"/>
    <w:rsid w:val="00692823"/>
    <w:rsid w:val="00692AFC"/>
    <w:rsid w:val="00692C33"/>
    <w:rsid w:val="006931DC"/>
    <w:rsid w:val="0069337D"/>
    <w:rsid w:val="00693598"/>
    <w:rsid w:val="00693F31"/>
    <w:rsid w:val="00694341"/>
    <w:rsid w:val="0069437A"/>
    <w:rsid w:val="00694722"/>
    <w:rsid w:val="00694C79"/>
    <w:rsid w:val="00694E62"/>
    <w:rsid w:val="006950E5"/>
    <w:rsid w:val="00695473"/>
    <w:rsid w:val="006954AF"/>
    <w:rsid w:val="0069559D"/>
    <w:rsid w:val="0069617E"/>
    <w:rsid w:val="00696402"/>
    <w:rsid w:val="00696FF6"/>
    <w:rsid w:val="006A0400"/>
    <w:rsid w:val="006A06CB"/>
    <w:rsid w:val="006A104F"/>
    <w:rsid w:val="006A1345"/>
    <w:rsid w:val="006A1C52"/>
    <w:rsid w:val="006A20C4"/>
    <w:rsid w:val="006A2381"/>
    <w:rsid w:val="006A2475"/>
    <w:rsid w:val="006A2756"/>
    <w:rsid w:val="006A3A46"/>
    <w:rsid w:val="006A3C5B"/>
    <w:rsid w:val="006A3CE0"/>
    <w:rsid w:val="006A3E2E"/>
    <w:rsid w:val="006A4EE1"/>
    <w:rsid w:val="006A5261"/>
    <w:rsid w:val="006A56FD"/>
    <w:rsid w:val="006A6283"/>
    <w:rsid w:val="006A6776"/>
    <w:rsid w:val="006A7205"/>
    <w:rsid w:val="006A77F0"/>
    <w:rsid w:val="006B02F1"/>
    <w:rsid w:val="006B0323"/>
    <w:rsid w:val="006B0DEE"/>
    <w:rsid w:val="006B216B"/>
    <w:rsid w:val="006B31C9"/>
    <w:rsid w:val="006B34D4"/>
    <w:rsid w:val="006B3947"/>
    <w:rsid w:val="006B3C23"/>
    <w:rsid w:val="006B3CAF"/>
    <w:rsid w:val="006B4341"/>
    <w:rsid w:val="006B4BD9"/>
    <w:rsid w:val="006B52FC"/>
    <w:rsid w:val="006B5321"/>
    <w:rsid w:val="006B5729"/>
    <w:rsid w:val="006B5789"/>
    <w:rsid w:val="006B5F4C"/>
    <w:rsid w:val="006B66E9"/>
    <w:rsid w:val="006B68AA"/>
    <w:rsid w:val="006B6AD3"/>
    <w:rsid w:val="006B6E9F"/>
    <w:rsid w:val="006B7056"/>
    <w:rsid w:val="006C02AA"/>
    <w:rsid w:val="006C0CEC"/>
    <w:rsid w:val="006C0EE0"/>
    <w:rsid w:val="006C0F77"/>
    <w:rsid w:val="006C10D5"/>
    <w:rsid w:val="006C1966"/>
    <w:rsid w:val="006C1AB3"/>
    <w:rsid w:val="006C1C08"/>
    <w:rsid w:val="006C227A"/>
    <w:rsid w:val="006C2935"/>
    <w:rsid w:val="006C30E9"/>
    <w:rsid w:val="006C33D4"/>
    <w:rsid w:val="006C370D"/>
    <w:rsid w:val="006C397E"/>
    <w:rsid w:val="006C471B"/>
    <w:rsid w:val="006C489E"/>
    <w:rsid w:val="006C48FB"/>
    <w:rsid w:val="006C4CCF"/>
    <w:rsid w:val="006C503C"/>
    <w:rsid w:val="006C546D"/>
    <w:rsid w:val="006C5610"/>
    <w:rsid w:val="006C589A"/>
    <w:rsid w:val="006C5D4F"/>
    <w:rsid w:val="006C665C"/>
    <w:rsid w:val="006C6978"/>
    <w:rsid w:val="006C712D"/>
    <w:rsid w:val="006C7CA1"/>
    <w:rsid w:val="006D057D"/>
    <w:rsid w:val="006D0643"/>
    <w:rsid w:val="006D1294"/>
    <w:rsid w:val="006D1419"/>
    <w:rsid w:val="006D1B74"/>
    <w:rsid w:val="006D1EBC"/>
    <w:rsid w:val="006D3F74"/>
    <w:rsid w:val="006D42FE"/>
    <w:rsid w:val="006D46ED"/>
    <w:rsid w:val="006D52DB"/>
    <w:rsid w:val="006D54BA"/>
    <w:rsid w:val="006D5A0C"/>
    <w:rsid w:val="006D5C27"/>
    <w:rsid w:val="006D609A"/>
    <w:rsid w:val="006D6647"/>
    <w:rsid w:val="006D66E9"/>
    <w:rsid w:val="006D680C"/>
    <w:rsid w:val="006D68F3"/>
    <w:rsid w:val="006D6B4B"/>
    <w:rsid w:val="006D6BBB"/>
    <w:rsid w:val="006D6D55"/>
    <w:rsid w:val="006D7823"/>
    <w:rsid w:val="006D7D45"/>
    <w:rsid w:val="006D7FF5"/>
    <w:rsid w:val="006E006B"/>
    <w:rsid w:val="006E047F"/>
    <w:rsid w:val="006E0608"/>
    <w:rsid w:val="006E0DBE"/>
    <w:rsid w:val="006E0DC4"/>
    <w:rsid w:val="006E1187"/>
    <w:rsid w:val="006E15C8"/>
    <w:rsid w:val="006E1985"/>
    <w:rsid w:val="006E2438"/>
    <w:rsid w:val="006E2820"/>
    <w:rsid w:val="006E2B5F"/>
    <w:rsid w:val="006E2B8D"/>
    <w:rsid w:val="006E2CFD"/>
    <w:rsid w:val="006E2D91"/>
    <w:rsid w:val="006E3216"/>
    <w:rsid w:val="006E35B3"/>
    <w:rsid w:val="006E3D9C"/>
    <w:rsid w:val="006E3EEA"/>
    <w:rsid w:val="006E4421"/>
    <w:rsid w:val="006E458D"/>
    <w:rsid w:val="006E4963"/>
    <w:rsid w:val="006E4B4F"/>
    <w:rsid w:val="006E51F5"/>
    <w:rsid w:val="006E554A"/>
    <w:rsid w:val="006E5A92"/>
    <w:rsid w:val="006E5EA6"/>
    <w:rsid w:val="006E64CE"/>
    <w:rsid w:val="006E676E"/>
    <w:rsid w:val="006E71F9"/>
    <w:rsid w:val="006E75E7"/>
    <w:rsid w:val="006E7644"/>
    <w:rsid w:val="006E76CB"/>
    <w:rsid w:val="006E7AF6"/>
    <w:rsid w:val="006E7B60"/>
    <w:rsid w:val="006F0285"/>
    <w:rsid w:val="006F03CF"/>
    <w:rsid w:val="006F06ED"/>
    <w:rsid w:val="006F0B4A"/>
    <w:rsid w:val="006F15F5"/>
    <w:rsid w:val="006F198D"/>
    <w:rsid w:val="006F1F6F"/>
    <w:rsid w:val="006F2B11"/>
    <w:rsid w:val="006F2BB8"/>
    <w:rsid w:val="006F34CC"/>
    <w:rsid w:val="006F3B6E"/>
    <w:rsid w:val="006F3E3A"/>
    <w:rsid w:val="006F410E"/>
    <w:rsid w:val="006F41C3"/>
    <w:rsid w:val="006F45B4"/>
    <w:rsid w:val="006F48CD"/>
    <w:rsid w:val="006F4A8B"/>
    <w:rsid w:val="006F4AD0"/>
    <w:rsid w:val="006F5714"/>
    <w:rsid w:val="006F5ABD"/>
    <w:rsid w:val="006F5C29"/>
    <w:rsid w:val="006F5F2A"/>
    <w:rsid w:val="006F602B"/>
    <w:rsid w:val="006F6146"/>
    <w:rsid w:val="006F6206"/>
    <w:rsid w:val="006F628D"/>
    <w:rsid w:val="006F71F6"/>
    <w:rsid w:val="006F72A9"/>
    <w:rsid w:val="006F7DA5"/>
    <w:rsid w:val="00701554"/>
    <w:rsid w:val="00701B11"/>
    <w:rsid w:val="00701E59"/>
    <w:rsid w:val="0070236D"/>
    <w:rsid w:val="0070290F"/>
    <w:rsid w:val="00702CAE"/>
    <w:rsid w:val="00702D47"/>
    <w:rsid w:val="00703100"/>
    <w:rsid w:val="00703606"/>
    <w:rsid w:val="0070387D"/>
    <w:rsid w:val="007038FE"/>
    <w:rsid w:val="007042A2"/>
    <w:rsid w:val="007043C8"/>
    <w:rsid w:val="00704D11"/>
    <w:rsid w:val="00704FA5"/>
    <w:rsid w:val="00705EAC"/>
    <w:rsid w:val="00706066"/>
    <w:rsid w:val="00706789"/>
    <w:rsid w:val="00706D92"/>
    <w:rsid w:val="0070702E"/>
    <w:rsid w:val="0070702F"/>
    <w:rsid w:val="0070782C"/>
    <w:rsid w:val="00707EFD"/>
    <w:rsid w:val="0071001D"/>
    <w:rsid w:val="00710460"/>
    <w:rsid w:val="00710593"/>
    <w:rsid w:val="007109BF"/>
    <w:rsid w:val="00710B0E"/>
    <w:rsid w:val="00710D25"/>
    <w:rsid w:val="00710FFE"/>
    <w:rsid w:val="00712334"/>
    <w:rsid w:val="0071253E"/>
    <w:rsid w:val="007125B0"/>
    <w:rsid w:val="0071283B"/>
    <w:rsid w:val="00712B88"/>
    <w:rsid w:val="00712BBC"/>
    <w:rsid w:val="00712E8B"/>
    <w:rsid w:val="00713B54"/>
    <w:rsid w:val="00713EE0"/>
    <w:rsid w:val="007142A2"/>
    <w:rsid w:val="007143C9"/>
    <w:rsid w:val="00714514"/>
    <w:rsid w:val="007147E1"/>
    <w:rsid w:val="0071481D"/>
    <w:rsid w:val="0071495B"/>
    <w:rsid w:val="00715846"/>
    <w:rsid w:val="00715A76"/>
    <w:rsid w:val="00716004"/>
    <w:rsid w:val="007169FF"/>
    <w:rsid w:val="00716DA6"/>
    <w:rsid w:val="007175AD"/>
    <w:rsid w:val="007175DE"/>
    <w:rsid w:val="00717B0A"/>
    <w:rsid w:val="00720704"/>
    <w:rsid w:val="00720860"/>
    <w:rsid w:val="0072100B"/>
    <w:rsid w:val="00721131"/>
    <w:rsid w:val="00721222"/>
    <w:rsid w:val="00721C12"/>
    <w:rsid w:val="00721EEB"/>
    <w:rsid w:val="0072225E"/>
    <w:rsid w:val="00722379"/>
    <w:rsid w:val="00722390"/>
    <w:rsid w:val="00722B76"/>
    <w:rsid w:val="00722CC0"/>
    <w:rsid w:val="00722D85"/>
    <w:rsid w:val="007231EF"/>
    <w:rsid w:val="00723B1B"/>
    <w:rsid w:val="00723DE6"/>
    <w:rsid w:val="007240A9"/>
    <w:rsid w:val="00724109"/>
    <w:rsid w:val="00724257"/>
    <w:rsid w:val="00724A1B"/>
    <w:rsid w:val="00725A99"/>
    <w:rsid w:val="00725C13"/>
    <w:rsid w:val="00725C38"/>
    <w:rsid w:val="00726AA2"/>
    <w:rsid w:val="00727311"/>
    <w:rsid w:val="00727C6B"/>
    <w:rsid w:val="007301FE"/>
    <w:rsid w:val="00730D5F"/>
    <w:rsid w:val="00730E60"/>
    <w:rsid w:val="0073109E"/>
    <w:rsid w:val="0073196C"/>
    <w:rsid w:val="00731A92"/>
    <w:rsid w:val="00731D81"/>
    <w:rsid w:val="00731D89"/>
    <w:rsid w:val="00731FB9"/>
    <w:rsid w:val="007326A6"/>
    <w:rsid w:val="00733A34"/>
    <w:rsid w:val="00734A72"/>
    <w:rsid w:val="00734F27"/>
    <w:rsid w:val="007352A6"/>
    <w:rsid w:val="007354E9"/>
    <w:rsid w:val="0073644B"/>
    <w:rsid w:val="00736A1C"/>
    <w:rsid w:val="00736E20"/>
    <w:rsid w:val="00736E83"/>
    <w:rsid w:val="00736EF9"/>
    <w:rsid w:val="007401CB"/>
    <w:rsid w:val="0074080B"/>
    <w:rsid w:val="00740912"/>
    <w:rsid w:val="007410AC"/>
    <w:rsid w:val="007418A3"/>
    <w:rsid w:val="00741B7A"/>
    <w:rsid w:val="00742259"/>
    <w:rsid w:val="007425F9"/>
    <w:rsid w:val="0074281F"/>
    <w:rsid w:val="00742FCB"/>
    <w:rsid w:val="00743900"/>
    <w:rsid w:val="00743963"/>
    <w:rsid w:val="0074419E"/>
    <w:rsid w:val="00744414"/>
    <w:rsid w:val="00744A15"/>
    <w:rsid w:val="00744D0B"/>
    <w:rsid w:val="00744E03"/>
    <w:rsid w:val="0074542E"/>
    <w:rsid w:val="00745527"/>
    <w:rsid w:val="007456FA"/>
    <w:rsid w:val="0074593E"/>
    <w:rsid w:val="00745E36"/>
    <w:rsid w:val="007461F2"/>
    <w:rsid w:val="0074648A"/>
    <w:rsid w:val="0074677C"/>
    <w:rsid w:val="007469BD"/>
    <w:rsid w:val="00746FAE"/>
    <w:rsid w:val="00746FDC"/>
    <w:rsid w:val="00747046"/>
    <w:rsid w:val="00747550"/>
    <w:rsid w:val="00747715"/>
    <w:rsid w:val="00747747"/>
    <w:rsid w:val="00747977"/>
    <w:rsid w:val="007479AB"/>
    <w:rsid w:val="00747B2E"/>
    <w:rsid w:val="00750193"/>
    <w:rsid w:val="0075038C"/>
    <w:rsid w:val="00750D48"/>
    <w:rsid w:val="007512F9"/>
    <w:rsid w:val="007513D3"/>
    <w:rsid w:val="00751501"/>
    <w:rsid w:val="00752277"/>
    <w:rsid w:val="007529A6"/>
    <w:rsid w:val="00752A9A"/>
    <w:rsid w:val="007533A1"/>
    <w:rsid w:val="00754467"/>
    <w:rsid w:val="0075467B"/>
    <w:rsid w:val="0075469D"/>
    <w:rsid w:val="007551CA"/>
    <w:rsid w:val="0075596F"/>
    <w:rsid w:val="007559E4"/>
    <w:rsid w:val="00756058"/>
    <w:rsid w:val="00756995"/>
    <w:rsid w:val="00757347"/>
    <w:rsid w:val="00757D7E"/>
    <w:rsid w:val="00760628"/>
    <w:rsid w:val="00760935"/>
    <w:rsid w:val="00760C76"/>
    <w:rsid w:val="00760C9B"/>
    <w:rsid w:val="00760DCB"/>
    <w:rsid w:val="0076143F"/>
    <w:rsid w:val="007619DE"/>
    <w:rsid w:val="0076294B"/>
    <w:rsid w:val="00762A6B"/>
    <w:rsid w:val="007639AB"/>
    <w:rsid w:val="00763E14"/>
    <w:rsid w:val="00763EFF"/>
    <w:rsid w:val="00763F54"/>
    <w:rsid w:val="0076457A"/>
    <w:rsid w:val="00764645"/>
    <w:rsid w:val="007649BA"/>
    <w:rsid w:val="00764CF7"/>
    <w:rsid w:val="00764E99"/>
    <w:rsid w:val="00765A27"/>
    <w:rsid w:val="007663ED"/>
    <w:rsid w:val="00766B4C"/>
    <w:rsid w:val="00767262"/>
    <w:rsid w:val="00770753"/>
    <w:rsid w:val="00770B3A"/>
    <w:rsid w:val="00771762"/>
    <w:rsid w:val="007718CB"/>
    <w:rsid w:val="00771B36"/>
    <w:rsid w:val="00771CC3"/>
    <w:rsid w:val="00771F0D"/>
    <w:rsid w:val="00771F1B"/>
    <w:rsid w:val="00771F52"/>
    <w:rsid w:val="00771F91"/>
    <w:rsid w:val="007724F2"/>
    <w:rsid w:val="00772B9F"/>
    <w:rsid w:val="00772F5F"/>
    <w:rsid w:val="00773670"/>
    <w:rsid w:val="007736BB"/>
    <w:rsid w:val="00773F4B"/>
    <w:rsid w:val="00774000"/>
    <w:rsid w:val="00774B05"/>
    <w:rsid w:val="00774EFC"/>
    <w:rsid w:val="00775067"/>
    <w:rsid w:val="007758D9"/>
    <w:rsid w:val="00775ECE"/>
    <w:rsid w:val="007766FE"/>
    <w:rsid w:val="00776EB7"/>
    <w:rsid w:val="007803C3"/>
    <w:rsid w:val="00780641"/>
    <w:rsid w:val="007809BA"/>
    <w:rsid w:val="00780F45"/>
    <w:rsid w:val="00780F70"/>
    <w:rsid w:val="007819F6"/>
    <w:rsid w:val="00781AC9"/>
    <w:rsid w:val="00781B87"/>
    <w:rsid w:val="00781E17"/>
    <w:rsid w:val="00781EFA"/>
    <w:rsid w:val="007820C4"/>
    <w:rsid w:val="007821C2"/>
    <w:rsid w:val="00782C3B"/>
    <w:rsid w:val="0078384D"/>
    <w:rsid w:val="00783E5C"/>
    <w:rsid w:val="00784160"/>
    <w:rsid w:val="007842D9"/>
    <w:rsid w:val="00784359"/>
    <w:rsid w:val="00784513"/>
    <w:rsid w:val="00784686"/>
    <w:rsid w:val="00784C12"/>
    <w:rsid w:val="00784DD8"/>
    <w:rsid w:val="00785818"/>
    <w:rsid w:val="007861D6"/>
    <w:rsid w:val="00786263"/>
    <w:rsid w:val="00786F8C"/>
    <w:rsid w:val="007870F4"/>
    <w:rsid w:val="00787127"/>
    <w:rsid w:val="007875EA"/>
    <w:rsid w:val="00787AA4"/>
    <w:rsid w:val="00787EBE"/>
    <w:rsid w:val="00790042"/>
    <w:rsid w:val="007900FA"/>
    <w:rsid w:val="00790248"/>
    <w:rsid w:val="00790BB1"/>
    <w:rsid w:val="007914B1"/>
    <w:rsid w:val="00791E63"/>
    <w:rsid w:val="0079387E"/>
    <w:rsid w:val="00793910"/>
    <w:rsid w:val="00793C16"/>
    <w:rsid w:val="00793D50"/>
    <w:rsid w:val="00794529"/>
    <w:rsid w:val="0079493B"/>
    <w:rsid w:val="00794C0A"/>
    <w:rsid w:val="00794F4F"/>
    <w:rsid w:val="00795063"/>
    <w:rsid w:val="00795ACC"/>
    <w:rsid w:val="007964F2"/>
    <w:rsid w:val="00796627"/>
    <w:rsid w:val="00796E59"/>
    <w:rsid w:val="007970C0"/>
    <w:rsid w:val="007972C8"/>
    <w:rsid w:val="00797CD2"/>
    <w:rsid w:val="007A023A"/>
    <w:rsid w:val="007A04B2"/>
    <w:rsid w:val="007A04E6"/>
    <w:rsid w:val="007A077A"/>
    <w:rsid w:val="007A07E8"/>
    <w:rsid w:val="007A11FE"/>
    <w:rsid w:val="007A19EF"/>
    <w:rsid w:val="007A1B9C"/>
    <w:rsid w:val="007A21FE"/>
    <w:rsid w:val="007A258A"/>
    <w:rsid w:val="007A2C96"/>
    <w:rsid w:val="007A2D6C"/>
    <w:rsid w:val="007A2DF5"/>
    <w:rsid w:val="007A3801"/>
    <w:rsid w:val="007A3840"/>
    <w:rsid w:val="007A423B"/>
    <w:rsid w:val="007A5A1C"/>
    <w:rsid w:val="007A5C31"/>
    <w:rsid w:val="007A663C"/>
    <w:rsid w:val="007A6EE4"/>
    <w:rsid w:val="007A726F"/>
    <w:rsid w:val="007A79FE"/>
    <w:rsid w:val="007B0194"/>
    <w:rsid w:val="007B021C"/>
    <w:rsid w:val="007B051E"/>
    <w:rsid w:val="007B06E6"/>
    <w:rsid w:val="007B14C5"/>
    <w:rsid w:val="007B23C1"/>
    <w:rsid w:val="007B2A84"/>
    <w:rsid w:val="007B2ED5"/>
    <w:rsid w:val="007B2FA5"/>
    <w:rsid w:val="007B3BED"/>
    <w:rsid w:val="007B4335"/>
    <w:rsid w:val="007B46CA"/>
    <w:rsid w:val="007B46CD"/>
    <w:rsid w:val="007B508F"/>
    <w:rsid w:val="007B50F3"/>
    <w:rsid w:val="007B552B"/>
    <w:rsid w:val="007B5AB6"/>
    <w:rsid w:val="007B5F2D"/>
    <w:rsid w:val="007B6FE0"/>
    <w:rsid w:val="007B789D"/>
    <w:rsid w:val="007C0875"/>
    <w:rsid w:val="007C0A0E"/>
    <w:rsid w:val="007C15E8"/>
    <w:rsid w:val="007C1A06"/>
    <w:rsid w:val="007C296A"/>
    <w:rsid w:val="007C29A5"/>
    <w:rsid w:val="007C353E"/>
    <w:rsid w:val="007C35A4"/>
    <w:rsid w:val="007C396D"/>
    <w:rsid w:val="007C44D5"/>
    <w:rsid w:val="007C50DC"/>
    <w:rsid w:val="007C579D"/>
    <w:rsid w:val="007C57C3"/>
    <w:rsid w:val="007C5F39"/>
    <w:rsid w:val="007C604A"/>
    <w:rsid w:val="007C696F"/>
    <w:rsid w:val="007C7084"/>
    <w:rsid w:val="007C7BB8"/>
    <w:rsid w:val="007C7FB6"/>
    <w:rsid w:val="007D0084"/>
    <w:rsid w:val="007D046D"/>
    <w:rsid w:val="007D1707"/>
    <w:rsid w:val="007D1957"/>
    <w:rsid w:val="007D1BAE"/>
    <w:rsid w:val="007D1E99"/>
    <w:rsid w:val="007D2285"/>
    <w:rsid w:val="007D24CB"/>
    <w:rsid w:val="007D27C6"/>
    <w:rsid w:val="007D3266"/>
    <w:rsid w:val="007D3C96"/>
    <w:rsid w:val="007D5E66"/>
    <w:rsid w:val="007D5FD2"/>
    <w:rsid w:val="007D6311"/>
    <w:rsid w:val="007D6515"/>
    <w:rsid w:val="007D6662"/>
    <w:rsid w:val="007D6739"/>
    <w:rsid w:val="007D6C35"/>
    <w:rsid w:val="007D7A5A"/>
    <w:rsid w:val="007D7D9C"/>
    <w:rsid w:val="007E00D2"/>
    <w:rsid w:val="007E0CF1"/>
    <w:rsid w:val="007E187D"/>
    <w:rsid w:val="007E2425"/>
    <w:rsid w:val="007E3605"/>
    <w:rsid w:val="007E3913"/>
    <w:rsid w:val="007E3A8F"/>
    <w:rsid w:val="007E4507"/>
    <w:rsid w:val="007E4620"/>
    <w:rsid w:val="007E4795"/>
    <w:rsid w:val="007E4E0E"/>
    <w:rsid w:val="007E5D0B"/>
    <w:rsid w:val="007E682C"/>
    <w:rsid w:val="007E68F5"/>
    <w:rsid w:val="007E69BF"/>
    <w:rsid w:val="007E7300"/>
    <w:rsid w:val="007E74C1"/>
    <w:rsid w:val="007E75CF"/>
    <w:rsid w:val="007F02B9"/>
    <w:rsid w:val="007F0674"/>
    <w:rsid w:val="007F07CC"/>
    <w:rsid w:val="007F08E8"/>
    <w:rsid w:val="007F0DDE"/>
    <w:rsid w:val="007F1658"/>
    <w:rsid w:val="007F1AF1"/>
    <w:rsid w:val="007F27FE"/>
    <w:rsid w:val="007F40D3"/>
    <w:rsid w:val="007F4324"/>
    <w:rsid w:val="007F4376"/>
    <w:rsid w:val="007F44A5"/>
    <w:rsid w:val="007F46AC"/>
    <w:rsid w:val="007F49FF"/>
    <w:rsid w:val="007F4D85"/>
    <w:rsid w:val="007F5174"/>
    <w:rsid w:val="007F53E3"/>
    <w:rsid w:val="007F5AC1"/>
    <w:rsid w:val="007F5BC3"/>
    <w:rsid w:val="007F5D99"/>
    <w:rsid w:val="007F6975"/>
    <w:rsid w:val="007F70AA"/>
    <w:rsid w:val="008007E6"/>
    <w:rsid w:val="00801B4F"/>
    <w:rsid w:val="008020B8"/>
    <w:rsid w:val="00802774"/>
    <w:rsid w:val="00802E43"/>
    <w:rsid w:val="00802FB5"/>
    <w:rsid w:val="008032C9"/>
    <w:rsid w:val="00803DE9"/>
    <w:rsid w:val="008041E3"/>
    <w:rsid w:val="008048D3"/>
    <w:rsid w:val="008050D4"/>
    <w:rsid w:val="00805522"/>
    <w:rsid w:val="00805E9C"/>
    <w:rsid w:val="008064FF"/>
    <w:rsid w:val="00806537"/>
    <w:rsid w:val="00806888"/>
    <w:rsid w:val="00807154"/>
    <w:rsid w:val="00807A10"/>
    <w:rsid w:val="00807B94"/>
    <w:rsid w:val="00807DB1"/>
    <w:rsid w:val="008107C6"/>
    <w:rsid w:val="00810FFC"/>
    <w:rsid w:val="00811096"/>
    <w:rsid w:val="00811182"/>
    <w:rsid w:val="00811830"/>
    <w:rsid w:val="00811A75"/>
    <w:rsid w:val="00811D61"/>
    <w:rsid w:val="00812A85"/>
    <w:rsid w:val="00812ADF"/>
    <w:rsid w:val="00812FAF"/>
    <w:rsid w:val="008130DD"/>
    <w:rsid w:val="008131CD"/>
    <w:rsid w:val="008145F0"/>
    <w:rsid w:val="008147BB"/>
    <w:rsid w:val="00814F10"/>
    <w:rsid w:val="008159AA"/>
    <w:rsid w:val="00816231"/>
    <w:rsid w:val="00816766"/>
    <w:rsid w:val="0081681E"/>
    <w:rsid w:val="00816D15"/>
    <w:rsid w:val="00816EFE"/>
    <w:rsid w:val="00817118"/>
    <w:rsid w:val="00817EE4"/>
    <w:rsid w:val="00817FDB"/>
    <w:rsid w:val="00820123"/>
    <w:rsid w:val="00820CCA"/>
    <w:rsid w:val="00821696"/>
    <w:rsid w:val="00821975"/>
    <w:rsid w:val="00821DB6"/>
    <w:rsid w:val="00822DB5"/>
    <w:rsid w:val="008233CE"/>
    <w:rsid w:val="008236E6"/>
    <w:rsid w:val="00823873"/>
    <w:rsid w:val="00823A54"/>
    <w:rsid w:val="00824356"/>
    <w:rsid w:val="00824574"/>
    <w:rsid w:val="008246E9"/>
    <w:rsid w:val="00825732"/>
    <w:rsid w:val="008258FB"/>
    <w:rsid w:val="008259ED"/>
    <w:rsid w:val="00825B1F"/>
    <w:rsid w:val="00825C33"/>
    <w:rsid w:val="00825EE7"/>
    <w:rsid w:val="008267C1"/>
    <w:rsid w:val="00826974"/>
    <w:rsid w:val="00827916"/>
    <w:rsid w:val="00827B43"/>
    <w:rsid w:val="00830465"/>
    <w:rsid w:val="00830596"/>
    <w:rsid w:val="00830BB1"/>
    <w:rsid w:val="0083132C"/>
    <w:rsid w:val="0083144D"/>
    <w:rsid w:val="00831C58"/>
    <w:rsid w:val="00832454"/>
    <w:rsid w:val="00832EC3"/>
    <w:rsid w:val="008338C6"/>
    <w:rsid w:val="00833FAC"/>
    <w:rsid w:val="00834572"/>
    <w:rsid w:val="00834911"/>
    <w:rsid w:val="00834CE4"/>
    <w:rsid w:val="00834E7D"/>
    <w:rsid w:val="00835058"/>
    <w:rsid w:val="008351BB"/>
    <w:rsid w:val="00835427"/>
    <w:rsid w:val="008358AA"/>
    <w:rsid w:val="00835DEB"/>
    <w:rsid w:val="00836675"/>
    <w:rsid w:val="0083672F"/>
    <w:rsid w:val="0083675B"/>
    <w:rsid w:val="00836A31"/>
    <w:rsid w:val="00836C58"/>
    <w:rsid w:val="00836C6D"/>
    <w:rsid w:val="00836F94"/>
    <w:rsid w:val="00837255"/>
    <w:rsid w:val="008378BC"/>
    <w:rsid w:val="00837990"/>
    <w:rsid w:val="00837B2A"/>
    <w:rsid w:val="008400C9"/>
    <w:rsid w:val="00840404"/>
    <w:rsid w:val="00840749"/>
    <w:rsid w:val="00841342"/>
    <w:rsid w:val="0084141C"/>
    <w:rsid w:val="0084143F"/>
    <w:rsid w:val="00841C87"/>
    <w:rsid w:val="00842183"/>
    <w:rsid w:val="008423E2"/>
    <w:rsid w:val="0084256C"/>
    <w:rsid w:val="00842B6A"/>
    <w:rsid w:val="00842EF1"/>
    <w:rsid w:val="0084338E"/>
    <w:rsid w:val="008434CB"/>
    <w:rsid w:val="00843726"/>
    <w:rsid w:val="0084395F"/>
    <w:rsid w:val="0084418F"/>
    <w:rsid w:val="00844EB9"/>
    <w:rsid w:val="00844FD9"/>
    <w:rsid w:val="008452F5"/>
    <w:rsid w:val="00845430"/>
    <w:rsid w:val="00845802"/>
    <w:rsid w:val="0084702F"/>
    <w:rsid w:val="008475DB"/>
    <w:rsid w:val="008478FE"/>
    <w:rsid w:val="00847DEF"/>
    <w:rsid w:val="00850AB7"/>
    <w:rsid w:val="00850E34"/>
    <w:rsid w:val="008511F0"/>
    <w:rsid w:val="008514C1"/>
    <w:rsid w:val="00851DB0"/>
    <w:rsid w:val="008529F1"/>
    <w:rsid w:val="008529FA"/>
    <w:rsid w:val="00852BF5"/>
    <w:rsid w:val="00852CFE"/>
    <w:rsid w:val="00852DC3"/>
    <w:rsid w:val="00852F6C"/>
    <w:rsid w:val="008536D3"/>
    <w:rsid w:val="008538B3"/>
    <w:rsid w:val="008538EF"/>
    <w:rsid w:val="00853CF2"/>
    <w:rsid w:val="008552BF"/>
    <w:rsid w:val="008558C0"/>
    <w:rsid w:val="008568DE"/>
    <w:rsid w:val="00856BFF"/>
    <w:rsid w:val="0085740A"/>
    <w:rsid w:val="0086059D"/>
    <w:rsid w:val="00862189"/>
    <w:rsid w:val="00862892"/>
    <w:rsid w:val="00863109"/>
    <w:rsid w:val="00863DE0"/>
    <w:rsid w:val="00864479"/>
    <w:rsid w:val="00865386"/>
    <w:rsid w:val="00865764"/>
    <w:rsid w:val="00865F04"/>
    <w:rsid w:val="00866137"/>
    <w:rsid w:val="0086618E"/>
    <w:rsid w:val="00866620"/>
    <w:rsid w:val="00866D40"/>
    <w:rsid w:val="00866F49"/>
    <w:rsid w:val="008702B9"/>
    <w:rsid w:val="008703CF"/>
    <w:rsid w:val="00870501"/>
    <w:rsid w:val="008709FB"/>
    <w:rsid w:val="00870F53"/>
    <w:rsid w:val="00871F18"/>
    <w:rsid w:val="00871FF2"/>
    <w:rsid w:val="00872627"/>
    <w:rsid w:val="00872676"/>
    <w:rsid w:val="00872B7E"/>
    <w:rsid w:val="00873240"/>
    <w:rsid w:val="008733AD"/>
    <w:rsid w:val="00873D43"/>
    <w:rsid w:val="00874365"/>
    <w:rsid w:val="00874A32"/>
    <w:rsid w:val="00874AF6"/>
    <w:rsid w:val="00874DF5"/>
    <w:rsid w:val="00875AB2"/>
    <w:rsid w:val="00875F67"/>
    <w:rsid w:val="008767FB"/>
    <w:rsid w:val="00876BE7"/>
    <w:rsid w:val="00876C85"/>
    <w:rsid w:val="008770A7"/>
    <w:rsid w:val="0087730F"/>
    <w:rsid w:val="008774D6"/>
    <w:rsid w:val="0087770C"/>
    <w:rsid w:val="00877A63"/>
    <w:rsid w:val="00877BAF"/>
    <w:rsid w:val="008801AB"/>
    <w:rsid w:val="00880511"/>
    <w:rsid w:val="008807F7"/>
    <w:rsid w:val="00880D89"/>
    <w:rsid w:val="0088128C"/>
    <w:rsid w:val="00882571"/>
    <w:rsid w:val="00882BD2"/>
    <w:rsid w:val="008830AF"/>
    <w:rsid w:val="0088313A"/>
    <w:rsid w:val="00883ABD"/>
    <w:rsid w:val="00883AD5"/>
    <w:rsid w:val="008842E7"/>
    <w:rsid w:val="008856BA"/>
    <w:rsid w:val="00885E22"/>
    <w:rsid w:val="008860AE"/>
    <w:rsid w:val="0088626B"/>
    <w:rsid w:val="008863D2"/>
    <w:rsid w:val="00886499"/>
    <w:rsid w:val="008868E8"/>
    <w:rsid w:val="008869A3"/>
    <w:rsid w:val="00886B18"/>
    <w:rsid w:val="00886C06"/>
    <w:rsid w:val="0088707F"/>
    <w:rsid w:val="008875F9"/>
    <w:rsid w:val="00887A0B"/>
    <w:rsid w:val="00887AA1"/>
    <w:rsid w:val="008901E5"/>
    <w:rsid w:val="00890252"/>
    <w:rsid w:val="008905A1"/>
    <w:rsid w:val="00890BB2"/>
    <w:rsid w:val="00891143"/>
    <w:rsid w:val="00891E50"/>
    <w:rsid w:val="0089209C"/>
    <w:rsid w:val="008924E5"/>
    <w:rsid w:val="0089265B"/>
    <w:rsid w:val="00892FA7"/>
    <w:rsid w:val="008938CF"/>
    <w:rsid w:val="00893C16"/>
    <w:rsid w:val="0089436F"/>
    <w:rsid w:val="008947C1"/>
    <w:rsid w:val="00895FB7"/>
    <w:rsid w:val="00896281"/>
    <w:rsid w:val="008963A3"/>
    <w:rsid w:val="00897423"/>
    <w:rsid w:val="008977FB"/>
    <w:rsid w:val="00897A6C"/>
    <w:rsid w:val="00897CF6"/>
    <w:rsid w:val="00897D44"/>
    <w:rsid w:val="008A05A5"/>
    <w:rsid w:val="008A06FC"/>
    <w:rsid w:val="008A077E"/>
    <w:rsid w:val="008A1506"/>
    <w:rsid w:val="008A1E6C"/>
    <w:rsid w:val="008A256C"/>
    <w:rsid w:val="008A2812"/>
    <w:rsid w:val="008A2921"/>
    <w:rsid w:val="008A3263"/>
    <w:rsid w:val="008A3744"/>
    <w:rsid w:val="008A40CA"/>
    <w:rsid w:val="008A4120"/>
    <w:rsid w:val="008A45CE"/>
    <w:rsid w:val="008A49A5"/>
    <w:rsid w:val="008A52D0"/>
    <w:rsid w:val="008A55EF"/>
    <w:rsid w:val="008A573E"/>
    <w:rsid w:val="008A5D68"/>
    <w:rsid w:val="008A5DC7"/>
    <w:rsid w:val="008A5EC0"/>
    <w:rsid w:val="008A5FC3"/>
    <w:rsid w:val="008A641D"/>
    <w:rsid w:val="008A6C23"/>
    <w:rsid w:val="008A72F1"/>
    <w:rsid w:val="008A7395"/>
    <w:rsid w:val="008A73A9"/>
    <w:rsid w:val="008A764C"/>
    <w:rsid w:val="008A76F6"/>
    <w:rsid w:val="008A7A00"/>
    <w:rsid w:val="008A7B11"/>
    <w:rsid w:val="008A7DB4"/>
    <w:rsid w:val="008A7DEE"/>
    <w:rsid w:val="008A7F4C"/>
    <w:rsid w:val="008B00DF"/>
    <w:rsid w:val="008B00EA"/>
    <w:rsid w:val="008B085A"/>
    <w:rsid w:val="008B1437"/>
    <w:rsid w:val="008B2CA4"/>
    <w:rsid w:val="008B2CF0"/>
    <w:rsid w:val="008B2F58"/>
    <w:rsid w:val="008B40E1"/>
    <w:rsid w:val="008B45BB"/>
    <w:rsid w:val="008B47C9"/>
    <w:rsid w:val="008B4DC2"/>
    <w:rsid w:val="008B5D40"/>
    <w:rsid w:val="008B5EB0"/>
    <w:rsid w:val="008B6822"/>
    <w:rsid w:val="008B6CA4"/>
    <w:rsid w:val="008B6E38"/>
    <w:rsid w:val="008B7B02"/>
    <w:rsid w:val="008B7F3D"/>
    <w:rsid w:val="008B7FF3"/>
    <w:rsid w:val="008C01A5"/>
    <w:rsid w:val="008C029E"/>
    <w:rsid w:val="008C097A"/>
    <w:rsid w:val="008C0A7B"/>
    <w:rsid w:val="008C0F54"/>
    <w:rsid w:val="008C10C9"/>
    <w:rsid w:val="008C1658"/>
    <w:rsid w:val="008C174F"/>
    <w:rsid w:val="008C26F2"/>
    <w:rsid w:val="008C2830"/>
    <w:rsid w:val="008C2DCB"/>
    <w:rsid w:val="008C360C"/>
    <w:rsid w:val="008C52E9"/>
    <w:rsid w:val="008C5334"/>
    <w:rsid w:val="008C5D81"/>
    <w:rsid w:val="008C6027"/>
    <w:rsid w:val="008C63F4"/>
    <w:rsid w:val="008C6450"/>
    <w:rsid w:val="008C6977"/>
    <w:rsid w:val="008C69C2"/>
    <w:rsid w:val="008C6DBC"/>
    <w:rsid w:val="008C76B1"/>
    <w:rsid w:val="008C7CBE"/>
    <w:rsid w:val="008C7E66"/>
    <w:rsid w:val="008D00AA"/>
    <w:rsid w:val="008D0FD1"/>
    <w:rsid w:val="008D1048"/>
    <w:rsid w:val="008D170F"/>
    <w:rsid w:val="008D2187"/>
    <w:rsid w:val="008D278F"/>
    <w:rsid w:val="008D27B1"/>
    <w:rsid w:val="008D2973"/>
    <w:rsid w:val="008D32F2"/>
    <w:rsid w:val="008D3418"/>
    <w:rsid w:val="008D34A5"/>
    <w:rsid w:val="008D3B2E"/>
    <w:rsid w:val="008D3C58"/>
    <w:rsid w:val="008D46C0"/>
    <w:rsid w:val="008D5CA1"/>
    <w:rsid w:val="008D5FE3"/>
    <w:rsid w:val="008D7599"/>
    <w:rsid w:val="008E0389"/>
    <w:rsid w:val="008E0A92"/>
    <w:rsid w:val="008E127E"/>
    <w:rsid w:val="008E16FF"/>
    <w:rsid w:val="008E17AB"/>
    <w:rsid w:val="008E2841"/>
    <w:rsid w:val="008E36EE"/>
    <w:rsid w:val="008E436B"/>
    <w:rsid w:val="008E4528"/>
    <w:rsid w:val="008E4E3E"/>
    <w:rsid w:val="008E508A"/>
    <w:rsid w:val="008E54C8"/>
    <w:rsid w:val="008E577A"/>
    <w:rsid w:val="008E5C4E"/>
    <w:rsid w:val="008E69A2"/>
    <w:rsid w:val="008E6C9D"/>
    <w:rsid w:val="008E75CA"/>
    <w:rsid w:val="008F0347"/>
    <w:rsid w:val="008F0760"/>
    <w:rsid w:val="008F0E14"/>
    <w:rsid w:val="008F1743"/>
    <w:rsid w:val="008F1804"/>
    <w:rsid w:val="008F1A2B"/>
    <w:rsid w:val="008F1EA2"/>
    <w:rsid w:val="008F1F0A"/>
    <w:rsid w:val="008F2133"/>
    <w:rsid w:val="008F2C38"/>
    <w:rsid w:val="008F380D"/>
    <w:rsid w:val="008F416B"/>
    <w:rsid w:val="008F43F5"/>
    <w:rsid w:val="008F4595"/>
    <w:rsid w:val="008F4C29"/>
    <w:rsid w:val="008F4E38"/>
    <w:rsid w:val="008F5006"/>
    <w:rsid w:val="008F53AE"/>
    <w:rsid w:val="008F5652"/>
    <w:rsid w:val="008F5847"/>
    <w:rsid w:val="008F5925"/>
    <w:rsid w:val="008F5C82"/>
    <w:rsid w:val="008F5CB7"/>
    <w:rsid w:val="008F61DE"/>
    <w:rsid w:val="008F62D6"/>
    <w:rsid w:val="008F74F9"/>
    <w:rsid w:val="008F7633"/>
    <w:rsid w:val="008F7C08"/>
    <w:rsid w:val="008F7EF4"/>
    <w:rsid w:val="008F7F32"/>
    <w:rsid w:val="00900144"/>
    <w:rsid w:val="00900189"/>
    <w:rsid w:val="0090038B"/>
    <w:rsid w:val="00900913"/>
    <w:rsid w:val="0090093B"/>
    <w:rsid w:val="009010EA"/>
    <w:rsid w:val="009014C8"/>
    <w:rsid w:val="009014E3"/>
    <w:rsid w:val="00901775"/>
    <w:rsid w:val="00901AB6"/>
    <w:rsid w:val="00901D10"/>
    <w:rsid w:val="00902094"/>
    <w:rsid w:val="00902714"/>
    <w:rsid w:val="00902A38"/>
    <w:rsid w:val="00902ECC"/>
    <w:rsid w:val="00903125"/>
    <w:rsid w:val="009033CB"/>
    <w:rsid w:val="009047EC"/>
    <w:rsid w:val="00904B77"/>
    <w:rsid w:val="00905DCE"/>
    <w:rsid w:val="00906018"/>
    <w:rsid w:val="0090646D"/>
    <w:rsid w:val="00906BB7"/>
    <w:rsid w:val="00906DF8"/>
    <w:rsid w:val="00907136"/>
    <w:rsid w:val="0090728E"/>
    <w:rsid w:val="0090731E"/>
    <w:rsid w:val="00907632"/>
    <w:rsid w:val="009105A8"/>
    <w:rsid w:val="00910BFF"/>
    <w:rsid w:val="00910D4E"/>
    <w:rsid w:val="00910DFF"/>
    <w:rsid w:val="00910F28"/>
    <w:rsid w:val="00911033"/>
    <w:rsid w:val="00911700"/>
    <w:rsid w:val="00911956"/>
    <w:rsid w:val="0091222A"/>
    <w:rsid w:val="0091245B"/>
    <w:rsid w:val="009125A6"/>
    <w:rsid w:val="00912DEC"/>
    <w:rsid w:val="009132CC"/>
    <w:rsid w:val="00913EA1"/>
    <w:rsid w:val="00913F92"/>
    <w:rsid w:val="00914703"/>
    <w:rsid w:val="0091478D"/>
    <w:rsid w:val="009147E0"/>
    <w:rsid w:val="0091481A"/>
    <w:rsid w:val="00914FC0"/>
    <w:rsid w:val="00915047"/>
    <w:rsid w:val="00915538"/>
    <w:rsid w:val="00916098"/>
    <w:rsid w:val="0091610E"/>
    <w:rsid w:val="00916142"/>
    <w:rsid w:val="00916358"/>
    <w:rsid w:val="009164CC"/>
    <w:rsid w:val="00916C8D"/>
    <w:rsid w:val="00916EF7"/>
    <w:rsid w:val="00917022"/>
    <w:rsid w:val="00917254"/>
    <w:rsid w:val="00920094"/>
    <w:rsid w:val="0092021B"/>
    <w:rsid w:val="009202A1"/>
    <w:rsid w:val="00920510"/>
    <w:rsid w:val="00921933"/>
    <w:rsid w:val="009222FE"/>
    <w:rsid w:val="00922A82"/>
    <w:rsid w:val="0092305A"/>
    <w:rsid w:val="00923158"/>
    <w:rsid w:val="0092426C"/>
    <w:rsid w:val="00924958"/>
    <w:rsid w:val="00924B91"/>
    <w:rsid w:val="0092526E"/>
    <w:rsid w:val="009253FD"/>
    <w:rsid w:val="009255D9"/>
    <w:rsid w:val="009260CD"/>
    <w:rsid w:val="0092683A"/>
    <w:rsid w:val="009269C2"/>
    <w:rsid w:val="00926DA1"/>
    <w:rsid w:val="00927897"/>
    <w:rsid w:val="009278DA"/>
    <w:rsid w:val="009279A0"/>
    <w:rsid w:val="009304AD"/>
    <w:rsid w:val="00930515"/>
    <w:rsid w:val="00930A64"/>
    <w:rsid w:val="00930F45"/>
    <w:rsid w:val="00931214"/>
    <w:rsid w:val="0093130B"/>
    <w:rsid w:val="00931D62"/>
    <w:rsid w:val="0093201A"/>
    <w:rsid w:val="00932D09"/>
    <w:rsid w:val="0093343C"/>
    <w:rsid w:val="009337B9"/>
    <w:rsid w:val="0093393F"/>
    <w:rsid w:val="009339B1"/>
    <w:rsid w:val="00934003"/>
    <w:rsid w:val="009345BF"/>
    <w:rsid w:val="00935463"/>
    <w:rsid w:val="00935721"/>
    <w:rsid w:val="009363ED"/>
    <w:rsid w:val="00937044"/>
    <w:rsid w:val="009377F9"/>
    <w:rsid w:val="009379D0"/>
    <w:rsid w:val="00937C0E"/>
    <w:rsid w:val="00937E49"/>
    <w:rsid w:val="00940182"/>
    <w:rsid w:val="009408CC"/>
    <w:rsid w:val="009408FF"/>
    <w:rsid w:val="00940E36"/>
    <w:rsid w:val="00940F67"/>
    <w:rsid w:val="00940FA3"/>
    <w:rsid w:val="009419C5"/>
    <w:rsid w:val="00941BD8"/>
    <w:rsid w:val="00942396"/>
    <w:rsid w:val="009437EA"/>
    <w:rsid w:val="00943833"/>
    <w:rsid w:val="00943BD9"/>
    <w:rsid w:val="009440C9"/>
    <w:rsid w:val="009441AA"/>
    <w:rsid w:val="009447DF"/>
    <w:rsid w:val="00944C86"/>
    <w:rsid w:val="00944D97"/>
    <w:rsid w:val="00945941"/>
    <w:rsid w:val="00945AF7"/>
    <w:rsid w:val="00946339"/>
    <w:rsid w:val="00946F01"/>
    <w:rsid w:val="00947226"/>
    <w:rsid w:val="00947664"/>
    <w:rsid w:val="00947ACE"/>
    <w:rsid w:val="009501AE"/>
    <w:rsid w:val="0095037F"/>
    <w:rsid w:val="00950683"/>
    <w:rsid w:val="00950D23"/>
    <w:rsid w:val="00950E72"/>
    <w:rsid w:val="009514DD"/>
    <w:rsid w:val="00951584"/>
    <w:rsid w:val="00951830"/>
    <w:rsid w:val="00951A2A"/>
    <w:rsid w:val="00952164"/>
    <w:rsid w:val="00952708"/>
    <w:rsid w:val="00952B8D"/>
    <w:rsid w:val="009534D9"/>
    <w:rsid w:val="00953B09"/>
    <w:rsid w:val="00953E69"/>
    <w:rsid w:val="009543C1"/>
    <w:rsid w:val="009544C9"/>
    <w:rsid w:val="00954C59"/>
    <w:rsid w:val="00957164"/>
    <w:rsid w:val="0095772D"/>
    <w:rsid w:val="00957837"/>
    <w:rsid w:val="00957AFE"/>
    <w:rsid w:val="00957CAC"/>
    <w:rsid w:val="009601AF"/>
    <w:rsid w:val="0096156C"/>
    <w:rsid w:val="00961746"/>
    <w:rsid w:val="00961C44"/>
    <w:rsid w:val="00962706"/>
    <w:rsid w:val="00962BD3"/>
    <w:rsid w:val="00962EFC"/>
    <w:rsid w:val="00963110"/>
    <w:rsid w:val="009634CF"/>
    <w:rsid w:val="009635E4"/>
    <w:rsid w:val="00963C4E"/>
    <w:rsid w:val="00963FF3"/>
    <w:rsid w:val="0096402B"/>
    <w:rsid w:val="00964989"/>
    <w:rsid w:val="00964B55"/>
    <w:rsid w:val="009653E7"/>
    <w:rsid w:val="009655F5"/>
    <w:rsid w:val="009659CD"/>
    <w:rsid w:val="0096608C"/>
    <w:rsid w:val="0096614B"/>
    <w:rsid w:val="00966AEC"/>
    <w:rsid w:val="009671EE"/>
    <w:rsid w:val="009673CC"/>
    <w:rsid w:val="009678AF"/>
    <w:rsid w:val="0097002F"/>
    <w:rsid w:val="00970167"/>
    <w:rsid w:val="0097020F"/>
    <w:rsid w:val="009708AE"/>
    <w:rsid w:val="009712BE"/>
    <w:rsid w:val="009712E1"/>
    <w:rsid w:val="00971725"/>
    <w:rsid w:val="009721B3"/>
    <w:rsid w:val="00972F64"/>
    <w:rsid w:val="009733C1"/>
    <w:rsid w:val="00974E56"/>
    <w:rsid w:val="009757F5"/>
    <w:rsid w:val="009760C9"/>
    <w:rsid w:val="0097621E"/>
    <w:rsid w:val="0097671A"/>
    <w:rsid w:val="009775C4"/>
    <w:rsid w:val="00977BD3"/>
    <w:rsid w:val="00980084"/>
    <w:rsid w:val="0098027B"/>
    <w:rsid w:val="009804E3"/>
    <w:rsid w:val="00980572"/>
    <w:rsid w:val="00981A49"/>
    <w:rsid w:val="00981B2F"/>
    <w:rsid w:val="0098227B"/>
    <w:rsid w:val="009826ED"/>
    <w:rsid w:val="009828C4"/>
    <w:rsid w:val="009831C7"/>
    <w:rsid w:val="0098375E"/>
    <w:rsid w:val="00983801"/>
    <w:rsid w:val="009845B2"/>
    <w:rsid w:val="00984B2C"/>
    <w:rsid w:val="00984D7F"/>
    <w:rsid w:val="00985813"/>
    <w:rsid w:val="0098583E"/>
    <w:rsid w:val="00985A39"/>
    <w:rsid w:val="0098624B"/>
    <w:rsid w:val="00986C4D"/>
    <w:rsid w:val="00986E73"/>
    <w:rsid w:val="009870B7"/>
    <w:rsid w:val="009876F7"/>
    <w:rsid w:val="00987CBB"/>
    <w:rsid w:val="00987ED8"/>
    <w:rsid w:val="00990318"/>
    <w:rsid w:val="00990378"/>
    <w:rsid w:val="00990D04"/>
    <w:rsid w:val="00990E1B"/>
    <w:rsid w:val="00990F65"/>
    <w:rsid w:val="00991082"/>
    <w:rsid w:val="009918F7"/>
    <w:rsid w:val="00991FB6"/>
    <w:rsid w:val="009924B9"/>
    <w:rsid w:val="009929A4"/>
    <w:rsid w:val="00992A5D"/>
    <w:rsid w:val="00992AEF"/>
    <w:rsid w:val="00992CBF"/>
    <w:rsid w:val="00992CF0"/>
    <w:rsid w:val="00993728"/>
    <w:rsid w:val="00993A4D"/>
    <w:rsid w:val="00994276"/>
    <w:rsid w:val="009945A1"/>
    <w:rsid w:val="00994AD8"/>
    <w:rsid w:val="00994CAC"/>
    <w:rsid w:val="00995ADD"/>
    <w:rsid w:val="0099608B"/>
    <w:rsid w:val="009964A1"/>
    <w:rsid w:val="00996812"/>
    <w:rsid w:val="009968E8"/>
    <w:rsid w:val="0099704B"/>
    <w:rsid w:val="009A097F"/>
    <w:rsid w:val="009A0AD7"/>
    <w:rsid w:val="009A14C5"/>
    <w:rsid w:val="009A1806"/>
    <w:rsid w:val="009A20DF"/>
    <w:rsid w:val="009A22E4"/>
    <w:rsid w:val="009A279C"/>
    <w:rsid w:val="009A3B93"/>
    <w:rsid w:val="009A3E33"/>
    <w:rsid w:val="009A4940"/>
    <w:rsid w:val="009A4F42"/>
    <w:rsid w:val="009A5495"/>
    <w:rsid w:val="009A62D2"/>
    <w:rsid w:val="009A65A5"/>
    <w:rsid w:val="009A68E5"/>
    <w:rsid w:val="009A6C87"/>
    <w:rsid w:val="009A6CC5"/>
    <w:rsid w:val="009A708A"/>
    <w:rsid w:val="009A7334"/>
    <w:rsid w:val="009A76C7"/>
    <w:rsid w:val="009A77D5"/>
    <w:rsid w:val="009A7C98"/>
    <w:rsid w:val="009A7D64"/>
    <w:rsid w:val="009A7FCE"/>
    <w:rsid w:val="009B0359"/>
    <w:rsid w:val="009B122D"/>
    <w:rsid w:val="009B1905"/>
    <w:rsid w:val="009B19D0"/>
    <w:rsid w:val="009B1AAB"/>
    <w:rsid w:val="009B2230"/>
    <w:rsid w:val="009B24B7"/>
    <w:rsid w:val="009B2595"/>
    <w:rsid w:val="009B27FE"/>
    <w:rsid w:val="009B2A28"/>
    <w:rsid w:val="009B2A8B"/>
    <w:rsid w:val="009B308E"/>
    <w:rsid w:val="009B3515"/>
    <w:rsid w:val="009B40C5"/>
    <w:rsid w:val="009B40DF"/>
    <w:rsid w:val="009B4305"/>
    <w:rsid w:val="009B44D6"/>
    <w:rsid w:val="009B48ED"/>
    <w:rsid w:val="009B4CE8"/>
    <w:rsid w:val="009B4F65"/>
    <w:rsid w:val="009B5E9F"/>
    <w:rsid w:val="009B615E"/>
    <w:rsid w:val="009B66D7"/>
    <w:rsid w:val="009B690B"/>
    <w:rsid w:val="009B6945"/>
    <w:rsid w:val="009B7213"/>
    <w:rsid w:val="009B7FC1"/>
    <w:rsid w:val="009C037D"/>
    <w:rsid w:val="009C05C4"/>
    <w:rsid w:val="009C0600"/>
    <w:rsid w:val="009C08EA"/>
    <w:rsid w:val="009C0D83"/>
    <w:rsid w:val="009C0E13"/>
    <w:rsid w:val="009C112A"/>
    <w:rsid w:val="009C1342"/>
    <w:rsid w:val="009C17B7"/>
    <w:rsid w:val="009C1A05"/>
    <w:rsid w:val="009C2905"/>
    <w:rsid w:val="009C34F6"/>
    <w:rsid w:val="009C3503"/>
    <w:rsid w:val="009C3A49"/>
    <w:rsid w:val="009C3B3D"/>
    <w:rsid w:val="009C499A"/>
    <w:rsid w:val="009C50F5"/>
    <w:rsid w:val="009C537F"/>
    <w:rsid w:val="009C593B"/>
    <w:rsid w:val="009C66D6"/>
    <w:rsid w:val="009C6778"/>
    <w:rsid w:val="009C6D66"/>
    <w:rsid w:val="009C70B5"/>
    <w:rsid w:val="009C7225"/>
    <w:rsid w:val="009C72AA"/>
    <w:rsid w:val="009C74F3"/>
    <w:rsid w:val="009C7FBA"/>
    <w:rsid w:val="009D0170"/>
    <w:rsid w:val="009D0486"/>
    <w:rsid w:val="009D08C8"/>
    <w:rsid w:val="009D0AD6"/>
    <w:rsid w:val="009D101C"/>
    <w:rsid w:val="009D16F9"/>
    <w:rsid w:val="009D17FB"/>
    <w:rsid w:val="009D1AC7"/>
    <w:rsid w:val="009D1B21"/>
    <w:rsid w:val="009D2CF6"/>
    <w:rsid w:val="009D2EC8"/>
    <w:rsid w:val="009D2FD7"/>
    <w:rsid w:val="009D3646"/>
    <w:rsid w:val="009D391D"/>
    <w:rsid w:val="009D39C6"/>
    <w:rsid w:val="009D3D55"/>
    <w:rsid w:val="009D4680"/>
    <w:rsid w:val="009D4BB5"/>
    <w:rsid w:val="009D5B9F"/>
    <w:rsid w:val="009D5D0D"/>
    <w:rsid w:val="009D5D86"/>
    <w:rsid w:val="009D5E56"/>
    <w:rsid w:val="009D6EA0"/>
    <w:rsid w:val="009D7253"/>
    <w:rsid w:val="009D741B"/>
    <w:rsid w:val="009D7745"/>
    <w:rsid w:val="009D7878"/>
    <w:rsid w:val="009D7DBD"/>
    <w:rsid w:val="009E02D1"/>
    <w:rsid w:val="009E0549"/>
    <w:rsid w:val="009E0A32"/>
    <w:rsid w:val="009E0E24"/>
    <w:rsid w:val="009E0F78"/>
    <w:rsid w:val="009E14CE"/>
    <w:rsid w:val="009E16B4"/>
    <w:rsid w:val="009E189E"/>
    <w:rsid w:val="009E1E57"/>
    <w:rsid w:val="009E2542"/>
    <w:rsid w:val="009E285E"/>
    <w:rsid w:val="009E2FDA"/>
    <w:rsid w:val="009E321E"/>
    <w:rsid w:val="009E325B"/>
    <w:rsid w:val="009E3AAC"/>
    <w:rsid w:val="009E3BD0"/>
    <w:rsid w:val="009E3C0C"/>
    <w:rsid w:val="009E4C2D"/>
    <w:rsid w:val="009E4E2B"/>
    <w:rsid w:val="009E4E5C"/>
    <w:rsid w:val="009E5531"/>
    <w:rsid w:val="009E60FB"/>
    <w:rsid w:val="009E6941"/>
    <w:rsid w:val="009E6CF3"/>
    <w:rsid w:val="009E7903"/>
    <w:rsid w:val="009F01C4"/>
    <w:rsid w:val="009F05E6"/>
    <w:rsid w:val="009F0DF8"/>
    <w:rsid w:val="009F103B"/>
    <w:rsid w:val="009F1445"/>
    <w:rsid w:val="009F1AF5"/>
    <w:rsid w:val="009F293D"/>
    <w:rsid w:val="009F2EFC"/>
    <w:rsid w:val="009F300D"/>
    <w:rsid w:val="009F327E"/>
    <w:rsid w:val="009F3316"/>
    <w:rsid w:val="009F34D5"/>
    <w:rsid w:val="009F53B5"/>
    <w:rsid w:val="009F5440"/>
    <w:rsid w:val="009F5D73"/>
    <w:rsid w:val="009F62A5"/>
    <w:rsid w:val="009F6913"/>
    <w:rsid w:val="009F7174"/>
    <w:rsid w:val="009F7A63"/>
    <w:rsid w:val="00A00076"/>
    <w:rsid w:val="00A00416"/>
    <w:rsid w:val="00A01078"/>
    <w:rsid w:val="00A013AB"/>
    <w:rsid w:val="00A01839"/>
    <w:rsid w:val="00A022AE"/>
    <w:rsid w:val="00A02533"/>
    <w:rsid w:val="00A028E3"/>
    <w:rsid w:val="00A02C02"/>
    <w:rsid w:val="00A034B5"/>
    <w:rsid w:val="00A03C63"/>
    <w:rsid w:val="00A04493"/>
    <w:rsid w:val="00A04CBF"/>
    <w:rsid w:val="00A050C9"/>
    <w:rsid w:val="00A0594D"/>
    <w:rsid w:val="00A05A6C"/>
    <w:rsid w:val="00A06675"/>
    <w:rsid w:val="00A06DDF"/>
    <w:rsid w:val="00A0791F"/>
    <w:rsid w:val="00A07E6C"/>
    <w:rsid w:val="00A1011B"/>
    <w:rsid w:val="00A11B2B"/>
    <w:rsid w:val="00A12E7B"/>
    <w:rsid w:val="00A13186"/>
    <w:rsid w:val="00A13769"/>
    <w:rsid w:val="00A13C92"/>
    <w:rsid w:val="00A13E9D"/>
    <w:rsid w:val="00A14513"/>
    <w:rsid w:val="00A14533"/>
    <w:rsid w:val="00A14754"/>
    <w:rsid w:val="00A14BF8"/>
    <w:rsid w:val="00A14D63"/>
    <w:rsid w:val="00A15208"/>
    <w:rsid w:val="00A157E2"/>
    <w:rsid w:val="00A159F7"/>
    <w:rsid w:val="00A166CE"/>
    <w:rsid w:val="00A169C8"/>
    <w:rsid w:val="00A16D05"/>
    <w:rsid w:val="00A16D94"/>
    <w:rsid w:val="00A16EF4"/>
    <w:rsid w:val="00A172F3"/>
    <w:rsid w:val="00A17377"/>
    <w:rsid w:val="00A1749A"/>
    <w:rsid w:val="00A1754B"/>
    <w:rsid w:val="00A17DBC"/>
    <w:rsid w:val="00A20225"/>
    <w:rsid w:val="00A20C9C"/>
    <w:rsid w:val="00A21235"/>
    <w:rsid w:val="00A214FC"/>
    <w:rsid w:val="00A21804"/>
    <w:rsid w:val="00A219E5"/>
    <w:rsid w:val="00A2202E"/>
    <w:rsid w:val="00A2217F"/>
    <w:rsid w:val="00A2262C"/>
    <w:rsid w:val="00A22951"/>
    <w:rsid w:val="00A22A73"/>
    <w:rsid w:val="00A22CD2"/>
    <w:rsid w:val="00A2357B"/>
    <w:rsid w:val="00A23CE2"/>
    <w:rsid w:val="00A23E2C"/>
    <w:rsid w:val="00A25222"/>
    <w:rsid w:val="00A2537B"/>
    <w:rsid w:val="00A25649"/>
    <w:rsid w:val="00A2568C"/>
    <w:rsid w:val="00A257DA"/>
    <w:rsid w:val="00A25965"/>
    <w:rsid w:val="00A25AC4"/>
    <w:rsid w:val="00A25CBF"/>
    <w:rsid w:val="00A265B2"/>
    <w:rsid w:val="00A26886"/>
    <w:rsid w:val="00A26934"/>
    <w:rsid w:val="00A2751A"/>
    <w:rsid w:val="00A275E0"/>
    <w:rsid w:val="00A2787F"/>
    <w:rsid w:val="00A27BB4"/>
    <w:rsid w:val="00A27CA4"/>
    <w:rsid w:val="00A27F10"/>
    <w:rsid w:val="00A30477"/>
    <w:rsid w:val="00A30622"/>
    <w:rsid w:val="00A30BAE"/>
    <w:rsid w:val="00A32128"/>
    <w:rsid w:val="00A32561"/>
    <w:rsid w:val="00A33411"/>
    <w:rsid w:val="00A33772"/>
    <w:rsid w:val="00A339D8"/>
    <w:rsid w:val="00A34280"/>
    <w:rsid w:val="00A345D3"/>
    <w:rsid w:val="00A34F86"/>
    <w:rsid w:val="00A35668"/>
    <w:rsid w:val="00A357AA"/>
    <w:rsid w:val="00A35D35"/>
    <w:rsid w:val="00A360B5"/>
    <w:rsid w:val="00A367BA"/>
    <w:rsid w:val="00A36D71"/>
    <w:rsid w:val="00A36F32"/>
    <w:rsid w:val="00A36F7B"/>
    <w:rsid w:val="00A376E2"/>
    <w:rsid w:val="00A377DA"/>
    <w:rsid w:val="00A4075E"/>
    <w:rsid w:val="00A408EB"/>
    <w:rsid w:val="00A40A35"/>
    <w:rsid w:val="00A4118B"/>
    <w:rsid w:val="00A4125C"/>
    <w:rsid w:val="00A417E8"/>
    <w:rsid w:val="00A4193C"/>
    <w:rsid w:val="00A4262D"/>
    <w:rsid w:val="00A42C08"/>
    <w:rsid w:val="00A43C12"/>
    <w:rsid w:val="00A43E17"/>
    <w:rsid w:val="00A4462A"/>
    <w:rsid w:val="00A448CB"/>
    <w:rsid w:val="00A4499A"/>
    <w:rsid w:val="00A449BB"/>
    <w:rsid w:val="00A44E7A"/>
    <w:rsid w:val="00A4575B"/>
    <w:rsid w:val="00A459D1"/>
    <w:rsid w:val="00A4600D"/>
    <w:rsid w:val="00A460AD"/>
    <w:rsid w:val="00A4641B"/>
    <w:rsid w:val="00A46D77"/>
    <w:rsid w:val="00A46F42"/>
    <w:rsid w:val="00A479CF"/>
    <w:rsid w:val="00A47A26"/>
    <w:rsid w:val="00A47EE9"/>
    <w:rsid w:val="00A5051B"/>
    <w:rsid w:val="00A51C6B"/>
    <w:rsid w:val="00A521B9"/>
    <w:rsid w:val="00A52878"/>
    <w:rsid w:val="00A52FC7"/>
    <w:rsid w:val="00A53A39"/>
    <w:rsid w:val="00A53D3C"/>
    <w:rsid w:val="00A543B7"/>
    <w:rsid w:val="00A546DB"/>
    <w:rsid w:val="00A54934"/>
    <w:rsid w:val="00A54A75"/>
    <w:rsid w:val="00A54D6E"/>
    <w:rsid w:val="00A54EDF"/>
    <w:rsid w:val="00A54FF5"/>
    <w:rsid w:val="00A55330"/>
    <w:rsid w:val="00A555B3"/>
    <w:rsid w:val="00A55EF6"/>
    <w:rsid w:val="00A56191"/>
    <w:rsid w:val="00A56200"/>
    <w:rsid w:val="00A56D27"/>
    <w:rsid w:val="00A571C4"/>
    <w:rsid w:val="00A57A69"/>
    <w:rsid w:val="00A57C02"/>
    <w:rsid w:val="00A57DF1"/>
    <w:rsid w:val="00A57E51"/>
    <w:rsid w:val="00A602BE"/>
    <w:rsid w:val="00A603A5"/>
    <w:rsid w:val="00A60727"/>
    <w:rsid w:val="00A607E7"/>
    <w:rsid w:val="00A60AC9"/>
    <w:rsid w:val="00A60D60"/>
    <w:rsid w:val="00A60D7C"/>
    <w:rsid w:val="00A61040"/>
    <w:rsid w:val="00A617F5"/>
    <w:rsid w:val="00A62528"/>
    <w:rsid w:val="00A625D0"/>
    <w:rsid w:val="00A6286A"/>
    <w:rsid w:val="00A62B4D"/>
    <w:rsid w:val="00A62F35"/>
    <w:rsid w:val="00A63992"/>
    <w:rsid w:val="00A63D40"/>
    <w:rsid w:val="00A64319"/>
    <w:rsid w:val="00A65033"/>
    <w:rsid w:val="00A650AD"/>
    <w:rsid w:val="00A653DA"/>
    <w:rsid w:val="00A658D7"/>
    <w:rsid w:val="00A65934"/>
    <w:rsid w:val="00A6626D"/>
    <w:rsid w:val="00A667C1"/>
    <w:rsid w:val="00A66C73"/>
    <w:rsid w:val="00A67BF2"/>
    <w:rsid w:val="00A67D42"/>
    <w:rsid w:val="00A704E6"/>
    <w:rsid w:val="00A70553"/>
    <w:rsid w:val="00A70585"/>
    <w:rsid w:val="00A70D49"/>
    <w:rsid w:val="00A72049"/>
    <w:rsid w:val="00A72317"/>
    <w:rsid w:val="00A72413"/>
    <w:rsid w:val="00A725A6"/>
    <w:rsid w:val="00A72EFB"/>
    <w:rsid w:val="00A7326E"/>
    <w:rsid w:val="00A742E1"/>
    <w:rsid w:val="00A750A9"/>
    <w:rsid w:val="00A75351"/>
    <w:rsid w:val="00A75CAE"/>
    <w:rsid w:val="00A765C9"/>
    <w:rsid w:val="00A76CE0"/>
    <w:rsid w:val="00A76E87"/>
    <w:rsid w:val="00A76EE6"/>
    <w:rsid w:val="00A76F2F"/>
    <w:rsid w:val="00A77380"/>
    <w:rsid w:val="00A77492"/>
    <w:rsid w:val="00A778D7"/>
    <w:rsid w:val="00A779C0"/>
    <w:rsid w:val="00A8086C"/>
    <w:rsid w:val="00A80918"/>
    <w:rsid w:val="00A80FE6"/>
    <w:rsid w:val="00A8134B"/>
    <w:rsid w:val="00A81751"/>
    <w:rsid w:val="00A81794"/>
    <w:rsid w:val="00A81B01"/>
    <w:rsid w:val="00A82786"/>
    <w:rsid w:val="00A829EE"/>
    <w:rsid w:val="00A82A2A"/>
    <w:rsid w:val="00A82B63"/>
    <w:rsid w:val="00A83201"/>
    <w:rsid w:val="00A835FF"/>
    <w:rsid w:val="00A83DEE"/>
    <w:rsid w:val="00A84312"/>
    <w:rsid w:val="00A8500D"/>
    <w:rsid w:val="00A85CC1"/>
    <w:rsid w:val="00A8685C"/>
    <w:rsid w:val="00A86E30"/>
    <w:rsid w:val="00A86FE4"/>
    <w:rsid w:val="00A87283"/>
    <w:rsid w:val="00A8729E"/>
    <w:rsid w:val="00A87345"/>
    <w:rsid w:val="00A873C2"/>
    <w:rsid w:val="00A8799E"/>
    <w:rsid w:val="00A87B27"/>
    <w:rsid w:val="00A87B2E"/>
    <w:rsid w:val="00A87F50"/>
    <w:rsid w:val="00A906AA"/>
    <w:rsid w:val="00A90B15"/>
    <w:rsid w:val="00A91CFE"/>
    <w:rsid w:val="00A91F55"/>
    <w:rsid w:val="00A923F5"/>
    <w:rsid w:val="00A9242F"/>
    <w:rsid w:val="00A92D5A"/>
    <w:rsid w:val="00A92E9D"/>
    <w:rsid w:val="00A92EB6"/>
    <w:rsid w:val="00A92F7D"/>
    <w:rsid w:val="00A9366E"/>
    <w:rsid w:val="00A93A52"/>
    <w:rsid w:val="00A94FFA"/>
    <w:rsid w:val="00A95032"/>
    <w:rsid w:val="00A95FF2"/>
    <w:rsid w:val="00A962AF"/>
    <w:rsid w:val="00A96461"/>
    <w:rsid w:val="00A97FD0"/>
    <w:rsid w:val="00AA04D3"/>
    <w:rsid w:val="00AA0AE5"/>
    <w:rsid w:val="00AA0CD0"/>
    <w:rsid w:val="00AA1039"/>
    <w:rsid w:val="00AA12E0"/>
    <w:rsid w:val="00AA18DD"/>
    <w:rsid w:val="00AA1C70"/>
    <w:rsid w:val="00AA201C"/>
    <w:rsid w:val="00AA227C"/>
    <w:rsid w:val="00AA229E"/>
    <w:rsid w:val="00AA28DE"/>
    <w:rsid w:val="00AA2C38"/>
    <w:rsid w:val="00AA2C9E"/>
    <w:rsid w:val="00AA37BD"/>
    <w:rsid w:val="00AA3B42"/>
    <w:rsid w:val="00AA3D27"/>
    <w:rsid w:val="00AA4287"/>
    <w:rsid w:val="00AA4A73"/>
    <w:rsid w:val="00AA4C6A"/>
    <w:rsid w:val="00AA51B4"/>
    <w:rsid w:val="00AA548E"/>
    <w:rsid w:val="00AA58E2"/>
    <w:rsid w:val="00AA5B94"/>
    <w:rsid w:val="00AA65EC"/>
    <w:rsid w:val="00AA6C0F"/>
    <w:rsid w:val="00AA6F0A"/>
    <w:rsid w:val="00AA6FBA"/>
    <w:rsid w:val="00AA76D0"/>
    <w:rsid w:val="00AA78D9"/>
    <w:rsid w:val="00AA7C79"/>
    <w:rsid w:val="00AB0277"/>
    <w:rsid w:val="00AB0775"/>
    <w:rsid w:val="00AB08EE"/>
    <w:rsid w:val="00AB0C64"/>
    <w:rsid w:val="00AB0EA3"/>
    <w:rsid w:val="00AB2300"/>
    <w:rsid w:val="00AB2960"/>
    <w:rsid w:val="00AB2B0E"/>
    <w:rsid w:val="00AB2F15"/>
    <w:rsid w:val="00AB32A1"/>
    <w:rsid w:val="00AB34EE"/>
    <w:rsid w:val="00AB4491"/>
    <w:rsid w:val="00AB4D8E"/>
    <w:rsid w:val="00AB5E77"/>
    <w:rsid w:val="00AB6168"/>
    <w:rsid w:val="00AB6552"/>
    <w:rsid w:val="00AB662E"/>
    <w:rsid w:val="00AB7030"/>
    <w:rsid w:val="00AB7333"/>
    <w:rsid w:val="00AB7651"/>
    <w:rsid w:val="00AB780A"/>
    <w:rsid w:val="00AB7920"/>
    <w:rsid w:val="00AB79E3"/>
    <w:rsid w:val="00AC0C11"/>
    <w:rsid w:val="00AC0F6B"/>
    <w:rsid w:val="00AC1326"/>
    <w:rsid w:val="00AC198A"/>
    <w:rsid w:val="00AC1C69"/>
    <w:rsid w:val="00AC1DAE"/>
    <w:rsid w:val="00AC2852"/>
    <w:rsid w:val="00AC2ECD"/>
    <w:rsid w:val="00AC3E22"/>
    <w:rsid w:val="00AC40FA"/>
    <w:rsid w:val="00AC4350"/>
    <w:rsid w:val="00AC47B3"/>
    <w:rsid w:val="00AC4F01"/>
    <w:rsid w:val="00AC5290"/>
    <w:rsid w:val="00AC5A96"/>
    <w:rsid w:val="00AC6034"/>
    <w:rsid w:val="00AC64CB"/>
    <w:rsid w:val="00AC65BA"/>
    <w:rsid w:val="00AC65BC"/>
    <w:rsid w:val="00AC680F"/>
    <w:rsid w:val="00AC6E35"/>
    <w:rsid w:val="00AC7160"/>
    <w:rsid w:val="00AC7323"/>
    <w:rsid w:val="00AC7385"/>
    <w:rsid w:val="00AC7F8E"/>
    <w:rsid w:val="00AD0264"/>
    <w:rsid w:val="00AD0353"/>
    <w:rsid w:val="00AD1177"/>
    <w:rsid w:val="00AD11F7"/>
    <w:rsid w:val="00AD13C8"/>
    <w:rsid w:val="00AD17F0"/>
    <w:rsid w:val="00AD1A9C"/>
    <w:rsid w:val="00AD1B0B"/>
    <w:rsid w:val="00AD20A0"/>
    <w:rsid w:val="00AD2F04"/>
    <w:rsid w:val="00AD31F5"/>
    <w:rsid w:val="00AD33B6"/>
    <w:rsid w:val="00AD33DF"/>
    <w:rsid w:val="00AD341C"/>
    <w:rsid w:val="00AD3809"/>
    <w:rsid w:val="00AD3CD5"/>
    <w:rsid w:val="00AD3EA7"/>
    <w:rsid w:val="00AD4719"/>
    <w:rsid w:val="00AD484C"/>
    <w:rsid w:val="00AD4887"/>
    <w:rsid w:val="00AD4C13"/>
    <w:rsid w:val="00AD4DC6"/>
    <w:rsid w:val="00AD66EE"/>
    <w:rsid w:val="00AD6C51"/>
    <w:rsid w:val="00AD7622"/>
    <w:rsid w:val="00AD775A"/>
    <w:rsid w:val="00AD77E4"/>
    <w:rsid w:val="00AD79E8"/>
    <w:rsid w:val="00AD7D5E"/>
    <w:rsid w:val="00AD7F34"/>
    <w:rsid w:val="00AD7FC5"/>
    <w:rsid w:val="00AE0B47"/>
    <w:rsid w:val="00AE0C01"/>
    <w:rsid w:val="00AE0F61"/>
    <w:rsid w:val="00AE1382"/>
    <w:rsid w:val="00AE1DB4"/>
    <w:rsid w:val="00AE1E3B"/>
    <w:rsid w:val="00AE22E7"/>
    <w:rsid w:val="00AE2323"/>
    <w:rsid w:val="00AE26D8"/>
    <w:rsid w:val="00AE2911"/>
    <w:rsid w:val="00AE2AC7"/>
    <w:rsid w:val="00AE2B59"/>
    <w:rsid w:val="00AE2E24"/>
    <w:rsid w:val="00AE36F7"/>
    <w:rsid w:val="00AE4775"/>
    <w:rsid w:val="00AE4A4D"/>
    <w:rsid w:val="00AE4CB9"/>
    <w:rsid w:val="00AE55AD"/>
    <w:rsid w:val="00AE5DBA"/>
    <w:rsid w:val="00AE5E2E"/>
    <w:rsid w:val="00AE7070"/>
    <w:rsid w:val="00AE7A9A"/>
    <w:rsid w:val="00AE7B90"/>
    <w:rsid w:val="00AE7E98"/>
    <w:rsid w:val="00AF02D4"/>
    <w:rsid w:val="00AF0C63"/>
    <w:rsid w:val="00AF1359"/>
    <w:rsid w:val="00AF18CF"/>
    <w:rsid w:val="00AF2BA5"/>
    <w:rsid w:val="00AF2D3D"/>
    <w:rsid w:val="00AF2FDB"/>
    <w:rsid w:val="00AF3606"/>
    <w:rsid w:val="00AF4279"/>
    <w:rsid w:val="00AF4D49"/>
    <w:rsid w:val="00AF4DCB"/>
    <w:rsid w:val="00AF4F98"/>
    <w:rsid w:val="00AF54C1"/>
    <w:rsid w:val="00AF5674"/>
    <w:rsid w:val="00AF592B"/>
    <w:rsid w:val="00AF59BE"/>
    <w:rsid w:val="00AF6C2F"/>
    <w:rsid w:val="00AF6C72"/>
    <w:rsid w:val="00AF6E4A"/>
    <w:rsid w:val="00AF735A"/>
    <w:rsid w:val="00AF74D3"/>
    <w:rsid w:val="00AF7646"/>
    <w:rsid w:val="00AF77FD"/>
    <w:rsid w:val="00AF7AD2"/>
    <w:rsid w:val="00B00763"/>
    <w:rsid w:val="00B01622"/>
    <w:rsid w:val="00B01A06"/>
    <w:rsid w:val="00B02E27"/>
    <w:rsid w:val="00B02E97"/>
    <w:rsid w:val="00B02FB0"/>
    <w:rsid w:val="00B030CC"/>
    <w:rsid w:val="00B03535"/>
    <w:rsid w:val="00B03B80"/>
    <w:rsid w:val="00B0423A"/>
    <w:rsid w:val="00B042B3"/>
    <w:rsid w:val="00B04463"/>
    <w:rsid w:val="00B04AC9"/>
    <w:rsid w:val="00B04C18"/>
    <w:rsid w:val="00B04D43"/>
    <w:rsid w:val="00B04DC8"/>
    <w:rsid w:val="00B05050"/>
    <w:rsid w:val="00B053D2"/>
    <w:rsid w:val="00B05CF3"/>
    <w:rsid w:val="00B05D01"/>
    <w:rsid w:val="00B061D8"/>
    <w:rsid w:val="00B066BB"/>
    <w:rsid w:val="00B0676B"/>
    <w:rsid w:val="00B06985"/>
    <w:rsid w:val="00B06B58"/>
    <w:rsid w:val="00B06E24"/>
    <w:rsid w:val="00B07150"/>
    <w:rsid w:val="00B077C0"/>
    <w:rsid w:val="00B07895"/>
    <w:rsid w:val="00B11390"/>
    <w:rsid w:val="00B11432"/>
    <w:rsid w:val="00B114CD"/>
    <w:rsid w:val="00B115AA"/>
    <w:rsid w:val="00B1165D"/>
    <w:rsid w:val="00B11930"/>
    <w:rsid w:val="00B12588"/>
    <w:rsid w:val="00B12602"/>
    <w:rsid w:val="00B12DA3"/>
    <w:rsid w:val="00B12EAA"/>
    <w:rsid w:val="00B1398A"/>
    <w:rsid w:val="00B13C92"/>
    <w:rsid w:val="00B14255"/>
    <w:rsid w:val="00B142E0"/>
    <w:rsid w:val="00B14A84"/>
    <w:rsid w:val="00B158D6"/>
    <w:rsid w:val="00B17394"/>
    <w:rsid w:val="00B174A7"/>
    <w:rsid w:val="00B17BC0"/>
    <w:rsid w:val="00B17BDA"/>
    <w:rsid w:val="00B17DA9"/>
    <w:rsid w:val="00B206E1"/>
    <w:rsid w:val="00B20C3D"/>
    <w:rsid w:val="00B20CB4"/>
    <w:rsid w:val="00B20D17"/>
    <w:rsid w:val="00B216BA"/>
    <w:rsid w:val="00B21DD2"/>
    <w:rsid w:val="00B229A5"/>
    <w:rsid w:val="00B23047"/>
    <w:rsid w:val="00B2313F"/>
    <w:rsid w:val="00B23392"/>
    <w:rsid w:val="00B23575"/>
    <w:rsid w:val="00B235B4"/>
    <w:rsid w:val="00B23A8E"/>
    <w:rsid w:val="00B23AC6"/>
    <w:rsid w:val="00B240C4"/>
    <w:rsid w:val="00B246F9"/>
    <w:rsid w:val="00B257D8"/>
    <w:rsid w:val="00B259F4"/>
    <w:rsid w:val="00B26110"/>
    <w:rsid w:val="00B2689F"/>
    <w:rsid w:val="00B27020"/>
    <w:rsid w:val="00B27254"/>
    <w:rsid w:val="00B2725A"/>
    <w:rsid w:val="00B274D7"/>
    <w:rsid w:val="00B277D9"/>
    <w:rsid w:val="00B3007C"/>
    <w:rsid w:val="00B301DC"/>
    <w:rsid w:val="00B3034B"/>
    <w:rsid w:val="00B30669"/>
    <w:rsid w:val="00B313F5"/>
    <w:rsid w:val="00B31E92"/>
    <w:rsid w:val="00B31EDC"/>
    <w:rsid w:val="00B32484"/>
    <w:rsid w:val="00B32C95"/>
    <w:rsid w:val="00B32EF7"/>
    <w:rsid w:val="00B3373C"/>
    <w:rsid w:val="00B338E4"/>
    <w:rsid w:val="00B34503"/>
    <w:rsid w:val="00B345CD"/>
    <w:rsid w:val="00B3484C"/>
    <w:rsid w:val="00B348A0"/>
    <w:rsid w:val="00B34CAC"/>
    <w:rsid w:val="00B34F3B"/>
    <w:rsid w:val="00B352E6"/>
    <w:rsid w:val="00B35516"/>
    <w:rsid w:val="00B35B99"/>
    <w:rsid w:val="00B35F6B"/>
    <w:rsid w:val="00B362EA"/>
    <w:rsid w:val="00B36B41"/>
    <w:rsid w:val="00B370A8"/>
    <w:rsid w:val="00B37138"/>
    <w:rsid w:val="00B37342"/>
    <w:rsid w:val="00B404C3"/>
    <w:rsid w:val="00B41609"/>
    <w:rsid w:val="00B4196E"/>
    <w:rsid w:val="00B421AB"/>
    <w:rsid w:val="00B4230A"/>
    <w:rsid w:val="00B42423"/>
    <w:rsid w:val="00B43081"/>
    <w:rsid w:val="00B43564"/>
    <w:rsid w:val="00B438ED"/>
    <w:rsid w:val="00B43A1D"/>
    <w:rsid w:val="00B4423F"/>
    <w:rsid w:val="00B449EC"/>
    <w:rsid w:val="00B44A1B"/>
    <w:rsid w:val="00B45C5E"/>
    <w:rsid w:val="00B45D29"/>
    <w:rsid w:val="00B46259"/>
    <w:rsid w:val="00B46910"/>
    <w:rsid w:val="00B46B4A"/>
    <w:rsid w:val="00B46FAA"/>
    <w:rsid w:val="00B472FA"/>
    <w:rsid w:val="00B4733E"/>
    <w:rsid w:val="00B47506"/>
    <w:rsid w:val="00B47553"/>
    <w:rsid w:val="00B47D98"/>
    <w:rsid w:val="00B47F2B"/>
    <w:rsid w:val="00B50FBA"/>
    <w:rsid w:val="00B51114"/>
    <w:rsid w:val="00B515C3"/>
    <w:rsid w:val="00B51AA4"/>
    <w:rsid w:val="00B54286"/>
    <w:rsid w:val="00B543E7"/>
    <w:rsid w:val="00B551DA"/>
    <w:rsid w:val="00B55681"/>
    <w:rsid w:val="00B5569A"/>
    <w:rsid w:val="00B55CBE"/>
    <w:rsid w:val="00B56164"/>
    <w:rsid w:val="00B56EF6"/>
    <w:rsid w:val="00B57184"/>
    <w:rsid w:val="00B57726"/>
    <w:rsid w:val="00B57EB8"/>
    <w:rsid w:val="00B57F3B"/>
    <w:rsid w:val="00B606CF"/>
    <w:rsid w:val="00B6087F"/>
    <w:rsid w:val="00B60B6F"/>
    <w:rsid w:val="00B610B2"/>
    <w:rsid w:val="00B610DF"/>
    <w:rsid w:val="00B61111"/>
    <w:rsid w:val="00B6122F"/>
    <w:rsid w:val="00B6164C"/>
    <w:rsid w:val="00B616C5"/>
    <w:rsid w:val="00B61E0A"/>
    <w:rsid w:val="00B6211B"/>
    <w:rsid w:val="00B6224E"/>
    <w:rsid w:val="00B62251"/>
    <w:rsid w:val="00B623A2"/>
    <w:rsid w:val="00B63763"/>
    <w:rsid w:val="00B6398A"/>
    <w:rsid w:val="00B63F71"/>
    <w:rsid w:val="00B64DB5"/>
    <w:rsid w:val="00B64E9B"/>
    <w:rsid w:val="00B6553D"/>
    <w:rsid w:val="00B657AE"/>
    <w:rsid w:val="00B65ABB"/>
    <w:rsid w:val="00B65D63"/>
    <w:rsid w:val="00B66338"/>
    <w:rsid w:val="00B678D6"/>
    <w:rsid w:val="00B6793E"/>
    <w:rsid w:val="00B7076B"/>
    <w:rsid w:val="00B70863"/>
    <w:rsid w:val="00B708EC"/>
    <w:rsid w:val="00B70B0D"/>
    <w:rsid w:val="00B70DDC"/>
    <w:rsid w:val="00B711CD"/>
    <w:rsid w:val="00B71C9E"/>
    <w:rsid w:val="00B721DD"/>
    <w:rsid w:val="00B723EF"/>
    <w:rsid w:val="00B72495"/>
    <w:rsid w:val="00B72956"/>
    <w:rsid w:val="00B72D13"/>
    <w:rsid w:val="00B72F80"/>
    <w:rsid w:val="00B73C43"/>
    <w:rsid w:val="00B74377"/>
    <w:rsid w:val="00B7443E"/>
    <w:rsid w:val="00B74BAC"/>
    <w:rsid w:val="00B74FC9"/>
    <w:rsid w:val="00B750F6"/>
    <w:rsid w:val="00B753DE"/>
    <w:rsid w:val="00B75D1C"/>
    <w:rsid w:val="00B766BC"/>
    <w:rsid w:val="00B768B8"/>
    <w:rsid w:val="00B76B9A"/>
    <w:rsid w:val="00B76DD2"/>
    <w:rsid w:val="00B7747B"/>
    <w:rsid w:val="00B80D20"/>
    <w:rsid w:val="00B80EC5"/>
    <w:rsid w:val="00B8184B"/>
    <w:rsid w:val="00B81BB7"/>
    <w:rsid w:val="00B81DD7"/>
    <w:rsid w:val="00B81EBE"/>
    <w:rsid w:val="00B8236D"/>
    <w:rsid w:val="00B82777"/>
    <w:rsid w:val="00B82E21"/>
    <w:rsid w:val="00B83054"/>
    <w:rsid w:val="00B834DB"/>
    <w:rsid w:val="00B84813"/>
    <w:rsid w:val="00B849BE"/>
    <w:rsid w:val="00B858C8"/>
    <w:rsid w:val="00B85BA5"/>
    <w:rsid w:val="00B866E6"/>
    <w:rsid w:val="00B867AF"/>
    <w:rsid w:val="00B8688A"/>
    <w:rsid w:val="00B87EFC"/>
    <w:rsid w:val="00B911CE"/>
    <w:rsid w:val="00B91573"/>
    <w:rsid w:val="00B9157D"/>
    <w:rsid w:val="00B916E3"/>
    <w:rsid w:val="00B91915"/>
    <w:rsid w:val="00B9192E"/>
    <w:rsid w:val="00B928B5"/>
    <w:rsid w:val="00B938B9"/>
    <w:rsid w:val="00B9469A"/>
    <w:rsid w:val="00B94FD8"/>
    <w:rsid w:val="00B95A15"/>
    <w:rsid w:val="00B96645"/>
    <w:rsid w:val="00B9719B"/>
    <w:rsid w:val="00B972D8"/>
    <w:rsid w:val="00BA0EA0"/>
    <w:rsid w:val="00BA114B"/>
    <w:rsid w:val="00BA1A32"/>
    <w:rsid w:val="00BA22D1"/>
    <w:rsid w:val="00BA2831"/>
    <w:rsid w:val="00BA2A1B"/>
    <w:rsid w:val="00BA383B"/>
    <w:rsid w:val="00BA3E45"/>
    <w:rsid w:val="00BA40F7"/>
    <w:rsid w:val="00BA46B2"/>
    <w:rsid w:val="00BA4B38"/>
    <w:rsid w:val="00BA4CBC"/>
    <w:rsid w:val="00BA4F03"/>
    <w:rsid w:val="00BA52CB"/>
    <w:rsid w:val="00BA5B8B"/>
    <w:rsid w:val="00BA5E47"/>
    <w:rsid w:val="00BA6AA4"/>
    <w:rsid w:val="00BA727D"/>
    <w:rsid w:val="00BA7660"/>
    <w:rsid w:val="00BA7A18"/>
    <w:rsid w:val="00BA7FD8"/>
    <w:rsid w:val="00BB03A3"/>
    <w:rsid w:val="00BB0BB8"/>
    <w:rsid w:val="00BB0DB5"/>
    <w:rsid w:val="00BB0ECA"/>
    <w:rsid w:val="00BB0F03"/>
    <w:rsid w:val="00BB1556"/>
    <w:rsid w:val="00BB2078"/>
    <w:rsid w:val="00BB2A2E"/>
    <w:rsid w:val="00BB2AA5"/>
    <w:rsid w:val="00BB2BAA"/>
    <w:rsid w:val="00BB3508"/>
    <w:rsid w:val="00BB3CB4"/>
    <w:rsid w:val="00BB3F78"/>
    <w:rsid w:val="00BB3FD7"/>
    <w:rsid w:val="00BB4766"/>
    <w:rsid w:val="00BB48E6"/>
    <w:rsid w:val="00BB4988"/>
    <w:rsid w:val="00BB4C75"/>
    <w:rsid w:val="00BB4CFF"/>
    <w:rsid w:val="00BB4F89"/>
    <w:rsid w:val="00BB51C9"/>
    <w:rsid w:val="00BB53D1"/>
    <w:rsid w:val="00BB56D0"/>
    <w:rsid w:val="00BB5BCD"/>
    <w:rsid w:val="00BB5EBC"/>
    <w:rsid w:val="00BB63ED"/>
    <w:rsid w:val="00BB6A8D"/>
    <w:rsid w:val="00BB6B4D"/>
    <w:rsid w:val="00BB784C"/>
    <w:rsid w:val="00BB7932"/>
    <w:rsid w:val="00BB7A86"/>
    <w:rsid w:val="00BB7AB1"/>
    <w:rsid w:val="00BC01C9"/>
    <w:rsid w:val="00BC0648"/>
    <w:rsid w:val="00BC108B"/>
    <w:rsid w:val="00BC12B4"/>
    <w:rsid w:val="00BC14A1"/>
    <w:rsid w:val="00BC16AC"/>
    <w:rsid w:val="00BC2150"/>
    <w:rsid w:val="00BC2307"/>
    <w:rsid w:val="00BC29BC"/>
    <w:rsid w:val="00BC2C7C"/>
    <w:rsid w:val="00BC2CDB"/>
    <w:rsid w:val="00BC338A"/>
    <w:rsid w:val="00BC3598"/>
    <w:rsid w:val="00BC3921"/>
    <w:rsid w:val="00BC396C"/>
    <w:rsid w:val="00BC3B90"/>
    <w:rsid w:val="00BC3C06"/>
    <w:rsid w:val="00BC3D68"/>
    <w:rsid w:val="00BC4061"/>
    <w:rsid w:val="00BC42BC"/>
    <w:rsid w:val="00BC4BFF"/>
    <w:rsid w:val="00BC4E70"/>
    <w:rsid w:val="00BC5853"/>
    <w:rsid w:val="00BC5BA9"/>
    <w:rsid w:val="00BC67B0"/>
    <w:rsid w:val="00BC6E8E"/>
    <w:rsid w:val="00BC6EED"/>
    <w:rsid w:val="00BC7A97"/>
    <w:rsid w:val="00BC7D1F"/>
    <w:rsid w:val="00BC7DBD"/>
    <w:rsid w:val="00BC7F5F"/>
    <w:rsid w:val="00BD0053"/>
    <w:rsid w:val="00BD054F"/>
    <w:rsid w:val="00BD0733"/>
    <w:rsid w:val="00BD0D4B"/>
    <w:rsid w:val="00BD0F45"/>
    <w:rsid w:val="00BD1215"/>
    <w:rsid w:val="00BD1707"/>
    <w:rsid w:val="00BD1AA9"/>
    <w:rsid w:val="00BD1B85"/>
    <w:rsid w:val="00BD2508"/>
    <w:rsid w:val="00BD2D37"/>
    <w:rsid w:val="00BD2D39"/>
    <w:rsid w:val="00BD35C8"/>
    <w:rsid w:val="00BD390A"/>
    <w:rsid w:val="00BD3CC6"/>
    <w:rsid w:val="00BD3CE6"/>
    <w:rsid w:val="00BD4798"/>
    <w:rsid w:val="00BD48FF"/>
    <w:rsid w:val="00BD4B8C"/>
    <w:rsid w:val="00BD5CA2"/>
    <w:rsid w:val="00BD5CD7"/>
    <w:rsid w:val="00BD5FD2"/>
    <w:rsid w:val="00BD6390"/>
    <w:rsid w:val="00BD6739"/>
    <w:rsid w:val="00BD6CA5"/>
    <w:rsid w:val="00BD6E7A"/>
    <w:rsid w:val="00BD7613"/>
    <w:rsid w:val="00BD7E38"/>
    <w:rsid w:val="00BE04D4"/>
    <w:rsid w:val="00BE08F4"/>
    <w:rsid w:val="00BE105A"/>
    <w:rsid w:val="00BE10AE"/>
    <w:rsid w:val="00BE1589"/>
    <w:rsid w:val="00BE17BD"/>
    <w:rsid w:val="00BE1D8A"/>
    <w:rsid w:val="00BE2125"/>
    <w:rsid w:val="00BE2299"/>
    <w:rsid w:val="00BE2C26"/>
    <w:rsid w:val="00BE3045"/>
    <w:rsid w:val="00BE3CD7"/>
    <w:rsid w:val="00BE3EAA"/>
    <w:rsid w:val="00BE4183"/>
    <w:rsid w:val="00BE4AEA"/>
    <w:rsid w:val="00BE4BF2"/>
    <w:rsid w:val="00BE5105"/>
    <w:rsid w:val="00BE5180"/>
    <w:rsid w:val="00BE54BA"/>
    <w:rsid w:val="00BE5634"/>
    <w:rsid w:val="00BE563F"/>
    <w:rsid w:val="00BE5DBA"/>
    <w:rsid w:val="00BE6889"/>
    <w:rsid w:val="00BE6A2B"/>
    <w:rsid w:val="00BE6F7C"/>
    <w:rsid w:val="00BE6F99"/>
    <w:rsid w:val="00BE79E8"/>
    <w:rsid w:val="00BF027A"/>
    <w:rsid w:val="00BF07CD"/>
    <w:rsid w:val="00BF0AFE"/>
    <w:rsid w:val="00BF0C6B"/>
    <w:rsid w:val="00BF0CC1"/>
    <w:rsid w:val="00BF1AA1"/>
    <w:rsid w:val="00BF1BF0"/>
    <w:rsid w:val="00BF1CA0"/>
    <w:rsid w:val="00BF36FD"/>
    <w:rsid w:val="00BF3A3F"/>
    <w:rsid w:val="00BF402D"/>
    <w:rsid w:val="00BF4099"/>
    <w:rsid w:val="00BF5220"/>
    <w:rsid w:val="00BF5E8F"/>
    <w:rsid w:val="00BF6264"/>
    <w:rsid w:val="00BF68AA"/>
    <w:rsid w:val="00BF6B0F"/>
    <w:rsid w:val="00BF7381"/>
    <w:rsid w:val="00BF7D4E"/>
    <w:rsid w:val="00C0091A"/>
    <w:rsid w:val="00C01293"/>
    <w:rsid w:val="00C0138A"/>
    <w:rsid w:val="00C013CD"/>
    <w:rsid w:val="00C01567"/>
    <w:rsid w:val="00C01AD9"/>
    <w:rsid w:val="00C01CCC"/>
    <w:rsid w:val="00C02B6B"/>
    <w:rsid w:val="00C03115"/>
    <w:rsid w:val="00C032BD"/>
    <w:rsid w:val="00C03AE1"/>
    <w:rsid w:val="00C0404F"/>
    <w:rsid w:val="00C0416D"/>
    <w:rsid w:val="00C04546"/>
    <w:rsid w:val="00C04734"/>
    <w:rsid w:val="00C04815"/>
    <w:rsid w:val="00C0497F"/>
    <w:rsid w:val="00C05B3C"/>
    <w:rsid w:val="00C05BA3"/>
    <w:rsid w:val="00C05C0B"/>
    <w:rsid w:val="00C06368"/>
    <w:rsid w:val="00C070CB"/>
    <w:rsid w:val="00C0741D"/>
    <w:rsid w:val="00C07452"/>
    <w:rsid w:val="00C07752"/>
    <w:rsid w:val="00C07C6C"/>
    <w:rsid w:val="00C10CF0"/>
    <w:rsid w:val="00C117E0"/>
    <w:rsid w:val="00C119C7"/>
    <w:rsid w:val="00C11D2A"/>
    <w:rsid w:val="00C11D4D"/>
    <w:rsid w:val="00C12022"/>
    <w:rsid w:val="00C1218B"/>
    <w:rsid w:val="00C124BC"/>
    <w:rsid w:val="00C12AA1"/>
    <w:rsid w:val="00C12EFF"/>
    <w:rsid w:val="00C13354"/>
    <w:rsid w:val="00C141F5"/>
    <w:rsid w:val="00C1425E"/>
    <w:rsid w:val="00C14650"/>
    <w:rsid w:val="00C146D1"/>
    <w:rsid w:val="00C1516F"/>
    <w:rsid w:val="00C1578A"/>
    <w:rsid w:val="00C15AAB"/>
    <w:rsid w:val="00C15C1D"/>
    <w:rsid w:val="00C15CFF"/>
    <w:rsid w:val="00C16313"/>
    <w:rsid w:val="00C164B8"/>
    <w:rsid w:val="00C165A0"/>
    <w:rsid w:val="00C16621"/>
    <w:rsid w:val="00C16BDF"/>
    <w:rsid w:val="00C16BE0"/>
    <w:rsid w:val="00C17026"/>
    <w:rsid w:val="00C17082"/>
    <w:rsid w:val="00C172B6"/>
    <w:rsid w:val="00C21410"/>
    <w:rsid w:val="00C21680"/>
    <w:rsid w:val="00C2169F"/>
    <w:rsid w:val="00C21EA6"/>
    <w:rsid w:val="00C21EC9"/>
    <w:rsid w:val="00C21F55"/>
    <w:rsid w:val="00C2226C"/>
    <w:rsid w:val="00C22D55"/>
    <w:rsid w:val="00C22DB8"/>
    <w:rsid w:val="00C23236"/>
    <w:rsid w:val="00C23A2B"/>
    <w:rsid w:val="00C23B34"/>
    <w:rsid w:val="00C23E34"/>
    <w:rsid w:val="00C2411B"/>
    <w:rsid w:val="00C24781"/>
    <w:rsid w:val="00C24F85"/>
    <w:rsid w:val="00C24FA3"/>
    <w:rsid w:val="00C25481"/>
    <w:rsid w:val="00C2575D"/>
    <w:rsid w:val="00C257A1"/>
    <w:rsid w:val="00C25814"/>
    <w:rsid w:val="00C25B56"/>
    <w:rsid w:val="00C25F96"/>
    <w:rsid w:val="00C26038"/>
    <w:rsid w:val="00C263F8"/>
    <w:rsid w:val="00C269B3"/>
    <w:rsid w:val="00C26E28"/>
    <w:rsid w:val="00C270A6"/>
    <w:rsid w:val="00C2730B"/>
    <w:rsid w:val="00C301FA"/>
    <w:rsid w:val="00C3055E"/>
    <w:rsid w:val="00C30718"/>
    <w:rsid w:val="00C30BB7"/>
    <w:rsid w:val="00C30C59"/>
    <w:rsid w:val="00C31019"/>
    <w:rsid w:val="00C31278"/>
    <w:rsid w:val="00C31796"/>
    <w:rsid w:val="00C31D0F"/>
    <w:rsid w:val="00C31FF3"/>
    <w:rsid w:val="00C328C8"/>
    <w:rsid w:val="00C32F7E"/>
    <w:rsid w:val="00C33613"/>
    <w:rsid w:val="00C33917"/>
    <w:rsid w:val="00C33BCB"/>
    <w:rsid w:val="00C34AFC"/>
    <w:rsid w:val="00C34B04"/>
    <w:rsid w:val="00C35067"/>
    <w:rsid w:val="00C3559D"/>
    <w:rsid w:val="00C363C8"/>
    <w:rsid w:val="00C3654A"/>
    <w:rsid w:val="00C369C1"/>
    <w:rsid w:val="00C36D6B"/>
    <w:rsid w:val="00C370D5"/>
    <w:rsid w:val="00C37759"/>
    <w:rsid w:val="00C37A26"/>
    <w:rsid w:val="00C4060C"/>
    <w:rsid w:val="00C40A25"/>
    <w:rsid w:val="00C41A91"/>
    <w:rsid w:val="00C4214F"/>
    <w:rsid w:val="00C4359E"/>
    <w:rsid w:val="00C4365F"/>
    <w:rsid w:val="00C43927"/>
    <w:rsid w:val="00C43DDB"/>
    <w:rsid w:val="00C44806"/>
    <w:rsid w:val="00C46285"/>
    <w:rsid w:val="00C46328"/>
    <w:rsid w:val="00C46A2D"/>
    <w:rsid w:val="00C501F8"/>
    <w:rsid w:val="00C505CC"/>
    <w:rsid w:val="00C50C43"/>
    <w:rsid w:val="00C50D11"/>
    <w:rsid w:val="00C5114D"/>
    <w:rsid w:val="00C512B7"/>
    <w:rsid w:val="00C51480"/>
    <w:rsid w:val="00C518B7"/>
    <w:rsid w:val="00C51FD7"/>
    <w:rsid w:val="00C52438"/>
    <w:rsid w:val="00C526E7"/>
    <w:rsid w:val="00C52F73"/>
    <w:rsid w:val="00C5331E"/>
    <w:rsid w:val="00C53A50"/>
    <w:rsid w:val="00C53BD2"/>
    <w:rsid w:val="00C543FA"/>
    <w:rsid w:val="00C548B5"/>
    <w:rsid w:val="00C54AC7"/>
    <w:rsid w:val="00C54B47"/>
    <w:rsid w:val="00C559C6"/>
    <w:rsid w:val="00C55AF2"/>
    <w:rsid w:val="00C55F5B"/>
    <w:rsid w:val="00C56173"/>
    <w:rsid w:val="00C564AC"/>
    <w:rsid w:val="00C5656C"/>
    <w:rsid w:val="00C56661"/>
    <w:rsid w:val="00C57332"/>
    <w:rsid w:val="00C575F2"/>
    <w:rsid w:val="00C57A01"/>
    <w:rsid w:val="00C60157"/>
    <w:rsid w:val="00C6076F"/>
    <w:rsid w:val="00C60D0D"/>
    <w:rsid w:val="00C611A1"/>
    <w:rsid w:val="00C61DFC"/>
    <w:rsid w:val="00C620D5"/>
    <w:rsid w:val="00C62829"/>
    <w:rsid w:val="00C62CC7"/>
    <w:rsid w:val="00C63F57"/>
    <w:rsid w:val="00C64620"/>
    <w:rsid w:val="00C64CE2"/>
    <w:rsid w:val="00C652AC"/>
    <w:rsid w:val="00C65425"/>
    <w:rsid w:val="00C65A16"/>
    <w:rsid w:val="00C66955"/>
    <w:rsid w:val="00C6698B"/>
    <w:rsid w:val="00C672A7"/>
    <w:rsid w:val="00C703DD"/>
    <w:rsid w:val="00C708CA"/>
    <w:rsid w:val="00C70B5E"/>
    <w:rsid w:val="00C71546"/>
    <w:rsid w:val="00C71BCF"/>
    <w:rsid w:val="00C71C66"/>
    <w:rsid w:val="00C71C73"/>
    <w:rsid w:val="00C71C94"/>
    <w:rsid w:val="00C71EF5"/>
    <w:rsid w:val="00C71F9F"/>
    <w:rsid w:val="00C7209E"/>
    <w:rsid w:val="00C72543"/>
    <w:rsid w:val="00C728BA"/>
    <w:rsid w:val="00C73902"/>
    <w:rsid w:val="00C73B8D"/>
    <w:rsid w:val="00C74159"/>
    <w:rsid w:val="00C752C7"/>
    <w:rsid w:val="00C756D7"/>
    <w:rsid w:val="00C760C2"/>
    <w:rsid w:val="00C76820"/>
    <w:rsid w:val="00C769C0"/>
    <w:rsid w:val="00C76A13"/>
    <w:rsid w:val="00C76DBA"/>
    <w:rsid w:val="00C779F8"/>
    <w:rsid w:val="00C77C3E"/>
    <w:rsid w:val="00C77DDC"/>
    <w:rsid w:val="00C8004F"/>
    <w:rsid w:val="00C800A8"/>
    <w:rsid w:val="00C80165"/>
    <w:rsid w:val="00C804EB"/>
    <w:rsid w:val="00C80998"/>
    <w:rsid w:val="00C80B78"/>
    <w:rsid w:val="00C80C35"/>
    <w:rsid w:val="00C80D2D"/>
    <w:rsid w:val="00C81507"/>
    <w:rsid w:val="00C81D9C"/>
    <w:rsid w:val="00C821EA"/>
    <w:rsid w:val="00C8254C"/>
    <w:rsid w:val="00C825AA"/>
    <w:rsid w:val="00C82B35"/>
    <w:rsid w:val="00C830AF"/>
    <w:rsid w:val="00C83218"/>
    <w:rsid w:val="00C83E81"/>
    <w:rsid w:val="00C84258"/>
    <w:rsid w:val="00C845E0"/>
    <w:rsid w:val="00C85224"/>
    <w:rsid w:val="00C8559F"/>
    <w:rsid w:val="00C85F54"/>
    <w:rsid w:val="00C86236"/>
    <w:rsid w:val="00C8623D"/>
    <w:rsid w:val="00C86409"/>
    <w:rsid w:val="00C86939"/>
    <w:rsid w:val="00C87078"/>
    <w:rsid w:val="00C8730A"/>
    <w:rsid w:val="00C876C3"/>
    <w:rsid w:val="00C87F98"/>
    <w:rsid w:val="00C901BD"/>
    <w:rsid w:val="00C90C15"/>
    <w:rsid w:val="00C90E7D"/>
    <w:rsid w:val="00C9116A"/>
    <w:rsid w:val="00C914E9"/>
    <w:rsid w:val="00C91927"/>
    <w:rsid w:val="00C9274D"/>
    <w:rsid w:val="00C92DB9"/>
    <w:rsid w:val="00C931E1"/>
    <w:rsid w:val="00C94102"/>
    <w:rsid w:val="00C94208"/>
    <w:rsid w:val="00C94321"/>
    <w:rsid w:val="00C94DE6"/>
    <w:rsid w:val="00C94F18"/>
    <w:rsid w:val="00C9537B"/>
    <w:rsid w:val="00C9596C"/>
    <w:rsid w:val="00C95AD0"/>
    <w:rsid w:val="00C96052"/>
    <w:rsid w:val="00C96D07"/>
    <w:rsid w:val="00C97EFD"/>
    <w:rsid w:val="00C97FD4"/>
    <w:rsid w:val="00CA06C8"/>
    <w:rsid w:val="00CA125F"/>
    <w:rsid w:val="00CA1298"/>
    <w:rsid w:val="00CA144A"/>
    <w:rsid w:val="00CA1506"/>
    <w:rsid w:val="00CA1508"/>
    <w:rsid w:val="00CA1A4C"/>
    <w:rsid w:val="00CA2306"/>
    <w:rsid w:val="00CA257A"/>
    <w:rsid w:val="00CA25E6"/>
    <w:rsid w:val="00CA2889"/>
    <w:rsid w:val="00CA2AB9"/>
    <w:rsid w:val="00CA367A"/>
    <w:rsid w:val="00CA37F0"/>
    <w:rsid w:val="00CA3841"/>
    <w:rsid w:val="00CA3B3C"/>
    <w:rsid w:val="00CA3CCF"/>
    <w:rsid w:val="00CA494E"/>
    <w:rsid w:val="00CA5B04"/>
    <w:rsid w:val="00CA5CF2"/>
    <w:rsid w:val="00CA5DB8"/>
    <w:rsid w:val="00CA6145"/>
    <w:rsid w:val="00CA69EA"/>
    <w:rsid w:val="00CA6C42"/>
    <w:rsid w:val="00CA73A1"/>
    <w:rsid w:val="00CA7692"/>
    <w:rsid w:val="00CA7A4B"/>
    <w:rsid w:val="00CB0451"/>
    <w:rsid w:val="00CB06E6"/>
    <w:rsid w:val="00CB0F5A"/>
    <w:rsid w:val="00CB12B2"/>
    <w:rsid w:val="00CB1397"/>
    <w:rsid w:val="00CB2436"/>
    <w:rsid w:val="00CB2748"/>
    <w:rsid w:val="00CB29EE"/>
    <w:rsid w:val="00CB2CC0"/>
    <w:rsid w:val="00CB2E16"/>
    <w:rsid w:val="00CB36D1"/>
    <w:rsid w:val="00CB430C"/>
    <w:rsid w:val="00CB4A3E"/>
    <w:rsid w:val="00CB541B"/>
    <w:rsid w:val="00CB667A"/>
    <w:rsid w:val="00CB6767"/>
    <w:rsid w:val="00CB6E49"/>
    <w:rsid w:val="00CB7F9B"/>
    <w:rsid w:val="00CC06ED"/>
    <w:rsid w:val="00CC19B1"/>
    <w:rsid w:val="00CC2231"/>
    <w:rsid w:val="00CC246C"/>
    <w:rsid w:val="00CC248D"/>
    <w:rsid w:val="00CC24BF"/>
    <w:rsid w:val="00CC2776"/>
    <w:rsid w:val="00CC2789"/>
    <w:rsid w:val="00CC29BF"/>
    <w:rsid w:val="00CC2C34"/>
    <w:rsid w:val="00CC31B8"/>
    <w:rsid w:val="00CC34CE"/>
    <w:rsid w:val="00CC3C94"/>
    <w:rsid w:val="00CC474F"/>
    <w:rsid w:val="00CC5253"/>
    <w:rsid w:val="00CC55AC"/>
    <w:rsid w:val="00CC590E"/>
    <w:rsid w:val="00CC6840"/>
    <w:rsid w:val="00CC6A2A"/>
    <w:rsid w:val="00CC6F9E"/>
    <w:rsid w:val="00CC75F9"/>
    <w:rsid w:val="00CC7640"/>
    <w:rsid w:val="00CC776B"/>
    <w:rsid w:val="00CD028E"/>
    <w:rsid w:val="00CD0475"/>
    <w:rsid w:val="00CD0714"/>
    <w:rsid w:val="00CD072A"/>
    <w:rsid w:val="00CD0E70"/>
    <w:rsid w:val="00CD0FE0"/>
    <w:rsid w:val="00CD121E"/>
    <w:rsid w:val="00CD12E9"/>
    <w:rsid w:val="00CD155E"/>
    <w:rsid w:val="00CD1918"/>
    <w:rsid w:val="00CD2F3F"/>
    <w:rsid w:val="00CD2F78"/>
    <w:rsid w:val="00CD2FA3"/>
    <w:rsid w:val="00CD3020"/>
    <w:rsid w:val="00CD305F"/>
    <w:rsid w:val="00CD390B"/>
    <w:rsid w:val="00CD4AE7"/>
    <w:rsid w:val="00CD52CC"/>
    <w:rsid w:val="00CD59B8"/>
    <w:rsid w:val="00CD5D80"/>
    <w:rsid w:val="00CD5D8B"/>
    <w:rsid w:val="00CD67B1"/>
    <w:rsid w:val="00CD6AA1"/>
    <w:rsid w:val="00CD6D22"/>
    <w:rsid w:val="00CD6DB3"/>
    <w:rsid w:val="00CD74AE"/>
    <w:rsid w:val="00CD764B"/>
    <w:rsid w:val="00CE1344"/>
    <w:rsid w:val="00CE1EF8"/>
    <w:rsid w:val="00CE20C7"/>
    <w:rsid w:val="00CE20D9"/>
    <w:rsid w:val="00CE2C07"/>
    <w:rsid w:val="00CE2E2A"/>
    <w:rsid w:val="00CE3713"/>
    <w:rsid w:val="00CE39E4"/>
    <w:rsid w:val="00CE4247"/>
    <w:rsid w:val="00CE42E3"/>
    <w:rsid w:val="00CE486F"/>
    <w:rsid w:val="00CE4F47"/>
    <w:rsid w:val="00CE537C"/>
    <w:rsid w:val="00CE56BA"/>
    <w:rsid w:val="00CE5DFD"/>
    <w:rsid w:val="00CE6038"/>
    <w:rsid w:val="00CE6151"/>
    <w:rsid w:val="00CE62C8"/>
    <w:rsid w:val="00CE6568"/>
    <w:rsid w:val="00CE66AB"/>
    <w:rsid w:val="00CE6950"/>
    <w:rsid w:val="00CE7106"/>
    <w:rsid w:val="00CE7771"/>
    <w:rsid w:val="00CE798E"/>
    <w:rsid w:val="00CE79D4"/>
    <w:rsid w:val="00CE7A22"/>
    <w:rsid w:val="00CE7E4A"/>
    <w:rsid w:val="00CF0AB7"/>
    <w:rsid w:val="00CF107E"/>
    <w:rsid w:val="00CF19B6"/>
    <w:rsid w:val="00CF1AD3"/>
    <w:rsid w:val="00CF1B21"/>
    <w:rsid w:val="00CF1F40"/>
    <w:rsid w:val="00CF3046"/>
    <w:rsid w:val="00CF34A8"/>
    <w:rsid w:val="00CF361A"/>
    <w:rsid w:val="00CF3A99"/>
    <w:rsid w:val="00CF3BEB"/>
    <w:rsid w:val="00CF3D3C"/>
    <w:rsid w:val="00CF405C"/>
    <w:rsid w:val="00CF4093"/>
    <w:rsid w:val="00CF4109"/>
    <w:rsid w:val="00CF4193"/>
    <w:rsid w:val="00CF4260"/>
    <w:rsid w:val="00CF42E6"/>
    <w:rsid w:val="00CF4CBF"/>
    <w:rsid w:val="00CF4DA4"/>
    <w:rsid w:val="00CF5004"/>
    <w:rsid w:val="00CF65AB"/>
    <w:rsid w:val="00CF6840"/>
    <w:rsid w:val="00CF6882"/>
    <w:rsid w:val="00CF6CA7"/>
    <w:rsid w:val="00CF735D"/>
    <w:rsid w:val="00CF79F9"/>
    <w:rsid w:val="00D00231"/>
    <w:rsid w:val="00D00CD6"/>
    <w:rsid w:val="00D01363"/>
    <w:rsid w:val="00D01A7C"/>
    <w:rsid w:val="00D01D37"/>
    <w:rsid w:val="00D01E6C"/>
    <w:rsid w:val="00D01F95"/>
    <w:rsid w:val="00D022E8"/>
    <w:rsid w:val="00D024D4"/>
    <w:rsid w:val="00D0312D"/>
    <w:rsid w:val="00D03163"/>
    <w:rsid w:val="00D0321D"/>
    <w:rsid w:val="00D040D1"/>
    <w:rsid w:val="00D0462B"/>
    <w:rsid w:val="00D0519A"/>
    <w:rsid w:val="00D05336"/>
    <w:rsid w:val="00D05448"/>
    <w:rsid w:val="00D05C5B"/>
    <w:rsid w:val="00D05FCD"/>
    <w:rsid w:val="00D063FF"/>
    <w:rsid w:val="00D0661C"/>
    <w:rsid w:val="00D06CFC"/>
    <w:rsid w:val="00D07754"/>
    <w:rsid w:val="00D07D28"/>
    <w:rsid w:val="00D07D62"/>
    <w:rsid w:val="00D07DCD"/>
    <w:rsid w:val="00D10227"/>
    <w:rsid w:val="00D113F4"/>
    <w:rsid w:val="00D12D19"/>
    <w:rsid w:val="00D132A3"/>
    <w:rsid w:val="00D135BE"/>
    <w:rsid w:val="00D1363C"/>
    <w:rsid w:val="00D1364D"/>
    <w:rsid w:val="00D13A3B"/>
    <w:rsid w:val="00D13DAC"/>
    <w:rsid w:val="00D146E6"/>
    <w:rsid w:val="00D14CD6"/>
    <w:rsid w:val="00D1548B"/>
    <w:rsid w:val="00D157D8"/>
    <w:rsid w:val="00D15CC7"/>
    <w:rsid w:val="00D16939"/>
    <w:rsid w:val="00D169A3"/>
    <w:rsid w:val="00D169AD"/>
    <w:rsid w:val="00D1703E"/>
    <w:rsid w:val="00D17F49"/>
    <w:rsid w:val="00D20BA6"/>
    <w:rsid w:val="00D20D3D"/>
    <w:rsid w:val="00D2127D"/>
    <w:rsid w:val="00D21D51"/>
    <w:rsid w:val="00D22465"/>
    <w:rsid w:val="00D23298"/>
    <w:rsid w:val="00D23385"/>
    <w:rsid w:val="00D236A6"/>
    <w:rsid w:val="00D23A9B"/>
    <w:rsid w:val="00D24137"/>
    <w:rsid w:val="00D24E5D"/>
    <w:rsid w:val="00D25638"/>
    <w:rsid w:val="00D256C5"/>
    <w:rsid w:val="00D25B40"/>
    <w:rsid w:val="00D25C55"/>
    <w:rsid w:val="00D25EDE"/>
    <w:rsid w:val="00D266CE"/>
    <w:rsid w:val="00D27C01"/>
    <w:rsid w:val="00D307C4"/>
    <w:rsid w:val="00D30845"/>
    <w:rsid w:val="00D308B8"/>
    <w:rsid w:val="00D30B2D"/>
    <w:rsid w:val="00D31473"/>
    <w:rsid w:val="00D315C6"/>
    <w:rsid w:val="00D31B5C"/>
    <w:rsid w:val="00D31BB6"/>
    <w:rsid w:val="00D3280C"/>
    <w:rsid w:val="00D32909"/>
    <w:rsid w:val="00D3327C"/>
    <w:rsid w:val="00D33656"/>
    <w:rsid w:val="00D33836"/>
    <w:rsid w:val="00D345F9"/>
    <w:rsid w:val="00D34A7C"/>
    <w:rsid w:val="00D35158"/>
    <w:rsid w:val="00D354E7"/>
    <w:rsid w:val="00D35F28"/>
    <w:rsid w:val="00D36024"/>
    <w:rsid w:val="00D369D2"/>
    <w:rsid w:val="00D37555"/>
    <w:rsid w:val="00D40B4E"/>
    <w:rsid w:val="00D40CF0"/>
    <w:rsid w:val="00D41DB0"/>
    <w:rsid w:val="00D41F9C"/>
    <w:rsid w:val="00D4251F"/>
    <w:rsid w:val="00D42CDB"/>
    <w:rsid w:val="00D431E9"/>
    <w:rsid w:val="00D434E5"/>
    <w:rsid w:val="00D43C7F"/>
    <w:rsid w:val="00D44BAF"/>
    <w:rsid w:val="00D44F59"/>
    <w:rsid w:val="00D45016"/>
    <w:rsid w:val="00D453D0"/>
    <w:rsid w:val="00D45A13"/>
    <w:rsid w:val="00D45AA9"/>
    <w:rsid w:val="00D45ABB"/>
    <w:rsid w:val="00D46AC9"/>
    <w:rsid w:val="00D46BBF"/>
    <w:rsid w:val="00D479B8"/>
    <w:rsid w:val="00D50248"/>
    <w:rsid w:val="00D50970"/>
    <w:rsid w:val="00D50AF9"/>
    <w:rsid w:val="00D50C82"/>
    <w:rsid w:val="00D51BC7"/>
    <w:rsid w:val="00D51D1D"/>
    <w:rsid w:val="00D52412"/>
    <w:rsid w:val="00D534F3"/>
    <w:rsid w:val="00D53659"/>
    <w:rsid w:val="00D53B19"/>
    <w:rsid w:val="00D53B29"/>
    <w:rsid w:val="00D53E0D"/>
    <w:rsid w:val="00D540AC"/>
    <w:rsid w:val="00D545E1"/>
    <w:rsid w:val="00D54A6E"/>
    <w:rsid w:val="00D54FD3"/>
    <w:rsid w:val="00D5540C"/>
    <w:rsid w:val="00D55A99"/>
    <w:rsid w:val="00D56332"/>
    <w:rsid w:val="00D56423"/>
    <w:rsid w:val="00D57346"/>
    <w:rsid w:val="00D57C4A"/>
    <w:rsid w:val="00D57DCA"/>
    <w:rsid w:val="00D57E8E"/>
    <w:rsid w:val="00D6025D"/>
    <w:rsid w:val="00D6085A"/>
    <w:rsid w:val="00D61D74"/>
    <w:rsid w:val="00D63138"/>
    <w:rsid w:val="00D635FA"/>
    <w:rsid w:val="00D63608"/>
    <w:rsid w:val="00D63882"/>
    <w:rsid w:val="00D63C04"/>
    <w:rsid w:val="00D6436A"/>
    <w:rsid w:val="00D6461B"/>
    <w:rsid w:val="00D647B8"/>
    <w:rsid w:val="00D654EE"/>
    <w:rsid w:val="00D655FC"/>
    <w:rsid w:val="00D65993"/>
    <w:rsid w:val="00D662DD"/>
    <w:rsid w:val="00D66E25"/>
    <w:rsid w:val="00D672F7"/>
    <w:rsid w:val="00D67987"/>
    <w:rsid w:val="00D710C8"/>
    <w:rsid w:val="00D71328"/>
    <w:rsid w:val="00D71495"/>
    <w:rsid w:val="00D714A1"/>
    <w:rsid w:val="00D71BB0"/>
    <w:rsid w:val="00D71E83"/>
    <w:rsid w:val="00D71EFE"/>
    <w:rsid w:val="00D733FF"/>
    <w:rsid w:val="00D73AD8"/>
    <w:rsid w:val="00D73E16"/>
    <w:rsid w:val="00D74D66"/>
    <w:rsid w:val="00D74EE3"/>
    <w:rsid w:val="00D7526D"/>
    <w:rsid w:val="00D75707"/>
    <w:rsid w:val="00D75A17"/>
    <w:rsid w:val="00D75AA3"/>
    <w:rsid w:val="00D75CB1"/>
    <w:rsid w:val="00D76727"/>
    <w:rsid w:val="00D767DF"/>
    <w:rsid w:val="00D776E0"/>
    <w:rsid w:val="00D77844"/>
    <w:rsid w:val="00D77B9C"/>
    <w:rsid w:val="00D77D0E"/>
    <w:rsid w:val="00D77F2A"/>
    <w:rsid w:val="00D802D4"/>
    <w:rsid w:val="00D803CE"/>
    <w:rsid w:val="00D807F8"/>
    <w:rsid w:val="00D80868"/>
    <w:rsid w:val="00D80AF3"/>
    <w:rsid w:val="00D80C18"/>
    <w:rsid w:val="00D81223"/>
    <w:rsid w:val="00D81417"/>
    <w:rsid w:val="00D81496"/>
    <w:rsid w:val="00D814D1"/>
    <w:rsid w:val="00D8195D"/>
    <w:rsid w:val="00D81CA8"/>
    <w:rsid w:val="00D8269E"/>
    <w:rsid w:val="00D827CB"/>
    <w:rsid w:val="00D82835"/>
    <w:rsid w:val="00D829C0"/>
    <w:rsid w:val="00D829DA"/>
    <w:rsid w:val="00D838AA"/>
    <w:rsid w:val="00D83994"/>
    <w:rsid w:val="00D83C7A"/>
    <w:rsid w:val="00D83F52"/>
    <w:rsid w:val="00D84F1E"/>
    <w:rsid w:val="00D851D8"/>
    <w:rsid w:val="00D85614"/>
    <w:rsid w:val="00D85617"/>
    <w:rsid w:val="00D85A69"/>
    <w:rsid w:val="00D861E7"/>
    <w:rsid w:val="00D86584"/>
    <w:rsid w:val="00D86985"/>
    <w:rsid w:val="00D86C4C"/>
    <w:rsid w:val="00D86FC2"/>
    <w:rsid w:val="00D8710C"/>
    <w:rsid w:val="00D871CB"/>
    <w:rsid w:val="00D87991"/>
    <w:rsid w:val="00D87BD4"/>
    <w:rsid w:val="00D90101"/>
    <w:rsid w:val="00D9027E"/>
    <w:rsid w:val="00D9108A"/>
    <w:rsid w:val="00D91BEF"/>
    <w:rsid w:val="00D920DF"/>
    <w:rsid w:val="00D92171"/>
    <w:rsid w:val="00D9238D"/>
    <w:rsid w:val="00D925C4"/>
    <w:rsid w:val="00D92A8E"/>
    <w:rsid w:val="00D93E78"/>
    <w:rsid w:val="00D94041"/>
    <w:rsid w:val="00D9421A"/>
    <w:rsid w:val="00D94C7C"/>
    <w:rsid w:val="00D9606D"/>
    <w:rsid w:val="00D974FE"/>
    <w:rsid w:val="00D97662"/>
    <w:rsid w:val="00D97A20"/>
    <w:rsid w:val="00D97BFE"/>
    <w:rsid w:val="00D97E8E"/>
    <w:rsid w:val="00DA035C"/>
    <w:rsid w:val="00DA18AB"/>
    <w:rsid w:val="00DA1E78"/>
    <w:rsid w:val="00DA24E8"/>
    <w:rsid w:val="00DA3664"/>
    <w:rsid w:val="00DA37EA"/>
    <w:rsid w:val="00DA3D20"/>
    <w:rsid w:val="00DA462E"/>
    <w:rsid w:val="00DA4BF7"/>
    <w:rsid w:val="00DA50A5"/>
    <w:rsid w:val="00DA54C0"/>
    <w:rsid w:val="00DA5883"/>
    <w:rsid w:val="00DA5897"/>
    <w:rsid w:val="00DA58B8"/>
    <w:rsid w:val="00DA5A32"/>
    <w:rsid w:val="00DA5A54"/>
    <w:rsid w:val="00DA63E1"/>
    <w:rsid w:val="00DA693E"/>
    <w:rsid w:val="00DA7D50"/>
    <w:rsid w:val="00DB0269"/>
    <w:rsid w:val="00DB0649"/>
    <w:rsid w:val="00DB0D2B"/>
    <w:rsid w:val="00DB14EE"/>
    <w:rsid w:val="00DB14FC"/>
    <w:rsid w:val="00DB177F"/>
    <w:rsid w:val="00DB19B2"/>
    <w:rsid w:val="00DB216A"/>
    <w:rsid w:val="00DB232D"/>
    <w:rsid w:val="00DB256A"/>
    <w:rsid w:val="00DB29F9"/>
    <w:rsid w:val="00DB2ADE"/>
    <w:rsid w:val="00DB2B34"/>
    <w:rsid w:val="00DB2EA2"/>
    <w:rsid w:val="00DB30F0"/>
    <w:rsid w:val="00DB32C0"/>
    <w:rsid w:val="00DB451A"/>
    <w:rsid w:val="00DB457B"/>
    <w:rsid w:val="00DB4B47"/>
    <w:rsid w:val="00DB4CA3"/>
    <w:rsid w:val="00DB5512"/>
    <w:rsid w:val="00DB5D04"/>
    <w:rsid w:val="00DB6028"/>
    <w:rsid w:val="00DB6A08"/>
    <w:rsid w:val="00DB772D"/>
    <w:rsid w:val="00DB79E0"/>
    <w:rsid w:val="00DB7B41"/>
    <w:rsid w:val="00DC01C9"/>
    <w:rsid w:val="00DC0911"/>
    <w:rsid w:val="00DC0FC6"/>
    <w:rsid w:val="00DC24E6"/>
    <w:rsid w:val="00DC2855"/>
    <w:rsid w:val="00DC2C6F"/>
    <w:rsid w:val="00DC2ECD"/>
    <w:rsid w:val="00DC4486"/>
    <w:rsid w:val="00DC4988"/>
    <w:rsid w:val="00DC4CD0"/>
    <w:rsid w:val="00DC5111"/>
    <w:rsid w:val="00DC518B"/>
    <w:rsid w:val="00DC51D7"/>
    <w:rsid w:val="00DC5449"/>
    <w:rsid w:val="00DC5CC6"/>
    <w:rsid w:val="00DC615F"/>
    <w:rsid w:val="00DC62B9"/>
    <w:rsid w:val="00DC6515"/>
    <w:rsid w:val="00DC7039"/>
    <w:rsid w:val="00DC7150"/>
    <w:rsid w:val="00DC729C"/>
    <w:rsid w:val="00DC7FBC"/>
    <w:rsid w:val="00DD01A9"/>
    <w:rsid w:val="00DD0482"/>
    <w:rsid w:val="00DD0D7E"/>
    <w:rsid w:val="00DD1AE2"/>
    <w:rsid w:val="00DD25EA"/>
    <w:rsid w:val="00DD26A1"/>
    <w:rsid w:val="00DD26E3"/>
    <w:rsid w:val="00DD2EC7"/>
    <w:rsid w:val="00DD30DB"/>
    <w:rsid w:val="00DD370E"/>
    <w:rsid w:val="00DD39ED"/>
    <w:rsid w:val="00DD3A2D"/>
    <w:rsid w:val="00DD3BD8"/>
    <w:rsid w:val="00DD3C45"/>
    <w:rsid w:val="00DD4E51"/>
    <w:rsid w:val="00DD4EF6"/>
    <w:rsid w:val="00DD564A"/>
    <w:rsid w:val="00DD58E2"/>
    <w:rsid w:val="00DD6977"/>
    <w:rsid w:val="00DD7B67"/>
    <w:rsid w:val="00DD7DB0"/>
    <w:rsid w:val="00DD7FE9"/>
    <w:rsid w:val="00DE02B5"/>
    <w:rsid w:val="00DE0433"/>
    <w:rsid w:val="00DE0A54"/>
    <w:rsid w:val="00DE0A82"/>
    <w:rsid w:val="00DE0F93"/>
    <w:rsid w:val="00DE1B7B"/>
    <w:rsid w:val="00DE2FF2"/>
    <w:rsid w:val="00DE3789"/>
    <w:rsid w:val="00DE3834"/>
    <w:rsid w:val="00DE3B57"/>
    <w:rsid w:val="00DE3B61"/>
    <w:rsid w:val="00DE3F3D"/>
    <w:rsid w:val="00DE44E1"/>
    <w:rsid w:val="00DE44EF"/>
    <w:rsid w:val="00DE4A29"/>
    <w:rsid w:val="00DE4C85"/>
    <w:rsid w:val="00DE4CA5"/>
    <w:rsid w:val="00DE5076"/>
    <w:rsid w:val="00DE5487"/>
    <w:rsid w:val="00DE5707"/>
    <w:rsid w:val="00DE5736"/>
    <w:rsid w:val="00DE5C38"/>
    <w:rsid w:val="00DE5EA8"/>
    <w:rsid w:val="00DE69ED"/>
    <w:rsid w:val="00DE7609"/>
    <w:rsid w:val="00DE7B26"/>
    <w:rsid w:val="00DE7EFC"/>
    <w:rsid w:val="00DF0BC5"/>
    <w:rsid w:val="00DF1357"/>
    <w:rsid w:val="00DF1D1E"/>
    <w:rsid w:val="00DF1E22"/>
    <w:rsid w:val="00DF24A7"/>
    <w:rsid w:val="00DF2742"/>
    <w:rsid w:val="00DF2916"/>
    <w:rsid w:val="00DF2A19"/>
    <w:rsid w:val="00DF35EB"/>
    <w:rsid w:val="00DF3958"/>
    <w:rsid w:val="00DF39C8"/>
    <w:rsid w:val="00DF3C9B"/>
    <w:rsid w:val="00DF3DAC"/>
    <w:rsid w:val="00DF43F5"/>
    <w:rsid w:val="00DF515C"/>
    <w:rsid w:val="00DF57B8"/>
    <w:rsid w:val="00DF5E97"/>
    <w:rsid w:val="00DF6060"/>
    <w:rsid w:val="00DF65A0"/>
    <w:rsid w:val="00DF68B0"/>
    <w:rsid w:val="00DF6AC5"/>
    <w:rsid w:val="00DF7203"/>
    <w:rsid w:val="00DF7671"/>
    <w:rsid w:val="00DF7CE8"/>
    <w:rsid w:val="00E00273"/>
    <w:rsid w:val="00E00378"/>
    <w:rsid w:val="00E00C79"/>
    <w:rsid w:val="00E00D17"/>
    <w:rsid w:val="00E00DB3"/>
    <w:rsid w:val="00E025EC"/>
    <w:rsid w:val="00E0285F"/>
    <w:rsid w:val="00E03229"/>
    <w:rsid w:val="00E03524"/>
    <w:rsid w:val="00E038AE"/>
    <w:rsid w:val="00E04463"/>
    <w:rsid w:val="00E04570"/>
    <w:rsid w:val="00E04BD8"/>
    <w:rsid w:val="00E04C75"/>
    <w:rsid w:val="00E0512B"/>
    <w:rsid w:val="00E052FF"/>
    <w:rsid w:val="00E0600A"/>
    <w:rsid w:val="00E062CB"/>
    <w:rsid w:val="00E068FB"/>
    <w:rsid w:val="00E06CF8"/>
    <w:rsid w:val="00E06E5B"/>
    <w:rsid w:val="00E070E8"/>
    <w:rsid w:val="00E07ED0"/>
    <w:rsid w:val="00E1033B"/>
    <w:rsid w:val="00E10EE4"/>
    <w:rsid w:val="00E10F19"/>
    <w:rsid w:val="00E11B08"/>
    <w:rsid w:val="00E11FCB"/>
    <w:rsid w:val="00E1269B"/>
    <w:rsid w:val="00E13204"/>
    <w:rsid w:val="00E135ED"/>
    <w:rsid w:val="00E1376A"/>
    <w:rsid w:val="00E1452F"/>
    <w:rsid w:val="00E1487F"/>
    <w:rsid w:val="00E14C36"/>
    <w:rsid w:val="00E1523C"/>
    <w:rsid w:val="00E15261"/>
    <w:rsid w:val="00E1562C"/>
    <w:rsid w:val="00E15AD8"/>
    <w:rsid w:val="00E1636B"/>
    <w:rsid w:val="00E1650E"/>
    <w:rsid w:val="00E1769C"/>
    <w:rsid w:val="00E17957"/>
    <w:rsid w:val="00E17AA9"/>
    <w:rsid w:val="00E17CB6"/>
    <w:rsid w:val="00E20D67"/>
    <w:rsid w:val="00E21D36"/>
    <w:rsid w:val="00E2215B"/>
    <w:rsid w:val="00E22F6D"/>
    <w:rsid w:val="00E23229"/>
    <w:rsid w:val="00E2361B"/>
    <w:rsid w:val="00E23887"/>
    <w:rsid w:val="00E2443D"/>
    <w:rsid w:val="00E24D50"/>
    <w:rsid w:val="00E25106"/>
    <w:rsid w:val="00E25691"/>
    <w:rsid w:val="00E2578A"/>
    <w:rsid w:val="00E26185"/>
    <w:rsid w:val="00E2680F"/>
    <w:rsid w:val="00E26B7C"/>
    <w:rsid w:val="00E26BF3"/>
    <w:rsid w:val="00E26CE0"/>
    <w:rsid w:val="00E26E34"/>
    <w:rsid w:val="00E26E39"/>
    <w:rsid w:val="00E276BE"/>
    <w:rsid w:val="00E27FF7"/>
    <w:rsid w:val="00E311AD"/>
    <w:rsid w:val="00E31EF7"/>
    <w:rsid w:val="00E32AB4"/>
    <w:rsid w:val="00E32B3B"/>
    <w:rsid w:val="00E32CB5"/>
    <w:rsid w:val="00E33071"/>
    <w:rsid w:val="00E33125"/>
    <w:rsid w:val="00E334E1"/>
    <w:rsid w:val="00E3354A"/>
    <w:rsid w:val="00E33769"/>
    <w:rsid w:val="00E33C4B"/>
    <w:rsid w:val="00E33F69"/>
    <w:rsid w:val="00E34055"/>
    <w:rsid w:val="00E340A3"/>
    <w:rsid w:val="00E35E1E"/>
    <w:rsid w:val="00E374B7"/>
    <w:rsid w:val="00E3776F"/>
    <w:rsid w:val="00E37ACE"/>
    <w:rsid w:val="00E37B9C"/>
    <w:rsid w:val="00E400F7"/>
    <w:rsid w:val="00E40B4B"/>
    <w:rsid w:val="00E40EF1"/>
    <w:rsid w:val="00E40FCF"/>
    <w:rsid w:val="00E41257"/>
    <w:rsid w:val="00E414D8"/>
    <w:rsid w:val="00E41700"/>
    <w:rsid w:val="00E41917"/>
    <w:rsid w:val="00E419D3"/>
    <w:rsid w:val="00E42280"/>
    <w:rsid w:val="00E42738"/>
    <w:rsid w:val="00E42966"/>
    <w:rsid w:val="00E43074"/>
    <w:rsid w:val="00E439D6"/>
    <w:rsid w:val="00E442EB"/>
    <w:rsid w:val="00E4498B"/>
    <w:rsid w:val="00E44BF6"/>
    <w:rsid w:val="00E44C42"/>
    <w:rsid w:val="00E45A94"/>
    <w:rsid w:val="00E46273"/>
    <w:rsid w:val="00E4674E"/>
    <w:rsid w:val="00E4686D"/>
    <w:rsid w:val="00E470A6"/>
    <w:rsid w:val="00E47CC2"/>
    <w:rsid w:val="00E504E0"/>
    <w:rsid w:val="00E5101E"/>
    <w:rsid w:val="00E5236D"/>
    <w:rsid w:val="00E5276A"/>
    <w:rsid w:val="00E52902"/>
    <w:rsid w:val="00E52A1F"/>
    <w:rsid w:val="00E52B03"/>
    <w:rsid w:val="00E52FD0"/>
    <w:rsid w:val="00E53332"/>
    <w:rsid w:val="00E53723"/>
    <w:rsid w:val="00E5429E"/>
    <w:rsid w:val="00E54B8B"/>
    <w:rsid w:val="00E54E41"/>
    <w:rsid w:val="00E54EBA"/>
    <w:rsid w:val="00E550B0"/>
    <w:rsid w:val="00E5539D"/>
    <w:rsid w:val="00E554DC"/>
    <w:rsid w:val="00E55752"/>
    <w:rsid w:val="00E55BF1"/>
    <w:rsid w:val="00E56FC0"/>
    <w:rsid w:val="00E57053"/>
    <w:rsid w:val="00E5724B"/>
    <w:rsid w:val="00E60A87"/>
    <w:rsid w:val="00E60C46"/>
    <w:rsid w:val="00E60DDA"/>
    <w:rsid w:val="00E60F0F"/>
    <w:rsid w:val="00E6185E"/>
    <w:rsid w:val="00E61ABC"/>
    <w:rsid w:val="00E621E6"/>
    <w:rsid w:val="00E62C29"/>
    <w:rsid w:val="00E62D77"/>
    <w:rsid w:val="00E62EE4"/>
    <w:rsid w:val="00E63602"/>
    <w:rsid w:val="00E63D99"/>
    <w:rsid w:val="00E63DD1"/>
    <w:rsid w:val="00E63EFE"/>
    <w:rsid w:val="00E64863"/>
    <w:rsid w:val="00E65BD4"/>
    <w:rsid w:val="00E664A5"/>
    <w:rsid w:val="00E66E3A"/>
    <w:rsid w:val="00E676E0"/>
    <w:rsid w:val="00E679FF"/>
    <w:rsid w:val="00E71604"/>
    <w:rsid w:val="00E71682"/>
    <w:rsid w:val="00E71DBE"/>
    <w:rsid w:val="00E7223B"/>
    <w:rsid w:val="00E72CCA"/>
    <w:rsid w:val="00E73608"/>
    <w:rsid w:val="00E73BC2"/>
    <w:rsid w:val="00E73C7F"/>
    <w:rsid w:val="00E73E8D"/>
    <w:rsid w:val="00E7415B"/>
    <w:rsid w:val="00E7451E"/>
    <w:rsid w:val="00E74E68"/>
    <w:rsid w:val="00E7532B"/>
    <w:rsid w:val="00E76AE8"/>
    <w:rsid w:val="00E76E49"/>
    <w:rsid w:val="00E77036"/>
    <w:rsid w:val="00E7727D"/>
    <w:rsid w:val="00E77FEB"/>
    <w:rsid w:val="00E80A85"/>
    <w:rsid w:val="00E80A8A"/>
    <w:rsid w:val="00E80D35"/>
    <w:rsid w:val="00E80E88"/>
    <w:rsid w:val="00E812B4"/>
    <w:rsid w:val="00E8194E"/>
    <w:rsid w:val="00E81F02"/>
    <w:rsid w:val="00E8323C"/>
    <w:rsid w:val="00E83F82"/>
    <w:rsid w:val="00E84B44"/>
    <w:rsid w:val="00E84DD9"/>
    <w:rsid w:val="00E84EFF"/>
    <w:rsid w:val="00E8501A"/>
    <w:rsid w:val="00E85315"/>
    <w:rsid w:val="00E85793"/>
    <w:rsid w:val="00E85C30"/>
    <w:rsid w:val="00E85F8B"/>
    <w:rsid w:val="00E86239"/>
    <w:rsid w:val="00E86400"/>
    <w:rsid w:val="00E86897"/>
    <w:rsid w:val="00E86B24"/>
    <w:rsid w:val="00E86B35"/>
    <w:rsid w:val="00E86C11"/>
    <w:rsid w:val="00E86FD2"/>
    <w:rsid w:val="00E8748D"/>
    <w:rsid w:val="00E87C0A"/>
    <w:rsid w:val="00E90C18"/>
    <w:rsid w:val="00E90D74"/>
    <w:rsid w:val="00E90FB2"/>
    <w:rsid w:val="00E91106"/>
    <w:rsid w:val="00E913B8"/>
    <w:rsid w:val="00E91B6E"/>
    <w:rsid w:val="00E91CBD"/>
    <w:rsid w:val="00E920AD"/>
    <w:rsid w:val="00E923A9"/>
    <w:rsid w:val="00E9247E"/>
    <w:rsid w:val="00E9294F"/>
    <w:rsid w:val="00E92B4B"/>
    <w:rsid w:val="00E92C8E"/>
    <w:rsid w:val="00E93005"/>
    <w:rsid w:val="00E93019"/>
    <w:rsid w:val="00E93533"/>
    <w:rsid w:val="00E93722"/>
    <w:rsid w:val="00E93805"/>
    <w:rsid w:val="00E93AB0"/>
    <w:rsid w:val="00E93E3D"/>
    <w:rsid w:val="00E93EDD"/>
    <w:rsid w:val="00E94A71"/>
    <w:rsid w:val="00E95829"/>
    <w:rsid w:val="00E96247"/>
    <w:rsid w:val="00E96843"/>
    <w:rsid w:val="00E969C2"/>
    <w:rsid w:val="00E970D9"/>
    <w:rsid w:val="00E972A5"/>
    <w:rsid w:val="00EA02DA"/>
    <w:rsid w:val="00EA0B6E"/>
    <w:rsid w:val="00EA1202"/>
    <w:rsid w:val="00EA14C6"/>
    <w:rsid w:val="00EA197F"/>
    <w:rsid w:val="00EA1C91"/>
    <w:rsid w:val="00EA1CDE"/>
    <w:rsid w:val="00EA1DFF"/>
    <w:rsid w:val="00EA2436"/>
    <w:rsid w:val="00EA26B9"/>
    <w:rsid w:val="00EA2A5F"/>
    <w:rsid w:val="00EA34DF"/>
    <w:rsid w:val="00EA3723"/>
    <w:rsid w:val="00EA3E2F"/>
    <w:rsid w:val="00EA5A55"/>
    <w:rsid w:val="00EA5B8A"/>
    <w:rsid w:val="00EA61E1"/>
    <w:rsid w:val="00EA6A14"/>
    <w:rsid w:val="00EA7031"/>
    <w:rsid w:val="00EA706D"/>
    <w:rsid w:val="00EA78AF"/>
    <w:rsid w:val="00EB0435"/>
    <w:rsid w:val="00EB0461"/>
    <w:rsid w:val="00EB0AAD"/>
    <w:rsid w:val="00EB174D"/>
    <w:rsid w:val="00EB2156"/>
    <w:rsid w:val="00EB22FD"/>
    <w:rsid w:val="00EB2A03"/>
    <w:rsid w:val="00EB2A31"/>
    <w:rsid w:val="00EB3C6E"/>
    <w:rsid w:val="00EB3D1B"/>
    <w:rsid w:val="00EB3D2F"/>
    <w:rsid w:val="00EB4208"/>
    <w:rsid w:val="00EB4477"/>
    <w:rsid w:val="00EB4967"/>
    <w:rsid w:val="00EB4A4D"/>
    <w:rsid w:val="00EB4B05"/>
    <w:rsid w:val="00EB4BC4"/>
    <w:rsid w:val="00EB4D78"/>
    <w:rsid w:val="00EB4F9D"/>
    <w:rsid w:val="00EB4FCF"/>
    <w:rsid w:val="00EB56A3"/>
    <w:rsid w:val="00EB5802"/>
    <w:rsid w:val="00EB5F71"/>
    <w:rsid w:val="00EB6065"/>
    <w:rsid w:val="00EB64D0"/>
    <w:rsid w:val="00EC012E"/>
    <w:rsid w:val="00EC0983"/>
    <w:rsid w:val="00EC09D3"/>
    <w:rsid w:val="00EC0FFD"/>
    <w:rsid w:val="00EC150A"/>
    <w:rsid w:val="00EC1594"/>
    <w:rsid w:val="00EC188E"/>
    <w:rsid w:val="00EC1CB0"/>
    <w:rsid w:val="00EC2B4F"/>
    <w:rsid w:val="00EC2E6F"/>
    <w:rsid w:val="00EC2F07"/>
    <w:rsid w:val="00EC34F8"/>
    <w:rsid w:val="00EC3BDD"/>
    <w:rsid w:val="00EC3FE7"/>
    <w:rsid w:val="00EC404F"/>
    <w:rsid w:val="00EC45B3"/>
    <w:rsid w:val="00EC48D7"/>
    <w:rsid w:val="00EC4C0F"/>
    <w:rsid w:val="00EC4DEC"/>
    <w:rsid w:val="00EC4DFA"/>
    <w:rsid w:val="00EC52B2"/>
    <w:rsid w:val="00EC5AA5"/>
    <w:rsid w:val="00EC651F"/>
    <w:rsid w:val="00EC74C3"/>
    <w:rsid w:val="00EC7959"/>
    <w:rsid w:val="00ED027C"/>
    <w:rsid w:val="00ED06B2"/>
    <w:rsid w:val="00ED0E8E"/>
    <w:rsid w:val="00ED0FD6"/>
    <w:rsid w:val="00ED1048"/>
    <w:rsid w:val="00ED130F"/>
    <w:rsid w:val="00ED1982"/>
    <w:rsid w:val="00ED2C4A"/>
    <w:rsid w:val="00ED2E07"/>
    <w:rsid w:val="00ED3055"/>
    <w:rsid w:val="00ED3115"/>
    <w:rsid w:val="00ED3445"/>
    <w:rsid w:val="00ED47C0"/>
    <w:rsid w:val="00ED4B26"/>
    <w:rsid w:val="00ED4C94"/>
    <w:rsid w:val="00ED502D"/>
    <w:rsid w:val="00ED5450"/>
    <w:rsid w:val="00ED5B59"/>
    <w:rsid w:val="00ED5DED"/>
    <w:rsid w:val="00ED5E47"/>
    <w:rsid w:val="00ED6F82"/>
    <w:rsid w:val="00ED7560"/>
    <w:rsid w:val="00ED791D"/>
    <w:rsid w:val="00ED7FAA"/>
    <w:rsid w:val="00ED7FCE"/>
    <w:rsid w:val="00EE0078"/>
    <w:rsid w:val="00EE049E"/>
    <w:rsid w:val="00EE19DC"/>
    <w:rsid w:val="00EE1F84"/>
    <w:rsid w:val="00EE220E"/>
    <w:rsid w:val="00EE254C"/>
    <w:rsid w:val="00EE2D40"/>
    <w:rsid w:val="00EE3370"/>
    <w:rsid w:val="00EE3A14"/>
    <w:rsid w:val="00EE3F2B"/>
    <w:rsid w:val="00EE3F50"/>
    <w:rsid w:val="00EE43DB"/>
    <w:rsid w:val="00EE4673"/>
    <w:rsid w:val="00EE52C4"/>
    <w:rsid w:val="00EE55D8"/>
    <w:rsid w:val="00EE5847"/>
    <w:rsid w:val="00EE59BA"/>
    <w:rsid w:val="00EE5F72"/>
    <w:rsid w:val="00EE69A9"/>
    <w:rsid w:val="00EE751E"/>
    <w:rsid w:val="00EE78B9"/>
    <w:rsid w:val="00EE7916"/>
    <w:rsid w:val="00EE7C21"/>
    <w:rsid w:val="00EE7C78"/>
    <w:rsid w:val="00EE7E16"/>
    <w:rsid w:val="00EF0005"/>
    <w:rsid w:val="00EF08B3"/>
    <w:rsid w:val="00EF0933"/>
    <w:rsid w:val="00EF14F2"/>
    <w:rsid w:val="00EF1A26"/>
    <w:rsid w:val="00EF1B50"/>
    <w:rsid w:val="00EF2211"/>
    <w:rsid w:val="00EF22E3"/>
    <w:rsid w:val="00EF23BA"/>
    <w:rsid w:val="00EF2DF0"/>
    <w:rsid w:val="00EF32AE"/>
    <w:rsid w:val="00EF3A73"/>
    <w:rsid w:val="00EF41FD"/>
    <w:rsid w:val="00EF47C4"/>
    <w:rsid w:val="00EF4954"/>
    <w:rsid w:val="00EF496B"/>
    <w:rsid w:val="00EF4ED8"/>
    <w:rsid w:val="00EF4F1E"/>
    <w:rsid w:val="00EF5FB6"/>
    <w:rsid w:val="00EF6351"/>
    <w:rsid w:val="00EF638B"/>
    <w:rsid w:val="00EF6960"/>
    <w:rsid w:val="00EF6D4C"/>
    <w:rsid w:val="00EF7221"/>
    <w:rsid w:val="00EF72FC"/>
    <w:rsid w:val="00EF7B98"/>
    <w:rsid w:val="00F0013A"/>
    <w:rsid w:val="00F0021A"/>
    <w:rsid w:val="00F005F6"/>
    <w:rsid w:val="00F00A5F"/>
    <w:rsid w:val="00F01616"/>
    <w:rsid w:val="00F02135"/>
    <w:rsid w:val="00F02A46"/>
    <w:rsid w:val="00F03117"/>
    <w:rsid w:val="00F03372"/>
    <w:rsid w:val="00F03541"/>
    <w:rsid w:val="00F04F85"/>
    <w:rsid w:val="00F050B4"/>
    <w:rsid w:val="00F056ED"/>
    <w:rsid w:val="00F05ABF"/>
    <w:rsid w:val="00F0610D"/>
    <w:rsid w:val="00F079FB"/>
    <w:rsid w:val="00F109E3"/>
    <w:rsid w:val="00F10B01"/>
    <w:rsid w:val="00F10B4F"/>
    <w:rsid w:val="00F10BC0"/>
    <w:rsid w:val="00F118A6"/>
    <w:rsid w:val="00F11A86"/>
    <w:rsid w:val="00F1207A"/>
    <w:rsid w:val="00F121C4"/>
    <w:rsid w:val="00F123B7"/>
    <w:rsid w:val="00F12433"/>
    <w:rsid w:val="00F126C2"/>
    <w:rsid w:val="00F12E6D"/>
    <w:rsid w:val="00F12EC8"/>
    <w:rsid w:val="00F13604"/>
    <w:rsid w:val="00F138CD"/>
    <w:rsid w:val="00F14A80"/>
    <w:rsid w:val="00F14BDE"/>
    <w:rsid w:val="00F1522A"/>
    <w:rsid w:val="00F158CF"/>
    <w:rsid w:val="00F15AEE"/>
    <w:rsid w:val="00F15E98"/>
    <w:rsid w:val="00F161FE"/>
    <w:rsid w:val="00F16E0B"/>
    <w:rsid w:val="00F17409"/>
    <w:rsid w:val="00F1743E"/>
    <w:rsid w:val="00F17DE4"/>
    <w:rsid w:val="00F2049E"/>
    <w:rsid w:val="00F20CC3"/>
    <w:rsid w:val="00F20E3E"/>
    <w:rsid w:val="00F2101A"/>
    <w:rsid w:val="00F2120A"/>
    <w:rsid w:val="00F212D3"/>
    <w:rsid w:val="00F21511"/>
    <w:rsid w:val="00F21600"/>
    <w:rsid w:val="00F21D49"/>
    <w:rsid w:val="00F2216E"/>
    <w:rsid w:val="00F22488"/>
    <w:rsid w:val="00F23494"/>
    <w:rsid w:val="00F23D22"/>
    <w:rsid w:val="00F23E1C"/>
    <w:rsid w:val="00F23ED6"/>
    <w:rsid w:val="00F23FCE"/>
    <w:rsid w:val="00F25344"/>
    <w:rsid w:val="00F2536E"/>
    <w:rsid w:val="00F2557F"/>
    <w:rsid w:val="00F2564D"/>
    <w:rsid w:val="00F25D2C"/>
    <w:rsid w:val="00F25E64"/>
    <w:rsid w:val="00F25EB6"/>
    <w:rsid w:val="00F265C9"/>
    <w:rsid w:val="00F2675B"/>
    <w:rsid w:val="00F26983"/>
    <w:rsid w:val="00F2754F"/>
    <w:rsid w:val="00F2762C"/>
    <w:rsid w:val="00F30393"/>
    <w:rsid w:val="00F307DC"/>
    <w:rsid w:val="00F31101"/>
    <w:rsid w:val="00F31295"/>
    <w:rsid w:val="00F314FD"/>
    <w:rsid w:val="00F3157C"/>
    <w:rsid w:val="00F31FF5"/>
    <w:rsid w:val="00F3203B"/>
    <w:rsid w:val="00F3393F"/>
    <w:rsid w:val="00F33C8B"/>
    <w:rsid w:val="00F33ED6"/>
    <w:rsid w:val="00F343C9"/>
    <w:rsid w:val="00F34671"/>
    <w:rsid w:val="00F34AE3"/>
    <w:rsid w:val="00F34B67"/>
    <w:rsid w:val="00F34B8C"/>
    <w:rsid w:val="00F34F7B"/>
    <w:rsid w:val="00F35094"/>
    <w:rsid w:val="00F365F1"/>
    <w:rsid w:val="00F36A4D"/>
    <w:rsid w:val="00F36FAF"/>
    <w:rsid w:val="00F37071"/>
    <w:rsid w:val="00F37CC1"/>
    <w:rsid w:val="00F37F39"/>
    <w:rsid w:val="00F37FA4"/>
    <w:rsid w:val="00F41182"/>
    <w:rsid w:val="00F4139A"/>
    <w:rsid w:val="00F419D9"/>
    <w:rsid w:val="00F41A48"/>
    <w:rsid w:val="00F41DB3"/>
    <w:rsid w:val="00F4225C"/>
    <w:rsid w:val="00F427FE"/>
    <w:rsid w:val="00F42AD7"/>
    <w:rsid w:val="00F438B1"/>
    <w:rsid w:val="00F44185"/>
    <w:rsid w:val="00F444BD"/>
    <w:rsid w:val="00F454DE"/>
    <w:rsid w:val="00F456FD"/>
    <w:rsid w:val="00F45841"/>
    <w:rsid w:val="00F45FA6"/>
    <w:rsid w:val="00F4609B"/>
    <w:rsid w:val="00F4639B"/>
    <w:rsid w:val="00F46506"/>
    <w:rsid w:val="00F46A03"/>
    <w:rsid w:val="00F46E48"/>
    <w:rsid w:val="00F46F2C"/>
    <w:rsid w:val="00F47DF9"/>
    <w:rsid w:val="00F50311"/>
    <w:rsid w:val="00F5062B"/>
    <w:rsid w:val="00F51802"/>
    <w:rsid w:val="00F51A08"/>
    <w:rsid w:val="00F51E53"/>
    <w:rsid w:val="00F52070"/>
    <w:rsid w:val="00F52305"/>
    <w:rsid w:val="00F52525"/>
    <w:rsid w:val="00F52654"/>
    <w:rsid w:val="00F52B06"/>
    <w:rsid w:val="00F52DA7"/>
    <w:rsid w:val="00F52F41"/>
    <w:rsid w:val="00F52F51"/>
    <w:rsid w:val="00F53C65"/>
    <w:rsid w:val="00F53E2E"/>
    <w:rsid w:val="00F53EBE"/>
    <w:rsid w:val="00F53F05"/>
    <w:rsid w:val="00F543EF"/>
    <w:rsid w:val="00F54541"/>
    <w:rsid w:val="00F551A2"/>
    <w:rsid w:val="00F5523D"/>
    <w:rsid w:val="00F553F1"/>
    <w:rsid w:val="00F55AA3"/>
    <w:rsid w:val="00F55B91"/>
    <w:rsid w:val="00F55DB5"/>
    <w:rsid w:val="00F56151"/>
    <w:rsid w:val="00F5632C"/>
    <w:rsid w:val="00F564C7"/>
    <w:rsid w:val="00F573C5"/>
    <w:rsid w:val="00F573FF"/>
    <w:rsid w:val="00F57457"/>
    <w:rsid w:val="00F57A0D"/>
    <w:rsid w:val="00F57C72"/>
    <w:rsid w:val="00F57D70"/>
    <w:rsid w:val="00F57F47"/>
    <w:rsid w:val="00F602ED"/>
    <w:rsid w:val="00F60727"/>
    <w:rsid w:val="00F6093B"/>
    <w:rsid w:val="00F60CD9"/>
    <w:rsid w:val="00F611CB"/>
    <w:rsid w:val="00F612BF"/>
    <w:rsid w:val="00F61A27"/>
    <w:rsid w:val="00F61C59"/>
    <w:rsid w:val="00F61EFA"/>
    <w:rsid w:val="00F623A1"/>
    <w:rsid w:val="00F63505"/>
    <w:rsid w:val="00F63B9E"/>
    <w:rsid w:val="00F63E62"/>
    <w:rsid w:val="00F6408D"/>
    <w:rsid w:val="00F64B0C"/>
    <w:rsid w:val="00F64C89"/>
    <w:rsid w:val="00F64DCB"/>
    <w:rsid w:val="00F64E46"/>
    <w:rsid w:val="00F65269"/>
    <w:rsid w:val="00F65528"/>
    <w:rsid w:val="00F658FF"/>
    <w:rsid w:val="00F65959"/>
    <w:rsid w:val="00F66071"/>
    <w:rsid w:val="00F67696"/>
    <w:rsid w:val="00F67BA2"/>
    <w:rsid w:val="00F7026F"/>
    <w:rsid w:val="00F70902"/>
    <w:rsid w:val="00F71345"/>
    <w:rsid w:val="00F713D2"/>
    <w:rsid w:val="00F71B16"/>
    <w:rsid w:val="00F72BB0"/>
    <w:rsid w:val="00F72D6C"/>
    <w:rsid w:val="00F73D17"/>
    <w:rsid w:val="00F742FF"/>
    <w:rsid w:val="00F7437D"/>
    <w:rsid w:val="00F74E75"/>
    <w:rsid w:val="00F75416"/>
    <w:rsid w:val="00F75456"/>
    <w:rsid w:val="00F764DB"/>
    <w:rsid w:val="00F767C6"/>
    <w:rsid w:val="00F76A20"/>
    <w:rsid w:val="00F76D45"/>
    <w:rsid w:val="00F76EBF"/>
    <w:rsid w:val="00F76FF6"/>
    <w:rsid w:val="00F7707A"/>
    <w:rsid w:val="00F777E1"/>
    <w:rsid w:val="00F77BB5"/>
    <w:rsid w:val="00F8021D"/>
    <w:rsid w:val="00F80DFC"/>
    <w:rsid w:val="00F813E4"/>
    <w:rsid w:val="00F81A6F"/>
    <w:rsid w:val="00F82272"/>
    <w:rsid w:val="00F8285C"/>
    <w:rsid w:val="00F82CF9"/>
    <w:rsid w:val="00F83771"/>
    <w:rsid w:val="00F838E1"/>
    <w:rsid w:val="00F83A44"/>
    <w:rsid w:val="00F83C2F"/>
    <w:rsid w:val="00F83FD0"/>
    <w:rsid w:val="00F845CE"/>
    <w:rsid w:val="00F85075"/>
    <w:rsid w:val="00F8523B"/>
    <w:rsid w:val="00F8539A"/>
    <w:rsid w:val="00F854C7"/>
    <w:rsid w:val="00F85871"/>
    <w:rsid w:val="00F858DA"/>
    <w:rsid w:val="00F85903"/>
    <w:rsid w:val="00F86B27"/>
    <w:rsid w:val="00F86C3D"/>
    <w:rsid w:val="00F86E0D"/>
    <w:rsid w:val="00F87B75"/>
    <w:rsid w:val="00F90100"/>
    <w:rsid w:val="00F902BA"/>
    <w:rsid w:val="00F9040F"/>
    <w:rsid w:val="00F90572"/>
    <w:rsid w:val="00F905D8"/>
    <w:rsid w:val="00F905F8"/>
    <w:rsid w:val="00F91787"/>
    <w:rsid w:val="00F91843"/>
    <w:rsid w:val="00F91F67"/>
    <w:rsid w:val="00F923E4"/>
    <w:rsid w:val="00F9249C"/>
    <w:rsid w:val="00F92629"/>
    <w:rsid w:val="00F92857"/>
    <w:rsid w:val="00F928CF"/>
    <w:rsid w:val="00F92CA7"/>
    <w:rsid w:val="00F9359C"/>
    <w:rsid w:val="00F93F7B"/>
    <w:rsid w:val="00F940A9"/>
    <w:rsid w:val="00F9492D"/>
    <w:rsid w:val="00F94C6B"/>
    <w:rsid w:val="00F94CE4"/>
    <w:rsid w:val="00F9526A"/>
    <w:rsid w:val="00F95451"/>
    <w:rsid w:val="00F965CD"/>
    <w:rsid w:val="00F9754B"/>
    <w:rsid w:val="00F97ED4"/>
    <w:rsid w:val="00F97F6D"/>
    <w:rsid w:val="00FA05E5"/>
    <w:rsid w:val="00FA0898"/>
    <w:rsid w:val="00FA0903"/>
    <w:rsid w:val="00FA099E"/>
    <w:rsid w:val="00FA2675"/>
    <w:rsid w:val="00FA26EE"/>
    <w:rsid w:val="00FA3992"/>
    <w:rsid w:val="00FA405D"/>
    <w:rsid w:val="00FA44FC"/>
    <w:rsid w:val="00FA54F9"/>
    <w:rsid w:val="00FA55D9"/>
    <w:rsid w:val="00FA5770"/>
    <w:rsid w:val="00FA5A37"/>
    <w:rsid w:val="00FA5BB8"/>
    <w:rsid w:val="00FA5DAB"/>
    <w:rsid w:val="00FA5E53"/>
    <w:rsid w:val="00FA5F7B"/>
    <w:rsid w:val="00FA6935"/>
    <w:rsid w:val="00FA6969"/>
    <w:rsid w:val="00FA6FBA"/>
    <w:rsid w:val="00FA7344"/>
    <w:rsid w:val="00FA7517"/>
    <w:rsid w:val="00FA7B81"/>
    <w:rsid w:val="00FB0344"/>
    <w:rsid w:val="00FB04FE"/>
    <w:rsid w:val="00FB0FCD"/>
    <w:rsid w:val="00FB1B64"/>
    <w:rsid w:val="00FB1B94"/>
    <w:rsid w:val="00FB3931"/>
    <w:rsid w:val="00FB516E"/>
    <w:rsid w:val="00FB51F0"/>
    <w:rsid w:val="00FB5394"/>
    <w:rsid w:val="00FB540A"/>
    <w:rsid w:val="00FB597D"/>
    <w:rsid w:val="00FB61BF"/>
    <w:rsid w:val="00FB6C36"/>
    <w:rsid w:val="00FB76BF"/>
    <w:rsid w:val="00FB77F7"/>
    <w:rsid w:val="00FB7BD0"/>
    <w:rsid w:val="00FB7D79"/>
    <w:rsid w:val="00FC00D8"/>
    <w:rsid w:val="00FC0687"/>
    <w:rsid w:val="00FC0A95"/>
    <w:rsid w:val="00FC0B84"/>
    <w:rsid w:val="00FC0D99"/>
    <w:rsid w:val="00FC0EC8"/>
    <w:rsid w:val="00FC1467"/>
    <w:rsid w:val="00FC1B71"/>
    <w:rsid w:val="00FC1F86"/>
    <w:rsid w:val="00FC1FBB"/>
    <w:rsid w:val="00FC28FE"/>
    <w:rsid w:val="00FC2A85"/>
    <w:rsid w:val="00FC32CF"/>
    <w:rsid w:val="00FC3617"/>
    <w:rsid w:val="00FC3725"/>
    <w:rsid w:val="00FC37CA"/>
    <w:rsid w:val="00FC3B16"/>
    <w:rsid w:val="00FC4B8B"/>
    <w:rsid w:val="00FC4FD2"/>
    <w:rsid w:val="00FC64CC"/>
    <w:rsid w:val="00FC6DEB"/>
    <w:rsid w:val="00FC7354"/>
    <w:rsid w:val="00FC73F8"/>
    <w:rsid w:val="00FC7935"/>
    <w:rsid w:val="00FC7BDB"/>
    <w:rsid w:val="00FC7F0C"/>
    <w:rsid w:val="00FD00E3"/>
    <w:rsid w:val="00FD08D1"/>
    <w:rsid w:val="00FD0918"/>
    <w:rsid w:val="00FD1000"/>
    <w:rsid w:val="00FD11AA"/>
    <w:rsid w:val="00FD17E2"/>
    <w:rsid w:val="00FD184E"/>
    <w:rsid w:val="00FD18A8"/>
    <w:rsid w:val="00FD19B5"/>
    <w:rsid w:val="00FD1A1D"/>
    <w:rsid w:val="00FD24C5"/>
    <w:rsid w:val="00FD268C"/>
    <w:rsid w:val="00FD33A7"/>
    <w:rsid w:val="00FD402E"/>
    <w:rsid w:val="00FD43FA"/>
    <w:rsid w:val="00FD47D6"/>
    <w:rsid w:val="00FD48A0"/>
    <w:rsid w:val="00FD4F58"/>
    <w:rsid w:val="00FD50B1"/>
    <w:rsid w:val="00FD5694"/>
    <w:rsid w:val="00FD5D08"/>
    <w:rsid w:val="00FD5D95"/>
    <w:rsid w:val="00FD69DC"/>
    <w:rsid w:val="00FD6CF1"/>
    <w:rsid w:val="00FD72CD"/>
    <w:rsid w:val="00FD769E"/>
    <w:rsid w:val="00FD79E8"/>
    <w:rsid w:val="00FD7C35"/>
    <w:rsid w:val="00FE01DD"/>
    <w:rsid w:val="00FE0F2B"/>
    <w:rsid w:val="00FE1197"/>
    <w:rsid w:val="00FE11D0"/>
    <w:rsid w:val="00FE161D"/>
    <w:rsid w:val="00FE1A6B"/>
    <w:rsid w:val="00FE1C55"/>
    <w:rsid w:val="00FE2007"/>
    <w:rsid w:val="00FE2B0A"/>
    <w:rsid w:val="00FE3074"/>
    <w:rsid w:val="00FE346F"/>
    <w:rsid w:val="00FE35BE"/>
    <w:rsid w:val="00FE36B2"/>
    <w:rsid w:val="00FE3D0A"/>
    <w:rsid w:val="00FE419F"/>
    <w:rsid w:val="00FE448D"/>
    <w:rsid w:val="00FE4823"/>
    <w:rsid w:val="00FE4C5B"/>
    <w:rsid w:val="00FE565B"/>
    <w:rsid w:val="00FE68D1"/>
    <w:rsid w:val="00FE717B"/>
    <w:rsid w:val="00FE7330"/>
    <w:rsid w:val="00FE73AE"/>
    <w:rsid w:val="00FE7800"/>
    <w:rsid w:val="00FE7F2D"/>
    <w:rsid w:val="00FF0589"/>
    <w:rsid w:val="00FF0954"/>
    <w:rsid w:val="00FF12E2"/>
    <w:rsid w:val="00FF1FDA"/>
    <w:rsid w:val="00FF2098"/>
    <w:rsid w:val="00FF254B"/>
    <w:rsid w:val="00FF31B1"/>
    <w:rsid w:val="00FF3819"/>
    <w:rsid w:val="00FF3BA7"/>
    <w:rsid w:val="00FF3F63"/>
    <w:rsid w:val="00FF4058"/>
    <w:rsid w:val="00FF4349"/>
    <w:rsid w:val="00FF4869"/>
    <w:rsid w:val="00FF5460"/>
    <w:rsid w:val="00FF54A2"/>
    <w:rsid w:val="00FF5EC1"/>
    <w:rsid w:val="00FF5ED2"/>
    <w:rsid w:val="00FF63F4"/>
    <w:rsid w:val="00FF6578"/>
    <w:rsid w:val="00FF6D7B"/>
    <w:rsid w:val="00FF7AEF"/>
    <w:rsid w:val="00FF7C14"/>
    <w:rsid w:val="00FF7D46"/>
    <w:rsid w:val="28F72750"/>
    <w:rsid w:val="47B8946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4770E0"/>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next w:val="Normal"/>
    <w:rsid w:val="00713EE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next w:val="Normal"/>
    <w:rsid w:val="00713EE0"/>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Calibri Light" w:eastAsiaTheme="majorEastAsia" w:hAnsi="Calibri Light" w:cstheme="majorBidi"/>
      <w:b/>
      <w:bCs/>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Cs/>
      <w:color w:val="000000" w:themeColor="text2"/>
      <w:spacing w:val="14"/>
      <w:sz w:val="24"/>
    </w:rPr>
  </w:style>
  <w:style w:type="character" w:customStyle="1" w:styleId="Heading4Char">
    <w:name w:val="Heading 4 Char"/>
    <w:basedOn w:val="DefaultParagraphFont"/>
    <w:link w:val="Heading4"/>
    <w:uiPriority w:val="9"/>
    <w:rsid w:val="00320A8D"/>
    <w:rPr>
      <w:rFonts w:ascii="Calibri Light" w:eastAsiaTheme="majorEastAsia" w:hAnsi="Calibri Light"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iCs/>
      <w:color w:val="26664E" w:themeColor="accent1"/>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qFormat/>
    <w:rsid w:val="00624F87"/>
    <w:pPr>
      <w:jc w:val="center"/>
    </w:pPr>
    <w:rPr>
      <w:rFonts w:eastAsiaTheme="minorEastAsia"/>
      <w:bCs/>
      <w:color w:val="007449"/>
      <w:spacing w:val="6"/>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style>
  <w:style w:type="paragraph" w:styleId="ListParagraph">
    <w:name w:val="List Paragraph"/>
    <w:basedOn w:val="Normal"/>
    <w:link w:val="ListParagraphChar"/>
    <w:uiPriority w:val="34"/>
    <w:qFormat/>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qFormat/>
    <w:rsid w:val="00A602BE"/>
    <w:pPr>
      <w:spacing w:before="480"/>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Instrumentlevel3alphanumericallist">
    <w:name w:val="Instrument level 3 alphanumerical list"/>
    <w:basedOn w:val="Normal"/>
    <w:qFormat/>
    <w:rsid w:val="00AE26D8"/>
    <w:pPr>
      <w:numPr>
        <w:numId w:val="8"/>
      </w:numPr>
      <w:spacing w:before="0"/>
      <w:contextualSpacing/>
    </w:pPr>
    <w:rPr>
      <w:rFonts w:cs="Arial"/>
      <w:noProof/>
      <w:color w:val="auto"/>
      <w:szCs w:val="20"/>
      <w:lang w:val="en-US"/>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autoRedefine/>
    <w:qFormat/>
    <w:rsid w:val="00630EDC"/>
    <w:pPr>
      <w:spacing w:before="0" w:after="120" w:line="240" w:lineRule="auto"/>
      <w:jc w:val="left"/>
      <w:outlineLvl w:val="1"/>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autoRedefine/>
    <w:qFormat/>
    <w:rsid w:val="007A19EF"/>
    <w:pPr>
      <w:keepNext/>
      <w:spacing w:before="240" w:line="240" w:lineRule="auto"/>
      <w:jc w:val="left"/>
      <w:outlineLvl w:val="2"/>
    </w:pPr>
    <w:rPr>
      <w:rFonts w:ascii="Rockwell" w:hAnsi="Rockwell" w:cs="Arial"/>
      <w:color w:val="0F6745" w:themeColor="accent2" w:themeShade="BF"/>
      <w:spacing w:val="-6"/>
      <w:sz w:val="30"/>
    </w:rPr>
  </w:style>
  <w:style w:type="paragraph" w:customStyle="1" w:styleId="VIRTBreakouttext">
    <w:name w:val="VIRT Breakout text"/>
    <w:basedOn w:val="Normal"/>
    <w:link w:val="VIRTBreakouttextChar"/>
    <w:qFormat/>
    <w:rsid w:val="009047EC"/>
    <w:pPr>
      <w:tabs>
        <w:tab w:val="center" w:pos="4680"/>
        <w:tab w:val="right" w:pos="9360"/>
      </w:tabs>
      <w:spacing w:before="240"/>
      <w:ind w:left="425"/>
    </w:pPr>
    <w:rPr>
      <w:rFonts w:asciiTheme="minorHAnsi" w:hAnsiTheme="minorHAnsi" w:cs="Times New Roman (Body CS)"/>
      <w:color w:val="0E7650"/>
      <w:sz w:val="24"/>
    </w:rPr>
  </w:style>
  <w:style w:type="character" w:customStyle="1" w:styleId="VIRTBreakouttextChar">
    <w:name w:val="VIRT Breakout text Char"/>
    <w:basedOn w:val="DefaultParagraphFont"/>
    <w:link w:val="VIRTBreakouttext"/>
    <w:rsid w:val="009047EC"/>
    <w:rPr>
      <w:rFonts w:cs="Times New Roman (Body CS)"/>
      <w:color w:val="0E7650"/>
      <w:sz w:val="24"/>
    </w:rPr>
  </w:style>
  <w:style w:type="paragraph" w:customStyle="1" w:styleId="VIRTbodyText0">
    <w:name w:val="VIRT body Text"/>
    <w:basedOn w:val="Normal"/>
    <w:rsid w:val="00544C50"/>
    <w:pPr>
      <w:spacing w:before="120"/>
    </w:pPr>
    <w:rPr>
      <w:rFonts w:cs="Arial"/>
      <w:noProof/>
      <w:szCs w:val="20"/>
      <w:lang w:val="en-US"/>
    </w:rPr>
  </w:style>
  <w:style w:type="paragraph" w:customStyle="1" w:styleId="ChapterHeading">
    <w:name w:val="Chapter Heading"/>
    <w:basedOn w:val="VIRTHeading2"/>
    <w:link w:val="ChapterHeadingChar"/>
    <w:autoRedefine/>
    <w:rsid w:val="00692AFC"/>
    <w:pPr>
      <w:spacing w:after="720"/>
      <w:outlineLvl w:val="0"/>
    </w:pPr>
    <w:rPr>
      <w:color w:val="26664E" w:themeColor="accent1"/>
      <w:sz w:val="56"/>
      <w:szCs w:val="72"/>
    </w:rPr>
  </w:style>
  <w:style w:type="paragraph" w:customStyle="1" w:styleId="VIRTHeading6">
    <w:name w:val="VIRT Heading 6"/>
    <w:basedOn w:val="Normal"/>
    <w:rsid w:val="00713EE0"/>
    <w:pPr>
      <w:outlineLvl w:val="5"/>
    </w:pPr>
    <w:rPr>
      <w:u w:val="single"/>
    </w:rPr>
  </w:style>
  <w:style w:type="paragraph" w:customStyle="1" w:styleId="VIRTHeading4">
    <w:name w:val="VIRT Heading 4"/>
    <w:basedOn w:val="Normal"/>
    <w:autoRedefine/>
    <w:rsid w:val="006255F0"/>
    <w:pPr>
      <w:spacing w:before="0" w:line="240" w:lineRule="auto"/>
      <w:jc w:val="left"/>
      <w:outlineLvl w:val="3"/>
    </w:pPr>
    <w:rPr>
      <w:rFonts w:asciiTheme="minorHAnsi" w:hAnsiTheme="minorHAnsi"/>
      <w:color w:val="148A5D" w:themeColor="accent2"/>
    </w:rPr>
  </w:style>
  <w:style w:type="paragraph" w:customStyle="1" w:styleId="VIRTHeading5">
    <w:name w:val="VIRT Heading 5"/>
    <w:basedOn w:val="Normal"/>
    <w:rsid w:val="00713EE0"/>
    <w:pPr>
      <w:spacing w:after="120"/>
      <w:outlineLvl w:val="4"/>
    </w:pPr>
    <w:rPr>
      <w:rFonts w:cs="Times New Roman (Body CS)"/>
      <w:i/>
      <w:spacing w:val="6"/>
    </w:rPr>
  </w:style>
  <w:style w:type="paragraph" w:customStyle="1" w:styleId="VIRTDotpoints">
    <w:name w:val="VIRT Dot points"/>
    <w:basedOn w:val="ListParagraph"/>
    <w:rsid w:val="001F0C7E"/>
    <w:pPr>
      <w:numPr>
        <w:numId w:val="1"/>
      </w:numPr>
      <w:spacing w:before="120" w:after="120"/>
      <w:ind w:left="425" w:hanging="357"/>
      <w:contextualSpacing w:val="0"/>
    </w:pPr>
    <w:rPr>
      <w:rFonts w:cs="Times New Roman (Body CS)"/>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qFormat/>
    <w:rsid w:val="00557732"/>
    <w:pPr>
      <w:tabs>
        <w:tab w:val="left" w:pos="800"/>
        <w:tab w:val="right" w:leader="dot" w:pos="9622"/>
      </w:tabs>
      <w:spacing w:before="120" w:after="120" w:line="60" w:lineRule="atLeast"/>
      <w:ind w:left="850" w:hanging="652"/>
      <w:jc w:val="left"/>
    </w:pPr>
    <w:rPr>
      <w:iCs/>
      <w:noProof/>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link w:val="TOC1Char"/>
    <w:autoRedefine/>
    <w:uiPriority w:val="39"/>
    <w:unhideWhenUsed/>
    <w:qFormat/>
    <w:rsid w:val="00211839"/>
    <w:pPr>
      <w:tabs>
        <w:tab w:val="left" w:pos="403"/>
        <w:tab w:val="right" w:leader="dot" w:pos="9622"/>
      </w:tabs>
      <w:spacing w:before="120" w:after="120" w:line="60" w:lineRule="atLeast"/>
      <w:jc w:val="left"/>
    </w:pPr>
    <w:rPr>
      <w:b/>
      <w:bCs/>
      <w:color w:val="auto"/>
      <w:szCs w:val="20"/>
    </w:rPr>
  </w:style>
  <w:style w:type="paragraph" w:styleId="TOC3">
    <w:name w:val="toc 3"/>
    <w:aliases w:val="TOC 3 VIRT"/>
    <w:basedOn w:val="Normal"/>
    <w:next w:val="Normal"/>
    <w:autoRedefine/>
    <w:uiPriority w:val="39"/>
    <w:unhideWhenUsed/>
    <w:rsid w:val="00403580"/>
    <w:pPr>
      <w:tabs>
        <w:tab w:val="right" w:leader="dot" w:pos="9622"/>
      </w:tabs>
      <w:spacing w:before="120" w:after="120"/>
    </w:pPr>
    <w:rPr>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nhideWhenUsed/>
    <w:rsid w:val="00A602BE"/>
    <w:pPr>
      <w:spacing w:after="0"/>
      <w:ind w:left="800"/>
    </w:pPr>
    <w:rPr>
      <w:rFonts w:asciiTheme="minorHAnsi" w:hAnsiTheme="minorHAnsi"/>
      <w:szCs w:val="20"/>
    </w:rPr>
  </w:style>
  <w:style w:type="paragraph" w:styleId="TOC6">
    <w:name w:val="toc 6"/>
    <w:basedOn w:val="Normal"/>
    <w:next w:val="Normal"/>
    <w:autoRedefine/>
    <w:unhideWhenUsed/>
    <w:rsid w:val="00A602BE"/>
    <w:pPr>
      <w:spacing w:after="0"/>
      <w:ind w:left="1000"/>
    </w:pPr>
    <w:rPr>
      <w:rFonts w:asciiTheme="minorHAnsi" w:hAnsiTheme="minorHAnsi"/>
      <w:szCs w:val="20"/>
    </w:rPr>
  </w:style>
  <w:style w:type="paragraph" w:styleId="TOC7">
    <w:name w:val="toc 7"/>
    <w:basedOn w:val="Normal"/>
    <w:next w:val="Normal"/>
    <w:autoRedefine/>
    <w:unhideWhenUsed/>
    <w:rsid w:val="00A602BE"/>
    <w:pPr>
      <w:spacing w:after="0"/>
      <w:ind w:left="1200"/>
    </w:pPr>
    <w:rPr>
      <w:rFonts w:asciiTheme="minorHAnsi" w:hAnsiTheme="minorHAnsi"/>
      <w:szCs w:val="20"/>
    </w:rPr>
  </w:style>
  <w:style w:type="paragraph" w:styleId="TOC8">
    <w:name w:val="toc 8"/>
    <w:basedOn w:val="Normal"/>
    <w:next w:val="Normal"/>
    <w:autoRedefine/>
    <w:unhideWhenUsed/>
    <w:rsid w:val="00A602BE"/>
    <w:pPr>
      <w:spacing w:after="0"/>
      <w:ind w:left="1400"/>
    </w:pPr>
    <w:rPr>
      <w:rFonts w:asciiTheme="minorHAnsi" w:hAnsiTheme="minorHAnsi"/>
      <w:szCs w:val="20"/>
    </w:rPr>
  </w:style>
  <w:style w:type="paragraph" w:styleId="TOC9">
    <w:name w:val="toc 9"/>
    <w:basedOn w:val="Normal"/>
    <w:next w:val="Normal"/>
    <w:autoRedefine/>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D169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A3"/>
    <w:rPr>
      <w:rFonts w:ascii="Tahoma" w:hAnsi="Tahoma" w:cs="Tahoma"/>
      <w:color w:val="7F7F7F" w:themeColor="text1" w:themeTint="80"/>
      <w:sz w:val="16"/>
      <w:szCs w:val="16"/>
    </w:rPr>
  </w:style>
  <w:style w:type="paragraph" w:styleId="Footer">
    <w:name w:val="footer"/>
    <w:basedOn w:val="Normal"/>
    <w:link w:val="FooterChar"/>
    <w:uiPriority w:val="99"/>
    <w:unhideWhenUsed/>
    <w:rsid w:val="00713EE0"/>
    <w:pPr>
      <w:tabs>
        <w:tab w:val="center" w:pos="4513"/>
        <w:tab w:val="right" w:pos="9026"/>
      </w:tabs>
      <w:spacing w:after="0"/>
    </w:pPr>
  </w:style>
  <w:style w:type="character" w:customStyle="1" w:styleId="FooterChar">
    <w:name w:val="Footer Char"/>
    <w:basedOn w:val="DefaultParagraphFont"/>
    <w:link w:val="Footer"/>
    <w:uiPriority w:val="99"/>
    <w:rsid w:val="00713EE0"/>
    <w:rPr>
      <w:rFonts w:ascii="Arial" w:hAnsi="Arial"/>
      <w:color w:val="7F7F7F" w:themeColor="text1" w:themeTint="80"/>
      <w:sz w:val="20"/>
    </w:rPr>
  </w:style>
  <w:style w:type="paragraph" w:styleId="Header">
    <w:name w:val="header"/>
    <w:basedOn w:val="Normal"/>
    <w:link w:val="HeaderChar"/>
    <w:uiPriority w:val="99"/>
    <w:unhideWhenUsed/>
    <w:rsid w:val="00713EE0"/>
    <w:pPr>
      <w:tabs>
        <w:tab w:val="center" w:pos="4513"/>
        <w:tab w:val="right" w:pos="9026"/>
      </w:tabs>
      <w:spacing w:after="0"/>
    </w:pPr>
  </w:style>
  <w:style w:type="character" w:customStyle="1" w:styleId="HeaderChar">
    <w:name w:val="Header Char"/>
    <w:basedOn w:val="DefaultParagraphFont"/>
    <w:link w:val="Header"/>
    <w:uiPriority w:val="99"/>
    <w:rsid w:val="00713EE0"/>
    <w:rPr>
      <w:rFonts w:ascii="Arial" w:hAnsi="Arial"/>
      <w:color w:val="7F7F7F" w:themeColor="text1" w:themeTint="80"/>
      <w:sz w:val="20"/>
    </w:rPr>
  </w:style>
  <w:style w:type="paragraph" w:styleId="TableofFigures">
    <w:name w:val="table of figures"/>
    <w:basedOn w:val="Normal"/>
    <w:next w:val="Normal"/>
    <w:uiPriority w:val="99"/>
    <w:unhideWhenUsed/>
    <w:rsid w:val="00573DCC"/>
    <w:pPr>
      <w:spacing w:after="0"/>
    </w:pPr>
  </w:style>
  <w:style w:type="paragraph" w:customStyle="1" w:styleId="VIRTContentsTitle">
    <w:name w:val="VIRT Contents Title"/>
    <w:basedOn w:val="ChapterHeading"/>
    <w:next w:val="Normal"/>
    <w:link w:val="VIRTContentsTitleChar"/>
    <w:qFormat/>
    <w:rsid w:val="00F00A5F"/>
    <w:pPr>
      <w:outlineLvl w:val="9"/>
    </w:pPr>
    <w:rPr>
      <w:lang w:val="en-AU" w:eastAsia="en-AU"/>
    </w:rPr>
  </w:style>
  <w:style w:type="paragraph" w:styleId="FootnoteText">
    <w:name w:val="footnote text"/>
    <w:basedOn w:val="Normal"/>
    <w:link w:val="FootnoteTextChar"/>
    <w:uiPriority w:val="99"/>
    <w:unhideWhenUsed/>
    <w:qFormat/>
    <w:rsid w:val="00AF54C1"/>
    <w:pPr>
      <w:spacing w:before="0" w:after="0" w:line="240" w:lineRule="auto"/>
      <w:ind w:left="284" w:hanging="284"/>
    </w:pPr>
    <w:rPr>
      <w:color w:val="auto"/>
      <w:sz w:val="18"/>
      <w:szCs w:val="20"/>
    </w:rPr>
  </w:style>
  <w:style w:type="character" w:customStyle="1" w:styleId="VIRTHeading2Char">
    <w:name w:val="VIRT Heading 2 Char"/>
    <w:basedOn w:val="DefaultParagraphFont"/>
    <w:link w:val="VIRTHeading2"/>
    <w:rsid w:val="00630EDC"/>
    <w:rPr>
      <w:rFonts w:cs="Times New Roman (Body CS)"/>
      <w:noProof/>
      <w:color w:val="007449"/>
      <w:sz w:val="44"/>
      <w:szCs w:val="44"/>
      <w:lang w:val="en-US"/>
    </w:rPr>
  </w:style>
  <w:style w:type="character" w:customStyle="1" w:styleId="ChapterHeadingChar">
    <w:name w:val="Chapter Heading Char"/>
    <w:basedOn w:val="VIRTHeading2Char"/>
    <w:link w:val="ChapterHeading"/>
    <w:rsid w:val="00692AFC"/>
    <w:rPr>
      <w:rFonts w:cs="Times New Roman (Body CS)"/>
      <w:noProof/>
      <w:color w:val="26664E" w:themeColor="accent1"/>
      <w:sz w:val="56"/>
      <w:szCs w:val="72"/>
      <w:lang w:val="en-US"/>
    </w:rPr>
  </w:style>
  <w:style w:type="character" w:customStyle="1" w:styleId="VIRTContentsTitleChar">
    <w:name w:val="VIRT Contents Title Char"/>
    <w:basedOn w:val="ChapterHeadingChar"/>
    <w:link w:val="VIRTContentsTitle"/>
    <w:rsid w:val="00F00A5F"/>
    <w:rPr>
      <w:rFonts w:cs="Times New Roman (Body CS)"/>
      <w:noProof/>
      <w:color w:val="26664E" w:themeColor="accent1"/>
      <w:sz w:val="56"/>
      <w:szCs w:val="72"/>
      <w:lang w:val="en-US" w:eastAsia="en-AU"/>
    </w:rPr>
  </w:style>
  <w:style w:type="character" w:customStyle="1" w:styleId="FootnoteTextChar">
    <w:name w:val="Footnote Text Char"/>
    <w:basedOn w:val="DefaultParagraphFont"/>
    <w:link w:val="FootnoteText"/>
    <w:uiPriority w:val="99"/>
    <w:rsid w:val="00052D06"/>
    <w:rPr>
      <w:rFonts w:ascii="Calibri Light" w:hAnsi="Calibri Light"/>
      <w:sz w:val="18"/>
      <w:szCs w:val="20"/>
    </w:rPr>
  </w:style>
  <w:style w:type="character" w:styleId="FootnoteReference">
    <w:name w:val="footnote reference"/>
    <w:basedOn w:val="DefaultParagraphFont"/>
    <w:uiPriority w:val="99"/>
    <w:unhideWhenUsed/>
    <w:rsid w:val="0060268C"/>
    <w:rPr>
      <w:vertAlign w:val="superscript"/>
    </w:rPr>
  </w:style>
  <w:style w:type="table" w:styleId="MediumGrid3-Accent1">
    <w:name w:val="Medium Grid 3 Accent 1"/>
    <w:basedOn w:val="TableNormal"/>
    <w:uiPriority w:val="69"/>
    <w:rsid w:val="00747715"/>
    <w:pPr>
      <w:spacing w:after="0"/>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253076"/>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253076"/>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ListTable3-Accent2">
    <w:name w:val="List Table 3 Accent 2"/>
    <w:basedOn w:val="TableNormal"/>
    <w:uiPriority w:val="48"/>
    <w:rsid w:val="00E038AE"/>
    <w:pPr>
      <w:spacing w:after="0"/>
    </w:pPr>
    <w:rPr>
      <w:rFonts w:ascii="Calibri Light" w:hAnsi="Calibri Light"/>
      <w:color w:val="FFFFFF" w:themeColor="background1"/>
    </w:rPr>
    <w:tblPr>
      <w:tblStyleRowBandSize w:val="1"/>
      <w:tblStyleColBandSize w:val="1"/>
      <w:tblBorders>
        <w:top w:val="single" w:sz="4" w:space="0" w:color="148A5D" w:themeColor="accent2"/>
        <w:bottom w:val="single" w:sz="4" w:space="0" w:color="148A5D" w:themeColor="accent2"/>
      </w:tblBorders>
    </w:tblPr>
    <w:tcPr>
      <w:vAlign w:val="center"/>
    </w:tcPr>
    <w:tblStylePr w:type="firstRow">
      <w:pPr>
        <w:jc w:val="left"/>
      </w:pPr>
      <w:rPr>
        <w:rFonts w:ascii="Calibri Light" w:hAnsi="Calibri Light"/>
        <w:b/>
        <w:bCs/>
        <w:color w:val="FFFFFF" w:themeColor="background1"/>
        <w:sz w:val="22"/>
      </w:rPr>
      <w:tblPr/>
      <w:tcPr>
        <w:tcBorders>
          <w:top w:val="nil"/>
          <w:left w:val="nil"/>
          <w:bottom w:val="nil"/>
          <w:right w:val="nil"/>
          <w:insideH w:val="single" w:sz="4" w:space="0" w:color="26664E" w:themeColor="accent1"/>
          <w:insideV w:val="nil"/>
          <w:tl2br w:val="nil"/>
          <w:tr2bl w:val="nil"/>
        </w:tcBorders>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CommentReference">
    <w:name w:val="annotation reference"/>
    <w:basedOn w:val="DefaultParagraphFont"/>
    <w:uiPriority w:val="99"/>
    <w:semiHidden/>
    <w:unhideWhenUsed/>
    <w:rsid w:val="00784359"/>
    <w:rPr>
      <w:sz w:val="16"/>
      <w:szCs w:val="16"/>
    </w:rPr>
  </w:style>
  <w:style w:type="paragraph" w:styleId="CommentText">
    <w:name w:val="annotation text"/>
    <w:basedOn w:val="Normal"/>
    <w:link w:val="CommentTextChar"/>
    <w:uiPriority w:val="99"/>
    <w:unhideWhenUsed/>
    <w:rsid w:val="00784359"/>
    <w:pPr>
      <w:spacing w:line="240" w:lineRule="auto"/>
    </w:pPr>
    <w:rPr>
      <w:sz w:val="20"/>
      <w:szCs w:val="20"/>
    </w:rPr>
  </w:style>
  <w:style w:type="character" w:customStyle="1" w:styleId="CommentTextChar">
    <w:name w:val="Comment Text Char"/>
    <w:basedOn w:val="DefaultParagraphFont"/>
    <w:link w:val="CommentText"/>
    <w:uiPriority w:val="99"/>
    <w:rsid w:val="00784359"/>
    <w:rPr>
      <w:rFonts w:ascii="Calibri Light" w:hAnsi="Calibri Light"/>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784359"/>
    <w:rPr>
      <w:b/>
      <w:bCs/>
    </w:rPr>
  </w:style>
  <w:style w:type="character" w:customStyle="1" w:styleId="CommentSubjectChar">
    <w:name w:val="Comment Subject Char"/>
    <w:basedOn w:val="CommentTextChar"/>
    <w:link w:val="CommentSubject"/>
    <w:uiPriority w:val="99"/>
    <w:semiHidden/>
    <w:rsid w:val="00784359"/>
    <w:rPr>
      <w:rFonts w:ascii="Calibri Light" w:hAnsi="Calibri Light"/>
      <w:b/>
      <w:bCs/>
      <w:color w:val="7F7F7F" w:themeColor="text1" w:themeTint="80"/>
      <w:sz w:val="20"/>
      <w:szCs w:val="20"/>
    </w:rPr>
  </w:style>
  <w:style w:type="paragraph" w:styleId="Revision">
    <w:name w:val="Revision"/>
    <w:hidden/>
    <w:uiPriority w:val="99"/>
    <w:rsid w:val="008258FB"/>
    <w:pPr>
      <w:spacing w:after="0"/>
    </w:pPr>
    <w:rPr>
      <w:rFonts w:ascii="Calibri Light" w:hAnsi="Calibri Light"/>
      <w:color w:val="7F7F7F" w:themeColor="text1" w:themeTint="80"/>
      <w:sz w:val="26"/>
    </w:rPr>
  </w:style>
  <w:style w:type="paragraph" w:customStyle="1" w:styleId="Parabeforebulletlist">
    <w:name w:val="Para before bullet list"/>
    <w:basedOn w:val="Normal"/>
    <w:link w:val="ParabeforebulletlistChar"/>
    <w:rsid w:val="00734F27"/>
    <w:pPr>
      <w:spacing w:before="120" w:after="120"/>
    </w:pPr>
  </w:style>
  <w:style w:type="paragraph" w:customStyle="1" w:styleId="Tableheading">
    <w:name w:val="Table heading"/>
    <w:basedOn w:val="Normal"/>
    <w:link w:val="TableheadingChar"/>
    <w:autoRedefine/>
    <w:qFormat/>
    <w:rsid w:val="00144BE8"/>
    <w:pPr>
      <w:keepNext/>
      <w:spacing w:before="120" w:after="120" w:line="240" w:lineRule="auto"/>
      <w:jc w:val="left"/>
    </w:pPr>
    <w:rPr>
      <w:b/>
      <w:bCs/>
      <w:color w:val="auto"/>
      <w:sz w:val="24"/>
    </w:rPr>
  </w:style>
  <w:style w:type="character" w:customStyle="1" w:styleId="ParabeforebulletlistChar">
    <w:name w:val="Para before bullet list Char"/>
    <w:basedOn w:val="DefaultParagraphFont"/>
    <w:link w:val="Parabeforebulletlist"/>
    <w:rsid w:val="00734F27"/>
    <w:rPr>
      <w:rFonts w:ascii="Calibri Light" w:hAnsi="Calibri Light"/>
      <w:color w:val="4D4D4D" w:themeColor="accent6"/>
      <w:sz w:val="26"/>
    </w:rPr>
  </w:style>
  <w:style w:type="paragraph" w:customStyle="1" w:styleId="Instrumenttablenotes">
    <w:name w:val="Instrument table notes"/>
    <w:basedOn w:val="Normal"/>
    <w:link w:val="InstrumenttablenotesChar"/>
    <w:qFormat/>
    <w:rsid w:val="008538B3"/>
    <w:pPr>
      <w:spacing w:before="0" w:after="0" w:line="240" w:lineRule="auto"/>
      <w:ind w:left="227"/>
      <w:jc w:val="left"/>
    </w:pPr>
    <w:rPr>
      <w:color w:val="auto"/>
      <w:sz w:val="22"/>
    </w:rPr>
  </w:style>
  <w:style w:type="character" w:customStyle="1" w:styleId="TableheadingChar">
    <w:name w:val="Table heading Char"/>
    <w:basedOn w:val="DefaultParagraphFont"/>
    <w:link w:val="Tableheading"/>
    <w:rsid w:val="00144BE8"/>
    <w:rPr>
      <w:rFonts w:ascii="Calibri Light" w:hAnsi="Calibri Light"/>
      <w:b/>
      <w:bCs/>
      <w:sz w:val="24"/>
    </w:rPr>
  </w:style>
  <w:style w:type="table" w:customStyle="1" w:styleId="Style3">
    <w:name w:val="Style3"/>
    <w:basedOn w:val="TableNormal"/>
    <w:uiPriority w:val="99"/>
    <w:rsid w:val="00AD3CD5"/>
    <w:pPr>
      <w:spacing w:after="0"/>
      <w:jc w:val="center"/>
    </w:pPr>
    <w:rPr>
      <w:rFonts w:ascii="Calibri Light" w:hAnsi="Calibri Light"/>
      <w:color w:val="4D4D4D" w:themeColor="accent6"/>
    </w:rPr>
    <w:tblPr>
      <w:tblBorders>
        <w:insideH w:val="single" w:sz="4" w:space="0" w:color="148A5D" w:themeColor="accent2"/>
      </w:tblBorders>
    </w:tblPr>
    <w:tcPr>
      <w:shd w:val="clear" w:color="auto" w:fill="auto"/>
    </w:tcPr>
    <w:tblStylePr w:type="firstRow">
      <w:rPr>
        <w:rFonts w:ascii="Calibri Light" w:hAnsi="Calibri Light"/>
        <w:color w:val="FFFFFF" w:themeColor="background1"/>
        <w:sz w:val="22"/>
      </w:rPr>
    </w:tblStylePr>
  </w:style>
  <w:style w:type="character" w:customStyle="1" w:styleId="InstrumenttablenotesChar">
    <w:name w:val="Instrument table notes Char"/>
    <w:basedOn w:val="DefaultParagraphFont"/>
    <w:link w:val="Instrumenttablenotes"/>
    <w:rsid w:val="008538B3"/>
    <w:rPr>
      <w:rFonts w:ascii="Calibri Light" w:hAnsi="Calibri Light"/>
    </w:rPr>
  </w:style>
  <w:style w:type="paragraph" w:customStyle="1" w:styleId="Figuretitle">
    <w:name w:val="Figure title"/>
    <w:basedOn w:val="ChapterHeading"/>
    <w:link w:val="FiguretitleChar"/>
    <w:autoRedefine/>
    <w:rsid w:val="003404AA"/>
    <w:pPr>
      <w:spacing w:before="120" w:after="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3404AA"/>
    <w:rPr>
      <w:rFonts w:ascii="Calibri Light" w:hAnsi="Calibri Light" w:cs="Times New Roman (Body CS)"/>
      <w:b/>
      <w:noProof/>
      <w:color w:val="0F6745" w:themeColor="accent2" w:themeShade="BF"/>
      <w:sz w:val="24"/>
      <w:szCs w:val="72"/>
      <w:lang w:val="en-US"/>
    </w:rPr>
  </w:style>
  <w:style w:type="table" w:customStyle="1" w:styleId="ListTable3-Accent21">
    <w:name w:val="List Table 3 - Accent 21"/>
    <w:basedOn w:val="TableNormal"/>
    <w:next w:val="ListTable3-Accent2"/>
    <w:uiPriority w:val="48"/>
    <w:rsid w:val="00692AFC"/>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DPCbullet1">
    <w:name w:val="DPC bullet 1"/>
    <w:basedOn w:val="Normal"/>
    <w:rsid w:val="00692AFC"/>
    <w:pPr>
      <w:numPr>
        <w:numId w:val="2"/>
      </w:numPr>
      <w:spacing w:before="120" w:after="120" w:line="240" w:lineRule="auto"/>
      <w:jc w:val="left"/>
    </w:pPr>
    <w:rPr>
      <w:rFonts w:eastAsia="Times" w:cs="Arial"/>
      <w:color w:val="000000" w:themeColor="text1"/>
    </w:rPr>
  </w:style>
  <w:style w:type="paragraph" w:customStyle="1" w:styleId="DPCbullet2">
    <w:name w:val="DPC bullet 2"/>
    <w:basedOn w:val="Normal"/>
    <w:uiPriority w:val="2"/>
    <w:rsid w:val="00692AFC"/>
    <w:pPr>
      <w:numPr>
        <w:ilvl w:val="1"/>
        <w:numId w:val="2"/>
      </w:numPr>
      <w:spacing w:before="0" w:after="60" w:line="300" w:lineRule="atLeast"/>
      <w:jc w:val="left"/>
    </w:pPr>
    <w:rPr>
      <w:rFonts w:ascii="Calibri" w:eastAsia="Times" w:hAnsi="Calibri" w:cs="Arial"/>
      <w:color w:val="000000" w:themeColor="text1"/>
      <w:sz w:val="22"/>
    </w:rPr>
  </w:style>
  <w:style w:type="numbering" w:customStyle="1" w:styleId="ZZBullets">
    <w:name w:val="ZZ Bullets"/>
    <w:rsid w:val="00692AFC"/>
    <w:pPr>
      <w:numPr>
        <w:numId w:val="2"/>
      </w:numPr>
    </w:pPr>
  </w:style>
  <w:style w:type="paragraph" w:styleId="BodyText">
    <w:name w:val="Body Text"/>
    <w:aliases w:val="Body Text PB"/>
    <w:basedOn w:val="Normal"/>
    <w:link w:val="BodyTextChar"/>
    <w:rsid w:val="00692AFC"/>
    <w:pPr>
      <w:tabs>
        <w:tab w:val="left" w:pos="454"/>
      </w:tabs>
      <w:spacing w:before="240"/>
      <w:jc w:val="left"/>
    </w:pPr>
    <w:rPr>
      <w:rFonts w:eastAsia="Times New Roman" w:cs="Times New Roman"/>
      <w:color w:val="auto"/>
      <w:szCs w:val="20"/>
    </w:rPr>
  </w:style>
  <w:style w:type="character" w:customStyle="1" w:styleId="BodyTextChar">
    <w:name w:val="Body Text Char"/>
    <w:aliases w:val="Body Text PB Char"/>
    <w:basedOn w:val="DefaultParagraphFont"/>
    <w:link w:val="BodyText"/>
    <w:rsid w:val="00692AFC"/>
    <w:rPr>
      <w:rFonts w:ascii="Calibri Light" w:eastAsia="Times New Roman" w:hAnsi="Calibri Light" w:cs="Times New Roman"/>
      <w:sz w:val="26"/>
      <w:szCs w:val="20"/>
    </w:rPr>
  </w:style>
  <w:style w:type="table" w:customStyle="1" w:styleId="ListTable3-Accent211">
    <w:name w:val="List Table 3 - Accent 211"/>
    <w:basedOn w:val="TableNormal"/>
    <w:next w:val="ListTable3-Accent2"/>
    <w:uiPriority w:val="48"/>
    <w:rsid w:val="00692AFC"/>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Footnotes">
    <w:name w:val="Footnotes"/>
    <w:basedOn w:val="FootnoteText"/>
    <w:link w:val="FootnotesChar"/>
    <w:qFormat/>
    <w:rsid w:val="009D5D0D"/>
    <w:pPr>
      <w:contextualSpacing/>
    </w:pPr>
  </w:style>
  <w:style w:type="character" w:customStyle="1" w:styleId="FootnotesChar">
    <w:name w:val="Footnotes Char"/>
    <w:basedOn w:val="FootnoteTextChar"/>
    <w:link w:val="Footnotes"/>
    <w:rsid w:val="009D5D0D"/>
    <w:rPr>
      <w:rFonts w:ascii="Calibri Light" w:hAnsi="Calibri Light"/>
      <w:sz w:val="18"/>
      <w:szCs w:val="20"/>
    </w:rPr>
  </w:style>
  <w:style w:type="paragraph" w:customStyle="1" w:styleId="Sourcefortablesandfigures">
    <w:name w:val="Source for tables and figures"/>
    <w:basedOn w:val="Footnotes"/>
    <w:link w:val="SourcefortablesandfiguresChar"/>
    <w:autoRedefine/>
    <w:rsid w:val="00C33917"/>
    <w:pPr>
      <w:spacing w:after="240"/>
      <w:jc w:val="left"/>
    </w:pPr>
  </w:style>
  <w:style w:type="character" w:customStyle="1" w:styleId="SourcefortablesandfiguresChar">
    <w:name w:val="Source for tables and figures Char"/>
    <w:basedOn w:val="FootnotesChar"/>
    <w:link w:val="Sourcefortablesandfigures"/>
    <w:rsid w:val="00C33917"/>
    <w:rPr>
      <w:rFonts w:ascii="Calibri Light" w:hAnsi="Calibri Light"/>
      <w:color w:val="4D4D4D" w:themeColor="accent6"/>
      <w:sz w:val="18"/>
      <w:szCs w:val="20"/>
    </w:rPr>
  </w:style>
  <w:style w:type="paragraph" w:customStyle="1" w:styleId="Tablebullets">
    <w:name w:val="Table bullets"/>
    <w:basedOn w:val="ListParagraph"/>
    <w:link w:val="TablebulletsChar"/>
    <w:qFormat/>
    <w:rsid w:val="009D16F9"/>
    <w:pPr>
      <w:numPr>
        <w:numId w:val="3"/>
      </w:numPr>
      <w:spacing w:before="0" w:after="0" w:line="240" w:lineRule="auto"/>
      <w:jc w:val="left"/>
    </w:pPr>
    <w:rPr>
      <w:rFonts w:eastAsia="Times" w:cs="Calibri Light"/>
      <w:sz w:val="22"/>
    </w:rPr>
  </w:style>
  <w:style w:type="character" w:customStyle="1" w:styleId="ListParagraphChar">
    <w:name w:val="List Paragraph Char"/>
    <w:basedOn w:val="DefaultParagraphFont"/>
    <w:link w:val="ListParagraph"/>
    <w:uiPriority w:val="34"/>
    <w:rsid w:val="009D16F9"/>
    <w:rPr>
      <w:rFonts w:ascii="Calibri Light" w:hAnsi="Calibri Light"/>
      <w:color w:val="4D4D4D" w:themeColor="accent6"/>
      <w:sz w:val="26"/>
    </w:rPr>
  </w:style>
  <w:style w:type="character" w:customStyle="1" w:styleId="TablebulletsChar">
    <w:name w:val="Table bullets Char"/>
    <w:basedOn w:val="ListParagraphChar"/>
    <w:link w:val="Tablebullets"/>
    <w:rsid w:val="009D16F9"/>
    <w:rPr>
      <w:rFonts w:ascii="Calibri Light" w:eastAsia="Times" w:hAnsi="Calibri Light" w:cs="Calibri Light"/>
      <w:color w:val="4D4D4D" w:themeColor="accent6"/>
      <w:sz w:val="26"/>
    </w:rPr>
  </w:style>
  <w:style w:type="paragraph" w:customStyle="1" w:styleId="Default">
    <w:name w:val="Default"/>
    <w:rsid w:val="003956A7"/>
    <w:pPr>
      <w:autoSpaceDE w:val="0"/>
      <w:autoSpaceDN w:val="0"/>
      <w:adjustRightInd w:val="0"/>
      <w:spacing w:after="0"/>
    </w:pPr>
    <w:rPr>
      <w:rFonts w:ascii="Times New Roman" w:hAnsi="Times New Roman" w:cs="Times New Roman"/>
      <w:color w:val="000000"/>
      <w:sz w:val="24"/>
      <w:szCs w:val="24"/>
    </w:rPr>
  </w:style>
  <w:style w:type="paragraph" w:customStyle="1" w:styleId="VIRTDeterminationbullets">
    <w:name w:val="VIRT Determination bullets"/>
    <w:basedOn w:val="Instrumentlevel3alphanumericallist"/>
    <w:rsid w:val="000F6CE8"/>
    <w:pPr>
      <w:numPr>
        <w:numId w:val="5"/>
      </w:numPr>
    </w:pPr>
  </w:style>
  <w:style w:type="paragraph" w:customStyle="1" w:styleId="VIRTBulletpoints">
    <w:name w:val="VIRT Bullet points"/>
    <w:basedOn w:val="Normal"/>
    <w:link w:val="VIRTBulletpointsChar"/>
    <w:autoRedefine/>
    <w:qFormat/>
    <w:rsid w:val="009F05E6"/>
    <w:pPr>
      <w:numPr>
        <w:numId w:val="4"/>
      </w:numPr>
      <w:spacing w:before="0"/>
      <w:ind w:left="1418" w:hanging="1418"/>
      <w:contextualSpacing/>
    </w:pPr>
    <w:rPr>
      <w:rFonts w:cs="Arial"/>
      <w:noProof/>
      <w:szCs w:val="20"/>
      <w:lang w:val="en-US"/>
    </w:rPr>
  </w:style>
  <w:style w:type="character" w:styleId="PlaceholderText">
    <w:name w:val="Placeholder Text"/>
    <w:basedOn w:val="DefaultParagraphFont"/>
    <w:uiPriority w:val="99"/>
    <w:semiHidden/>
    <w:rsid w:val="001B01B2"/>
    <w:rPr>
      <w:color w:val="808080"/>
    </w:rPr>
  </w:style>
  <w:style w:type="paragraph" w:customStyle="1" w:styleId="Instrumentlevel2numberedparagraphs">
    <w:name w:val="Instrument level 2 numbered paragraphs"/>
    <w:basedOn w:val="ListParagraph"/>
    <w:link w:val="Instrumentlevel2numberedparagraphsChar"/>
    <w:qFormat/>
    <w:rsid w:val="00260C01"/>
    <w:pPr>
      <w:numPr>
        <w:ilvl w:val="1"/>
        <w:numId w:val="6"/>
      </w:numPr>
      <w:contextualSpacing w:val="0"/>
    </w:pPr>
    <w:rPr>
      <w:color w:val="auto"/>
    </w:rPr>
  </w:style>
  <w:style w:type="character" w:customStyle="1" w:styleId="Instrumentlevel2numberedparagraphsChar">
    <w:name w:val="Instrument level 2 numbered paragraphs Char"/>
    <w:basedOn w:val="ListParagraphChar"/>
    <w:link w:val="Instrumentlevel2numberedparagraphs"/>
    <w:rsid w:val="00260C01"/>
    <w:rPr>
      <w:rFonts w:ascii="Calibri Light" w:hAnsi="Calibri Light"/>
      <w:color w:val="4D4D4D" w:themeColor="accent6"/>
      <w:sz w:val="26"/>
    </w:rPr>
  </w:style>
  <w:style w:type="paragraph" w:customStyle="1" w:styleId="Instrumenttableofcontents">
    <w:name w:val="Instrument table of contents"/>
    <w:qFormat/>
    <w:rsid w:val="00D132A3"/>
    <w:pPr>
      <w:spacing w:before="180" w:after="180" w:line="276" w:lineRule="auto"/>
      <w:jc w:val="both"/>
    </w:pPr>
    <w:rPr>
      <w:rFonts w:ascii="Calibri Light" w:hAnsi="Calibri Light" w:cs="Arial"/>
      <w:bCs/>
      <w:sz w:val="26"/>
      <w:szCs w:val="20"/>
    </w:rPr>
  </w:style>
  <w:style w:type="paragraph" w:customStyle="1" w:styleId="Instrumentlevel1numberedparagraphs">
    <w:name w:val="Instrument level 1 numbered paragraphs"/>
    <w:basedOn w:val="ListParagraph"/>
    <w:link w:val="Instrumentlevel1numberedparagraphsChar"/>
    <w:qFormat/>
    <w:rsid w:val="00A408EB"/>
    <w:pPr>
      <w:numPr>
        <w:numId w:val="6"/>
      </w:numPr>
      <w:spacing w:after="0"/>
      <w:ind w:left="357" w:hanging="357"/>
      <w:contextualSpacing w:val="0"/>
    </w:pPr>
    <w:rPr>
      <w:b/>
      <w:color w:val="auto"/>
    </w:rPr>
  </w:style>
  <w:style w:type="character" w:customStyle="1" w:styleId="Instrumentlevel1numberedparagraphsChar">
    <w:name w:val="Instrument level 1 numbered paragraphs Char"/>
    <w:basedOn w:val="ListParagraphChar"/>
    <w:link w:val="Instrumentlevel1numberedparagraphs"/>
    <w:rsid w:val="00A408EB"/>
    <w:rPr>
      <w:rFonts w:ascii="Calibri Light" w:hAnsi="Calibri Light"/>
      <w:b/>
      <w:color w:val="4D4D4D" w:themeColor="accent6"/>
      <w:sz w:val="26"/>
    </w:rPr>
  </w:style>
  <w:style w:type="character" w:customStyle="1" w:styleId="VIRTHeading3Char">
    <w:name w:val="VIRT Heading 3 Char"/>
    <w:basedOn w:val="DefaultParagraphFont"/>
    <w:link w:val="VIRTHeading3"/>
    <w:locked/>
    <w:rsid w:val="007A19EF"/>
    <w:rPr>
      <w:rFonts w:ascii="Rockwell" w:hAnsi="Rockwell" w:cs="Arial"/>
      <w:color w:val="0F6745" w:themeColor="accent2" w:themeShade="BF"/>
      <w:spacing w:val="-6"/>
      <w:sz w:val="30"/>
    </w:rPr>
  </w:style>
  <w:style w:type="paragraph" w:customStyle="1" w:styleId="05Paragraph">
    <w:name w:val="05. Paragraph"/>
    <w:link w:val="05ParagraphChar"/>
    <w:qFormat/>
    <w:locked/>
    <w:rsid w:val="00384E76"/>
    <w:pPr>
      <w:spacing w:before="180" w:after="0" w:line="276" w:lineRule="auto"/>
      <w:jc w:val="both"/>
    </w:pPr>
    <w:rPr>
      <w:rFonts w:ascii="Calibri Light" w:hAnsi="Calibri Light" w:cs="Arial"/>
      <w:sz w:val="26"/>
      <w:szCs w:val="20"/>
    </w:rPr>
  </w:style>
  <w:style w:type="character" w:customStyle="1" w:styleId="05ParagraphChar">
    <w:name w:val="05. Paragraph Char"/>
    <w:basedOn w:val="DefaultParagraphFont"/>
    <w:link w:val="05Paragraph"/>
    <w:rsid w:val="00384E76"/>
    <w:rPr>
      <w:rFonts w:ascii="Calibri Light" w:hAnsi="Calibri Light" w:cs="Arial"/>
      <w:sz w:val="26"/>
      <w:szCs w:val="20"/>
    </w:rPr>
  </w:style>
  <w:style w:type="paragraph" w:customStyle="1" w:styleId="10Tabletext">
    <w:name w:val="10. Table text"/>
    <w:link w:val="10TabletextChar"/>
    <w:qFormat/>
    <w:locked/>
    <w:rsid w:val="0086059D"/>
    <w:pPr>
      <w:spacing w:after="0"/>
    </w:pPr>
    <w:rPr>
      <w:rFonts w:ascii="Calibri Light" w:eastAsia="Rockwell" w:hAnsi="Calibri Light" w:cs="Calibri Light"/>
      <w:bCs/>
    </w:rPr>
  </w:style>
  <w:style w:type="character" w:customStyle="1" w:styleId="10TabletextChar">
    <w:name w:val="10. Table text Char"/>
    <w:basedOn w:val="DefaultParagraphFont"/>
    <w:link w:val="10Tabletext"/>
    <w:rsid w:val="0086059D"/>
    <w:rPr>
      <w:rFonts w:ascii="Calibri Light" w:eastAsia="Rockwell" w:hAnsi="Calibri Light" w:cs="Calibri Light"/>
      <w:bCs/>
    </w:rPr>
  </w:style>
  <w:style w:type="paragraph" w:customStyle="1" w:styleId="Notesfortablesfigures">
    <w:name w:val="Notes for tables/figures"/>
    <w:link w:val="NotesfortablesfiguresChar"/>
    <w:qFormat/>
    <w:locked/>
    <w:rsid w:val="004770E0"/>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4770E0"/>
    <w:rPr>
      <w:rFonts w:ascii="Calibri Light" w:hAnsi="Calibri Light"/>
      <w:color w:val="000000" w:themeColor="text1"/>
      <w:sz w:val="18"/>
      <w:szCs w:val="20"/>
    </w:rPr>
  </w:style>
  <w:style w:type="paragraph" w:customStyle="1" w:styleId="09Sourcesandnotesfortablesfiguresboxes">
    <w:name w:val="09. Sources and notes for tables/figures/boxes"/>
    <w:basedOn w:val="Normal"/>
    <w:link w:val="09SourcesandnotesfortablesfiguresboxesChar"/>
    <w:qFormat/>
    <w:locked/>
    <w:rsid w:val="00245171"/>
    <w:pPr>
      <w:spacing w:before="0" w:line="240" w:lineRule="auto"/>
      <w:ind w:right="-149"/>
      <w:contextualSpacing/>
      <w:jc w:val="left"/>
    </w:pPr>
    <w:rPr>
      <w:rFonts w:cs="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245171"/>
    <w:rPr>
      <w:rFonts w:ascii="Calibri Light" w:hAnsi="Calibri Light" w:cs="Calibri"/>
      <w:sz w:val="18"/>
      <w:szCs w:val="20"/>
    </w:rPr>
  </w:style>
  <w:style w:type="paragraph" w:customStyle="1" w:styleId="Tabletext">
    <w:name w:val="Table text"/>
    <w:link w:val="TabletextChar"/>
    <w:qFormat/>
    <w:locked/>
    <w:rsid w:val="005704EF"/>
    <w:pPr>
      <w:spacing w:after="0"/>
    </w:pPr>
    <w:rPr>
      <w:rFonts w:ascii="Calibri Light" w:hAnsi="Calibri Light"/>
      <w:color w:val="000000" w:themeColor="text1"/>
    </w:rPr>
  </w:style>
  <w:style w:type="character" w:customStyle="1" w:styleId="TabletextChar">
    <w:name w:val="Table text Char"/>
    <w:basedOn w:val="DefaultParagraphFont"/>
    <w:link w:val="Tabletext"/>
    <w:rsid w:val="005704EF"/>
    <w:rPr>
      <w:rFonts w:ascii="Calibri Light" w:hAnsi="Calibri Light"/>
      <w:color w:val="000000" w:themeColor="text1"/>
    </w:rPr>
  </w:style>
  <w:style w:type="paragraph" w:customStyle="1" w:styleId="02VIRTHeading2">
    <w:name w:val="02. VIRT Heading 2"/>
    <w:basedOn w:val="Normal"/>
    <w:link w:val="02VIRTHeading2Char"/>
    <w:qFormat/>
    <w:locked/>
    <w:rsid w:val="00E91106"/>
    <w:pPr>
      <w:keepNext/>
      <w:spacing w:before="240" w:line="240" w:lineRule="auto"/>
      <w:ind w:left="1418" w:hanging="1418"/>
      <w:jc w:val="left"/>
      <w:outlineLvl w:val="1"/>
    </w:pPr>
    <w:rPr>
      <w:rFonts w:ascii="Rockwell" w:hAnsi="Rockwell" w:cs="Times New Roman (Body CS)"/>
      <w:color w:val="007449"/>
      <w:sz w:val="36"/>
      <w:szCs w:val="44"/>
    </w:rPr>
  </w:style>
  <w:style w:type="character" w:customStyle="1" w:styleId="02VIRTHeading2Char">
    <w:name w:val="02. VIRT Heading 2 Char"/>
    <w:basedOn w:val="DefaultParagraphFont"/>
    <w:link w:val="02VIRTHeading2"/>
    <w:rsid w:val="00E91106"/>
    <w:rPr>
      <w:rFonts w:ascii="Rockwell" w:hAnsi="Rockwell" w:cs="Times New Roman (Body CS)"/>
      <w:color w:val="007449"/>
      <w:sz w:val="36"/>
      <w:szCs w:val="44"/>
    </w:rPr>
  </w:style>
  <w:style w:type="paragraph" w:customStyle="1" w:styleId="03VIRTHeading3">
    <w:name w:val="03. VIRT Heading 3"/>
    <w:basedOn w:val="Normal"/>
    <w:link w:val="03VIRTHeading3Char"/>
    <w:qFormat/>
    <w:locked/>
    <w:rsid w:val="005704EF"/>
    <w:pPr>
      <w:keepNext/>
      <w:spacing w:before="240" w:line="240" w:lineRule="auto"/>
      <w:jc w:val="left"/>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5704EF"/>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8048D3"/>
    <w:pPr>
      <w:keepNext/>
      <w:spacing w:before="120" w:after="120"/>
    </w:pPr>
    <w:rPr>
      <w:rFonts w:ascii="Calibri Light" w:hAnsi="Calibri Light" w:cs="Arial"/>
      <w:b/>
      <w:color w:val="26664E" w:themeColor="accent1"/>
      <w:sz w:val="26"/>
      <w:szCs w:val="20"/>
    </w:rPr>
  </w:style>
  <w:style w:type="character" w:customStyle="1" w:styleId="04VIRTheading4Char">
    <w:name w:val="04. VIRT heading 4 Char"/>
    <w:basedOn w:val="DefaultParagraphFont"/>
    <w:link w:val="04VIRTheading4"/>
    <w:rsid w:val="008048D3"/>
    <w:rPr>
      <w:rFonts w:ascii="Calibri Light" w:hAnsi="Calibri Light" w:cs="Arial"/>
      <w:b/>
      <w:color w:val="26664E" w:themeColor="accent1"/>
      <w:sz w:val="26"/>
      <w:szCs w:val="20"/>
    </w:rPr>
  </w:style>
  <w:style w:type="character" w:customStyle="1" w:styleId="normaltextrun">
    <w:name w:val="normaltextrun"/>
    <w:basedOn w:val="DefaultParagraphFont"/>
    <w:rsid w:val="005704EF"/>
  </w:style>
  <w:style w:type="paragraph" w:customStyle="1" w:styleId="01Chapterheading">
    <w:name w:val="01. Chapter heading"/>
    <w:link w:val="01ChapterheadingChar"/>
    <w:qFormat/>
    <w:rsid w:val="00E91106"/>
    <w:pPr>
      <w:spacing w:after="480"/>
      <w:outlineLvl w:val="0"/>
    </w:pPr>
    <w:rPr>
      <w:rFonts w:ascii="Rockwell" w:hAnsi="Rockwell" w:cs="Arial"/>
      <w:color w:val="26664E" w:themeColor="accent1"/>
      <w:sz w:val="56"/>
      <w:szCs w:val="20"/>
    </w:rPr>
  </w:style>
  <w:style w:type="character" w:customStyle="1" w:styleId="01ChapterheadingChar">
    <w:name w:val="01. Chapter heading Char"/>
    <w:basedOn w:val="DefaultParagraphFont"/>
    <w:link w:val="01Chapterheading"/>
    <w:rsid w:val="00E91106"/>
    <w:rPr>
      <w:rFonts w:ascii="Rockwell" w:hAnsi="Rockwell" w:cs="Arial"/>
      <w:color w:val="26664E" w:themeColor="accent1"/>
      <w:sz w:val="56"/>
      <w:szCs w:val="20"/>
    </w:rPr>
  </w:style>
  <w:style w:type="paragraph" w:customStyle="1" w:styleId="06VIRTBulletpoints">
    <w:name w:val="06. VIRT Bullet points"/>
    <w:basedOn w:val="Normal"/>
    <w:link w:val="06VIRTBulletpointsChar"/>
    <w:qFormat/>
    <w:locked/>
    <w:rsid w:val="004770E0"/>
    <w:pPr>
      <w:numPr>
        <w:numId w:val="10"/>
      </w:numPr>
      <w:spacing w:before="120" w:after="120"/>
      <w:contextualSpacing/>
    </w:pPr>
    <w:rPr>
      <w:rFonts w:cs="Calibri"/>
      <w:color w:val="auto"/>
      <w:szCs w:val="20"/>
    </w:rPr>
  </w:style>
  <w:style w:type="character" w:customStyle="1" w:styleId="06VIRTBulletpointsChar">
    <w:name w:val="06. VIRT Bullet points Char"/>
    <w:basedOn w:val="DefaultParagraphFont"/>
    <w:link w:val="06VIRTBulletpoints"/>
    <w:locked/>
    <w:rsid w:val="004770E0"/>
    <w:rPr>
      <w:rFonts w:ascii="Calibri Light" w:hAnsi="Calibri Light" w:cs="Calibri"/>
      <w:sz w:val="26"/>
      <w:szCs w:val="20"/>
    </w:rPr>
  </w:style>
  <w:style w:type="numbering" w:customStyle="1" w:styleId="NoList1">
    <w:name w:val="No List1"/>
    <w:next w:val="NoList"/>
    <w:uiPriority w:val="99"/>
    <w:semiHidden/>
    <w:unhideWhenUsed/>
    <w:rsid w:val="00B1165D"/>
  </w:style>
  <w:style w:type="paragraph" w:customStyle="1" w:styleId="Chapterheading0">
    <w:name w:val="Chapter heading"/>
    <w:link w:val="ChapterheadingChar0"/>
    <w:qFormat/>
    <w:locked/>
    <w:rsid w:val="00B1165D"/>
    <w:pPr>
      <w:spacing w:after="720"/>
      <w:outlineLvl w:val="0"/>
    </w:pPr>
    <w:rPr>
      <w:rFonts w:ascii="Rockwell" w:hAnsi="Rockwell" w:cs="Times New Roman (Body CS)"/>
      <w:noProof/>
      <w:color w:val="007449"/>
      <w:spacing w:val="-6"/>
      <w:sz w:val="72"/>
      <w:szCs w:val="72"/>
      <w:lang w:val="en-US"/>
    </w:rPr>
  </w:style>
  <w:style w:type="character" w:customStyle="1" w:styleId="ChapterheadingChar0">
    <w:name w:val="Chapter heading Char"/>
    <w:basedOn w:val="VIRTHeading2Char"/>
    <w:link w:val="Chapterheading0"/>
    <w:rsid w:val="00B1165D"/>
    <w:rPr>
      <w:rFonts w:ascii="Rockwell" w:hAnsi="Rockwell" w:cs="Times New Roman (Body CS)"/>
      <w:noProof/>
      <w:color w:val="007449"/>
      <w:spacing w:val="-6"/>
      <w:sz w:val="72"/>
      <w:szCs w:val="72"/>
      <w:lang w:val="en-US"/>
    </w:rPr>
  </w:style>
  <w:style w:type="character" w:customStyle="1" w:styleId="VIRTBulletpointsChar">
    <w:name w:val="VIRT Bullet points Char"/>
    <w:basedOn w:val="DefaultParagraphFont"/>
    <w:link w:val="VIRTBulletpoints"/>
    <w:locked/>
    <w:rsid w:val="00B1165D"/>
    <w:rPr>
      <w:rFonts w:ascii="Calibri Light" w:hAnsi="Calibri Light" w:cs="Arial"/>
      <w:noProof/>
      <w:color w:val="4D4D4D" w:themeColor="accent6"/>
      <w:sz w:val="26"/>
      <w:szCs w:val="20"/>
      <w:lang w:val="en-US"/>
    </w:rPr>
  </w:style>
  <w:style w:type="paragraph" w:customStyle="1" w:styleId="Sourcefortablesfigures">
    <w:name w:val="Source for tables/figures"/>
    <w:basedOn w:val="Normal"/>
    <w:link w:val="SourcefortablesfiguresChar"/>
    <w:qFormat/>
    <w:locked/>
    <w:rsid w:val="00B1165D"/>
    <w:pPr>
      <w:spacing w:before="0" w:line="240" w:lineRule="auto"/>
      <w:ind w:right="-149"/>
      <w:contextualSpacing/>
      <w:jc w:val="left"/>
    </w:pPr>
    <w:rPr>
      <w:sz w:val="18"/>
      <w:szCs w:val="20"/>
    </w:rPr>
  </w:style>
  <w:style w:type="character" w:customStyle="1" w:styleId="SourcefortablesfiguresChar">
    <w:name w:val="Source for tables/figures Char"/>
    <w:basedOn w:val="DefaultParagraphFont"/>
    <w:link w:val="Sourcefortablesfigures"/>
    <w:rsid w:val="00B1165D"/>
    <w:rPr>
      <w:rFonts w:ascii="Calibri Light" w:hAnsi="Calibri Light"/>
      <w:color w:val="4D4D4D" w:themeColor="accent6"/>
      <w:sz w:val="18"/>
      <w:szCs w:val="20"/>
    </w:rPr>
  </w:style>
  <w:style w:type="paragraph" w:customStyle="1" w:styleId="Parapraphbeforeabulletlist">
    <w:name w:val="Parapraph before a bullet list"/>
    <w:basedOn w:val="Normal"/>
    <w:link w:val="ParapraphbeforeabulletlistChar"/>
    <w:autoRedefine/>
    <w:qFormat/>
    <w:locked/>
    <w:rsid w:val="00B1165D"/>
    <w:pPr>
      <w:keepNext/>
      <w:spacing w:after="0"/>
    </w:pPr>
    <w:rPr>
      <w:rFonts w:cs="Times New Roman (Body CS)"/>
      <w:noProof/>
      <w:color w:val="000000"/>
      <w:szCs w:val="44"/>
    </w:rPr>
  </w:style>
  <w:style w:type="character" w:customStyle="1" w:styleId="ParapraphbeforeabulletlistChar">
    <w:name w:val="Parapraph before a bullet list Char"/>
    <w:basedOn w:val="DefaultParagraphFont"/>
    <w:link w:val="Parapraphbeforeabulletlist"/>
    <w:rsid w:val="00B1165D"/>
    <w:rPr>
      <w:rFonts w:ascii="Calibri Light" w:hAnsi="Calibri Light" w:cs="Times New Roman (Body CS)"/>
      <w:noProof/>
      <w:color w:val="000000"/>
      <w:sz w:val="26"/>
      <w:szCs w:val="44"/>
    </w:rPr>
  </w:style>
  <w:style w:type="table" w:customStyle="1" w:styleId="ListTable3-Accent22">
    <w:name w:val="List Table 3 - Accent 22"/>
    <w:basedOn w:val="TableNormal"/>
    <w:next w:val="ListTable3-Accent2"/>
    <w:uiPriority w:val="48"/>
    <w:locked/>
    <w:rsid w:val="00B1165D"/>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Bulletsinatable">
    <w:name w:val="Bullets in a table"/>
    <w:link w:val="BulletsinatableChar"/>
    <w:qFormat/>
    <w:locked/>
    <w:rsid w:val="00B1165D"/>
    <w:pPr>
      <w:numPr>
        <w:numId w:val="14"/>
      </w:numPr>
      <w:spacing w:after="0"/>
      <w:jc w:val="right"/>
    </w:pPr>
    <w:rPr>
      <w:rFonts w:ascii="Calibri Light" w:hAnsi="Calibri Light" w:cs="Arial"/>
      <w:bCs/>
      <w:color w:val="4D4D4D"/>
      <w:szCs w:val="20"/>
    </w:rPr>
  </w:style>
  <w:style w:type="character" w:customStyle="1" w:styleId="BulletsinatableChar">
    <w:name w:val="Bullets in a table Char"/>
    <w:basedOn w:val="DefaultParagraphFont"/>
    <w:link w:val="Bulletsinatable"/>
    <w:rsid w:val="00B1165D"/>
    <w:rPr>
      <w:rFonts w:ascii="Calibri Light" w:hAnsi="Calibri Light" w:cs="Arial"/>
      <w:bCs/>
      <w:color w:val="4D4D4D"/>
      <w:szCs w:val="20"/>
    </w:rPr>
  </w:style>
  <w:style w:type="paragraph" w:customStyle="1" w:styleId="Figureheading">
    <w:name w:val="Figure heading"/>
    <w:basedOn w:val="Tableheading"/>
    <w:link w:val="FigureheadingChar"/>
    <w:qFormat/>
    <w:locked/>
    <w:rsid w:val="00B1165D"/>
    <w:pPr>
      <w:spacing w:before="180" w:after="0"/>
    </w:pPr>
    <w:rPr>
      <w:rFonts w:cs="Arial"/>
      <w:color w:val="26664E"/>
      <w:szCs w:val="20"/>
    </w:rPr>
  </w:style>
  <w:style w:type="paragraph" w:customStyle="1" w:styleId="VIRTheading40">
    <w:name w:val="VIRT heading 4"/>
    <w:link w:val="VIRTheading4Char"/>
    <w:autoRedefine/>
    <w:qFormat/>
    <w:locked/>
    <w:rsid w:val="00B1165D"/>
    <w:pPr>
      <w:keepNext/>
      <w:spacing w:before="120" w:after="120"/>
    </w:pPr>
    <w:rPr>
      <w:rFonts w:ascii="Calibri Light" w:hAnsi="Calibri Light" w:cs="Arial"/>
      <w:b/>
      <w:color w:val="148A5D"/>
      <w:sz w:val="26"/>
      <w:szCs w:val="20"/>
    </w:rPr>
  </w:style>
  <w:style w:type="character" w:customStyle="1" w:styleId="FigureheadingChar">
    <w:name w:val="Figure heading Char"/>
    <w:basedOn w:val="TableheadingChar"/>
    <w:link w:val="Figureheading"/>
    <w:rsid w:val="00B1165D"/>
    <w:rPr>
      <w:rFonts w:ascii="Calibri Light" w:hAnsi="Calibri Light" w:cs="Arial"/>
      <w:b/>
      <w:bCs/>
      <w:color w:val="26664E"/>
      <w:sz w:val="24"/>
      <w:szCs w:val="20"/>
    </w:rPr>
  </w:style>
  <w:style w:type="character" w:customStyle="1" w:styleId="VIRTheading4Char">
    <w:name w:val="VIRT heading 4 Char"/>
    <w:basedOn w:val="DefaultParagraphFont"/>
    <w:link w:val="VIRTheading40"/>
    <w:rsid w:val="00B1165D"/>
    <w:rPr>
      <w:rFonts w:ascii="Calibri Light" w:hAnsi="Calibri Light" w:cs="Arial"/>
      <w:b/>
      <w:color w:val="148A5D"/>
      <w:sz w:val="26"/>
      <w:szCs w:val="20"/>
    </w:rPr>
  </w:style>
  <w:style w:type="paragraph" w:customStyle="1" w:styleId="Reportheading">
    <w:name w:val="Report heading"/>
    <w:basedOn w:val="Chapterheading0"/>
    <w:link w:val="ReportheadingChar"/>
    <w:autoRedefine/>
    <w:qFormat/>
    <w:rsid w:val="00B1165D"/>
    <w:rPr>
      <w:color w:val="FFFFFF"/>
    </w:rPr>
  </w:style>
  <w:style w:type="paragraph" w:customStyle="1" w:styleId="Reportsubheading">
    <w:name w:val="Report subheading"/>
    <w:link w:val="ReportsubheadingChar"/>
    <w:autoRedefine/>
    <w:qFormat/>
    <w:rsid w:val="00B1165D"/>
    <w:pPr>
      <w:spacing w:after="160" w:line="259" w:lineRule="auto"/>
    </w:pPr>
    <w:rPr>
      <w:rFonts w:ascii="Rockwell" w:hAnsi="Rockwell" w:cs="Times New Roman (Body CS)"/>
      <w:color w:val="FFFFFF"/>
      <w:spacing w:val="-6"/>
      <w:sz w:val="44"/>
      <w:szCs w:val="72"/>
    </w:rPr>
  </w:style>
  <w:style w:type="character" w:customStyle="1" w:styleId="ReportheadingChar">
    <w:name w:val="Report heading Char"/>
    <w:basedOn w:val="ChapterheadingChar0"/>
    <w:link w:val="Reportheading"/>
    <w:rsid w:val="00B1165D"/>
    <w:rPr>
      <w:rFonts w:ascii="Rockwell" w:hAnsi="Rockwell" w:cs="Times New Roman (Body CS)"/>
      <w:noProof/>
      <w:color w:val="FFFFFF"/>
      <w:spacing w:val="-6"/>
      <w:sz w:val="72"/>
      <w:szCs w:val="72"/>
      <w:lang w:val="en-US"/>
    </w:rPr>
  </w:style>
  <w:style w:type="character" w:customStyle="1" w:styleId="ReportsubheadingChar">
    <w:name w:val="Report subheading Char"/>
    <w:basedOn w:val="DefaultParagraphFont"/>
    <w:link w:val="Reportsubheading"/>
    <w:rsid w:val="00B1165D"/>
    <w:rPr>
      <w:rFonts w:ascii="Rockwell" w:hAnsi="Rockwell" w:cs="Times New Roman (Body CS)"/>
      <w:color w:val="FFFFFF"/>
      <w:spacing w:val="-6"/>
      <w:sz w:val="44"/>
      <w:szCs w:val="72"/>
    </w:rPr>
  </w:style>
  <w:style w:type="paragraph" w:customStyle="1" w:styleId="Bullets">
    <w:name w:val="Bullets"/>
    <w:basedOn w:val="Normal"/>
    <w:link w:val="BulletsChar"/>
    <w:uiPriority w:val="99"/>
    <w:rsid w:val="00B1165D"/>
    <w:pPr>
      <w:numPr>
        <w:numId w:val="13"/>
      </w:numPr>
      <w:spacing w:before="0" w:after="100" w:line="300" w:lineRule="atLeast"/>
      <w:jc w:val="left"/>
    </w:pPr>
    <w:rPr>
      <w:rFonts w:ascii="Arial" w:eastAsia="Calibri" w:hAnsi="Arial" w:cs="Tahoma"/>
      <w:color w:val="000000"/>
      <w:sz w:val="20"/>
    </w:rPr>
  </w:style>
  <w:style w:type="paragraph" w:customStyle="1" w:styleId="Bulletslevel2">
    <w:name w:val="Bullets (level 2)"/>
    <w:basedOn w:val="Bullets"/>
    <w:uiPriority w:val="99"/>
    <w:rsid w:val="00B1165D"/>
    <w:pPr>
      <w:numPr>
        <w:numId w:val="12"/>
      </w:numPr>
      <w:spacing w:after="120"/>
      <w:ind w:left="720"/>
    </w:pPr>
  </w:style>
  <w:style w:type="character" w:customStyle="1" w:styleId="BulletsChar">
    <w:name w:val="Bullets Char"/>
    <w:basedOn w:val="DefaultParagraphFont"/>
    <w:link w:val="Bullets"/>
    <w:uiPriority w:val="99"/>
    <w:rsid w:val="00B1165D"/>
    <w:rPr>
      <w:rFonts w:ascii="Arial" w:eastAsia="Calibri" w:hAnsi="Arial" w:cs="Tahoma"/>
      <w:color w:val="000000"/>
      <w:sz w:val="20"/>
    </w:rPr>
  </w:style>
  <w:style w:type="character" w:styleId="UnresolvedMention">
    <w:name w:val="Unresolved Mention"/>
    <w:basedOn w:val="DefaultParagraphFont"/>
    <w:uiPriority w:val="99"/>
    <w:unhideWhenUsed/>
    <w:rsid w:val="00B1165D"/>
    <w:rPr>
      <w:color w:val="605E5C"/>
      <w:shd w:val="clear" w:color="auto" w:fill="E1DFDD"/>
    </w:rPr>
  </w:style>
  <w:style w:type="character" w:customStyle="1" w:styleId="cf01">
    <w:name w:val="cf01"/>
    <w:basedOn w:val="DefaultParagraphFont"/>
    <w:rsid w:val="00B1165D"/>
    <w:rPr>
      <w:rFonts w:ascii="Segoe UI" w:hAnsi="Segoe UI" w:cs="Segoe UI" w:hint="default"/>
      <w:sz w:val="18"/>
      <w:szCs w:val="18"/>
    </w:rPr>
  </w:style>
  <w:style w:type="paragraph" w:styleId="EndnoteText">
    <w:name w:val="endnote text"/>
    <w:basedOn w:val="Normal"/>
    <w:link w:val="EndnoteTextChar"/>
    <w:semiHidden/>
    <w:unhideWhenUsed/>
    <w:rsid w:val="00B1165D"/>
    <w:pPr>
      <w:spacing w:before="0" w:after="0" w:line="240" w:lineRule="auto"/>
      <w:jc w:val="left"/>
    </w:pPr>
    <w:rPr>
      <w:rFonts w:ascii="Calibri" w:hAnsi="Calibri"/>
      <w:color w:val="auto"/>
      <w:sz w:val="20"/>
      <w:szCs w:val="20"/>
    </w:rPr>
  </w:style>
  <w:style w:type="character" w:customStyle="1" w:styleId="EndnoteTextChar">
    <w:name w:val="Endnote Text Char"/>
    <w:basedOn w:val="DefaultParagraphFont"/>
    <w:link w:val="EndnoteText"/>
    <w:semiHidden/>
    <w:rsid w:val="00B1165D"/>
    <w:rPr>
      <w:rFonts w:ascii="Calibri" w:hAnsi="Calibri"/>
      <w:sz w:val="20"/>
      <w:szCs w:val="20"/>
    </w:rPr>
  </w:style>
  <w:style w:type="character" w:styleId="EndnoteReference">
    <w:name w:val="endnote reference"/>
    <w:basedOn w:val="DefaultParagraphFont"/>
    <w:uiPriority w:val="99"/>
    <w:semiHidden/>
    <w:unhideWhenUsed/>
    <w:rsid w:val="00B1165D"/>
    <w:rPr>
      <w:vertAlign w:val="superscript"/>
    </w:rPr>
  </w:style>
  <w:style w:type="character" w:customStyle="1" w:styleId="FollowedHyperlink1">
    <w:name w:val="FollowedHyperlink1"/>
    <w:basedOn w:val="DefaultParagraphFont"/>
    <w:uiPriority w:val="99"/>
    <w:semiHidden/>
    <w:unhideWhenUsed/>
    <w:locked/>
    <w:rsid w:val="00B1165D"/>
    <w:rPr>
      <w:color w:val="919191"/>
      <w:u w:val="single"/>
    </w:rPr>
  </w:style>
  <w:style w:type="character" w:styleId="Mention">
    <w:name w:val="Mention"/>
    <w:basedOn w:val="DefaultParagraphFont"/>
    <w:uiPriority w:val="99"/>
    <w:unhideWhenUsed/>
    <w:rsid w:val="00B1165D"/>
    <w:rPr>
      <w:color w:val="2B579A"/>
      <w:shd w:val="clear" w:color="auto" w:fill="E1DFDD"/>
    </w:rPr>
  </w:style>
  <w:style w:type="paragraph" w:customStyle="1" w:styleId="Sourceandnotesfortablesfigures">
    <w:name w:val="Source and notes for tables/figures"/>
    <w:basedOn w:val="Normal"/>
    <w:link w:val="SourceandnotesfortablesfiguresChar"/>
    <w:locked/>
    <w:rsid w:val="00B1165D"/>
    <w:pPr>
      <w:spacing w:before="0" w:line="240" w:lineRule="auto"/>
      <w:ind w:right="-149"/>
      <w:contextualSpacing/>
      <w:jc w:val="left"/>
    </w:pPr>
    <w:rPr>
      <w:color w:val="000000"/>
      <w:sz w:val="18"/>
      <w:szCs w:val="20"/>
    </w:rPr>
  </w:style>
  <w:style w:type="character" w:customStyle="1" w:styleId="SourceandnotesfortablesfiguresChar">
    <w:name w:val="Source and notes for tables/figures Char"/>
    <w:basedOn w:val="DefaultParagraphFont"/>
    <w:link w:val="Sourceandnotesfortablesfigures"/>
    <w:rsid w:val="00B1165D"/>
    <w:rPr>
      <w:rFonts w:ascii="Calibri Light" w:hAnsi="Calibri Light"/>
      <w:color w:val="000000"/>
      <w:sz w:val="18"/>
      <w:szCs w:val="20"/>
    </w:rPr>
  </w:style>
  <w:style w:type="paragraph" w:customStyle="1" w:styleId="BoxText">
    <w:name w:val="Box Text"/>
    <w:basedOn w:val="Tabletext"/>
    <w:link w:val="BoxTextChar"/>
    <w:rsid w:val="00B1165D"/>
    <w:pPr>
      <w:spacing w:before="120"/>
    </w:pPr>
    <w:rPr>
      <w:color w:val="4D4D4D"/>
    </w:rPr>
  </w:style>
  <w:style w:type="character" w:customStyle="1" w:styleId="BoxTextChar">
    <w:name w:val="Box Text Char"/>
    <w:basedOn w:val="TabletextChar"/>
    <w:link w:val="BoxText"/>
    <w:rsid w:val="00B1165D"/>
    <w:rPr>
      <w:rFonts w:ascii="Calibri Light" w:hAnsi="Calibri Light"/>
      <w:color w:val="4D4D4D"/>
    </w:rPr>
  </w:style>
  <w:style w:type="paragraph" w:customStyle="1" w:styleId="Bulletswithinnumberedparaslvl1">
    <w:name w:val="Bullets within numbered paras lvl 1"/>
    <w:link w:val="Bulletswithinnumberedparaslvl1Char"/>
    <w:rsid w:val="00B1165D"/>
    <w:pPr>
      <w:numPr>
        <w:numId w:val="15"/>
      </w:numPr>
      <w:spacing w:after="120" w:line="276" w:lineRule="auto"/>
    </w:pPr>
    <w:rPr>
      <w:rFonts w:ascii="Calibri Light" w:hAnsi="Calibri Light" w:cs="Arial"/>
      <w:sz w:val="26"/>
      <w:szCs w:val="20"/>
    </w:rPr>
  </w:style>
  <w:style w:type="character" w:customStyle="1" w:styleId="Bulletswithinnumberedparaslvl1Char">
    <w:name w:val="Bullets within numbered paras lvl 1 Char"/>
    <w:basedOn w:val="DefaultParagraphFont"/>
    <w:link w:val="Bulletswithinnumberedparaslvl1"/>
    <w:rsid w:val="00B1165D"/>
    <w:rPr>
      <w:rFonts w:ascii="Calibri Light" w:hAnsi="Calibri Light" w:cs="Arial"/>
      <w:sz w:val="26"/>
      <w:szCs w:val="20"/>
    </w:rPr>
  </w:style>
  <w:style w:type="character" w:styleId="FollowedHyperlink">
    <w:name w:val="FollowedHyperlink"/>
    <w:basedOn w:val="DefaultParagraphFont"/>
    <w:uiPriority w:val="99"/>
    <w:semiHidden/>
    <w:unhideWhenUsed/>
    <w:rsid w:val="00B1165D"/>
    <w:rPr>
      <w:color w:val="919191" w:themeColor="followedHyperlink"/>
      <w:u w:val="single"/>
    </w:rPr>
  </w:style>
  <w:style w:type="table" w:customStyle="1" w:styleId="ListTable3-Accent23">
    <w:name w:val="List Table 3 - Accent 23"/>
    <w:basedOn w:val="TableNormal"/>
    <w:next w:val="ListTable3-Accent2"/>
    <w:uiPriority w:val="48"/>
    <w:locked/>
    <w:rsid w:val="00BF7D4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2">
    <w:name w:val="No List2"/>
    <w:next w:val="NoList"/>
    <w:uiPriority w:val="99"/>
    <w:semiHidden/>
    <w:unhideWhenUsed/>
    <w:rsid w:val="000B5528"/>
  </w:style>
  <w:style w:type="paragraph" w:customStyle="1" w:styleId="11Bulletsinatable">
    <w:name w:val="11. Bullets in a table"/>
    <w:basedOn w:val="10Tabletext"/>
    <w:link w:val="11BulletsinatableChar"/>
    <w:qFormat/>
    <w:locked/>
    <w:rsid w:val="00310AE8"/>
    <w:pPr>
      <w:numPr>
        <w:numId w:val="29"/>
      </w:numPr>
      <w:ind w:left="357" w:hanging="357"/>
    </w:pPr>
    <w:rPr>
      <w:rFonts w:cs="Arial"/>
      <w:bCs w:val="0"/>
      <w:szCs w:val="20"/>
    </w:rPr>
  </w:style>
  <w:style w:type="character" w:customStyle="1" w:styleId="11BulletsinatableChar">
    <w:name w:val="11. Bullets in a table Char"/>
    <w:basedOn w:val="DefaultParagraphFont"/>
    <w:link w:val="11Bulletsinatable"/>
    <w:rsid w:val="00310AE8"/>
    <w:rPr>
      <w:rFonts w:ascii="Calibri Light" w:eastAsia="Rockwell" w:hAnsi="Calibri Light" w:cs="Arial"/>
      <w:szCs w:val="20"/>
    </w:rPr>
  </w:style>
  <w:style w:type="paragraph" w:customStyle="1" w:styleId="08Figuretableboxheading">
    <w:name w:val="08. Figure/table/box heading"/>
    <w:basedOn w:val="Tableheading"/>
    <w:link w:val="08FiguretableboxheadingChar"/>
    <w:qFormat/>
    <w:locked/>
    <w:rsid w:val="000B5528"/>
    <w:pPr>
      <w:spacing w:before="180" w:after="60"/>
    </w:pPr>
    <w:rPr>
      <w:rFonts w:cs="Arial"/>
      <w:color w:val="26664E"/>
      <w:szCs w:val="20"/>
    </w:rPr>
  </w:style>
  <w:style w:type="character" w:customStyle="1" w:styleId="08FiguretableboxheadingChar">
    <w:name w:val="08. Figure/table/box heading Char"/>
    <w:basedOn w:val="TableheadingChar"/>
    <w:link w:val="08Figuretableboxheading"/>
    <w:rsid w:val="000B5528"/>
    <w:rPr>
      <w:rFonts w:ascii="Calibri Light" w:hAnsi="Calibri Light" w:cs="Arial"/>
      <w:b/>
      <w:bCs/>
      <w:color w:val="26664E"/>
      <w:sz w:val="24"/>
      <w:szCs w:val="20"/>
    </w:rPr>
  </w:style>
  <w:style w:type="table" w:customStyle="1" w:styleId="ListTable3-Accent24">
    <w:name w:val="List Table 3 - Accent 24"/>
    <w:basedOn w:val="TableNormal"/>
    <w:next w:val="ListTable3-Accent2"/>
    <w:uiPriority w:val="48"/>
    <w:rsid w:val="000B5528"/>
    <w:pPr>
      <w:spacing w:after="0"/>
    </w:pPr>
    <w:rPr>
      <w:rFonts w:ascii="Calibri Light" w:hAnsi="Calibri Light"/>
    </w:rPr>
    <w:tblPr>
      <w:tblStyleRowBandSize w:val="1"/>
      <w:tblStyleColBandSize w:val="1"/>
      <w:tblBorders>
        <w:top w:val="single" w:sz="4" w:space="0" w:color="148A5D"/>
        <w:bottom w:val="single" w:sz="4" w:space="0" w:color="148A5D"/>
        <w:insideH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val="0"/>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07VIRTBreakouttext">
    <w:name w:val="07. VIRT Breakout text"/>
    <w:basedOn w:val="Normal"/>
    <w:link w:val="07VIRTBreakouttextChar"/>
    <w:qFormat/>
    <w:locked/>
    <w:rsid w:val="000B5528"/>
    <w:pPr>
      <w:tabs>
        <w:tab w:val="center" w:pos="4680"/>
        <w:tab w:val="right" w:pos="9360"/>
      </w:tabs>
      <w:spacing w:after="180"/>
      <w:ind w:left="567" w:right="567"/>
      <w:mirrorIndents/>
    </w:pPr>
    <w:rPr>
      <w:rFonts w:cs="Times New Roman (Body CS)"/>
      <w:i/>
      <w:color w:val="0E7650"/>
      <w:spacing w:val="-6"/>
    </w:rPr>
  </w:style>
  <w:style w:type="character" w:customStyle="1" w:styleId="07VIRTBreakouttextChar">
    <w:name w:val="07. VIRT Breakout text Char"/>
    <w:basedOn w:val="DefaultParagraphFont"/>
    <w:link w:val="07VIRTBreakouttext"/>
    <w:rsid w:val="000B5528"/>
    <w:rPr>
      <w:rFonts w:ascii="Calibri Light" w:hAnsi="Calibri Light" w:cs="Times New Roman (Body CS)"/>
      <w:i/>
      <w:color w:val="0E7650"/>
      <w:spacing w:val="-6"/>
      <w:sz w:val="26"/>
    </w:rPr>
  </w:style>
  <w:style w:type="paragraph" w:customStyle="1" w:styleId="Revision2">
    <w:name w:val="Revision2"/>
    <w:next w:val="Revision"/>
    <w:hidden/>
    <w:uiPriority w:val="71"/>
    <w:rsid w:val="000B5528"/>
    <w:pPr>
      <w:spacing w:after="0"/>
    </w:pPr>
    <w:rPr>
      <w:rFonts w:ascii="Arial" w:hAnsi="Arial"/>
      <w:color w:val="7F7F7F"/>
      <w:sz w:val="20"/>
    </w:rPr>
  </w:style>
  <w:style w:type="table" w:customStyle="1" w:styleId="Style11">
    <w:name w:val="Style11"/>
    <w:basedOn w:val="TableNormal"/>
    <w:uiPriority w:val="99"/>
    <w:rsid w:val="000B5528"/>
    <w:pPr>
      <w:spacing w:after="0"/>
    </w:pPr>
    <w:rPr>
      <w:rFonts w:ascii="Calibri Light" w:hAnsi="Calibri Light"/>
    </w:rPr>
    <w:tblPr>
      <w:tblBorders>
        <w:bottom w:val="single" w:sz="4" w:space="0" w:color="148A5D"/>
        <w:insideH w:val="single" w:sz="4" w:space="0" w:color="148A5D"/>
      </w:tblBorders>
    </w:tblPr>
    <w:tcPr>
      <w:shd w:val="clear" w:color="auto" w:fill="auto"/>
    </w:tcPr>
    <w:tblStylePr w:type="firstRow">
      <w:rPr>
        <w:rFonts w:ascii="Calibri Light" w:hAnsi="Calibri Light"/>
        <w:b/>
        <w:color w:val="FFFFFF"/>
        <w:sz w:val="22"/>
      </w:rPr>
      <w:tblPr/>
      <w:tcPr>
        <w:shd w:val="clear" w:color="auto" w:fill="148A5D"/>
      </w:tcPr>
    </w:tblStylePr>
  </w:style>
  <w:style w:type="paragraph" w:customStyle="1" w:styleId="Textinthetable">
    <w:name w:val="Text in the table"/>
    <w:link w:val="TextinthetableChar"/>
    <w:rsid w:val="000B5528"/>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B5528"/>
    <w:rPr>
      <w:rFonts w:ascii="Calibri Light" w:eastAsia="Rockwell" w:hAnsi="Calibri Light" w:cs="Arial"/>
      <w:lang w:val="en-US"/>
    </w:rPr>
  </w:style>
  <w:style w:type="paragraph" w:customStyle="1" w:styleId="Parabeforeabulletlist">
    <w:name w:val="Para before a bullet list"/>
    <w:basedOn w:val="Normal"/>
    <w:link w:val="ParabeforeabulletlistChar"/>
    <w:rsid w:val="000B5528"/>
    <w:pPr>
      <w:spacing w:before="240" w:after="120"/>
    </w:pPr>
    <w:rPr>
      <w:rFonts w:cs="Times New Roman (Body CS)"/>
      <w:szCs w:val="44"/>
    </w:rPr>
  </w:style>
  <w:style w:type="character" w:customStyle="1" w:styleId="ParabeforeabulletlistChar">
    <w:name w:val="Para before a bullet list Char"/>
    <w:basedOn w:val="DefaultParagraphFont"/>
    <w:link w:val="Parabeforeabulletlist"/>
    <w:rsid w:val="000B5528"/>
    <w:rPr>
      <w:rFonts w:ascii="Calibri Light" w:hAnsi="Calibri Light" w:cs="Times New Roman (Body CS)"/>
      <w:color w:val="4D4D4D" w:themeColor="accent6"/>
      <w:sz w:val="26"/>
      <w:szCs w:val="44"/>
    </w:rPr>
  </w:style>
  <w:style w:type="paragraph" w:customStyle="1" w:styleId="gmail-p1">
    <w:name w:val="gmail-p1"/>
    <w:basedOn w:val="Normal"/>
    <w:rsid w:val="000B5528"/>
    <w:pPr>
      <w:spacing w:before="100" w:beforeAutospacing="1" w:after="100" w:afterAutospacing="1" w:line="240" w:lineRule="auto"/>
      <w:jc w:val="left"/>
    </w:pPr>
    <w:rPr>
      <w:rFonts w:ascii="Calibri" w:hAnsi="Calibri" w:cs="Calibri"/>
      <w:color w:val="auto"/>
      <w:sz w:val="22"/>
      <w:lang w:eastAsia="en-AU"/>
    </w:rPr>
  </w:style>
  <w:style w:type="paragraph" w:customStyle="1" w:styleId="gmail-p2">
    <w:name w:val="gmail-p2"/>
    <w:basedOn w:val="Normal"/>
    <w:rsid w:val="000B5528"/>
    <w:pPr>
      <w:spacing w:before="100" w:beforeAutospacing="1" w:after="100" w:afterAutospacing="1" w:line="240" w:lineRule="auto"/>
      <w:jc w:val="left"/>
    </w:pPr>
    <w:rPr>
      <w:rFonts w:ascii="Calibri" w:hAnsi="Calibri" w:cs="Calibri"/>
      <w:color w:val="auto"/>
      <w:sz w:val="22"/>
      <w:lang w:eastAsia="en-AU"/>
    </w:rPr>
  </w:style>
  <w:style w:type="character" w:customStyle="1" w:styleId="gmail-apple-converted-space">
    <w:name w:val="gmail-apple-converted-space"/>
    <w:basedOn w:val="DefaultParagraphFont"/>
    <w:rsid w:val="000B5528"/>
  </w:style>
  <w:style w:type="paragraph" w:styleId="Bibliography">
    <w:name w:val="Bibliography"/>
    <w:basedOn w:val="Normal"/>
    <w:next w:val="Normal"/>
    <w:uiPriority w:val="37"/>
    <w:semiHidden/>
    <w:unhideWhenUsed/>
    <w:rsid w:val="000B5528"/>
    <w:pPr>
      <w:spacing w:before="0" w:after="180" w:line="240" w:lineRule="auto"/>
      <w:jc w:val="left"/>
    </w:pPr>
    <w:rPr>
      <w:rFonts w:ascii="Arial" w:hAnsi="Arial"/>
      <w:color w:val="7F7F7F"/>
      <w:sz w:val="20"/>
    </w:rPr>
  </w:style>
  <w:style w:type="paragraph" w:customStyle="1" w:styleId="BlockText1">
    <w:name w:val="Block Text1"/>
    <w:basedOn w:val="Normal"/>
    <w:next w:val="BlockText"/>
    <w:uiPriority w:val="99"/>
    <w:semiHidden/>
    <w:unhideWhenUsed/>
    <w:rsid w:val="000B5528"/>
    <w:pPr>
      <w:pBdr>
        <w:top w:val="single" w:sz="2" w:space="10" w:color="26664E"/>
        <w:left w:val="single" w:sz="2" w:space="10" w:color="26664E"/>
        <w:bottom w:val="single" w:sz="2" w:space="10" w:color="26664E"/>
        <w:right w:val="single" w:sz="2" w:space="10" w:color="26664E"/>
      </w:pBdr>
      <w:spacing w:before="0" w:after="180" w:line="240" w:lineRule="auto"/>
      <w:ind w:left="1152" w:right="1152"/>
      <w:jc w:val="left"/>
    </w:pPr>
    <w:rPr>
      <w:rFonts w:ascii="Rockwell" w:eastAsia="HGMinchoB" w:hAnsi="Rockwell"/>
      <w:i/>
      <w:iCs/>
      <w:color w:val="26664E"/>
      <w:sz w:val="20"/>
    </w:rPr>
  </w:style>
  <w:style w:type="paragraph" w:styleId="BodyText2">
    <w:name w:val="Body Text 2"/>
    <w:basedOn w:val="Normal"/>
    <w:link w:val="BodyText2Char"/>
    <w:uiPriority w:val="99"/>
    <w:semiHidden/>
    <w:unhideWhenUsed/>
    <w:rsid w:val="000B5528"/>
    <w:pPr>
      <w:spacing w:before="0" w:after="120" w:line="480" w:lineRule="auto"/>
      <w:jc w:val="left"/>
    </w:pPr>
    <w:rPr>
      <w:rFonts w:ascii="Arial" w:hAnsi="Arial"/>
      <w:color w:val="7F7F7F"/>
      <w:sz w:val="20"/>
    </w:rPr>
  </w:style>
  <w:style w:type="character" w:customStyle="1" w:styleId="BodyText2Char">
    <w:name w:val="Body Text 2 Char"/>
    <w:basedOn w:val="DefaultParagraphFont"/>
    <w:link w:val="BodyText2"/>
    <w:uiPriority w:val="99"/>
    <w:semiHidden/>
    <w:rsid w:val="000B5528"/>
    <w:rPr>
      <w:rFonts w:ascii="Arial" w:hAnsi="Arial"/>
      <w:color w:val="7F7F7F"/>
      <w:sz w:val="20"/>
    </w:rPr>
  </w:style>
  <w:style w:type="paragraph" w:styleId="BodyText3">
    <w:name w:val="Body Text 3"/>
    <w:basedOn w:val="Normal"/>
    <w:link w:val="BodyText3Char"/>
    <w:uiPriority w:val="99"/>
    <w:semiHidden/>
    <w:unhideWhenUsed/>
    <w:rsid w:val="000B5528"/>
    <w:pPr>
      <w:spacing w:before="0" w:after="120" w:line="240" w:lineRule="auto"/>
      <w:jc w:val="left"/>
    </w:pPr>
    <w:rPr>
      <w:rFonts w:ascii="Arial" w:hAnsi="Arial"/>
      <w:color w:val="7F7F7F"/>
      <w:sz w:val="16"/>
      <w:szCs w:val="16"/>
    </w:rPr>
  </w:style>
  <w:style w:type="character" w:customStyle="1" w:styleId="BodyText3Char">
    <w:name w:val="Body Text 3 Char"/>
    <w:basedOn w:val="DefaultParagraphFont"/>
    <w:link w:val="BodyText3"/>
    <w:uiPriority w:val="99"/>
    <w:semiHidden/>
    <w:rsid w:val="000B5528"/>
    <w:rPr>
      <w:rFonts w:ascii="Arial" w:hAnsi="Arial"/>
      <w:color w:val="7F7F7F"/>
      <w:sz w:val="16"/>
      <w:szCs w:val="16"/>
    </w:rPr>
  </w:style>
  <w:style w:type="paragraph" w:styleId="BodyTextFirstIndent">
    <w:name w:val="Body Text First Indent"/>
    <w:basedOn w:val="BodyText"/>
    <w:link w:val="BodyTextFirstIndentChar"/>
    <w:uiPriority w:val="99"/>
    <w:semiHidden/>
    <w:unhideWhenUsed/>
    <w:rsid w:val="000B5528"/>
    <w:pPr>
      <w:tabs>
        <w:tab w:val="clear" w:pos="454"/>
      </w:tabs>
      <w:spacing w:before="0" w:after="180" w:line="240" w:lineRule="auto"/>
      <w:ind w:firstLine="360"/>
    </w:pPr>
    <w:rPr>
      <w:rFonts w:ascii="Arial" w:eastAsia="Rockwell" w:hAnsi="Arial"/>
      <w:color w:val="7F7F7F"/>
      <w:sz w:val="20"/>
      <w:szCs w:val="22"/>
    </w:rPr>
  </w:style>
  <w:style w:type="character" w:customStyle="1" w:styleId="BodyTextFirstIndentChar">
    <w:name w:val="Body Text First Indent Char"/>
    <w:basedOn w:val="BodyTextChar"/>
    <w:link w:val="BodyTextFirstIndent"/>
    <w:uiPriority w:val="99"/>
    <w:semiHidden/>
    <w:rsid w:val="000B5528"/>
    <w:rPr>
      <w:rFonts w:ascii="Arial" w:eastAsia="Rockwell" w:hAnsi="Arial" w:cs="Times New Roman"/>
      <w:color w:val="7F7F7F"/>
      <w:sz w:val="20"/>
      <w:szCs w:val="20"/>
    </w:rPr>
  </w:style>
  <w:style w:type="paragraph" w:styleId="BodyTextIndent">
    <w:name w:val="Body Text Indent"/>
    <w:basedOn w:val="Normal"/>
    <w:link w:val="BodyTextIndentChar"/>
    <w:uiPriority w:val="99"/>
    <w:semiHidden/>
    <w:unhideWhenUsed/>
    <w:rsid w:val="000B5528"/>
    <w:pPr>
      <w:spacing w:before="0" w:after="120" w:line="240" w:lineRule="auto"/>
      <w:ind w:left="283"/>
      <w:jc w:val="left"/>
    </w:pPr>
    <w:rPr>
      <w:rFonts w:ascii="Arial" w:hAnsi="Arial"/>
      <w:color w:val="7F7F7F"/>
      <w:sz w:val="20"/>
    </w:rPr>
  </w:style>
  <w:style w:type="character" w:customStyle="1" w:styleId="BodyTextIndentChar">
    <w:name w:val="Body Text Indent Char"/>
    <w:basedOn w:val="DefaultParagraphFont"/>
    <w:link w:val="BodyTextIndent"/>
    <w:uiPriority w:val="99"/>
    <w:semiHidden/>
    <w:rsid w:val="000B5528"/>
    <w:rPr>
      <w:rFonts w:ascii="Arial" w:hAnsi="Arial"/>
      <w:color w:val="7F7F7F"/>
      <w:sz w:val="20"/>
    </w:rPr>
  </w:style>
  <w:style w:type="paragraph" w:styleId="BodyTextFirstIndent2">
    <w:name w:val="Body Text First Indent 2"/>
    <w:basedOn w:val="BodyTextIndent"/>
    <w:link w:val="BodyTextFirstIndent2Char"/>
    <w:uiPriority w:val="99"/>
    <w:semiHidden/>
    <w:unhideWhenUsed/>
    <w:rsid w:val="000B5528"/>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0B5528"/>
    <w:rPr>
      <w:rFonts w:ascii="Arial" w:hAnsi="Arial"/>
      <w:color w:val="7F7F7F"/>
      <w:sz w:val="20"/>
    </w:rPr>
  </w:style>
  <w:style w:type="paragraph" w:styleId="BodyTextIndent2">
    <w:name w:val="Body Text Indent 2"/>
    <w:basedOn w:val="Normal"/>
    <w:link w:val="BodyTextIndent2Char"/>
    <w:uiPriority w:val="99"/>
    <w:semiHidden/>
    <w:unhideWhenUsed/>
    <w:rsid w:val="000B5528"/>
    <w:pPr>
      <w:spacing w:before="0" w:after="120" w:line="480" w:lineRule="auto"/>
      <w:ind w:left="283"/>
      <w:jc w:val="left"/>
    </w:pPr>
    <w:rPr>
      <w:rFonts w:ascii="Arial" w:hAnsi="Arial"/>
      <w:color w:val="7F7F7F"/>
      <w:sz w:val="20"/>
    </w:rPr>
  </w:style>
  <w:style w:type="character" w:customStyle="1" w:styleId="BodyTextIndent2Char">
    <w:name w:val="Body Text Indent 2 Char"/>
    <w:basedOn w:val="DefaultParagraphFont"/>
    <w:link w:val="BodyTextIndent2"/>
    <w:uiPriority w:val="99"/>
    <w:semiHidden/>
    <w:rsid w:val="000B5528"/>
    <w:rPr>
      <w:rFonts w:ascii="Arial" w:hAnsi="Arial"/>
      <w:color w:val="7F7F7F"/>
      <w:sz w:val="20"/>
    </w:rPr>
  </w:style>
  <w:style w:type="paragraph" w:styleId="BodyTextIndent3">
    <w:name w:val="Body Text Indent 3"/>
    <w:basedOn w:val="Normal"/>
    <w:link w:val="BodyTextIndent3Char"/>
    <w:uiPriority w:val="99"/>
    <w:semiHidden/>
    <w:unhideWhenUsed/>
    <w:rsid w:val="000B5528"/>
    <w:pPr>
      <w:spacing w:before="0" w:after="120" w:line="240" w:lineRule="auto"/>
      <w:ind w:left="283"/>
      <w:jc w:val="left"/>
    </w:pPr>
    <w:rPr>
      <w:rFonts w:ascii="Arial" w:hAnsi="Arial"/>
      <w:color w:val="7F7F7F"/>
      <w:sz w:val="16"/>
      <w:szCs w:val="16"/>
    </w:rPr>
  </w:style>
  <w:style w:type="character" w:customStyle="1" w:styleId="BodyTextIndent3Char">
    <w:name w:val="Body Text Indent 3 Char"/>
    <w:basedOn w:val="DefaultParagraphFont"/>
    <w:link w:val="BodyTextIndent3"/>
    <w:uiPriority w:val="99"/>
    <w:semiHidden/>
    <w:rsid w:val="000B5528"/>
    <w:rPr>
      <w:rFonts w:ascii="Arial" w:hAnsi="Arial"/>
      <w:color w:val="7F7F7F"/>
      <w:sz w:val="16"/>
      <w:szCs w:val="16"/>
    </w:rPr>
  </w:style>
  <w:style w:type="paragraph" w:styleId="Closing">
    <w:name w:val="Closing"/>
    <w:basedOn w:val="Normal"/>
    <w:link w:val="ClosingChar"/>
    <w:uiPriority w:val="99"/>
    <w:semiHidden/>
    <w:unhideWhenUsed/>
    <w:rsid w:val="000B5528"/>
    <w:pPr>
      <w:spacing w:before="0" w:after="0" w:line="240" w:lineRule="auto"/>
      <w:ind w:left="4252"/>
      <w:jc w:val="left"/>
    </w:pPr>
    <w:rPr>
      <w:rFonts w:ascii="Arial" w:hAnsi="Arial"/>
      <w:color w:val="7F7F7F"/>
      <w:sz w:val="20"/>
    </w:rPr>
  </w:style>
  <w:style w:type="character" w:customStyle="1" w:styleId="ClosingChar">
    <w:name w:val="Closing Char"/>
    <w:basedOn w:val="DefaultParagraphFont"/>
    <w:link w:val="Closing"/>
    <w:uiPriority w:val="99"/>
    <w:semiHidden/>
    <w:rsid w:val="000B5528"/>
    <w:rPr>
      <w:rFonts w:ascii="Arial" w:hAnsi="Arial"/>
      <w:color w:val="7F7F7F"/>
      <w:sz w:val="20"/>
    </w:rPr>
  </w:style>
  <w:style w:type="paragraph" w:styleId="Date">
    <w:name w:val="Date"/>
    <w:basedOn w:val="Normal"/>
    <w:next w:val="Normal"/>
    <w:link w:val="DateChar"/>
    <w:uiPriority w:val="99"/>
    <w:semiHidden/>
    <w:unhideWhenUsed/>
    <w:rsid w:val="000B5528"/>
    <w:pPr>
      <w:spacing w:before="0" w:after="180" w:line="240" w:lineRule="auto"/>
      <w:jc w:val="left"/>
    </w:pPr>
    <w:rPr>
      <w:rFonts w:ascii="Arial" w:hAnsi="Arial"/>
      <w:color w:val="7F7F7F"/>
      <w:sz w:val="20"/>
    </w:rPr>
  </w:style>
  <w:style w:type="character" w:customStyle="1" w:styleId="DateChar">
    <w:name w:val="Date Char"/>
    <w:basedOn w:val="DefaultParagraphFont"/>
    <w:link w:val="Date"/>
    <w:uiPriority w:val="99"/>
    <w:semiHidden/>
    <w:rsid w:val="000B5528"/>
    <w:rPr>
      <w:rFonts w:ascii="Arial" w:hAnsi="Arial"/>
      <w:color w:val="7F7F7F"/>
      <w:sz w:val="20"/>
    </w:rPr>
  </w:style>
  <w:style w:type="paragraph" w:styleId="DocumentMap">
    <w:name w:val="Document Map"/>
    <w:basedOn w:val="Normal"/>
    <w:link w:val="DocumentMapChar"/>
    <w:uiPriority w:val="99"/>
    <w:semiHidden/>
    <w:unhideWhenUsed/>
    <w:rsid w:val="000B5528"/>
    <w:pPr>
      <w:spacing w:before="0" w:after="0" w:line="240" w:lineRule="auto"/>
      <w:jc w:val="left"/>
    </w:pPr>
    <w:rPr>
      <w:rFonts w:ascii="Segoe UI" w:hAnsi="Segoe UI" w:cs="Segoe UI"/>
      <w:color w:val="7F7F7F"/>
      <w:sz w:val="16"/>
      <w:szCs w:val="16"/>
    </w:rPr>
  </w:style>
  <w:style w:type="character" w:customStyle="1" w:styleId="DocumentMapChar">
    <w:name w:val="Document Map Char"/>
    <w:basedOn w:val="DefaultParagraphFont"/>
    <w:link w:val="DocumentMap"/>
    <w:uiPriority w:val="99"/>
    <w:semiHidden/>
    <w:rsid w:val="000B5528"/>
    <w:rPr>
      <w:rFonts w:ascii="Segoe UI" w:hAnsi="Segoe UI" w:cs="Segoe UI"/>
      <w:color w:val="7F7F7F"/>
      <w:sz w:val="16"/>
      <w:szCs w:val="16"/>
    </w:rPr>
  </w:style>
  <w:style w:type="paragraph" w:styleId="E-mailSignature">
    <w:name w:val="E-mail Signature"/>
    <w:basedOn w:val="Normal"/>
    <w:link w:val="E-mailSignatureChar"/>
    <w:uiPriority w:val="99"/>
    <w:semiHidden/>
    <w:unhideWhenUsed/>
    <w:rsid w:val="000B5528"/>
    <w:pPr>
      <w:spacing w:before="0" w:after="0" w:line="240" w:lineRule="auto"/>
      <w:jc w:val="left"/>
    </w:pPr>
    <w:rPr>
      <w:rFonts w:ascii="Arial" w:hAnsi="Arial"/>
      <w:color w:val="7F7F7F"/>
      <w:sz w:val="20"/>
    </w:rPr>
  </w:style>
  <w:style w:type="character" w:customStyle="1" w:styleId="E-mailSignatureChar">
    <w:name w:val="E-mail Signature Char"/>
    <w:basedOn w:val="DefaultParagraphFont"/>
    <w:link w:val="E-mailSignature"/>
    <w:uiPriority w:val="99"/>
    <w:semiHidden/>
    <w:rsid w:val="000B5528"/>
    <w:rPr>
      <w:rFonts w:ascii="Arial" w:hAnsi="Arial"/>
      <w:color w:val="7F7F7F"/>
      <w:sz w:val="20"/>
    </w:rPr>
  </w:style>
  <w:style w:type="paragraph" w:customStyle="1" w:styleId="EnvelopeAddress1">
    <w:name w:val="Envelope Address1"/>
    <w:basedOn w:val="Normal"/>
    <w:next w:val="EnvelopeAddress"/>
    <w:uiPriority w:val="99"/>
    <w:semiHidden/>
    <w:unhideWhenUsed/>
    <w:rsid w:val="000B5528"/>
    <w:pPr>
      <w:framePr w:w="7920" w:h="1980" w:hRule="exact" w:hSpace="180" w:wrap="auto" w:hAnchor="page" w:xAlign="center" w:yAlign="bottom"/>
      <w:spacing w:before="0" w:after="0" w:line="240" w:lineRule="auto"/>
      <w:ind w:left="2880"/>
      <w:jc w:val="left"/>
    </w:pPr>
    <w:rPr>
      <w:rFonts w:ascii="Tw Cen MT" w:eastAsia="HGPGothicE" w:hAnsi="Tw Cen MT" w:cs="Arial"/>
      <w:color w:val="7F7F7F"/>
      <w:sz w:val="24"/>
      <w:szCs w:val="24"/>
    </w:rPr>
  </w:style>
  <w:style w:type="paragraph" w:customStyle="1" w:styleId="EnvelopeReturn1">
    <w:name w:val="Envelope Return1"/>
    <w:basedOn w:val="Normal"/>
    <w:next w:val="EnvelopeReturn"/>
    <w:uiPriority w:val="99"/>
    <w:semiHidden/>
    <w:unhideWhenUsed/>
    <w:rsid w:val="000B5528"/>
    <w:pPr>
      <w:spacing w:before="0" w:after="0" w:line="240" w:lineRule="auto"/>
      <w:jc w:val="left"/>
    </w:pPr>
    <w:rPr>
      <w:rFonts w:ascii="Tw Cen MT" w:eastAsia="HGPGothicE" w:hAnsi="Tw Cen MT" w:cs="Arial"/>
      <w:color w:val="7F7F7F"/>
      <w:sz w:val="20"/>
      <w:szCs w:val="20"/>
    </w:rPr>
  </w:style>
  <w:style w:type="paragraph" w:styleId="HTMLAddress">
    <w:name w:val="HTML Address"/>
    <w:basedOn w:val="Normal"/>
    <w:link w:val="HTMLAddressChar"/>
    <w:uiPriority w:val="99"/>
    <w:semiHidden/>
    <w:unhideWhenUsed/>
    <w:rsid w:val="000B5528"/>
    <w:pPr>
      <w:spacing w:before="0" w:after="0" w:line="240" w:lineRule="auto"/>
      <w:jc w:val="left"/>
    </w:pPr>
    <w:rPr>
      <w:rFonts w:ascii="Arial" w:hAnsi="Arial"/>
      <w:i/>
      <w:iCs/>
      <w:color w:val="7F7F7F"/>
      <w:sz w:val="20"/>
    </w:rPr>
  </w:style>
  <w:style w:type="character" w:customStyle="1" w:styleId="HTMLAddressChar">
    <w:name w:val="HTML Address Char"/>
    <w:basedOn w:val="DefaultParagraphFont"/>
    <w:link w:val="HTMLAddress"/>
    <w:uiPriority w:val="99"/>
    <w:semiHidden/>
    <w:rsid w:val="000B5528"/>
    <w:rPr>
      <w:rFonts w:ascii="Arial" w:hAnsi="Arial"/>
      <w:i/>
      <w:iCs/>
      <w:color w:val="7F7F7F"/>
      <w:sz w:val="20"/>
    </w:rPr>
  </w:style>
  <w:style w:type="paragraph" w:styleId="HTMLPreformatted">
    <w:name w:val="HTML Preformatted"/>
    <w:basedOn w:val="Normal"/>
    <w:link w:val="HTMLPreformattedChar"/>
    <w:uiPriority w:val="99"/>
    <w:semiHidden/>
    <w:unhideWhenUsed/>
    <w:rsid w:val="000B5528"/>
    <w:pPr>
      <w:spacing w:before="0" w:after="0" w:line="240" w:lineRule="auto"/>
      <w:jc w:val="left"/>
    </w:pPr>
    <w:rPr>
      <w:rFonts w:ascii="Consolas" w:hAnsi="Consolas"/>
      <w:color w:val="7F7F7F"/>
      <w:sz w:val="20"/>
      <w:szCs w:val="20"/>
    </w:rPr>
  </w:style>
  <w:style w:type="character" w:customStyle="1" w:styleId="HTMLPreformattedChar">
    <w:name w:val="HTML Preformatted Char"/>
    <w:basedOn w:val="DefaultParagraphFont"/>
    <w:link w:val="HTMLPreformatted"/>
    <w:uiPriority w:val="99"/>
    <w:semiHidden/>
    <w:rsid w:val="000B5528"/>
    <w:rPr>
      <w:rFonts w:ascii="Consolas" w:hAnsi="Consolas"/>
      <w:color w:val="7F7F7F"/>
      <w:sz w:val="20"/>
      <w:szCs w:val="20"/>
    </w:rPr>
  </w:style>
  <w:style w:type="paragraph" w:styleId="Index1">
    <w:name w:val="index 1"/>
    <w:basedOn w:val="Normal"/>
    <w:next w:val="Normal"/>
    <w:autoRedefine/>
    <w:uiPriority w:val="99"/>
    <w:semiHidden/>
    <w:unhideWhenUsed/>
    <w:rsid w:val="000B5528"/>
    <w:pPr>
      <w:spacing w:before="0" w:after="0" w:line="240" w:lineRule="auto"/>
      <w:ind w:left="200" w:hanging="200"/>
      <w:jc w:val="left"/>
    </w:pPr>
    <w:rPr>
      <w:rFonts w:ascii="Arial" w:hAnsi="Arial"/>
      <w:color w:val="7F7F7F"/>
      <w:sz w:val="20"/>
    </w:rPr>
  </w:style>
  <w:style w:type="paragraph" w:styleId="Index2">
    <w:name w:val="index 2"/>
    <w:basedOn w:val="Normal"/>
    <w:next w:val="Normal"/>
    <w:autoRedefine/>
    <w:uiPriority w:val="99"/>
    <w:semiHidden/>
    <w:unhideWhenUsed/>
    <w:rsid w:val="000B5528"/>
    <w:pPr>
      <w:spacing w:before="0" w:after="0" w:line="240" w:lineRule="auto"/>
      <w:ind w:left="400" w:hanging="200"/>
      <w:jc w:val="left"/>
    </w:pPr>
    <w:rPr>
      <w:rFonts w:ascii="Arial" w:hAnsi="Arial"/>
      <w:color w:val="7F7F7F"/>
      <w:sz w:val="20"/>
    </w:rPr>
  </w:style>
  <w:style w:type="paragraph" w:styleId="Index3">
    <w:name w:val="index 3"/>
    <w:basedOn w:val="Normal"/>
    <w:next w:val="Normal"/>
    <w:autoRedefine/>
    <w:uiPriority w:val="99"/>
    <w:semiHidden/>
    <w:unhideWhenUsed/>
    <w:rsid w:val="000B5528"/>
    <w:pPr>
      <w:spacing w:before="0" w:after="0" w:line="240" w:lineRule="auto"/>
      <w:ind w:left="600" w:hanging="200"/>
      <w:jc w:val="left"/>
    </w:pPr>
    <w:rPr>
      <w:rFonts w:ascii="Arial" w:hAnsi="Arial"/>
      <w:color w:val="7F7F7F"/>
      <w:sz w:val="20"/>
    </w:rPr>
  </w:style>
  <w:style w:type="paragraph" w:styleId="Index4">
    <w:name w:val="index 4"/>
    <w:basedOn w:val="Normal"/>
    <w:next w:val="Normal"/>
    <w:autoRedefine/>
    <w:uiPriority w:val="99"/>
    <w:semiHidden/>
    <w:unhideWhenUsed/>
    <w:rsid w:val="000B5528"/>
    <w:pPr>
      <w:spacing w:before="0" w:after="0" w:line="240" w:lineRule="auto"/>
      <w:ind w:left="800" w:hanging="200"/>
      <w:jc w:val="left"/>
    </w:pPr>
    <w:rPr>
      <w:rFonts w:ascii="Arial" w:hAnsi="Arial"/>
      <w:color w:val="7F7F7F"/>
      <w:sz w:val="20"/>
    </w:rPr>
  </w:style>
  <w:style w:type="paragraph" w:styleId="Index5">
    <w:name w:val="index 5"/>
    <w:basedOn w:val="Normal"/>
    <w:next w:val="Normal"/>
    <w:autoRedefine/>
    <w:uiPriority w:val="99"/>
    <w:semiHidden/>
    <w:unhideWhenUsed/>
    <w:rsid w:val="000B5528"/>
    <w:pPr>
      <w:spacing w:before="0" w:after="0" w:line="240" w:lineRule="auto"/>
      <w:ind w:left="1000" w:hanging="200"/>
      <w:jc w:val="left"/>
    </w:pPr>
    <w:rPr>
      <w:rFonts w:ascii="Arial" w:hAnsi="Arial"/>
      <w:color w:val="7F7F7F"/>
      <w:sz w:val="20"/>
    </w:rPr>
  </w:style>
  <w:style w:type="paragraph" w:styleId="Index6">
    <w:name w:val="index 6"/>
    <w:basedOn w:val="Normal"/>
    <w:next w:val="Normal"/>
    <w:autoRedefine/>
    <w:uiPriority w:val="99"/>
    <w:semiHidden/>
    <w:unhideWhenUsed/>
    <w:rsid w:val="000B5528"/>
    <w:pPr>
      <w:spacing w:before="0" w:after="0" w:line="240" w:lineRule="auto"/>
      <w:ind w:left="1200" w:hanging="200"/>
      <w:jc w:val="left"/>
    </w:pPr>
    <w:rPr>
      <w:rFonts w:ascii="Arial" w:hAnsi="Arial"/>
      <w:color w:val="7F7F7F"/>
      <w:sz w:val="20"/>
    </w:rPr>
  </w:style>
  <w:style w:type="paragraph" w:styleId="Index7">
    <w:name w:val="index 7"/>
    <w:basedOn w:val="Normal"/>
    <w:next w:val="Normal"/>
    <w:autoRedefine/>
    <w:uiPriority w:val="99"/>
    <w:semiHidden/>
    <w:unhideWhenUsed/>
    <w:rsid w:val="000B5528"/>
    <w:pPr>
      <w:spacing w:before="0" w:after="0" w:line="240" w:lineRule="auto"/>
      <w:ind w:left="1400" w:hanging="200"/>
      <w:jc w:val="left"/>
    </w:pPr>
    <w:rPr>
      <w:rFonts w:ascii="Arial" w:hAnsi="Arial"/>
      <w:color w:val="7F7F7F"/>
      <w:sz w:val="20"/>
    </w:rPr>
  </w:style>
  <w:style w:type="paragraph" w:styleId="Index8">
    <w:name w:val="index 8"/>
    <w:basedOn w:val="Normal"/>
    <w:next w:val="Normal"/>
    <w:autoRedefine/>
    <w:uiPriority w:val="99"/>
    <w:semiHidden/>
    <w:unhideWhenUsed/>
    <w:rsid w:val="000B5528"/>
    <w:pPr>
      <w:spacing w:before="0" w:after="0" w:line="240" w:lineRule="auto"/>
      <w:ind w:left="1600" w:hanging="200"/>
      <w:jc w:val="left"/>
    </w:pPr>
    <w:rPr>
      <w:rFonts w:ascii="Arial" w:hAnsi="Arial"/>
      <w:color w:val="7F7F7F"/>
      <w:sz w:val="20"/>
    </w:rPr>
  </w:style>
  <w:style w:type="paragraph" w:styleId="Index9">
    <w:name w:val="index 9"/>
    <w:basedOn w:val="Normal"/>
    <w:next w:val="Normal"/>
    <w:autoRedefine/>
    <w:uiPriority w:val="99"/>
    <w:semiHidden/>
    <w:unhideWhenUsed/>
    <w:rsid w:val="000B5528"/>
    <w:pPr>
      <w:spacing w:before="0" w:after="0" w:line="240" w:lineRule="auto"/>
      <w:ind w:left="1800" w:hanging="200"/>
      <w:jc w:val="left"/>
    </w:pPr>
    <w:rPr>
      <w:rFonts w:ascii="Arial" w:hAnsi="Arial"/>
      <w:color w:val="7F7F7F"/>
      <w:sz w:val="20"/>
    </w:rPr>
  </w:style>
  <w:style w:type="paragraph" w:customStyle="1" w:styleId="IndexHeading1">
    <w:name w:val="Index Heading1"/>
    <w:basedOn w:val="Normal"/>
    <w:next w:val="Index1"/>
    <w:uiPriority w:val="99"/>
    <w:semiHidden/>
    <w:unhideWhenUsed/>
    <w:rsid w:val="000B5528"/>
    <w:pPr>
      <w:spacing w:before="0" w:after="180" w:line="240" w:lineRule="auto"/>
      <w:jc w:val="left"/>
    </w:pPr>
    <w:rPr>
      <w:rFonts w:ascii="Tw Cen MT" w:eastAsia="HGPGothicE" w:hAnsi="Tw Cen MT" w:cs="Arial"/>
      <w:b/>
      <w:bCs/>
      <w:color w:val="7F7F7F"/>
      <w:sz w:val="20"/>
    </w:rPr>
  </w:style>
  <w:style w:type="paragraph" w:styleId="List">
    <w:name w:val="List"/>
    <w:basedOn w:val="Normal"/>
    <w:uiPriority w:val="99"/>
    <w:semiHidden/>
    <w:unhideWhenUsed/>
    <w:rsid w:val="000B5528"/>
    <w:pPr>
      <w:spacing w:before="0" w:after="180" w:line="240" w:lineRule="auto"/>
      <w:ind w:left="283" w:hanging="283"/>
      <w:contextualSpacing/>
      <w:jc w:val="left"/>
    </w:pPr>
    <w:rPr>
      <w:rFonts w:ascii="Arial" w:hAnsi="Arial"/>
      <w:color w:val="7F7F7F"/>
      <w:sz w:val="20"/>
    </w:rPr>
  </w:style>
  <w:style w:type="paragraph" w:styleId="List2">
    <w:name w:val="List 2"/>
    <w:basedOn w:val="Normal"/>
    <w:uiPriority w:val="99"/>
    <w:semiHidden/>
    <w:unhideWhenUsed/>
    <w:rsid w:val="000B5528"/>
    <w:pPr>
      <w:spacing w:before="0" w:after="180" w:line="240" w:lineRule="auto"/>
      <w:ind w:left="566" w:hanging="283"/>
      <w:contextualSpacing/>
      <w:jc w:val="left"/>
    </w:pPr>
    <w:rPr>
      <w:rFonts w:ascii="Arial" w:hAnsi="Arial"/>
      <w:color w:val="7F7F7F"/>
      <w:sz w:val="20"/>
    </w:rPr>
  </w:style>
  <w:style w:type="paragraph" w:styleId="List3">
    <w:name w:val="List 3"/>
    <w:basedOn w:val="Normal"/>
    <w:uiPriority w:val="99"/>
    <w:semiHidden/>
    <w:unhideWhenUsed/>
    <w:rsid w:val="000B5528"/>
    <w:pPr>
      <w:spacing w:before="0" w:after="180" w:line="240" w:lineRule="auto"/>
      <w:ind w:left="849" w:hanging="283"/>
      <w:contextualSpacing/>
      <w:jc w:val="left"/>
    </w:pPr>
    <w:rPr>
      <w:rFonts w:ascii="Arial" w:hAnsi="Arial"/>
      <w:color w:val="7F7F7F"/>
      <w:sz w:val="20"/>
    </w:rPr>
  </w:style>
  <w:style w:type="paragraph" w:styleId="List4">
    <w:name w:val="List 4"/>
    <w:basedOn w:val="Normal"/>
    <w:uiPriority w:val="99"/>
    <w:semiHidden/>
    <w:unhideWhenUsed/>
    <w:rsid w:val="000B5528"/>
    <w:pPr>
      <w:spacing w:before="0" w:after="180" w:line="240" w:lineRule="auto"/>
      <w:ind w:left="1132" w:hanging="283"/>
      <w:contextualSpacing/>
      <w:jc w:val="left"/>
    </w:pPr>
    <w:rPr>
      <w:rFonts w:ascii="Arial" w:hAnsi="Arial"/>
      <w:color w:val="7F7F7F"/>
      <w:sz w:val="20"/>
    </w:rPr>
  </w:style>
  <w:style w:type="paragraph" w:styleId="List5">
    <w:name w:val="List 5"/>
    <w:basedOn w:val="Normal"/>
    <w:uiPriority w:val="99"/>
    <w:semiHidden/>
    <w:unhideWhenUsed/>
    <w:rsid w:val="000B5528"/>
    <w:pPr>
      <w:spacing w:before="0" w:after="180" w:line="240" w:lineRule="auto"/>
      <w:ind w:left="1415" w:hanging="283"/>
      <w:contextualSpacing/>
      <w:jc w:val="left"/>
    </w:pPr>
    <w:rPr>
      <w:rFonts w:ascii="Arial" w:hAnsi="Arial"/>
      <w:color w:val="7F7F7F"/>
      <w:sz w:val="20"/>
    </w:rPr>
  </w:style>
  <w:style w:type="paragraph" w:styleId="ListBullet">
    <w:name w:val="List Bullet"/>
    <w:basedOn w:val="Normal"/>
    <w:uiPriority w:val="99"/>
    <w:semiHidden/>
    <w:unhideWhenUsed/>
    <w:rsid w:val="000B5528"/>
    <w:pPr>
      <w:numPr>
        <w:numId w:val="16"/>
      </w:numPr>
      <w:tabs>
        <w:tab w:val="clear" w:pos="360"/>
      </w:tabs>
      <w:spacing w:before="0" w:after="180" w:line="240" w:lineRule="auto"/>
      <w:contextualSpacing/>
      <w:jc w:val="left"/>
    </w:pPr>
    <w:rPr>
      <w:rFonts w:ascii="Arial" w:hAnsi="Arial"/>
      <w:color w:val="7F7F7F"/>
      <w:sz w:val="20"/>
    </w:rPr>
  </w:style>
  <w:style w:type="paragraph" w:styleId="ListBullet2">
    <w:name w:val="List Bullet 2"/>
    <w:basedOn w:val="Normal"/>
    <w:uiPriority w:val="99"/>
    <w:semiHidden/>
    <w:unhideWhenUsed/>
    <w:rsid w:val="000B5528"/>
    <w:pPr>
      <w:numPr>
        <w:numId w:val="17"/>
      </w:numPr>
      <w:tabs>
        <w:tab w:val="clear" w:pos="643"/>
      </w:tabs>
      <w:spacing w:before="0" w:after="180" w:line="240" w:lineRule="auto"/>
      <w:ind w:left="360"/>
      <w:contextualSpacing/>
      <w:jc w:val="left"/>
    </w:pPr>
    <w:rPr>
      <w:rFonts w:ascii="Arial" w:hAnsi="Arial"/>
      <w:color w:val="7F7F7F"/>
      <w:sz w:val="20"/>
    </w:rPr>
  </w:style>
  <w:style w:type="paragraph" w:styleId="ListBullet3">
    <w:name w:val="List Bullet 3"/>
    <w:basedOn w:val="Normal"/>
    <w:uiPriority w:val="99"/>
    <w:semiHidden/>
    <w:unhideWhenUsed/>
    <w:rsid w:val="000B5528"/>
    <w:pPr>
      <w:numPr>
        <w:numId w:val="18"/>
      </w:numPr>
      <w:tabs>
        <w:tab w:val="clear" w:pos="926"/>
      </w:tabs>
      <w:spacing w:before="0" w:after="180" w:line="240" w:lineRule="auto"/>
      <w:ind w:left="360"/>
      <w:contextualSpacing/>
      <w:jc w:val="left"/>
    </w:pPr>
    <w:rPr>
      <w:rFonts w:ascii="Arial" w:hAnsi="Arial"/>
      <w:color w:val="7F7F7F"/>
      <w:sz w:val="20"/>
    </w:rPr>
  </w:style>
  <w:style w:type="paragraph" w:styleId="ListBullet4">
    <w:name w:val="List Bullet 4"/>
    <w:basedOn w:val="Normal"/>
    <w:uiPriority w:val="99"/>
    <w:semiHidden/>
    <w:unhideWhenUsed/>
    <w:rsid w:val="000B5528"/>
    <w:pPr>
      <w:numPr>
        <w:numId w:val="19"/>
      </w:numPr>
      <w:spacing w:before="0" w:after="180" w:line="240" w:lineRule="auto"/>
      <w:contextualSpacing/>
      <w:jc w:val="left"/>
    </w:pPr>
    <w:rPr>
      <w:rFonts w:ascii="Arial" w:hAnsi="Arial"/>
      <w:color w:val="7F7F7F"/>
      <w:sz w:val="20"/>
    </w:rPr>
  </w:style>
  <w:style w:type="paragraph" w:styleId="ListBullet5">
    <w:name w:val="List Bullet 5"/>
    <w:basedOn w:val="Normal"/>
    <w:uiPriority w:val="99"/>
    <w:semiHidden/>
    <w:unhideWhenUsed/>
    <w:rsid w:val="000B5528"/>
    <w:pPr>
      <w:numPr>
        <w:numId w:val="20"/>
      </w:numPr>
      <w:tabs>
        <w:tab w:val="clear" w:pos="1492"/>
      </w:tabs>
      <w:spacing w:before="0" w:after="180" w:line="240" w:lineRule="auto"/>
      <w:ind w:left="360"/>
      <w:contextualSpacing/>
      <w:jc w:val="left"/>
    </w:pPr>
    <w:rPr>
      <w:rFonts w:ascii="Arial" w:hAnsi="Arial"/>
      <w:color w:val="7F7F7F"/>
      <w:sz w:val="20"/>
    </w:rPr>
  </w:style>
  <w:style w:type="paragraph" w:styleId="ListContinue">
    <w:name w:val="List Continue"/>
    <w:basedOn w:val="Normal"/>
    <w:uiPriority w:val="99"/>
    <w:semiHidden/>
    <w:unhideWhenUsed/>
    <w:rsid w:val="000B5528"/>
    <w:pPr>
      <w:spacing w:before="0" w:after="120" w:line="240" w:lineRule="auto"/>
      <w:ind w:left="283"/>
      <w:contextualSpacing/>
      <w:jc w:val="left"/>
    </w:pPr>
    <w:rPr>
      <w:rFonts w:ascii="Arial" w:hAnsi="Arial"/>
      <w:color w:val="7F7F7F"/>
      <w:sz w:val="20"/>
    </w:rPr>
  </w:style>
  <w:style w:type="paragraph" w:styleId="ListContinue2">
    <w:name w:val="List Continue 2"/>
    <w:basedOn w:val="Normal"/>
    <w:uiPriority w:val="99"/>
    <w:semiHidden/>
    <w:unhideWhenUsed/>
    <w:rsid w:val="000B5528"/>
    <w:pPr>
      <w:spacing w:before="0" w:after="120" w:line="240" w:lineRule="auto"/>
      <w:ind w:left="566"/>
      <w:contextualSpacing/>
      <w:jc w:val="left"/>
    </w:pPr>
    <w:rPr>
      <w:rFonts w:ascii="Arial" w:hAnsi="Arial"/>
      <w:color w:val="7F7F7F"/>
      <w:sz w:val="20"/>
    </w:rPr>
  </w:style>
  <w:style w:type="paragraph" w:styleId="ListContinue3">
    <w:name w:val="List Continue 3"/>
    <w:basedOn w:val="Normal"/>
    <w:uiPriority w:val="99"/>
    <w:semiHidden/>
    <w:unhideWhenUsed/>
    <w:rsid w:val="000B5528"/>
    <w:pPr>
      <w:spacing w:before="0" w:after="120" w:line="240" w:lineRule="auto"/>
      <w:ind w:left="849"/>
      <w:contextualSpacing/>
      <w:jc w:val="left"/>
    </w:pPr>
    <w:rPr>
      <w:rFonts w:ascii="Arial" w:hAnsi="Arial"/>
      <w:color w:val="7F7F7F"/>
      <w:sz w:val="20"/>
    </w:rPr>
  </w:style>
  <w:style w:type="paragraph" w:styleId="ListContinue4">
    <w:name w:val="List Continue 4"/>
    <w:basedOn w:val="Normal"/>
    <w:uiPriority w:val="99"/>
    <w:semiHidden/>
    <w:unhideWhenUsed/>
    <w:rsid w:val="000B5528"/>
    <w:pPr>
      <w:spacing w:before="0" w:after="120" w:line="240" w:lineRule="auto"/>
      <w:ind w:left="1132"/>
      <w:contextualSpacing/>
      <w:jc w:val="left"/>
    </w:pPr>
    <w:rPr>
      <w:rFonts w:ascii="Arial" w:hAnsi="Arial"/>
      <w:color w:val="7F7F7F"/>
      <w:sz w:val="20"/>
    </w:rPr>
  </w:style>
  <w:style w:type="paragraph" w:styleId="ListContinue5">
    <w:name w:val="List Continue 5"/>
    <w:basedOn w:val="Normal"/>
    <w:uiPriority w:val="99"/>
    <w:semiHidden/>
    <w:unhideWhenUsed/>
    <w:rsid w:val="000B5528"/>
    <w:pPr>
      <w:spacing w:before="0" w:after="120" w:line="240" w:lineRule="auto"/>
      <w:ind w:left="1415"/>
      <w:contextualSpacing/>
      <w:jc w:val="left"/>
    </w:pPr>
    <w:rPr>
      <w:rFonts w:ascii="Arial" w:hAnsi="Arial"/>
      <w:color w:val="7F7F7F"/>
      <w:sz w:val="20"/>
    </w:rPr>
  </w:style>
  <w:style w:type="paragraph" w:styleId="ListNumber">
    <w:name w:val="List Number"/>
    <w:basedOn w:val="Normal"/>
    <w:uiPriority w:val="99"/>
    <w:semiHidden/>
    <w:unhideWhenUsed/>
    <w:rsid w:val="000B5528"/>
    <w:pPr>
      <w:numPr>
        <w:numId w:val="21"/>
      </w:numPr>
      <w:tabs>
        <w:tab w:val="clear" w:pos="360"/>
      </w:tabs>
      <w:spacing w:before="0" w:after="180" w:line="240" w:lineRule="auto"/>
      <w:ind w:left="720"/>
      <w:contextualSpacing/>
      <w:jc w:val="left"/>
    </w:pPr>
    <w:rPr>
      <w:rFonts w:ascii="Arial" w:hAnsi="Arial"/>
      <w:color w:val="7F7F7F"/>
      <w:sz w:val="20"/>
    </w:rPr>
  </w:style>
  <w:style w:type="paragraph" w:styleId="ListNumber2">
    <w:name w:val="List Number 2"/>
    <w:basedOn w:val="Normal"/>
    <w:uiPriority w:val="99"/>
    <w:semiHidden/>
    <w:unhideWhenUsed/>
    <w:rsid w:val="000B5528"/>
    <w:pPr>
      <w:numPr>
        <w:numId w:val="22"/>
      </w:numPr>
      <w:tabs>
        <w:tab w:val="clear" w:pos="643"/>
      </w:tabs>
      <w:spacing w:before="0" w:after="180" w:line="240" w:lineRule="auto"/>
      <w:ind w:left="1267"/>
      <w:contextualSpacing/>
      <w:jc w:val="left"/>
    </w:pPr>
    <w:rPr>
      <w:rFonts w:ascii="Arial" w:hAnsi="Arial"/>
      <w:color w:val="7F7F7F"/>
      <w:sz w:val="20"/>
    </w:rPr>
  </w:style>
  <w:style w:type="paragraph" w:styleId="ListNumber3">
    <w:name w:val="List Number 3"/>
    <w:basedOn w:val="Normal"/>
    <w:uiPriority w:val="99"/>
    <w:semiHidden/>
    <w:unhideWhenUsed/>
    <w:rsid w:val="000B5528"/>
    <w:pPr>
      <w:numPr>
        <w:numId w:val="23"/>
      </w:numPr>
      <w:tabs>
        <w:tab w:val="clear" w:pos="926"/>
      </w:tabs>
      <w:spacing w:before="0" w:after="180" w:line="240" w:lineRule="auto"/>
      <w:ind w:left="1267"/>
      <w:contextualSpacing/>
      <w:jc w:val="left"/>
    </w:pPr>
    <w:rPr>
      <w:rFonts w:ascii="Arial" w:hAnsi="Arial"/>
      <w:color w:val="7F7F7F"/>
      <w:sz w:val="20"/>
    </w:rPr>
  </w:style>
  <w:style w:type="paragraph" w:styleId="ListNumber4">
    <w:name w:val="List Number 4"/>
    <w:basedOn w:val="Normal"/>
    <w:uiPriority w:val="99"/>
    <w:semiHidden/>
    <w:unhideWhenUsed/>
    <w:rsid w:val="000B5528"/>
    <w:pPr>
      <w:numPr>
        <w:numId w:val="24"/>
      </w:numPr>
      <w:tabs>
        <w:tab w:val="clear" w:pos="1209"/>
      </w:tabs>
      <w:spacing w:before="0" w:after="180" w:line="240" w:lineRule="auto"/>
      <w:ind w:left="1267"/>
      <w:contextualSpacing/>
      <w:jc w:val="left"/>
    </w:pPr>
    <w:rPr>
      <w:rFonts w:ascii="Arial" w:hAnsi="Arial"/>
      <w:color w:val="7F7F7F"/>
      <w:sz w:val="20"/>
    </w:rPr>
  </w:style>
  <w:style w:type="paragraph" w:styleId="ListNumber5">
    <w:name w:val="List Number 5"/>
    <w:basedOn w:val="Normal"/>
    <w:uiPriority w:val="99"/>
    <w:semiHidden/>
    <w:unhideWhenUsed/>
    <w:rsid w:val="000B5528"/>
    <w:pPr>
      <w:numPr>
        <w:numId w:val="25"/>
      </w:numPr>
      <w:tabs>
        <w:tab w:val="clear" w:pos="1492"/>
      </w:tabs>
      <w:spacing w:before="0" w:after="180" w:line="240" w:lineRule="auto"/>
      <w:ind w:left="360"/>
      <w:contextualSpacing/>
      <w:jc w:val="left"/>
    </w:pPr>
    <w:rPr>
      <w:rFonts w:ascii="Arial" w:hAnsi="Arial"/>
      <w:color w:val="7F7F7F"/>
      <w:sz w:val="20"/>
    </w:rPr>
  </w:style>
  <w:style w:type="paragraph" w:customStyle="1" w:styleId="MacroText1">
    <w:name w:val="Macro Text1"/>
    <w:next w:val="MacroText"/>
    <w:link w:val="MacroTextChar"/>
    <w:uiPriority w:val="99"/>
    <w:semiHidden/>
    <w:unhideWhenUsed/>
    <w:rsid w:val="000B552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sz w:val="20"/>
      <w:szCs w:val="20"/>
    </w:rPr>
  </w:style>
  <w:style w:type="character" w:customStyle="1" w:styleId="MacroTextChar">
    <w:name w:val="Macro Text Char"/>
    <w:basedOn w:val="DefaultParagraphFont"/>
    <w:link w:val="MacroText1"/>
    <w:uiPriority w:val="99"/>
    <w:semiHidden/>
    <w:rsid w:val="000B5528"/>
    <w:rPr>
      <w:rFonts w:ascii="Consolas" w:hAnsi="Consolas"/>
      <w:color w:val="7F7F7F"/>
      <w:sz w:val="20"/>
      <w:szCs w:val="20"/>
    </w:rPr>
  </w:style>
  <w:style w:type="paragraph" w:customStyle="1" w:styleId="MessageHeader1">
    <w:name w:val="Message Header1"/>
    <w:basedOn w:val="Normal"/>
    <w:next w:val="MessageHeader"/>
    <w:link w:val="MessageHeaderChar"/>
    <w:uiPriority w:val="99"/>
    <w:semiHidden/>
    <w:unhideWhenUsed/>
    <w:rsid w:val="000B552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Tw Cen MT" w:eastAsia="HGPGothicE" w:hAnsi="Tw Cen MT" w:cs="Arial"/>
      <w:color w:val="7F7F7F"/>
      <w:sz w:val="24"/>
      <w:szCs w:val="24"/>
    </w:rPr>
  </w:style>
  <w:style w:type="character" w:customStyle="1" w:styleId="MessageHeaderChar">
    <w:name w:val="Message Header Char"/>
    <w:basedOn w:val="DefaultParagraphFont"/>
    <w:link w:val="MessageHeader1"/>
    <w:uiPriority w:val="99"/>
    <w:semiHidden/>
    <w:rsid w:val="000B5528"/>
    <w:rPr>
      <w:rFonts w:ascii="Tw Cen MT" w:eastAsia="HGPGothicE" w:hAnsi="Tw Cen MT" w:cs="Arial"/>
      <w:color w:val="7F7F7F"/>
      <w:sz w:val="24"/>
      <w:szCs w:val="24"/>
      <w:shd w:val="pct20" w:color="auto" w:fill="auto"/>
    </w:rPr>
  </w:style>
  <w:style w:type="paragraph" w:styleId="NormalWeb">
    <w:name w:val="Normal (Web)"/>
    <w:basedOn w:val="Normal"/>
    <w:uiPriority w:val="99"/>
    <w:unhideWhenUsed/>
    <w:rsid w:val="000B5528"/>
    <w:pPr>
      <w:spacing w:before="0" w:after="180" w:line="240" w:lineRule="auto"/>
      <w:jc w:val="left"/>
    </w:pPr>
    <w:rPr>
      <w:rFonts w:ascii="Times New Roman" w:hAnsi="Times New Roman" w:cs="Times New Roman"/>
      <w:color w:val="7F7F7F"/>
      <w:sz w:val="24"/>
      <w:szCs w:val="24"/>
    </w:rPr>
  </w:style>
  <w:style w:type="paragraph" w:styleId="NormalIndent">
    <w:name w:val="Normal Indent"/>
    <w:basedOn w:val="Normal"/>
    <w:uiPriority w:val="99"/>
    <w:semiHidden/>
    <w:unhideWhenUsed/>
    <w:rsid w:val="000B5528"/>
    <w:pPr>
      <w:spacing w:before="0" w:after="180" w:line="240" w:lineRule="auto"/>
      <w:ind w:left="720"/>
      <w:jc w:val="left"/>
    </w:pPr>
    <w:rPr>
      <w:rFonts w:ascii="Arial" w:hAnsi="Arial"/>
      <w:color w:val="7F7F7F"/>
      <w:sz w:val="20"/>
    </w:rPr>
  </w:style>
  <w:style w:type="paragraph" w:styleId="NoteHeading">
    <w:name w:val="Note Heading"/>
    <w:basedOn w:val="Normal"/>
    <w:next w:val="Normal"/>
    <w:link w:val="NoteHeadingChar"/>
    <w:uiPriority w:val="99"/>
    <w:semiHidden/>
    <w:unhideWhenUsed/>
    <w:rsid w:val="000B5528"/>
    <w:pPr>
      <w:spacing w:before="0" w:after="0" w:line="240" w:lineRule="auto"/>
      <w:jc w:val="left"/>
    </w:pPr>
    <w:rPr>
      <w:rFonts w:ascii="Arial" w:hAnsi="Arial"/>
      <w:color w:val="7F7F7F"/>
      <w:sz w:val="20"/>
    </w:rPr>
  </w:style>
  <w:style w:type="character" w:customStyle="1" w:styleId="NoteHeadingChar">
    <w:name w:val="Note Heading Char"/>
    <w:basedOn w:val="DefaultParagraphFont"/>
    <w:link w:val="NoteHeading"/>
    <w:uiPriority w:val="99"/>
    <w:semiHidden/>
    <w:rsid w:val="000B5528"/>
    <w:rPr>
      <w:rFonts w:ascii="Arial" w:hAnsi="Arial"/>
      <w:color w:val="7F7F7F"/>
      <w:sz w:val="20"/>
    </w:rPr>
  </w:style>
  <w:style w:type="paragraph" w:styleId="PlainText">
    <w:name w:val="Plain Text"/>
    <w:basedOn w:val="Normal"/>
    <w:link w:val="PlainTextChar"/>
    <w:uiPriority w:val="99"/>
    <w:semiHidden/>
    <w:unhideWhenUsed/>
    <w:rsid w:val="000B5528"/>
    <w:pPr>
      <w:spacing w:before="0" w:after="0" w:line="240" w:lineRule="auto"/>
      <w:jc w:val="left"/>
    </w:pPr>
    <w:rPr>
      <w:rFonts w:ascii="Consolas" w:hAnsi="Consolas"/>
      <w:color w:val="7F7F7F"/>
      <w:sz w:val="21"/>
      <w:szCs w:val="21"/>
    </w:rPr>
  </w:style>
  <w:style w:type="character" w:customStyle="1" w:styleId="PlainTextChar">
    <w:name w:val="Plain Text Char"/>
    <w:basedOn w:val="DefaultParagraphFont"/>
    <w:link w:val="PlainText"/>
    <w:uiPriority w:val="99"/>
    <w:semiHidden/>
    <w:rsid w:val="000B5528"/>
    <w:rPr>
      <w:rFonts w:ascii="Consolas" w:hAnsi="Consolas"/>
      <w:color w:val="7F7F7F"/>
      <w:sz w:val="21"/>
      <w:szCs w:val="21"/>
    </w:rPr>
  </w:style>
  <w:style w:type="paragraph" w:styleId="Salutation">
    <w:name w:val="Salutation"/>
    <w:basedOn w:val="Normal"/>
    <w:next w:val="Normal"/>
    <w:link w:val="SalutationChar"/>
    <w:uiPriority w:val="99"/>
    <w:semiHidden/>
    <w:unhideWhenUsed/>
    <w:rsid w:val="000B5528"/>
    <w:pPr>
      <w:spacing w:before="0" w:after="180" w:line="240" w:lineRule="auto"/>
      <w:jc w:val="left"/>
    </w:pPr>
    <w:rPr>
      <w:rFonts w:ascii="Arial" w:hAnsi="Arial"/>
      <w:color w:val="7F7F7F"/>
      <w:sz w:val="20"/>
    </w:rPr>
  </w:style>
  <w:style w:type="character" w:customStyle="1" w:styleId="SalutationChar">
    <w:name w:val="Salutation Char"/>
    <w:basedOn w:val="DefaultParagraphFont"/>
    <w:link w:val="Salutation"/>
    <w:uiPriority w:val="99"/>
    <w:semiHidden/>
    <w:rsid w:val="000B5528"/>
    <w:rPr>
      <w:rFonts w:ascii="Arial" w:hAnsi="Arial"/>
      <w:color w:val="7F7F7F"/>
      <w:sz w:val="20"/>
    </w:rPr>
  </w:style>
  <w:style w:type="paragraph" w:styleId="Signature">
    <w:name w:val="Signature"/>
    <w:basedOn w:val="Normal"/>
    <w:link w:val="SignatureChar"/>
    <w:uiPriority w:val="99"/>
    <w:semiHidden/>
    <w:unhideWhenUsed/>
    <w:rsid w:val="000B5528"/>
    <w:pPr>
      <w:spacing w:before="0" w:after="0" w:line="240" w:lineRule="auto"/>
      <w:ind w:left="4252"/>
      <w:jc w:val="left"/>
    </w:pPr>
    <w:rPr>
      <w:rFonts w:ascii="Arial" w:hAnsi="Arial"/>
      <w:color w:val="7F7F7F"/>
      <w:sz w:val="20"/>
    </w:rPr>
  </w:style>
  <w:style w:type="character" w:customStyle="1" w:styleId="SignatureChar">
    <w:name w:val="Signature Char"/>
    <w:basedOn w:val="DefaultParagraphFont"/>
    <w:link w:val="Signature"/>
    <w:uiPriority w:val="99"/>
    <w:semiHidden/>
    <w:rsid w:val="000B5528"/>
    <w:rPr>
      <w:rFonts w:ascii="Arial" w:hAnsi="Arial"/>
      <w:color w:val="7F7F7F"/>
      <w:sz w:val="20"/>
    </w:rPr>
  </w:style>
  <w:style w:type="paragraph" w:styleId="TableofAuthorities">
    <w:name w:val="table of authorities"/>
    <w:basedOn w:val="Normal"/>
    <w:next w:val="Normal"/>
    <w:uiPriority w:val="99"/>
    <w:semiHidden/>
    <w:unhideWhenUsed/>
    <w:rsid w:val="000B5528"/>
    <w:pPr>
      <w:spacing w:before="0" w:after="0" w:line="240" w:lineRule="auto"/>
      <w:ind w:left="200" w:hanging="200"/>
      <w:jc w:val="left"/>
    </w:pPr>
    <w:rPr>
      <w:rFonts w:ascii="Arial" w:hAnsi="Arial"/>
      <w:color w:val="7F7F7F"/>
      <w:sz w:val="20"/>
    </w:rPr>
  </w:style>
  <w:style w:type="paragraph" w:customStyle="1" w:styleId="TOAHeading1">
    <w:name w:val="TOA Heading1"/>
    <w:basedOn w:val="Normal"/>
    <w:next w:val="Normal"/>
    <w:uiPriority w:val="99"/>
    <w:semiHidden/>
    <w:unhideWhenUsed/>
    <w:rsid w:val="000B5528"/>
    <w:pPr>
      <w:spacing w:before="120" w:after="180" w:line="240" w:lineRule="auto"/>
      <w:jc w:val="left"/>
    </w:pPr>
    <w:rPr>
      <w:rFonts w:ascii="Tw Cen MT" w:eastAsia="HGPGothicE" w:hAnsi="Tw Cen MT" w:cs="Arial"/>
      <w:b/>
      <w:bCs/>
      <w:color w:val="7F7F7F"/>
      <w:sz w:val="24"/>
      <w:szCs w:val="24"/>
    </w:rPr>
  </w:style>
  <w:style w:type="character" w:customStyle="1" w:styleId="CommentTextChar1">
    <w:name w:val="Comment Text Char1"/>
    <w:basedOn w:val="DefaultParagraphFont"/>
    <w:uiPriority w:val="99"/>
    <w:rsid w:val="000B5528"/>
    <w:rPr>
      <w:rFonts w:ascii="Arial" w:hAnsi="Arial"/>
      <w:color w:val="7F7F7F"/>
      <w:sz w:val="20"/>
      <w:szCs w:val="20"/>
    </w:rPr>
  </w:style>
  <w:style w:type="paragraph" w:customStyle="1" w:styleId="paragraph">
    <w:name w:val="paragraph"/>
    <w:aliases w:val="a"/>
    <w:basedOn w:val="Normal"/>
    <w:link w:val="paragraphChar"/>
    <w:rsid w:val="000B5528"/>
    <w:pPr>
      <w:spacing w:before="100" w:beforeAutospacing="1" w:after="100" w:afterAutospacing="1" w:line="240" w:lineRule="auto"/>
      <w:jc w:val="left"/>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B5528"/>
  </w:style>
  <w:style w:type="paragraph" w:customStyle="1" w:styleId="outlineelement">
    <w:name w:val="outlineelement"/>
    <w:basedOn w:val="Normal"/>
    <w:rsid w:val="000B5528"/>
    <w:pPr>
      <w:spacing w:before="100" w:beforeAutospacing="1" w:after="100" w:afterAutospacing="1" w:line="240" w:lineRule="auto"/>
      <w:jc w:val="left"/>
    </w:pPr>
    <w:rPr>
      <w:rFonts w:ascii="Times New Roman" w:eastAsia="Times New Roman" w:hAnsi="Times New Roman" w:cs="Times New Roman"/>
      <w:color w:val="auto"/>
      <w:sz w:val="24"/>
      <w:szCs w:val="24"/>
      <w:lang w:eastAsia="en-AU"/>
    </w:rPr>
  </w:style>
  <w:style w:type="paragraph" w:customStyle="1" w:styleId="Paragraphbeforeabulletlist">
    <w:name w:val="Paragraph before a bullet list"/>
    <w:basedOn w:val="Normal"/>
    <w:link w:val="ParagraphbeforeabulletlistChar"/>
    <w:autoRedefine/>
    <w:locked/>
    <w:rsid w:val="000B5528"/>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0B5528"/>
    <w:rPr>
      <w:rFonts w:ascii="Calibri Light" w:hAnsi="Calibri Light" w:cs="Times New Roman (Body CS)"/>
      <w:noProof/>
      <w:sz w:val="26"/>
      <w:szCs w:val="44"/>
    </w:rPr>
  </w:style>
  <w:style w:type="table" w:customStyle="1" w:styleId="Glossary">
    <w:name w:val="Glossary"/>
    <w:basedOn w:val="TableNormal"/>
    <w:uiPriority w:val="99"/>
    <w:rsid w:val="000B5528"/>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Tableheaderrow">
    <w:name w:val="Table header row"/>
    <w:link w:val="TableheaderrowChar"/>
    <w:qFormat/>
    <w:rsid w:val="000B5528"/>
    <w:pPr>
      <w:spacing w:after="0"/>
    </w:pPr>
    <w:rPr>
      <w:rFonts w:ascii="Calibri Light" w:eastAsia="Rockwell" w:hAnsi="Calibri Light" w:cs="Arial"/>
      <w:b/>
      <w:bCs/>
      <w:color w:val="4D4D4D"/>
    </w:rPr>
  </w:style>
  <w:style w:type="character" w:customStyle="1" w:styleId="TableheaderrowChar">
    <w:name w:val="Table header row Char"/>
    <w:basedOn w:val="DefaultParagraphFont"/>
    <w:link w:val="Tableheaderrow"/>
    <w:rsid w:val="000B5528"/>
    <w:rPr>
      <w:rFonts w:ascii="Calibri Light" w:eastAsia="Rockwell" w:hAnsi="Calibri Light" w:cs="Arial"/>
      <w:b/>
      <w:bCs/>
      <w:color w:val="4D4D4D"/>
    </w:rPr>
  </w:style>
  <w:style w:type="table" w:customStyle="1" w:styleId="ListTable3-Accent212">
    <w:name w:val="List Table 3 - Accent 212"/>
    <w:basedOn w:val="TableNormal"/>
    <w:next w:val="ListTable3-Accent2"/>
    <w:uiPriority w:val="48"/>
    <w:rsid w:val="000B5528"/>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0B5528"/>
    <w:pPr>
      <w:spacing w:before="180" w:after="180" w:line="276" w:lineRule="auto"/>
      <w:jc w:val="both"/>
    </w:pPr>
    <w:rPr>
      <w:rFonts w:ascii="Calibri Light" w:hAnsi="Calibri Light" w:cs="Times New Roman (Body CS)"/>
      <w:color w:val="4D4D4D"/>
      <w:sz w:val="26"/>
      <w:szCs w:val="44"/>
    </w:rPr>
  </w:style>
  <w:style w:type="character" w:customStyle="1" w:styleId="ParapraphChar">
    <w:name w:val="Parapraph Char"/>
    <w:basedOn w:val="DefaultParagraphFont"/>
    <w:link w:val="Parapraph"/>
    <w:rsid w:val="000B5528"/>
    <w:rPr>
      <w:rFonts w:ascii="Calibri Light" w:hAnsi="Calibri Light" w:cs="Times New Roman (Body CS)"/>
      <w:color w:val="4D4D4D"/>
      <w:sz w:val="26"/>
      <w:szCs w:val="44"/>
    </w:rPr>
  </w:style>
  <w:style w:type="paragraph" w:customStyle="1" w:styleId="Heading">
    <w:name w:val="Heading"/>
    <w:link w:val="HeadingChar"/>
    <w:autoRedefine/>
    <w:locked/>
    <w:rsid w:val="000B5528"/>
    <w:pPr>
      <w:spacing w:after="720"/>
      <w:outlineLvl w:val="0"/>
    </w:pPr>
    <w:rPr>
      <w:rFonts w:ascii="Rockwell" w:hAnsi="Rockwell" w:cs="Times New Roman (Body CS)"/>
      <w:color w:val="FFFFFF"/>
      <w:spacing w:val="-6"/>
      <w:sz w:val="56"/>
      <w:szCs w:val="72"/>
    </w:rPr>
  </w:style>
  <w:style w:type="character" w:customStyle="1" w:styleId="HeadingChar">
    <w:name w:val="Heading Char"/>
    <w:basedOn w:val="02VIRTHeading2Char"/>
    <w:link w:val="Heading"/>
    <w:rsid w:val="000B5528"/>
    <w:rPr>
      <w:rFonts w:ascii="Rockwell" w:hAnsi="Rockwell" w:cs="Times New Roman (Body CS)"/>
      <w:color w:val="FFFFFF"/>
      <w:spacing w:val="-6"/>
      <w:sz w:val="56"/>
      <w:szCs w:val="72"/>
    </w:rPr>
  </w:style>
  <w:style w:type="paragraph" w:customStyle="1" w:styleId="Numberedparagraphs">
    <w:name w:val="Numbered paragraphs"/>
    <w:link w:val="NumberedparagraphsChar"/>
    <w:locked/>
    <w:rsid w:val="000B5528"/>
    <w:pPr>
      <w:numPr>
        <w:numId w:val="27"/>
      </w:numPr>
      <w:spacing w:before="180" w:after="180" w:line="276" w:lineRule="auto"/>
    </w:pPr>
    <w:rPr>
      <w:rFonts w:ascii="Calibri Light" w:hAnsi="Calibri Light" w:cs="Times New Roman (Body CS)"/>
      <w:color w:val="4D4D4D"/>
      <w:sz w:val="26"/>
      <w:szCs w:val="44"/>
    </w:rPr>
  </w:style>
  <w:style w:type="character" w:customStyle="1" w:styleId="NumberedparagraphsChar">
    <w:name w:val="Numbered paragraphs Char"/>
    <w:basedOn w:val="DefaultParagraphFont"/>
    <w:link w:val="Numberedparagraphs"/>
    <w:rsid w:val="000B5528"/>
    <w:rPr>
      <w:rFonts w:ascii="Calibri Light" w:hAnsi="Calibri Light" w:cs="Times New Roman (Body CS)"/>
      <w:color w:val="4D4D4D"/>
      <w:sz w:val="26"/>
      <w:szCs w:val="44"/>
    </w:rPr>
  </w:style>
  <w:style w:type="paragraph" w:customStyle="1" w:styleId="DPCnumberdigit">
    <w:name w:val="DPC number digit"/>
    <w:basedOn w:val="Normal"/>
    <w:uiPriority w:val="4"/>
    <w:rsid w:val="000B5528"/>
    <w:pPr>
      <w:numPr>
        <w:numId w:val="28"/>
      </w:numPr>
      <w:tabs>
        <w:tab w:val="clear" w:pos="397"/>
      </w:tabs>
      <w:spacing w:before="0" w:after="160" w:line="300" w:lineRule="atLeast"/>
      <w:ind w:left="720" w:hanging="360"/>
      <w:jc w:val="left"/>
    </w:pPr>
    <w:rPr>
      <w:rFonts w:ascii="Rockwell" w:eastAsia="Times" w:hAnsi="Rockwell" w:cs="Arial"/>
      <w:color w:val="000000"/>
      <w:sz w:val="22"/>
    </w:rPr>
  </w:style>
  <w:style w:type="paragraph" w:customStyle="1" w:styleId="DPCnumberdigitindent">
    <w:name w:val="DPC number digit indent"/>
    <w:basedOn w:val="Normal"/>
    <w:uiPriority w:val="4"/>
    <w:qFormat/>
    <w:rsid w:val="000B5528"/>
    <w:pPr>
      <w:numPr>
        <w:ilvl w:val="1"/>
        <w:numId w:val="28"/>
      </w:numPr>
      <w:tabs>
        <w:tab w:val="clear" w:pos="794"/>
      </w:tabs>
      <w:spacing w:before="0" w:after="160" w:line="300" w:lineRule="atLeast"/>
      <w:ind w:left="1440" w:hanging="360"/>
      <w:jc w:val="left"/>
    </w:pPr>
    <w:rPr>
      <w:rFonts w:ascii="Rockwell" w:eastAsia="Times" w:hAnsi="Rockwell" w:cs="Arial"/>
      <w:color w:val="000000"/>
      <w:sz w:val="22"/>
    </w:rPr>
  </w:style>
  <w:style w:type="paragraph" w:customStyle="1" w:styleId="DPCtabletext">
    <w:name w:val="DPC table text"/>
    <w:uiPriority w:val="3"/>
    <w:qFormat/>
    <w:rsid w:val="000B5528"/>
    <w:pPr>
      <w:spacing w:before="60" w:after="40"/>
    </w:pPr>
    <w:rPr>
      <w:rFonts w:eastAsia="Times New Roman" w:cs="Times New Roman"/>
      <w:color w:val="000000"/>
      <w:sz w:val="20"/>
      <w:szCs w:val="20"/>
    </w:rPr>
  </w:style>
  <w:style w:type="numbering" w:customStyle="1" w:styleId="ZZNumbersdigit">
    <w:name w:val="ZZ Numbers digit"/>
    <w:basedOn w:val="NoList"/>
    <w:uiPriority w:val="99"/>
    <w:rsid w:val="000B5528"/>
    <w:pPr>
      <w:numPr>
        <w:numId w:val="28"/>
      </w:numPr>
    </w:pPr>
  </w:style>
  <w:style w:type="paragraph" w:customStyle="1" w:styleId="DPCbulletafternumbers1">
    <w:name w:val="DPC bullet after numbers 1"/>
    <w:basedOn w:val="Normal"/>
    <w:rsid w:val="000B5528"/>
    <w:pPr>
      <w:numPr>
        <w:ilvl w:val="2"/>
        <w:numId w:val="28"/>
      </w:numPr>
      <w:spacing w:before="0" w:after="160" w:line="300" w:lineRule="atLeast"/>
      <w:ind w:left="2160" w:hanging="360"/>
      <w:jc w:val="left"/>
    </w:pPr>
    <w:rPr>
      <w:rFonts w:ascii="Rockwell" w:eastAsia="Times" w:hAnsi="Rockwell" w:cs="Arial"/>
      <w:color w:val="000000"/>
      <w:sz w:val="22"/>
    </w:rPr>
  </w:style>
  <w:style w:type="paragraph" w:customStyle="1" w:styleId="DPCbulletafternumbers2">
    <w:name w:val="DPC bullet after numbers 2"/>
    <w:basedOn w:val="Normal"/>
    <w:rsid w:val="000B5528"/>
    <w:pPr>
      <w:numPr>
        <w:ilvl w:val="3"/>
        <w:numId w:val="28"/>
      </w:numPr>
      <w:spacing w:before="0" w:after="160" w:line="300" w:lineRule="atLeast"/>
      <w:ind w:left="2880" w:hanging="360"/>
      <w:jc w:val="left"/>
    </w:pPr>
    <w:rPr>
      <w:rFonts w:ascii="Rockwell" w:eastAsia="Times" w:hAnsi="Rockwell" w:cs="Arial"/>
      <w:color w:val="000000"/>
      <w:sz w:val="22"/>
    </w:rPr>
  </w:style>
  <w:style w:type="character" w:customStyle="1" w:styleId="frag-no">
    <w:name w:val="frag-no"/>
    <w:basedOn w:val="DefaultParagraphFont"/>
    <w:rsid w:val="000B5528"/>
  </w:style>
  <w:style w:type="paragraph" w:customStyle="1" w:styleId="TOClevel1">
    <w:name w:val="TOC level 1"/>
    <w:basedOn w:val="TOC1"/>
    <w:link w:val="TOClevel1Char"/>
    <w:qFormat/>
    <w:rsid w:val="000B5528"/>
    <w:pPr>
      <w:tabs>
        <w:tab w:val="clear" w:pos="9622"/>
        <w:tab w:val="left" w:pos="440"/>
        <w:tab w:val="right" w:leader="dot" w:pos="8494"/>
      </w:tabs>
      <w:spacing w:before="0" w:after="100" w:line="259" w:lineRule="auto"/>
    </w:pPr>
  </w:style>
  <w:style w:type="character" w:customStyle="1" w:styleId="TOC1Char">
    <w:name w:val="TOC 1 Char"/>
    <w:aliases w:val="TOC 1 VIRT Char"/>
    <w:basedOn w:val="DefaultParagraphFont"/>
    <w:link w:val="TOC1"/>
    <w:uiPriority w:val="39"/>
    <w:rsid w:val="00DD3A2D"/>
    <w:rPr>
      <w:rFonts w:ascii="Calibri Light" w:hAnsi="Calibri Light"/>
      <w:b/>
      <w:bCs/>
      <w:sz w:val="26"/>
      <w:szCs w:val="20"/>
    </w:rPr>
  </w:style>
  <w:style w:type="character" w:customStyle="1" w:styleId="TOClevel1Char">
    <w:name w:val="TOC level 1 Char"/>
    <w:basedOn w:val="TOC1Char"/>
    <w:link w:val="TOClevel1"/>
    <w:rsid w:val="000B5528"/>
    <w:rPr>
      <w:rFonts w:ascii="Calibri Light" w:hAnsi="Calibri Light"/>
      <w:b/>
      <w:bCs/>
      <w:color w:val="4D4D4D" w:themeColor="accent6"/>
      <w:sz w:val="26"/>
      <w:szCs w:val="20"/>
    </w:rPr>
  </w:style>
  <w:style w:type="paragraph" w:customStyle="1" w:styleId="Romanbullets">
    <w:name w:val="Roman bullets"/>
    <w:basedOn w:val="VIRTBulletpoints"/>
    <w:link w:val="RomanbulletsChar"/>
    <w:qFormat/>
    <w:rsid w:val="000B5528"/>
    <w:pPr>
      <w:numPr>
        <w:numId w:val="0"/>
      </w:numPr>
      <w:spacing w:before="120" w:after="120"/>
      <w:ind w:left="360" w:hanging="360"/>
    </w:pPr>
    <w:rPr>
      <w:color w:val="000000"/>
    </w:rPr>
  </w:style>
  <w:style w:type="character" w:customStyle="1" w:styleId="RomanbulletsChar">
    <w:name w:val="Roman bullets Char"/>
    <w:basedOn w:val="VIRTBulletpointsChar"/>
    <w:link w:val="Romanbullets"/>
    <w:rsid w:val="000B5528"/>
    <w:rPr>
      <w:rFonts w:ascii="Calibri Light" w:hAnsi="Calibri Light" w:cs="Arial"/>
      <w:noProof/>
      <w:color w:val="000000"/>
      <w:sz w:val="26"/>
      <w:szCs w:val="20"/>
      <w:lang w:val="en-US"/>
    </w:rPr>
  </w:style>
  <w:style w:type="table" w:customStyle="1" w:styleId="ListTable3-Accent231">
    <w:name w:val="List Table 3 - Accent 23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apple-converted-space">
    <w:name w:val="apple-converted-space"/>
    <w:basedOn w:val="DefaultParagraphFont"/>
    <w:rsid w:val="000B5528"/>
  </w:style>
  <w:style w:type="character" w:customStyle="1" w:styleId="Hyperlink1">
    <w:name w:val="Hyperlink1"/>
    <w:basedOn w:val="DefaultParagraphFont"/>
    <w:uiPriority w:val="99"/>
    <w:unhideWhenUsed/>
    <w:locked/>
    <w:rsid w:val="000B5528"/>
    <w:rPr>
      <w:color w:val="5F5F5F"/>
      <w:u w:val="single"/>
    </w:rPr>
  </w:style>
  <w:style w:type="table" w:customStyle="1" w:styleId="ListTable3-Accent241">
    <w:name w:val="List Table 3 - Accent 24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0B5528"/>
    <w:rPr>
      <w:rFonts w:cs="Times New Roman (Body CS)"/>
      <w:color w:val="0E7650"/>
      <w:spacing w:val="-6"/>
      <w:sz w:val="26"/>
    </w:rPr>
  </w:style>
  <w:style w:type="character" w:customStyle="1" w:styleId="QuoteinBoxChar">
    <w:name w:val="Quote in Box Char"/>
    <w:basedOn w:val="07VIRTBreakouttextChar"/>
    <w:link w:val="QuoteinBox"/>
    <w:rsid w:val="000B5528"/>
    <w:rPr>
      <w:rFonts w:ascii="Calibri Light" w:hAnsi="Calibri Light" w:cs="Times New Roman (Body CS)"/>
      <w:i w:val="0"/>
      <w:color w:val="0E7650"/>
      <w:spacing w:val="-6"/>
      <w:sz w:val="26"/>
    </w:rPr>
  </w:style>
  <w:style w:type="table" w:customStyle="1" w:styleId="ListTable3-Accent2121">
    <w:name w:val="List Table 3 - Accent 2121"/>
    <w:basedOn w:val="TableNormal"/>
    <w:next w:val="ListTable3-Accent2"/>
    <w:uiPriority w:val="48"/>
    <w:rsid w:val="000B5528"/>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B55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B5528"/>
    <w:pPr>
      <w:numPr>
        <w:numId w:val="19"/>
      </w:numPr>
    </w:pPr>
  </w:style>
  <w:style w:type="table" w:customStyle="1" w:styleId="Glossary1">
    <w:name w:val="Glossary1"/>
    <w:basedOn w:val="TableNormal"/>
    <w:uiPriority w:val="99"/>
    <w:rsid w:val="000B5528"/>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1">
    <w:name w:val="List Table 3 - Accent 2211"/>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1">
    <w:name w:val="List Table 3 - Accent 231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1">
    <w:name w:val="List Table 3 - Accent 2411"/>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B5528"/>
    <w:pPr>
      <w:spacing w:before="180" w:after="60"/>
      <w:ind w:left="907" w:hanging="907"/>
    </w:pPr>
    <w:rPr>
      <w:rFonts w:cs="Arial"/>
      <w:color w:val="148A5D"/>
    </w:rPr>
  </w:style>
  <w:style w:type="character" w:customStyle="1" w:styleId="InstrumenttableheadingChar">
    <w:name w:val="Instrument table heading Char"/>
    <w:basedOn w:val="TableheadingChar"/>
    <w:link w:val="Instrumenttableheading"/>
    <w:rsid w:val="000B5528"/>
    <w:rPr>
      <w:rFonts w:ascii="Calibri Light" w:hAnsi="Calibri Light" w:cs="Arial"/>
      <w:b/>
      <w:bCs/>
      <w:color w:val="148A5D"/>
      <w:sz w:val="24"/>
    </w:rPr>
  </w:style>
  <w:style w:type="paragraph" w:customStyle="1" w:styleId="12BoxText">
    <w:name w:val="12. Box Text"/>
    <w:basedOn w:val="Tabletext"/>
    <w:link w:val="12BoxTextChar"/>
    <w:qFormat/>
    <w:rsid w:val="000B5528"/>
    <w:pPr>
      <w:spacing w:before="120"/>
    </w:pPr>
  </w:style>
  <w:style w:type="paragraph" w:customStyle="1" w:styleId="13Boxbullets">
    <w:name w:val="13. Box bullets"/>
    <w:basedOn w:val="12BoxText"/>
    <w:link w:val="13BoxbulletsChar"/>
    <w:qFormat/>
    <w:rsid w:val="00305E3F"/>
    <w:pPr>
      <w:numPr>
        <w:numId w:val="30"/>
      </w:numPr>
      <w:spacing w:before="0"/>
    </w:pPr>
    <w:rPr>
      <w:color w:val="000000"/>
    </w:rPr>
  </w:style>
  <w:style w:type="character" w:customStyle="1" w:styleId="12BoxTextChar">
    <w:name w:val="12. Box Text Char"/>
    <w:basedOn w:val="TabletextChar"/>
    <w:link w:val="12BoxText"/>
    <w:rsid w:val="000B5528"/>
    <w:rPr>
      <w:rFonts w:ascii="Calibri Light" w:hAnsi="Calibri Light"/>
      <w:color w:val="000000" w:themeColor="text1"/>
    </w:rPr>
  </w:style>
  <w:style w:type="character" w:customStyle="1" w:styleId="13BoxbulletsChar">
    <w:name w:val="13. Box bullets Char"/>
    <w:basedOn w:val="11BulletsinatableChar"/>
    <w:link w:val="13Boxbullets"/>
    <w:rsid w:val="008F380D"/>
    <w:rPr>
      <w:rFonts w:ascii="Calibri Light" w:eastAsia="Rockwell" w:hAnsi="Calibri Light" w:cs="Arial"/>
      <w:color w:val="000000"/>
      <w:szCs w:val="20"/>
    </w:rPr>
  </w:style>
  <w:style w:type="table" w:customStyle="1" w:styleId="ListTable3-Accent26">
    <w:name w:val="List Table 3 - Accent 26"/>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0B5528"/>
    <w:pPr>
      <w:numPr>
        <w:ilvl w:val="1"/>
        <w:numId w:val="26"/>
      </w:numPr>
      <w:ind w:left="720" w:hanging="720"/>
    </w:pPr>
  </w:style>
  <w:style w:type="paragraph" w:customStyle="1" w:styleId="APSCBlocktext">
    <w:name w:val="APSC Block text"/>
    <w:basedOn w:val="Normal"/>
    <w:rsid w:val="000B5528"/>
    <w:pPr>
      <w:spacing w:before="120" w:after="120" w:line="300" w:lineRule="auto"/>
    </w:pPr>
    <w:rPr>
      <w:rFonts w:ascii="Times New Roman" w:eastAsia="HGMinchoB" w:hAnsi="Times New Roman"/>
      <w:iCs/>
      <w:color w:val="auto"/>
      <w:sz w:val="24"/>
      <w:lang w:eastAsia="en-AU"/>
    </w:rPr>
  </w:style>
  <w:style w:type="paragraph" w:customStyle="1" w:styleId="subsection">
    <w:name w:val="subsection"/>
    <w:aliases w:val="ss"/>
    <w:basedOn w:val="Normal"/>
    <w:link w:val="subsectionChar"/>
    <w:rsid w:val="000B5528"/>
    <w:pPr>
      <w:tabs>
        <w:tab w:val="right" w:pos="1021"/>
      </w:tabs>
      <w:spacing w:after="0" w:line="240" w:lineRule="auto"/>
      <w:ind w:left="1134" w:hanging="1134"/>
      <w:jc w:val="left"/>
    </w:pPr>
    <w:rPr>
      <w:rFonts w:ascii="Times New Roman" w:eastAsia="Times New Roman" w:hAnsi="Times New Roman" w:cs="Times New Roman"/>
      <w:color w:val="auto"/>
      <w:sz w:val="22"/>
      <w:szCs w:val="20"/>
      <w:lang w:eastAsia="en-AU"/>
    </w:rPr>
  </w:style>
  <w:style w:type="character" w:customStyle="1" w:styleId="paragraphChar">
    <w:name w:val="paragraph Char"/>
    <w:aliases w:val="a Char"/>
    <w:link w:val="paragraph"/>
    <w:locked/>
    <w:rsid w:val="000B5528"/>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locked/>
    <w:rsid w:val="000B5528"/>
    <w:rPr>
      <w:rFonts w:ascii="Times New Roman" w:eastAsia="Times New Roman" w:hAnsi="Times New Roman" w:cs="Times New Roman"/>
      <w:szCs w:val="20"/>
      <w:lang w:eastAsia="en-AU"/>
    </w:rPr>
  </w:style>
  <w:style w:type="character" w:customStyle="1" w:styleId="sr-only">
    <w:name w:val="sr-only"/>
    <w:basedOn w:val="DefaultParagraphFont"/>
    <w:rsid w:val="000B5528"/>
  </w:style>
  <w:style w:type="numbering" w:customStyle="1" w:styleId="NoList11">
    <w:name w:val="No List11"/>
    <w:next w:val="NoList"/>
    <w:uiPriority w:val="99"/>
    <w:semiHidden/>
    <w:unhideWhenUsed/>
    <w:rsid w:val="000B5528"/>
  </w:style>
  <w:style w:type="table" w:customStyle="1" w:styleId="ListTable3-Accent28">
    <w:name w:val="List Table 3 - Accent 28"/>
    <w:basedOn w:val="TableNormal"/>
    <w:next w:val="ListTable3-Accent2"/>
    <w:uiPriority w:val="48"/>
    <w:locked/>
    <w:rsid w:val="000B55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styleId="BlockText">
    <w:name w:val="Block Text"/>
    <w:basedOn w:val="Normal"/>
    <w:uiPriority w:val="99"/>
    <w:semiHidden/>
    <w:unhideWhenUsed/>
    <w:rsid w:val="000B5528"/>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EnvelopeAddress">
    <w:name w:val="envelope address"/>
    <w:basedOn w:val="Normal"/>
    <w:uiPriority w:val="99"/>
    <w:semiHidden/>
    <w:unhideWhenUsed/>
    <w:rsid w:val="000B552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5528"/>
    <w:pPr>
      <w:spacing w:before="0" w:after="0" w:line="240" w:lineRule="auto"/>
    </w:pPr>
    <w:rPr>
      <w:rFonts w:asciiTheme="majorHAnsi" w:eastAsiaTheme="majorEastAsia" w:hAnsiTheme="majorHAnsi" w:cstheme="majorBidi"/>
      <w:sz w:val="20"/>
      <w:szCs w:val="20"/>
    </w:rPr>
  </w:style>
  <w:style w:type="paragraph" w:styleId="MacroText">
    <w:name w:val="macro"/>
    <w:link w:val="MacroTextChar1"/>
    <w:uiPriority w:val="99"/>
    <w:semiHidden/>
    <w:unhideWhenUsed/>
    <w:rsid w:val="000B5528"/>
    <w:pPr>
      <w:tabs>
        <w:tab w:val="left" w:pos="480"/>
        <w:tab w:val="left" w:pos="960"/>
        <w:tab w:val="left" w:pos="1440"/>
        <w:tab w:val="left" w:pos="1920"/>
        <w:tab w:val="left" w:pos="2400"/>
        <w:tab w:val="left" w:pos="2880"/>
        <w:tab w:val="left" w:pos="3360"/>
        <w:tab w:val="left" w:pos="3840"/>
        <w:tab w:val="left" w:pos="4320"/>
      </w:tabs>
      <w:spacing w:before="180" w:after="0" w:line="276" w:lineRule="auto"/>
      <w:jc w:val="both"/>
    </w:pPr>
    <w:rPr>
      <w:rFonts w:ascii="Consolas" w:hAnsi="Consolas"/>
      <w:color w:val="4D4D4D" w:themeColor="accent6"/>
      <w:sz w:val="20"/>
      <w:szCs w:val="20"/>
    </w:rPr>
  </w:style>
  <w:style w:type="character" w:customStyle="1" w:styleId="MacroTextChar1">
    <w:name w:val="Macro Text Char1"/>
    <w:basedOn w:val="DefaultParagraphFont"/>
    <w:link w:val="MacroText"/>
    <w:uiPriority w:val="99"/>
    <w:semiHidden/>
    <w:rsid w:val="000B5528"/>
    <w:rPr>
      <w:rFonts w:ascii="Consolas" w:hAnsi="Consolas"/>
      <w:color w:val="4D4D4D" w:themeColor="accent6"/>
      <w:sz w:val="20"/>
      <w:szCs w:val="20"/>
    </w:rPr>
  </w:style>
  <w:style w:type="paragraph" w:styleId="MessageHeader">
    <w:name w:val="Message Header"/>
    <w:basedOn w:val="Normal"/>
    <w:link w:val="MessageHeaderChar1"/>
    <w:uiPriority w:val="99"/>
    <w:semiHidden/>
    <w:unhideWhenUsed/>
    <w:rsid w:val="000B552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0B5528"/>
    <w:rPr>
      <w:rFonts w:asciiTheme="majorHAnsi" w:eastAsiaTheme="majorEastAsia" w:hAnsiTheme="majorHAnsi" w:cstheme="majorBidi"/>
      <w:color w:val="4D4D4D" w:themeColor="accent6"/>
      <w:sz w:val="24"/>
      <w:szCs w:val="24"/>
      <w:shd w:val="pct20" w:color="auto" w:fill="auto"/>
    </w:rPr>
  </w:style>
  <w:style w:type="numbering" w:customStyle="1" w:styleId="NoList3">
    <w:name w:val="No List3"/>
    <w:next w:val="NoList"/>
    <w:uiPriority w:val="99"/>
    <w:semiHidden/>
    <w:unhideWhenUsed/>
    <w:rsid w:val="00DB216A"/>
  </w:style>
  <w:style w:type="table" w:customStyle="1" w:styleId="ListTable3-Accent29">
    <w:name w:val="List Table 3 - Accent 29"/>
    <w:basedOn w:val="TableNormal"/>
    <w:next w:val="ListTable3-Accent2"/>
    <w:uiPriority w:val="48"/>
    <w:locked/>
    <w:rsid w:val="00DB216A"/>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4">
    <w:name w:val="No List4"/>
    <w:next w:val="NoList"/>
    <w:uiPriority w:val="99"/>
    <w:semiHidden/>
    <w:unhideWhenUsed/>
    <w:rsid w:val="008478FE"/>
  </w:style>
  <w:style w:type="table" w:customStyle="1" w:styleId="ListTable3-Accent210">
    <w:name w:val="List Table 3 - Accent 210"/>
    <w:basedOn w:val="TableNormal"/>
    <w:next w:val="ListTable3-Accent2"/>
    <w:uiPriority w:val="48"/>
    <w:rsid w:val="008478FE"/>
    <w:pPr>
      <w:spacing w:after="0"/>
    </w:pPr>
    <w:rPr>
      <w:rFonts w:ascii="Calibri Light" w:hAnsi="Calibri Light"/>
    </w:rPr>
    <w:tblPr>
      <w:tblStyleRowBandSize w:val="1"/>
      <w:tblStyleColBandSize w:val="1"/>
      <w:tblBorders>
        <w:top w:val="single" w:sz="4" w:space="0" w:color="148A5D"/>
        <w:bottom w:val="single" w:sz="4" w:space="0" w:color="148A5D"/>
        <w:insideH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val="0"/>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Style12">
    <w:name w:val="Style12"/>
    <w:basedOn w:val="TableNormal"/>
    <w:uiPriority w:val="99"/>
    <w:rsid w:val="008478FE"/>
    <w:pPr>
      <w:spacing w:after="0"/>
    </w:pPr>
    <w:rPr>
      <w:rFonts w:ascii="Calibri Light" w:hAnsi="Calibri Light"/>
    </w:rPr>
    <w:tblPr>
      <w:tblBorders>
        <w:bottom w:val="single" w:sz="4" w:space="0" w:color="148A5D"/>
        <w:insideH w:val="single" w:sz="4" w:space="0" w:color="148A5D"/>
      </w:tblBorders>
    </w:tblPr>
    <w:tcPr>
      <w:shd w:val="clear" w:color="auto" w:fill="auto"/>
    </w:tcPr>
    <w:tblStylePr w:type="firstRow">
      <w:rPr>
        <w:rFonts w:ascii="Calibri Light" w:hAnsi="Calibri Light"/>
        <w:b/>
        <w:color w:val="FFFFFF"/>
        <w:sz w:val="22"/>
      </w:rPr>
      <w:tblPr/>
      <w:tcPr>
        <w:shd w:val="clear" w:color="auto" w:fill="148A5D"/>
      </w:tcPr>
    </w:tblStylePr>
  </w:style>
  <w:style w:type="paragraph" w:customStyle="1" w:styleId="IndexHeading2">
    <w:name w:val="Index Heading2"/>
    <w:basedOn w:val="Normal"/>
    <w:next w:val="Index1"/>
    <w:uiPriority w:val="99"/>
    <w:semiHidden/>
    <w:unhideWhenUsed/>
    <w:rsid w:val="008478FE"/>
    <w:pPr>
      <w:spacing w:before="0" w:after="180" w:line="240" w:lineRule="auto"/>
      <w:jc w:val="left"/>
    </w:pPr>
    <w:rPr>
      <w:rFonts w:ascii="Tw Cen MT" w:eastAsia="HGPGothicE" w:hAnsi="Tw Cen MT" w:cs="Arial"/>
      <w:b/>
      <w:bCs/>
      <w:color w:val="7F7F7F"/>
      <w:sz w:val="20"/>
    </w:rPr>
  </w:style>
  <w:style w:type="paragraph" w:customStyle="1" w:styleId="TOAHeading2">
    <w:name w:val="TOA Heading2"/>
    <w:basedOn w:val="Normal"/>
    <w:next w:val="Normal"/>
    <w:uiPriority w:val="99"/>
    <w:semiHidden/>
    <w:unhideWhenUsed/>
    <w:rsid w:val="008478FE"/>
    <w:pPr>
      <w:spacing w:before="120" w:after="180" w:line="240" w:lineRule="auto"/>
      <w:jc w:val="left"/>
    </w:pPr>
    <w:rPr>
      <w:rFonts w:ascii="Tw Cen MT" w:eastAsia="HGPGothicE" w:hAnsi="Tw Cen MT" w:cs="Arial"/>
      <w:b/>
      <w:bCs/>
      <w:color w:val="7F7F7F"/>
      <w:sz w:val="24"/>
      <w:szCs w:val="24"/>
    </w:rPr>
  </w:style>
  <w:style w:type="table" w:customStyle="1" w:styleId="Glossary2">
    <w:name w:val="Glossary2"/>
    <w:basedOn w:val="TableNormal"/>
    <w:uiPriority w:val="99"/>
    <w:rsid w:val="008478FE"/>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2">
    <w:name w:val="List Table 3 - Accent 222"/>
    <w:basedOn w:val="TableNormal"/>
    <w:next w:val="ListTable3-Accent2"/>
    <w:uiPriority w:val="48"/>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4">
    <w:name w:val="List Table 3 - Accent 214"/>
    <w:basedOn w:val="TableNormal"/>
    <w:next w:val="ListTable3-Accent2"/>
    <w:uiPriority w:val="48"/>
    <w:rsid w:val="008478FE"/>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2">
    <w:name w:val="ZZ Numbers digit2"/>
    <w:basedOn w:val="NoList"/>
    <w:uiPriority w:val="99"/>
    <w:rsid w:val="008478FE"/>
    <w:pPr>
      <w:numPr>
        <w:numId w:val="11"/>
      </w:numPr>
    </w:pPr>
  </w:style>
  <w:style w:type="table" w:customStyle="1" w:styleId="ListTable3-Accent232">
    <w:name w:val="List Table 3 - Accent 23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2">
    <w:name w:val="List Table 3 - Accent 24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22">
    <w:name w:val="List Table 3 - Accent 2122"/>
    <w:basedOn w:val="TableNormal"/>
    <w:next w:val="ListTable3-Accent2"/>
    <w:uiPriority w:val="48"/>
    <w:rsid w:val="008478FE"/>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1">
    <w:name w:val="ZZ Numbers digit11"/>
    <w:basedOn w:val="NoList"/>
    <w:uiPriority w:val="99"/>
    <w:rsid w:val="008478FE"/>
    <w:pPr>
      <w:numPr>
        <w:numId w:val="5"/>
      </w:numPr>
    </w:pPr>
  </w:style>
  <w:style w:type="table" w:customStyle="1" w:styleId="ListTable3-Accent2212">
    <w:name w:val="List Table 3 - Accent 2212"/>
    <w:basedOn w:val="TableNormal"/>
    <w:next w:val="ListTable3-Accent2"/>
    <w:uiPriority w:val="48"/>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2">
    <w:name w:val="List Table 3 - Accent 231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2">
    <w:name w:val="List Table 3 - Accent 2412"/>
    <w:basedOn w:val="TableNormal"/>
    <w:next w:val="ListTable3-Accent2"/>
    <w:uiPriority w:val="48"/>
    <w:locked/>
    <w:rsid w:val="008478FE"/>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styleId="ListTable3-Accent1">
    <w:name w:val="List Table 3 Accent 1"/>
    <w:basedOn w:val="TableNormal"/>
    <w:uiPriority w:val="48"/>
    <w:rsid w:val="00671CB5"/>
    <w:pPr>
      <w:spacing w:after="0"/>
    </w:pPr>
    <w:tblPr>
      <w:tblStyleRowBandSize w:val="1"/>
      <w:tblStyleColBandSize w:val="1"/>
      <w:tblBorders>
        <w:top w:val="single" w:sz="4" w:space="0" w:color="26664E" w:themeColor="accent1"/>
        <w:left w:val="single" w:sz="4" w:space="0" w:color="26664E" w:themeColor="accent1"/>
        <w:bottom w:val="single" w:sz="4" w:space="0" w:color="26664E" w:themeColor="accent1"/>
        <w:right w:val="single" w:sz="4" w:space="0" w:color="26664E" w:themeColor="accent1"/>
      </w:tblBorders>
    </w:tblPr>
    <w:tblStylePr w:type="firstRow">
      <w:rPr>
        <w:b/>
        <w:bCs/>
        <w:color w:val="FFFFFF" w:themeColor="background1"/>
      </w:rPr>
      <w:tblPr/>
      <w:tcPr>
        <w:shd w:val="clear" w:color="auto" w:fill="26664E" w:themeFill="accent1"/>
      </w:tcPr>
    </w:tblStylePr>
    <w:tblStylePr w:type="lastRow">
      <w:rPr>
        <w:b/>
        <w:bCs/>
      </w:rPr>
      <w:tblPr/>
      <w:tcPr>
        <w:tcBorders>
          <w:top w:val="double" w:sz="4" w:space="0" w:color="2666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664E" w:themeColor="accent1"/>
          <w:right w:val="single" w:sz="4" w:space="0" w:color="26664E" w:themeColor="accent1"/>
        </w:tcBorders>
      </w:tcPr>
    </w:tblStylePr>
    <w:tblStylePr w:type="band1Horz">
      <w:tblPr/>
      <w:tcPr>
        <w:tcBorders>
          <w:top w:val="single" w:sz="4" w:space="0" w:color="26664E" w:themeColor="accent1"/>
          <w:bottom w:val="single" w:sz="4" w:space="0" w:color="2666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664E" w:themeColor="accent1"/>
          <w:left w:val="nil"/>
        </w:tcBorders>
      </w:tcPr>
    </w:tblStylePr>
    <w:tblStylePr w:type="swCell">
      <w:tblPr/>
      <w:tcPr>
        <w:tcBorders>
          <w:top w:val="double" w:sz="4" w:space="0" w:color="26664E" w:themeColor="accent1"/>
          <w:right w:val="nil"/>
        </w:tcBorders>
      </w:tcPr>
    </w:tblStylePr>
  </w:style>
  <w:style w:type="paragraph" w:customStyle="1" w:styleId="Tablerowcolumnheading">
    <w:name w:val="Table row/column heading"/>
    <w:qFormat/>
    <w:rsid w:val="00671CB5"/>
    <w:pPr>
      <w:keepNext/>
      <w:spacing w:before="60" w:after="60"/>
    </w:pPr>
    <w:rPr>
      <w:rFonts w:ascii="Calibri Light" w:hAnsi="Calibri Light"/>
      <w:b/>
      <w:color w:val="FFFFFF"/>
    </w:rPr>
  </w:style>
  <w:style w:type="numbering" w:customStyle="1" w:styleId="NoList5">
    <w:name w:val="No List5"/>
    <w:next w:val="NoList"/>
    <w:uiPriority w:val="99"/>
    <w:semiHidden/>
    <w:unhideWhenUsed/>
    <w:rsid w:val="006F2BB8"/>
  </w:style>
  <w:style w:type="table" w:customStyle="1" w:styleId="ListTable3-Accent215">
    <w:name w:val="List Table 3 - Accent 215"/>
    <w:basedOn w:val="TableNormal"/>
    <w:next w:val="ListTable3-Accent2"/>
    <w:uiPriority w:val="48"/>
    <w:locked/>
    <w:rsid w:val="006F2BB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tyle4">
    <w:name w:val="Style4"/>
    <w:basedOn w:val="Chapterheading0"/>
    <w:link w:val="Style4Char"/>
    <w:rsid w:val="003F1272"/>
    <w:pPr>
      <w:outlineLvl w:val="9"/>
    </w:pPr>
    <w:rPr>
      <w:color w:val="26664E" w:themeColor="accent1"/>
    </w:rPr>
  </w:style>
  <w:style w:type="character" w:customStyle="1" w:styleId="Style4Char">
    <w:name w:val="Style4 Char"/>
    <w:basedOn w:val="ChapterheadingChar0"/>
    <w:link w:val="Style4"/>
    <w:rsid w:val="003F1272"/>
    <w:rPr>
      <w:rFonts w:ascii="Rockwell" w:hAnsi="Rockwell" w:cs="Times New Roman (Body CS)"/>
      <w:noProof/>
      <w:color w:val="26664E" w:themeColor="accent1"/>
      <w:spacing w:val="-6"/>
      <w:sz w:val="72"/>
      <w:szCs w:val="72"/>
      <w:lang w:val="en-US"/>
    </w:rPr>
  </w:style>
  <w:style w:type="table" w:customStyle="1" w:styleId="ListTable3-Accent233">
    <w:name w:val="List Table 3 - Accent 233"/>
    <w:basedOn w:val="TableNormal"/>
    <w:next w:val="ListTable3-Accent2"/>
    <w:uiPriority w:val="48"/>
    <w:locked/>
    <w:rsid w:val="00A417E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VIRTDeterminationTableStyle">
    <w:name w:val="VIRT Determination Table Style"/>
    <w:basedOn w:val="TableNormal"/>
    <w:next w:val="ListTable3-Accent2"/>
    <w:uiPriority w:val="48"/>
    <w:rsid w:val="00A658D7"/>
    <w:pPr>
      <w:spacing w:after="0"/>
    </w:pPr>
    <w:rPr>
      <w:rFonts w:ascii="Calibri Light" w:eastAsia="Rockwell" w:hAnsi="Calibri Light" w:cs="Times New Roman"/>
      <w:color w:val="000000" w:themeColor="text1"/>
      <w:szCs w:val="20"/>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shd w:val="clear" w:color="auto" w:fill="26664E" w:themeFill="accent1"/>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styleId="TableGridLight">
    <w:name w:val="Grid Table Light"/>
    <w:basedOn w:val="TableNormal"/>
    <w:uiPriority w:val="40"/>
    <w:rsid w:val="003F26DA"/>
    <w:pPr>
      <w:spacing w:after="0"/>
    </w:pPr>
    <w:rPr>
      <w:rFonts w:ascii="Calibri Light" w:hAnsi="Calibri Light" w:cs="Arial"/>
      <w:color w:val="000000" w:themeColor="text1"/>
      <w:sz w:val="26"/>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dexHeading">
    <w:name w:val="index heading"/>
    <w:basedOn w:val="Normal"/>
    <w:next w:val="Index1"/>
    <w:uiPriority w:val="99"/>
    <w:semiHidden/>
    <w:unhideWhenUsed/>
    <w:rsid w:val="003F26DA"/>
    <w:pPr>
      <w:spacing w:before="0" w:after="180" w:line="240" w:lineRule="auto"/>
      <w:jc w:val="left"/>
    </w:pPr>
    <w:rPr>
      <w:rFonts w:asciiTheme="majorHAnsi" w:eastAsiaTheme="majorEastAsia" w:hAnsiTheme="majorHAnsi" w:cstheme="majorBidi"/>
      <w:b/>
      <w:bCs/>
      <w:color w:val="000000" w:themeColor="text1"/>
      <w:szCs w:val="20"/>
    </w:rPr>
  </w:style>
  <w:style w:type="paragraph" w:styleId="TOAHeading">
    <w:name w:val="toa heading"/>
    <w:basedOn w:val="Normal"/>
    <w:next w:val="Normal"/>
    <w:uiPriority w:val="99"/>
    <w:semiHidden/>
    <w:unhideWhenUsed/>
    <w:rsid w:val="003F26DA"/>
    <w:pPr>
      <w:spacing w:before="120" w:after="180" w:line="240" w:lineRule="auto"/>
      <w:jc w:val="left"/>
    </w:pPr>
    <w:rPr>
      <w:rFonts w:asciiTheme="majorHAnsi" w:eastAsiaTheme="majorEastAsia" w:hAnsiTheme="majorHAnsi" w:cstheme="majorBidi"/>
      <w:b/>
      <w:bCs/>
      <w:color w:val="000000" w:themeColor="text1"/>
      <w:sz w:val="24"/>
      <w:szCs w:val="24"/>
    </w:rPr>
  </w:style>
  <w:style w:type="table" w:customStyle="1" w:styleId="Accessibletable">
    <w:name w:val="Accessible table"/>
    <w:basedOn w:val="TableNormal"/>
    <w:uiPriority w:val="99"/>
    <w:rsid w:val="008048D3"/>
    <w:pPr>
      <w:spacing w:after="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413">
      <w:bodyDiv w:val="1"/>
      <w:marLeft w:val="0"/>
      <w:marRight w:val="0"/>
      <w:marTop w:val="0"/>
      <w:marBottom w:val="0"/>
      <w:divBdr>
        <w:top w:val="none" w:sz="0" w:space="0" w:color="auto"/>
        <w:left w:val="none" w:sz="0" w:space="0" w:color="auto"/>
        <w:bottom w:val="none" w:sz="0" w:space="0" w:color="auto"/>
        <w:right w:val="none" w:sz="0" w:space="0" w:color="auto"/>
      </w:divBdr>
      <w:divsChild>
        <w:div w:id="386729151">
          <w:marLeft w:val="0"/>
          <w:marRight w:val="0"/>
          <w:marTop w:val="0"/>
          <w:marBottom w:val="0"/>
          <w:divBdr>
            <w:top w:val="none" w:sz="0" w:space="0" w:color="auto"/>
            <w:left w:val="none" w:sz="0" w:space="0" w:color="auto"/>
            <w:bottom w:val="none" w:sz="0" w:space="0" w:color="auto"/>
            <w:right w:val="none" w:sz="0" w:space="0" w:color="auto"/>
          </w:divBdr>
        </w:div>
        <w:div w:id="430398225">
          <w:marLeft w:val="0"/>
          <w:marRight w:val="0"/>
          <w:marTop w:val="0"/>
          <w:marBottom w:val="0"/>
          <w:divBdr>
            <w:top w:val="none" w:sz="0" w:space="0" w:color="auto"/>
            <w:left w:val="none" w:sz="0" w:space="0" w:color="auto"/>
            <w:bottom w:val="none" w:sz="0" w:space="0" w:color="auto"/>
            <w:right w:val="none" w:sz="0" w:space="0" w:color="auto"/>
          </w:divBdr>
        </w:div>
        <w:div w:id="655958166">
          <w:marLeft w:val="0"/>
          <w:marRight w:val="0"/>
          <w:marTop w:val="0"/>
          <w:marBottom w:val="0"/>
          <w:divBdr>
            <w:top w:val="none" w:sz="0" w:space="0" w:color="auto"/>
            <w:left w:val="none" w:sz="0" w:space="0" w:color="auto"/>
            <w:bottom w:val="none" w:sz="0" w:space="0" w:color="auto"/>
            <w:right w:val="none" w:sz="0" w:space="0" w:color="auto"/>
          </w:divBdr>
        </w:div>
        <w:div w:id="847523785">
          <w:marLeft w:val="0"/>
          <w:marRight w:val="0"/>
          <w:marTop w:val="0"/>
          <w:marBottom w:val="0"/>
          <w:divBdr>
            <w:top w:val="none" w:sz="0" w:space="0" w:color="auto"/>
            <w:left w:val="none" w:sz="0" w:space="0" w:color="auto"/>
            <w:bottom w:val="none" w:sz="0" w:space="0" w:color="auto"/>
            <w:right w:val="none" w:sz="0" w:space="0" w:color="auto"/>
          </w:divBdr>
        </w:div>
        <w:div w:id="963852827">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 w:id="1334451544">
          <w:marLeft w:val="0"/>
          <w:marRight w:val="0"/>
          <w:marTop w:val="0"/>
          <w:marBottom w:val="0"/>
          <w:divBdr>
            <w:top w:val="none" w:sz="0" w:space="0" w:color="auto"/>
            <w:left w:val="none" w:sz="0" w:space="0" w:color="auto"/>
            <w:bottom w:val="none" w:sz="0" w:space="0" w:color="auto"/>
            <w:right w:val="none" w:sz="0" w:space="0" w:color="auto"/>
          </w:divBdr>
        </w:div>
        <w:div w:id="1436555849">
          <w:marLeft w:val="0"/>
          <w:marRight w:val="0"/>
          <w:marTop w:val="0"/>
          <w:marBottom w:val="0"/>
          <w:divBdr>
            <w:top w:val="none" w:sz="0" w:space="0" w:color="auto"/>
            <w:left w:val="none" w:sz="0" w:space="0" w:color="auto"/>
            <w:bottom w:val="none" w:sz="0" w:space="0" w:color="auto"/>
            <w:right w:val="none" w:sz="0" w:space="0" w:color="auto"/>
          </w:divBdr>
        </w:div>
        <w:div w:id="1968194049">
          <w:marLeft w:val="0"/>
          <w:marRight w:val="0"/>
          <w:marTop w:val="0"/>
          <w:marBottom w:val="0"/>
          <w:divBdr>
            <w:top w:val="none" w:sz="0" w:space="0" w:color="auto"/>
            <w:left w:val="none" w:sz="0" w:space="0" w:color="auto"/>
            <w:bottom w:val="none" w:sz="0" w:space="0" w:color="auto"/>
            <w:right w:val="none" w:sz="0" w:space="0" w:color="auto"/>
          </w:divBdr>
        </w:div>
      </w:divsChild>
    </w:div>
    <w:div w:id="62995513">
      <w:bodyDiv w:val="1"/>
      <w:marLeft w:val="0"/>
      <w:marRight w:val="0"/>
      <w:marTop w:val="0"/>
      <w:marBottom w:val="0"/>
      <w:divBdr>
        <w:top w:val="none" w:sz="0" w:space="0" w:color="auto"/>
        <w:left w:val="none" w:sz="0" w:space="0" w:color="auto"/>
        <w:bottom w:val="none" w:sz="0" w:space="0" w:color="auto"/>
        <w:right w:val="none" w:sz="0" w:space="0" w:color="auto"/>
      </w:divBdr>
    </w:div>
    <w:div w:id="131949727">
      <w:bodyDiv w:val="1"/>
      <w:marLeft w:val="0"/>
      <w:marRight w:val="0"/>
      <w:marTop w:val="0"/>
      <w:marBottom w:val="0"/>
      <w:divBdr>
        <w:top w:val="none" w:sz="0" w:space="0" w:color="auto"/>
        <w:left w:val="none" w:sz="0" w:space="0" w:color="auto"/>
        <w:bottom w:val="none" w:sz="0" w:space="0" w:color="auto"/>
        <w:right w:val="none" w:sz="0" w:space="0" w:color="auto"/>
      </w:divBdr>
      <w:divsChild>
        <w:div w:id="68385761">
          <w:marLeft w:val="0"/>
          <w:marRight w:val="0"/>
          <w:marTop w:val="0"/>
          <w:marBottom w:val="0"/>
          <w:divBdr>
            <w:top w:val="none" w:sz="0" w:space="0" w:color="auto"/>
            <w:left w:val="none" w:sz="0" w:space="0" w:color="auto"/>
            <w:bottom w:val="none" w:sz="0" w:space="0" w:color="auto"/>
            <w:right w:val="none" w:sz="0" w:space="0" w:color="auto"/>
          </w:divBdr>
        </w:div>
        <w:div w:id="372270893">
          <w:marLeft w:val="0"/>
          <w:marRight w:val="0"/>
          <w:marTop w:val="0"/>
          <w:marBottom w:val="0"/>
          <w:divBdr>
            <w:top w:val="none" w:sz="0" w:space="0" w:color="auto"/>
            <w:left w:val="none" w:sz="0" w:space="0" w:color="auto"/>
            <w:bottom w:val="none" w:sz="0" w:space="0" w:color="auto"/>
            <w:right w:val="none" w:sz="0" w:space="0" w:color="auto"/>
          </w:divBdr>
        </w:div>
        <w:div w:id="553003029">
          <w:marLeft w:val="0"/>
          <w:marRight w:val="0"/>
          <w:marTop w:val="0"/>
          <w:marBottom w:val="0"/>
          <w:divBdr>
            <w:top w:val="none" w:sz="0" w:space="0" w:color="auto"/>
            <w:left w:val="none" w:sz="0" w:space="0" w:color="auto"/>
            <w:bottom w:val="none" w:sz="0" w:space="0" w:color="auto"/>
            <w:right w:val="none" w:sz="0" w:space="0" w:color="auto"/>
          </w:divBdr>
        </w:div>
        <w:div w:id="955797530">
          <w:marLeft w:val="0"/>
          <w:marRight w:val="0"/>
          <w:marTop w:val="0"/>
          <w:marBottom w:val="0"/>
          <w:divBdr>
            <w:top w:val="none" w:sz="0" w:space="0" w:color="auto"/>
            <w:left w:val="none" w:sz="0" w:space="0" w:color="auto"/>
            <w:bottom w:val="none" w:sz="0" w:space="0" w:color="auto"/>
            <w:right w:val="none" w:sz="0" w:space="0" w:color="auto"/>
          </w:divBdr>
        </w:div>
        <w:div w:id="1258176860">
          <w:marLeft w:val="0"/>
          <w:marRight w:val="0"/>
          <w:marTop w:val="0"/>
          <w:marBottom w:val="0"/>
          <w:divBdr>
            <w:top w:val="none" w:sz="0" w:space="0" w:color="auto"/>
            <w:left w:val="none" w:sz="0" w:space="0" w:color="auto"/>
            <w:bottom w:val="none" w:sz="0" w:space="0" w:color="auto"/>
            <w:right w:val="none" w:sz="0" w:space="0" w:color="auto"/>
          </w:divBdr>
        </w:div>
      </w:divsChild>
    </w:div>
    <w:div w:id="163514496">
      <w:bodyDiv w:val="1"/>
      <w:marLeft w:val="0"/>
      <w:marRight w:val="0"/>
      <w:marTop w:val="0"/>
      <w:marBottom w:val="0"/>
      <w:divBdr>
        <w:top w:val="none" w:sz="0" w:space="0" w:color="auto"/>
        <w:left w:val="none" w:sz="0" w:space="0" w:color="auto"/>
        <w:bottom w:val="none" w:sz="0" w:space="0" w:color="auto"/>
        <w:right w:val="none" w:sz="0" w:space="0" w:color="auto"/>
      </w:divBdr>
    </w:div>
    <w:div w:id="246304348">
      <w:bodyDiv w:val="1"/>
      <w:marLeft w:val="0"/>
      <w:marRight w:val="0"/>
      <w:marTop w:val="0"/>
      <w:marBottom w:val="0"/>
      <w:divBdr>
        <w:top w:val="none" w:sz="0" w:space="0" w:color="auto"/>
        <w:left w:val="none" w:sz="0" w:space="0" w:color="auto"/>
        <w:bottom w:val="none" w:sz="0" w:space="0" w:color="auto"/>
        <w:right w:val="none" w:sz="0" w:space="0" w:color="auto"/>
      </w:divBdr>
    </w:div>
    <w:div w:id="399443925">
      <w:bodyDiv w:val="1"/>
      <w:marLeft w:val="0"/>
      <w:marRight w:val="0"/>
      <w:marTop w:val="0"/>
      <w:marBottom w:val="0"/>
      <w:divBdr>
        <w:top w:val="none" w:sz="0" w:space="0" w:color="auto"/>
        <w:left w:val="none" w:sz="0" w:space="0" w:color="auto"/>
        <w:bottom w:val="none" w:sz="0" w:space="0" w:color="auto"/>
        <w:right w:val="none" w:sz="0" w:space="0" w:color="auto"/>
      </w:divBdr>
    </w:div>
    <w:div w:id="405228446">
      <w:bodyDiv w:val="1"/>
      <w:marLeft w:val="0"/>
      <w:marRight w:val="0"/>
      <w:marTop w:val="0"/>
      <w:marBottom w:val="0"/>
      <w:divBdr>
        <w:top w:val="none" w:sz="0" w:space="0" w:color="auto"/>
        <w:left w:val="none" w:sz="0" w:space="0" w:color="auto"/>
        <w:bottom w:val="none" w:sz="0" w:space="0" w:color="auto"/>
        <w:right w:val="none" w:sz="0" w:space="0" w:color="auto"/>
      </w:divBdr>
    </w:div>
    <w:div w:id="420491732">
      <w:bodyDiv w:val="1"/>
      <w:marLeft w:val="0"/>
      <w:marRight w:val="0"/>
      <w:marTop w:val="0"/>
      <w:marBottom w:val="0"/>
      <w:divBdr>
        <w:top w:val="none" w:sz="0" w:space="0" w:color="auto"/>
        <w:left w:val="none" w:sz="0" w:space="0" w:color="auto"/>
        <w:bottom w:val="none" w:sz="0" w:space="0" w:color="auto"/>
        <w:right w:val="none" w:sz="0" w:space="0" w:color="auto"/>
      </w:divBdr>
    </w:div>
    <w:div w:id="558441213">
      <w:bodyDiv w:val="1"/>
      <w:marLeft w:val="0"/>
      <w:marRight w:val="0"/>
      <w:marTop w:val="0"/>
      <w:marBottom w:val="0"/>
      <w:divBdr>
        <w:top w:val="none" w:sz="0" w:space="0" w:color="auto"/>
        <w:left w:val="none" w:sz="0" w:space="0" w:color="auto"/>
        <w:bottom w:val="none" w:sz="0" w:space="0" w:color="auto"/>
        <w:right w:val="none" w:sz="0" w:space="0" w:color="auto"/>
      </w:divBdr>
    </w:div>
    <w:div w:id="633758515">
      <w:bodyDiv w:val="1"/>
      <w:marLeft w:val="0"/>
      <w:marRight w:val="0"/>
      <w:marTop w:val="0"/>
      <w:marBottom w:val="0"/>
      <w:divBdr>
        <w:top w:val="none" w:sz="0" w:space="0" w:color="auto"/>
        <w:left w:val="none" w:sz="0" w:space="0" w:color="auto"/>
        <w:bottom w:val="none" w:sz="0" w:space="0" w:color="auto"/>
        <w:right w:val="none" w:sz="0" w:space="0" w:color="auto"/>
      </w:divBdr>
    </w:div>
    <w:div w:id="678242232">
      <w:bodyDiv w:val="1"/>
      <w:marLeft w:val="0"/>
      <w:marRight w:val="0"/>
      <w:marTop w:val="0"/>
      <w:marBottom w:val="0"/>
      <w:divBdr>
        <w:top w:val="none" w:sz="0" w:space="0" w:color="auto"/>
        <w:left w:val="none" w:sz="0" w:space="0" w:color="auto"/>
        <w:bottom w:val="none" w:sz="0" w:space="0" w:color="auto"/>
        <w:right w:val="none" w:sz="0" w:space="0" w:color="auto"/>
      </w:divBdr>
    </w:div>
    <w:div w:id="688140491">
      <w:bodyDiv w:val="1"/>
      <w:marLeft w:val="0"/>
      <w:marRight w:val="0"/>
      <w:marTop w:val="0"/>
      <w:marBottom w:val="0"/>
      <w:divBdr>
        <w:top w:val="none" w:sz="0" w:space="0" w:color="auto"/>
        <w:left w:val="none" w:sz="0" w:space="0" w:color="auto"/>
        <w:bottom w:val="none" w:sz="0" w:space="0" w:color="auto"/>
        <w:right w:val="none" w:sz="0" w:space="0" w:color="auto"/>
      </w:divBdr>
    </w:div>
    <w:div w:id="722867963">
      <w:bodyDiv w:val="1"/>
      <w:marLeft w:val="0"/>
      <w:marRight w:val="0"/>
      <w:marTop w:val="0"/>
      <w:marBottom w:val="0"/>
      <w:divBdr>
        <w:top w:val="none" w:sz="0" w:space="0" w:color="auto"/>
        <w:left w:val="none" w:sz="0" w:space="0" w:color="auto"/>
        <w:bottom w:val="none" w:sz="0" w:space="0" w:color="auto"/>
        <w:right w:val="none" w:sz="0" w:space="0" w:color="auto"/>
      </w:divBdr>
    </w:div>
    <w:div w:id="744451955">
      <w:bodyDiv w:val="1"/>
      <w:marLeft w:val="0"/>
      <w:marRight w:val="0"/>
      <w:marTop w:val="0"/>
      <w:marBottom w:val="0"/>
      <w:divBdr>
        <w:top w:val="none" w:sz="0" w:space="0" w:color="auto"/>
        <w:left w:val="none" w:sz="0" w:space="0" w:color="auto"/>
        <w:bottom w:val="none" w:sz="0" w:space="0" w:color="auto"/>
        <w:right w:val="none" w:sz="0" w:space="0" w:color="auto"/>
      </w:divBdr>
    </w:div>
    <w:div w:id="746459783">
      <w:bodyDiv w:val="1"/>
      <w:marLeft w:val="0"/>
      <w:marRight w:val="0"/>
      <w:marTop w:val="0"/>
      <w:marBottom w:val="0"/>
      <w:divBdr>
        <w:top w:val="none" w:sz="0" w:space="0" w:color="auto"/>
        <w:left w:val="none" w:sz="0" w:space="0" w:color="auto"/>
        <w:bottom w:val="none" w:sz="0" w:space="0" w:color="auto"/>
        <w:right w:val="none" w:sz="0" w:space="0" w:color="auto"/>
      </w:divBdr>
    </w:div>
    <w:div w:id="834951329">
      <w:bodyDiv w:val="1"/>
      <w:marLeft w:val="0"/>
      <w:marRight w:val="0"/>
      <w:marTop w:val="0"/>
      <w:marBottom w:val="0"/>
      <w:divBdr>
        <w:top w:val="none" w:sz="0" w:space="0" w:color="auto"/>
        <w:left w:val="none" w:sz="0" w:space="0" w:color="auto"/>
        <w:bottom w:val="none" w:sz="0" w:space="0" w:color="auto"/>
        <w:right w:val="none" w:sz="0" w:space="0" w:color="auto"/>
      </w:divBdr>
    </w:div>
    <w:div w:id="839933185">
      <w:bodyDiv w:val="1"/>
      <w:marLeft w:val="0"/>
      <w:marRight w:val="0"/>
      <w:marTop w:val="0"/>
      <w:marBottom w:val="0"/>
      <w:divBdr>
        <w:top w:val="none" w:sz="0" w:space="0" w:color="auto"/>
        <w:left w:val="none" w:sz="0" w:space="0" w:color="auto"/>
        <w:bottom w:val="none" w:sz="0" w:space="0" w:color="auto"/>
        <w:right w:val="none" w:sz="0" w:space="0" w:color="auto"/>
      </w:divBdr>
    </w:div>
    <w:div w:id="841161493">
      <w:bodyDiv w:val="1"/>
      <w:marLeft w:val="0"/>
      <w:marRight w:val="0"/>
      <w:marTop w:val="0"/>
      <w:marBottom w:val="0"/>
      <w:divBdr>
        <w:top w:val="none" w:sz="0" w:space="0" w:color="auto"/>
        <w:left w:val="none" w:sz="0" w:space="0" w:color="auto"/>
        <w:bottom w:val="none" w:sz="0" w:space="0" w:color="auto"/>
        <w:right w:val="none" w:sz="0" w:space="0" w:color="auto"/>
      </w:divBdr>
    </w:div>
    <w:div w:id="844368525">
      <w:bodyDiv w:val="1"/>
      <w:marLeft w:val="0"/>
      <w:marRight w:val="0"/>
      <w:marTop w:val="0"/>
      <w:marBottom w:val="0"/>
      <w:divBdr>
        <w:top w:val="none" w:sz="0" w:space="0" w:color="auto"/>
        <w:left w:val="none" w:sz="0" w:space="0" w:color="auto"/>
        <w:bottom w:val="none" w:sz="0" w:space="0" w:color="auto"/>
        <w:right w:val="none" w:sz="0" w:space="0" w:color="auto"/>
      </w:divBdr>
      <w:divsChild>
        <w:div w:id="214314802">
          <w:marLeft w:val="0"/>
          <w:marRight w:val="0"/>
          <w:marTop w:val="0"/>
          <w:marBottom w:val="0"/>
          <w:divBdr>
            <w:top w:val="none" w:sz="0" w:space="0" w:color="auto"/>
            <w:left w:val="none" w:sz="0" w:space="0" w:color="auto"/>
            <w:bottom w:val="none" w:sz="0" w:space="0" w:color="auto"/>
            <w:right w:val="none" w:sz="0" w:space="0" w:color="auto"/>
          </w:divBdr>
        </w:div>
        <w:div w:id="223565804">
          <w:marLeft w:val="0"/>
          <w:marRight w:val="0"/>
          <w:marTop w:val="0"/>
          <w:marBottom w:val="0"/>
          <w:divBdr>
            <w:top w:val="none" w:sz="0" w:space="0" w:color="auto"/>
            <w:left w:val="none" w:sz="0" w:space="0" w:color="auto"/>
            <w:bottom w:val="none" w:sz="0" w:space="0" w:color="auto"/>
            <w:right w:val="none" w:sz="0" w:space="0" w:color="auto"/>
          </w:divBdr>
        </w:div>
        <w:div w:id="374351984">
          <w:marLeft w:val="0"/>
          <w:marRight w:val="0"/>
          <w:marTop w:val="0"/>
          <w:marBottom w:val="0"/>
          <w:divBdr>
            <w:top w:val="none" w:sz="0" w:space="0" w:color="auto"/>
            <w:left w:val="none" w:sz="0" w:space="0" w:color="auto"/>
            <w:bottom w:val="none" w:sz="0" w:space="0" w:color="auto"/>
            <w:right w:val="none" w:sz="0" w:space="0" w:color="auto"/>
          </w:divBdr>
        </w:div>
        <w:div w:id="520509475">
          <w:marLeft w:val="0"/>
          <w:marRight w:val="0"/>
          <w:marTop w:val="0"/>
          <w:marBottom w:val="0"/>
          <w:divBdr>
            <w:top w:val="none" w:sz="0" w:space="0" w:color="auto"/>
            <w:left w:val="none" w:sz="0" w:space="0" w:color="auto"/>
            <w:bottom w:val="none" w:sz="0" w:space="0" w:color="auto"/>
            <w:right w:val="none" w:sz="0" w:space="0" w:color="auto"/>
          </w:divBdr>
        </w:div>
        <w:div w:id="634869356">
          <w:marLeft w:val="0"/>
          <w:marRight w:val="0"/>
          <w:marTop w:val="0"/>
          <w:marBottom w:val="0"/>
          <w:divBdr>
            <w:top w:val="none" w:sz="0" w:space="0" w:color="auto"/>
            <w:left w:val="none" w:sz="0" w:space="0" w:color="auto"/>
            <w:bottom w:val="none" w:sz="0" w:space="0" w:color="auto"/>
            <w:right w:val="none" w:sz="0" w:space="0" w:color="auto"/>
          </w:divBdr>
        </w:div>
        <w:div w:id="1276641461">
          <w:marLeft w:val="0"/>
          <w:marRight w:val="0"/>
          <w:marTop w:val="0"/>
          <w:marBottom w:val="0"/>
          <w:divBdr>
            <w:top w:val="none" w:sz="0" w:space="0" w:color="auto"/>
            <w:left w:val="none" w:sz="0" w:space="0" w:color="auto"/>
            <w:bottom w:val="none" w:sz="0" w:space="0" w:color="auto"/>
            <w:right w:val="none" w:sz="0" w:space="0" w:color="auto"/>
          </w:divBdr>
        </w:div>
        <w:div w:id="1559248113">
          <w:marLeft w:val="0"/>
          <w:marRight w:val="0"/>
          <w:marTop w:val="0"/>
          <w:marBottom w:val="0"/>
          <w:divBdr>
            <w:top w:val="none" w:sz="0" w:space="0" w:color="auto"/>
            <w:left w:val="none" w:sz="0" w:space="0" w:color="auto"/>
            <w:bottom w:val="none" w:sz="0" w:space="0" w:color="auto"/>
            <w:right w:val="none" w:sz="0" w:space="0" w:color="auto"/>
          </w:divBdr>
        </w:div>
        <w:div w:id="1711803652">
          <w:marLeft w:val="0"/>
          <w:marRight w:val="0"/>
          <w:marTop w:val="0"/>
          <w:marBottom w:val="0"/>
          <w:divBdr>
            <w:top w:val="none" w:sz="0" w:space="0" w:color="auto"/>
            <w:left w:val="none" w:sz="0" w:space="0" w:color="auto"/>
            <w:bottom w:val="none" w:sz="0" w:space="0" w:color="auto"/>
            <w:right w:val="none" w:sz="0" w:space="0" w:color="auto"/>
          </w:divBdr>
        </w:div>
        <w:div w:id="1719354365">
          <w:marLeft w:val="0"/>
          <w:marRight w:val="0"/>
          <w:marTop w:val="0"/>
          <w:marBottom w:val="0"/>
          <w:divBdr>
            <w:top w:val="none" w:sz="0" w:space="0" w:color="auto"/>
            <w:left w:val="none" w:sz="0" w:space="0" w:color="auto"/>
            <w:bottom w:val="none" w:sz="0" w:space="0" w:color="auto"/>
            <w:right w:val="none" w:sz="0" w:space="0" w:color="auto"/>
          </w:divBdr>
        </w:div>
      </w:divsChild>
    </w:div>
    <w:div w:id="862397736">
      <w:bodyDiv w:val="1"/>
      <w:marLeft w:val="0"/>
      <w:marRight w:val="0"/>
      <w:marTop w:val="0"/>
      <w:marBottom w:val="0"/>
      <w:divBdr>
        <w:top w:val="none" w:sz="0" w:space="0" w:color="auto"/>
        <w:left w:val="none" w:sz="0" w:space="0" w:color="auto"/>
        <w:bottom w:val="none" w:sz="0" w:space="0" w:color="auto"/>
        <w:right w:val="none" w:sz="0" w:space="0" w:color="auto"/>
      </w:divBdr>
    </w:div>
    <w:div w:id="920066639">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sChild>
        <w:div w:id="437062334">
          <w:marLeft w:val="0"/>
          <w:marRight w:val="0"/>
          <w:marTop w:val="0"/>
          <w:marBottom w:val="0"/>
          <w:divBdr>
            <w:top w:val="none" w:sz="0" w:space="0" w:color="auto"/>
            <w:left w:val="none" w:sz="0" w:space="0" w:color="auto"/>
            <w:bottom w:val="none" w:sz="0" w:space="0" w:color="auto"/>
            <w:right w:val="none" w:sz="0" w:space="0" w:color="auto"/>
          </w:divBdr>
        </w:div>
        <w:div w:id="1593775906">
          <w:marLeft w:val="0"/>
          <w:marRight w:val="0"/>
          <w:marTop w:val="0"/>
          <w:marBottom w:val="0"/>
          <w:divBdr>
            <w:top w:val="none" w:sz="0" w:space="0" w:color="auto"/>
            <w:left w:val="none" w:sz="0" w:space="0" w:color="auto"/>
            <w:bottom w:val="none" w:sz="0" w:space="0" w:color="auto"/>
            <w:right w:val="none" w:sz="0" w:space="0" w:color="auto"/>
          </w:divBdr>
        </w:div>
        <w:div w:id="2032219187">
          <w:marLeft w:val="0"/>
          <w:marRight w:val="0"/>
          <w:marTop w:val="0"/>
          <w:marBottom w:val="0"/>
          <w:divBdr>
            <w:top w:val="none" w:sz="0" w:space="0" w:color="auto"/>
            <w:left w:val="none" w:sz="0" w:space="0" w:color="auto"/>
            <w:bottom w:val="none" w:sz="0" w:space="0" w:color="auto"/>
            <w:right w:val="none" w:sz="0" w:space="0" w:color="auto"/>
          </w:divBdr>
        </w:div>
      </w:divsChild>
    </w:div>
    <w:div w:id="983237299">
      <w:bodyDiv w:val="1"/>
      <w:marLeft w:val="0"/>
      <w:marRight w:val="0"/>
      <w:marTop w:val="0"/>
      <w:marBottom w:val="0"/>
      <w:divBdr>
        <w:top w:val="none" w:sz="0" w:space="0" w:color="auto"/>
        <w:left w:val="none" w:sz="0" w:space="0" w:color="auto"/>
        <w:bottom w:val="none" w:sz="0" w:space="0" w:color="auto"/>
        <w:right w:val="none" w:sz="0" w:space="0" w:color="auto"/>
      </w:divBdr>
      <w:divsChild>
        <w:div w:id="386538868">
          <w:marLeft w:val="0"/>
          <w:marRight w:val="0"/>
          <w:marTop w:val="0"/>
          <w:marBottom w:val="0"/>
          <w:divBdr>
            <w:top w:val="none" w:sz="0" w:space="0" w:color="auto"/>
            <w:left w:val="none" w:sz="0" w:space="0" w:color="auto"/>
            <w:bottom w:val="none" w:sz="0" w:space="0" w:color="auto"/>
            <w:right w:val="none" w:sz="0" w:space="0" w:color="auto"/>
          </w:divBdr>
        </w:div>
      </w:divsChild>
    </w:div>
    <w:div w:id="1093279346">
      <w:bodyDiv w:val="1"/>
      <w:marLeft w:val="0"/>
      <w:marRight w:val="0"/>
      <w:marTop w:val="0"/>
      <w:marBottom w:val="0"/>
      <w:divBdr>
        <w:top w:val="none" w:sz="0" w:space="0" w:color="auto"/>
        <w:left w:val="none" w:sz="0" w:space="0" w:color="auto"/>
        <w:bottom w:val="none" w:sz="0" w:space="0" w:color="auto"/>
        <w:right w:val="none" w:sz="0" w:space="0" w:color="auto"/>
      </w:divBdr>
    </w:div>
    <w:div w:id="1104766397">
      <w:bodyDiv w:val="1"/>
      <w:marLeft w:val="0"/>
      <w:marRight w:val="0"/>
      <w:marTop w:val="0"/>
      <w:marBottom w:val="0"/>
      <w:divBdr>
        <w:top w:val="none" w:sz="0" w:space="0" w:color="auto"/>
        <w:left w:val="none" w:sz="0" w:space="0" w:color="auto"/>
        <w:bottom w:val="none" w:sz="0" w:space="0" w:color="auto"/>
        <w:right w:val="none" w:sz="0" w:space="0" w:color="auto"/>
      </w:divBdr>
    </w:div>
    <w:div w:id="1109621014">
      <w:bodyDiv w:val="1"/>
      <w:marLeft w:val="0"/>
      <w:marRight w:val="0"/>
      <w:marTop w:val="0"/>
      <w:marBottom w:val="0"/>
      <w:divBdr>
        <w:top w:val="none" w:sz="0" w:space="0" w:color="auto"/>
        <w:left w:val="none" w:sz="0" w:space="0" w:color="auto"/>
        <w:bottom w:val="none" w:sz="0" w:space="0" w:color="auto"/>
        <w:right w:val="none" w:sz="0" w:space="0" w:color="auto"/>
      </w:divBdr>
    </w:div>
    <w:div w:id="1110277854">
      <w:bodyDiv w:val="1"/>
      <w:marLeft w:val="0"/>
      <w:marRight w:val="0"/>
      <w:marTop w:val="0"/>
      <w:marBottom w:val="0"/>
      <w:divBdr>
        <w:top w:val="none" w:sz="0" w:space="0" w:color="auto"/>
        <w:left w:val="none" w:sz="0" w:space="0" w:color="auto"/>
        <w:bottom w:val="none" w:sz="0" w:space="0" w:color="auto"/>
        <w:right w:val="none" w:sz="0" w:space="0" w:color="auto"/>
      </w:divBdr>
    </w:div>
    <w:div w:id="1237129263">
      <w:bodyDiv w:val="1"/>
      <w:marLeft w:val="0"/>
      <w:marRight w:val="0"/>
      <w:marTop w:val="0"/>
      <w:marBottom w:val="0"/>
      <w:divBdr>
        <w:top w:val="none" w:sz="0" w:space="0" w:color="auto"/>
        <w:left w:val="none" w:sz="0" w:space="0" w:color="auto"/>
        <w:bottom w:val="none" w:sz="0" w:space="0" w:color="auto"/>
        <w:right w:val="none" w:sz="0" w:space="0" w:color="auto"/>
      </w:divBdr>
    </w:div>
    <w:div w:id="1247422728">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0"/>
          <w:marRight w:val="0"/>
          <w:marTop w:val="0"/>
          <w:marBottom w:val="0"/>
          <w:divBdr>
            <w:top w:val="none" w:sz="0" w:space="0" w:color="auto"/>
            <w:left w:val="none" w:sz="0" w:space="0" w:color="auto"/>
            <w:bottom w:val="none" w:sz="0" w:space="0" w:color="auto"/>
            <w:right w:val="none" w:sz="0" w:space="0" w:color="auto"/>
          </w:divBdr>
        </w:div>
        <w:div w:id="29697041">
          <w:marLeft w:val="0"/>
          <w:marRight w:val="0"/>
          <w:marTop w:val="0"/>
          <w:marBottom w:val="0"/>
          <w:divBdr>
            <w:top w:val="none" w:sz="0" w:space="0" w:color="auto"/>
            <w:left w:val="none" w:sz="0" w:space="0" w:color="auto"/>
            <w:bottom w:val="none" w:sz="0" w:space="0" w:color="auto"/>
            <w:right w:val="none" w:sz="0" w:space="0" w:color="auto"/>
          </w:divBdr>
        </w:div>
        <w:div w:id="435171862">
          <w:marLeft w:val="0"/>
          <w:marRight w:val="0"/>
          <w:marTop w:val="0"/>
          <w:marBottom w:val="0"/>
          <w:divBdr>
            <w:top w:val="none" w:sz="0" w:space="0" w:color="auto"/>
            <w:left w:val="none" w:sz="0" w:space="0" w:color="auto"/>
            <w:bottom w:val="none" w:sz="0" w:space="0" w:color="auto"/>
            <w:right w:val="none" w:sz="0" w:space="0" w:color="auto"/>
          </w:divBdr>
        </w:div>
        <w:div w:id="461924654">
          <w:marLeft w:val="0"/>
          <w:marRight w:val="0"/>
          <w:marTop w:val="0"/>
          <w:marBottom w:val="0"/>
          <w:divBdr>
            <w:top w:val="none" w:sz="0" w:space="0" w:color="auto"/>
            <w:left w:val="none" w:sz="0" w:space="0" w:color="auto"/>
            <w:bottom w:val="none" w:sz="0" w:space="0" w:color="auto"/>
            <w:right w:val="none" w:sz="0" w:space="0" w:color="auto"/>
          </w:divBdr>
        </w:div>
        <w:div w:id="852576170">
          <w:marLeft w:val="0"/>
          <w:marRight w:val="0"/>
          <w:marTop w:val="0"/>
          <w:marBottom w:val="0"/>
          <w:divBdr>
            <w:top w:val="none" w:sz="0" w:space="0" w:color="auto"/>
            <w:left w:val="none" w:sz="0" w:space="0" w:color="auto"/>
            <w:bottom w:val="none" w:sz="0" w:space="0" w:color="auto"/>
            <w:right w:val="none" w:sz="0" w:space="0" w:color="auto"/>
          </w:divBdr>
        </w:div>
        <w:div w:id="1237780677">
          <w:marLeft w:val="0"/>
          <w:marRight w:val="0"/>
          <w:marTop w:val="0"/>
          <w:marBottom w:val="0"/>
          <w:divBdr>
            <w:top w:val="none" w:sz="0" w:space="0" w:color="auto"/>
            <w:left w:val="none" w:sz="0" w:space="0" w:color="auto"/>
            <w:bottom w:val="none" w:sz="0" w:space="0" w:color="auto"/>
            <w:right w:val="none" w:sz="0" w:space="0" w:color="auto"/>
          </w:divBdr>
        </w:div>
        <w:div w:id="1510557486">
          <w:marLeft w:val="0"/>
          <w:marRight w:val="0"/>
          <w:marTop w:val="0"/>
          <w:marBottom w:val="0"/>
          <w:divBdr>
            <w:top w:val="none" w:sz="0" w:space="0" w:color="auto"/>
            <w:left w:val="none" w:sz="0" w:space="0" w:color="auto"/>
            <w:bottom w:val="none" w:sz="0" w:space="0" w:color="auto"/>
            <w:right w:val="none" w:sz="0" w:space="0" w:color="auto"/>
          </w:divBdr>
        </w:div>
        <w:div w:id="1713118464">
          <w:marLeft w:val="0"/>
          <w:marRight w:val="0"/>
          <w:marTop w:val="0"/>
          <w:marBottom w:val="0"/>
          <w:divBdr>
            <w:top w:val="none" w:sz="0" w:space="0" w:color="auto"/>
            <w:left w:val="none" w:sz="0" w:space="0" w:color="auto"/>
            <w:bottom w:val="none" w:sz="0" w:space="0" w:color="auto"/>
            <w:right w:val="none" w:sz="0" w:space="0" w:color="auto"/>
          </w:divBdr>
        </w:div>
        <w:div w:id="1764178026">
          <w:marLeft w:val="0"/>
          <w:marRight w:val="0"/>
          <w:marTop w:val="0"/>
          <w:marBottom w:val="0"/>
          <w:divBdr>
            <w:top w:val="none" w:sz="0" w:space="0" w:color="auto"/>
            <w:left w:val="none" w:sz="0" w:space="0" w:color="auto"/>
            <w:bottom w:val="none" w:sz="0" w:space="0" w:color="auto"/>
            <w:right w:val="none" w:sz="0" w:space="0" w:color="auto"/>
          </w:divBdr>
        </w:div>
        <w:div w:id="1900245392">
          <w:marLeft w:val="0"/>
          <w:marRight w:val="0"/>
          <w:marTop w:val="0"/>
          <w:marBottom w:val="0"/>
          <w:divBdr>
            <w:top w:val="none" w:sz="0" w:space="0" w:color="auto"/>
            <w:left w:val="none" w:sz="0" w:space="0" w:color="auto"/>
            <w:bottom w:val="none" w:sz="0" w:space="0" w:color="auto"/>
            <w:right w:val="none" w:sz="0" w:space="0" w:color="auto"/>
          </w:divBdr>
        </w:div>
      </w:divsChild>
    </w:div>
    <w:div w:id="1247884858">
      <w:bodyDiv w:val="1"/>
      <w:marLeft w:val="0"/>
      <w:marRight w:val="0"/>
      <w:marTop w:val="0"/>
      <w:marBottom w:val="0"/>
      <w:divBdr>
        <w:top w:val="none" w:sz="0" w:space="0" w:color="auto"/>
        <w:left w:val="none" w:sz="0" w:space="0" w:color="auto"/>
        <w:bottom w:val="none" w:sz="0" w:space="0" w:color="auto"/>
        <w:right w:val="none" w:sz="0" w:space="0" w:color="auto"/>
      </w:divBdr>
    </w:div>
    <w:div w:id="1451242511">
      <w:bodyDiv w:val="1"/>
      <w:marLeft w:val="0"/>
      <w:marRight w:val="0"/>
      <w:marTop w:val="0"/>
      <w:marBottom w:val="0"/>
      <w:divBdr>
        <w:top w:val="none" w:sz="0" w:space="0" w:color="auto"/>
        <w:left w:val="none" w:sz="0" w:space="0" w:color="auto"/>
        <w:bottom w:val="none" w:sz="0" w:space="0" w:color="auto"/>
        <w:right w:val="none" w:sz="0" w:space="0" w:color="auto"/>
      </w:divBdr>
    </w:div>
    <w:div w:id="1495876964">
      <w:bodyDiv w:val="1"/>
      <w:marLeft w:val="0"/>
      <w:marRight w:val="0"/>
      <w:marTop w:val="0"/>
      <w:marBottom w:val="0"/>
      <w:divBdr>
        <w:top w:val="none" w:sz="0" w:space="0" w:color="auto"/>
        <w:left w:val="none" w:sz="0" w:space="0" w:color="auto"/>
        <w:bottom w:val="none" w:sz="0" w:space="0" w:color="auto"/>
        <w:right w:val="none" w:sz="0" w:space="0" w:color="auto"/>
      </w:divBdr>
    </w:div>
    <w:div w:id="1568108370">
      <w:bodyDiv w:val="1"/>
      <w:marLeft w:val="0"/>
      <w:marRight w:val="0"/>
      <w:marTop w:val="0"/>
      <w:marBottom w:val="0"/>
      <w:divBdr>
        <w:top w:val="none" w:sz="0" w:space="0" w:color="auto"/>
        <w:left w:val="none" w:sz="0" w:space="0" w:color="auto"/>
        <w:bottom w:val="none" w:sz="0" w:space="0" w:color="auto"/>
        <w:right w:val="none" w:sz="0" w:space="0" w:color="auto"/>
      </w:divBdr>
      <w:divsChild>
        <w:div w:id="181361843">
          <w:marLeft w:val="0"/>
          <w:marRight w:val="0"/>
          <w:marTop w:val="0"/>
          <w:marBottom w:val="0"/>
          <w:divBdr>
            <w:top w:val="none" w:sz="0" w:space="0" w:color="auto"/>
            <w:left w:val="none" w:sz="0" w:space="0" w:color="auto"/>
            <w:bottom w:val="none" w:sz="0" w:space="0" w:color="auto"/>
            <w:right w:val="none" w:sz="0" w:space="0" w:color="auto"/>
          </w:divBdr>
        </w:div>
        <w:div w:id="671296202">
          <w:marLeft w:val="0"/>
          <w:marRight w:val="0"/>
          <w:marTop w:val="0"/>
          <w:marBottom w:val="0"/>
          <w:divBdr>
            <w:top w:val="none" w:sz="0" w:space="0" w:color="auto"/>
            <w:left w:val="none" w:sz="0" w:space="0" w:color="auto"/>
            <w:bottom w:val="none" w:sz="0" w:space="0" w:color="auto"/>
            <w:right w:val="none" w:sz="0" w:space="0" w:color="auto"/>
          </w:divBdr>
        </w:div>
        <w:div w:id="701638708">
          <w:marLeft w:val="0"/>
          <w:marRight w:val="0"/>
          <w:marTop w:val="0"/>
          <w:marBottom w:val="0"/>
          <w:divBdr>
            <w:top w:val="none" w:sz="0" w:space="0" w:color="auto"/>
            <w:left w:val="none" w:sz="0" w:space="0" w:color="auto"/>
            <w:bottom w:val="none" w:sz="0" w:space="0" w:color="auto"/>
            <w:right w:val="none" w:sz="0" w:space="0" w:color="auto"/>
          </w:divBdr>
        </w:div>
        <w:div w:id="962080029">
          <w:marLeft w:val="0"/>
          <w:marRight w:val="0"/>
          <w:marTop w:val="0"/>
          <w:marBottom w:val="0"/>
          <w:divBdr>
            <w:top w:val="none" w:sz="0" w:space="0" w:color="auto"/>
            <w:left w:val="none" w:sz="0" w:space="0" w:color="auto"/>
            <w:bottom w:val="none" w:sz="0" w:space="0" w:color="auto"/>
            <w:right w:val="none" w:sz="0" w:space="0" w:color="auto"/>
          </w:divBdr>
        </w:div>
        <w:div w:id="1179582853">
          <w:marLeft w:val="0"/>
          <w:marRight w:val="0"/>
          <w:marTop w:val="0"/>
          <w:marBottom w:val="0"/>
          <w:divBdr>
            <w:top w:val="none" w:sz="0" w:space="0" w:color="auto"/>
            <w:left w:val="none" w:sz="0" w:space="0" w:color="auto"/>
            <w:bottom w:val="none" w:sz="0" w:space="0" w:color="auto"/>
            <w:right w:val="none" w:sz="0" w:space="0" w:color="auto"/>
          </w:divBdr>
        </w:div>
        <w:div w:id="1263411649">
          <w:marLeft w:val="0"/>
          <w:marRight w:val="0"/>
          <w:marTop w:val="0"/>
          <w:marBottom w:val="0"/>
          <w:divBdr>
            <w:top w:val="none" w:sz="0" w:space="0" w:color="auto"/>
            <w:left w:val="none" w:sz="0" w:space="0" w:color="auto"/>
            <w:bottom w:val="none" w:sz="0" w:space="0" w:color="auto"/>
            <w:right w:val="none" w:sz="0" w:space="0" w:color="auto"/>
          </w:divBdr>
        </w:div>
        <w:div w:id="1335763425">
          <w:marLeft w:val="0"/>
          <w:marRight w:val="0"/>
          <w:marTop w:val="0"/>
          <w:marBottom w:val="0"/>
          <w:divBdr>
            <w:top w:val="none" w:sz="0" w:space="0" w:color="auto"/>
            <w:left w:val="none" w:sz="0" w:space="0" w:color="auto"/>
            <w:bottom w:val="none" w:sz="0" w:space="0" w:color="auto"/>
            <w:right w:val="none" w:sz="0" w:space="0" w:color="auto"/>
          </w:divBdr>
        </w:div>
        <w:div w:id="1376663263">
          <w:marLeft w:val="0"/>
          <w:marRight w:val="0"/>
          <w:marTop w:val="0"/>
          <w:marBottom w:val="0"/>
          <w:divBdr>
            <w:top w:val="none" w:sz="0" w:space="0" w:color="auto"/>
            <w:left w:val="none" w:sz="0" w:space="0" w:color="auto"/>
            <w:bottom w:val="none" w:sz="0" w:space="0" w:color="auto"/>
            <w:right w:val="none" w:sz="0" w:space="0" w:color="auto"/>
          </w:divBdr>
        </w:div>
        <w:div w:id="1455127082">
          <w:marLeft w:val="0"/>
          <w:marRight w:val="0"/>
          <w:marTop w:val="0"/>
          <w:marBottom w:val="0"/>
          <w:divBdr>
            <w:top w:val="none" w:sz="0" w:space="0" w:color="auto"/>
            <w:left w:val="none" w:sz="0" w:space="0" w:color="auto"/>
            <w:bottom w:val="none" w:sz="0" w:space="0" w:color="auto"/>
            <w:right w:val="none" w:sz="0" w:space="0" w:color="auto"/>
          </w:divBdr>
        </w:div>
        <w:div w:id="1506436808">
          <w:marLeft w:val="0"/>
          <w:marRight w:val="0"/>
          <w:marTop w:val="0"/>
          <w:marBottom w:val="0"/>
          <w:divBdr>
            <w:top w:val="none" w:sz="0" w:space="0" w:color="auto"/>
            <w:left w:val="none" w:sz="0" w:space="0" w:color="auto"/>
            <w:bottom w:val="none" w:sz="0" w:space="0" w:color="auto"/>
            <w:right w:val="none" w:sz="0" w:space="0" w:color="auto"/>
          </w:divBdr>
        </w:div>
        <w:div w:id="1769617790">
          <w:marLeft w:val="0"/>
          <w:marRight w:val="0"/>
          <w:marTop w:val="0"/>
          <w:marBottom w:val="0"/>
          <w:divBdr>
            <w:top w:val="none" w:sz="0" w:space="0" w:color="auto"/>
            <w:left w:val="none" w:sz="0" w:space="0" w:color="auto"/>
            <w:bottom w:val="none" w:sz="0" w:space="0" w:color="auto"/>
            <w:right w:val="none" w:sz="0" w:space="0" w:color="auto"/>
          </w:divBdr>
        </w:div>
        <w:div w:id="1774471996">
          <w:marLeft w:val="0"/>
          <w:marRight w:val="0"/>
          <w:marTop w:val="0"/>
          <w:marBottom w:val="0"/>
          <w:divBdr>
            <w:top w:val="none" w:sz="0" w:space="0" w:color="auto"/>
            <w:left w:val="none" w:sz="0" w:space="0" w:color="auto"/>
            <w:bottom w:val="none" w:sz="0" w:space="0" w:color="auto"/>
            <w:right w:val="none" w:sz="0" w:space="0" w:color="auto"/>
          </w:divBdr>
        </w:div>
        <w:div w:id="1984312453">
          <w:marLeft w:val="0"/>
          <w:marRight w:val="0"/>
          <w:marTop w:val="0"/>
          <w:marBottom w:val="0"/>
          <w:divBdr>
            <w:top w:val="none" w:sz="0" w:space="0" w:color="auto"/>
            <w:left w:val="none" w:sz="0" w:space="0" w:color="auto"/>
            <w:bottom w:val="none" w:sz="0" w:space="0" w:color="auto"/>
            <w:right w:val="none" w:sz="0" w:space="0" w:color="auto"/>
          </w:divBdr>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92294416">
      <w:bodyDiv w:val="1"/>
      <w:marLeft w:val="0"/>
      <w:marRight w:val="0"/>
      <w:marTop w:val="0"/>
      <w:marBottom w:val="0"/>
      <w:divBdr>
        <w:top w:val="none" w:sz="0" w:space="0" w:color="auto"/>
        <w:left w:val="none" w:sz="0" w:space="0" w:color="auto"/>
        <w:bottom w:val="none" w:sz="0" w:space="0" w:color="auto"/>
        <w:right w:val="none" w:sz="0" w:space="0" w:color="auto"/>
      </w:divBdr>
      <w:divsChild>
        <w:div w:id="66196767">
          <w:marLeft w:val="0"/>
          <w:marRight w:val="0"/>
          <w:marTop w:val="0"/>
          <w:marBottom w:val="0"/>
          <w:divBdr>
            <w:top w:val="none" w:sz="0" w:space="0" w:color="auto"/>
            <w:left w:val="none" w:sz="0" w:space="0" w:color="auto"/>
            <w:bottom w:val="none" w:sz="0" w:space="0" w:color="auto"/>
            <w:right w:val="none" w:sz="0" w:space="0" w:color="auto"/>
          </w:divBdr>
        </w:div>
        <w:div w:id="1278484385">
          <w:marLeft w:val="0"/>
          <w:marRight w:val="0"/>
          <w:marTop w:val="0"/>
          <w:marBottom w:val="0"/>
          <w:divBdr>
            <w:top w:val="none" w:sz="0" w:space="0" w:color="auto"/>
            <w:left w:val="none" w:sz="0" w:space="0" w:color="auto"/>
            <w:bottom w:val="none" w:sz="0" w:space="0" w:color="auto"/>
            <w:right w:val="none" w:sz="0" w:space="0" w:color="auto"/>
          </w:divBdr>
        </w:div>
        <w:div w:id="1576818660">
          <w:marLeft w:val="0"/>
          <w:marRight w:val="0"/>
          <w:marTop w:val="0"/>
          <w:marBottom w:val="0"/>
          <w:divBdr>
            <w:top w:val="none" w:sz="0" w:space="0" w:color="auto"/>
            <w:left w:val="none" w:sz="0" w:space="0" w:color="auto"/>
            <w:bottom w:val="none" w:sz="0" w:space="0" w:color="auto"/>
            <w:right w:val="none" w:sz="0" w:space="0" w:color="auto"/>
          </w:divBdr>
        </w:div>
        <w:div w:id="1771779895">
          <w:marLeft w:val="0"/>
          <w:marRight w:val="0"/>
          <w:marTop w:val="0"/>
          <w:marBottom w:val="0"/>
          <w:divBdr>
            <w:top w:val="none" w:sz="0" w:space="0" w:color="auto"/>
            <w:left w:val="none" w:sz="0" w:space="0" w:color="auto"/>
            <w:bottom w:val="none" w:sz="0" w:space="0" w:color="auto"/>
            <w:right w:val="none" w:sz="0" w:space="0" w:color="auto"/>
          </w:divBdr>
        </w:div>
        <w:div w:id="2078435361">
          <w:marLeft w:val="0"/>
          <w:marRight w:val="0"/>
          <w:marTop w:val="0"/>
          <w:marBottom w:val="0"/>
          <w:divBdr>
            <w:top w:val="none" w:sz="0" w:space="0" w:color="auto"/>
            <w:left w:val="none" w:sz="0" w:space="0" w:color="auto"/>
            <w:bottom w:val="none" w:sz="0" w:space="0" w:color="auto"/>
            <w:right w:val="none" w:sz="0" w:space="0" w:color="auto"/>
          </w:divBdr>
        </w:div>
      </w:divsChild>
    </w:div>
    <w:div w:id="1794254038">
      <w:bodyDiv w:val="1"/>
      <w:marLeft w:val="0"/>
      <w:marRight w:val="0"/>
      <w:marTop w:val="0"/>
      <w:marBottom w:val="0"/>
      <w:divBdr>
        <w:top w:val="none" w:sz="0" w:space="0" w:color="auto"/>
        <w:left w:val="none" w:sz="0" w:space="0" w:color="auto"/>
        <w:bottom w:val="none" w:sz="0" w:space="0" w:color="auto"/>
        <w:right w:val="none" w:sz="0" w:space="0" w:color="auto"/>
      </w:divBdr>
    </w:div>
    <w:div w:id="1826049226">
      <w:bodyDiv w:val="1"/>
      <w:marLeft w:val="0"/>
      <w:marRight w:val="0"/>
      <w:marTop w:val="0"/>
      <w:marBottom w:val="0"/>
      <w:divBdr>
        <w:top w:val="none" w:sz="0" w:space="0" w:color="auto"/>
        <w:left w:val="none" w:sz="0" w:space="0" w:color="auto"/>
        <w:bottom w:val="none" w:sz="0" w:space="0" w:color="auto"/>
        <w:right w:val="none" w:sz="0" w:space="0" w:color="auto"/>
      </w:divBdr>
    </w:div>
    <w:div w:id="1834640371">
      <w:bodyDiv w:val="1"/>
      <w:marLeft w:val="0"/>
      <w:marRight w:val="0"/>
      <w:marTop w:val="0"/>
      <w:marBottom w:val="0"/>
      <w:divBdr>
        <w:top w:val="none" w:sz="0" w:space="0" w:color="auto"/>
        <w:left w:val="none" w:sz="0" w:space="0" w:color="auto"/>
        <w:bottom w:val="none" w:sz="0" w:space="0" w:color="auto"/>
        <w:right w:val="none" w:sz="0" w:space="0" w:color="auto"/>
      </w:divBdr>
    </w:div>
    <w:div w:id="1850409112">
      <w:bodyDiv w:val="1"/>
      <w:marLeft w:val="0"/>
      <w:marRight w:val="0"/>
      <w:marTop w:val="0"/>
      <w:marBottom w:val="0"/>
      <w:divBdr>
        <w:top w:val="none" w:sz="0" w:space="0" w:color="auto"/>
        <w:left w:val="none" w:sz="0" w:space="0" w:color="auto"/>
        <w:bottom w:val="none" w:sz="0" w:space="0" w:color="auto"/>
        <w:right w:val="none" w:sz="0" w:space="0" w:color="auto"/>
      </w:divBdr>
    </w:div>
    <w:div w:id="1858736257">
      <w:bodyDiv w:val="1"/>
      <w:marLeft w:val="0"/>
      <w:marRight w:val="0"/>
      <w:marTop w:val="0"/>
      <w:marBottom w:val="0"/>
      <w:divBdr>
        <w:top w:val="none" w:sz="0" w:space="0" w:color="auto"/>
        <w:left w:val="none" w:sz="0" w:space="0" w:color="auto"/>
        <w:bottom w:val="none" w:sz="0" w:space="0" w:color="auto"/>
        <w:right w:val="none" w:sz="0" w:space="0" w:color="auto"/>
      </w:divBdr>
    </w:div>
    <w:div w:id="1878272742">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7713905">
      <w:bodyDiv w:val="1"/>
      <w:marLeft w:val="0"/>
      <w:marRight w:val="0"/>
      <w:marTop w:val="0"/>
      <w:marBottom w:val="0"/>
      <w:divBdr>
        <w:top w:val="none" w:sz="0" w:space="0" w:color="auto"/>
        <w:left w:val="none" w:sz="0" w:space="0" w:color="auto"/>
        <w:bottom w:val="none" w:sz="0" w:space="0" w:color="auto"/>
        <w:right w:val="none" w:sz="0" w:space="0" w:color="auto"/>
      </w:divBdr>
    </w:div>
    <w:div w:id="1959556976">
      <w:bodyDiv w:val="1"/>
      <w:marLeft w:val="0"/>
      <w:marRight w:val="0"/>
      <w:marTop w:val="0"/>
      <w:marBottom w:val="0"/>
      <w:divBdr>
        <w:top w:val="none" w:sz="0" w:space="0" w:color="auto"/>
        <w:left w:val="none" w:sz="0" w:space="0" w:color="auto"/>
        <w:bottom w:val="none" w:sz="0" w:space="0" w:color="auto"/>
        <w:right w:val="none" w:sz="0" w:space="0" w:color="auto"/>
      </w:divBdr>
    </w:div>
    <w:div w:id="2000649656">
      <w:bodyDiv w:val="1"/>
      <w:marLeft w:val="0"/>
      <w:marRight w:val="0"/>
      <w:marTop w:val="0"/>
      <w:marBottom w:val="0"/>
      <w:divBdr>
        <w:top w:val="none" w:sz="0" w:space="0" w:color="auto"/>
        <w:left w:val="none" w:sz="0" w:space="0" w:color="auto"/>
        <w:bottom w:val="none" w:sz="0" w:space="0" w:color="auto"/>
        <w:right w:val="none" w:sz="0" w:space="0" w:color="auto"/>
      </w:divBdr>
      <w:divsChild>
        <w:div w:id="396129096">
          <w:marLeft w:val="0"/>
          <w:marRight w:val="0"/>
          <w:marTop w:val="0"/>
          <w:marBottom w:val="0"/>
          <w:divBdr>
            <w:top w:val="none" w:sz="0" w:space="0" w:color="auto"/>
            <w:left w:val="none" w:sz="0" w:space="0" w:color="auto"/>
            <w:bottom w:val="none" w:sz="0" w:space="0" w:color="auto"/>
            <w:right w:val="none" w:sz="0" w:space="0" w:color="auto"/>
          </w:divBdr>
        </w:div>
        <w:div w:id="755327763">
          <w:marLeft w:val="0"/>
          <w:marRight w:val="0"/>
          <w:marTop w:val="0"/>
          <w:marBottom w:val="0"/>
          <w:divBdr>
            <w:top w:val="none" w:sz="0" w:space="0" w:color="auto"/>
            <w:left w:val="none" w:sz="0" w:space="0" w:color="auto"/>
            <w:bottom w:val="none" w:sz="0" w:space="0" w:color="auto"/>
            <w:right w:val="none" w:sz="0" w:space="0" w:color="auto"/>
          </w:divBdr>
        </w:div>
        <w:div w:id="773981962">
          <w:marLeft w:val="0"/>
          <w:marRight w:val="0"/>
          <w:marTop w:val="0"/>
          <w:marBottom w:val="0"/>
          <w:divBdr>
            <w:top w:val="none" w:sz="0" w:space="0" w:color="auto"/>
            <w:left w:val="none" w:sz="0" w:space="0" w:color="auto"/>
            <w:bottom w:val="none" w:sz="0" w:space="0" w:color="auto"/>
            <w:right w:val="none" w:sz="0" w:space="0" w:color="auto"/>
          </w:divBdr>
        </w:div>
        <w:div w:id="979966534">
          <w:marLeft w:val="0"/>
          <w:marRight w:val="0"/>
          <w:marTop w:val="0"/>
          <w:marBottom w:val="0"/>
          <w:divBdr>
            <w:top w:val="none" w:sz="0" w:space="0" w:color="auto"/>
            <w:left w:val="none" w:sz="0" w:space="0" w:color="auto"/>
            <w:bottom w:val="none" w:sz="0" w:space="0" w:color="auto"/>
            <w:right w:val="none" w:sz="0" w:space="0" w:color="auto"/>
          </w:divBdr>
        </w:div>
        <w:div w:id="1179201938">
          <w:marLeft w:val="0"/>
          <w:marRight w:val="0"/>
          <w:marTop w:val="0"/>
          <w:marBottom w:val="0"/>
          <w:divBdr>
            <w:top w:val="none" w:sz="0" w:space="0" w:color="auto"/>
            <w:left w:val="none" w:sz="0" w:space="0" w:color="auto"/>
            <w:bottom w:val="none" w:sz="0" w:space="0" w:color="auto"/>
            <w:right w:val="none" w:sz="0" w:space="0" w:color="auto"/>
          </w:divBdr>
        </w:div>
        <w:div w:id="1281642908">
          <w:marLeft w:val="0"/>
          <w:marRight w:val="0"/>
          <w:marTop w:val="0"/>
          <w:marBottom w:val="0"/>
          <w:divBdr>
            <w:top w:val="none" w:sz="0" w:space="0" w:color="auto"/>
            <w:left w:val="none" w:sz="0" w:space="0" w:color="auto"/>
            <w:bottom w:val="none" w:sz="0" w:space="0" w:color="auto"/>
            <w:right w:val="none" w:sz="0" w:space="0" w:color="auto"/>
          </w:divBdr>
        </w:div>
        <w:div w:id="1502815613">
          <w:marLeft w:val="0"/>
          <w:marRight w:val="0"/>
          <w:marTop w:val="0"/>
          <w:marBottom w:val="0"/>
          <w:divBdr>
            <w:top w:val="none" w:sz="0" w:space="0" w:color="auto"/>
            <w:left w:val="none" w:sz="0" w:space="0" w:color="auto"/>
            <w:bottom w:val="none" w:sz="0" w:space="0" w:color="auto"/>
            <w:right w:val="none" w:sz="0" w:space="0" w:color="auto"/>
          </w:divBdr>
        </w:div>
        <w:div w:id="1610353155">
          <w:marLeft w:val="0"/>
          <w:marRight w:val="0"/>
          <w:marTop w:val="0"/>
          <w:marBottom w:val="0"/>
          <w:divBdr>
            <w:top w:val="none" w:sz="0" w:space="0" w:color="auto"/>
            <w:left w:val="none" w:sz="0" w:space="0" w:color="auto"/>
            <w:bottom w:val="none" w:sz="0" w:space="0" w:color="auto"/>
            <w:right w:val="none" w:sz="0" w:space="0" w:color="auto"/>
          </w:divBdr>
        </w:div>
        <w:div w:id="1792629932">
          <w:marLeft w:val="0"/>
          <w:marRight w:val="0"/>
          <w:marTop w:val="0"/>
          <w:marBottom w:val="0"/>
          <w:divBdr>
            <w:top w:val="none" w:sz="0" w:space="0" w:color="auto"/>
            <w:left w:val="none" w:sz="0" w:space="0" w:color="auto"/>
            <w:bottom w:val="none" w:sz="0" w:space="0" w:color="auto"/>
            <w:right w:val="none" w:sz="0" w:space="0" w:color="auto"/>
          </w:divBdr>
        </w:div>
        <w:div w:id="1874027559">
          <w:marLeft w:val="0"/>
          <w:marRight w:val="0"/>
          <w:marTop w:val="0"/>
          <w:marBottom w:val="0"/>
          <w:divBdr>
            <w:top w:val="none" w:sz="0" w:space="0" w:color="auto"/>
            <w:left w:val="none" w:sz="0" w:space="0" w:color="auto"/>
            <w:bottom w:val="none" w:sz="0" w:space="0" w:color="auto"/>
            <w:right w:val="none" w:sz="0" w:space="0" w:color="auto"/>
          </w:divBdr>
        </w:div>
        <w:div w:id="1935554490">
          <w:marLeft w:val="0"/>
          <w:marRight w:val="0"/>
          <w:marTop w:val="0"/>
          <w:marBottom w:val="0"/>
          <w:divBdr>
            <w:top w:val="none" w:sz="0" w:space="0" w:color="auto"/>
            <w:left w:val="none" w:sz="0" w:space="0" w:color="auto"/>
            <w:bottom w:val="none" w:sz="0" w:space="0" w:color="auto"/>
            <w:right w:val="none" w:sz="0" w:space="0" w:color="auto"/>
          </w:divBdr>
        </w:div>
        <w:div w:id="1993294678">
          <w:marLeft w:val="0"/>
          <w:marRight w:val="0"/>
          <w:marTop w:val="0"/>
          <w:marBottom w:val="0"/>
          <w:divBdr>
            <w:top w:val="none" w:sz="0" w:space="0" w:color="auto"/>
            <w:left w:val="none" w:sz="0" w:space="0" w:color="auto"/>
            <w:bottom w:val="none" w:sz="0" w:space="0" w:color="auto"/>
            <w:right w:val="none" w:sz="0" w:space="0" w:color="auto"/>
          </w:divBdr>
        </w:div>
        <w:div w:id="2127115314">
          <w:marLeft w:val="0"/>
          <w:marRight w:val="0"/>
          <w:marTop w:val="0"/>
          <w:marBottom w:val="0"/>
          <w:divBdr>
            <w:top w:val="none" w:sz="0" w:space="0" w:color="auto"/>
            <w:left w:val="none" w:sz="0" w:space="0" w:color="auto"/>
            <w:bottom w:val="none" w:sz="0" w:space="0" w:color="auto"/>
            <w:right w:val="none" w:sz="0" w:space="0" w:color="auto"/>
          </w:divBdr>
        </w:div>
      </w:divsChild>
    </w:div>
    <w:div w:id="2061518582">
      <w:bodyDiv w:val="1"/>
      <w:marLeft w:val="0"/>
      <w:marRight w:val="0"/>
      <w:marTop w:val="0"/>
      <w:marBottom w:val="0"/>
      <w:divBdr>
        <w:top w:val="none" w:sz="0" w:space="0" w:color="auto"/>
        <w:left w:val="none" w:sz="0" w:space="0" w:color="auto"/>
        <w:bottom w:val="none" w:sz="0" w:space="0" w:color="auto"/>
        <w:right w:val="none" w:sz="0" w:space="0" w:color="auto"/>
      </w:divBdr>
      <w:divsChild>
        <w:div w:id="184488133">
          <w:marLeft w:val="0"/>
          <w:marRight w:val="0"/>
          <w:marTop w:val="0"/>
          <w:marBottom w:val="0"/>
          <w:divBdr>
            <w:top w:val="none" w:sz="0" w:space="0" w:color="auto"/>
            <w:left w:val="none" w:sz="0" w:space="0" w:color="auto"/>
            <w:bottom w:val="none" w:sz="0" w:space="0" w:color="auto"/>
            <w:right w:val="none" w:sz="0" w:space="0" w:color="auto"/>
          </w:divBdr>
        </w:div>
        <w:div w:id="262422312">
          <w:marLeft w:val="0"/>
          <w:marRight w:val="0"/>
          <w:marTop w:val="0"/>
          <w:marBottom w:val="0"/>
          <w:divBdr>
            <w:top w:val="none" w:sz="0" w:space="0" w:color="auto"/>
            <w:left w:val="none" w:sz="0" w:space="0" w:color="auto"/>
            <w:bottom w:val="none" w:sz="0" w:space="0" w:color="auto"/>
            <w:right w:val="none" w:sz="0" w:space="0" w:color="auto"/>
          </w:divBdr>
        </w:div>
        <w:div w:id="430393546">
          <w:marLeft w:val="0"/>
          <w:marRight w:val="0"/>
          <w:marTop w:val="0"/>
          <w:marBottom w:val="0"/>
          <w:divBdr>
            <w:top w:val="none" w:sz="0" w:space="0" w:color="auto"/>
            <w:left w:val="none" w:sz="0" w:space="0" w:color="auto"/>
            <w:bottom w:val="none" w:sz="0" w:space="0" w:color="auto"/>
            <w:right w:val="none" w:sz="0" w:space="0" w:color="auto"/>
          </w:divBdr>
        </w:div>
        <w:div w:id="437679823">
          <w:marLeft w:val="0"/>
          <w:marRight w:val="0"/>
          <w:marTop w:val="0"/>
          <w:marBottom w:val="0"/>
          <w:divBdr>
            <w:top w:val="none" w:sz="0" w:space="0" w:color="auto"/>
            <w:left w:val="none" w:sz="0" w:space="0" w:color="auto"/>
            <w:bottom w:val="none" w:sz="0" w:space="0" w:color="auto"/>
            <w:right w:val="none" w:sz="0" w:space="0" w:color="auto"/>
          </w:divBdr>
        </w:div>
        <w:div w:id="992875631">
          <w:marLeft w:val="0"/>
          <w:marRight w:val="0"/>
          <w:marTop w:val="0"/>
          <w:marBottom w:val="0"/>
          <w:divBdr>
            <w:top w:val="none" w:sz="0" w:space="0" w:color="auto"/>
            <w:left w:val="none" w:sz="0" w:space="0" w:color="auto"/>
            <w:bottom w:val="none" w:sz="0" w:space="0" w:color="auto"/>
            <w:right w:val="none" w:sz="0" w:space="0" w:color="auto"/>
          </w:divBdr>
        </w:div>
        <w:div w:id="1336300105">
          <w:marLeft w:val="0"/>
          <w:marRight w:val="0"/>
          <w:marTop w:val="0"/>
          <w:marBottom w:val="0"/>
          <w:divBdr>
            <w:top w:val="none" w:sz="0" w:space="0" w:color="auto"/>
            <w:left w:val="none" w:sz="0" w:space="0" w:color="auto"/>
            <w:bottom w:val="none" w:sz="0" w:space="0" w:color="auto"/>
            <w:right w:val="none" w:sz="0" w:space="0" w:color="auto"/>
          </w:divBdr>
        </w:div>
        <w:div w:id="1520313190">
          <w:marLeft w:val="0"/>
          <w:marRight w:val="0"/>
          <w:marTop w:val="0"/>
          <w:marBottom w:val="0"/>
          <w:divBdr>
            <w:top w:val="none" w:sz="0" w:space="0" w:color="auto"/>
            <w:left w:val="none" w:sz="0" w:space="0" w:color="auto"/>
            <w:bottom w:val="none" w:sz="0" w:space="0" w:color="auto"/>
            <w:right w:val="none" w:sz="0" w:space="0" w:color="auto"/>
          </w:divBdr>
        </w:div>
        <w:div w:id="1831480873">
          <w:marLeft w:val="0"/>
          <w:marRight w:val="0"/>
          <w:marTop w:val="0"/>
          <w:marBottom w:val="0"/>
          <w:divBdr>
            <w:top w:val="none" w:sz="0" w:space="0" w:color="auto"/>
            <w:left w:val="none" w:sz="0" w:space="0" w:color="auto"/>
            <w:bottom w:val="none" w:sz="0" w:space="0" w:color="auto"/>
            <w:right w:val="none" w:sz="0" w:space="0" w:color="auto"/>
          </w:divBdr>
        </w:div>
        <w:div w:id="1974403633">
          <w:marLeft w:val="0"/>
          <w:marRight w:val="0"/>
          <w:marTop w:val="0"/>
          <w:marBottom w:val="0"/>
          <w:divBdr>
            <w:top w:val="none" w:sz="0" w:space="0" w:color="auto"/>
            <w:left w:val="none" w:sz="0" w:space="0" w:color="auto"/>
            <w:bottom w:val="none" w:sz="0" w:space="0" w:color="auto"/>
            <w:right w:val="none" w:sz="0" w:space="0" w:color="auto"/>
          </w:divBdr>
        </w:div>
        <w:div w:id="2111311501">
          <w:marLeft w:val="0"/>
          <w:marRight w:val="0"/>
          <w:marTop w:val="0"/>
          <w:marBottom w:val="0"/>
          <w:divBdr>
            <w:top w:val="none" w:sz="0" w:space="0" w:color="auto"/>
            <w:left w:val="none" w:sz="0" w:space="0" w:color="auto"/>
            <w:bottom w:val="none" w:sz="0" w:space="0" w:color="auto"/>
            <w:right w:val="none" w:sz="0" w:space="0" w:color="auto"/>
          </w:divBdr>
        </w:div>
      </w:divsChild>
    </w:div>
    <w:div w:id="2081712524">
      <w:bodyDiv w:val="1"/>
      <w:marLeft w:val="0"/>
      <w:marRight w:val="0"/>
      <w:marTop w:val="0"/>
      <w:marBottom w:val="0"/>
      <w:divBdr>
        <w:top w:val="none" w:sz="0" w:space="0" w:color="auto"/>
        <w:left w:val="none" w:sz="0" w:space="0" w:color="auto"/>
        <w:bottom w:val="none" w:sz="0" w:space="0" w:color="auto"/>
        <w:right w:val="none" w:sz="0" w:space="0" w:color="auto"/>
      </w:divBdr>
    </w:div>
    <w:div w:id="212326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hyperlink" Target="https://www.fwc.gov.au/work-conditions/enterprise-agreements/find-enterprise-agreement" TargetMode="External"/><Relationship Id="rId68" Type="http://schemas.openxmlformats.org/officeDocument/2006/relationships/hyperlink" Target="https://melbournemarkets.com.au/about-the-market/overview/" TargetMode="External"/><Relationship Id="rId84" Type="http://schemas.openxmlformats.org/officeDocument/2006/relationships/hyperlink" Target="https://www.statetrustees.com.au/" TargetMode="External"/><Relationship Id="rId89" Type="http://schemas.openxmlformats.org/officeDocument/2006/relationships/hyperlink" Target="https://www.wheelercentre.com/about-us"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2.png"/><Relationship Id="rId107" Type="http://schemas.openxmlformats.org/officeDocument/2006/relationships/footer" Target="footer6.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hyperlink" Target="https://www.aicd.com.au/board-of-directors/roles/executive/role-of-chief-executive-officer-ceo-or-managing-director-md.html" TargetMode="External"/><Relationship Id="rId58" Type="http://schemas.openxmlformats.org/officeDocument/2006/relationships/hyperlink" Target="https://www.deeca.vic.gov.au/forestry/forestry-in-victoria" TargetMode="External"/><Relationship Id="rId66" Type="http://schemas.openxmlformats.org/officeDocument/2006/relationships/hyperlink" Target="https://www.imf.org/en/News/Articles/2024/10/02/mcs-australia-staff-concluding-statement-of-the-2024-article-iv-mission" TargetMode="External"/><Relationship Id="rId74" Type="http://schemas.openxmlformats.org/officeDocument/2006/relationships/hyperlink" Target="https://ports.vic.gov.au/about-us/" TargetMode="External"/><Relationship Id="rId79" Type="http://schemas.openxmlformats.org/officeDocument/2006/relationships/hyperlink" Target="https://www.vic.gov.au/about-social-services-regulator" TargetMode="External"/><Relationship Id="rId87" Type="http://schemas.openxmlformats.org/officeDocument/2006/relationships/hyperlink" Target="https://www.theage.com.au/national/victoria/big-merger-vicroads-and-ptv-to-become-one-mega-agency-20190404-p51arj.html" TargetMode="External"/><Relationship Id="rId102" Type="http://schemas.openxmlformats.org/officeDocument/2006/relationships/hyperlink" Target="https://vpsc.vic.gov.au/about-public-sector/employer-public-sector-bodies/" TargetMode="External"/><Relationship Id="rId110" Type="http://schemas.openxmlformats.org/officeDocument/2006/relationships/footer" Target="footer8.xml"/><Relationship Id="rId5" Type="http://schemas.openxmlformats.org/officeDocument/2006/relationships/settings" Target="settings.xml"/><Relationship Id="rId61" Type="http://schemas.openxmlformats.org/officeDocument/2006/relationships/hyperlink" Target="https://www.dtf.vic.gov.au/aggregate-financial-statements" TargetMode="External"/><Relationship Id="rId82" Type="http://schemas.openxmlformats.org/officeDocument/2006/relationships/hyperlink" Target="https://www.vic.gov.au/executive-and-senior-office-holders-annual-remuneration-changes" TargetMode="External"/><Relationship Id="rId90" Type="http://schemas.openxmlformats.org/officeDocument/2006/relationships/hyperlink" Target="https://www.triplezero.vic.gov.au/about-triple-zero-victoria" TargetMode="External"/><Relationship Id="rId95" Type="http://schemas.openxmlformats.org/officeDocument/2006/relationships/hyperlink" Target="https://bigbuild.vic.gov.au/about/about-the-suburban-rail-loop-authority" TargetMode="External"/><Relationship Id="rId19" Type="http://schemas.openxmlformats.org/officeDocument/2006/relationships/header" Target="header4.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hyperlink" Target="https://www2.deloitte.com/us/en/insights/industry/public-sector/hybrid-work-challenges.html" TargetMode="External"/><Relationship Id="rId64" Type="http://schemas.openxmlformats.org/officeDocument/2006/relationships/hyperlink" Target="https://www.gmct.com.au/our-locations" TargetMode="External"/><Relationship Id="rId69" Type="http://schemas.openxmlformats.org/officeDocument/2006/relationships/hyperlink" Target="https://www.vic.gov.au/north-east-link-state-tolling-corporation" TargetMode="External"/><Relationship Id="rId77" Type="http://schemas.openxmlformats.org/officeDocument/2006/relationships/hyperlink" Target="https://www.vic.gov.au/establishment-recycling-victoria" TargetMode="External"/><Relationship Id="rId100" Type="http://schemas.openxmlformats.org/officeDocument/2006/relationships/hyperlink" Target="https://vpsc.vic.gov.au/workforce-data-state-of-the-public-sector/employee-experiences-in-the-workplace-2023/flexible-work-2023/" TargetMode="External"/><Relationship Id="rId105"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s://www.alpineresorts.vic.gov.au/about-arv/alpine-resorts-management-act-1997" TargetMode="External"/><Relationship Id="rId72" Type="http://schemas.openxmlformats.org/officeDocument/2006/relationships/hyperlink" Target="https://www.parliament.vic.gov.au/nativebirdhunting" TargetMode="External"/><Relationship Id="rId80" Type="http://schemas.openxmlformats.org/officeDocument/2006/relationships/hyperlink" Target="https://www.vic.gov.au/changes-regulation-social-services" TargetMode="External"/><Relationship Id="rId85" Type="http://schemas.openxmlformats.org/officeDocument/2006/relationships/hyperlink" Target="https://help.surveymonkey.com/en/surveymonkey/analyze/significant-differences/" TargetMode="External"/><Relationship Id="rId93" Type="http://schemas.openxmlformats.org/officeDocument/2006/relationships/hyperlink" Target="https://www.vichealth.vic.gov.au/" TargetMode="External"/><Relationship Id="rId98" Type="http://schemas.openxmlformats.org/officeDocument/2006/relationships/hyperlink" Target="https://vpsc.vic.gov.au/executive-employment/victorian-public-service-executive-employment/vps-executive-classification-framework/"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hyperlink" Target="https://www.development.vic.gov.au/about/what-we-do" TargetMode="External"/><Relationship Id="rId67" Type="http://schemas.openxmlformats.org/officeDocument/2006/relationships/hyperlink" Target="https://languageloop.com.au/about-us/about-us/" TargetMode="External"/><Relationship Id="rId103" Type="http://schemas.openxmlformats.org/officeDocument/2006/relationships/hyperlink" Target="https://vpsc.vic.gov.au/ethics-behaviours-culture/public-sector-integrity-framework/" TargetMode="External"/><Relationship Id="rId108" Type="http://schemas.openxmlformats.org/officeDocument/2006/relationships/footer" Target="footer7.xml"/><Relationship Id="rId20" Type="http://schemas.openxmlformats.org/officeDocument/2006/relationships/footer" Target="footer5.xml"/><Relationship Id="rId41" Type="http://schemas.openxmlformats.org/officeDocument/2006/relationships/image" Target="media/image24.png"/><Relationship Id="rId54" Type="http://schemas.openxmlformats.org/officeDocument/2006/relationships/hyperlink" Target="https://breakthroughvictoria.com/" TargetMode="External"/><Relationship Id="rId62" Type="http://schemas.openxmlformats.org/officeDocument/2006/relationships/hyperlink" Target="https://engage.vic.gov.au/public-entity-executive-classification-framework" TargetMode="External"/><Relationship Id="rId70" Type="http://schemas.openxmlformats.org/officeDocument/2006/relationships/hyperlink" Target="https://www.parliament.vic.gov.au/floodinquiry" TargetMode="External"/><Relationship Id="rId75" Type="http://schemas.openxmlformats.org/officeDocument/2006/relationships/hyperlink" Target="https://www.premier.vic.gov.au/site-4/new-legislation-reform-victorias-triple-zero-service" TargetMode="External"/><Relationship Id="rId83" Type="http://schemas.openxmlformats.org/officeDocument/2006/relationships/hyperlink" Target="https://www.vic.gov.au/public-entity-executive-remuneration-policy" TargetMode="External"/><Relationship Id="rId88" Type="http://schemas.openxmlformats.org/officeDocument/2006/relationships/hyperlink" Target="https://anzsog.edu.au/news/anzsog-insights-into-how-leaders-can-support-hybrid-work-in-the-public-sector/" TargetMode="External"/><Relationship Id="rId91" Type="http://schemas.openxmlformats.org/officeDocument/2006/relationships/hyperlink" Target="https://trustfornature.org.au/what-we-do" TargetMode="External"/><Relationship Id="rId96" Type="http://schemas.openxmlformats.org/officeDocument/2006/relationships/hyperlink" Target="https://www.victrack.com.au/about/our-rol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hyperlink" Target="https://www.abs.gov.au/statistics/detailed-methodology-information/concepts-sources-methods/australian-system-government-finance-statistics-concepts-sources-and-methods/2015" TargetMode="External"/><Relationship Id="rId57" Type="http://schemas.openxmlformats.org/officeDocument/2006/relationships/hyperlink" Target="https://www.water.vic.gov.au/catchments/catchment-governance" TargetMode="External"/><Relationship Id="rId106" Type="http://schemas.openxmlformats.org/officeDocument/2006/relationships/header" Target="header6.xml"/><Relationship Id="rId10" Type="http://schemas.openxmlformats.org/officeDocument/2006/relationships/footer" Target="footer1.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hyperlink" Target="https://www.artscentremelbourne.com.au/about-us" TargetMode="External"/><Relationship Id="rId60" Type="http://schemas.openxmlformats.org/officeDocument/2006/relationships/hyperlink" Target="https://www.dsmelbourne.com/" TargetMode="External"/><Relationship Id="rId65" Type="http://schemas.openxmlformats.org/officeDocument/2006/relationships/hyperlink" Target="https://www.infrastructurevictoria.com.au/" TargetMode="External"/><Relationship Id="rId73" Type="http://schemas.openxmlformats.org/officeDocument/2006/relationships/hyperlink" Target="https://www.penguins.org.au/about/" TargetMode="External"/><Relationship Id="rId78" Type="http://schemas.openxmlformats.org/officeDocument/2006/relationships/hyperlink" Target="https://www.shrine.org.au/about-shrine-remembrance" TargetMode="External"/><Relationship Id="rId81" Type="http://schemas.openxmlformats.org/officeDocument/2006/relationships/hyperlink" Target="https://www.vic.gov.au/bonus-removal-offer-0" TargetMode="External"/><Relationship Id="rId86" Type="http://schemas.openxmlformats.org/officeDocument/2006/relationships/hyperlink" Target="https://www.tcv.vic.gov.au/about-tcv" TargetMode="External"/><Relationship Id="rId94" Type="http://schemas.openxmlformats.org/officeDocument/2006/relationships/hyperlink" Target="https://responsiblegambling.vic.gov.au/about-us/news-and-media/changing-the-way-we-talk-about-gambling-harm/" TargetMode="External"/><Relationship Id="rId99" Type="http://schemas.openxmlformats.org/officeDocument/2006/relationships/hyperlink" Target="https://vpsc.vic.gov.au/workforce-data-state-of-the-public-sector/employee-and-executive-pay-leave-and-work-arrangements-2023/executive-pay-and-gender-pay-2023/" TargetMode="External"/><Relationship Id="rId101" Type="http://schemas.openxmlformats.org/officeDocument/2006/relationships/hyperlink" Target="https://vpsc.vic.gov.au/governance/public-entity-types-features-and-functions/functions-and-features-of-public-entities/"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9" Type="http://schemas.openxmlformats.org/officeDocument/2006/relationships/image" Target="media/image22.png"/><Relationship Id="rId109" Type="http://schemas.openxmlformats.org/officeDocument/2006/relationships/header" Target="header7.xml"/><Relationship Id="rId34" Type="http://schemas.openxmlformats.org/officeDocument/2006/relationships/image" Target="media/image17.png"/><Relationship Id="rId50" Type="http://schemas.openxmlformats.org/officeDocument/2006/relationships/hyperlink" Target="https://agvicservices.com.au/" TargetMode="External"/><Relationship Id="rId55" Type="http://schemas.openxmlformats.org/officeDocument/2006/relationships/hyperlink" Target="https://www.cfa.vic.gov.au/about-us/what-we-do" TargetMode="External"/><Relationship Id="rId76" Type="http://schemas.openxmlformats.org/officeDocument/2006/relationships/hyperlink" Target="https://www.primesafe.vic.gov.au/" TargetMode="External"/><Relationship Id="rId97" Type="http://schemas.openxmlformats.org/officeDocument/2006/relationships/hyperlink" Target="https://vpsc.vic.gov.au/executive-employment/victorian-public-entity-executive-employment/public-entity-executive-classification-framework/" TargetMode="External"/><Relationship Id="rId104" Type="http://schemas.openxmlformats.org/officeDocument/2006/relationships/hyperlink" Target="https://www.wic.vic.gov.au/" TargetMode="External"/><Relationship Id="rId7" Type="http://schemas.openxmlformats.org/officeDocument/2006/relationships/footnotes" Target="footnotes.xml"/><Relationship Id="rId71" Type="http://schemas.openxmlformats.org/officeDocument/2006/relationships/hyperlink" Target="https://www.parliament.vic.gov.au/get-involved/inquiries/inquiry-into-the-2023-24-financial-and-performance-outcomes" TargetMode="External"/><Relationship Id="rId92" Type="http://schemas.openxmlformats.org/officeDocument/2006/relationships/hyperlink" Target="https://www.vfmc.vic.gov.au/why-join-vfmc/balanced-lives/" TargetMode="External"/></Relationships>
</file>

<file path=word/theme/theme1.xml><?xml version="1.0" encoding="utf-8"?>
<a:theme xmlns:a="http://schemas.openxmlformats.org/drawingml/2006/main" name="Office Theme">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79BB99-4D3F-4767-8FF3-08DD0E7246F4}">
  <ds:schemaRefs>
    <ds:schemaRef ds:uri="http://schemas.openxmlformats.org/officeDocument/2006/bibliography"/>
  </ds:schemaRefs>
</ds:datastoreItem>
</file>

<file path=customXml/itemProps2.xml><?xml version="1.0" encoding="utf-8"?>
<ds:datastoreItem xmlns:ds="http://schemas.openxmlformats.org/officeDocument/2006/customXml" ds:itemID="{DBCCC259-E460-4233-B162-FB8C466A7D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37994</Words>
  <Characters>216568</Characters>
  <Application>Microsoft Office Word</Application>
  <DocSecurity>2</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254054</CharactersWithSpaces>
  <SharedDoc>false</SharedDoc>
  <HLinks>
    <vt:vector size="642" baseType="variant">
      <vt:variant>
        <vt:i4>8126513</vt:i4>
      </vt:variant>
      <vt:variant>
        <vt:i4>474</vt:i4>
      </vt:variant>
      <vt:variant>
        <vt:i4>0</vt:i4>
      </vt:variant>
      <vt:variant>
        <vt:i4>5</vt:i4>
      </vt:variant>
      <vt:variant>
        <vt:lpwstr>https://www.wic.vic.gov.au/</vt:lpwstr>
      </vt:variant>
      <vt:variant>
        <vt:lpwstr/>
      </vt:variant>
      <vt:variant>
        <vt:i4>720918</vt:i4>
      </vt:variant>
      <vt:variant>
        <vt:i4>471</vt:i4>
      </vt:variant>
      <vt:variant>
        <vt:i4>0</vt:i4>
      </vt:variant>
      <vt:variant>
        <vt:i4>5</vt:i4>
      </vt:variant>
      <vt:variant>
        <vt:lpwstr>https://vpsc.vic.gov.au/ethics-behaviours-culture/public-sector-integrity-framework/</vt:lpwstr>
      </vt:variant>
      <vt:variant>
        <vt:lpwstr/>
      </vt:variant>
      <vt:variant>
        <vt:i4>2818104</vt:i4>
      </vt:variant>
      <vt:variant>
        <vt:i4>468</vt:i4>
      </vt:variant>
      <vt:variant>
        <vt:i4>0</vt:i4>
      </vt:variant>
      <vt:variant>
        <vt:i4>5</vt:i4>
      </vt:variant>
      <vt:variant>
        <vt:lpwstr>https://vpsc.vic.gov.au/about-public-sector/employer-public-sector-bodies/</vt:lpwstr>
      </vt:variant>
      <vt:variant>
        <vt:lpwstr/>
      </vt:variant>
      <vt:variant>
        <vt:i4>4653138</vt:i4>
      </vt:variant>
      <vt:variant>
        <vt:i4>465</vt:i4>
      </vt:variant>
      <vt:variant>
        <vt:i4>0</vt:i4>
      </vt:variant>
      <vt:variant>
        <vt:i4>5</vt:i4>
      </vt:variant>
      <vt:variant>
        <vt:lpwstr>https://vpsc.vic.gov.au/governance/public-entity-types-features-and-functions/functions-and-features-of-public-entities/</vt:lpwstr>
      </vt:variant>
      <vt:variant>
        <vt:lpwstr/>
      </vt:variant>
      <vt:variant>
        <vt:i4>1835079</vt:i4>
      </vt:variant>
      <vt:variant>
        <vt:i4>462</vt:i4>
      </vt:variant>
      <vt:variant>
        <vt:i4>0</vt:i4>
      </vt:variant>
      <vt:variant>
        <vt:i4>5</vt:i4>
      </vt:variant>
      <vt:variant>
        <vt:lpwstr>https://vpsc.vic.gov.au/workforce-data-state-of-the-public-sector/employee-experiences-in-the-workplace-2023/flexible-work-2023/</vt:lpwstr>
      </vt:variant>
      <vt:variant>
        <vt:lpwstr/>
      </vt:variant>
      <vt:variant>
        <vt:i4>6225938</vt:i4>
      </vt:variant>
      <vt:variant>
        <vt:i4>459</vt:i4>
      </vt:variant>
      <vt:variant>
        <vt:i4>0</vt:i4>
      </vt:variant>
      <vt:variant>
        <vt:i4>5</vt:i4>
      </vt:variant>
      <vt:variant>
        <vt:lpwstr>https://vpsc.vic.gov.au/workforce-data-state-of-the-public-sector/employee-and-executive-pay-leave-and-work-arrangements-2023/executive-pay-and-gender-pay-2023/</vt:lpwstr>
      </vt:variant>
      <vt:variant>
        <vt:lpwstr/>
      </vt:variant>
      <vt:variant>
        <vt:i4>3473466</vt:i4>
      </vt:variant>
      <vt:variant>
        <vt:i4>456</vt:i4>
      </vt:variant>
      <vt:variant>
        <vt:i4>0</vt:i4>
      </vt:variant>
      <vt:variant>
        <vt:i4>5</vt:i4>
      </vt:variant>
      <vt:variant>
        <vt:lpwstr>https://vpsc.vic.gov.au/executive-employment/victorian-public-service-executive-employment/vps-executive-classification-framework/</vt:lpwstr>
      </vt:variant>
      <vt:variant>
        <vt:lpwstr/>
      </vt:variant>
      <vt:variant>
        <vt:i4>7733362</vt:i4>
      </vt:variant>
      <vt:variant>
        <vt:i4>453</vt:i4>
      </vt:variant>
      <vt:variant>
        <vt:i4>0</vt:i4>
      </vt:variant>
      <vt:variant>
        <vt:i4>5</vt:i4>
      </vt:variant>
      <vt:variant>
        <vt:lpwstr>https://vpsc.vic.gov.au/executive-employment/victorian-public-entity-executive-employment/public-entity-executive-classification-framework/</vt:lpwstr>
      </vt:variant>
      <vt:variant>
        <vt:lpwstr/>
      </vt:variant>
      <vt:variant>
        <vt:i4>7012475</vt:i4>
      </vt:variant>
      <vt:variant>
        <vt:i4>450</vt:i4>
      </vt:variant>
      <vt:variant>
        <vt:i4>0</vt:i4>
      </vt:variant>
      <vt:variant>
        <vt:i4>5</vt:i4>
      </vt:variant>
      <vt:variant>
        <vt:lpwstr>https://corporate.vline.com.au/News-Alerts/News-Articles/annual-report-(2)</vt:lpwstr>
      </vt:variant>
      <vt:variant>
        <vt:lpwstr/>
      </vt:variant>
      <vt:variant>
        <vt:i4>7667751</vt:i4>
      </vt:variant>
      <vt:variant>
        <vt:i4>447</vt:i4>
      </vt:variant>
      <vt:variant>
        <vt:i4>0</vt:i4>
      </vt:variant>
      <vt:variant>
        <vt:i4>5</vt:i4>
      </vt:variant>
      <vt:variant>
        <vt:lpwstr>https://www.victrack.com.au/about/our-role</vt:lpwstr>
      </vt:variant>
      <vt:variant>
        <vt:lpwstr/>
      </vt:variant>
      <vt:variant>
        <vt:i4>5570567</vt:i4>
      </vt:variant>
      <vt:variant>
        <vt:i4>444</vt:i4>
      </vt:variant>
      <vt:variant>
        <vt:i4>0</vt:i4>
      </vt:variant>
      <vt:variant>
        <vt:i4>5</vt:i4>
      </vt:variant>
      <vt:variant>
        <vt:lpwstr>https://bigbuild.vic.gov.au/about/about-the-suburban-rail-loop-authority</vt:lpwstr>
      </vt:variant>
      <vt:variant>
        <vt:lpwstr/>
      </vt:variant>
      <vt:variant>
        <vt:i4>1835028</vt:i4>
      </vt:variant>
      <vt:variant>
        <vt:i4>441</vt:i4>
      </vt:variant>
      <vt:variant>
        <vt:i4>0</vt:i4>
      </vt:variant>
      <vt:variant>
        <vt:i4>5</vt:i4>
      </vt:variant>
      <vt:variant>
        <vt:lpwstr>https://responsiblegambling.vic.gov.au/about-us/news-and-media/changing-the-way-we-talk-about-gambling-harm/</vt:lpwstr>
      </vt:variant>
      <vt:variant>
        <vt:lpwstr/>
      </vt:variant>
      <vt:variant>
        <vt:i4>65617</vt:i4>
      </vt:variant>
      <vt:variant>
        <vt:i4>438</vt:i4>
      </vt:variant>
      <vt:variant>
        <vt:i4>0</vt:i4>
      </vt:variant>
      <vt:variant>
        <vt:i4>5</vt:i4>
      </vt:variant>
      <vt:variant>
        <vt:lpwstr>https://www.vichealth.vic.gov.au/</vt:lpwstr>
      </vt:variant>
      <vt:variant>
        <vt:lpwstr/>
      </vt:variant>
      <vt:variant>
        <vt:i4>1638407</vt:i4>
      </vt:variant>
      <vt:variant>
        <vt:i4>435</vt:i4>
      </vt:variant>
      <vt:variant>
        <vt:i4>0</vt:i4>
      </vt:variant>
      <vt:variant>
        <vt:i4>5</vt:i4>
      </vt:variant>
      <vt:variant>
        <vt:lpwstr>https://www.vfmc.vic.gov.au/why-join-vfmc/balanced-lives/</vt:lpwstr>
      </vt:variant>
      <vt:variant>
        <vt:lpwstr/>
      </vt:variant>
      <vt:variant>
        <vt:i4>1703951</vt:i4>
      </vt:variant>
      <vt:variant>
        <vt:i4>432</vt:i4>
      </vt:variant>
      <vt:variant>
        <vt:i4>0</vt:i4>
      </vt:variant>
      <vt:variant>
        <vt:i4>5</vt:i4>
      </vt:variant>
      <vt:variant>
        <vt:lpwstr>https://trustfornature.org.au/what-we-do</vt:lpwstr>
      </vt:variant>
      <vt:variant>
        <vt:lpwstr/>
      </vt:variant>
      <vt:variant>
        <vt:i4>1638491</vt:i4>
      </vt:variant>
      <vt:variant>
        <vt:i4>429</vt:i4>
      </vt:variant>
      <vt:variant>
        <vt:i4>0</vt:i4>
      </vt:variant>
      <vt:variant>
        <vt:i4>5</vt:i4>
      </vt:variant>
      <vt:variant>
        <vt:lpwstr>https://www.triplezero.vic.gov.au/about-triple-zero-victoria</vt:lpwstr>
      </vt:variant>
      <vt:variant>
        <vt:lpwstr/>
      </vt:variant>
      <vt:variant>
        <vt:i4>7864377</vt:i4>
      </vt:variant>
      <vt:variant>
        <vt:i4>426</vt:i4>
      </vt:variant>
      <vt:variant>
        <vt:i4>0</vt:i4>
      </vt:variant>
      <vt:variant>
        <vt:i4>5</vt:i4>
      </vt:variant>
      <vt:variant>
        <vt:lpwstr>https://www.wheelercentre.com/about-us</vt:lpwstr>
      </vt:variant>
      <vt:variant>
        <vt:lpwstr/>
      </vt:variant>
      <vt:variant>
        <vt:i4>6291519</vt:i4>
      </vt:variant>
      <vt:variant>
        <vt:i4>423</vt:i4>
      </vt:variant>
      <vt:variant>
        <vt:i4>0</vt:i4>
      </vt:variant>
      <vt:variant>
        <vt:i4>5</vt:i4>
      </vt:variant>
      <vt:variant>
        <vt:lpwstr>https://www.theage.com.au/national/victoria/big-merger-vicroads-and-ptv-to-become-one-mega-agency-20190404-p51arj.html</vt:lpwstr>
      </vt:variant>
      <vt:variant>
        <vt:lpwstr/>
      </vt:variant>
      <vt:variant>
        <vt:i4>917585</vt:i4>
      </vt:variant>
      <vt:variant>
        <vt:i4>420</vt:i4>
      </vt:variant>
      <vt:variant>
        <vt:i4>0</vt:i4>
      </vt:variant>
      <vt:variant>
        <vt:i4>5</vt:i4>
      </vt:variant>
      <vt:variant>
        <vt:lpwstr>https://www.tcv.vic.gov.au/about-tcv</vt:lpwstr>
      </vt:variant>
      <vt:variant>
        <vt:lpwstr/>
      </vt:variant>
      <vt:variant>
        <vt:i4>6553633</vt:i4>
      </vt:variant>
      <vt:variant>
        <vt:i4>417</vt:i4>
      </vt:variant>
      <vt:variant>
        <vt:i4>0</vt:i4>
      </vt:variant>
      <vt:variant>
        <vt:i4>5</vt:i4>
      </vt:variant>
      <vt:variant>
        <vt:lpwstr>https://help.surveymonkey.com/en/surveymonkey/analyze/significant-differences/</vt:lpwstr>
      </vt:variant>
      <vt:variant>
        <vt:lpwstr/>
      </vt:variant>
      <vt:variant>
        <vt:i4>4325455</vt:i4>
      </vt:variant>
      <vt:variant>
        <vt:i4>414</vt:i4>
      </vt:variant>
      <vt:variant>
        <vt:i4>0</vt:i4>
      </vt:variant>
      <vt:variant>
        <vt:i4>5</vt:i4>
      </vt:variant>
      <vt:variant>
        <vt:lpwstr>https://www.statetrustees.com.au/</vt:lpwstr>
      </vt:variant>
      <vt:variant>
        <vt:lpwstr/>
      </vt:variant>
      <vt:variant>
        <vt:i4>2097248</vt:i4>
      </vt:variant>
      <vt:variant>
        <vt:i4>411</vt:i4>
      </vt:variant>
      <vt:variant>
        <vt:i4>0</vt:i4>
      </vt:variant>
      <vt:variant>
        <vt:i4>5</vt:i4>
      </vt:variant>
      <vt:variant>
        <vt:lpwstr>https://www.vic.gov.au/public-entity-executive-remuneration-policy</vt:lpwstr>
      </vt:variant>
      <vt:variant>
        <vt:lpwstr/>
      </vt:variant>
      <vt:variant>
        <vt:i4>2490417</vt:i4>
      </vt:variant>
      <vt:variant>
        <vt:i4>408</vt:i4>
      </vt:variant>
      <vt:variant>
        <vt:i4>0</vt:i4>
      </vt:variant>
      <vt:variant>
        <vt:i4>5</vt:i4>
      </vt:variant>
      <vt:variant>
        <vt:lpwstr>https://www.vic.gov.au/executive-and-senior-office-holders-annual-remuneration-changes</vt:lpwstr>
      </vt:variant>
      <vt:variant>
        <vt:lpwstr/>
      </vt:variant>
      <vt:variant>
        <vt:i4>655445</vt:i4>
      </vt:variant>
      <vt:variant>
        <vt:i4>405</vt:i4>
      </vt:variant>
      <vt:variant>
        <vt:i4>0</vt:i4>
      </vt:variant>
      <vt:variant>
        <vt:i4>5</vt:i4>
      </vt:variant>
      <vt:variant>
        <vt:lpwstr>https://www.vic.gov.au/bonus-removal-offer-0</vt:lpwstr>
      </vt:variant>
      <vt:variant>
        <vt:lpwstr/>
      </vt:variant>
      <vt:variant>
        <vt:i4>327710</vt:i4>
      </vt:variant>
      <vt:variant>
        <vt:i4>402</vt:i4>
      </vt:variant>
      <vt:variant>
        <vt:i4>0</vt:i4>
      </vt:variant>
      <vt:variant>
        <vt:i4>5</vt:i4>
      </vt:variant>
      <vt:variant>
        <vt:lpwstr>https://www.vic.gov.au/changes-regulation-social-services</vt:lpwstr>
      </vt:variant>
      <vt:variant>
        <vt:lpwstr/>
      </vt:variant>
      <vt:variant>
        <vt:i4>6357092</vt:i4>
      </vt:variant>
      <vt:variant>
        <vt:i4>399</vt:i4>
      </vt:variant>
      <vt:variant>
        <vt:i4>0</vt:i4>
      </vt:variant>
      <vt:variant>
        <vt:i4>5</vt:i4>
      </vt:variant>
      <vt:variant>
        <vt:lpwstr>https://www.vic.gov.au/about-social-services-regulator</vt:lpwstr>
      </vt:variant>
      <vt:variant>
        <vt:lpwstr/>
      </vt:variant>
      <vt:variant>
        <vt:i4>4128880</vt:i4>
      </vt:variant>
      <vt:variant>
        <vt:i4>396</vt:i4>
      </vt:variant>
      <vt:variant>
        <vt:i4>0</vt:i4>
      </vt:variant>
      <vt:variant>
        <vt:i4>5</vt:i4>
      </vt:variant>
      <vt:variant>
        <vt:lpwstr>https://www.shrine.org.au/about-shrine-remembrance</vt:lpwstr>
      </vt:variant>
      <vt:variant>
        <vt:lpwstr/>
      </vt:variant>
      <vt:variant>
        <vt:i4>3604597</vt:i4>
      </vt:variant>
      <vt:variant>
        <vt:i4>393</vt:i4>
      </vt:variant>
      <vt:variant>
        <vt:i4>0</vt:i4>
      </vt:variant>
      <vt:variant>
        <vt:i4>5</vt:i4>
      </vt:variant>
      <vt:variant>
        <vt:lpwstr>https://www.vic.gov.au/establishment-recycling-victoria</vt:lpwstr>
      </vt:variant>
      <vt:variant>
        <vt:lpwstr/>
      </vt:variant>
      <vt:variant>
        <vt:i4>2031709</vt:i4>
      </vt:variant>
      <vt:variant>
        <vt:i4>390</vt:i4>
      </vt:variant>
      <vt:variant>
        <vt:i4>0</vt:i4>
      </vt:variant>
      <vt:variant>
        <vt:i4>5</vt:i4>
      </vt:variant>
      <vt:variant>
        <vt:lpwstr>https://www.primesafe.vic.gov.au/</vt:lpwstr>
      </vt:variant>
      <vt:variant>
        <vt:lpwstr/>
      </vt:variant>
      <vt:variant>
        <vt:i4>2621537</vt:i4>
      </vt:variant>
      <vt:variant>
        <vt:i4>387</vt:i4>
      </vt:variant>
      <vt:variant>
        <vt:i4>0</vt:i4>
      </vt:variant>
      <vt:variant>
        <vt:i4>5</vt:i4>
      </vt:variant>
      <vt:variant>
        <vt:lpwstr>https://www.premier.vic.gov.au/site-4/new-legislation-reform-victorias-triple-zero-service</vt:lpwstr>
      </vt:variant>
      <vt:variant>
        <vt:lpwstr/>
      </vt:variant>
      <vt:variant>
        <vt:i4>7798834</vt:i4>
      </vt:variant>
      <vt:variant>
        <vt:i4>384</vt:i4>
      </vt:variant>
      <vt:variant>
        <vt:i4>0</vt:i4>
      </vt:variant>
      <vt:variant>
        <vt:i4>5</vt:i4>
      </vt:variant>
      <vt:variant>
        <vt:lpwstr>https://ports.vic.gov.au/about-us/</vt:lpwstr>
      </vt:variant>
      <vt:variant>
        <vt:lpwstr/>
      </vt:variant>
      <vt:variant>
        <vt:i4>3014712</vt:i4>
      </vt:variant>
      <vt:variant>
        <vt:i4>381</vt:i4>
      </vt:variant>
      <vt:variant>
        <vt:i4>0</vt:i4>
      </vt:variant>
      <vt:variant>
        <vt:i4>5</vt:i4>
      </vt:variant>
      <vt:variant>
        <vt:lpwstr>https://www.penguins.org.au/about/</vt:lpwstr>
      </vt:variant>
      <vt:variant>
        <vt:lpwstr/>
      </vt:variant>
      <vt:variant>
        <vt:i4>7340134</vt:i4>
      </vt:variant>
      <vt:variant>
        <vt:i4>378</vt:i4>
      </vt:variant>
      <vt:variant>
        <vt:i4>0</vt:i4>
      </vt:variant>
      <vt:variant>
        <vt:i4>5</vt:i4>
      </vt:variant>
      <vt:variant>
        <vt:lpwstr>https://www.parliament.vic.gov.au/nativebirdhunting</vt:lpwstr>
      </vt:variant>
      <vt:variant>
        <vt:lpwstr/>
      </vt:variant>
      <vt:variant>
        <vt:i4>1835085</vt:i4>
      </vt:variant>
      <vt:variant>
        <vt:i4>375</vt:i4>
      </vt:variant>
      <vt:variant>
        <vt:i4>0</vt:i4>
      </vt:variant>
      <vt:variant>
        <vt:i4>5</vt:i4>
      </vt:variant>
      <vt:variant>
        <vt:lpwstr>https://www.parliament.vic.gov.au/get-involved/inquiries/inquiry-into-the-2023-24-financial-and-performance-outcomes</vt:lpwstr>
      </vt:variant>
      <vt:variant>
        <vt:lpwstr/>
      </vt:variant>
      <vt:variant>
        <vt:i4>7602289</vt:i4>
      </vt:variant>
      <vt:variant>
        <vt:i4>372</vt:i4>
      </vt:variant>
      <vt:variant>
        <vt:i4>0</vt:i4>
      </vt:variant>
      <vt:variant>
        <vt:i4>5</vt:i4>
      </vt:variant>
      <vt:variant>
        <vt:lpwstr>https://www.parliament.vic.gov.au/floodinquiry</vt:lpwstr>
      </vt:variant>
      <vt:variant>
        <vt:lpwstr/>
      </vt:variant>
      <vt:variant>
        <vt:i4>7536761</vt:i4>
      </vt:variant>
      <vt:variant>
        <vt:i4>369</vt:i4>
      </vt:variant>
      <vt:variant>
        <vt:i4>0</vt:i4>
      </vt:variant>
      <vt:variant>
        <vt:i4>5</vt:i4>
      </vt:variant>
      <vt:variant>
        <vt:lpwstr>https://melbournemarkets.com.au/about-the-market/overview/</vt:lpwstr>
      </vt:variant>
      <vt:variant>
        <vt:lpwstr/>
      </vt:variant>
      <vt:variant>
        <vt:i4>2424864</vt:i4>
      </vt:variant>
      <vt:variant>
        <vt:i4>366</vt:i4>
      </vt:variant>
      <vt:variant>
        <vt:i4>0</vt:i4>
      </vt:variant>
      <vt:variant>
        <vt:i4>5</vt:i4>
      </vt:variant>
      <vt:variant>
        <vt:lpwstr>https://languageloop.com.au/about-us/about-us/</vt:lpwstr>
      </vt:variant>
      <vt:variant>
        <vt:lpwstr/>
      </vt:variant>
      <vt:variant>
        <vt:i4>7274593</vt:i4>
      </vt:variant>
      <vt:variant>
        <vt:i4>363</vt:i4>
      </vt:variant>
      <vt:variant>
        <vt:i4>0</vt:i4>
      </vt:variant>
      <vt:variant>
        <vt:i4>5</vt:i4>
      </vt:variant>
      <vt:variant>
        <vt:lpwstr>https://www.imf.org/en/News/Articles/2024/10/02/mcs-australia-staff-concluding-statement-of-the-2024-article-iv-mission</vt:lpwstr>
      </vt:variant>
      <vt:variant>
        <vt:lpwstr/>
      </vt:variant>
      <vt:variant>
        <vt:i4>6815776</vt:i4>
      </vt:variant>
      <vt:variant>
        <vt:i4>360</vt:i4>
      </vt:variant>
      <vt:variant>
        <vt:i4>0</vt:i4>
      </vt:variant>
      <vt:variant>
        <vt:i4>5</vt:i4>
      </vt:variant>
      <vt:variant>
        <vt:lpwstr>https://www.infrastructurevictoria.com.au/</vt:lpwstr>
      </vt:variant>
      <vt:variant>
        <vt:lpwstr/>
      </vt:variant>
      <vt:variant>
        <vt:i4>4194391</vt:i4>
      </vt:variant>
      <vt:variant>
        <vt:i4>357</vt:i4>
      </vt:variant>
      <vt:variant>
        <vt:i4>0</vt:i4>
      </vt:variant>
      <vt:variant>
        <vt:i4>5</vt:i4>
      </vt:variant>
      <vt:variant>
        <vt:lpwstr>https://www.gmct.com.au/our-locations</vt:lpwstr>
      </vt:variant>
      <vt:variant>
        <vt:lpwstr/>
      </vt:variant>
      <vt:variant>
        <vt:i4>6684718</vt:i4>
      </vt:variant>
      <vt:variant>
        <vt:i4>354</vt:i4>
      </vt:variant>
      <vt:variant>
        <vt:i4>0</vt:i4>
      </vt:variant>
      <vt:variant>
        <vt:i4>5</vt:i4>
      </vt:variant>
      <vt:variant>
        <vt:lpwstr>https://www.fwc.gov.au/work-conditions/enterprise-agreements/find-enterprise-agreement</vt:lpwstr>
      </vt:variant>
      <vt:variant>
        <vt:lpwstr/>
      </vt:variant>
      <vt:variant>
        <vt:i4>2621553</vt:i4>
      </vt:variant>
      <vt:variant>
        <vt:i4>351</vt:i4>
      </vt:variant>
      <vt:variant>
        <vt:i4>0</vt:i4>
      </vt:variant>
      <vt:variant>
        <vt:i4>5</vt:i4>
      </vt:variant>
      <vt:variant>
        <vt:lpwstr>https://engage.vic.gov.au/public-entity-executive-classification-framework</vt:lpwstr>
      </vt:variant>
      <vt:variant>
        <vt:lpwstr/>
      </vt:variant>
      <vt:variant>
        <vt:i4>4784211</vt:i4>
      </vt:variant>
      <vt:variant>
        <vt:i4>348</vt:i4>
      </vt:variant>
      <vt:variant>
        <vt:i4>0</vt:i4>
      </vt:variant>
      <vt:variant>
        <vt:i4>5</vt:i4>
      </vt:variant>
      <vt:variant>
        <vt:lpwstr>https://www.dsmelbourne.com/</vt:lpwstr>
      </vt:variant>
      <vt:variant>
        <vt:lpwstr/>
      </vt:variant>
      <vt:variant>
        <vt:i4>3735659</vt:i4>
      </vt:variant>
      <vt:variant>
        <vt:i4>345</vt:i4>
      </vt:variant>
      <vt:variant>
        <vt:i4>0</vt:i4>
      </vt:variant>
      <vt:variant>
        <vt:i4>5</vt:i4>
      </vt:variant>
      <vt:variant>
        <vt:lpwstr>https://www.development.vic.gov.au/about/what-we-do</vt:lpwstr>
      </vt:variant>
      <vt:variant>
        <vt:lpwstr/>
      </vt:variant>
      <vt:variant>
        <vt:i4>2818163</vt:i4>
      </vt:variant>
      <vt:variant>
        <vt:i4>342</vt:i4>
      </vt:variant>
      <vt:variant>
        <vt:i4>0</vt:i4>
      </vt:variant>
      <vt:variant>
        <vt:i4>5</vt:i4>
      </vt:variant>
      <vt:variant>
        <vt:lpwstr>https://www.vic.gov.au/our-equal-state-victorias-gender-equality-strategy-and-action-plan-2023-2027</vt:lpwstr>
      </vt:variant>
      <vt:variant>
        <vt:lpwstr/>
      </vt:variant>
      <vt:variant>
        <vt:i4>6553640</vt:i4>
      </vt:variant>
      <vt:variant>
        <vt:i4>339</vt:i4>
      </vt:variant>
      <vt:variant>
        <vt:i4>0</vt:i4>
      </vt:variant>
      <vt:variant>
        <vt:i4>5</vt:i4>
      </vt:variant>
      <vt:variant>
        <vt:lpwstr>https://www.deeca.vic.gov.au/forestry/forestry-in-victoria</vt:lpwstr>
      </vt:variant>
      <vt:variant>
        <vt:lpwstr/>
      </vt:variant>
      <vt:variant>
        <vt:i4>1245190</vt:i4>
      </vt:variant>
      <vt:variant>
        <vt:i4>336</vt:i4>
      </vt:variant>
      <vt:variant>
        <vt:i4>0</vt:i4>
      </vt:variant>
      <vt:variant>
        <vt:i4>5</vt:i4>
      </vt:variant>
      <vt:variant>
        <vt:lpwstr>https://www.water.vic.gov.au/catchments/catchment-governance</vt:lpwstr>
      </vt:variant>
      <vt:variant>
        <vt:lpwstr/>
      </vt:variant>
      <vt:variant>
        <vt:i4>3407935</vt:i4>
      </vt:variant>
      <vt:variant>
        <vt:i4>333</vt:i4>
      </vt:variant>
      <vt:variant>
        <vt:i4>0</vt:i4>
      </vt:variant>
      <vt:variant>
        <vt:i4>5</vt:i4>
      </vt:variant>
      <vt:variant>
        <vt:lpwstr>https://www2.deloitte.com/us/en/insights/industry/public-sector/hybrid-work-challenges.html</vt:lpwstr>
      </vt:variant>
      <vt:variant>
        <vt:lpwstr/>
      </vt:variant>
      <vt:variant>
        <vt:i4>7995515</vt:i4>
      </vt:variant>
      <vt:variant>
        <vt:i4>330</vt:i4>
      </vt:variant>
      <vt:variant>
        <vt:i4>0</vt:i4>
      </vt:variant>
      <vt:variant>
        <vt:i4>5</vt:i4>
      </vt:variant>
      <vt:variant>
        <vt:lpwstr>https://www.cfa.vic.gov.au/about-us/what-we-do</vt:lpwstr>
      </vt:variant>
      <vt:variant>
        <vt:lpwstr/>
      </vt:variant>
      <vt:variant>
        <vt:i4>1638430</vt:i4>
      </vt:variant>
      <vt:variant>
        <vt:i4>327</vt:i4>
      </vt:variant>
      <vt:variant>
        <vt:i4>0</vt:i4>
      </vt:variant>
      <vt:variant>
        <vt:i4>5</vt:i4>
      </vt:variant>
      <vt:variant>
        <vt:lpwstr>https://breakthroughvictoria.com/</vt:lpwstr>
      </vt:variant>
      <vt:variant>
        <vt:lpwstr/>
      </vt:variant>
      <vt:variant>
        <vt:i4>6291568</vt:i4>
      </vt:variant>
      <vt:variant>
        <vt:i4>324</vt:i4>
      </vt:variant>
      <vt:variant>
        <vt:i4>0</vt:i4>
      </vt:variant>
      <vt:variant>
        <vt:i4>5</vt:i4>
      </vt:variant>
      <vt:variant>
        <vt:lpwstr>https://www.aicd.com.au/board-of-directors/roles/executive/role-of-chief-executive-officer-ceo-or-managing-director-md.html</vt:lpwstr>
      </vt:variant>
      <vt:variant>
        <vt:lpwstr/>
      </vt:variant>
      <vt:variant>
        <vt:i4>4915277</vt:i4>
      </vt:variant>
      <vt:variant>
        <vt:i4>321</vt:i4>
      </vt:variant>
      <vt:variant>
        <vt:i4>0</vt:i4>
      </vt:variant>
      <vt:variant>
        <vt:i4>5</vt:i4>
      </vt:variant>
      <vt:variant>
        <vt:lpwstr>https://www.abs.gov.au/statistics/detailed-methodology-information/concepts-sources-methods/australian-system-government-finance-statistics-concepts-sources-and-methods/2015</vt:lpwstr>
      </vt:variant>
      <vt:variant>
        <vt:lpwstr/>
      </vt:variant>
      <vt:variant>
        <vt:i4>3407913</vt:i4>
      </vt:variant>
      <vt:variant>
        <vt:i4>318</vt:i4>
      </vt:variant>
      <vt:variant>
        <vt:i4>0</vt:i4>
      </vt:variant>
      <vt:variant>
        <vt:i4>5</vt:i4>
      </vt:variant>
      <vt:variant>
        <vt:lpwstr>https://www.artscentremelbourne.com.au/about-us</vt:lpwstr>
      </vt:variant>
      <vt:variant>
        <vt:lpwstr/>
      </vt:variant>
      <vt:variant>
        <vt:i4>917583</vt:i4>
      </vt:variant>
      <vt:variant>
        <vt:i4>315</vt:i4>
      </vt:variant>
      <vt:variant>
        <vt:i4>0</vt:i4>
      </vt:variant>
      <vt:variant>
        <vt:i4>5</vt:i4>
      </vt:variant>
      <vt:variant>
        <vt:lpwstr>https://www.alpineresorts.vic.gov.au/about-arv/alpine-resorts-management-act-1997</vt:lpwstr>
      </vt:variant>
      <vt:variant>
        <vt:lpwstr/>
      </vt:variant>
      <vt:variant>
        <vt:i4>524376</vt:i4>
      </vt:variant>
      <vt:variant>
        <vt:i4>312</vt:i4>
      </vt:variant>
      <vt:variant>
        <vt:i4>0</vt:i4>
      </vt:variant>
      <vt:variant>
        <vt:i4>5</vt:i4>
      </vt:variant>
      <vt:variant>
        <vt:lpwstr>https://agvicservices.com.au/</vt:lpwstr>
      </vt:variant>
      <vt:variant>
        <vt:lpwstr/>
      </vt:variant>
      <vt:variant>
        <vt:i4>5308435</vt:i4>
      </vt:variant>
      <vt:variant>
        <vt:i4>309</vt:i4>
      </vt:variant>
      <vt:variant>
        <vt:i4>0</vt:i4>
      </vt:variant>
      <vt:variant>
        <vt:i4>5</vt:i4>
      </vt:variant>
      <vt:variant>
        <vt:lpwstr>https://anzsog.edu.au/news/anzsog-insights-into-how-leaders-can-support-hybrid-work-in-the-public-sector/</vt:lpwstr>
      </vt:variant>
      <vt:variant>
        <vt:lpwstr/>
      </vt:variant>
      <vt:variant>
        <vt:i4>1310774</vt:i4>
      </vt:variant>
      <vt:variant>
        <vt:i4>302</vt:i4>
      </vt:variant>
      <vt:variant>
        <vt:i4>0</vt:i4>
      </vt:variant>
      <vt:variant>
        <vt:i4>5</vt:i4>
      </vt:variant>
      <vt:variant>
        <vt:lpwstr/>
      </vt:variant>
      <vt:variant>
        <vt:lpwstr>_Toc185012394</vt:lpwstr>
      </vt:variant>
      <vt:variant>
        <vt:i4>1310774</vt:i4>
      </vt:variant>
      <vt:variant>
        <vt:i4>296</vt:i4>
      </vt:variant>
      <vt:variant>
        <vt:i4>0</vt:i4>
      </vt:variant>
      <vt:variant>
        <vt:i4>5</vt:i4>
      </vt:variant>
      <vt:variant>
        <vt:lpwstr/>
      </vt:variant>
      <vt:variant>
        <vt:lpwstr>_Toc185012393</vt:lpwstr>
      </vt:variant>
      <vt:variant>
        <vt:i4>1310774</vt:i4>
      </vt:variant>
      <vt:variant>
        <vt:i4>290</vt:i4>
      </vt:variant>
      <vt:variant>
        <vt:i4>0</vt:i4>
      </vt:variant>
      <vt:variant>
        <vt:i4>5</vt:i4>
      </vt:variant>
      <vt:variant>
        <vt:lpwstr/>
      </vt:variant>
      <vt:variant>
        <vt:lpwstr>_Toc185012392</vt:lpwstr>
      </vt:variant>
      <vt:variant>
        <vt:i4>1310774</vt:i4>
      </vt:variant>
      <vt:variant>
        <vt:i4>284</vt:i4>
      </vt:variant>
      <vt:variant>
        <vt:i4>0</vt:i4>
      </vt:variant>
      <vt:variant>
        <vt:i4>5</vt:i4>
      </vt:variant>
      <vt:variant>
        <vt:lpwstr/>
      </vt:variant>
      <vt:variant>
        <vt:lpwstr>_Toc185012391</vt:lpwstr>
      </vt:variant>
      <vt:variant>
        <vt:i4>1310774</vt:i4>
      </vt:variant>
      <vt:variant>
        <vt:i4>278</vt:i4>
      </vt:variant>
      <vt:variant>
        <vt:i4>0</vt:i4>
      </vt:variant>
      <vt:variant>
        <vt:i4>5</vt:i4>
      </vt:variant>
      <vt:variant>
        <vt:lpwstr/>
      </vt:variant>
      <vt:variant>
        <vt:lpwstr>_Toc185012390</vt:lpwstr>
      </vt:variant>
      <vt:variant>
        <vt:i4>1376310</vt:i4>
      </vt:variant>
      <vt:variant>
        <vt:i4>272</vt:i4>
      </vt:variant>
      <vt:variant>
        <vt:i4>0</vt:i4>
      </vt:variant>
      <vt:variant>
        <vt:i4>5</vt:i4>
      </vt:variant>
      <vt:variant>
        <vt:lpwstr/>
      </vt:variant>
      <vt:variant>
        <vt:lpwstr>_Toc185012389</vt:lpwstr>
      </vt:variant>
      <vt:variant>
        <vt:i4>1376310</vt:i4>
      </vt:variant>
      <vt:variant>
        <vt:i4>266</vt:i4>
      </vt:variant>
      <vt:variant>
        <vt:i4>0</vt:i4>
      </vt:variant>
      <vt:variant>
        <vt:i4>5</vt:i4>
      </vt:variant>
      <vt:variant>
        <vt:lpwstr/>
      </vt:variant>
      <vt:variant>
        <vt:lpwstr>_Toc185012388</vt:lpwstr>
      </vt:variant>
      <vt:variant>
        <vt:i4>1376310</vt:i4>
      </vt:variant>
      <vt:variant>
        <vt:i4>260</vt:i4>
      </vt:variant>
      <vt:variant>
        <vt:i4>0</vt:i4>
      </vt:variant>
      <vt:variant>
        <vt:i4>5</vt:i4>
      </vt:variant>
      <vt:variant>
        <vt:lpwstr/>
      </vt:variant>
      <vt:variant>
        <vt:lpwstr>_Toc185012387</vt:lpwstr>
      </vt:variant>
      <vt:variant>
        <vt:i4>1376310</vt:i4>
      </vt:variant>
      <vt:variant>
        <vt:i4>254</vt:i4>
      </vt:variant>
      <vt:variant>
        <vt:i4>0</vt:i4>
      </vt:variant>
      <vt:variant>
        <vt:i4>5</vt:i4>
      </vt:variant>
      <vt:variant>
        <vt:lpwstr/>
      </vt:variant>
      <vt:variant>
        <vt:lpwstr>_Toc185012386</vt:lpwstr>
      </vt:variant>
      <vt:variant>
        <vt:i4>1376310</vt:i4>
      </vt:variant>
      <vt:variant>
        <vt:i4>248</vt:i4>
      </vt:variant>
      <vt:variant>
        <vt:i4>0</vt:i4>
      </vt:variant>
      <vt:variant>
        <vt:i4>5</vt:i4>
      </vt:variant>
      <vt:variant>
        <vt:lpwstr/>
      </vt:variant>
      <vt:variant>
        <vt:lpwstr>_Toc185012385</vt:lpwstr>
      </vt:variant>
      <vt:variant>
        <vt:i4>1376310</vt:i4>
      </vt:variant>
      <vt:variant>
        <vt:i4>242</vt:i4>
      </vt:variant>
      <vt:variant>
        <vt:i4>0</vt:i4>
      </vt:variant>
      <vt:variant>
        <vt:i4>5</vt:i4>
      </vt:variant>
      <vt:variant>
        <vt:lpwstr/>
      </vt:variant>
      <vt:variant>
        <vt:lpwstr>_Toc185012384</vt:lpwstr>
      </vt:variant>
      <vt:variant>
        <vt:i4>1376310</vt:i4>
      </vt:variant>
      <vt:variant>
        <vt:i4>236</vt:i4>
      </vt:variant>
      <vt:variant>
        <vt:i4>0</vt:i4>
      </vt:variant>
      <vt:variant>
        <vt:i4>5</vt:i4>
      </vt:variant>
      <vt:variant>
        <vt:lpwstr/>
      </vt:variant>
      <vt:variant>
        <vt:lpwstr>_Toc185012383</vt:lpwstr>
      </vt:variant>
      <vt:variant>
        <vt:i4>1376310</vt:i4>
      </vt:variant>
      <vt:variant>
        <vt:i4>230</vt:i4>
      </vt:variant>
      <vt:variant>
        <vt:i4>0</vt:i4>
      </vt:variant>
      <vt:variant>
        <vt:i4>5</vt:i4>
      </vt:variant>
      <vt:variant>
        <vt:lpwstr/>
      </vt:variant>
      <vt:variant>
        <vt:lpwstr>_Toc185012382</vt:lpwstr>
      </vt:variant>
      <vt:variant>
        <vt:i4>1376310</vt:i4>
      </vt:variant>
      <vt:variant>
        <vt:i4>224</vt:i4>
      </vt:variant>
      <vt:variant>
        <vt:i4>0</vt:i4>
      </vt:variant>
      <vt:variant>
        <vt:i4>5</vt:i4>
      </vt:variant>
      <vt:variant>
        <vt:lpwstr/>
      </vt:variant>
      <vt:variant>
        <vt:lpwstr>_Toc185012381</vt:lpwstr>
      </vt:variant>
      <vt:variant>
        <vt:i4>1376310</vt:i4>
      </vt:variant>
      <vt:variant>
        <vt:i4>218</vt:i4>
      </vt:variant>
      <vt:variant>
        <vt:i4>0</vt:i4>
      </vt:variant>
      <vt:variant>
        <vt:i4>5</vt:i4>
      </vt:variant>
      <vt:variant>
        <vt:lpwstr/>
      </vt:variant>
      <vt:variant>
        <vt:lpwstr>_Toc185012380</vt:lpwstr>
      </vt:variant>
      <vt:variant>
        <vt:i4>1703990</vt:i4>
      </vt:variant>
      <vt:variant>
        <vt:i4>212</vt:i4>
      </vt:variant>
      <vt:variant>
        <vt:i4>0</vt:i4>
      </vt:variant>
      <vt:variant>
        <vt:i4>5</vt:i4>
      </vt:variant>
      <vt:variant>
        <vt:lpwstr/>
      </vt:variant>
      <vt:variant>
        <vt:lpwstr>_Toc185012379</vt:lpwstr>
      </vt:variant>
      <vt:variant>
        <vt:i4>1703990</vt:i4>
      </vt:variant>
      <vt:variant>
        <vt:i4>206</vt:i4>
      </vt:variant>
      <vt:variant>
        <vt:i4>0</vt:i4>
      </vt:variant>
      <vt:variant>
        <vt:i4>5</vt:i4>
      </vt:variant>
      <vt:variant>
        <vt:lpwstr/>
      </vt:variant>
      <vt:variant>
        <vt:lpwstr>_Toc185012378</vt:lpwstr>
      </vt:variant>
      <vt:variant>
        <vt:i4>1703990</vt:i4>
      </vt:variant>
      <vt:variant>
        <vt:i4>200</vt:i4>
      </vt:variant>
      <vt:variant>
        <vt:i4>0</vt:i4>
      </vt:variant>
      <vt:variant>
        <vt:i4>5</vt:i4>
      </vt:variant>
      <vt:variant>
        <vt:lpwstr/>
      </vt:variant>
      <vt:variant>
        <vt:lpwstr>_Toc185012377</vt:lpwstr>
      </vt:variant>
      <vt:variant>
        <vt:i4>1703990</vt:i4>
      </vt:variant>
      <vt:variant>
        <vt:i4>194</vt:i4>
      </vt:variant>
      <vt:variant>
        <vt:i4>0</vt:i4>
      </vt:variant>
      <vt:variant>
        <vt:i4>5</vt:i4>
      </vt:variant>
      <vt:variant>
        <vt:lpwstr/>
      </vt:variant>
      <vt:variant>
        <vt:lpwstr>_Toc185012376</vt:lpwstr>
      </vt:variant>
      <vt:variant>
        <vt:i4>1703990</vt:i4>
      </vt:variant>
      <vt:variant>
        <vt:i4>188</vt:i4>
      </vt:variant>
      <vt:variant>
        <vt:i4>0</vt:i4>
      </vt:variant>
      <vt:variant>
        <vt:i4>5</vt:i4>
      </vt:variant>
      <vt:variant>
        <vt:lpwstr/>
      </vt:variant>
      <vt:variant>
        <vt:lpwstr>_Toc185012375</vt:lpwstr>
      </vt:variant>
      <vt:variant>
        <vt:i4>1703990</vt:i4>
      </vt:variant>
      <vt:variant>
        <vt:i4>182</vt:i4>
      </vt:variant>
      <vt:variant>
        <vt:i4>0</vt:i4>
      </vt:variant>
      <vt:variant>
        <vt:i4>5</vt:i4>
      </vt:variant>
      <vt:variant>
        <vt:lpwstr/>
      </vt:variant>
      <vt:variant>
        <vt:lpwstr>_Toc185012374</vt:lpwstr>
      </vt:variant>
      <vt:variant>
        <vt:i4>1703990</vt:i4>
      </vt:variant>
      <vt:variant>
        <vt:i4>176</vt:i4>
      </vt:variant>
      <vt:variant>
        <vt:i4>0</vt:i4>
      </vt:variant>
      <vt:variant>
        <vt:i4>5</vt:i4>
      </vt:variant>
      <vt:variant>
        <vt:lpwstr/>
      </vt:variant>
      <vt:variant>
        <vt:lpwstr>_Toc185012373</vt:lpwstr>
      </vt:variant>
      <vt:variant>
        <vt:i4>1703990</vt:i4>
      </vt:variant>
      <vt:variant>
        <vt:i4>170</vt:i4>
      </vt:variant>
      <vt:variant>
        <vt:i4>0</vt:i4>
      </vt:variant>
      <vt:variant>
        <vt:i4>5</vt:i4>
      </vt:variant>
      <vt:variant>
        <vt:lpwstr/>
      </vt:variant>
      <vt:variant>
        <vt:lpwstr>_Toc185012372</vt:lpwstr>
      </vt:variant>
      <vt:variant>
        <vt:i4>1703990</vt:i4>
      </vt:variant>
      <vt:variant>
        <vt:i4>164</vt:i4>
      </vt:variant>
      <vt:variant>
        <vt:i4>0</vt:i4>
      </vt:variant>
      <vt:variant>
        <vt:i4>5</vt:i4>
      </vt:variant>
      <vt:variant>
        <vt:lpwstr/>
      </vt:variant>
      <vt:variant>
        <vt:lpwstr>_Toc185012371</vt:lpwstr>
      </vt:variant>
      <vt:variant>
        <vt:i4>1703990</vt:i4>
      </vt:variant>
      <vt:variant>
        <vt:i4>158</vt:i4>
      </vt:variant>
      <vt:variant>
        <vt:i4>0</vt:i4>
      </vt:variant>
      <vt:variant>
        <vt:i4>5</vt:i4>
      </vt:variant>
      <vt:variant>
        <vt:lpwstr/>
      </vt:variant>
      <vt:variant>
        <vt:lpwstr>_Toc185012370</vt:lpwstr>
      </vt:variant>
      <vt:variant>
        <vt:i4>1769526</vt:i4>
      </vt:variant>
      <vt:variant>
        <vt:i4>152</vt:i4>
      </vt:variant>
      <vt:variant>
        <vt:i4>0</vt:i4>
      </vt:variant>
      <vt:variant>
        <vt:i4>5</vt:i4>
      </vt:variant>
      <vt:variant>
        <vt:lpwstr/>
      </vt:variant>
      <vt:variant>
        <vt:lpwstr>_Toc185012369</vt:lpwstr>
      </vt:variant>
      <vt:variant>
        <vt:i4>1769526</vt:i4>
      </vt:variant>
      <vt:variant>
        <vt:i4>146</vt:i4>
      </vt:variant>
      <vt:variant>
        <vt:i4>0</vt:i4>
      </vt:variant>
      <vt:variant>
        <vt:i4>5</vt:i4>
      </vt:variant>
      <vt:variant>
        <vt:lpwstr/>
      </vt:variant>
      <vt:variant>
        <vt:lpwstr>_Toc185012368</vt:lpwstr>
      </vt:variant>
      <vt:variant>
        <vt:i4>1769526</vt:i4>
      </vt:variant>
      <vt:variant>
        <vt:i4>140</vt:i4>
      </vt:variant>
      <vt:variant>
        <vt:i4>0</vt:i4>
      </vt:variant>
      <vt:variant>
        <vt:i4>5</vt:i4>
      </vt:variant>
      <vt:variant>
        <vt:lpwstr/>
      </vt:variant>
      <vt:variant>
        <vt:lpwstr>_Toc185012367</vt:lpwstr>
      </vt:variant>
      <vt:variant>
        <vt:i4>1769526</vt:i4>
      </vt:variant>
      <vt:variant>
        <vt:i4>134</vt:i4>
      </vt:variant>
      <vt:variant>
        <vt:i4>0</vt:i4>
      </vt:variant>
      <vt:variant>
        <vt:i4>5</vt:i4>
      </vt:variant>
      <vt:variant>
        <vt:lpwstr/>
      </vt:variant>
      <vt:variant>
        <vt:lpwstr>_Toc185012366</vt:lpwstr>
      </vt:variant>
      <vt:variant>
        <vt:i4>1769526</vt:i4>
      </vt:variant>
      <vt:variant>
        <vt:i4>128</vt:i4>
      </vt:variant>
      <vt:variant>
        <vt:i4>0</vt:i4>
      </vt:variant>
      <vt:variant>
        <vt:i4>5</vt:i4>
      </vt:variant>
      <vt:variant>
        <vt:lpwstr/>
      </vt:variant>
      <vt:variant>
        <vt:lpwstr>_Toc185012365</vt:lpwstr>
      </vt:variant>
      <vt:variant>
        <vt:i4>1769526</vt:i4>
      </vt:variant>
      <vt:variant>
        <vt:i4>122</vt:i4>
      </vt:variant>
      <vt:variant>
        <vt:i4>0</vt:i4>
      </vt:variant>
      <vt:variant>
        <vt:i4>5</vt:i4>
      </vt:variant>
      <vt:variant>
        <vt:lpwstr/>
      </vt:variant>
      <vt:variant>
        <vt:lpwstr>_Toc185012364</vt:lpwstr>
      </vt:variant>
      <vt:variant>
        <vt:i4>1769526</vt:i4>
      </vt:variant>
      <vt:variant>
        <vt:i4>116</vt:i4>
      </vt:variant>
      <vt:variant>
        <vt:i4>0</vt:i4>
      </vt:variant>
      <vt:variant>
        <vt:i4>5</vt:i4>
      </vt:variant>
      <vt:variant>
        <vt:lpwstr/>
      </vt:variant>
      <vt:variant>
        <vt:lpwstr>_Toc185012363</vt:lpwstr>
      </vt:variant>
      <vt:variant>
        <vt:i4>1769526</vt:i4>
      </vt:variant>
      <vt:variant>
        <vt:i4>110</vt:i4>
      </vt:variant>
      <vt:variant>
        <vt:i4>0</vt:i4>
      </vt:variant>
      <vt:variant>
        <vt:i4>5</vt:i4>
      </vt:variant>
      <vt:variant>
        <vt:lpwstr/>
      </vt:variant>
      <vt:variant>
        <vt:lpwstr>_Toc185012362</vt:lpwstr>
      </vt:variant>
      <vt:variant>
        <vt:i4>1769526</vt:i4>
      </vt:variant>
      <vt:variant>
        <vt:i4>104</vt:i4>
      </vt:variant>
      <vt:variant>
        <vt:i4>0</vt:i4>
      </vt:variant>
      <vt:variant>
        <vt:i4>5</vt:i4>
      </vt:variant>
      <vt:variant>
        <vt:lpwstr/>
      </vt:variant>
      <vt:variant>
        <vt:lpwstr>_Toc185012361</vt:lpwstr>
      </vt:variant>
      <vt:variant>
        <vt:i4>1769526</vt:i4>
      </vt:variant>
      <vt:variant>
        <vt:i4>98</vt:i4>
      </vt:variant>
      <vt:variant>
        <vt:i4>0</vt:i4>
      </vt:variant>
      <vt:variant>
        <vt:i4>5</vt:i4>
      </vt:variant>
      <vt:variant>
        <vt:lpwstr/>
      </vt:variant>
      <vt:variant>
        <vt:lpwstr>_Toc185012360</vt:lpwstr>
      </vt:variant>
      <vt:variant>
        <vt:i4>1572918</vt:i4>
      </vt:variant>
      <vt:variant>
        <vt:i4>92</vt:i4>
      </vt:variant>
      <vt:variant>
        <vt:i4>0</vt:i4>
      </vt:variant>
      <vt:variant>
        <vt:i4>5</vt:i4>
      </vt:variant>
      <vt:variant>
        <vt:lpwstr/>
      </vt:variant>
      <vt:variant>
        <vt:lpwstr>_Toc185012359</vt:lpwstr>
      </vt:variant>
      <vt:variant>
        <vt:i4>1572918</vt:i4>
      </vt:variant>
      <vt:variant>
        <vt:i4>86</vt:i4>
      </vt:variant>
      <vt:variant>
        <vt:i4>0</vt:i4>
      </vt:variant>
      <vt:variant>
        <vt:i4>5</vt:i4>
      </vt:variant>
      <vt:variant>
        <vt:lpwstr/>
      </vt:variant>
      <vt:variant>
        <vt:lpwstr>_Toc185012358</vt:lpwstr>
      </vt:variant>
      <vt:variant>
        <vt:i4>1572918</vt:i4>
      </vt:variant>
      <vt:variant>
        <vt:i4>80</vt:i4>
      </vt:variant>
      <vt:variant>
        <vt:i4>0</vt:i4>
      </vt:variant>
      <vt:variant>
        <vt:i4>5</vt:i4>
      </vt:variant>
      <vt:variant>
        <vt:lpwstr/>
      </vt:variant>
      <vt:variant>
        <vt:lpwstr>_Toc185012357</vt:lpwstr>
      </vt:variant>
      <vt:variant>
        <vt:i4>1572918</vt:i4>
      </vt:variant>
      <vt:variant>
        <vt:i4>74</vt:i4>
      </vt:variant>
      <vt:variant>
        <vt:i4>0</vt:i4>
      </vt:variant>
      <vt:variant>
        <vt:i4>5</vt:i4>
      </vt:variant>
      <vt:variant>
        <vt:lpwstr/>
      </vt:variant>
      <vt:variant>
        <vt:lpwstr>_Toc185012356</vt:lpwstr>
      </vt:variant>
      <vt:variant>
        <vt:i4>1572918</vt:i4>
      </vt:variant>
      <vt:variant>
        <vt:i4>68</vt:i4>
      </vt:variant>
      <vt:variant>
        <vt:i4>0</vt:i4>
      </vt:variant>
      <vt:variant>
        <vt:i4>5</vt:i4>
      </vt:variant>
      <vt:variant>
        <vt:lpwstr/>
      </vt:variant>
      <vt:variant>
        <vt:lpwstr>_Toc185012355</vt:lpwstr>
      </vt:variant>
      <vt:variant>
        <vt:i4>1572918</vt:i4>
      </vt:variant>
      <vt:variant>
        <vt:i4>62</vt:i4>
      </vt:variant>
      <vt:variant>
        <vt:i4>0</vt:i4>
      </vt:variant>
      <vt:variant>
        <vt:i4>5</vt:i4>
      </vt:variant>
      <vt:variant>
        <vt:lpwstr/>
      </vt:variant>
      <vt:variant>
        <vt:lpwstr>_Toc185012354</vt:lpwstr>
      </vt:variant>
      <vt:variant>
        <vt:i4>1572918</vt:i4>
      </vt:variant>
      <vt:variant>
        <vt:i4>56</vt:i4>
      </vt:variant>
      <vt:variant>
        <vt:i4>0</vt:i4>
      </vt:variant>
      <vt:variant>
        <vt:i4>5</vt:i4>
      </vt:variant>
      <vt:variant>
        <vt:lpwstr/>
      </vt:variant>
      <vt:variant>
        <vt:lpwstr>_Toc185012353</vt:lpwstr>
      </vt:variant>
      <vt:variant>
        <vt:i4>1572918</vt:i4>
      </vt:variant>
      <vt:variant>
        <vt:i4>50</vt:i4>
      </vt:variant>
      <vt:variant>
        <vt:i4>0</vt:i4>
      </vt:variant>
      <vt:variant>
        <vt:i4>5</vt:i4>
      </vt:variant>
      <vt:variant>
        <vt:lpwstr/>
      </vt:variant>
      <vt:variant>
        <vt:lpwstr>_Toc185012352</vt:lpwstr>
      </vt:variant>
      <vt:variant>
        <vt:i4>1572918</vt:i4>
      </vt:variant>
      <vt:variant>
        <vt:i4>44</vt:i4>
      </vt:variant>
      <vt:variant>
        <vt:i4>0</vt:i4>
      </vt:variant>
      <vt:variant>
        <vt:i4>5</vt:i4>
      </vt:variant>
      <vt:variant>
        <vt:lpwstr/>
      </vt:variant>
      <vt:variant>
        <vt:lpwstr>_Toc185012351</vt:lpwstr>
      </vt:variant>
      <vt:variant>
        <vt:i4>1572918</vt:i4>
      </vt:variant>
      <vt:variant>
        <vt:i4>38</vt:i4>
      </vt:variant>
      <vt:variant>
        <vt:i4>0</vt:i4>
      </vt:variant>
      <vt:variant>
        <vt:i4>5</vt:i4>
      </vt:variant>
      <vt:variant>
        <vt:lpwstr/>
      </vt:variant>
      <vt:variant>
        <vt:lpwstr>_Toc185012350</vt:lpwstr>
      </vt:variant>
      <vt:variant>
        <vt:i4>1638454</vt:i4>
      </vt:variant>
      <vt:variant>
        <vt:i4>32</vt:i4>
      </vt:variant>
      <vt:variant>
        <vt:i4>0</vt:i4>
      </vt:variant>
      <vt:variant>
        <vt:i4>5</vt:i4>
      </vt:variant>
      <vt:variant>
        <vt:lpwstr/>
      </vt:variant>
      <vt:variant>
        <vt:lpwstr>_Toc185012349</vt:lpwstr>
      </vt:variant>
      <vt:variant>
        <vt:i4>1638454</vt:i4>
      </vt:variant>
      <vt:variant>
        <vt:i4>26</vt:i4>
      </vt:variant>
      <vt:variant>
        <vt:i4>0</vt:i4>
      </vt:variant>
      <vt:variant>
        <vt:i4>5</vt:i4>
      </vt:variant>
      <vt:variant>
        <vt:lpwstr/>
      </vt:variant>
      <vt:variant>
        <vt:lpwstr>_Toc185012348</vt:lpwstr>
      </vt:variant>
      <vt:variant>
        <vt:i4>1638454</vt:i4>
      </vt:variant>
      <vt:variant>
        <vt:i4>20</vt:i4>
      </vt:variant>
      <vt:variant>
        <vt:i4>0</vt:i4>
      </vt:variant>
      <vt:variant>
        <vt:i4>5</vt:i4>
      </vt:variant>
      <vt:variant>
        <vt:lpwstr/>
      </vt:variant>
      <vt:variant>
        <vt:lpwstr>_Toc185012347</vt:lpwstr>
      </vt:variant>
      <vt:variant>
        <vt:i4>1638454</vt:i4>
      </vt:variant>
      <vt:variant>
        <vt:i4>14</vt:i4>
      </vt:variant>
      <vt:variant>
        <vt:i4>0</vt:i4>
      </vt:variant>
      <vt:variant>
        <vt:i4>5</vt:i4>
      </vt:variant>
      <vt:variant>
        <vt:lpwstr/>
      </vt:variant>
      <vt:variant>
        <vt:lpwstr>_Toc185012346</vt:lpwstr>
      </vt:variant>
      <vt:variant>
        <vt:i4>1638454</vt:i4>
      </vt:variant>
      <vt:variant>
        <vt:i4>8</vt:i4>
      </vt:variant>
      <vt:variant>
        <vt:i4>0</vt:i4>
      </vt:variant>
      <vt:variant>
        <vt:i4>5</vt:i4>
      </vt:variant>
      <vt:variant>
        <vt:lpwstr/>
      </vt:variant>
      <vt:variant>
        <vt:lpwstr>_Toc185012345</vt:lpwstr>
      </vt:variant>
      <vt:variant>
        <vt:i4>1638454</vt:i4>
      </vt:variant>
      <vt:variant>
        <vt:i4>2</vt:i4>
      </vt:variant>
      <vt:variant>
        <vt:i4>0</vt:i4>
      </vt:variant>
      <vt:variant>
        <vt:i4>5</vt:i4>
      </vt:variant>
      <vt:variant>
        <vt:lpwstr/>
      </vt:variant>
      <vt:variant>
        <vt:lpwstr>_Toc185012344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2024-12-18T02:32:00Z</dcterms:created>
  <dcterms:modified xsi:type="dcterms:W3CDTF">2024-12-18T02:34:00Z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67666967,40794bba,686b5d5,142c65be,6705e2ce,77af002b,26fa05ec,516f366a,2c13c0d6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2024-12-18T02:32:49Z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d657b303-ab86-4e4f-b429-fcf1f5ceaab1</vt:lpwstr>
  </property>
  <property fmtid="{D5CDD505-2E9C-101B-9397-08002B2CF9AE}" pid="11" name="MSIP_Label_7158ebbd-6c5e-441f-bfc9-4eb8c11e3978_ContentBits">
    <vt:lpwstr>2</vt:lpwstr>
  </property>
</Properties>
</file>