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C839" w14:textId="6D68E383" w:rsidR="00D1646E" w:rsidRPr="00D1646E" w:rsidRDefault="00D1646E" w:rsidP="00D1646E">
      <w:pPr>
        <w:pStyle w:val="Heading1"/>
      </w:pPr>
      <w:bookmarkStart w:id="0" w:name="_Toc192162351"/>
      <w:r w:rsidRPr="00D1646E">
        <w:t>Market overview and performance 2022–23</w:t>
      </w:r>
      <w:bookmarkEnd w:id="0"/>
    </w:p>
    <w:p w14:paraId="59281ECE" w14:textId="77777777" w:rsidR="00A34BC4" w:rsidRDefault="00D1646E" w:rsidP="00D1646E">
      <w:pPr>
        <w:pStyle w:val="BodyText"/>
        <w:spacing w:after="120"/>
      </w:pPr>
      <w:r w:rsidRPr="00D1646E">
        <w:t>Victoria generated a total of 14.5 million tonnes of material in 2022–23, with 9.9 million tonnes recovered for reprocessing.</w:t>
      </w:r>
    </w:p>
    <w:p w14:paraId="7AD96139" w14:textId="4CB865D9" w:rsidR="00BD5158" w:rsidRDefault="00D1646E" w:rsidP="00D1646E">
      <w:pPr>
        <w:pStyle w:val="BodyText"/>
        <w:spacing w:after="120"/>
        <w:ind w:right="-143"/>
        <w:rPr>
          <w:lang w:val="en-AU"/>
        </w:rPr>
      </w:pPr>
      <w:r w:rsidRPr="00D1646E">
        <w:rPr>
          <w:lang w:val="en-AU"/>
        </w:rPr>
        <w:t>This resulted in a Victorian recovery rate of 69% (</w:t>
      </w:r>
      <w:r w:rsidR="00892060">
        <w:rPr>
          <w:color w:val="FF0000"/>
          <w:lang w:val="en-AU"/>
        </w:rPr>
        <w:fldChar w:fldCharType="begin"/>
      </w:r>
      <w:r w:rsidR="00892060">
        <w:rPr>
          <w:lang w:val="en-AU"/>
        </w:rPr>
        <w:instrText xml:space="preserve"> REF _Ref192150837 \h </w:instrText>
      </w:r>
      <w:r w:rsidR="00892060">
        <w:rPr>
          <w:color w:val="FF0000"/>
          <w:lang w:val="en-AU"/>
        </w:rPr>
      </w:r>
      <w:r w:rsidR="00892060">
        <w:rPr>
          <w:color w:val="FF0000"/>
          <w:lang w:val="en-AU"/>
        </w:rPr>
        <w:fldChar w:fldCharType="separate"/>
      </w:r>
      <w:r w:rsidR="00734D86">
        <w:t xml:space="preserve">Figure </w:t>
      </w:r>
      <w:r w:rsidR="00734D86">
        <w:rPr>
          <w:noProof/>
        </w:rPr>
        <w:t>3</w:t>
      </w:r>
      <w:r w:rsidR="00892060">
        <w:rPr>
          <w:color w:val="FF0000"/>
          <w:lang w:val="en-AU"/>
        </w:rPr>
        <w:fldChar w:fldCharType="end"/>
      </w:r>
      <w:r w:rsidRPr="00D1646E">
        <w:rPr>
          <w:lang w:val="en-AU"/>
        </w:rPr>
        <w:t>).</w:t>
      </w:r>
      <w:r>
        <w:rPr>
          <w:lang w:val="en-AU"/>
        </w:rPr>
        <w:t xml:space="preserve"> (</w:t>
      </w:r>
      <w:r w:rsidRPr="00D1646E">
        <w:rPr>
          <w:lang w:val="en-AU"/>
        </w:rPr>
        <w:t>For clarity, the soils component in this figure has been split out from other materials in the</w:t>
      </w:r>
      <w:r>
        <w:rPr>
          <w:lang w:val="en-AU"/>
        </w:rPr>
        <w:t xml:space="preserve"> </w:t>
      </w:r>
      <w:r w:rsidRPr="00D1646E">
        <w:rPr>
          <w:lang w:val="en-AU"/>
        </w:rPr>
        <w:t>aggregate/masonry/soils section of this chart.</w:t>
      </w:r>
      <w:r>
        <w:rPr>
          <w:lang w:val="en-AU"/>
        </w:rPr>
        <w:t>)</w:t>
      </w:r>
    </w:p>
    <w:p w14:paraId="3496ACEF" w14:textId="4C9219D8" w:rsidR="00D1646E" w:rsidRDefault="00D1646E" w:rsidP="00D1646E">
      <w:pPr>
        <w:pStyle w:val="Caption"/>
        <w:keepNext/>
        <w:spacing w:before="0"/>
      </w:pPr>
      <w:bookmarkStart w:id="1" w:name="_Ref192150837"/>
      <w:r>
        <w:t xml:space="preserve">Figure </w:t>
      </w:r>
      <w:r w:rsidR="00734D86">
        <w:fldChar w:fldCharType="begin"/>
      </w:r>
      <w:r w:rsidR="00734D86">
        <w:instrText xml:space="preserve"> SEQ Figure \* ARABIC </w:instrText>
      </w:r>
      <w:r w:rsidR="00734D86">
        <w:fldChar w:fldCharType="separate"/>
      </w:r>
      <w:r w:rsidR="00734D86">
        <w:rPr>
          <w:noProof/>
        </w:rPr>
        <w:t>3</w:t>
      </w:r>
      <w:r w:rsidR="00734D86">
        <w:rPr>
          <w:noProof/>
        </w:rPr>
        <w:fldChar w:fldCharType="end"/>
      </w:r>
      <w:bookmarkEnd w:id="1"/>
      <w:r>
        <w:t xml:space="preserve">: </w:t>
      </w:r>
      <w:r w:rsidRPr="00B64675">
        <w:t>Materials generated, recovered for processing, and disposed of in 2022–23 (tonnes) (Recycling Victoria 2024b)</w:t>
      </w:r>
    </w:p>
    <w:p w14:paraId="6667D617" w14:textId="54DA8B0A" w:rsidR="00222FF2" w:rsidRPr="00D1646E" w:rsidRDefault="00D1646E" w:rsidP="00D21602">
      <w:pPr>
        <w:pStyle w:val="BodyText"/>
        <w:rPr>
          <w:lang w:val="en-AU"/>
        </w:rPr>
      </w:pPr>
      <w:r>
        <w:rPr>
          <w:noProof/>
          <w:lang w:val="en-AU"/>
        </w:rPr>
        <w:drawing>
          <wp:inline distT="0" distB="0" distL="0" distR="0" wp14:anchorId="76DDAF88" wp14:editId="18B17459">
            <wp:extent cx="5969480" cy="5957713"/>
            <wp:effectExtent l="0" t="0" r="0" b="0"/>
            <wp:docPr id="1024522806" name="Picture 6" descr="Infographic showing materials generated, recovered for processing, and disposed of in 2022–23 (t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22806" name="Picture 6" descr="Infographic showing materials generated, recovered for processing, and disposed of in 2022–23 (tonnes)"/>
                    <pic:cNvPicPr/>
                  </pic:nvPicPr>
                  <pic:blipFill>
                    <a:blip r:embed="rId13"/>
                    <a:stretch>
                      <a:fillRect/>
                    </a:stretch>
                  </pic:blipFill>
                  <pic:spPr>
                    <a:xfrm>
                      <a:off x="0" y="0"/>
                      <a:ext cx="6017675" cy="6005813"/>
                    </a:xfrm>
                    <a:prstGeom prst="rect">
                      <a:avLst/>
                    </a:prstGeom>
                  </pic:spPr>
                </pic:pic>
              </a:graphicData>
            </a:graphic>
          </wp:inline>
        </w:drawing>
      </w:r>
    </w:p>
    <w:p w14:paraId="7C9EEBE6" w14:textId="77000C7A" w:rsidR="00734D86" w:rsidRDefault="00734D86" w:rsidP="00734D86">
      <w:pPr>
        <w:pStyle w:val="Caption"/>
        <w:keepNext/>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8C23D8">
        <w:t>Materials generated, recovered for processing, and disposed of in 2022–23 (tonnes) (Recycling Victoria 2024b)</w:t>
      </w:r>
    </w:p>
    <w:tbl>
      <w:tblPr>
        <w:tblStyle w:val="Style2"/>
        <w:tblW w:w="9493" w:type="dxa"/>
        <w:tblLayout w:type="fixed"/>
        <w:tblLook w:val="04A0" w:firstRow="1" w:lastRow="0" w:firstColumn="1" w:lastColumn="0" w:noHBand="0" w:noVBand="1"/>
        <w:tblCaption w:val="Materials generated, recovered for processing, and disposed of in 2022–23 (tonnes) (Recycling Victoria 2024b)"/>
        <w:tblDescription w:val="Materials generated, recovered for processing, and disposed of in 2022–23 (tonnes) (Recycling Victoria 2024b)"/>
      </w:tblPr>
      <w:tblGrid>
        <w:gridCol w:w="2972"/>
        <w:gridCol w:w="2173"/>
        <w:gridCol w:w="2174"/>
        <w:gridCol w:w="2174"/>
      </w:tblGrid>
      <w:tr w:rsidR="00734D86" w:rsidRPr="00734D86" w14:paraId="4517CE79" w14:textId="77777777" w:rsidTr="00734D86">
        <w:trPr>
          <w:cnfStyle w:val="100000000000" w:firstRow="1" w:lastRow="0" w:firstColumn="0" w:lastColumn="0" w:oddVBand="0" w:evenVBand="0" w:oddHBand="0" w:evenHBand="0" w:firstRowFirstColumn="0" w:firstRowLastColumn="0" w:lastRowFirstColumn="0" w:lastRowLastColumn="0"/>
          <w:trHeight w:val="300"/>
          <w:tblHeader/>
        </w:trPr>
        <w:tc>
          <w:tcPr>
            <w:tcW w:w="2972" w:type="dxa"/>
            <w:noWrap/>
            <w:hideMark/>
          </w:tcPr>
          <w:p w14:paraId="4B0C8B03" w14:textId="24492A90" w:rsidR="00734D86" w:rsidRPr="00734D86" w:rsidRDefault="00734D86" w:rsidP="00734D86">
            <w:pPr>
              <w:pStyle w:val="Tabletext"/>
              <w:rPr>
                <w:rFonts w:eastAsia="Times New Roman"/>
                <w:lang w:eastAsia="en-GB"/>
              </w:rPr>
            </w:pPr>
            <w:r w:rsidRPr="00734D86">
              <w:rPr>
                <w:rFonts w:eastAsia="Times New Roman"/>
                <w:lang w:eastAsia="en-GB"/>
              </w:rPr>
              <w:t>Materials</w:t>
            </w:r>
            <w:r>
              <w:rPr>
                <w:rFonts w:eastAsia="Times New Roman"/>
                <w:lang w:eastAsia="en-GB"/>
              </w:rPr>
              <w:t xml:space="preserve"> </w:t>
            </w:r>
            <w:r w:rsidRPr="00734D86">
              <w:rPr>
                <w:rFonts w:eastAsia="Times New Roman"/>
                <w:lang w:eastAsia="en-GB"/>
              </w:rPr>
              <w:t>(Tonnes)</w:t>
            </w:r>
          </w:p>
        </w:tc>
        <w:tc>
          <w:tcPr>
            <w:tcW w:w="2173" w:type="dxa"/>
            <w:noWrap/>
            <w:hideMark/>
          </w:tcPr>
          <w:p w14:paraId="3B3DC9FB" w14:textId="40066084" w:rsidR="00734D86" w:rsidRPr="00734D86" w:rsidRDefault="00734D86" w:rsidP="00734D86">
            <w:pPr>
              <w:pStyle w:val="Tabletext"/>
              <w:rPr>
                <w:rFonts w:eastAsia="Times New Roman"/>
                <w:lang w:eastAsia="en-GB"/>
              </w:rPr>
            </w:pPr>
            <w:r w:rsidRPr="00734D86">
              <w:rPr>
                <w:rFonts w:eastAsia="Times New Roman"/>
                <w:lang w:eastAsia="en-GB"/>
              </w:rPr>
              <w:t>Generated</w:t>
            </w:r>
          </w:p>
        </w:tc>
        <w:tc>
          <w:tcPr>
            <w:tcW w:w="2174" w:type="dxa"/>
            <w:noWrap/>
            <w:hideMark/>
          </w:tcPr>
          <w:p w14:paraId="12539F96" w14:textId="4FF5CD5C" w:rsidR="00734D86" w:rsidRPr="00734D86" w:rsidRDefault="00734D86" w:rsidP="00734D86">
            <w:pPr>
              <w:pStyle w:val="Tabletext"/>
              <w:rPr>
                <w:rFonts w:ascii="Times New Roman" w:eastAsia="Times New Roman" w:hAnsi="Times New Roman"/>
                <w:sz w:val="20"/>
                <w:szCs w:val="20"/>
                <w:lang w:eastAsia="en-GB"/>
              </w:rPr>
            </w:pPr>
            <w:r w:rsidRPr="00734D86">
              <w:rPr>
                <w:rFonts w:eastAsia="Times New Roman"/>
                <w:lang w:eastAsia="en-GB"/>
              </w:rPr>
              <w:t>Recovered</w:t>
            </w:r>
          </w:p>
        </w:tc>
        <w:tc>
          <w:tcPr>
            <w:tcW w:w="2174" w:type="dxa"/>
            <w:noWrap/>
            <w:hideMark/>
          </w:tcPr>
          <w:p w14:paraId="733EAE68" w14:textId="26450E44" w:rsidR="00734D86" w:rsidRPr="00734D86" w:rsidRDefault="00734D86" w:rsidP="00734D86">
            <w:pPr>
              <w:pStyle w:val="Tabletext"/>
              <w:rPr>
                <w:rFonts w:ascii="Times New Roman" w:eastAsia="Times New Roman" w:hAnsi="Times New Roman"/>
                <w:sz w:val="20"/>
                <w:szCs w:val="20"/>
                <w:lang w:eastAsia="en-GB"/>
              </w:rPr>
            </w:pPr>
            <w:r w:rsidRPr="00734D86">
              <w:rPr>
                <w:rFonts w:eastAsia="Times New Roman"/>
                <w:lang w:eastAsia="en-GB"/>
              </w:rPr>
              <w:t>Disposed</w:t>
            </w:r>
          </w:p>
        </w:tc>
      </w:tr>
      <w:tr w:rsidR="00734D86" w:rsidRPr="00734D86" w14:paraId="50625579" w14:textId="77777777" w:rsidTr="00734D86">
        <w:trPr>
          <w:trHeight w:val="300"/>
        </w:trPr>
        <w:tc>
          <w:tcPr>
            <w:tcW w:w="2972" w:type="dxa"/>
            <w:noWrap/>
            <w:hideMark/>
          </w:tcPr>
          <w:p w14:paraId="0802FED8"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Soils </w:t>
            </w:r>
          </w:p>
        </w:tc>
        <w:tc>
          <w:tcPr>
            <w:tcW w:w="2173" w:type="dxa"/>
            <w:noWrap/>
            <w:hideMark/>
          </w:tcPr>
          <w:p w14:paraId="75F75791"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1899100</w:t>
            </w:r>
          </w:p>
        </w:tc>
        <w:tc>
          <w:tcPr>
            <w:tcW w:w="2174" w:type="dxa"/>
            <w:noWrap/>
            <w:hideMark/>
          </w:tcPr>
          <w:p w14:paraId="41243281" w14:textId="77777777" w:rsidR="00734D86" w:rsidRPr="00734D86" w:rsidRDefault="00734D86" w:rsidP="00734D86">
            <w:pPr>
              <w:pStyle w:val="Tabletext"/>
              <w:rPr>
                <w:rFonts w:eastAsia="Times New Roman"/>
                <w:lang w:eastAsia="en-GB"/>
              </w:rPr>
            </w:pPr>
            <w:r w:rsidRPr="00734D86">
              <w:rPr>
                <w:rFonts w:eastAsia="Times New Roman"/>
                <w:lang w:eastAsia="en-GB"/>
              </w:rPr>
              <w:t>1005400</w:t>
            </w:r>
          </w:p>
        </w:tc>
        <w:tc>
          <w:tcPr>
            <w:tcW w:w="2174" w:type="dxa"/>
            <w:noWrap/>
            <w:hideMark/>
          </w:tcPr>
          <w:p w14:paraId="6807AE50" w14:textId="77777777" w:rsidR="00734D86" w:rsidRPr="00734D86" w:rsidRDefault="00734D86" w:rsidP="00734D86">
            <w:pPr>
              <w:pStyle w:val="Tabletext"/>
              <w:rPr>
                <w:rFonts w:eastAsia="Times New Roman"/>
                <w:lang w:eastAsia="en-GB"/>
              </w:rPr>
            </w:pPr>
            <w:r w:rsidRPr="00734D86">
              <w:rPr>
                <w:rFonts w:eastAsia="Times New Roman"/>
                <w:lang w:eastAsia="en-GB"/>
              </w:rPr>
              <w:t>893700</w:t>
            </w:r>
          </w:p>
        </w:tc>
      </w:tr>
      <w:tr w:rsidR="00734D86" w:rsidRPr="00734D86" w14:paraId="3A275EC4" w14:textId="77777777" w:rsidTr="00734D86">
        <w:trPr>
          <w:trHeight w:val="300"/>
        </w:trPr>
        <w:tc>
          <w:tcPr>
            <w:tcW w:w="2972" w:type="dxa"/>
            <w:noWrap/>
            <w:hideMark/>
          </w:tcPr>
          <w:p w14:paraId="6775F48C"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Aggregates, masonry </w:t>
            </w:r>
          </w:p>
        </w:tc>
        <w:tc>
          <w:tcPr>
            <w:tcW w:w="2173" w:type="dxa"/>
            <w:noWrap/>
            <w:hideMark/>
          </w:tcPr>
          <w:p w14:paraId="333386C9"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4996200</w:t>
            </w:r>
          </w:p>
        </w:tc>
        <w:tc>
          <w:tcPr>
            <w:tcW w:w="2174" w:type="dxa"/>
            <w:noWrap/>
            <w:hideMark/>
          </w:tcPr>
          <w:p w14:paraId="119D3BDD" w14:textId="77777777" w:rsidR="00734D86" w:rsidRPr="00734D86" w:rsidRDefault="00734D86" w:rsidP="00734D86">
            <w:pPr>
              <w:pStyle w:val="Tabletext"/>
              <w:rPr>
                <w:rFonts w:eastAsia="Times New Roman"/>
                <w:lang w:eastAsia="en-GB"/>
              </w:rPr>
            </w:pPr>
            <w:r w:rsidRPr="00734D86">
              <w:rPr>
                <w:rFonts w:eastAsia="Times New Roman"/>
                <w:lang w:eastAsia="en-GB"/>
              </w:rPr>
              <w:t>4733800</w:t>
            </w:r>
          </w:p>
        </w:tc>
        <w:tc>
          <w:tcPr>
            <w:tcW w:w="2174" w:type="dxa"/>
            <w:noWrap/>
            <w:hideMark/>
          </w:tcPr>
          <w:p w14:paraId="38E80735" w14:textId="77777777" w:rsidR="00734D86" w:rsidRPr="00734D86" w:rsidRDefault="00734D86" w:rsidP="00734D86">
            <w:pPr>
              <w:pStyle w:val="Tabletext"/>
              <w:rPr>
                <w:rFonts w:eastAsia="Times New Roman"/>
                <w:lang w:eastAsia="en-GB"/>
              </w:rPr>
            </w:pPr>
            <w:r w:rsidRPr="00734D86">
              <w:rPr>
                <w:rFonts w:eastAsia="Times New Roman"/>
                <w:lang w:eastAsia="en-GB"/>
              </w:rPr>
              <w:t>262400</w:t>
            </w:r>
          </w:p>
        </w:tc>
      </w:tr>
      <w:tr w:rsidR="00734D86" w:rsidRPr="00734D86" w14:paraId="262D5005" w14:textId="77777777" w:rsidTr="00734D86">
        <w:trPr>
          <w:trHeight w:val="300"/>
        </w:trPr>
        <w:tc>
          <w:tcPr>
            <w:tcW w:w="2972" w:type="dxa"/>
            <w:noWrap/>
            <w:hideMark/>
          </w:tcPr>
          <w:p w14:paraId="136B4EA3"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Glass </w:t>
            </w:r>
          </w:p>
        </w:tc>
        <w:tc>
          <w:tcPr>
            <w:tcW w:w="2173" w:type="dxa"/>
            <w:noWrap/>
            <w:hideMark/>
          </w:tcPr>
          <w:p w14:paraId="16B476FE"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367400</w:t>
            </w:r>
          </w:p>
        </w:tc>
        <w:tc>
          <w:tcPr>
            <w:tcW w:w="2174" w:type="dxa"/>
            <w:noWrap/>
            <w:hideMark/>
          </w:tcPr>
          <w:p w14:paraId="214F1269" w14:textId="77777777" w:rsidR="00734D86" w:rsidRPr="00734D86" w:rsidRDefault="00734D86" w:rsidP="00734D86">
            <w:pPr>
              <w:pStyle w:val="Tabletext"/>
              <w:rPr>
                <w:rFonts w:eastAsia="Times New Roman"/>
                <w:lang w:eastAsia="en-GB"/>
              </w:rPr>
            </w:pPr>
            <w:r w:rsidRPr="00734D86">
              <w:rPr>
                <w:rFonts w:eastAsia="Times New Roman"/>
                <w:lang w:eastAsia="en-GB"/>
              </w:rPr>
              <w:t>233900</w:t>
            </w:r>
          </w:p>
        </w:tc>
        <w:tc>
          <w:tcPr>
            <w:tcW w:w="2174" w:type="dxa"/>
            <w:noWrap/>
            <w:hideMark/>
          </w:tcPr>
          <w:p w14:paraId="268DC9AE" w14:textId="77777777" w:rsidR="00734D86" w:rsidRPr="00734D86" w:rsidRDefault="00734D86" w:rsidP="00734D86">
            <w:pPr>
              <w:pStyle w:val="Tabletext"/>
              <w:rPr>
                <w:rFonts w:eastAsia="Times New Roman"/>
                <w:lang w:eastAsia="en-GB"/>
              </w:rPr>
            </w:pPr>
            <w:r w:rsidRPr="00734D86">
              <w:rPr>
                <w:rFonts w:eastAsia="Times New Roman"/>
                <w:lang w:eastAsia="en-GB"/>
              </w:rPr>
              <w:t>133500</w:t>
            </w:r>
          </w:p>
        </w:tc>
      </w:tr>
      <w:tr w:rsidR="00734D86" w:rsidRPr="00734D86" w14:paraId="3DE5916B" w14:textId="77777777" w:rsidTr="00734D86">
        <w:trPr>
          <w:trHeight w:val="300"/>
        </w:trPr>
        <w:tc>
          <w:tcPr>
            <w:tcW w:w="2972" w:type="dxa"/>
            <w:noWrap/>
            <w:hideMark/>
          </w:tcPr>
          <w:p w14:paraId="3363A682"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Metals </w:t>
            </w:r>
          </w:p>
        </w:tc>
        <w:tc>
          <w:tcPr>
            <w:tcW w:w="2173" w:type="dxa"/>
            <w:noWrap/>
            <w:hideMark/>
          </w:tcPr>
          <w:p w14:paraId="10F7A923"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1447800</w:t>
            </w:r>
          </w:p>
        </w:tc>
        <w:tc>
          <w:tcPr>
            <w:tcW w:w="2174" w:type="dxa"/>
            <w:noWrap/>
            <w:hideMark/>
          </w:tcPr>
          <w:p w14:paraId="5E9DA35D" w14:textId="77777777" w:rsidR="00734D86" w:rsidRPr="00734D86" w:rsidRDefault="00734D86" w:rsidP="00734D86">
            <w:pPr>
              <w:pStyle w:val="Tabletext"/>
              <w:rPr>
                <w:rFonts w:eastAsia="Times New Roman"/>
                <w:lang w:eastAsia="en-GB"/>
              </w:rPr>
            </w:pPr>
            <w:r w:rsidRPr="00734D86">
              <w:rPr>
                <w:rFonts w:eastAsia="Times New Roman"/>
                <w:lang w:eastAsia="en-GB"/>
              </w:rPr>
              <w:t>1277900</w:t>
            </w:r>
          </w:p>
        </w:tc>
        <w:tc>
          <w:tcPr>
            <w:tcW w:w="2174" w:type="dxa"/>
            <w:noWrap/>
            <w:hideMark/>
          </w:tcPr>
          <w:p w14:paraId="38A06B77" w14:textId="77777777" w:rsidR="00734D86" w:rsidRPr="00734D86" w:rsidRDefault="00734D86" w:rsidP="00734D86">
            <w:pPr>
              <w:pStyle w:val="Tabletext"/>
              <w:rPr>
                <w:rFonts w:eastAsia="Times New Roman"/>
                <w:lang w:eastAsia="en-GB"/>
              </w:rPr>
            </w:pPr>
            <w:r w:rsidRPr="00734D86">
              <w:rPr>
                <w:rFonts w:eastAsia="Times New Roman"/>
                <w:lang w:eastAsia="en-GB"/>
              </w:rPr>
              <w:t>169900</w:t>
            </w:r>
          </w:p>
        </w:tc>
      </w:tr>
      <w:tr w:rsidR="00734D86" w:rsidRPr="00734D86" w14:paraId="02F9F306" w14:textId="77777777" w:rsidTr="00734D86">
        <w:trPr>
          <w:trHeight w:val="300"/>
        </w:trPr>
        <w:tc>
          <w:tcPr>
            <w:tcW w:w="2972" w:type="dxa"/>
            <w:noWrap/>
            <w:hideMark/>
          </w:tcPr>
          <w:p w14:paraId="2B088393"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Organics </w:t>
            </w:r>
          </w:p>
        </w:tc>
        <w:tc>
          <w:tcPr>
            <w:tcW w:w="2173" w:type="dxa"/>
            <w:noWrap/>
            <w:hideMark/>
          </w:tcPr>
          <w:p w14:paraId="00AC5FBE"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3050300</w:t>
            </w:r>
          </w:p>
        </w:tc>
        <w:tc>
          <w:tcPr>
            <w:tcW w:w="2174" w:type="dxa"/>
            <w:noWrap/>
            <w:hideMark/>
          </w:tcPr>
          <w:p w14:paraId="4255794F" w14:textId="77777777" w:rsidR="00734D86" w:rsidRPr="00734D86" w:rsidRDefault="00734D86" w:rsidP="00734D86">
            <w:pPr>
              <w:pStyle w:val="Tabletext"/>
              <w:rPr>
                <w:rFonts w:eastAsia="Times New Roman"/>
                <w:lang w:eastAsia="en-GB"/>
              </w:rPr>
            </w:pPr>
            <w:r w:rsidRPr="00734D86">
              <w:rPr>
                <w:rFonts w:eastAsia="Times New Roman"/>
                <w:lang w:eastAsia="en-GB"/>
              </w:rPr>
              <w:t>1478600</w:t>
            </w:r>
          </w:p>
        </w:tc>
        <w:tc>
          <w:tcPr>
            <w:tcW w:w="2174" w:type="dxa"/>
            <w:noWrap/>
            <w:hideMark/>
          </w:tcPr>
          <w:p w14:paraId="128AFDBE" w14:textId="77777777" w:rsidR="00734D86" w:rsidRPr="00734D86" w:rsidRDefault="00734D86" w:rsidP="00734D86">
            <w:pPr>
              <w:pStyle w:val="Tabletext"/>
              <w:rPr>
                <w:rFonts w:eastAsia="Times New Roman"/>
                <w:lang w:eastAsia="en-GB"/>
              </w:rPr>
            </w:pPr>
            <w:r w:rsidRPr="00734D86">
              <w:rPr>
                <w:rFonts w:eastAsia="Times New Roman"/>
                <w:lang w:eastAsia="en-GB"/>
              </w:rPr>
              <w:t>1571700</w:t>
            </w:r>
          </w:p>
        </w:tc>
      </w:tr>
      <w:tr w:rsidR="00734D86" w:rsidRPr="00734D86" w14:paraId="6C73D6D8" w14:textId="77777777" w:rsidTr="00734D86">
        <w:trPr>
          <w:trHeight w:val="300"/>
        </w:trPr>
        <w:tc>
          <w:tcPr>
            <w:tcW w:w="2972" w:type="dxa"/>
            <w:noWrap/>
            <w:hideMark/>
          </w:tcPr>
          <w:p w14:paraId="49ECD976"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Paper and cardboard </w:t>
            </w:r>
          </w:p>
        </w:tc>
        <w:tc>
          <w:tcPr>
            <w:tcW w:w="2173" w:type="dxa"/>
            <w:noWrap/>
            <w:hideMark/>
          </w:tcPr>
          <w:p w14:paraId="1E5F6B20"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1551200</w:t>
            </w:r>
          </w:p>
        </w:tc>
        <w:tc>
          <w:tcPr>
            <w:tcW w:w="2174" w:type="dxa"/>
            <w:noWrap/>
            <w:hideMark/>
          </w:tcPr>
          <w:p w14:paraId="289D43B7" w14:textId="77777777" w:rsidR="00734D86" w:rsidRPr="00734D86" w:rsidRDefault="00734D86" w:rsidP="00734D86">
            <w:pPr>
              <w:pStyle w:val="Tabletext"/>
              <w:rPr>
                <w:rFonts w:eastAsia="Times New Roman"/>
                <w:lang w:eastAsia="en-GB"/>
              </w:rPr>
            </w:pPr>
            <w:r w:rsidRPr="00734D86">
              <w:rPr>
                <w:rFonts w:eastAsia="Times New Roman"/>
                <w:lang w:eastAsia="en-GB"/>
              </w:rPr>
              <w:t>918200</w:t>
            </w:r>
          </w:p>
        </w:tc>
        <w:tc>
          <w:tcPr>
            <w:tcW w:w="2174" w:type="dxa"/>
            <w:noWrap/>
            <w:hideMark/>
          </w:tcPr>
          <w:p w14:paraId="6AFE67C4" w14:textId="77777777" w:rsidR="00734D86" w:rsidRPr="00734D86" w:rsidRDefault="00734D86" w:rsidP="00734D86">
            <w:pPr>
              <w:pStyle w:val="Tabletext"/>
              <w:rPr>
                <w:rFonts w:eastAsia="Times New Roman"/>
                <w:lang w:eastAsia="en-GB"/>
              </w:rPr>
            </w:pPr>
            <w:r w:rsidRPr="00734D86">
              <w:rPr>
                <w:rFonts w:eastAsia="Times New Roman"/>
                <w:lang w:eastAsia="en-GB"/>
              </w:rPr>
              <w:t>633000</w:t>
            </w:r>
          </w:p>
        </w:tc>
      </w:tr>
      <w:tr w:rsidR="00734D86" w:rsidRPr="00734D86" w14:paraId="45AC8E97" w14:textId="77777777" w:rsidTr="00734D86">
        <w:trPr>
          <w:trHeight w:val="300"/>
        </w:trPr>
        <w:tc>
          <w:tcPr>
            <w:tcW w:w="2972" w:type="dxa"/>
            <w:noWrap/>
            <w:hideMark/>
          </w:tcPr>
          <w:p w14:paraId="330610E9"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Plastic </w:t>
            </w:r>
          </w:p>
        </w:tc>
        <w:tc>
          <w:tcPr>
            <w:tcW w:w="2173" w:type="dxa"/>
            <w:noWrap/>
            <w:hideMark/>
          </w:tcPr>
          <w:p w14:paraId="0AC37877"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803400</w:t>
            </w:r>
          </w:p>
        </w:tc>
        <w:tc>
          <w:tcPr>
            <w:tcW w:w="2174" w:type="dxa"/>
            <w:noWrap/>
            <w:hideMark/>
          </w:tcPr>
          <w:p w14:paraId="47A8FB20" w14:textId="77777777" w:rsidR="00734D86" w:rsidRPr="00734D86" w:rsidRDefault="00734D86" w:rsidP="00734D86">
            <w:pPr>
              <w:pStyle w:val="Tabletext"/>
              <w:rPr>
                <w:rFonts w:eastAsia="Times New Roman"/>
                <w:lang w:eastAsia="en-GB"/>
              </w:rPr>
            </w:pPr>
            <w:r w:rsidRPr="00734D86">
              <w:rPr>
                <w:rFonts w:eastAsia="Times New Roman"/>
                <w:lang w:eastAsia="en-GB"/>
              </w:rPr>
              <w:t>181100</w:t>
            </w:r>
          </w:p>
        </w:tc>
        <w:tc>
          <w:tcPr>
            <w:tcW w:w="2174" w:type="dxa"/>
            <w:noWrap/>
            <w:hideMark/>
          </w:tcPr>
          <w:p w14:paraId="5943C7ED" w14:textId="77777777" w:rsidR="00734D86" w:rsidRPr="00734D86" w:rsidRDefault="00734D86" w:rsidP="00734D86">
            <w:pPr>
              <w:pStyle w:val="Tabletext"/>
              <w:rPr>
                <w:rFonts w:eastAsia="Times New Roman"/>
                <w:lang w:eastAsia="en-GB"/>
              </w:rPr>
            </w:pPr>
            <w:r w:rsidRPr="00734D86">
              <w:rPr>
                <w:rFonts w:eastAsia="Times New Roman"/>
                <w:lang w:eastAsia="en-GB"/>
              </w:rPr>
              <w:t>622300</w:t>
            </w:r>
          </w:p>
        </w:tc>
      </w:tr>
      <w:tr w:rsidR="00734D86" w:rsidRPr="00734D86" w14:paraId="530AFBD9" w14:textId="77777777" w:rsidTr="00734D86">
        <w:trPr>
          <w:trHeight w:val="300"/>
        </w:trPr>
        <w:tc>
          <w:tcPr>
            <w:tcW w:w="2972" w:type="dxa"/>
            <w:noWrap/>
            <w:hideMark/>
          </w:tcPr>
          <w:p w14:paraId="07E6FE57"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Tyres </w:t>
            </w:r>
          </w:p>
        </w:tc>
        <w:tc>
          <w:tcPr>
            <w:tcW w:w="2173" w:type="dxa"/>
            <w:noWrap/>
            <w:hideMark/>
          </w:tcPr>
          <w:p w14:paraId="43B80E05"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56300</w:t>
            </w:r>
          </w:p>
        </w:tc>
        <w:tc>
          <w:tcPr>
            <w:tcW w:w="2174" w:type="dxa"/>
            <w:noWrap/>
            <w:hideMark/>
          </w:tcPr>
          <w:p w14:paraId="7568DD65" w14:textId="77777777" w:rsidR="00734D86" w:rsidRPr="00734D86" w:rsidRDefault="00734D86" w:rsidP="00734D86">
            <w:pPr>
              <w:pStyle w:val="Tabletext"/>
              <w:rPr>
                <w:rFonts w:eastAsia="Times New Roman"/>
                <w:lang w:eastAsia="en-GB"/>
              </w:rPr>
            </w:pPr>
            <w:r w:rsidRPr="00734D86">
              <w:rPr>
                <w:rFonts w:eastAsia="Times New Roman"/>
                <w:lang w:eastAsia="en-GB"/>
              </w:rPr>
              <w:t>41900</w:t>
            </w:r>
          </w:p>
        </w:tc>
        <w:tc>
          <w:tcPr>
            <w:tcW w:w="2174" w:type="dxa"/>
            <w:noWrap/>
            <w:hideMark/>
          </w:tcPr>
          <w:p w14:paraId="1FA719B8" w14:textId="77777777" w:rsidR="00734D86" w:rsidRPr="00734D86" w:rsidRDefault="00734D86" w:rsidP="00734D86">
            <w:pPr>
              <w:pStyle w:val="Tabletext"/>
              <w:rPr>
                <w:rFonts w:eastAsia="Times New Roman"/>
                <w:lang w:eastAsia="en-GB"/>
              </w:rPr>
            </w:pPr>
            <w:r w:rsidRPr="00734D86">
              <w:rPr>
                <w:rFonts w:eastAsia="Times New Roman"/>
                <w:lang w:eastAsia="en-GB"/>
              </w:rPr>
              <w:t>14400</w:t>
            </w:r>
          </w:p>
        </w:tc>
      </w:tr>
      <w:tr w:rsidR="00734D86" w:rsidRPr="00734D86" w14:paraId="2590A9A7" w14:textId="77777777" w:rsidTr="00734D86">
        <w:trPr>
          <w:trHeight w:val="300"/>
        </w:trPr>
        <w:tc>
          <w:tcPr>
            <w:tcW w:w="2972" w:type="dxa"/>
            <w:noWrap/>
            <w:hideMark/>
          </w:tcPr>
          <w:p w14:paraId="676C87E6" w14:textId="77777777" w:rsidR="00734D86" w:rsidRPr="00734D86" w:rsidRDefault="00734D86" w:rsidP="00734D86">
            <w:pPr>
              <w:pStyle w:val="Tabletext"/>
              <w:rPr>
                <w:rFonts w:ascii="Aptos" w:eastAsia="Times New Roman" w:hAnsi="Aptos"/>
                <w:b/>
                <w:bCs/>
                <w:lang w:eastAsia="en-GB"/>
              </w:rPr>
            </w:pPr>
            <w:r w:rsidRPr="00734D86">
              <w:rPr>
                <w:rFonts w:ascii="Aptos" w:eastAsia="Times New Roman" w:hAnsi="Aptos"/>
                <w:b/>
                <w:bCs/>
                <w:lang w:eastAsia="en-GB"/>
              </w:rPr>
              <w:t xml:space="preserve">Textiles </w:t>
            </w:r>
          </w:p>
        </w:tc>
        <w:tc>
          <w:tcPr>
            <w:tcW w:w="2173" w:type="dxa"/>
            <w:noWrap/>
            <w:hideMark/>
          </w:tcPr>
          <w:p w14:paraId="49A67B1D" w14:textId="77777777" w:rsidR="00734D86" w:rsidRPr="00734D86" w:rsidRDefault="00734D86" w:rsidP="00734D86">
            <w:pPr>
              <w:pStyle w:val="Tabletext"/>
              <w:rPr>
                <w:rFonts w:ascii="Aptos" w:eastAsia="Times New Roman" w:hAnsi="Aptos"/>
                <w:lang w:eastAsia="en-GB"/>
              </w:rPr>
            </w:pPr>
            <w:r w:rsidRPr="00734D86">
              <w:rPr>
                <w:rFonts w:ascii="Aptos" w:eastAsia="Times New Roman" w:hAnsi="Aptos"/>
                <w:lang w:eastAsia="en-GB"/>
              </w:rPr>
              <w:t>283300</w:t>
            </w:r>
          </w:p>
        </w:tc>
        <w:tc>
          <w:tcPr>
            <w:tcW w:w="2174" w:type="dxa"/>
            <w:noWrap/>
            <w:hideMark/>
          </w:tcPr>
          <w:p w14:paraId="00CA405A" w14:textId="77777777" w:rsidR="00734D86" w:rsidRPr="00734D86" w:rsidRDefault="00734D86" w:rsidP="00734D86">
            <w:pPr>
              <w:pStyle w:val="Tabletext"/>
              <w:rPr>
                <w:rFonts w:eastAsia="Times New Roman"/>
                <w:lang w:eastAsia="en-GB"/>
              </w:rPr>
            </w:pPr>
            <w:r w:rsidRPr="00734D86">
              <w:rPr>
                <w:rFonts w:eastAsia="Times New Roman"/>
                <w:lang w:eastAsia="en-GB"/>
              </w:rPr>
              <w:t>66800</w:t>
            </w:r>
          </w:p>
        </w:tc>
        <w:tc>
          <w:tcPr>
            <w:tcW w:w="2174" w:type="dxa"/>
            <w:noWrap/>
            <w:hideMark/>
          </w:tcPr>
          <w:p w14:paraId="050B4D73" w14:textId="77777777" w:rsidR="00734D86" w:rsidRPr="00734D86" w:rsidRDefault="00734D86" w:rsidP="00734D86">
            <w:pPr>
              <w:pStyle w:val="Tabletext"/>
              <w:rPr>
                <w:rFonts w:eastAsia="Times New Roman"/>
                <w:lang w:eastAsia="en-GB"/>
              </w:rPr>
            </w:pPr>
            <w:r w:rsidRPr="00734D86">
              <w:rPr>
                <w:rFonts w:eastAsia="Times New Roman"/>
                <w:lang w:eastAsia="en-GB"/>
              </w:rPr>
              <w:t>216500</w:t>
            </w:r>
          </w:p>
        </w:tc>
      </w:tr>
    </w:tbl>
    <w:p w14:paraId="7D6C43EA" w14:textId="77777777" w:rsidR="00734D86" w:rsidRDefault="00734D86" w:rsidP="00734D86"/>
    <w:tbl>
      <w:tblPr>
        <w:tblStyle w:val="Style2"/>
        <w:tblW w:w="5000" w:type="pct"/>
        <w:tblLook w:val="04A0" w:firstRow="1" w:lastRow="0" w:firstColumn="1" w:lastColumn="0" w:noHBand="0" w:noVBand="1"/>
        <w:tblCaption w:val="Materials generated, recovered for processing, and disposed of in 2022–23 (tonnes) (Recycling Victoria 2024b)"/>
        <w:tblDescription w:val="Materials generated, recovered for processing, and disposed of in 2022–23 (tonnes) (Recycling Victoria 2024b)"/>
      </w:tblPr>
      <w:tblGrid>
        <w:gridCol w:w="5584"/>
        <w:gridCol w:w="4044"/>
      </w:tblGrid>
      <w:tr w:rsidR="00734D86" w:rsidRPr="00734D86" w14:paraId="0901B913" w14:textId="77777777" w:rsidTr="00734D86">
        <w:trPr>
          <w:cnfStyle w:val="100000000000" w:firstRow="1" w:lastRow="0" w:firstColumn="0" w:lastColumn="0" w:oddVBand="0" w:evenVBand="0" w:oddHBand="0" w:evenHBand="0" w:firstRowFirstColumn="0" w:firstRowLastColumn="0" w:lastRowFirstColumn="0" w:lastRowLastColumn="0"/>
          <w:trHeight w:val="300"/>
          <w:tblHeader/>
        </w:trPr>
        <w:tc>
          <w:tcPr>
            <w:tcW w:w="2900" w:type="pct"/>
            <w:noWrap/>
            <w:hideMark/>
          </w:tcPr>
          <w:p w14:paraId="09B3D77F" w14:textId="77777777" w:rsidR="00734D86" w:rsidRPr="00734D86" w:rsidRDefault="00734D86" w:rsidP="009C4CAD">
            <w:pPr>
              <w:pStyle w:val="Tabletext"/>
              <w:rPr>
                <w:rFonts w:ascii="Aptos" w:eastAsia="Times New Roman" w:hAnsi="Aptos"/>
                <w:lang w:eastAsia="en-GB"/>
              </w:rPr>
            </w:pPr>
            <w:r w:rsidRPr="00734D86">
              <w:rPr>
                <w:rFonts w:ascii="Aptos" w:eastAsia="Times New Roman" w:hAnsi="Aptos"/>
                <w:lang w:eastAsia="en-GB"/>
              </w:rPr>
              <w:t>Totals (tonnes)</w:t>
            </w:r>
          </w:p>
        </w:tc>
        <w:tc>
          <w:tcPr>
            <w:tcW w:w="2100" w:type="pct"/>
            <w:noWrap/>
            <w:hideMark/>
          </w:tcPr>
          <w:p w14:paraId="535EC681" w14:textId="77777777" w:rsidR="00734D86" w:rsidRPr="00734D86" w:rsidRDefault="00734D86" w:rsidP="009C4CAD">
            <w:pPr>
              <w:pStyle w:val="Tabletext"/>
              <w:rPr>
                <w:rFonts w:ascii="Aptos" w:eastAsia="Times New Roman" w:hAnsi="Aptos"/>
                <w:lang w:eastAsia="en-GB"/>
              </w:rPr>
            </w:pPr>
          </w:p>
        </w:tc>
      </w:tr>
      <w:tr w:rsidR="00734D86" w:rsidRPr="00734D86" w14:paraId="5E4800D1" w14:textId="77777777" w:rsidTr="00734D86">
        <w:trPr>
          <w:trHeight w:val="300"/>
        </w:trPr>
        <w:tc>
          <w:tcPr>
            <w:tcW w:w="2900" w:type="pct"/>
            <w:noWrap/>
            <w:hideMark/>
          </w:tcPr>
          <w:p w14:paraId="2225CF8B" w14:textId="248D600F" w:rsidR="00734D86" w:rsidRPr="00734D86" w:rsidRDefault="00734D86" w:rsidP="009C4CAD">
            <w:pPr>
              <w:pStyle w:val="Tabletext"/>
              <w:rPr>
                <w:rFonts w:ascii="Aptos" w:eastAsia="Times New Roman" w:hAnsi="Aptos"/>
                <w:lang w:eastAsia="en-GB"/>
              </w:rPr>
            </w:pPr>
            <w:r w:rsidRPr="00734D86">
              <w:rPr>
                <w:rFonts w:ascii="Aptos" w:eastAsia="Times New Roman" w:hAnsi="Aptos"/>
                <w:lang w:eastAsia="en-GB"/>
              </w:rPr>
              <w:t xml:space="preserve">Recovered </w:t>
            </w:r>
            <w:r>
              <w:rPr>
                <w:rFonts w:ascii="Aptos" w:eastAsia="Times New Roman" w:hAnsi="Aptos"/>
                <w:lang w:eastAsia="en-GB"/>
              </w:rPr>
              <w:t xml:space="preserve">– </w:t>
            </w:r>
            <w:r w:rsidRPr="00734D86">
              <w:rPr>
                <w:rFonts w:eastAsia="Times New Roman"/>
                <w:lang w:eastAsia="en-GB"/>
              </w:rPr>
              <w:t>Processed locally</w:t>
            </w:r>
          </w:p>
        </w:tc>
        <w:tc>
          <w:tcPr>
            <w:tcW w:w="2100" w:type="pct"/>
            <w:noWrap/>
            <w:hideMark/>
          </w:tcPr>
          <w:p w14:paraId="1F97BF78" w14:textId="77777777" w:rsidR="00734D86" w:rsidRPr="00734D86" w:rsidRDefault="00734D86" w:rsidP="009C4CAD">
            <w:pPr>
              <w:pStyle w:val="Tabletext"/>
              <w:rPr>
                <w:rFonts w:eastAsia="Times New Roman"/>
                <w:lang w:eastAsia="en-GB"/>
              </w:rPr>
            </w:pPr>
            <w:r w:rsidRPr="00734D86">
              <w:rPr>
                <w:rFonts w:eastAsia="Times New Roman"/>
                <w:lang w:eastAsia="en-GB"/>
              </w:rPr>
              <w:t>9007200</w:t>
            </w:r>
          </w:p>
        </w:tc>
      </w:tr>
      <w:tr w:rsidR="00734D86" w:rsidRPr="00734D86" w14:paraId="3941E238" w14:textId="77777777" w:rsidTr="00734D86">
        <w:trPr>
          <w:trHeight w:val="300"/>
        </w:trPr>
        <w:tc>
          <w:tcPr>
            <w:tcW w:w="2900" w:type="pct"/>
            <w:noWrap/>
            <w:hideMark/>
          </w:tcPr>
          <w:p w14:paraId="0B5436A2" w14:textId="5AAF9CAA" w:rsidR="00734D86" w:rsidRPr="00734D86" w:rsidRDefault="00734D86" w:rsidP="009C4CAD">
            <w:pPr>
              <w:pStyle w:val="Tabletext"/>
              <w:rPr>
                <w:rFonts w:ascii="Aptos" w:eastAsia="Times New Roman" w:hAnsi="Aptos"/>
                <w:lang w:eastAsia="en-GB"/>
              </w:rPr>
            </w:pPr>
            <w:r w:rsidRPr="00734D86">
              <w:rPr>
                <w:rFonts w:ascii="Aptos" w:eastAsia="Times New Roman" w:hAnsi="Aptos"/>
                <w:lang w:eastAsia="en-GB"/>
              </w:rPr>
              <w:t xml:space="preserve">Recovered </w:t>
            </w:r>
            <w:r>
              <w:rPr>
                <w:rFonts w:ascii="Aptos" w:eastAsia="Times New Roman" w:hAnsi="Aptos"/>
                <w:lang w:eastAsia="en-GB"/>
              </w:rPr>
              <w:t xml:space="preserve">– </w:t>
            </w:r>
            <w:r w:rsidRPr="00734D86">
              <w:rPr>
                <w:rFonts w:eastAsia="Times New Roman"/>
                <w:lang w:eastAsia="en-GB"/>
              </w:rPr>
              <w:t>Exported</w:t>
            </w:r>
          </w:p>
        </w:tc>
        <w:tc>
          <w:tcPr>
            <w:tcW w:w="2100" w:type="pct"/>
            <w:noWrap/>
            <w:hideMark/>
          </w:tcPr>
          <w:p w14:paraId="38C09D20" w14:textId="77777777" w:rsidR="00734D86" w:rsidRPr="00734D86" w:rsidRDefault="00734D86" w:rsidP="009C4CAD">
            <w:pPr>
              <w:pStyle w:val="Tabletext"/>
              <w:rPr>
                <w:rFonts w:eastAsia="Times New Roman"/>
                <w:lang w:eastAsia="en-GB"/>
              </w:rPr>
            </w:pPr>
            <w:r w:rsidRPr="00734D86">
              <w:rPr>
                <w:rFonts w:eastAsia="Times New Roman"/>
                <w:lang w:eastAsia="en-GB"/>
              </w:rPr>
              <w:t>914900</w:t>
            </w:r>
          </w:p>
        </w:tc>
      </w:tr>
      <w:tr w:rsidR="00734D86" w:rsidRPr="00734D86" w14:paraId="52A9D360" w14:textId="77777777" w:rsidTr="00734D86">
        <w:trPr>
          <w:trHeight w:val="300"/>
        </w:trPr>
        <w:tc>
          <w:tcPr>
            <w:tcW w:w="2900" w:type="pct"/>
            <w:noWrap/>
            <w:hideMark/>
          </w:tcPr>
          <w:p w14:paraId="2F904EE5" w14:textId="68CB0718" w:rsidR="00734D86" w:rsidRPr="00734D86" w:rsidRDefault="00734D86" w:rsidP="009C4CAD">
            <w:pPr>
              <w:pStyle w:val="Tabletext"/>
              <w:rPr>
                <w:rFonts w:ascii="Aptos" w:eastAsia="Times New Roman" w:hAnsi="Aptos"/>
                <w:lang w:eastAsia="en-GB"/>
              </w:rPr>
            </w:pPr>
            <w:r w:rsidRPr="00734D86">
              <w:rPr>
                <w:rFonts w:ascii="Aptos" w:eastAsia="Times New Roman" w:hAnsi="Aptos"/>
                <w:lang w:eastAsia="en-GB"/>
              </w:rPr>
              <w:t xml:space="preserve">Recovered </w:t>
            </w:r>
            <w:r>
              <w:rPr>
                <w:rFonts w:ascii="Aptos" w:eastAsia="Times New Roman" w:hAnsi="Aptos"/>
                <w:lang w:eastAsia="en-GB"/>
              </w:rPr>
              <w:t xml:space="preserve">– </w:t>
            </w:r>
            <w:r w:rsidRPr="00734D86">
              <w:rPr>
                <w:rFonts w:eastAsia="Times New Roman"/>
                <w:lang w:eastAsia="en-GB"/>
              </w:rPr>
              <w:t xml:space="preserve">Waste to Energy   </w:t>
            </w:r>
          </w:p>
        </w:tc>
        <w:tc>
          <w:tcPr>
            <w:tcW w:w="2100" w:type="pct"/>
            <w:noWrap/>
            <w:hideMark/>
          </w:tcPr>
          <w:p w14:paraId="4E2F64C8" w14:textId="77777777" w:rsidR="00734D86" w:rsidRPr="00734D86" w:rsidRDefault="00734D86" w:rsidP="009C4CAD">
            <w:pPr>
              <w:pStyle w:val="Tabletext"/>
              <w:rPr>
                <w:rFonts w:eastAsia="Times New Roman"/>
                <w:lang w:eastAsia="en-GB"/>
              </w:rPr>
            </w:pPr>
            <w:r w:rsidRPr="00734D86">
              <w:rPr>
                <w:rFonts w:eastAsia="Times New Roman"/>
                <w:lang w:eastAsia="en-GB"/>
              </w:rPr>
              <w:t>15300</w:t>
            </w:r>
          </w:p>
        </w:tc>
      </w:tr>
      <w:tr w:rsidR="00734D86" w:rsidRPr="00734D86" w14:paraId="2E91930E" w14:textId="77777777" w:rsidTr="00734D86">
        <w:trPr>
          <w:trHeight w:val="300"/>
        </w:trPr>
        <w:tc>
          <w:tcPr>
            <w:tcW w:w="2900" w:type="pct"/>
            <w:noWrap/>
            <w:hideMark/>
          </w:tcPr>
          <w:p w14:paraId="581EE450" w14:textId="48138C2B" w:rsidR="00734D86" w:rsidRPr="00734D86" w:rsidRDefault="00734D86" w:rsidP="009C4CAD">
            <w:pPr>
              <w:pStyle w:val="Tabletext"/>
              <w:rPr>
                <w:rFonts w:ascii="Aptos" w:eastAsia="Times New Roman" w:hAnsi="Aptos"/>
                <w:lang w:eastAsia="en-GB"/>
              </w:rPr>
            </w:pPr>
            <w:r w:rsidRPr="00734D86">
              <w:rPr>
                <w:rFonts w:ascii="Aptos" w:eastAsia="Times New Roman" w:hAnsi="Aptos"/>
                <w:lang w:eastAsia="en-GB"/>
              </w:rPr>
              <w:t xml:space="preserve">Disposed </w:t>
            </w:r>
            <w:r>
              <w:rPr>
                <w:rFonts w:ascii="Aptos" w:eastAsia="Times New Roman" w:hAnsi="Aptos"/>
                <w:lang w:eastAsia="en-GB"/>
              </w:rPr>
              <w:t xml:space="preserve">– </w:t>
            </w:r>
            <w:r w:rsidRPr="00734D86">
              <w:rPr>
                <w:rFonts w:eastAsia="Times New Roman"/>
                <w:lang w:eastAsia="en-GB"/>
              </w:rPr>
              <w:t>Landfill</w:t>
            </w:r>
          </w:p>
        </w:tc>
        <w:tc>
          <w:tcPr>
            <w:tcW w:w="2100" w:type="pct"/>
            <w:noWrap/>
            <w:hideMark/>
          </w:tcPr>
          <w:p w14:paraId="3429B41E" w14:textId="77777777" w:rsidR="00734D86" w:rsidRPr="00734D86" w:rsidRDefault="00734D86" w:rsidP="009C4CAD">
            <w:pPr>
              <w:pStyle w:val="Tabletext"/>
              <w:rPr>
                <w:rFonts w:eastAsia="Times New Roman"/>
                <w:lang w:eastAsia="en-GB"/>
              </w:rPr>
            </w:pPr>
            <w:r w:rsidRPr="00734D86">
              <w:rPr>
                <w:rFonts w:eastAsia="Times New Roman"/>
                <w:lang w:eastAsia="en-GB"/>
              </w:rPr>
              <w:t>4517500</w:t>
            </w:r>
          </w:p>
        </w:tc>
      </w:tr>
    </w:tbl>
    <w:p w14:paraId="2AC86F5F" w14:textId="320514FD" w:rsidR="003E6ED9" w:rsidRPr="003E6ED9" w:rsidRDefault="003E6ED9" w:rsidP="00734D86">
      <w:pPr>
        <w:pStyle w:val="Heading2"/>
        <w:spacing w:before="480"/>
      </w:pPr>
      <w:bookmarkStart w:id="2" w:name="_Toc192162352"/>
      <w:r w:rsidRPr="003E6ED9">
        <w:t>Market overview</w:t>
      </w:r>
      <w:bookmarkEnd w:id="2"/>
    </w:p>
    <w:p w14:paraId="7ABE64D5" w14:textId="77777777" w:rsidR="00A34BC4" w:rsidRDefault="003E6ED9" w:rsidP="003E6ED9">
      <w:pPr>
        <w:pStyle w:val="BodyText"/>
      </w:pPr>
      <w:r w:rsidRPr="003E6ED9">
        <w:t>The value of the Victorian waste, recycling and resource recovery sector has been estimated at over $4.4 billion (ABS 2020). This value will continue to grow as Victoria transitions to a stronger circular economy.</w:t>
      </w:r>
    </w:p>
    <w:p w14:paraId="2EC41E9B" w14:textId="77777777" w:rsidR="00A34BC4" w:rsidRDefault="003E6ED9" w:rsidP="003E6ED9">
      <w:pPr>
        <w:pStyle w:val="BodyText"/>
      </w:pPr>
      <w:r w:rsidRPr="003E6ED9">
        <w:lastRenderedPageBreak/>
        <w:t>Victoria remains the fastest growing state in the country with the population expected to reach 10.3 million by 2051 (DTP 2023). This growth will place greater pressure on the environment including through higher levels of waste generation.</w:t>
      </w:r>
    </w:p>
    <w:p w14:paraId="31C98935" w14:textId="77777777" w:rsidR="00A34BC4" w:rsidRDefault="003E6ED9" w:rsidP="003E6ED9">
      <w:pPr>
        <w:pStyle w:val="BodyText"/>
      </w:pPr>
      <w:r w:rsidRPr="003E6ED9">
        <w:t>Despite increasing population, Victoria’s recovery rate has been relatively consistent (69–70%) since 2016–17. There is still a need for improvement to transition to a circular economy and meet Victoria’s target to divert 80% of non-hazardous waste from landfill by 2030. Victoria needs to continue efforts to develop a reliable and robust circular economy market to avoid valuable material and embodied energy being lost to landfill.</w:t>
      </w:r>
    </w:p>
    <w:p w14:paraId="7F55909F" w14:textId="34D6DC2D" w:rsidR="003E6ED9" w:rsidRPr="003E6ED9" w:rsidRDefault="003E6ED9" w:rsidP="00A70662">
      <w:pPr>
        <w:pStyle w:val="BodyText"/>
        <w:ind w:right="-143"/>
      </w:pPr>
      <w:r w:rsidRPr="003E6ED9">
        <w:t>Analysis of trends in resource recovery between 2020–21 and 2022–23 shows a mix of steady performance in the C&amp;D sector, a positive trend in household MSW recovery and challenges in maintaining or improving recovery rates of specific material streams in the C&amp;I sector. Increased focus on waste management systems for businesses, such as through improved separation and collection of materials, could further improve recovery rates.</w:t>
      </w:r>
    </w:p>
    <w:p w14:paraId="2E8691B2" w14:textId="77777777" w:rsidR="003E6ED9" w:rsidRDefault="003E6ED9" w:rsidP="003E6ED9">
      <w:pPr>
        <w:pStyle w:val="BodyText"/>
      </w:pPr>
      <w:r w:rsidRPr="003E6ED9">
        <w:t>A key opportunity for C&amp;I to achieve significant gains in overall circularity is in food organics. While households are benefiting from the rollout of kerbside FOGO services, businesses such as those in food manufacturing and hospitality would benefit from improved investment and systems of waste separation and collection.</w:t>
      </w:r>
    </w:p>
    <w:p w14:paraId="7DF7476F" w14:textId="77777777" w:rsidR="003E6ED9" w:rsidRPr="003E6ED9" w:rsidRDefault="003E6ED9" w:rsidP="002F0DB3">
      <w:pPr>
        <w:pStyle w:val="Normalbeforebullets"/>
      </w:pPr>
      <w:r w:rsidRPr="003E6ED9">
        <w:t>Key barriers to circularity include the following:</w:t>
      </w:r>
    </w:p>
    <w:p w14:paraId="127C7C24" w14:textId="77777777" w:rsidR="003E6ED9" w:rsidRPr="003E6ED9" w:rsidRDefault="003E6ED9" w:rsidP="002F0DB3">
      <w:pPr>
        <w:pStyle w:val="ListBullet"/>
      </w:pPr>
      <w:r w:rsidRPr="002F0DB3">
        <w:rPr>
          <w:b/>
          <w:bCs/>
        </w:rPr>
        <w:t>Contamination</w:t>
      </w:r>
      <w:r w:rsidRPr="003E6ED9">
        <w:t xml:space="preserve"> – high processing costs associated with sorting, decontaminating and cleaning material streams.</w:t>
      </w:r>
    </w:p>
    <w:p w14:paraId="4CB32C7F" w14:textId="77777777" w:rsidR="003E6ED9" w:rsidRPr="003E6ED9" w:rsidRDefault="003E6ED9" w:rsidP="002F0DB3">
      <w:pPr>
        <w:pStyle w:val="ListBullet"/>
      </w:pPr>
      <w:r w:rsidRPr="002F0DB3">
        <w:rPr>
          <w:b/>
          <w:bCs/>
        </w:rPr>
        <w:t>Limited end markets</w:t>
      </w:r>
      <w:r w:rsidRPr="003E6ED9">
        <w:t xml:space="preserve"> – weak local demand for reusing, reprocessing or recycling some material streams.</w:t>
      </w:r>
    </w:p>
    <w:p w14:paraId="10BEDF8D" w14:textId="77777777" w:rsidR="003E6ED9" w:rsidRPr="003E6ED9" w:rsidRDefault="003E6ED9" w:rsidP="002F0DB3">
      <w:pPr>
        <w:pStyle w:val="ListBullet"/>
      </w:pPr>
      <w:r w:rsidRPr="002F0DB3">
        <w:rPr>
          <w:b/>
          <w:bCs/>
        </w:rPr>
        <w:lastRenderedPageBreak/>
        <w:t>Product design</w:t>
      </w:r>
      <w:r w:rsidRPr="003E6ED9">
        <w:t xml:space="preserve"> – products are not designed for circularity or end-of-life. Complex product designs, the use of mixed materials, and the difficulty of disassembling products hinder effective recycling.</w:t>
      </w:r>
    </w:p>
    <w:p w14:paraId="0592EEC8" w14:textId="77777777" w:rsidR="003E6ED9" w:rsidRPr="003E6ED9" w:rsidRDefault="003E6ED9" w:rsidP="002F0DB3">
      <w:pPr>
        <w:pStyle w:val="LastBulletinList"/>
      </w:pPr>
      <w:r w:rsidRPr="002F0DB3">
        <w:rPr>
          <w:b/>
          <w:bCs/>
        </w:rPr>
        <w:t>Competition with international jurisdictions</w:t>
      </w:r>
      <w:r w:rsidRPr="003E6ED9">
        <w:t xml:space="preserve"> – Victorian recyclers and re-manufacturers compete with international jurisdictions that have lower costs and stronger manufacturing bases.</w:t>
      </w:r>
    </w:p>
    <w:p w14:paraId="2DEED750" w14:textId="77777777" w:rsidR="003E6ED9" w:rsidRDefault="003E6ED9" w:rsidP="003E6ED9">
      <w:pPr>
        <w:pStyle w:val="BodyText"/>
        <w:rPr>
          <w:lang w:val="en-AU"/>
        </w:rPr>
      </w:pPr>
      <w:r w:rsidRPr="003E6ED9">
        <w:rPr>
          <w:lang w:val="en-AU"/>
        </w:rPr>
        <w:t>Competition with virgin materials – cheaper virgin materials, particularly those derived from fossil fuels, often undermine the competitiveness of recycled alternatives.</w:t>
      </w:r>
    </w:p>
    <w:p w14:paraId="2442F94C" w14:textId="77777777" w:rsidR="003E6ED9" w:rsidRPr="003E6ED9" w:rsidRDefault="003E6ED9" w:rsidP="002F0DB3">
      <w:pPr>
        <w:pStyle w:val="Normalbeforebullets"/>
      </w:pPr>
      <w:r w:rsidRPr="003E6ED9">
        <w:t>Recent government policy has been introduced to support a stronger and more reliable and transparent waste and recycling sector by measures such as:</w:t>
      </w:r>
    </w:p>
    <w:p w14:paraId="3862ADCE" w14:textId="77777777" w:rsidR="003E6ED9" w:rsidRPr="003E6ED9" w:rsidRDefault="003E6ED9" w:rsidP="002F0DB3">
      <w:pPr>
        <w:pStyle w:val="ListBullet"/>
      </w:pPr>
      <w:r w:rsidRPr="003E6ED9">
        <w:t>improving the way waste is collected through a new standardised 4 stream household waste and recycling system, which reduces contamination and increases the value and opportunity of the materials collected</w:t>
      </w:r>
    </w:p>
    <w:p w14:paraId="3CB27F78" w14:textId="77777777" w:rsidR="003E6ED9" w:rsidRPr="003E6ED9" w:rsidRDefault="003E6ED9" w:rsidP="002F0DB3">
      <w:pPr>
        <w:pStyle w:val="ListBullet"/>
      </w:pPr>
      <w:r w:rsidRPr="003E6ED9">
        <w:t>implementing a product stewardship scheme for the recovery of recyclable containers through Victoria’s Container Deposit Scheme (CDS Vic) to incentivise increased participation in the collection and deposit of containers, reducing contamination and increasing the value and opportunity of the materials collected</w:t>
      </w:r>
    </w:p>
    <w:p w14:paraId="26D0EAF3" w14:textId="77777777" w:rsidR="003E6ED9" w:rsidRPr="003E6ED9" w:rsidRDefault="003E6ED9" w:rsidP="002F0DB3">
      <w:pPr>
        <w:pStyle w:val="ListBullet"/>
      </w:pPr>
      <w:r w:rsidRPr="003E6ED9">
        <w:t>increasing waste levies to incentivise circular economy opportunities and making them more cost effective when compared to disposal</w:t>
      </w:r>
    </w:p>
    <w:p w14:paraId="37D22347" w14:textId="77777777" w:rsidR="003E6ED9" w:rsidRPr="003E6ED9" w:rsidRDefault="003E6ED9" w:rsidP="002F0DB3">
      <w:pPr>
        <w:pStyle w:val="ListBullet"/>
      </w:pPr>
      <w:r w:rsidRPr="003E6ED9">
        <w:t>regulation and planning to ensure that collection and recycling services remain reliable and transparent</w:t>
      </w:r>
    </w:p>
    <w:p w14:paraId="13A01AB6" w14:textId="77777777" w:rsidR="003E6ED9" w:rsidRPr="003E6ED9" w:rsidRDefault="003E6ED9" w:rsidP="002F0DB3">
      <w:pPr>
        <w:pStyle w:val="ListBullet"/>
      </w:pPr>
      <w:r w:rsidRPr="003E6ED9">
        <w:t>driving investment through long term recycling infrastructure planning, outlining where improved capacity and capability are required to meet Victoria’s needs</w:t>
      </w:r>
    </w:p>
    <w:p w14:paraId="692C5BE6" w14:textId="35E992CF" w:rsidR="003E6ED9" w:rsidRPr="003E6ED9" w:rsidRDefault="003E6ED9" w:rsidP="00A70662">
      <w:pPr>
        <w:pStyle w:val="LastBulletinList"/>
        <w:ind w:right="-427"/>
      </w:pPr>
      <w:r w:rsidRPr="003E6ED9">
        <w:lastRenderedPageBreak/>
        <w:t>new government procurement policies for major transport projects to optimise the use of recycled and reused Victorian material within allowable limits under existing specifications.</w:t>
      </w:r>
    </w:p>
    <w:p w14:paraId="65CE6C9B" w14:textId="77777777" w:rsidR="003E6ED9" w:rsidRPr="003E6ED9" w:rsidRDefault="003E6ED9" w:rsidP="003E6ED9">
      <w:pPr>
        <w:pStyle w:val="BodyText"/>
      </w:pPr>
      <w:r w:rsidRPr="003E6ED9">
        <w:t>Victoria has the conditions to support further investment in the waste, resource recovery and recycling sector, including continuing strong government policy to enable and encourage growth, strong domestic demand and facilitating a collaborative research and development environment to support innovation.</w:t>
      </w:r>
    </w:p>
    <w:p w14:paraId="3B296DAC" w14:textId="77777777" w:rsidR="003E6ED9" w:rsidRPr="003E6ED9" w:rsidRDefault="003E6ED9" w:rsidP="002F0DB3">
      <w:pPr>
        <w:pStyle w:val="Normalbeforebullets"/>
      </w:pPr>
      <w:r w:rsidRPr="003E6ED9">
        <w:t>Commodity values of recycled material evolve with markets. Commodity values for recycled materials are influenced by multiple factors including:</w:t>
      </w:r>
    </w:p>
    <w:p w14:paraId="3F612086" w14:textId="77777777" w:rsidR="003E6ED9" w:rsidRPr="003E6ED9" w:rsidRDefault="003E6ED9" w:rsidP="00A70662">
      <w:pPr>
        <w:pStyle w:val="ListBullet"/>
        <w:spacing w:line="360" w:lineRule="auto"/>
      </w:pPr>
      <w:r w:rsidRPr="003E6ED9">
        <w:t>international and domestic market demand</w:t>
      </w:r>
    </w:p>
    <w:p w14:paraId="0C2981A2" w14:textId="77777777" w:rsidR="003E6ED9" w:rsidRPr="003E6ED9" w:rsidRDefault="003E6ED9" w:rsidP="00A70662">
      <w:pPr>
        <w:pStyle w:val="ListBullet"/>
        <w:spacing w:line="360" w:lineRule="auto"/>
      </w:pPr>
      <w:r w:rsidRPr="003E6ED9">
        <w:t>virgin material alternatives</w:t>
      </w:r>
    </w:p>
    <w:p w14:paraId="1FE27D3D" w14:textId="77777777" w:rsidR="00A34BC4" w:rsidRDefault="003E6ED9" w:rsidP="00A70662">
      <w:pPr>
        <w:pStyle w:val="ListBullet"/>
        <w:spacing w:line="360" w:lineRule="auto"/>
      </w:pPr>
      <w:r w:rsidRPr="003E6ED9">
        <w:t>landfill gate fees and waste levies</w:t>
      </w:r>
    </w:p>
    <w:p w14:paraId="299E12E6" w14:textId="77777777" w:rsidR="00A34BC4" w:rsidRDefault="003E6ED9" w:rsidP="002F0DB3">
      <w:pPr>
        <w:pStyle w:val="LastBulletinList"/>
      </w:pPr>
      <w:r w:rsidRPr="003E6ED9">
        <w:t>product stewardship arrangements (CDS Vic, e-waste)</w:t>
      </w:r>
    </w:p>
    <w:p w14:paraId="06AE0953" w14:textId="1A78DC09" w:rsidR="003E6ED9" w:rsidRPr="003E6ED9" w:rsidRDefault="003E6ED9" w:rsidP="003E6ED9">
      <w:pPr>
        <w:pStyle w:val="BodyText"/>
      </w:pPr>
      <w:r w:rsidRPr="003E6ED9">
        <w:t>A material’s commodity value (the price the market is willing to pay) relative to its processing costs and the virgin material alternative, provides insight into the commercial incentives for circularity. Strong commodity values can justify higher processing costs, enabling more complex recycling processes. For example, metals have high commodity values due to strong market demand, which helps overcome transport and processing costs, resulting in higher recovery rates.</w:t>
      </w:r>
    </w:p>
    <w:p w14:paraId="5DA878D0" w14:textId="77777777" w:rsidR="003E6ED9" w:rsidRPr="003E6ED9" w:rsidRDefault="003E6ED9" w:rsidP="003E6ED9">
      <w:pPr>
        <w:pStyle w:val="BodyText"/>
      </w:pPr>
      <w:r w:rsidRPr="003E6ED9">
        <w:t>Some materials such as aggregates, masonry and soil, have relatively low commodity values but still enjoy high rates of recovery, due to simpler and more cost-efficient processing requirements, and with strong financial incentive for the otherwise high costs associated with disposal fees.</w:t>
      </w:r>
    </w:p>
    <w:p w14:paraId="74D5E8AA" w14:textId="78FDA681" w:rsidR="003E6ED9" w:rsidRPr="003E6ED9" w:rsidRDefault="003E6ED9" w:rsidP="004D7C02">
      <w:pPr>
        <w:pStyle w:val="BodyText"/>
        <w:spacing w:after="120"/>
      </w:pPr>
      <w:r w:rsidRPr="003E6ED9">
        <w:t xml:space="preserve">Recycled plastics, on the other hand, are costly to recover and process and are lightweight; therefore, cannot commercially compete with virgin fossil-fuel derived plastics </w:t>
      </w:r>
      <w:r w:rsidRPr="003E6ED9">
        <w:lastRenderedPageBreak/>
        <w:t>which are priced attractively low. However, the price of virgin plastics does not reflect the environmental and social harms of extracting finite natural resources, distorting the true economic comparison between virgin and recycled plastics.</w:t>
      </w:r>
    </w:p>
    <w:p w14:paraId="08F7B782" w14:textId="7C95E30C" w:rsidR="003E6ED9" w:rsidRDefault="003E6ED9" w:rsidP="004D7C02">
      <w:pPr>
        <w:pStyle w:val="BodyText"/>
        <w:spacing w:after="120"/>
        <w:rPr>
          <w:lang w:val="en-AU"/>
        </w:rPr>
      </w:pPr>
      <w:r w:rsidRPr="003E6ED9">
        <w:rPr>
          <w:lang w:val="en-AU"/>
        </w:rPr>
        <w:t>In 2022–23 Victoria recovered and circulated an estimated $1.8 billion worth of materials back into the economy. However, material with potential value of $1.3 billion was lost to landfill, indicating more can be done to support markets in capturing this potential value (</w:t>
      </w:r>
      <w:r w:rsidR="00892060">
        <w:rPr>
          <w:color w:val="FF0000"/>
          <w:lang w:val="en-AU"/>
        </w:rPr>
        <w:fldChar w:fldCharType="begin"/>
      </w:r>
      <w:r w:rsidR="00892060">
        <w:rPr>
          <w:lang w:val="en-AU"/>
        </w:rPr>
        <w:instrText xml:space="preserve"> REF _Ref192150855 \h </w:instrText>
      </w:r>
      <w:r w:rsidR="00892060">
        <w:rPr>
          <w:color w:val="FF0000"/>
          <w:lang w:val="en-AU"/>
        </w:rPr>
      </w:r>
      <w:r w:rsidR="00892060">
        <w:rPr>
          <w:color w:val="FF0000"/>
          <w:lang w:val="en-AU"/>
        </w:rPr>
        <w:fldChar w:fldCharType="separate"/>
      </w:r>
      <w:r w:rsidR="00734D86">
        <w:t xml:space="preserve">Figure </w:t>
      </w:r>
      <w:r w:rsidR="00734D86">
        <w:rPr>
          <w:noProof/>
        </w:rPr>
        <w:t>4</w:t>
      </w:r>
      <w:r w:rsidR="00892060">
        <w:rPr>
          <w:color w:val="FF0000"/>
          <w:lang w:val="en-AU"/>
        </w:rPr>
        <w:fldChar w:fldCharType="end"/>
      </w:r>
      <w:r w:rsidRPr="003E6ED9">
        <w:rPr>
          <w:lang w:val="en-AU"/>
        </w:rPr>
        <w:t>).</w:t>
      </w:r>
    </w:p>
    <w:p w14:paraId="06A4B095" w14:textId="50E07227" w:rsidR="002F0DB3" w:rsidRDefault="002F0DB3" w:rsidP="00A70662">
      <w:pPr>
        <w:pStyle w:val="Caption"/>
        <w:keepNext/>
        <w:spacing w:after="0"/>
      </w:pPr>
      <w:bookmarkStart w:id="3" w:name="_Ref192150855"/>
      <w:r>
        <w:t xml:space="preserve">Figure </w:t>
      </w:r>
      <w:r w:rsidR="00734D86">
        <w:fldChar w:fldCharType="begin"/>
      </w:r>
      <w:r w:rsidR="00734D86">
        <w:instrText xml:space="preserve"> SEQ Figure \* ARABIC </w:instrText>
      </w:r>
      <w:r w:rsidR="00734D86">
        <w:fldChar w:fldCharType="separate"/>
      </w:r>
      <w:r w:rsidR="00734D86">
        <w:rPr>
          <w:noProof/>
        </w:rPr>
        <w:t>4</w:t>
      </w:r>
      <w:r w:rsidR="00734D86">
        <w:rPr>
          <w:noProof/>
        </w:rPr>
        <w:fldChar w:fldCharType="end"/>
      </w:r>
      <w:bookmarkEnd w:id="3"/>
      <w:r>
        <w:t xml:space="preserve">: </w:t>
      </w:r>
      <w:r w:rsidRPr="00662228">
        <w:t>Realised market value, Potential market value, and Commodity value for 2022–23</w:t>
      </w:r>
    </w:p>
    <w:p w14:paraId="7A8C509B" w14:textId="582E892E" w:rsidR="003E6ED9" w:rsidRDefault="003E6ED9" w:rsidP="00A70662">
      <w:pPr>
        <w:pStyle w:val="BodyText"/>
        <w:spacing w:after="120"/>
        <w:rPr>
          <w:lang w:val="en-AU"/>
        </w:rPr>
      </w:pPr>
      <w:r>
        <w:rPr>
          <w:noProof/>
          <w:lang w:val="en-AU"/>
        </w:rPr>
        <w:drawing>
          <wp:inline distT="0" distB="0" distL="0" distR="0" wp14:anchorId="0C518667" wp14:editId="318E27B2">
            <wp:extent cx="6120000" cy="2063235"/>
            <wp:effectExtent l="0" t="0" r="1905" b="0"/>
            <wp:docPr id="1478689653" name="Picture 7" descr="A stacked bar graph showing Realised market value, Potential market value, and Commodity value fo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89653" name="Picture 7" descr="A stacked bar graph showing Realised market value, Potential market value, and Commodity value for 2022–23"/>
                    <pic:cNvPicPr/>
                  </pic:nvPicPr>
                  <pic:blipFill>
                    <a:blip r:embed="rId14"/>
                    <a:stretch>
                      <a:fillRect/>
                    </a:stretch>
                  </pic:blipFill>
                  <pic:spPr>
                    <a:xfrm>
                      <a:off x="0" y="0"/>
                      <a:ext cx="6120000" cy="2063235"/>
                    </a:xfrm>
                    <a:prstGeom prst="rect">
                      <a:avLst/>
                    </a:prstGeom>
                  </pic:spPr>
                </pic:pic>
              </a:graphicData>
            </a:graphic>
          </wp:inline>
        </w:drawing>
      </w:r>
    </w:p>
    <w:p w14:paraId="04D882D6" w14:textId="77777777" w:rsidR="003E6ED9" w:rsidRPr="003E6ED9" w:rsidRDefault="003E6ED9" w:rsidP="00A70662">
      <w:pPr>
        <w:pStyle w:val="Heading2"/>
        <w:spacing w:before="0"/>
      </w:pPr>
      <w:bookmarkStart w:id="4" w:name="_Toc192162353"/>
      <w:r w:rsidRPr="003E6ED9">
        <w:t>Performance by activity</w:t>
      </w:r>
      <w:bookmarkEnd w:id="4"/>
    </w:p>
    <w:p w14:paraId="011FED2A" w14:textId="77777777" w:rsidR="003E6ED9" w:rsidRPr="003E6ED9" w:rsidRDefault="003E6ED9" w:rsidP="003E6ED9">
      <w:pPr>
        <w:pStyle w:val="Heading3"/>
      </w:pPr>
      <w:r w:rsidRPr="003E6ED9">
        <w:t>Material generation</w:t>
      </w:r>
    </w:p>
    <w:p w14:paraId="40DA182F" w14:textId="77777777" w:rsidR="003E6ED9" w:rsidRPr="003E6ED9" w:rsidRDefault="003E6ED9" w:rsidP="003E6ED9">
      <w:pPr>
        <w:pStyle w:val="Normalbeforebullets"/>
      </w:pPr>
      <w:r w:rsidRPr="003E6ED9">
        <w:t>In 2022–23 Victoria’s generation of waste materials totalled 14.5 million tonnes. The C&amp;I sector represents the second largest contributor, accounting for just under one third of total material generation by weight. The largest material stream contributors to this are:</w:t>
      </w:r>
    </w:p>
    <w:p w14:paraId="09DE9833" w14:textId="77777777" w:rsidR="003E6ED9" w:rsidRPr="003E6ED9" w:rsidRDefault="003E6ED9" w:rsidP="00A70662">
      <w:pPr>
        <w:pStyle w:val="ListBullet"/>
        <w:spacing w:after="0" w:line="360" w:lineRule="auto"/>
      </w:pPr>
      <w:r w:rsidRPr="003E6ED9">
        <w:t>aggregates, masonry and soils</w:t>
      </w:r>
    </w:p>
    <w:p w14:paraId="3B81824B" w14:textId="77777777" w:rsidR="003E6ED9" w:rsidRPr="003E6ED9" w:rsidRDefault="003E6ED9" w:rsidP="00A70662">
      <w:pPr>
        <w:pStyle w:val="ListBullet"/>
        <w:spacing w:after="0" w:line="360" w:lineRule="auto"/>
      </w:pPr>
      <w:r w:rsidRPr="003E6ED9">
        <w:t>organics</w:t>
      </w:r>
    </w:p>
    <w:p w14:paraId="72703FB3" w14:textId="77777777" w:rsidR="003E6ED9" w:rsidRPr="003E6ED9" w:rsidRDefault="003E6ED9" w:rsidP="00A70662">
      <w:pPr>
        <w:pStyle w:val="ListBullet"/>
        <w:spacing w:after="0" w:line="360" w:lineRule="auto"/>
      </w:pPr>
      <w:r w:rsidRPr="003E6ED9">
        <w:t>paper and cardboard</w:t>
      </w:r>
    </w:p>
    <w:p w14:paraId="5748A8AB" w14:textId="77777777" w:rsidR="003E6ED9" w:rsidRDefault="003E6ED9" w:rsidP="00A70662">
      <w:pPr>
        <w:pStyle w:val="ListBullet"/>
        <w:spacing w:after="0"/>
      </w:pPr>
      <w:r w:rsidRPr="003E6ED9">
        <w:t>metals.</w:t>
      </w:r>
    </w:p>
    <w:p w14:paraId="51D8EEE3" w14:textId="77777777" w:rsidR="002F0DB3" w:rsidRDefault="002F0DB3" w:rsidP="002F0DB3">
      <w:pPr>
        <w:pStyle w:val="BodyText"/>
        <w:sectPr w:rsidR="002F0DB3" w:rsidSect="0057793E">
          <w:footerReference w:type="default" r:id="rId15"/>
          <w:pgSz w:w="11906" w:h="16838"/>
          <w:pgMar w:top="1134" w:right="1134" w:bottom="1134" w:left="1134" w:header="720" w:footer="170" w:gutter="0"/>
          <w:pgNumType w:start="20"/>
          <w:cols w:space="720"/>
          <w:noEndnote/>
          <w:docGrid w:linePitch="326"/>
        </w:sectPr>
      </w:pPr>
    </w:p>
    <w:p w14:paraId="2008FC12" w14:textId="295EBD36" w:rsidR="002F0DB3" w:rsidRDefault="002F0DB3" w:rsidP="002F0DB3">
      <w:pPr>
        <w:pStyle w:val="Caption"/>
        <w:keepNext/>
      </w:pPr>
      <w:r>
        <w:lastRenderedPageBreak/>
        <w:t xml:space="preserve">Table </w:t>
      </w:r>
      <w:r w:rsidR="00734D86">
        <w:fldChar w:fldCharType="begin"/>
      </w:r>
      <w:r w:rsidR="00734D86">
        <w:instrText xml:space="preserve"> SEQ Table \* ARABIC </w:instrText>
      </w:r>
      <w:r w:rsidR="00734D86">
        <w:fldChar w:fldCharType="separate"/>
      </w:r>
      <w:r w:rsidR="00734D86">
        <w:rPr>
          <w:noProof/>
        </w:rPr>
        <w:t>3</w:t>
      </w:r>
      <w:r w:rsidR="00734D86">
        <w:rPr>
          <w:noProof/>
        </w:rPr>
        <w:fldChar w:fldCharType="end"/>
      </w:r>
      <w:r>
        <w:t xml:space="preserve">: </w:t>
      </w:r>
      <w:r w:rsidRPr="008807A4">
        <w:t>Comparison of material generation, recovery and disposal between financial years (Recycling Victoria 2024b)</w:t>
      </w:r>
    </w:p>
    <w:tbl>
      <w:tblPr>
        <w:tblStyle w:val="Style2"/>
        <w:tblW w:w="5000" w:type="pct"/>
        <w:tblLook w:val="0020" w:firstRow="1" w:lastRow="0" w:firstColumn="0" w:lastColumn="0" w:noHBand="0" w:noVBand="0"/>
        <w:tblCaption w:val="Comparison of material generation, recovery and disposal between financial years (Recycling Victoria 2024b)"/>
        <w:tblDescription w:val="Comparison of material generation, recovery and disposal between financial years (Recycling Victoria 2024b)"/>
      </w:tblPr>
      <w:tblGrid>
        <w:gridCol w:w="1064"/>
        <w:gridCol w:w="979"/>
        <w:gridCol w:w="981"/>
        <w:gridCol w:w="981"/>
        <w:gridCol w:w="430"/>
        <w:gridCol w:w="981"/>
        <w:gridCol w:w="981"/>
        <w:gridCol w:w="981"/>
        <w:gridCol w:w="430"/>
        <w:gridCol w:w="982"/>
        <w:gridCol w:w="982"/>
        <w:gridCol w:w="982"/>
        <w:gridCol w:w="430"/>
        <w:gridCol w:w="982"/>
        <w:gridCol w:w="982"/>
        <w:gridCol w:w="982"/>
        <w:gridCol w:w="430"/>
      </w:tblGrid>
      <w:tr w:rsidR="00A70662" w:rsidRPr="002F0DB3" w14:paraId="1F7F33EA" w14:textId="77777777" w:rsidTr="002F0DB3">
        <w:trPr>
          <w:cnfStyle w:val="100000000000" w:firstRow="1" w:lastRow="0" w:firstColumn="0" w:lastColumn="0" w:oddVBand="0" w:evenVBand="0" w:oddHBand="0" w:evenHBand="0" w:firstRowFirstColumn="0" w:firstRowLastColumn="0" w:lastRowFirstColumn="0" w:lastRowLastColumn="0"/>
          <w:trHeight w:val="60"/>
          <w:tblHeader/>
        </w:trPr>
        <w:tc>
          <w:tcPr>
            <w:tcW w:w="371" w:type="pct"/>
          </w:tcPr>
          <w:p w14:paraId="31DC7106" w14:textId="77777777" w:rsidR="002F0DB3" w:rsidRPr="002F0DB3" w:rsidRDefault="002F0DB3" w:rsidP="002F0DB3">
            <w:pPr>
              <w:pStyle w:val="Tabletext"/>
              <w:spacing w:line="276" w:lineRule="auto"/>
              <w:jc w:val="center"/>
            </w:pPr>
            <w:r w:rsidRPr="002F0DB3">
              <w:t>Source sector</w:t>
            </w:r>
          </w:p>
        </w:tc>
        <w:tc>
          <w:tcPr>
            <w:tcW w:w="1157" w:type="pct"/>
            <w:gridSpan w:val="4"/>
            <w:vAlign w:val="center"/>
          </w:tcPr>
          <w:p w14:paraId="70E8BBC8" w14:textId="77777777" w:rsidR="002F0DB3" w:rsidRPr="002F0DB3" w:rsidRDefault="002F0DB3" w:rsidP="002F0DB3">
            <w:pPr>
              <w:pStyle w:val="Tabletext"/>
              <w:spacing w:line="276" w:lineRule="auto"/>
              <w:jc w:val="center"/>
            </w:pPr>
            <w:r w:rsidRPr="002F0DB3">
              <w:t>Total generation (tonnes)</w:t>
            </w:r>
          </w:p>
        </w:tc>
        <w:tc>
          <w:tcPr>
            <w:tcW w:w="1158" w:type="pct"/>
            <w:gridSpan w:val="4"/>
            <w:vAlign w:val="center"/>
          </w:tcPr>
          <w:p w14:paraId="2B78E83C" w14:textId="77777777" w:rsidR="002F0DB3" w:rsidRPr="002F0DB3" w:rsidRDefault="002F0DB3" w:rsidP="002F0DB3">
            <w:pPr>
              <w:pStyle w:val="Tabletext"/>
              <w:spacing w:line="276" w:lineRule="auto"/>
              <w:jc w:val="center"/>
            </w:pPr>
            <w:r w:rsidRPr="002F0DB3">
              <w:t>Recovered (tonnes)</w:t>
            </w:r>
          </w:p>
        </w:tc>
        <w:tc>
          <w:tcPr>
            <w:tcW w:w="1158" w:type="pct"/>
            <w:gridSpan w:val="4"/>
            <w:vAlign w:val="center"/>
          </w:tcPr>
          <w:p w14:paraId="587213F2" w14:textId="77777777" w:rsidR="002F0DB3" w:rsidRPr="002F0DB3" w:rsidRDefault="002F0DB3" w:rsidP="002F0DB3">
            <w:pPr>
              <w:pStyle w:val="Tabletext"/>
              <w:spacing w:line="276" w:lineRule="auto"/>
              <w:jc w:val="center"/>
            </w:pPr>
            <w:r w:rsidRPr="002F0DB3">
              <w:t>Disposed (tonnes)</w:t>
            </w:r>
          </w:p>
        </w:tc>
        <w:tc>
          <w:tcPr>
            <w:tcW w:w="1156" w:type="pct"/>
            <w:gridSpan w:val="4"/>
            <w:vAlign w:val="center"/>
          </w:tcPr>
          <w:p w14:paraId="2B741610" w14:textId="77777777" w:rsidR="002F0DB3" w:rsidRPr="002F0DB3" w:rsidRDefault="002F0DB3" w:rsidP="002F0DB3">
            <w:pPr>
              <w:pStyle w:val="Tabletext"/>
              <w:spacing w:line="276" w:lineRule="auto"/>
              <w:jc w:val="center"/>
            </w:pPr>
            <w:r w:rsidRPr="002F0DB3">
              <w:t>Recovery rate (%)</w:t>
            </w:r>
          </w:p>
        </w:tc>
      </w:tr>
      <w:tr w:rsidR="00A70662" w:rsidRPr="002F0DB3" w14:paraId="4D11EB03" w14:textId="77777777" w:rsidTr="002F0DB3">
        <w:trPr>
          <w:trHeight w:val="60"/>
        </w:trPr>
        <w:tc>
          <w:tcPr>
            <w:tcW w:w="371" w:type="pct"/>
            <w:shd w:val="clear" w:color="auto" w:fill="F2F2F2" w:themeFill="background1" w:themeFillShade="F2"/>
          </w:tcPr>
          <w:p w14:paraId="6DF75226" w14:textId="77777777" w:rsidR="002F0DB3" w:rsidRPr="002F0DB3" w:rsidRDefault="002F0DB3" w:rsidP="002F0DB3">
            <w:pPr>
              <w:pStyle w:val="Tabletext"/>
              <w:jc w:val="center"/>
              <w:rPr>
                <w:b/>
                <w:bCs/>
              </w:rPr>
            </w:pPr>
            <w:r w:rsidRPr="002F0DB3">
              <w:rPr>
                <w:b/>
                <w:bCs/>
              </w:rPr>
              <w:t>FY</w:t>
            </w:r>
          </w:p>
        </w:tc>
        <w:tc>
          <w:tcPr>
            <w:tcW w:w="343" w:type="pct"/>
            <w:shd w:val="clear" w:color="auto" w:fill="F2F2F2" w:themeFill="background1" w:themeFillShade="F2"/>
          </w:tcPr>
          <w:p w14:paraId="44177A35" w14:textId="77777777" w:rsidR="002F0DB3" w:rsidRPr="002F0DB3" w:rsidRDefault="002F0DB3" w:rsidP="002F0DB3">
            <w:pPr>
              <w:pStyle w:val="Tabletext"/>
              <w:jc w:val="center"/>
              <w:rPr>
                <w:b/>
                <w:bCs/>
              </w:rPr>
            </w:pPr>
            <w:r w:rsidRPr="002F0DB3">
              <w:rPr>
                <w:b/>
                <w:bCs/>
              </w:rPr>
              <w:t>20–21</w:t>
            </w:r>
          </w:p>
        </w:tc>
        <w:tc>
          <w:tcPr>
            <w:tcW w:w="343" w:type="pct"/>
            <w:shd w:val="clear" w:color="auto" w:fill="F2F2F2" w:themeFill="background1" w:themeFillShade="F2"/>
          </w:tcPr>
          <w:p w14:paraId="53B82D94" w14:textId="77777777" w:rsidR="002F0DB3" w:rsidRPr="002F0DB3" w:rsidRDefault="002F0DB3" w:rsidP="002F0DB3">
            <w:pPr>
              <w:pStyle w:val="Tabletext"/>
              <w:jc w:val="center"/>
              <w:rPr>
                <w:b/>
                <w:bCs/>
              </w:rPr>
            </w:pPr>
            <w:r w:rsidRPr="002F0DB3">
              <w:rPr>
                <w:b/>
                <w:bCs/>
              </w:rPr>
              <w:t>21–22</w:t>
            </w:r>
          </w:p>
        </w:tc>
        <w:tc>
          <w:tcPr>
            <w:tcW w:w="343" w:type="pct"/>
            <w:shd w:val="clear" w:color="auto" w:fill="F2F2F2" w:themeFill="background1" w:themeFillShade="F2"/>
          </w:tcPr>
          <w:p w14:paraId="5BB956F0" w14:textId="77777777" w:rsidR="002F0DB3" w:rsidRPr="002F0DB3" w:rsidRDefault="002F0DB3" w:rsidP="002F0DB3">
            <w:pPr>
              <w:pStyle w:val="Tabletext"/>
              <w:jc w:val="center"/>
              <w:rPr>
                <w:b/>
                <w:bCs/>
              </w:rPr>
            </w:pPr>
            <w:r w:rsidRPr="002F0DB3">
              <w:rPr>
                <w:b/>
                <w:bCs/>
              </w:rPr>
              <w:t>22–23</w:t>
            </w:r>
          </w:p>
        </w:tc>
        <w:tc>
          <w:tcPr>
            <w:tcW w:w="129" w:type="pct"/>
            <w:shd w:val="clear" w:color="auto" w:fill="F2F2F2" w:themeFill="background1" w:themeFillShade="F2"/>
          </w:tcPr>
          <w:p w14:paraId="70491CA9" w14:textId="77777777" w:rsidR="002F0DB3" w:rsidRPr="002F0DB3" w:rsidRDefault="002F0DB3" w:rsidP="002F0DB3">
            <w:pPr>
              <w:pStyle w:val="Tabletext"/>
              <w:jc w:val="center"/>
              <w:rPr>
                <w:b/>
                <w:bCs/>
              </w:rPr>
            </w:pPr>
          </w:p>
        </w:tc>
        <w:tc>
          <w:tcPr>
            <w:tcW w:w="343" w:type="pct"/>
            <w:shd w:val="clear" w:color="auto" w:fill="F2F2F2" w:themeFill="background1" w:themeFillShade="F2"/>
          </w:tcPr>
          <w:p w14:paraId="3FDD79AE" w14:textId="77777777" w:rsidR="002F0DB3" w:rsidRPr="002F0DB3" w:rsidRDefault="002F0DB3" w:rsidP="002F0DB3">
            <w:pPr>
              <w:pStyle w:val="Tabletext"/>
              <w:jc w:val="center"/>
              <w:rPr>
                <w:b/>
                <w:bCs/>
              </w:rPr>
            </w:pPr>
            <w:r w:rsidRPr="002F0DB3">
              <w:rPr>
                <w:b/>
                <w:bCs/>
              </w:rPr>
              <w:t>20–21</w:t>
            </w:r>
          </w:p>
        </w:tc>
        <w:tc>
          <w:tcPr>
            <w:tcW w:w="343" w:type="pct"/>
            <w:shd w:val="clear" w:color="auto" w:fill="F2F2F2" w:themeFill="background1" w:themeFillShade="F2"/>
          </w:tcPr>
          <w:p w14:paraId="2E91CC79" w14:textId="77777777" w:rsidR="002F0DB3" w:rsidRPr="002F0DB3" w:rsidRDefault="002F0DB3" w:rsidP="002F0DB3">
            <w:pPr>
              <w:pStyle w:val="Tabletext"/>
              <w:jc w:val="center"/>
              <w:rPr>
                <w:b/>
                <w:bCs/>
              </w:rPr>
            </w:pPr>
            <w:r w:rsidRPr="002F0DB3">
              <w:rPr>
                <w:b/>
                <w:bCs/>
              </w:rPr>
              <w:t>21–22</w:t>
            </w:r>
          </w:p>
        </w:tc>
        <w:tc>
          <w:tcPr>
            <w:tcW w:w="343" w:type="pct"/>
            <w:shd w:val="clear" w:color="auto" w:fill="F2F2F2" w:themeFill="background1" w:themeFillShade="F2"/>
          </w:tcPr>
          <w:p w14:paraId="2A5E03A4" w14:textId="77777777" w:rsidR="002F0DB3" w:rsidRPr="002F0DB3" w:rsidRDefault="002F0DB3" w:rsidP="002F0DB3">
            <w:pPr>
              <w:pStyle w:val="Tabletext"/>
              <w:jc w:val="center"/>
              <w:rPr>
                <w:b/>
                <w:bCs/>
              </w:rPr>
            </w:pPr>
            <w:r w:rsidRPr="002F0DB3">
              <w:rPr>
                <w:b/>
                <w:bCs/>
              </w:rPr>
              <w:t>22–23</w:t>
            </w:r>
          </w:p>
        </w:tc>
        <w:tc>
          <w:tcPr>
            <w:tcW w:w="129" w:type="pct"/>
            <w:shd w:val="clear" w:color="auto" w:fill="F2F2F2" w:themeFill="background1" w:themeFillShade="F2"/>
          </w:tcPr>
          <w:p w14:paraId="73BE8191" w14:textId="77777777" w:rsidR="002F0DB3" w:rsidRPr="002F0DB3" w:rsidRDefault="002F0DB3" w:rsidP="002F0DB3">
            <w:pPr>
              <w:pStyle w:val="Tabletext"/>
              <w:jc w:val="center"/>
              <w:rPr>
                <w:b/>
                <w:bCs/>
              </w:rPr>
            </w:pPr>
          </w:p>
        </w:tc>
        <w:tc>
          <w:tcPr>
            <w:tcW w:w="343" w:type="pct"/>
            <w:shd w:val="clear" w:color="auto" w:fill="F2F2F2" w:themeFill="background1" w:themeFillShade="F2"/>
          </w:tcPr>
          <w:p w14:paraId="6E7D9374" w14:textId="77777777" w:rsidR="002F0DB3" w:rsidRPr="002F0DB3" w:rsidRDefault="002F0DB3" w:rsidP="002F0DB3">
            <w:pPr>
              <w:pStyle w:val="Tabletext"/>
              <w:jc w:val="center"/>
              <w:rPr>
                <w:b/>
                <w:bCs/>
              </w:rPr>
            </w:pPr>
            <w:r w:rsidRPr="002F0DB3">
              <w:rPr>
                <w:b/>
                <w:bCs/>
              </w:rPr>
              <w:t>20–21</w:t>
            </w:r>
          </w:p>
        </w:tc>
        <w:tc>
          <w:tcPr>
            <w:tcW w:w="343" w:type="pct"/>
            <w:shd w:val="clear" w:color="auto" w:fill="F2F2F2" w:themeFill="background1" w:themeFillShade="F2"/>
          </w:tcPr>
          <w:p w14:paraId="628ECC0A" w14:textId="77777777" w:rsidR="002F0DB3" w:rsidRPr="002F0DB3" w:rsidRDefault="002F0DB3" w:rsidP="002F0DB3">
            <w:pPr>
              <w:pStyle w:val="Tabletext"/>
              <w:jc w:val="center"/>
              <w:rPr>
                <w:b/>
                <w:bCs/>
              </w:rPr>
            </w:pPr>
            <w:r w:rsidRPr="002F0DB3">
              <w:rPr>
                <w:b/>
                <w:bCs/>
              </w:rPr>
              <w:t>21–22</w:t>
            </w:r>
          </w:p>
        </w:tc>
        <w:tc>
          <w:tcPr>
            <w:tcW w:w="343" w:type="pct"/>
            <w:shd w:val="clear" w:color="auto" w:fill="F2F2F2" w:themeFill="background1" w:themeFillShade="F2"/>
          </w:tcPr>
          <w:p w14:paraId="1B368210" w14:textId="77777777" w:rsidR="002F0DB3" w:rsidRPr="002F0DB3" w:rsidRDefault="002F0DB3" w:rsidP="002F0DB3">
            <w:pPr>
              <w:pStyle w:val="Tabletext"/>
              <w:jc w:val="center"/>
              <w:rPr>
                <w:b/>
                <w:bCs/>
              </w:rPr>
            </w:pPr>
            <w:r w:rsidRPr="002F0DB3">
              <w:rPr>
                <w:b/>
                <w:bCs/>
              </w:rPr>
              <w:t>22–23</w:t>
            </w:r>
          </w:p>
        </w:tc>
        <w:tc>
          <w:tcPr>
            <w:tcW w:w="129" w:type="pct"/>
            <w:shd w:val="clear" w:color="auto" w:fill="F2F2F2" w:themeFill="background1" w:themeFillShade="F2"/>
          </w:tcPr>
          <w:p w14:paraId="15285EE8" w14:textId="77777777" w:rsidR="002F0DB3" w:rsidRPr="002F0DB3" w:rsidRDefault="002F0DB3" w:rsidP="002F0DB3">
            <w:pPr>
              <w:pStyle w:val="Tabletext"/>
              <w:jc w:val="center"/>
              <w:rPr>
                <w:b/>
                <w:bCs/>
              </w:rPr>
            </w:pPr>
          </w:p>
        </w:tc>
        <w:tc>
          <w:tcPr>
            <w:tcW w:w="343" w:type="pct"/>
            <w:shd w:val="clear" w:color="auto" w:fill="F2F2F2" w:themeFill="background1" w:themeFillShade="F2"/>
          </w:tcPr>
          <w:p w14:paraId="48CD9B82" w14:textId="77777777" w:rsidR="002F0DB3" w:rsidRPr="002F0DB3" w:rsidRDefault="002F0DB3" w:rsidP="002F0DB3">
            <w:pPr>
              <w:pStyle w:val="Tabletext"/>
              <w:jc w:val="center"/>
              <w:rPr>
                <w:b/>
                <w:bCs/>
              </w:rPr>
            </w:pPr>
            <w:r w:rsidRPr="002F0DB3">
              <w:rPr>
                <w:b/>
                <w:bCs/>
              </w:rPr>
              <w:t>20–21</w:t>
            </w:r>
          </w:p>
        </w:tc>
        <w:tc>
          <w:tcPr>
            <w:tcW w:w="343" w:type="pct"/>
            <w:shd w:val="clear" w:color="auto" w:fill="F2F2F2" w:themeFill="background1" w:themeFillShade="F2"/>
          </w:tcPr>
          <w:p w14:paraId="12D3B108" w14:textId="77777777" w:rsidR="002F0DB3" w:rsidRPr="002F0DB3" w:rsidRDefault="002F0DB3" w:rsidP="002F0DB3">
            <w:pPr>
              <w:pStyle w:val="Tabletext"/>
              <w:jc w:val="center"/>
              <w:rPr>
                <w:b/>
                <w:bCs/>
              </w:rPr>
            </w:pPr>
            <w:r w:rsidRPr="002F0DB3">
              <w:rPr>
                <w:b/>
                <w:bCs/>
              </w:rPr>
              <w:t>21–22</w:t>
            </w:r>
          </w:p>
        </w:tc>
        <w:tc>
          <w:tcPr>
            <w:tcW w:w="343" w:type="pct"/>
            <w:shd w:val="clear" w:color="auto" w:fill="F2F2F2" w:themeFill="background1" w:themeFillShade="F2"/>
          </w:tcPr>
          <w:p w14:paraId="5E3B3B79" w14:textId="77777777" w:rsidR="002F0DB3" w:rsidRPr="002F0DB3" w:rsidRDefault="002F0DB3" w:rsidP="002F0DB3">
            <w:pPr>
              <w:pStyle w:val="Tabletext"/>
              <w:jc w:val="center"/>
              <w:rPr>
                <w:b/>
                <w:bCs/>
              </w:rPr>
            </w:pPr>
            <w:r w:rsidRPr="002F0DB3">
              <w:rPr>
                <w:b/>
                <w:bCs/>
              </w:rPr>
              <w:t>22–23</w:t>
            </w:r>
          </w:p>
        </w:tc>
        <w:tc>
          <w:tcPr>
            <w:tcW w:w="127" w:type="pct"/>
            <w:shd w:val="clear" w:color="auto" w:fill="F2F2F2" w:themeFill="background1" w:themeFillShade="F2"/>
          </w:tcPr>
          <w:p w14:paraId="21657A4F" w14:textId="77777777" w:rsidR="002F0DB3" w:rsidRPr="002F0DB3" w:rsidRDefault="002F0DB3" w:rsidP="002F0DB3">
            <w:pPr>
              <w:pStyle w:val="Tabletext"/>
              <w:jc w:val="center"/>
              <w:rPr>
                <w:b/>
                <w:bCs/>
              </w:rPr>
            </w:pPr>
          </w:p>
        </w:tc>
      </w:tr>
      <w:tr w:rsidR="00A70662" w:rsidRPr="002F0DB3" w14:paraId="24A821DF" w14:textId="77777777" w:rsidTr="006E133C">
        <w:trPr>
          <w:trHeight w:val="709"/>
        </w:trPr>
        <w:tc>
          <w:tcPr>
            <w:tcW w:w="371" w:type="pct"/>
            <w:vAlign w:val="center"/>
          </w:tcPr>
          <w:p w14:paraId="4371A26A" w14:textId="77777777" w:rsidR="002F0DB3" w:rsidRPr="002F0DB3" w:rsidRDefault="002F0DB3" w:rsidP="006E133C">
            <w:pPr>
              <w:pStyle w:val="Tabletext"/>
              <w:jc w:val="center"/>
            </w:pPr>
            <w:r w:rsidRPr="002F0DB3">
              <w:t>MSW</w:t>
            </w:r>
          </w:p>
        </w:tc>
        <w:tc>
          <w:tcPr>
            <w:tcW w:w="343" w:type="pct"/>
            <w:vAlign w:val="center"/>
          </w:tcPr>
          <w:p w14:paraId="79708B8E" w14:textId="77777777" w:rsidR="002F0DB3" w:rsidRPr="002F0DB3" w:rsidRDefault="002F0DB3" w:rsidP="006E133C">
            <w:pPr>
              <w:pStyle w:val="Tabletext"/>
              <w:jc w:val="center"/>
            </w:pPr>
            <w:r w:rsidRPr="002F0DB3">
              <w:t>3.3</w:t>
            </w:r>
          </w:p>
        </w:tc>
        <w:tc>
          <w:tcPr>
            <w:tcW w:w="343" w:type="pct"/>
            <w:vAlign w:val="center"/>
          </w:tcPr>
          <w:p w14:paraId="6DA6B8A0" w14:textId="77777777" w:rsidR="002F0DB3" w:rsidRPr="002F0DB3" w:rsidRDefault="002F0DB3" w:rsidP="006E133C">
            <w:pPr>
              <w:pStyle w:val="Tabletext"/>
              <w:jc w:val="center"/>
            </w:pPr>
            <w:r w:rsidRPr="002F0DB3">
              <w:t>3.5</w:t>
            </w:r>
          </w:p>
        </w:tc>
        <w:tc>
          <w:tcPr>
            <w:tcW w:w="343" w:type="pct"/>
            <w:vAlign w:val="center"/>
          </w:tcPr>
          <w:p w14:paraId="3005BD80" w14:textId="77777777" w:rsidR="002F0DB3" w:rsidRPr="002F0DB3" w:rsidRDefault="002F0DB3" w:rsidP="006E133C">
            <w:pPr>
              <w:pStyle w:val="Tabletext"/>
              <w:jc w:val="center"/>
            </w:pPr>
            <w:r w:rsidRPr="002F0DB3">
              <w:t>3.6</w:t>
            </w:r>
          </w:p>
        </w:tc>
        <w:tc>
          <w:tcPr>
            <w:tcW w:w="129" w:type="pct"/>
            <w:shd w:val="clear" w:color="auto" w:fill="F2BFBC"/>
            <w:vAlign w:val="center"/>
          </w:tcPr>
          <w:p w14:paraId="67439637"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26E69718" w14:textId="77777777" w:rsidR="002F0DB3" w:rsidRPr="002F0DB3" w:rsidRDefault="002F0DB3" w:rsidP="006E133C">
            <w:pPr>
              <w:pStyle w:val="Tabletext"/>
              <w:jc w:val="center"/>
            </w:pPr>
            <w:r w:rsidRPr="002F0DB3">
              <w:t>1.6</w:t>
            </w:r>
          </w:p>
        </w:tc>
        <w:tc>
          <w:tcPr>
            <w:tcW w:w="343" w:type="pct"/>
            <w:vAlign w:val="center"/>
          </w:tcPr>
          <w:p w14:paraId="773F48C2" w14:textId="77777777" w:rsidR="002F0DB3" w:rsidRPr="002F0DB3" w:rsidRDefault="002F0DB3" w:rsidP="006E133C">
            <w:pPr>
              <w:pStyle w:val="Tabletext"/>
              <w:jc w:val="center"/>
            </w:pPr>
            <w:r w:rsidRPr="002F0DB3">
              <w:t>2.0</w:t>
            </w:r>
          </w:p>
        </w:tc>
        <w:tc>
          <w:tcPr>
            <w:tcW w:w="343" w:type="pct"/>
            <w:vAlign w:val="center"/>
          </w:tcPr>
          <w:p w14:paraId="51D740E6" w14:textId="77777777" w:rsidR="002F0DB3" w:rsidRPr="002F0DB3" w:rsidRDefault="002F0DB3" w:rsidP="006E133C">
            <w:pPr>
              <w:pStyle w:val="Tabletext"/>
              <w:jc w:val="center"/>
            </w:pPr>
            <w:r w:rsidRPr="002F0DB3">
              <w:t>2.0</w:t>
            </w:r>
          </w:p>
        </w:tc>
        <w:tc>
          <w:tcPr>
            <w:tcW w:w="129" w:type="pct"/>
            <w:shd w:val="clear" w:color="auto" w:fill="F2BFBC"/>
            <w:vAlign w:val="center"/>
          </w:tcPr>
          <w:p w14:paraId="49E18C26"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6CCA6A6A" w14:textId="77777777" w:rsidR="002F0DB3" w:rsidRPr="002F0DB3" w:rsidRDefault="002F0DB3" w:rsidP="006E133C">
            <w:pPr>
              <w:pStyle w:val="Tabletext"/>
              <w:jc w:val="center"/>
            </w:pPr>
            <w:r w:rsidRPr="002F0DB3">
              <w:t>1.7</w:t>
            </w:r>
          </w:p>
        </w:tc>
        <w:tc>
          <w:tcPr>
            <w:tcW w:w="343" w:type="pct"/>
            <w:vAlign w:val="center"/>
          </w:tcPr>
          <w:p w14:paraId="2C6151D4" w14:textId="77777777" w:rsidR="002F0DB3" w:rsidRPr="002F0DB3" w:rsidRDefault="002F0DB3" w:rsidP="006E133C">
            <w:pPr>
              <w:pStyle w:val="Tabletext"/>
              <w:jc w:val="center"/>
            </w:pPr>
            <w:r w:rsidRPr="002F0DB3">
              <w:t>1.5</w:t>
            </w:r>
          </w:p>
        </w:tc>
        <w:tc>
          <w:tcPr>
            <w:tcW w:w="343" w:type="pct"/>
            <w:vAlign w:val="center"/>
          </w:tcPr>
          <w:p w14:paraId="2C8D0C75" w14:textId="77777777" w:rsidR="002F0DB3" w:rsidRPr="002F0DB3" w:rsidRDefault="002F0DB3" w:rsidP="006E133C">
            <w:pPr>
              <w:pStyle w:val="Tabletext"/>
              <w:jc w:val="center"/>
            </w:pPr>
            <w:r w:rsidRPr="002F0DB3">
              <w:t>1.6</w:t>
            </w:r>
          </w:p>
        </w:tc>
        <w:tc>
          <w:tcPr>
            <w:tcW w:w="129" w:type="pct"/>
            <w:shd w:val="clear" w:color="auto" w:fill="E2EFD9" w:themeFill="accent6" w:themeFillTint="33"/>
            <w:vAlign w:val="center"/>
          </w:tcPr>
          <w:p w14:paraId="3A23A132"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03EBD9F4" w14:textId="77777777" w:rsidR="002F0DB3" w:rsidRPr="002F0DB3" w:rsidRDefault="002F0DB3" w:rsidP="006E133C">
            <w:pPr>
              <w:pStyle w:val="Tabletext"/>
              <w:jc w:val="center"/>
            </w:pPr>
            <w:r w:rsidRPr="002F0DB3">
              <w:t>49%</w:t>
            </w:r>
          </w:p>
        </w:tc>
        <w:tc>
          <w:tcPr>
            <w:tcW w:w="343" w:type="pct"/>
            <w:vAlign w:val="center"/>
          </w:tcPr>
          <w:p w14:paraId="0A151081" w14:textId="77777777" w:rsidR="002F0DB3" w:rsidRPr="002F0DB3" w:rsidRDefault="002F0DB3" w:rsidP="006E133C">
            <w:pPr>
              <w:pStyle w:val="Tabletext"/>
              <w:jc w:val="center"/>
            </w:pPr>
            <w:r w:rsidRPr="002F0DB3">
              <w:t>57%</w:t>
            </w:r>
          </w:p>
        </w:tc>
        <w:tc>
          <w:tcPr>
            <w:tcW w:w="343" w:type="pct"/>
            <w:vAlign w:val="center"/>
          </w:tcPr>
          <w:p w14:paraId="6526D471" w14:textId="77777777" w:rsidR="002F0DB3" w:rsidRPr="002F0DB3" w:rsidRDefault="002F0DB3" w:rsidP="006E133C">
            <w:pPr>
              <w:pStyle w:val="Tabletext"/>
              <w:jc w:val="center"/>
            </w:pPr>
            <w:r w:rsidRPr="002F0DB3">
              <w:t>56%</w:t>
            </w:r>
          </w:p>
        </w:tc>
        <w:tc>
          <w:tcPr>
            <w:tcW w:w="127" w:type="pct"/>
            <w:shd w:val="clear" w:color="auto" w:fill="F2BFBC"/>
            <w:vAlign w:val="center"/>
          </w:tcPr>
          <w:p w14:paraId="1DB0DA01" w14:textId="77777777" w:rsidR="002F0DB3" w:rsidRPr="00A70662" w:rsidRDefault="002F0DB3" w:rsidP="006E133C">
            <w:pPr>
              <w:pStyle w:val="Tabletext"/>
              <w:jc w:val="center"/>
              <w:rPr>
                <w:sz w:val="36"/>
                <w:szCs w:val="36"/>
              </w:rPr>
            </w:pPr>
            <w:r w:rsidRPr="00A70662">
              <w:rPr>
                <w:sz w:val="36"/>
                <w:szCs w:val="36"/>
              </w:rPr>
              <w:t>↑</w:t>
            </w:r>
          </w:p>
        </w:tc>
      </w:tr>
      <w:tr w:rsidR="002F0DB3" w:rsidRPr="002F0DB3" w14:paraId="60403A45" w14:textId="77777777" w:rsidTr="006E133C">
        <w:trPr>
          <w:trHeight w:val="709"/>
        </w:trPr>
        <w:tc>
          <w:tcPr>
            <w:tcW w:w="371" w:type="pct"/>
            <w:vAlign w:val="center"/>
          </w:tcPr>
          <w:p w14:paraId="612822C1" w14:textId="77777777" w:rsidR="002F0DB3" w:rsidRPr="002F0DB3" w:rsidRDefault="002F0DB3" w:rsidP="006E133C">
            <w:pPr>
              <w:pStyle w:val="Tabletext"/>
              <w:jc w:val="center"/>
            </w:pPr>
            <w:r w:rsidRPr="002F0DB3">
              <w:t>C&amp;I</w:t>
            </w:r>
          </w:p>
        </w:tc>
        <w:tc>
          <w:tcPr>
            <w:tcW w:w="343" w:type="pct"/>
            <w:vAlign w:val="center"/>
          </w:tcPr>
          <w:p w14:paraId="5BCA2F89" w14:textId="77777777" w:rsidR="002F0DB3" w:rsidRPr="002F0DB3" w:rsidRDefault="002F0DB3" w:rsidP="006E133C">
            <w:pPr>
              <w:pStyle w:val="Tabletext"/>
              <w:jc w:val="center"/>
            </w:pPr>
            <w:r w:rsidRPr="002F0DB3">
              <w:t>4.9</w:t>
            </w:r>
          </w:p>
        </w:tc>
        <w:tc>
          <w:tcPr>
            <w:tcW w:w="343" w:type="pct"/>
            <w:vAlign w:val="center"/>
          </w:tcPr>
          <w:p w14:paraId="768E8A69" w14:textId="77777777" w:rsidR="002F0DB3" w:rsidRPr="002F0DB3" w:rsidRDefault="002F0DB3" w:rsidP="006E133C">
            <w:pPr>
              <w:pStyle w:val="Tabletext"/>
              <w:jc w:val="center"/>
            </w:pPr>
            <w:r w:rsidRPr="002F0DB3">
              <w:t>4.3</w:t>
            </w:r>
          </w:p>
        </w:tc>
        <w:tc>
          <w:tcPr>
            <w:tcW w:w="343" w:type="pct"/>
            <w:vAlign w:val="center"/>
          </w:tcPr>
          <w:p w14:paraId="5560D0B5" w14:textId="77777777" w:rsidR="002F0DB3" w:rsidRPr="002F0DB3" w:rsidRDefault="002F0DB3" w:rsidP="006E133C">
            <w:pPr>
              <w:pStyle w:val="Tabletext"/>
              <w:jc w:val="center"/>
            </w:pPr>
            <w:r w:rsidRPr="002F0DB3">
              <w:t>4.2</w:t>
            </w:r>
          </w:p>
        </w:tc>
        <w:tc>
          <w:tcPr>
            <w:tcW w:w="129" w:type="pct"/>
            <w:shd w:val="clear" w:color="auto" w:fill="E2EFD9" w:themeFill="accent6" w:themeFillTint="33"/>
            <w:vAlign w:val="center"/>
          </w:tcPr>
          <w:p w14:paraId="7E33A59D"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1E656D86" w14:textId="77777777" w:rsidR="002F0DB3" w:rsidRPr="002F0DB3" w:rsidRDefault="002F0DB3" w:rsidP="006E133C">
            <w:pPr>
              <w:pStyle w:val="Tabletext"/>
              <w:jc w:val="center"/>
            </w:pPr>
            <w:r w:rsidRPr="002F0DB3">
              <w:t>2.9</w:t>
            </w:r>
          </w:p>
        </w:tc>
        <w:tc>
          <w:tcPr>
            <w:tcW w:w="343" w:type="pct"/>
            <w:vAlign w:val="center"/>
          </w:tcPr>
          <w:p w14:paraId="34278054" w14:textId="77777777" w:rsidR="002F0DB3" w:rsidRPr="002F0DB3" w:rsidRDefault="002F0DB3" w:rsidP="006E133C">
            <w:pPr>
              <w:pStyle w:val="Tabletext"/>
              <w:jc w:val="center"/>
            </w:pPr>
            <w:r w:rsidRPr="002F0DB3">
              <w:t>2.3</w:t>
            </w:r>
          </w:p>
        </w:tc>
        <w:tc>
          <w:tcPr>
            <w:tcW w:w="343" w:type="pct"/>
            <w:vAlign w:val="center"/>
          </w:tcPr>
          <w:p w14:paraId="6A72D767" w14:textId="77777777" w:rsidR="002F0DB3" w:rsidRPr="002F0DB3" w:rsidRDefault="002F0DB3" w:rsidP="006E133C">
            <w:pPr>
              <w:pStyle w:val="Tabletext"/>
              <w:jc w:val="center"/>
            </w:pPr>
            <w:r w:rsidRPr="002F0DB3">
              <w:t>2.3</w:t>
            </w:r>
          </w:p>
        </w:tc>
        <w:tc>
          <w:tcPr>
            <w:tcW w:w="129" w:type="pct"/>
            <w:shd w:val="clear" w:color="auto" w:fill="E2EFD9" w:themeFill="accent6" w:themeFillTint="33"/>
            <w:vAlign w:val="center"/>
          </w:tcPr>
          <w:p w14:paraId="52BE6FCC"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6ED3B5BB" w14:textId="77777777" w:rsidR="002F0DB3" w:rsidRPr="002F0DB3" w:rsidRDefault="002F0DB3" w:rsidP="006E133C">
            <w:pPr>
              <w:pStyle w:val="Tabletext"/>
              <w:jc w:val="center"/>
            </w:pPr>
            <w:r w:rsidRPr="002F0DB3">
              <w:t>2.0</w:t>
            </w:r>
          </w:p>
        </w:tc>
        <w:tc>
          <w:tcPr>
            <w:tcW w:w="343" w:type="pct"/>
            <w:vAlign w:val="center"/>
          </w:tcPr>
          <w:p w14:paraId="4AEFB1DB" w14:textId="77777777" w:rsidR="002F0DB3" w:rsidRPr="002F0DB3" w:rsidRDefault="002F0DB3" w:rsidP="006E133C">
            <w:pPr>
              <w:pStyle w:val="Tabletext"/>
              <w:jc w:val="center"/>
            </w:pPr>
            <w:r w:rsidRPr="002F0DB3">
              <w:t>2.0</w:t>
            </w:r>
          </w:p>
        </w:tc>
        <w:tc>
          <w:tcPr>
            <w:tcW w:w="343" w:type="pct"/>
            <w:vAlign w:val="center"/>
          </w:tcPr>
          <w:p w14:paraId="68870030" w14:textId="77777777" w:rsidR="002F0DB3" w:rsidRPr="002F0DB3" w:rsidRDefault="002F0DB3" w:rsidP="006E133C">
            <w:pPr>
              <w:pStyle w:val="Tabletext"/>
              <w:jc w:val="center"/>
            </w:pPr>
            <w:r w:rsidRPr="002F0DB3">
              <w:t>1.9</w:t>
            </w:r>
          </w:p>
        </w:tc>
        <w:tc>
          <w:tcPr>
            <w:tcW w:w="129" w:type="pct"/>
            <w:shd w:val="clear" w:color="auto" w:fill="E2EFD9" w:themeFill="accent6" w:themeFillTint="33"/>
            <w:vAlign w:val="center"/>
          </w:tcPr>
          <w:p w14:paraId="1E1F2547"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2BE5E797" w14:textId="77777777" w:rsidR="002F0DB3" w:rsidRPr="002F0DB3" w:rsidRDefault="002F0DB3" w:rsidP="006E133C">
            <w:pPr>
              <w:pStyle w:val="Tabletext"/>
              <w:jc w:val="center"/>
            </w:pPr>
            <w:r w:rsidRPr="002F0DB3">
              <w:t>60%</w:t>
            </w:r>
          </w:p>
        </w:tc>
        <w:tc>
          <w:tcPr>
            <w:tcW w:w="343" w:type="pct"/>
            <w:vAlign w:val="center"/>
          </w:tcPr>
          <w:p w14:paraId="2DF25AAE" w14:textId="77777777" w:rsidR="002F0DB3" w:rsidRPr="002F0DB3" w:rsidRDefault="002F0DB3" w:rsidP="006E133C">
            <w:pPr>
              <w:pStyle w:val="Tabletext"/>
              <w:jc w:val="center"/>
            </w:pPr>
            <w:r w:rsidRPr="002F0DB3">
              <w:t>54%</w:t>
            </w:r>
          </w:p>
        </w:tc>
        <w:tc>
          <w:tcPr>
            <w:tcW w:w="343" w:type="pct"/>
            <w:vAlign w:val="center"/>
          </w:tcPr>
          <w:p w14:paraId="458DA259" w14:textId="77777777" w:rsidR="002F0DB3" w:rsidRPr="002F0DB3" w:rsidRDefault="002F0DB3" w:rsidP="006E133C">
            <w:pPr>
              <w:pStyle w:val="Tabletext"/>
              <w:jc w:val="center"/>
            </w:pPr>
            <w:r w:rsidRPr="002F0DB3">
              <w:t>54%</w:t>
            </w:r>
          </w:p>
        </w:tc>
        <w:tc>
          <w:tcPr>
            <w:tcW w:w="127" w:type="pct"/>
            <w:shd w:val="clear" w:color="auto" w:fill="E2EFD9" w:themeFill="accent6" w:themeFillTint="33"/>
            <w:vAlign w:val="center"/>
          </w:tcPr>
          <w:p w14:paraId="659A01B4" w14:textId="77777777" w:rsidR="002F0DB3" w:rsidRPr="00A70662" w:rsidRDefault="002F0DB3" w:rsidP="006E133C">
            <w:pPr>
              <w:pStyle w:val="Tabletext"/>
              <w:jc w:val="center"/>
              <w:rPr>
                <w:sz w:val="36"/>
                <w:szCs w:val="36"/>
              </w:rPr>
            </w:pPr>
            <w:r w:rsidRPr="00A70662">
              <w:rPr>
                <w:sz w:val="36"/>
                <w:szCs w:val="36"/>
              </w:rPr>
              <w:t>↓</w:t>
            </w:r>
          </w:p>
        </w:tc>
      </w:tr>
      <w:tr w:rsidR="002F0DB3" w:rsidRPr="002F0DB3" w14:paraId="67AABBDC" w14:textId="77777777" w:rsidTr="006E133C">
        <w:trPr>
          <w:trHeight w:val="709"/>
        </w:trPr>
        <w:tc>
          <w:tcPr>
            <w:tcW w:w="371" w:type="pct"/>
            <w:vAlign w:val="center"/>
          </w:tcPr>
          <w:p w14:paraId="1B0847C7" w14:textId="77777777" w:rsidR="002F0DB3" w:rsidRPr="002F0DB3" w:rsidRDefault="002F0DB3" w:rsidP="006E133C">
            <w:pPr>
              <w:pStyle w:val="Tabletext"/>
              <w:jc w:val="center"/>
            </w:pPr>
            <w:r w:rsidRPr="002F0DB3">
              <w:t>C&amp;D</w:t>
            </w:r>
          </w:p>
        </w:tc>
        <w:tc>
          <w:tcPr>
            <w:tcW w:w="343" w:type="pct"/>
            <w:vAlign w:val="center"/>
          </w:tcPr>
          <w:p w14:paraId="27B6678C" w14:textId="77777777" w:rsidR="002F0DB3" w:rsidRPr="002F0DB3" w:rsidRDefault="002F0DB3" w:rsidP="006E133C">
            <w:pPr>
              <w:pStyle w:val="Tabletext"/>
              <w:jc w:val="center"/>
            </w:pPr>
            <w:r w:rsidRPr="002F0DB3">
              <w:t>7.7</w:t>
            </w:r>
          </w:p>
        </w:tc>
        <w:tc>
          <w:tcPr>
            <w:tcW w:w="343" w:type="pct"/>
            <w:vAlign w:val="center"/>
          </w:tcPr>
          <w:p w14:paraId="1BAF3FED" w14:textId="77777777" w:rsidR="002F0DB3" w:rsidRPr="002F0DB3" w:rsidRDefault="002F0DB3" w:rsidP="006E133C">
            <w:pPr>
              <w:pStyle w:val="Tabletext"/>
              <w:jc w:val="center"/>
            </w:pPr>
            <w:r w:rsidRPr="002F0DB3">
              <w:t>6.6</w:t>
            </w:r>
          </w:p>
        </w:tc>
        <w:tc>
          <w:tcPr>
            <w:tcW w:w="343" w:type="pct"/>
            <w:vAlign w:val="center"/>
          </w:tcPr>
          <w:p w14:paraId="2D342750" w14:textId="77777777" w:rsidR="002F0DB3" w:rsidRPr="002F0DB3" w:rsidRDefault="002F0DB3" w:rsidP="006E133C">
            <w:pPr>
              <w:pStyle w:val="Tabletext"/>
              <w:jc w:val="center"/>
            </w:pPr>
            <w:r w:rsidRPr="002F0DB3">
              <w:t>6.7</w:t>
            </w:r>
          </w:p>
        </w:tc>
        <w:tc>
          <w:tcPr>
            <w:tcW w:w="129" w:type="pct"/>
            <w:shd w:val="clear" w:color="auto" w:fill="E2EFD9" w:themeFill="accent6" w:themeFillTint="33"/>
            <w:vAlign w:val="center"/>
          </w:tcPr>
          <w:p w14:paraId="44D4F517"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38CB42B5" w14:textId="77777777" w:rsidR="002F0DB3" w:rsidRPr="002F0DB3" w:rsidRDefault="002F0DB3" w:rsidP="006E133C">
            <w:pPr>
              <w:pStyle w:val="Tabletext"/>
              <w:jc w:val="center"/>
            </w:pPr>
            <w:r w:rsidRPr="002F0DB3">
              <w:t>6.6</w:t>
            </w:r>
          </w:p>
        </w:tc>
        <w:tc>
          <w:tcPr>
            <w:tcW w:w="343" w:type="pct"/>
            <w:vAlign w:val="center"/>
          </w:tcPr>
          <w:p w14:paraId="68CADAF0" w14:textId="77777777" w:rsidR="002F0DB3" w:rsidRPr="002F0DB3" w:rsidRDefault="002F0DB3" w:rsidP="006E133C">
            <w:pPr>
              <w:pStyle w:val="Tabletext"/>
              <w:jc w:val="center"/>
            </w:pPr>
            <w:r w:rsidRPr="002F0DB3">
              <w:t>5.6</w:t>
            </w:r>
          </w:p>
        </w:tc>
        <w:tc>
          <w:tcPr>
            <w:tcW w:w="343" w:type="pct"/>
            <w:vAlign w:val="center"/>
          </w:tcPr>
          <w:p w14:paraId="493E2A70" w14:textId="77777777" w:rsidR="002F0DB3" w:rsidRPr="002F0DB3" w:rsidRDefault="002F0DB3" w:rsidP="006E133C">
            <w:pPr>
              <w:pStyle w:val="Tabletext"/>
              <w:jc w:val="center"/>
            </w:pPr>
            <w:r w:rsidRPr="002F0DB3">
              <w:t>5.6</w:t>
            </w:r>
          </w:p>
        </w:tc>
        <w:tc>
          <w:tcPr>
            <w:tcW w:w="129" w:type="pct"/>
            <w:shd w:val="clear" w:color="auto" w:fill="E2EFD9" w:themeFill="accent6" w:themeFillTint="33"/>
            <w:vAlign w:val="center"/>
          </w:tcPr>
          <w:p w14:paraId="70EEF130"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19A7AADD" w14:textId="77777777" w:rsidR="002F0DB3" w:rsidRPr="002F0DB3" w:rsidRDefault="002F0DB3" w:rsidP="006E133C">
            <w:pPr>
              <w:pStyle w:val="Tabletext"/>
              <w:jc w:val="center"/>
            </w:pPr>
            <w:r w:rsidRPr="002F0DB3">
              <w:t>1.1</w:t>
            </w:r>
          </w:p>
        </w:tc>
        <w:tc>
          <w:tcPr>
            <w:tcW w:w="343" w:type="pct"/>
            <w:vAlign w:val="center"/>
          </w:tcPr>
          <w:p w14:paraId="50528D77" w14:textId="77777777" w:rsidR="002F0DB3" w:rsidRPr="002F0DB3" w:rsidRDefault="002F0DB3" w:rsidP="006E133C">
            <w:pPr>
              <w:pStyle w:val="Tabletext"/>
              <w:jc w:val="center"/>
            </w:pPr>
            <w:r w:rsidRPr="002F0DB3">
              <w:t>1.1</w:t>
            </w:r>
          </w:p>
        </w:tc>
        <w:tc>
          <w:tcPr>
            <w:tcW w:w="343" w:type="pct"/>
            <w:vAlign w:val="center"/>
          </w:tcPr>
          <w:p w14:paraId="0A09FC61" w14:textId="77777777" w:rsidR="002F0DB3" w:rsidRPr="002F0DB3" w:rsidRDefault="002F0DB3" w:rsidP="006E133C">
            <w:pPr>
              <w:pStyle w:val="Tabletext"/>
              <w:jc w:val="center"/>
            </w:pPr>
            <w:r w:rsidRPr="002F0DB3">
              <w:t>1.0</w:t>
            </w:r>
          </w:p>
        </w:tc>
        <w:tc>
          <w:tcPr>
            <w:tcW w:w="129" w:type="pct"/>
            <w:shd w:val="clear" w:color="auto" w:fill="E2EFD9" w:themeFill="accent6" w:themeFillTint="33"/>
            <w:vAlign w:val="center"/>
          </w:tcPr>
          <w:p w14:paraId="3C23C92A" w14:textId="77777777" w:rsidR="002F0DB3" w:rsidRPr="00A70662" w:rsidRDefault="002F0DB3" w:rsidP="006E133C">
            <w:pPr>
              <w:pStyle w:val="Tabletext"/>
              <w:jc w:val="center"/>
              <w:rPr>
                <w:sz w:val="36"/>
                <w:szCs w:val="36"/>
              </w:rPr>
            </w:pPr>
            <w:r w:rsidRPr="00A70662">
              <w:rPr>
                <w:sz w:val="36"/>
                <w:szCs w:val="36"/>
              </w:rPr>
              <w:t>↓</w:t>
            </w:r>
          </w:p>
        </w:tc>
        <w:tc>
          <w:tcPr>
            <w:tcW w:w="343" w:type="pct"/>
            <w:vAlign w:val="center"/>
          </w:tcPr>
          <w:p w14:paraId="43E92560" w14:textId="77777777" w:rsidR="002F0DB3" w:rsidRPr="002F0DB3" w:rsidRDefault="002F0DB3" w:rsidP="006E133C">
            <w:pPr>
              <w:pStyle w:val="Tabletext"/>
              <w:jc w:val="center"/>
            </w:pPr>
            <w:r w:rsidRPr="002F0DB3">
              <w:t>86%</w:t>
            </w:r>
          </w:p>
        </w:tc>
        <w:tc>
          <w:tcPr>
            <w:tcW w:w="343" w:type="pct"/>
            <w:vAlign w:val="center"/>
          </w:tcPr>
          <w:p w14:paraId="624BBAE6" w14:textId="77777777" w:rsidR="002F0DB3" w:rsidRPr="002F0DB3" w:rsidRDefault="002F0DB3" w:rsidP="006E133C">
            <w:pPr>
              <w:pStyle w:val="Tabletext"/>
              <w:jc w:val="center"/>
            </w:pPr>
            <w:r w:rsidRPr="002F0DB3">
              <w:t>84%</w:t>
            </w:r>
          </w:p>
        </w:tc>
        <w:tc>
          <w:tcPr>
            <w:tcW w:w="343" w:type="pct"/>
            <w:vAlign w:val="center"/>
          </w:tcPr>
          <w:p w14:paraId="0E4E0065" w14:textId="77777777" w:rsidR="002F0DB3" w:rsidRPr="002F0DB3" w:rsidRDefault="002F0DB3" w:rsidP="006E133C">
            <w:pPr>
              <w:pStyle w:val="Tabletext"/>
              <w:jc w:val="center"/>
            </w:pPr>
            <w:r w:rsidRPr="002F0DB3">
              <w:t>84%</w:t>
            </w:r>
          </w:p>
        </w:tc>
        <w:tc>
          <w:tcPr>
            <w:tcW w:w="127" w:type="pct"/>
            <w:shd w:val="clear" w:color="auto" w:fill="E2EFD9" w:themeFill="accent6" w:themeFillTint="33"/>
            <w:vAlign w:val="center"/>
          </w:tcPr>
          <w:p w14:paraId="6171D950" w14:textId="77777777" w:rsidR="002F0DB3" w:rsidRPr="00A70662" w:rsidRDefault="002F0DB3" w:rsidP="006E133C">
            <w:pPr>
              <w:pStyle w:val="Tabletext"/>
              <w:jc w:val="center"/>
              <w:rPr>
                <w:sz w:val="36"/>
                <w:szCs w:val="36"/>
              </w:rPr>
            </w:pPr>
            <w:r w:rsidRPr="00A70662">
              <w:rPr>
                <w:sz w:val="36"/>
                <w:szCs w:val="36"/>
              </w:rPr>
              <w:t>↓</w:t>
            </w:r>
          </w:p>
        </w:tc>
      </w:tr>
      <w:tr w:rsidR="002F0DB3" w:rsidRPr="002F0DB3" w14:paraId="5DA1AFBD" w14:textId="77777777" w:rsidTr="006E133C">
        <w:trPr>
          <w:trHeight w:val="709"/>
        </w:trPr>
        <w:tc>
          <w:tcPr>
            <w:tcW w:w="371" w:type="pct"/>
            <w:vAlign w:val="center"/>
          </w:tcPr>
          <w:p w14:paraId="1BF5D30C" w14:textId="77777777" w:rsidR="002F0DB3" w:rsidRPr="002F0DB3" w:rsidRDefault="002F0DB3" w:rsidP="006E133C">
            <w:pPr>
              <w:pStyle w:val="Tabletext"/>
              <w:jc w:val="center"/>
              <w:rPr>
                <w:b/>
                <w:bCs/>
              </w:rPr>
            </w:pPr>
            <w:r w:rsidRPr="002F0DB3">
              <w:rPr>
                <w:b/>
                <w:bCs/>
              </w:rPr>
              <w:t>Total</w:t>
            </w:r>
          </w:p>
        </w:tc>
        <w:tc>
          <w:tcPr>
            <w:tcW w:w="343" w:type="pct"/>
            <w:vAlign w:val="center"/>
          </w:tcPr>
          <w:p w14:paraId="40AE2AF5" w14:textId="77777777" w:rsidR="002F0DB3" w:rsidRPr="002F0DB3" w:rsidRDefault="002F0DB3" w:rsidP="006E133C">
            <w:pPr>
              <w:pStyle w:val="Tabletext"/>
              <w:jc w:val="center"/>
              <w:rPr>
                <w:b/>
                <w:bCs/>
              </w:rPr>
            </w:pPr>
            <w:r w:rsidRPr="002F0DB3">
              <w:rPr>
                <w:b/>
                <w:bCs/>
              </w:rPr>
              <w:t>15.8</w:t>
            </w:r>
          </w:p>
        </w:tc>
        <w:tc>
          <w:tcPr>
            <w:tcW w:w="343" w:type="pct"/>
            <w:vAlign w:val="center"/>
          </w:tcPr>
          <w:p w14:paraId="74B2CA4C" w14:textId="77777777" w:rsidR="002F0DB3" w:rsidRPr="002F0DB3" w:rsidRDefault="002F0DB3" w:rsidP="006E133C">
            <w:pPr>
              <w:pStyle w:val="Tabletext"/>
              <w:jc w:val="center"/>
              <w:rPr>
                <w:b/>
                <w:bCs/>
              </w:rPr>
            </w:pPr>
            <w:r w:rsidRPr="002F0DB3">
              <w:rPr>
                <w:b/>
                <w:bCs/>
              </w:rPr>
              <w:t>14.4</w:t>
            </w:r>
          </w:p>
        </w:tc>
        <w:tc>
          <w:tcPr>
            <w:tcW w:w="343" w:type="pct"/>
            <w:vAlign w:val="center"/>
          </w:tcPr>
          <w:p w14:paraId="0A07C8E3" w14:textId="77777777" w:rsidR="002F0DB3" w:rsidRPr="002F0DB3" w:rsidRDefault="002F0DB3" w:rsidP="006E133C">
            <w:pPr>
              <w:pStyle w:val="Tabletext"/>
              <w:jc w:val="center"/>
              <w:rPr>
                <w:b/>
                <w:bCs/>
              </w:rPr>
            </w:pPr>
            <w:r w:rsidRPr="002F0DB3">
              <w:rPr>
                <w:b/>
                <w:bCs/>
              </w:rPr>
              <w:t>14.5</w:t>
            </w:r>
          </w:p>
        </w:tc>
        <w:tc>
          <w:tcPr>
            <w:tcW w:w="129" w:type="pct"/>
            <w:shd w:val="clear" w:color="auto" w:fill="E2EFD9" w:themeFill="accent6" w:themeFillTint="33"/>
            <w:vAlign w:val="center"/>
          </w:tcPr>
          <w:p w14:paraId="67B268EE"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427062B4" w14:textId="77777777" w:rsidR="002F0DB3" w:rsidRPr="002F0DB3" w:rsidRDefault="002F0DB3" w:rsidP="006E133C">
            <w:pPr>
              <w:pStyle w:val="Tabletext"/>
              <w:jc w:val="center"/>
              <w:rPr>
                <w:b/>
                <w:bCs/>
              </w:rPr>
            </w:pPr>
            <w:r w:rsidRPr="002F0DB3">
              <w:rPr>
                <w:b/>
                <w:bCs/>
              </w:rPr>
              <w:t>11.1</w:t>
            </w:r>
          </w:p>
        </w:tc>
        <w:tc>
          <w:tcPr>
            <w:tcW w:w="343" w:type="pct"/>
            <w:vAlign w:val="center"/>
          </w:tcPr>
          <w:p w14:paraId="6C8770F9" w14:textId="77777777" w:rsidR="002F0DB3" w:rsidRPr="002F0DB3" w:rsidRDefault="002F0DB3" w:rsidP="006E133C">
            <w:pPr>
              <w:pStyle w:val="Tabletext"/>
              <w:jc w:val="center"/>
              <w:rPr>
                <w:b/>
                <w:bCs/>
              </w:rPr>
            </w:pPr>
            <w:r w:rsidRPr="002F0DB3">
              <w:rPr>
                <w:b/>
                <w:bCs/>
              </w:rPr>
              <w:t>9.9</w:t>
            </w:r>
          </w:p>
        </w:tc>
        <w:tc>
          <w:tcPr>
            <w:tcW w:w="343" w:type="pct"/>
            <w:vAlign w:val="center"/>
          </w:tcPr>
          <w:p w14:paraId="2305FBA4" w14:textId="77777777" w:rsidR="002F0DB3" w:rsidRPr="002F0DB3" w:rsidRDefault="002F0DB3" w:rsidP="006E133C">
            <w:pPr>
              <w:pStyle w:val="Tabletext"/>
              <w:jc w:val="center"/>
              <w:rPr>
                <w:b/>
                <w:bCs/>
              </w:rPr>
            </w:pPr>
            <w:r w:rsidRPr="002F0DB3">
              <w:rPr>
                <w:b/>
                <w:bCs/>
              </w:rPr>
              <w:t>9.9</w:t>
            </w:r>
          </w:p>
        </w:tc>
        <w:tc>
          <w:tcPr>
            <w:tcW w:w="129" w:type="pct"/>
            <w:shd w:val="clear" w:color="auto" w:fill="E2EFD9" w:themeFill="accent6" w:themeFillTint="33"/>
            <w:vAlign w:val="center"/>
          </w:tcPr>
          <w:p w14:paraId="37938DBB"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32B11FE4" w14:textId="77777777" w:rsidR="002F0DB3" w:rsidRPr="002F0DB3" w:rsidRDefault="002F0DB3" w:rsidP="006E133C">
            <w:pPr>
              <w:pStyle w:val="Tabletext"/>
              <w:jc w:val="center"/>
              <w:rPr>
                <w:b/>
                <w:bCs/>
              </w:rPr>
            </w:pPr>
            <w:r w:rsidRPr="002F0DB3">
              <w:rPr>
                <w:b/>
                <w:bCs/>
              </w:rPr>
              <w:t>4.7</w:t>
            </w:r>
          </w:p>
        </w:tc>
        <w:tc>
          <w:tcPr>
            <w:tcW w:w="343" w:type="pct"/>
            <w:vAlign w:val="center"/>
          </w:tcPr>
          <w:p w14:paraId="50214951" w14:textId="77777777" w:rsidR="002F0DB3" w:rsidRPr="002F0DB3" w:rsidRDefault="002F0DB3" w:rsidP="006E133C">
            <w:pPr>
              <w:pStyle w:val="Tabletext"/>
              <w:jc w:val="center"/>
              <w:rPr>
                <w:b/>
                <w:bCs/>
              </w:rPr>
            </w:pPr>
            <w:r w:rsidRPr="002F0DB3">
              <w:rPr>
                <w:b/>
                <w:bCs/>
              </w:rPr>
              <w:t>4.5</w:t>
            </w:r>
          </w:p>
        </w:tc>
        <w:tc>
          <w:tcPr>
            <w:tcW w:w="343" w:type="pct"/>
            <w:vAlign w:val="center"/>
          </w:tcPr>
          <w:p w14:paraId="280679F3" w14:textId="77777777" w:rsidR="002F0DB3" w:rsidRPr="002F0DB3" w:rsidRDefault="002F0DB3" w:rsidP="006E133C">
            <w:pPr>
              <w:pStyle w:val="Tabletext"/>
              <w:jc w:val="center"/>
              <w:rPr>
                <w:b/>
                <w:bCs/>
              </w:rPr>
            </w:pPr>
            <w:r w:rsidRPr="002F0DB3">
              <w:rPr>
                <w:b/>
                <w:bCs/>
              </w:rPr>
              <w:t>4.5</w:t>
            </w:r>
          </w:p>
        </w:tc>
        <w:tc>
          <w:tcPr>
            <w:tcW w:w="129" w:type="pct"/>
            <w:shd w:val="clear" w:color="auto" w:fill="E2EFD9" w:themeFill="accent6" w:themeFillTint="33"/>
            <w:vAlign w:val="center"/>
          </w:tcPr>
          <w:p w14:paraId="1B812ABC" w14:textId="77777777" w:rsidR="002F0DB3" w:rsidRPr="00A70662" w:rsidRDefault="002F0DB3" w:rsidP="006E133C">
            <w:pPr>
              <w:pStyle w:val="Tabletext"/>
              <w:jc w:val="center"/>
              <w:rPr>
                <w:b/>
                <w:bCs/>
                <w:sz w:val="36"/>
                <w:szCs w:val="36"/>
              </w:rPr>
            </w:pPr>
            <w:r w:rsidRPr="00A70662">
              <w:rPr>
                <w:b/>
                <w:bCs/>
                <w:sz w:val="36"/>
                <w:szCs w:val="36"/>
              </w:rPr>
              <w:t>↓</w:t>
            </w:r>
          </w:p>
        </w:tc>
        <w:tc>
          <w:tcPr>
            <w:tcW w:w="343" w:type="pct"/>
            <w:vAlign w:val="center"/>
          </w:tcPr>
          <w:p w14:paraId="45511E67" w14:textId="77777777" w:rsidR="002F0DB3" w:rsidRPr="002F0DB3" w:rsidRDefault="002F0DB3" w:rsidP="006E133C">
            <w:pPr>
              <w:pStyle w:val="Tabletext"/>
              <w:jc w:val="center"/>
              <w:rPr>
                <w:b/>
                <w:bCs/>
              </w:rPr>
            </w:pPr>
            <w:r w:rsidRPr="002F0DB3">
              <w:rPr>
                <w:b/>
                <w:bCs/>
              </w:rPr>
              <w:t>70%</w:t>
            </w:r>
          </w:p>
        </w:tc>
        <w:tc>
          <w:tcPr>
            <w:tcW w:w="343" w:type="pct"/>
            <w:vAlign w:val="center"/>
          </w:tcPr>
          <w:p w14:paraId="5408206C" w14:textId="77777777" w:rsidR="002F0DB3" w:rsidRPr="002F0DB3" w:rsidRDefault="002F0DB3" w:rsidP="006E133C">
            <w:pPr>
              <w:pStyle w:val="Tabletext"/>
              <w:jc w:val="center"/>
              <w:rPr>
                <w:b/>
                <w:bCs/>
              </w:rPr>
            </w:pPr>
            <w:r w:rsidRPr="002F0DB3">
              <w:rPr>
                <w:b/>
                <w:bCs/>
              </w:rPr>
              <w:t>69%</w:t>
            </w:r>
          </w:p>
        </w:tc>
        <w:tc>
          <w:tcPr>
            <w:tcW w:w="343" w:type="pct"/>
            <w:vAlign w:val="center"/>
          </w:tcPr>
          <w:p w14:paraId="56D0A241" w14:textId="77777777" w:rsidR="002F0DB3" w:rsidRPr="002F0DB3" w:rsidRDefault="002F0DB3" w:rsidP="006E133C">
            <w:pPr>
              <w:pStyle w:val="Tabletext"/>
              <w:jc w:val="center"/>
              <w:rPr>
                <w:b/>
                <w:bCs/>
              </w:rPr>
            </w:pPr>
            <w:r w:rsidRPr="002F0DB3">
              <w:rPr>
                <w:b/>
                <w:bCs/>
              </w:rPr>
              <w:t>69%</w:t>
            </w:r>
          </w:p>
        </w:tc>
        <w:tc>
          <w:tcPr>
            <w:tcW w:w="127" w:type="pct"/>
            <w:shd w:val="clear" w:color="auto" w:fill="E2EFD9" w:themeFill="accent6" w:themeFillTint="33"/>
            <w:vAlign w:val="center"/>
          </w:tcPr>
          <w:p w14:paraId="1CED7B58" w14:textId="77777777" w:rsidR="002F0DB3" w:rsidRPr="00A70662" w:rsidRDefault="002F0DB3" w:rsidP="006E133C">
            <w:pPr>
              <w:pStyle w:val="Tabletext"/>
              <w:jc w:val="center"/>
              <w:rPr>
                <w:b/>
                <w:bCs/>
                <w:sz w:val="36"/>
                <w:szCs w:val="36"/>
              </w:rPr>
            </w:pPr>
            <w:r w:rsidRPr="00A70662">
              <w:rPr>
                <w:b/>
                <w:bCs/>
                <w:sz w:val="36"/>
                <w:szCs w:val="36"/>
              </w:rPr>
              <w:t>↓</w:t>
            </w:r>
          </w:p>
        </w:tc>
      </w:tr>
    </w:tbl>
    <w:p w14:paraId="6A4F8B10" w14:textId="77777777" w:rsidR="00A34BC4" w:rsidRDefault="00A70662" w:rsidP="00A70662">
      <w:pPr>
        <w:pStyle w:val="BodyText"/>
        <w:spacing w:before="600"/>
      </w:pPr>
      <w:r w:rsidRPr="00A70662">
        <w:rPr>
          <w:b/>
          <w:bCs/>
        </w:rPr>
        <w:t>Note:</w:t>
      </w:r>
      <w:r w:rsidRPr="00A70662">
        <w:t xml:space="preserve"> the arrows in 2022–23 represent the change compared to the 2020–21 financial year.</w:t>
      </w:r>
    </w:p>
    <w:p w14:paraId="29C8C60E" w14:textId="6F8D86E9" w:rsidR="002F0DB3" w:rsidRDefault="002F0DB3" w:rsidP="002F0DB3">
      <w:pPr>
        <w:pStyle w:val="BodyText"/>
        <w:sectPr w:rsidR="002F0DB3" w:rsidSect="007F772C">
          <w:footerReference w:type="default" r:id="rId16"/>
          <w:pgSz w:w="16838" w:h="11906" w:orient="landscape"/>
          <w:pgMar w:top="1134" w:right="1134" w:bottom="1134" w:left="1134" w:header="720" w:footer="170" w:gutter="0"/>
          <w:cols w:space="720"/>
          <w:noEndnote/>
          <w:docGrid w:linePitch="326"/>
        </w:sectPr>
      </w:pPr>
    </w:p>
    <w:p w14:paraId="6794390D" w14:textId="77777777" w:rsidR="006E133C" w:rsidRPr="006E133C" w:rsidRDefault="006E133C" w:rsidP="006E133C">
      <w:pPr>
        <w:pStyle w:val="BodyText"/>
      </w:pPr>
      <w:r w:rsidRPr="006E133C">
        <w:lastRenderedPageBreak/>
        <w:t>Total material generation in 2022–23 decreased by over 1 million tonnes in the last 2 years since 2020–21. This decline is likely driven by a reduction in material generation within the C&amp;D sector, possibly reflecting the sector’s improvements of in-situ material re-use which occurs before it is classified as waste.</w:t>
      </w:r>
    </w:p>
    <w:p w14:paraId="3C5D8409" w14:textId="77777777" w:rsidR="006E133C" w:rsidRPr="006E133C" w:rsidRDefault="006E133C" w:rsidP="006E133C">
      <w:pPr>
        <w:pStyle w:val="BodyText"/>
      </w:pPr>
      <w:r w:rsidRPr="006E133C">
        <w:t>The C&amp;D sector remains the largest contributor to material generation by weight across the 3 sectors, accounting for nearly 50% of the total tonnes. This is largely due to the significant relative weight of materials such as aggregates, masonry and soils generated by this sector.</w:t>
      </w:r>
    </w:p>
    <w:p w14:paraId="6A9F1EB7" w14:textId="77777777" w:rsidR="006E133C" w:rsidRPr="006E133C" w:rsidRDefault="006E133C" w:rsidP="00833C0A">
      <w:pPr>
        <w:pStyle w:val="Normalbeforebullets"/>
      </w:pPr>
      <w:r w:rsidRPr="006E133C">
        <w:t>The key trends in C&amp;D material generation over the past 3 financial years show:</w:t>
      </w:r>
    </w:p>
    <w:p w14:paraId="756A3D53" w14:textId="77777777" w:rsidR="006E133C" w:rsidRPr="006E133C" w:rsidRDefault="006E133C" w:rsidP="00833C0A">
      <w:pPr>
        <w:pStyle w:val="ListBullet"/>
      </w:pPr>
      <w:r w:rsidRPr="006E133C">
        <w:t>a 1 million tonne decrease in material generation from 2020–21 to 2021–22, likely caused by efficiencies in material use, as well as reduced sector activity</w:t>
      </w:r>
    </w:p>
    <w:p w14:paraId="07BF9A1C" w14:textId="77777777" w:rsidR="006E133C" w:rsidRPr="006E133C" w:rsidRDefault="006E133C" w:rsidP="00833C0A">
      <w:pPr>
        <w:pStyle w:val="LastBulletinList"/>
      </w:pPr>
      <w:r w:rsidRPr="006E133C">
        <w:t>a subsequent increase of approximately 100,000 tonnes from 2021–22 to 2022–23, likely reflecting a return to sector activity, particularly linked to transport infrastructure projects.</w:t>
      </w:r>
    </w:p>
    <w:p w14:paraId="5C87C883" w14:textId="77777777" w:rsidR="006E133C" w:rsidRPr="006E133C" w:rsidRDefault="006E133C" w:rsidP="00833C0A">
      <w:pPr>
        <w:pStyle w:val="Normalbeforebullets"/>
      </w:pPr>
      <w:r w:rsidRPr="006E133C">
        <w:t>Material generation trends for C&amp;I over the recent years show:</w:t>
      </w:r>
    </w:p>
    <w:p w14:paraId="60242719" w14:textId="77777777" w:rsidR="006E133C" w:rsidRPr="006E133C" w:rsidRDefault="006E133C" w:rsidP="00833C0A">
      <w:pPr>
        <w:pStyle w:val="ListBullet"/>
      </w:pPr>
      <w:r w:rsidRPr="006E133C">
        <w:t>a 600,000 tonne decrease from 2020–21 to 2021–22, possibly influenced by COVID-19 which disrupted typical waste generation patterns as workplaces shifted to home-based activity</w:t>
      </w:r>
    </w:p>
    <w:p w14:paraId="65FCDE4B" w14:textId="77777777" w:rsidR="006E133C" w:rsidRPr="006E133C" w:rsidRDefault="006E133C" w:rsidP="00833C0A">
      <w:pPr>
        <w:pStyle w:val="LastBulletinList"/>
      </w:pPr>
      <w:r w:rsidRPr="006E133C">
        <w:t>a smaller subsequent drop of 100,000 tonnes from 2021–22 to 2022–23.</w:t>
      </w:r>
    </w:p>
    <w:p w14:paraId="30E8D8E2" w14:textId="77777777" w:rsidR="006E133C" w:rsidRPr="006E133C" w:rsidRDefault="006E133C" w:rsidP="006E133C">
      <w:pPr>
        <w:pStyle w:val="BodyText"/>
      </w:pPr>
      <w:r w:rsidRPr="006E133C">
        <w:t>MSW accounted for the remaining 25% of material generation by weight. The observed increase in MSW generation is possibly attributed to post COVID-19 population growth and the shift toward remote working.</w:t>
      </w:r>
    </w:p>
    <w:p w14:paraId="619FB695" w14:textId="3ED91FB8" w:rsidR="006E133C" w:rsidRPr="007F772C" w:rsidRDefault="006E133C" w:rsidP="006E133C">
      <w:pPr>
        <w:pStyle w:val="BodyText"/>
      </w:pPr>
      <w:r w:rsidRPr="006E133C">
        <w:t xml:space="preserve">Over the next 30 years total material generation is projected to increase by about 93%, increasing the state-wide generation to an estimated 28 million tonnes by 2053 (Recycling </w:t>
      </w:r>
      <w:r w:rsidRPr="006E133C">
        <w:lastRenderedPageBreak/>
        <w:t>Victoria 2024b). The largest contributor to material generation, C&amp;D, is projected to grow and contribute 55% of the total material generation in 2053. The C&amp;I and MSW sectors are expected to decrease contribution to 26% and 18% respectively (Recycling Victoria 2024b).</w:t>
      </w:r>
    </w:p>
    <w:p w14:paraId="282A71D7" w14:textId="77777777" w:rsidR="00A34BC4" w:rsidRDefault="006E133C" w:rsidP="00833C0A">
      <w:pPr>
        <w:pStyle w:val="Heading3"/>
      </w:pPr>
      <w:r w:rsidRPr="006E133C">
        <w:t>Material generation per capita and Gross State Product</w:t>
      </w:r>
    </w:p>
    <w:p w14:paraId="585D4104" w14:textId="77777777" w:rsidR="00A34BC4" w:rsidRDefault="006E133C" w:rsidP="006E133C">
      <w:pPr>
        <w:pStyle w:val="BodyText"/>
      </w:pPr>
      <w:r w:rsidRPr="006E133C">
        <w:t>Gross State Product (GSP) is an aggregate measure which details the total economic production of a state economy and is the state equivalent to the national Gross Domestic Product (GDP).</w:t>
      </w:r>
    </w:p>
    <w:p w14:paraId="2A21BDD0" w14:textId="77777777" w:rsidR="00A34BC4" w:rsidRDefault="006E133C" w:rsidP="006E133C">
      <w:pPr>
        <w:pStyle w:val="BodyText"/>
      </w:pPr>
      <w:r w:rsidRPr="006E133C">
        <w:t>The amount of waste material generated by the 3 source sectors is shown compared with population (</w:t>
      </w:r>
      <w:r w:rsidR="00892060">
        <w:fldChar w:fldCharType="begin"/>
      </w:r>
      <w:r w:rsidR="00892060">
        <w:instrText xml:space="preserve"> REF _Ref192150867 \h </w:instrText>
      </w:r>
      <w:r w:rsidR="00892060">
        <w:fldChar w:fldCharType="separate"/>
      </w:r>
      <w:r w:rsidR="00734D86">
        <w:t xml:space="preserve">Figure </w:t>
      </w:r>
      <w:r w:rsidR="00734D86">
        <w:rPr>
          <w:noProof/>
        </w:rPr>
        <w:t>5</w:t>
      </w:r>
      <w:r w:rsidR="00892060">
        <w:fldChar w:fldCharType="end"/>
      </w:r>
      <w:r w:rsidRPr="006E133C">
        <w:t>). The flattening of population growth in 2020–21 and 2021–22 correspond to COVID-19 impacts, when there was reduced domestic population in Victoria. The source sector show that C&amp;D waste generation has fallen by about 1 Mt since 2021, while C&amp;I generation has risen to a peak of just under 5 Mt before falling to around 4.3 Mt. Generation of MSW fell to just over 3 Mt in 2020–21, noting that the amount generated increased as population began to rise again.</w:t>
      </w:r>
    </w:p>
    <w:p w14:paraId="731B35A4" w14:textId="0C94237A" w:rsidR="00D80D1F" w:rsidRDefault="00D80D1F" w:rsidP="00D80D1F">
      <w:pPr>
        <w:pStyle w:val="Caption"/>
        <w:keepNext/>
        <w:jc w:val="both"/>
      </w:pPr>
      <w:bookmarkStart w:id="5" w:name="_Ref192150867"/>
      <w:r>
        <w:t xml:space="preserve">Figure </w:t>
      </w:r>
      <w:r w:rsidR="00734D86">
        <w:fldChar w:fldCharType="begin"/>
      </w:r>
      <w:r w:rsidR="00734D86">
        <w:instrText xml:space="preserve"> SEQ Figure \* ARABIC </w:instrText>
      </w:r>
      <w:r w:rsidR="00734D86">
        <w:fldChar w:fldCharType="separate"/>
      </w:r>
      <w:r w:rsidR="00734D86">
        <w:rPr>
          <w:noProof/>
        </w:rPr>
        <w:t>5</w:t>
      </w:r>
      <w:r w:rsidR="00734D86">
        <w:rPr>
          <w:noProof/>
        </w:rPr>
        <w:fldChar w:fldCharType="end"/>
      </w:r>
      <w:bookmarkEnd w:id="5"/>
      <w:r>
        <w:t xml:space="preserve">: </w:t>
      </w:r>
      <w:r w:rsidRPr="003669B7">
        <w:t>Material waste generation by source compared with Victorian population</w:t>
      </w:r>
    </w:p>
    <w:p w14:paraId="608B116F" w14:textId="57C57F9A" w:rsidR="00833C0A" w:rsidRPr="006E133C" w:rsidRDefault="00D80D1F" w:rsidP="00D80D1F">
      <w:pPr>
        <w:pStyle w:val="BodyText"/>
        <w:jc w:val="both"/>
      </w:pPr>
      <w:r>
        <w:rPr>
          <w:noProof/>
        </w:rPr>
        <w:drawing>
          <wp:inline distT="0" distB="0" distL="0" distR="0" wp14:anchorId="4EBD15E1" wp14:editId="4DC4819E">
            <wp:extent cx="6045805" cy="2222500"/>
            <wp:effectExtent l="0" t="0" r="0" b="0"/>
            <wp:docPr id="1184632790" name="Picture 9" descr="A bar chart showing Material waste generation by source compared with Victoria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32790" name="Picture 9" descr="A bar chart showing Material waste generation by source compared with Victorian population"/>
                    <pic:cNvPicPr/>
                  </pic:nvPicPr>
                  <pic:blipFill rotWithShape="1">
                    <a:blip r:embed="rId17"/>
                    <a:srcRect l="1029"/>
                    <a:stretch/>
                  </pic:blipFill>
                  <pic:spPr bwMode="auto">
                    <a:xfrm>
                      <a:off x="0" y="0"/>
                      <a:ext cx="6045805" cy="2222500"/>
                    </a:xfrm>
                    <a:prstGeom prst="rect">
                      <a:avLst/>
                    </a:prstGeom>
                    <a:ln>
                      <a:noFill/>
                    </a:ln>
                    <a:extLst>
                      <a:ext uri="{53640926-AAD7-44D8-BBD7-CCE9431645EC}">
                        <a14:shadowObscured xmlns:a14="http://schemas.microsoft.com/office/drawing/2010/main"/>
                      </a:ext>
                    </a:extLst>
                  </pic:spPr>
                </pic:pic>
              </a:graphicData>
            </a:graphic>
          </wp:inline>
        </w:drawing>
      </w:r>
    </w:p>
    <w:p w14:paraId="0E030CCC" w14:textId="77777777" w:rsidR="006E133C" w:rsidRPr="006E133C" w:rsidRDefault="006E133C" w:rsidP="00D80D1F">
      <w:pPr>
        <w:pStyle w:val="Normalbeforebullets"/>
      </w:pPr>
      <w:r w:rsidRPr="006E133C">
        <w:lastRenderedPageBreak/>
        <w:t>Generally, as a country’s GDP (or GSP in Victoria’s case) increases, so too does its consumption, which can lead to higher levels of waste generation. This relationship can be attributed to several factors:</w:t>
      </w:r>
    </w:p>
    <w:p w14:paraId="260EB824" w14:textId="77777777" w:rsidR="006E133C" w:rsidRPr="006E133C" w:rsidRDefault="006E133C" w:rsidP="00D80D1F">
      <w:pPr>
        <w:pStyle w:val="ListBullet"/>
      </w:pPr>
      <w:r w:rsidRPr="006E133C">
        <w:t>Increased consumption – higher GDP (or GSP) typically indicates greater wealth, leading to increased consumption of goods and services, which can generate more waste.</w:t>
      </w:r>
    </w:p>
    <w:p w14:paraId="1DBB023D" w14:textId="77777777" w:rsidR="006E133C" w:rsidRPr="006E133C" w:rsidRDefault="006E133C" w:rsidP="00D80D1F">
      <w:pPr>
        <w:pStyle w:val="ListBullet"/>
      </w:pPr>
      <w:r w:rsidRPr="006E133C">
        <w:t>Industrial activity – countries with higher GDP often have more industrial activity, which can produce significant amounts of waste.</w:t>
      </w:r>
    </w:p>
    <w:p w14:paraId="1A0FE091" w14:textId="36C8DBD4" w:rsidR="006E133C" w:rsidRPr="006E133C" w:rsidRDefault="006E133C" w:rsidP="00D80D1F">
      <w:pPr>
        <w:pStyle w:val="LastBulletinList"/>
      </w:pPr>
      <w:r w:rsidRPr="006E133C">
        <w:t>Urbanisation – economic growth frequently drives urbanisation, resulting in concentrated waste generation in cities.</w:t>
      </w:r>
    </w:p>
    <w:p w14:paraId="61C25FB5" w14:textId="40A96D8E" w:rsidR="006E133C" w:rsidRPr="006E133C" w:rsidRDefault="006E133C" w:rsidP="006E133C">
      <w:pPr>
        <w:pStyle w:val="BodyText"/>
      </w:pPr>
      <w:r w:rsidRPr="006E133C">
        <w:t xml:space="preserve">There are cases where GDP (or GSP) trends do not directly correlate with consumption, often due to improved waste management practices and technologies, introduction of price signals or economic incentives to encourage circularity of materials, recycling and waste reduction initiatives, and public policies. </w:t>
      </w:r>
      <w:r w:rsidR="00892060">
        <w:fldChar w:fldCharType="begin"/>
      </w:r>
      <w:r w:rsidR="00892060">
        <w:instrText xml:space="preserve"> REF _Ref192150885 \h </w:instrText>
      </w:r>
      <w:r w:rsidR="00892060">
        <w:fldChar w:fldCharType="separate"/>
      </w:r>
      <w:r w:rsidR="00734D86">
        <w:t xml:space="preserve">Figure </w:t>
      </w:r>
      <w:r w:rsidR="00734D86">
        <w:rPr>
          <w:noProof/>
        </w:rPr>
        <w:t>6</w:t>
      </w:r>
      <w:r w:rsidR="00892060">
        <w:fldChar w:fldCharType="end"/>
      </w:r>
      <w:r w:rsidRPr="006E133C">
        <w:t xml:space="preserve"> illustrates the relationship between waste generation and GSP in recent years.</w:t>
      </w:r>
    </w:p>
    <w:p w14:paraId="507EFD82" w14:textId="497FBDAA" w:rsidR="00D80D1F" w:rsidRDefault="00D80D1F" w:rsidP="00D80D1F">
      <w:pPr>
        <w:pStyle w:val="Caption"/>
        <w:keepNext/>
      </w:pPr>
      <w:bookmarkStart w:id="6" w:name="_Ref192150885"/>
      <w:r>
        <w:t xml:space="preserve">Figure </w:t>
      </w:r>
      <w:r w:rsidR="00734D86">
        <w:fldChar w:fldCharType="begin"/>
      </w:r>
      <w:r w:rsidR="00734D86">
        <w:instrText xml:space="preserve"> SEQ Figure \* ARABIC </w:instrText>
      </w:r>
      <w:r w:rsidR="00734D86">
        <w:fldChar w:fldCharType="separate"/>
      </w:r>
      <w:r w:rsidR="00734D86">
        <w:rPr>
          <w:noProof/>
        </w:rPr>
        <w:t>6</w:t>
      </w:r>
      <w:r w:rsidR="00734D86">
        <w:rPr>
          <w:noProof/>
        </w:rPr>
        <w:fldChar w:fldCharType="end"/>
      </w:r>
      <w:bookmarkEnd w:id="6"/>
      <w:r>
        <w:t xml:space="preserve">: </w:t>
      </w:r>
      <w:r w:rsidRPr="002E04BF">
        <w:t>Waste generation by source compared with Victorian GSP</w:t>
      </w:r>
    </w:p>
    <w:p w14:paraId="1C9079C5" w14:textId="1D42E64A" w:rsidR="00D80D1F" w:rsidRPr="006E133C" w:rsidRDefault="00D80D1F" w:rsidP="006E133C">
      <w:pPr>
        <w:pStyle w:val="BodyText"/>
      </w:pPr>
      <w:r>
        <w:rPr>
          <w:noProof/>
        </w:rPr>
        <w:drawing>
          <wp:inline distT="0" distB="0" distL="0" distR="0" wp14:anchorId="2A8972BC" wp14:editId="30EE0931">
            <wp:extent cx="6108700" cy="2222500"/>
            <wp:effectExtent l="0" t="0" r="0" b="0"/>
            <wp:docPr id="155135024" name="Picture 10" descr="A bar chart showing Waste generation by source compared with Victorian G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5024" name="Picture 10" descr="A bar chart showing Waste generation by source compared with Victorian GSP"/>
                    <pic:cNvPicPr/>
                  </pic:nvPicPr>
                  <pic:blipFill>
                    <a:blip r:embed="rId18"/>
                    <a:stretch>
                      <a:fillRect/>
                    </a:stretch>
                  </pic:blipFill>
                  <pic:spPr>
                    <a:xfrm>
                      <a:off x="0" y="0"/>
                      <a:ext cx="6108700" cy="2222500"/>
                    </a:xfrm>
                    <a:prstGeom prst="rect">
                      <a:avLst/>
                    </a:prstGeom>
                  </pic:spPr>
                </pic:pic>
              </a:graphicData>
            </a:graphic>
          </wp:inline>
        </w:drawing>
      </w:r>
    </w:p>
    <w:p w14:paraId="5A4F1CFF" w14:textId="77777777" w:rsidR="00A34BC4" w:rsidRDefault="006E133C" w:rsidP="00D80D1F">
      <w:pPr>
        <w:pStyle w:val="Normalbeforebullets"/>
      </w:pPr>
      <w:r w:rsidRPr="006E133C">
        <w:lastRenderedPageBreak/>
        <w:t>Waste generation has not followed the same trends as GSP growth in Victoria in the last few years. This is possibly attributed to:</w:t>
      </w:r>
    </w:p>
    <w:p w14:paraId="27E20639" w14:textId="598EE75F" w:rsidR="006E133C" w:rsidRPr="006E133C" w:rsidRDefault="006E133C" w:rsidP="00D80D1F">
      <w:pPr>
        <w:pStyle w:val="ListBullet"/>
      </w:pPr>
      <w:r w:rsidRPr="006E133C">
        <w:t>1 million tonne decrease in material generation from C&amp;D from 2020–21 to 2021–22, driven by efficiencies in material use and reduced infrastructure sector activity</w:t>
      </w:r>
    </w:p>
    <w:p w14:paraId="4980B031" w14:textId="77777777" w:rsidR="00A34BC4" w:rsidRDefault="006E133C" w:rsidP="00D80D1F">
      <w:pPr>
        <w:pStyle w:val="LastBulletinList"/>
      </w:pPr>
      <w:r w:rsidRPr="006E133C">
        <w:t>600,000 tonne decrease from 2020–21 to 2021–22 in C&amp;I waste, largely influenced by COVID-19 impact, which disrupted typical waste generation patterns as workplaces shifted to home-based activity and a smaller subsequent drop of 100,000 tonnes from 2021–22 to 2022–23.</w:t>
      </w:r>
    </w:p>
    <w:p w14:paraId="42B30F6F" w14:textId="28185BA6" w:rsidR="006E133C" w:rsidRPr="006E133C" w:rsidRDefault="006E133C" w:rsidP="00A00EF1">
      <w:pPr>
        <w:pStyle w:val="Heading3"/>
      </w:pPr>
      <w:r w:rsidRPr="006E133C">
        <w:t>Material reuse and repair</w:t>
      </w:r>
    </w:p>
    <w:p w14:paraId="6A63F8E7" w14:textId="77777777" w:rsidR="006E133C" w:rsidRPr="006E133C" w:rsidRDefault="006E133C" w:rsidP="006E133C">
      <w:pPr>
        <w:pStyle w:val="BodyText"/>
      </w:pPr>
      <w:r w:rsidRPr="006E133C">
        <w:t>Community leadership and state government funding has supported continued progress in the development of new repair and reuse projects. These programs include repairing and sharing of toys, clothes, nursery items and establishing repair cafes.</w:t>
      </w:r>
    </w:p>
    <w:p w14:paraId="18509F1F" w14:textId="77777777" w:rsidR="006E133C" w:rsidRPr="006E133C" w:rsidRDefault="006E133C" w:rsidP="006E133C">
      <w:pPr>
        <w:pStyle w:val="BodyText"/>
      </w:pPr>
      <w:r w:rsidRPr="006E133C">
        <w:t xml:space="preserve">Many schools have established second-hand uniform and textbook shops run by volunteers associated with the schools. These allow families more affordable access to school essentials. There are also a number of online platforms and </w:t>
      </w:r>
      <w:proofErr w:type="gramStart"/>
      <w:r w:rsidRPr="006E133C">
        <w:t>market places</w:t>
      </w:r>
      <w:proofErr w:type="gramEnd"/>
      <w:r w:rsidRPr="006E133C">
        <w:t xml:space="preserve"> that enable people to sell and buy second hand goods privately.</w:t>
      </w:r>
    </w:p>
    <w:p w14:paraId="6E15FBEB" w14:textId="67F51CA2" w:rsidR="002F0DB3" w:rsidRDefault="006E133C" w:rsidP="006E133C">
      <w:pPr>
        <w:pStyle w:val="BodyText"/>
        <w:rPr>
          <w:lang w:val="en-AU"/>
        </w:rPr>
      </w:pPr>
      <w:r w:rsidRPr="006E133C">
        <w:rPr>
          <w:lang w:val="en-AU"/>
        </w:rPr>
        <w:t>Charitable recycling enterprises are widespread with nearly 650 shops and outlets throughout Victoria, enabling customers to purchase goods including clothes and household items. This network enables people to support not-for-profit organisations and provides environmental benefits by extending the life of unwanted clothing and household goods and contributing to emissions reduction.</w:t>
      </w:r>
    </w:p>
    <w:p w14:paraId="215D3568" w14:textId="77777777" w:rsidR="007F772C" w:rsidRPr="007F772C" w:rsidRDefault="007F772C" w:rsidP="007F772C">
      <w:pPr>
        <w:pStyle w:val="Heading1"/>
      </w:pPr>
      <w:bookmarkStart w:id="7" w:name="_Toc192162354"/>
      <w:r w:rsidRPr="007F772C">
        <w:lastRenderedPageBreak/>
        <w:t>Right to repair</w:t>
      </w:r>
      <w:bookmarkEnd w:id="7"/>
    </w:p>
    <w:p w14:paraId="0FD697AC" w14:textId="77777777" w:rsidR="007F772C" w:rsidRPr="007F772C" w:rsidRDefault="007F772C" w:rsidP="007F772C">
      <w:pPr>
        <w:pStyle w:val="BodyText"/>
      </w:pPr>
      <w:r w:rsidRPr="007F772C">
        <w:t>One development in the European market that may have implications for other jurisdictions is the adoption of “right to repair’ rules in April 2024 (European Parliament 2024). The European Commission (2020) calculates premature disposal of consumer goods produces 261 million tons of CO</w:t>
      </w:r>
      <w:r w:rsidRPr="007F772C">
        <w:rPr>
          <w:vertAlign w:val="subscript"/>
        </w:rPr>
        <w:t>2</w:t>
      </w:r>
      <w:r w:rsidRPr="007F772C">
        <w:t>-equivalent emissions, consumes 30 million tonnes of resources, and generates 35 million tonnes of waste in the EU each year.</w:t>
      </w:r>
    </w:p>
    <w:p w14:paraId="36856080" w14:textId="77777777" w:rsidR="007F772C" w:rsidRPr="007F772C" w:rsidRDefault="007F772C" w:rsidP="007F772C">
      <w:pPr>
        <w:pStyle w:val="BodyText"/>
      </w:pPr>
      <w:r w:rsidRPr="007F772C">
        <w:t>Under the new “right to repair” rules, manufacturers have obligations to repair goods, inform consumers about their rights to repair and provide timely and cost-effective repair services. If the item to be repaired is under warranty, the repair triggers an extra year on the warranty.</w:t>
      </w:r>
    </w:p>
    <w:p w14:paraId="35D3DF20" w14:textId="77777777" w:rsidR="007F772C" w:rsidRPr="007F772C" w:rsidRDefault="007F772C" w:rsidP="007F772C">
      <w:pPr>
        <w:pStyle w:val="BodyText"/>
      </w:pPr>
      <w:r w:rsidRPr="007F772C">
        <w:t>The list of household goods that are considered repairable include washing machines, vacuum cleaners and smartphones. Consumers may also borrow a device while theirs is being repaired or, if it cannot be fixed, opt for a refurbished unit as an alternative.</w:t>
      </w:r>
    </w:p>
    <w:p w14:paraId="7A760E55" w14:textId="77777777" w:rsidR="00A34BC4" w:rsidRDefault="007F772C" w:rsidP="007F772C">
      <w:pPr>
        <w:pStyle w:val="BodyText"/>
      </w:pPr>
      <w:r w:rsidRPr="007F772C">
        <w:t>Similar programs and policies are emerging in the United States, where right to repair legislation has passed in the last year in California, Colorado, Minnesota and New York (The White House, 2023). California’s new law requires manufacturers to make the parts, tools and documentation needed to diagnose, maintain and repair consumer electronic devices and appliances available to independent repair shops and consumers at fair and reasonable price.</w:t>
      </w:r>
    </w:p>
    <w:p w14:paraId="4A4F694B" w14:textId="68F42D2D" w:rsidR="007F772C" w:rsidRDefault="007F772C" w:rsidP="007F772C">
      <w:pPr>
        <w:pStyle w:val="BodyText"/>
        <w:rPr>
          <w:lang w:val="en-AU"/>
        </w:rPr>
      </w:pPr>
      <w:r w:rsidRPr="007F772C">
        <w:rPr>
          <w:lang w:val="en-AU"/>
        </w:rPr>
        <w:t>Laws and economic incentives are useful to enable consumers and businesses to support these emerging circular economy opportunities.</w:t>
      </w:r>
    </w:p>
    <w:p w14:paraId="386E3AC3" w14:textId="43878EC0" w:rsidR="00D26ED9" w:rsidRDefault="00D26ED9" w:rsidP="00D26ED9">
      <w:pPr>
        <w:pStyle w:val="BodyText"/>
      </w:pPr>
      <w:r w:rsidRPr="00D26ED9">
        <w:t xml:space="preserve">Much of Victoria’s material reuse and repair is unrecorded. To support improved information, Charitable Reuse Australia developed the National Reuse Measurement </w:t>
      </w:r>
      <w:r w:rsidRPr="00D26ED9">
        <w:lastRenderedPageBreak/>
        <w:t>Guidelines, published in October 2024 (Allen et al. 2024). The intent of the guidelines is to provide an overarching reporting framework with organisational level data on environmental, social and economic impacts to be collected from individual reuse organisations and annually provided to Charitable Reuse Australia, who will collate, harmonise, interpret and report on the data.</w:t>
      </w:r>
    </w:p>
    <w:p w14:paraId="1D3AB9EE" w14:textId="26F6B55C" w:rsidR="00D26ED9" w:rsidRPr="00D26ED9" w:rsidRDefault="00D26ED9" w:rsidP="00F912CA">
      <w:pPr>
        <w:pStyle w:val="Heading2"/>
      </w:pPr>
      <w:bookmarkStart w:id="8" w:name="_Toc192162355"/>
      <w:r>
        <w:t xml:space="preserve">Case Study: </w:t>
      </w:r>
      <w:r w:rsidRPr="00D26ED9">
        <w:t>Repair cafes</w:t>
      </w:r>
      <w:bookmarkEnd w:id="8"/>
    </w:p>
    <w:p w14:paraId="2CD0DCBD" w14:textId="77777777" w:rsidR="00D26ED9" w:rsidRPr="00D26ED9" w:rsidRDefault="00D26ED9" w:rsidP="006A5763">
      <w:pPr>
        <w:pStyle w:val="BodyText"/>
        <w:ind w:right="-285"/>
      </w:pPr>
      <w:r w:rsidRPr="00D26ED9">
        <w:t>The repair cafe movement started in the Netherlands in 2009 and has since grown to a network in over 3000 locations around the world, including in Victoria. There are numerous other organisations providing equivalent services to their community, but with different brands or names. Repair cafes are not repair services as such and are not there to do house calls to repair large appliances or furniture. Volunteer fixers and menders offer their time and skills to help make possible repairs free of charge. People visiting the repair cafe bring broken or damaged items from home – toasters, lamps, hair dryers, clothes, bikes, toys, crockery – anything that is broken is welcome. This helps reduce waste and save money and resources. The volunteers offer their time and skills to members of the community, providing a teaching experience by showing how to do the repairs and encouraging visitors to the café to acquire new skills by using the equipment under supervision.</w:t>
      </w:r>
    </w:p>
    <w:p w14:paraId="7D50273A" w14:textId="77777777" w:rsidR="00D26ED9" w:rsidRPr="00D26ED9" w:rsidRDefault="00D26ED9" w:rsidP="00D26ED9">
      <w:pPr>
        <w:pStyle w:val="BodyText"/>
      </w:pPr>
      <w:r w:rsidRPr="00D26ED9">
        <w:t>There is a strong economic case for encouraging the repair of goods. Australian economist Richard Denniss wrote in his book Curing Affluenza: How to Buy Less Stuff and Save the World, that a community that repairs its goods “would employ more people, per dollar spent, than a community that instinctively disposes of them” (Wilson 2019). It would create more high skill jobs and reduce the cost of living.</w:t>
      </w:r>
    </w:p>
    <w:p w14:paraId="34797880" w14:textId="06FDE292" w:rsidR="00D26ED9" w:rsidRPr="00D26ED9" w:rsidRDefault="00D26ED9" w:rsidP="00D26ED9">
      <w:pPr>
        <w:pStyle w:val="BodyText"/>
      </w:pPr>
      <w:r w:rsidRPr="00D26ED9">
        <w:rPr>
          <w:lang w:val="en-AU"/>
        </w:rPr>
        <w:t xml:space="preserve">Victorian Government Circular Economy Communities Fund, has provided almost $5.4 million for social enterprises, including repair cafes. A network of repair cafes exists across Victoria. Different locations measure success in different ways – the number of </w:t>
      </w:r>
      <w:r w:rsidRPr="00D26ED9">
        <w:rPr>
          <w:lang w:val="en-AU"/>
        </w:rPr>
        <w:lastRenderedPageBreak/>
        <w:t>visitors, the number of items fixed, and the mass of material getting an extended life rather than being destined for landfill.</w:t>
      </w:r>
    </w:p>
    <w:p w14:paraId="48724B2A" w14:textId="77777777" w:rsidR="00A93199" w:rsidRPr="00A93199" w:rsidRDefault="00A93199" w:rsidP="00A93199">
      <w:pPr>
        <w:pStyle w:val="Heading3"/>
      </w:pPr>
      <w:r w:rsidRPr="00A93199">
        <w:t>Material recovery</w:t>
      </w:r>
    </w:p>
    <w:p w14:paraId="63BA63F2" w14:textId="77777777" w:rsidR="00A93199" w:rsidRDefault="00A93199" w:rsidP="00A93199">
      <w:pPr>
        <w:pStyle w:val="BodyText"/>
      </w:pPr>
      <w:r w:rsidRPr="00A93199">
        <w:t>Below are the recovery rates per material in Victoria for 2022–23. Acknowledging the limitations of understanding circularity by using resource recovery rates across material streams, they do serve as a good measure in determining which streams are performing better than others in the Victorian market.</w:t>
      </w:r>
    </w:p>
    <w:p w14:paraId="3AC1FE53" w14:textId="4E724FDC" w:rsidR="00C96D7F" w:rsidRDefault="00C96D7F" w:rsidP="00C96D7F">
      <w:pPr>
        <w:pStyle w:val="Caption"/>
        <w:keepNext/>
        <w:spacing w:after="240"/>
      </w:pPr>
      <w:r>
        <w:t xml:space="preserve">Figure </w:t>
      </w:r>
      <w:r w:rsidR="00734D86">
        <w:fldChar w:fldCharType="begin"/>
      </w:r>
      <w:r w:rsidR="00734D86">
        <w:instrText xml:space="preserve"> SEQ Figure \* ARABIC </w:instrText>
      </w:r>
      <w:r w:rsidR="00734D86">
        <w:fldChar w:fldCharType="separate"/>
      </w:r>
      <w:r w:rsidR="00734D86">
        <w:rPr>
          <w:noProof/>
        </w:rPr>
        <w:t>7</w:t>
      </w:r>
      <w:r w:rsidR="00734D86">
        <w:rPr>
          <w:noProof/>
        </w:rPr>
        <w:fldChar w:fldCharType="end"/>
      </w:r>
      <w:r>
        <w:t xml:space="preserve">: </w:t>
      </w:r>
      <w:r w:rsidRPr="00A64776">
        <w:t>Resource recovery rates for key materials in Victoria 2022–23 (Recycling Victoria 1014b)</w:t>
      </w:r>
    </w:p>
    <w:p w14:paraId="28115899" w14:textId="316A8D59" w:rsidR="00A93199" w:rsidRPr="00A93199" w:rsidRDefault="00A93199" w:rsidP="00A93199">
      <w:pPr>
        <w:pStyle w:val="BodyText"/>
      </w:pPr>
      <w:r>
        <w:rPr>
          <w:noProof/>
        </w:rPr>
        <w:drawing>
          <wp:inline distT="0" distB="0" distL="0" distR="0" wp14:anchorId="5FBD62A7" wp14:editId="7B4C26E4">
            <wp:extent cx="6120130" cy="2134870"/>
            <wp:effectExtent l="0" t="0" r="1270" b="0"/>
            <wp:docPr id="235604150" name="Picture 11" descr="A colourful infographic showing Resource recovery rates for key materials in Victoria 2022–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4150" name="Picture 11" descr="A colourful infographic showing Resource recovery rates for key materials in Victoria 2022–23 "/>
                    <pic:cNvPicPr/>
                  </pic:nvPicPr>
                  <pic:blipFill>
                    <a:blip r:embed="rId19"/>
                    <a:stretch>
                      <a:fillRect/>
                    </a:stretch>
                  </pic:blipFill>
                  <pic:spPr>
                    <a:xfrm>
                      <a:off x="0" y="0"/>
                      <a:ext cx="6120130" cy="2134870"/>
                    </a:xfrm>
                    <a:prstGeom prst="rect">
                      <a:avLst/>
                    </a:prstGeom>
                  </pic:spPr>
                </pic:pic>
              </a:graphicData>
            </a:graphic>
          </wp:inline>
        </w:drawing>
      </w:r>
    </w:p>
    <w:p w14:paraId="75FA97A3" w14:textId="77777777" w:rsidR="00C96D7F" w:rsidRDefault="00C96D7F" w:rsidP="00C96D7F">
      <w:pPr>
        <w:pStyle w:val="BodyText"/>
      </w:pPr>
      <w:r w:rsidRPr="00C96D7F">
        <w:t>Across recent years, metals, and aggregates, masonry and soils, have had the highest recovery rates within Victoria, with textiles, plastics and organics having the lowest recovery rates.</w:t>
      </w:r>
    </w:p>
    <w:p w14:paraId="440085BA" w14:textId="2F5C7D33" w:rsidR="006A5763" w:rsidRDefault="006A5763" w:rsidP="006A5763">
      <w:pPr>
        <w:pStyle w:val="Caption"/>
        <w:keepNext/>
      </w:pPr>
      <w:r>
        <w:t xml:space="preserve">Table </w:t>
      </w:r>
      <w:r w:rsidR="00734D86">
        <w:fldChar w:fldCharType="begin"/>
      </w:r>
      <w:r w:rsidR="00734D86">
        <w:instrText xml:space="preserve"> SEQ Table \* ARABIC </w:instrText>
      </w:r>
      <w:r w:rsidR="00734D86">
        <w:fldChar w:fldCharType="separate"/>
      </w:r>
      <w:r w:rsidR="00734D86">
        <w:rPr>
          <w:noProof/>
        </w:rPr>
        <w:t>4</w:t>
      </w:r>
      <w:r w:rsidR="00734D86">
        <w:rPr>
          <w:noProof/>
        </w:rPr>
        <w:fldChar w:fldCharType="end"/>
      </w:r>
      <w:r>
        <w:t xml:space="preserve">: </w:t>
      </w:r>
      <w:r w:rsidRPr="003E2733">
        <w:t>Comparison of the overall recovery rates for the eight key material streams (Recycling Victoria 2024b)</w:t>
      </w:r>
    </w:p>
    <w:tbl>
      <w:tblPr>
        <w:tblStyle w:val="Style2"/>
        <w:tblW w:w="9921" w:type="dxa"/>
        <w:tblLayout w:type="fixed"/>
        <w:tblLook w:val="0020" w:firstRow="1" w:lastRow="0" w:firstColumn="0" w:lastColumn="0" w:noHBand="0" w:noVBand="0"/>
      </w:tblPr>
      <w:tblGrid>
        <w:gridCol w:w="5240"/>
        <w:gridCol w:w="1560"/>
        <w:gridCol w:w="1560"/>
        <w:gridCol w:w="1561"/>
      </w:tblGrid>
      <w:tr w:rsidR="006A5763" w:rsidRPr="006A5763" w14:paraId="0FD756E1" w14:textId="77777777" w:rsidTr="006A5763">
        <w:trPr>
          <w:cnfStyle w:val="100000000000" w:firstRow="1" w:lastRow="0" w:firstColumn="0" w:lastColumn="0" w:oddVBand="0" w:evenVBand="0" w:oddHBand="0" w:evenHBand="0" w:firstRowFirstColumn="0" w:firstRowLastColumn="0" w:lastRowFirstColumn="0" w:lastRowLastColumn="0"/>
          <w:cantSplit/>
          <w:trHeight w:val="60"/>
          <w:tblHeader/>
        </w:trPr>
        <w:tc>
          <w:tcPr>
            <w:tcW w:w="5240" w:type="dxa"/>
          </w:tcPr>
          <w:p w14:paraId="5755E870" w14:textId="77777777" w:rsidR="006A5763" w:rsidRPr="006A5763" w:rsidRDefault="006A5763" w:rsidP="006A5763">
            <w:pPr>
              <w:pStyle w:val="Tabletext"/>
            </w:pPr>
            <w:r w:rsidRPr="006A5763">
              <w:t>Material</w:t>
            </w:r>
          </w:p>
        </w:tc>
        <w:tc>
          <w:tcPr>
            <w:tcW w:w="1560" w:type="dxa"/>
          </w:tcPr>
          <w:p w14:paraId="15C2E416" w14:textId="77777777" w:rsidR="006A5763" w:rsidRPr="006A5763" w:rsidRDefault="006A5763" w:rsidP="006A5763">
            <w:pPr>
              <w:pStyle w:val="Tabletext"/>
              <w:jc w:val="center"/>
            </w:pPr>
            <w:r w:rsidRPr="006A5763">
              <w:t>2020–21</w:t>
            </w:r>
          </w:p>
        </w:tc>
        <w:tc>
          <w:tcPr>
            <w:tcW w:w="1560" w:type="dxa"/>
          </w:tcPr>
          <w:p w14:paraId="70B4D9D6" w14:textId="77777777" w:rsidR="006A5763" w:rsidRPr="006A5763" w:rsidRDefault="006A5763" w:rsidP="006A5763">
            <w:pPr>
              <w:pStyle w:val="Tabletext"/>
              <w:jc w:val="center"/>
            </w:pPr>
            <w:r w:rsidRPr="006A5763">
              <w:t>2021–22</w:t>
            </w:r>
          </w:p>
        </w:tc>
        <w:tc>
          <w:tcPr>
            <w:tcW w:w="1561" w:type="dxa"/>
          </w:tcPr>
          <w:p w14:paraId="6515C945" w14:textId="77777777" w:rsidR="006A5763" w:rsidRPr="006A5763" w:rsidRDefault="006A5763" w:rsidP="006A5763">
            <w:pPr>
              <w:pStyle w:val="Tabletext"/>
              <w:jc w:val="center"/>
            </w:pPr>
            <w:r w:rsidRPr="006A5763">
              <w:t>2022–23</w:t>
            </w:r>
          </w:p>
        </w:tc>
      </w:tr>
      <w:tr w:rsidR="006A5763" w:rsidRPr="006A5763" w14:paraId="0EA23BA0" w14:textId="77777777" w:rsidTr="006A5763">
        <w:trPr>
          <w:trHeight w:val="60"/>
        </w:trPr>
        <w:tc>
          <w:tcPr>
            <w:tcW w:w="5240" w:type="dxa"/>
          </w:tcPr>
          <w:p w14:paraId="532C9E0D" w14:textId="77777777" w:rsidR="006A5763" w:rsidRPr="006A5763" w:rsidRDefault="006A5763" w:rsidP="006A5763">
            <w:pPr>
              <w:pStyle w:val="Tabletext"/>
              <w:spacing w:line="276" w:lineRule="auto"/>
            </w:pPr>
            <w:r w:rsidRPr="006A5763">
              <w:t>Aggregate, masonry and soils</w:t>
            </w:r>
          </w:p>
        </w:tc>
        <w:tc>
          <w:tcPr>
            <w:tcW w:w="1560" w:type="dxa"/>
            <w:vAlign w:val="center"/>
          </w:tcPr>
          <w:p w14:paraId="71B827EB" w14:textId="77777777" w:rsidR="006A5763" w:rsidRPr="006A5763" w:rsidRDefault="006A5763" w:rsidP="006A5763">
            <w:pPr>
              <w:pStyle w:val="Tabletext"/>
              <w:spacing w:line="276" w:lineRule="auto"/>
              <w:jc w:val="center"/>
            </w:pPr>
            <w:r w:rsidRPr="006A5763">
              <w:t>85%</w:t>
            </w:r>
          </w:p>
        </w:tc>
        <w:tc>
          <w:tcPr>
            <w:tcW w:w="1560" w:type="dxa"/>
            <w:vAlign w:val="center"/>
          </w:tcPr>
          <w:p w14:paraId="40E06259" w14:textId="77777777" w:rsidR="006A5763" w:rsidRPr="006A5763" w:rsidRDefault="006A5763" w:rsidP="006A5763">
            <w:pPr>
              <w:pStyle w:val="Tabletext"/>
              <w:spacing w:line="276" w:lineRule="auto"/>
              <w:jc w:val="center"/>
            </w:pPr>
            <w:r w:rsidRPr="006A5763">
              <w:t>83%</w:t>
            </w:r>
          </w:p>
        </w:tc>
        <w:tc>
          <w:tcPr>
            <w:tcW w:w="1561" w:type="dxa"/>
            <w:vAlign w:val="center"/>
          </w:tcPr>
          <w:p w14:paraId="7B29D375" w14:textId="77777777" w:rsidR="006A5763" w:rsidRPr="006A5763" w:rsidRDefault="006A5763" w:rsidP="006A5763">
            <w:pPr>
              <w:pStyle w:val="Tabletext"/>
              <w:spacing w:line="276" w:lineRule="auto"/>
              <w:jc w:val="center"/>
            </w:pPr>
            <w:r w:rsidRPr="006A5763">
              <w:t>83%</w:t>
            </w:r>
          </w:p>
        </w:tc>
      </w:tr>
      <w:tr w:rsidR="006A5763" w:rsidRPr="006A5763" w14:paraId="5FCDD5D8" w14:textId="77777777" w:rsidTr="006A5763">
        <w:trPr>
          <w:trHeight w:val="60"/>
        </w:trPr>
        <w:tc>
          <w:tcPr>
            <w:tcW w:w="5240" w:type="dxa"/>
          </w:tcPr>
          <w:p w14:paraId="00D60FDE" w14:textId="77777777" w:rsidR="006A5763" w:rsidRPr="006A5763" w:rsidRDefault="006A5763" w:rsidP="006A5763">
            <w:pPr>
              <w:pStyle w:val="Tabletext"/>
              <w:spacing w:line="276" w:lineRule="auto"/>
            </w:pPr>
            <w:r w:rsidRPr="006A5763">
              <w:t>Glass</w:t>
            </w:r>
          </w:p>
        </w:tc>
        <w:tc>
          <w:tcPr>
            <w:tcW w:w="1560" w:type="dxa"/>
            <w:vAlign w:val="center"/>
          </w:tcPr>
          <w:p w14:paraId="2F2B679B" w14:textId="77777777" w:rsidR="006A5763" w:rsidRPr="006A5763" w:rsidRDefault="006A5763" w:rsidP="006A5763">
            <w:pPr>
              <w:pStyle w:val="Tabletext"/>
              <w:spacing w:line="276" w:lineRule="auto"/>
              <w:jc w:val="center"/>
            </w:pPr>
            <w:r w:rsidRPr="006A5763">
              <w:t>71%</w:t>
            </w:r>
          </w:p>
        </w:tc>
        <w:tc>
          <w:tcPr>
            <w:tcW w:w="1560" w:type="dxa"/>
            <w:vAlign w:val="center"/>
          </w:tcPr>
          <w:p w14:paraId="2F326261" w14:textId="77777777" w:rsidR="006A5763" w:rsidRPr="006A5763" w:rsidRDefault="006A5763" w:rsidP="006A5763">
            <w:pPr>
              <w:pStyle w:val="Tabletext"/>
              <w:spacing w:line="276" w:lineRule="auto"/>
              <w:jc w:val="center"/>
            </w:pPr>
            <w:r w:rsidRPr="006A5763">
              <w:t>63%</w:t>
            </w:r>
          </w:p>
        </w:tc>
        <w:tc>
          <w:tcPr>
            <w:tcW w:w="1561" w:type="dxa"/>
            <w:vAlign w:val="center"/>
          </w:tcPr>
          <w:p w14:paraId="3AF4E3A4" w14:textId="77777777" w:rsidR="006A5763" w:rsidRPr="006A5763" w:rsidRDefault="006A5763" w:rsidP="006A5763">
            <w:pPr>
              <w:pStyle w:val="Tabletext"/>
              <w:spacing w:line="276" w:lineRule="auto"/>
              <w:jc w:val="center"/>
            </w:pPr>
            <w:r w:rsidRPr="006A5763">
              <w:t>64%</w:t>
            </w:r>
          </w:p>
        </w:tc>
      </w:tr>
      <w:tr w:rsidR="006A5763" w:rsidRPr="006A5763" w14:paraId="1E560057" w14:textId="77777777" w:rsidTr="006A5763">
        <w:trPr>
          <w:trHeight w:val="60"/>
        </w:trPr>
        <w:tc>
          <w:tcPr>
            <w:tcW w:w="5240" w:type="dxa"/>
          </w:tcPr>
          <w:p w14:paraId="769197BB" w14:textId="77777777" w:rsidR="006A5763" w:rsidRPr="006A5763" w:rsidRDefault="006A5763" w:rsidP="006A5763">
            <w:pPr>
              <w:pStyle w:val="Tabletext"/>
              <w:spacing w:line="276" w:lineRule="auto"/>
            </w:pPr>
            <w:r w:rsidRPr="006A5763">
              <w:lastRenderedPageBreak/>
              <w:t>Metals</w:t>
            </w:r>
          </w:p>
        </w:tc>
        <w:tc>
          <w:tcPr>
            <w:tcW w:w="1560" w:type="dxa"/>
            <w:vAlign w:val="center"/>
          </w:tcPr>
          <w:p w14:paraId="4A76E016" w14:textId="77777777" w:rsidR="006A5763" w:rsidRPr="006A5763" w:rsidRDefault="006A5763" w:rsidP="006A5763">
            <w:pPr>
              <w:pStyle w:val="Tabletext"/>
              <w:spacing w:line="276" w:lineRule="auto"/>
              <w:jc w:val="center"/>
            </w:pPr>
            <w:r w:rsidRPr="006A5763">
              <w:t>89%</w:t>
            </w:r>
          </w:p>
        </w:tc>
        <w:tc>
          <w:tcPr>
            <w:tcW w:w="1560" w:type="dxa"/>
            <w:vAlign w:val="center"/>
          </w:tcPr>
          <w:p w14:paraId="4D7F8F46" w14:textId="77777777" w:rsidR="006A5763" w:rsidRPr="006A5763" w:rsidRDefault="006A5763" w:rsidP="006A5763">
            <w:pPr>
              <w:pStyle w:val="Tabletext"/>
              <w:spacing w:line="276" w:lineRule="auto"/>
              <w:jc w:val="center"/>
            </w:pPr>
            <w:r w:rsidRPr="006A5763">
              <w:t>89%</w:t>
            </w:r>
          </w:p>
        </w:tc>
        <w:tc>
          <w:tcPr>
            <w:tcW w:w="1561" w:type="dxa"/>
            <w:vAlign w:val="center"/>
          </w:tcPr>
          <w:p w14:paraId="31A83DC2" w14:textId="77777777" w:rsidR="006A5763" w:rsidRPr="006A5763" w:rsidRDefault="006A5763" w:rsidP="006A5763">
            <w:pPr>
              <w:pStyle w:val="Tabletext"/>
              <w:spacing w:line="276" w:lineRule="auto"/>
              <w:jc w:val="center"/>
            </w:pPr>
            <w:r w:rsidRPr="006A5763">
              <w:t>88%</w:t>
            </w:r>
          </w:p>
        </w:tc>
      </w:tr>
      <w:tr w:rsidR="006A5763" w:rsidRPr="006A5763" w14:paraId="08E9FF45" w14:textId="77777777" w:rsidTr="006A5763">
        <w:trPr>
          <w:trHeight w:val="60"/>
        </w:trPr>
        <w:tc>
          <w:tcPr>
            <w:tcW w:w="5240" w:type="dxa"/>
          </w:tcPr>
          <w:p w14:paraId="6457BA4F" w14:textId="77777777" w:rsidR="006A5763" w:rsidRPr="006A5763" w:rsidRDefault="006A5763" w:rsidP="006A5763">
            <w:pPr>
              <w:pStyle w:val="Tabletext"/>
              <w:spacing w:line="276" w:lineRule="auto"/>
            </w:pPr>
            <w:r w:rsidRPr="006A5763">
              <w:t>Organics</w:t>
            </w:r>
          </w:p>
        </w:tc>
        <w:tc>
          <w:tcPr>
            <w:tcW w:w="1560" w:type="dxa"/>
            <w:vAlign w:val="center"/>
          </w:tcPr>
          <w:p w14:paraId="14934517" w14:textId="77777777" w:rsidR="006A5763" w:rsidRPr="006A5763" w:rsidRDefault="006A5763" w:rsidP="006A5763">
            <w:pPr>
              <w:pStyle w:val="Tabletext"/>
              <w:spacing w:line="276" w:lineRule="auto"/>
              <w:jc w:val="center"/>
            </w:pPr>
            <w:r w:rsidRPr="006A5763">
              <w:t>50%</w:t>
            </w:r>
          </w:p>
        </w:tc>
        <w:tc>
          <w:tcPr>
            <w:tcW w:w="1560" w:type="dxa"/>
            <w:vAlign w:val="center"/>
          </w:tcPr>
          <w:p w14:paraId="70CE3568" w14:textId="77777777" w:rsidR="006A5763" w:rsidRPr="006A5763" w:rsidRDefault="006A5763" w:rsidP="006A5763">
            <w:pPr>
              <w:pStyle w:val="Tabletext"/>
              <w:spacing w:line="276" w:lineRule="auto"/>
              <w:jc w:val="center"/>
            </w:pPr>
            <w:r w:rsidRPr="006A5763">
              <w:t>47%</w:t>
            </w:r>
          </w:p>
        </w:tc>
        <w:tc>
          <w:tcPr>
            <w:tcW w:w="1561" w:type="dxa"/>
            <w:vAlign w:val="center"/>
          </w:tcPr>
          <w:p w14:paraId="31E3BD82" w14:textId="77777777" w:rsidR="006A5763" w:rsidRPr="006A5763" w:rsidRDefault="006A5763" w:rsidP="006A5763">
            <w:pPr>
              <w:pStyle w:val="Tabletext"/>
              <w:spacing w:line="276" w:lineRule="auto"/>
              <w:jc w:val="center"/>
            </w:pPr>
            <w:r w:rsidRPr="006A5763">
              <w:t>48%</w:t>
            </w:r>
          </w:p>
        </w:tc>
      </w:tr>
      <w:tr w:rsidR="006A5763" w:rsidRPr="006A5763" w14:paraId="7B82D53E" w14:textId="77777777" w:rsidTr="006A5763">
        <w:trPr>
          <w:trHeight w:val="60"/>
        </w:trPr>
        <w:tc>
          <w:tcPr>
            <w:tcW w:w="5240" w:type="dxa"/>
          </w:tcPr>
          <w:p w14:paraId="13F2A1C8" w14:textId="77777777" w:rsidR="006A5763" w:rsidRPr="006A5763" w:rsidRDefault="006A5763" w:rsidP="006A5763">
            <w:pPr>
              <w:pStyle w:val="Tabletext"/>
              <w:spacing w:line="276" w:lineRule="auto"/>
            </w:pPr>
            <w:r w:rsidRPr="006A5763">
              <w:t>Paper and cardboard</w:t>
            </w:r>
          </w:p>
        </w:tc>
        <w:tc>
          <w:tcPr>
            <w:tcW w:w="1560" w:type="dxa"/>
            <w:vAlign w:val="center"/>
          </w:tcPr>
          <w:p w14:paraId="5E353378" w14:textId="77777777" w:rsidR="006A5763" w:rsidRPr="006A5763" w:rsidRDefault="006A5763" w:rsidP="006A5763">
            <w:pPr>
              <w:pStyle w:val="Tabletext"/>
              <w:spacing w:line="276" w:lineRule="auto"/>
              <w:jc w:val="center"/>
            </w:pPr>
            <w:r w:rsidRPr="006A5763">
              <w:t>57%</w:t>
            </w:r>
          </w:p>
        </w:tc>
        <w:tc>
          <w:tcPr>
            <w:tcW w:w="1560" w:type="dxa"/>
            <w:vAlign w:val="center"/>
          </w:tcPr>
          <w:p w14:paraId="3A047D2D" w14:textId="77777777" w:rsidR="006A5763" w:rsidRPr="006A5763" w:rsidRDefault="006A5763" w:rsidP="006A5763">
            <w:pPr>
              <w:pStyle w:val="Tabletext"/>
              <w:spacing w:line="276" w:lineRule="auto"/>
              <w:jc w:val="center"/>
            </w:pPr>
            <w:r w:rsidRPr="006A5763">
              <w:t>60%</w:t>
            </w:r>
          </w:p>
        </w:tc>
        <w:tc>
          <w:tcPr>
            <w:tcW w:w="1561" w:type="dxa"/>
            <w:vAlign w:val="center"/>
          </w:tcPr>
          <w:p w14:paraId="5943077B" w14:textId="77777777" w:rsidR="006A5763" w:rsidRPr="006A5763" w:rsidRDefault="006A5763" w:rsidP="006A5763">
            <w:pPr>
              <w:pStyle w:val="Tabletext"/>
              <w:spacing w:line="276" w:lineRule="auto"/>
              <w:jc w:val="center"/>
            </w:pPr>
            <w:r w:rsidRPr="006A5763">
              <w:t>59%</w:t>
            </w:r>
          </w:p>
        </w:tc>
      </w:tr>
      <w:tr w:rsidR="006A5763" w:rsidRPr="006A5763" w14:paraId="1860831D" w14:textId="77777777" w:rsidTr="006A5763">
        <w:trPr>
          <w:trHeight w:val="60"/>
        </w:trPr>
        <w:tc>
          <w:tcPr>
            <w:tcW w:w="5240" w:type="dxa"/>
          </w:tcPr>
          <w:p w14:paraId="653BAA60" w14:textId="77777777" w:rsidR="006A5763" w:rsidRPr="006A5763" w:rsidRDefault="006A5763" w:rsidP="006A5763">
            <w:pPr>
              <w:pStyle w:val="Tabletext"/>
              <w:spacing w:line="276" w:lineRule="auto"/>
            </w:pPr>
            <w:r w:rsidRPr="006A5763">
              <w:t>Plastic</w:t>
            </w:r>
          </w:p>
        </w:tc>
        <w:tc>
          <w:tcPr>
            <w:tcW w:w="1560" w:type="dxa"/>
            <w:vAlign w:val="center"/>
          </w:tcPr>
          <w:p w14:paraId="3D0412A5" w14:textId="77777777" w:rsidR="006A5763" w:rsidRPr="006A5763" w:rsidRDefault="006A5763" w:rsidP="006A5763">
            <w:pPr>
              <w:pStyle w:val="Tabletext"/>
              <w:spacing w:line="276" w:lineRule="auto"/>
              <w:jc w:val="center"/>
            </w:pPr>
            <w:r w:rsidRPr="006A5763">
              <w:t>18%</w:t>
            </w:r>
          </w:p>
        </w:tc>
        <w:tc>
          <w:tcPr>
            <w:tcW w:w="1560" w:type="dxa"/>
            <w:vAlign w:val="center"/>
          </w:tcPr>
          <w:p w14:paraId="604C21C0" w14:textId="77777777" w:rsidR="006A5763" w:rsidRPr="006A5763" w:rsidRDefault="006A5763" w:rsidP="006A5763">
            <w:pPr>
              <w:pStyle w:val="Tabletext"/>
              <w:spacing w:line="276" w:lineRule="auto"/>
              <w:jc w:val="center"/>
            </w:pPr>
            <w:r w:rsidRPr="006A5763">
              <w:t>23%</w:t>
            </w:r>
          </w:p>
        </w:tc>
        <w:tc>
          <w:tcPr>
            <w:tcW w:w="1561" w:type="dxa"/>
            <w:vAlign w:val="center"/>
          </w:tcPr>
          <w:p w14:paraId="63B7AC79" w14:textId="77777777" w:rsidR="006A5763" w:rsidRPr="006A5763" w:rsidRDefault="006A5763" w:rsidP="006A5763">
            <w:pPr>
              <w:pStyle w:val="Tabletext"/>
              <w:spacing w:line="276" w:lineRule="auto"/>
              <w:jc w:val="center"/>
            </w:pPr>
            <w:r w:rsidRPr="006A5763">
              <w:t>23%</w:t>
            </w:r>
          </w:p>
        </w:tc>
      </w:tr>
      <w:tr w:rsidR="006A5763" w:rsidRPr="006A5763" w14:paraId="339E23BD" w14:textId="77777777" w:rsidTr="006A5763">
        <w:trPr>
          <w:trHeight w:val="60"/>
        </w:trPr>
        <w:tc>
          <w:tcPr>
            <w:tcW w:w="5240" w:type="dxa"/>
          </w:tcPr>
          <w:p w14:paraId="4992AB41" w14:textId="77777777" w:rsidR="006A5763" w:rsidRPr="006A5763" w:rsidRDefault="006A5763" w:rsidP="006A5763">
            <w:pPr>
              <w:pStyle w:val="Tabletext"/>
              <w:spacing w:line="276" w:lineRule="auto"/>
            </w:pPr>
            <w:r w:rsidRPr="006A5763">
              <w:t>Tyres and rubber</w:t>
            </w:r>
          </w:p>
        </w:tc>
        <w:tc>
          <w:tcPr>
            <w:tcW w:w="1560" w:type="dxa"/>
            <w:vAlign w:val="center"/>
          </w:tcPr>
          <w:p w14:paraId="1AC0AD8A" w14:textId="77777777" w:rsidR="006A5763" w:rsidRPr="006A5763" w:rsidRDefault="006A5763" w:rsidP="006A5763">
            <w:pPr>
              <w:pStyle w:val="Tabletext"/>
              <w:spacing w:line="276" w:lineRule="auto"/>
              <w:jc w:val="center"/>
            </w:pPr>
            <w:r w:rsidRPr="006A5763">
              <w:t>86%</w:t>
            </w:r>
          </w:p>
        </w:tc>
        <w:tc>
          <w:tcPr>
            <w:tcW w:w="1560" w:type="dxa"/>
            <w:vAlign w:val="center"/>
          </w:tcPr>
          <w:p w14:paraId="6CCE4133" w14:textId="77777777" w:rsidR="006A5763" w:rsidRPr="006A5763" w:rsidRDefault="006A5763" w:rsidP="006A5763">
            <w:pPr>
              <w:pStyle w:val="Tabletext"/>
              <w:spacing w:line="276" w:lineRule="auto"/>
              <w:jc w:val="center"/>
            </w:pPr>
            <w:r w:rsidRPr="006A5763">
              <w:t>76%</w:t>
            </w:r>
          </w:p>
        </w:tc>
        <w:tc>
          <w:tcPr>
            <w:tcW w:w="1561" w:type="dxa"/>
            <w:vAlign w:val="center"/>
          </w:tcPr>
          <w:p w14:paraId="3FA838F7" w14:textId="77777777" w:rsidR="006A5763" w:rsidRPr="006A5763" w:rsidRDefault="006A5763" w:rsidP="006A5763">
            <w:pPr>
              <w:pStyle w:val="Tabletext"/>
              <w:spacing w:line="276" w:lineRule="auto"/>
              <w:jc w:val="center"/>
            </w:pPr>
            <w:r w:rsidRPr="006A5763">
              <w:t>74%</w:t>
            </w:r>
          </w:p>
        </w:tc>
      </w:tr>
      <w:tr w:rsidR="006A5763" w:rsidRPr="006A5763" w14:paraId="02549171" w14:textId="77777777" w:rsidTr="006A5763">
        <w:trPr>
          <w:trHeight w:val="60"/>
        </w:trPr>
        <w:tc>
          <w:tcPr>
            <w:tcW w:w="5240" w:type="dxa"/>
          </w:tcPr>
          <w:p w14:paraId="54CDD27D" w14:textId="77777777" w:rsidR="006A5763" w:rsidRPr="006A5763" w:rsidRDefault="006A5763" w:rsidP="006A5763">
            <w:pPr>
              <w:pStyle w:val="Tabletext"/>
              <w:spacing w:line="276" w:lineRule="auto"/>
            </w:pPr>
            <w:r w:rsidRPr="006A5763">
              <w:t>Textiles</w:t>
            </w:r>
          </w:p>
        </w:tc>
        <w:tc>
          <w:tcPr>
            <w:tcW w:w="1560" w:type="dxa"/>
            <w:vAlign w:val="center"/>
          </w:tcPr>
          <w:p w14:paraId="7710F487" w14:textId="77777777" w:rsidR="006A5763" w:rsidRPr="006A5763" w:rsidRDefault="006A5763" w:rsidP="006A5763">
            <w:pPr>
              <w:pStyle w:val="Tabletext"/>
              <w:spacing w:line="276" w:lineRule="auto"/>
              <w:jc w:val="center"/>
            </w:pPr>
            <w:r w:rsidRPr="006A5763">
              <w:t>23%</w:t>
            </w:r>
          </w:p>
        </w:tc>
        <w:tc>
          <w:tcPr>
            <w:tcW w:w="1560" w:type="dxa"/>
            <w:vAlign w:val="center"/>
          </w:tcPr>
          <w:p w14:paraId="6081C731" w14:textId="77777777" w:rsidR="006A5763" w:rsidRPr="006A5763" w:rsidRDefault="006A5763" w:rsidP="006A5763">
            <w:pPr>
              <w:pStyle w:val="Tabletext"/>
              <w:spacing w:line="276" w:lineRule="auto"/>
              <w:jc w:val="center"/>
            </w:pPr>
            <w:r w:rsidRPr="006A5763">
              <w:t>21%</w:t>
            </w:r>
          </w:p>
        </w:tc>
        <w:tc>
          <w:tcPr>
            <w:tcW w:w="1561" w:type="dxa"/>
            <w:vAlign w:val="center"/>
          </w:tcPr>
          <w:p w14:paraId="6DC38F12" w14:textId="77777777" w:rsidR="006A5763" w:rsidRPr="006A5763" w:rsidRDefault="006A5763" w:rsidP="006A5763">
            <w:pPr>
              <w:pStyle w:val="Tabletext"/>
              <w:spacing w:line="276" w:lineRule="auto"/>
              <w:jc w:val="center"/>
            </w:pPr>
            <w:r w:rsidRPr="006A5763">
              <w:t>24%</w:t>
            </w:r>
          </w:p>
        </w:tc>
      </w:tr>
    </w:tbl>
    <w:p w14:paraId="034E431C" w14:textId="77777777" w:rsidR="00A34BC4" w:rsidRDefault="00415E5A" w:rsidP="006A5763">
      <w:pPr>
        <w:pStyle w:val="BodyText"/>
        <w:spacing w:before="400"/>
      </w:pPr>
      <w:r w:rsidRPr="00415E5A">
        <w:t>The recovery rate data indicates a mix of steady performance in the C&amp;D sector, a positive trend in MSW recovery, and challenges in maintaining or improving recovery in the C&amp;I sector and specific material streams. Increased focus on improving waste management strategies for materials like plastics, textiles and organics could further improve recovery rates across all sectors.</w:t>
      </w:r>
    </w:p>
    <w:p w14:paraId="3667D9F0" w14:textId="1E10BDCE" w:rsidR="00415E5A" w:rsidRPr="00415E5A" w:rsidRDefault="00415E5A" w:rsidP="00415E5A">
      <w:pPr>
        <w:pStyle w:val="BodyText"/>
      </w:pPr>
      <w:r w:rsidRPr="00415E5A">
        <w:t>The C&amp;D sector continues to report the highest recovery rate among the 3 sectors at 84%. This strong performance is primarily driven by effective recovery in metals, glass and aggregates, masonry, and soils.</w:t>
      </w:r>
    </w:p>
    <w:p w14:paraId="49209731" w14:textId="77777777" w:rsidR="00415E5A" w:rsidRPr="00415E5A" w:rsidRDefault="00415E5A" w:rsidP="00415E5A">
      <w:pPr>
        <w:pStyle w:val="BodyText"/>
      </w:pPr>
      <w:r w:rsidRPr="00415E5A">
        <w:t>The MSW sector has a recovery rate of 56%, showing an increase compared to 2020–21. This improvement is likely a result of the continuing rollout of additional kerbside collection services, specifically FOGO. The changes are also linked to post COVID-19 behavioural shifts, with more people working from home, leading to increased waste being captured by household collection services.</w:t>
      </w:r>
    </w:p>
    <w:p w14:paraId="6CA6C2BE" w14:textId="47F14511" w:rsidR="00940144" w:rsidRPr="00913F9E" w:rsidRDefault="00415E5A" w:rsidP="00913F9E">
      <w:pPr>
        <w:pStyle w:val="BodyText"/>
        <w:rPr>
          <w:lang w:val="en-AU"/>
        </w:rPr>
      </w:pPr>
      <w:r w:rsidRPr="00415E5A">
        <w:rPr>
          <w:lang w:val="en-AU"/>
        </w:rPr>
        <w:t>The C&amp;I sector has a recovery rate of 54%, with a small decrease recorded compared to the 2020–21 financial year.</w:t>
      </w:r>
      <w:r w:rsidR="00940144">
        <w:br w:type="page"/>
      </w:r>
    </w:p>
    <w:p w14:paraId="7F560423" w14:textId="645998DC" w:rsidR="00940144" w:rsidRDefault="00940144" w:rsidP="00940144">
      <w:pPr>
        <w:pStyle w:val="Caption"/>
        <w:keepNext/>
      </w:pPr>
      <w:r>
        <w:lastRenderedPageBreak/>
        <w:t xml:space="preserve">Table </w:t>
      </w:r>
      <w:r w:rsidR="00734D86">
        <w:fldChar w:fldCharType="begin"/>
      </w:r>
      <w:r w:rsidR="00734D86">
        <w:instrText xml:space="preserve"> SEQ Table \* ARABIC </w:instrText>
      </w:r>
      <w:r w:rsidR="00734D86">
        <w:fldChar w:fldCharType="separate"/>
      </w:r>
      <w:r w:rsidR="00734D86">
        <w:rPr>
          <w:noProof/>
        </w:rPr>
        <w:t>5</w:t>
      </w:r>
      <w:r w:rsidR="00734D86">
        <w:rPr>
          <w:noProof/>
        </w:rPr>
        <w:fldChar w:fldCharType="end"/>
      </w:r>
      <w:r>
        <w:t xml:space="preserve">: </w:t>
      </w:r>
      <w:r w:rsidRPr="004020D1">
        <w:t>Recovery rate for the eight key material streams across the 3 sectors for 2020–21, 2021–22 and 2022–23 (Recycling Victoria 2024b)</w:t>
      </w:r>
    </w:p>
    <w:tbl>
      <w:tblPr>
        <w:tblStyle w:val="Style2"/>
        <w:tblW w:w="5000" w:type="pct"/>
        <w:tblLook w:val="0020" w:firstRow="1" w:lastRow="0" w:firstColumn="0" w:lastColumn="0" w:noHBand="0" w:noVBand="0"/>
        <w:tblCaption w:val="Recovery rate for the eight key material streams across the 3 sectors for 2020–21, 2021–22 and 2022–23 (Recycling Victoria 2024b) "/>
        <w:tblDescription w:val="Recovery rate for the eight key material streams across the 3 sectors for 2020–21, 2021–22 and 2022–23 (Recycling Victoria 2024b)"/>
      </w:tblPr>
      <w:tblGrid>
        <w:gridCol w:w="1425"/>
        <w:gridCol w:w="910"/>
        <w:gridCol w:w="910"/>
        <w:gridCol w:w="913"/>
        <w:gridCol w:w="911"/>
        <w:gridCol w:w="913"/>
        <w:gridCol w:w="911"/>
        <w:gridCol w:w="913"/>
        <w:gridCol w:w="911"/>
        <w:gridCol w:w="911"/>
      </w:tblGrid>
      <w:tr w:rsidR="00940144" w:rsidRPr="00940144" w14:paraId="389245C5" w14:textId="77777777" w:rsidTr="00940144">
        <w:trPr>
          <w:cnfStyle w:val="100000000000" w:firstRow="1" w:lastRow="0" w:firstColumn="0" w:lastColumn="0" w:oddVBand="0" w:evenVBand="0" w:oddHBand="0" w:evenHBand="0" w:firstRowFirstColumn="0" w:firstRowLastColumn="0" w:lastRowFirstColumn="0" w:lastRowLastColumn="0"/>
          <w:trHeight w:val="60"/>
        </w:trPr>
        <w:tc>
          <w:tcPr>
            <w:tcW w:w="740" w:type="pct"/>
          </w:tcPr>
          <w:p w14:paraId="67584F5F" w14:textId="77777777" w:rsidR="00940144" w:rsidRPr="00940144" w:rsidRDefault="00940144" w:rsidP="00940144">
            <w:pPr>
              <w:pStyle w:val="Tabletext"/>
            </w:pPr>
            <w:r w:rsidRPr="00940144">
              <w:t>Material</w:t>
            </w:r>
          </w:p>
        </w:tc>
        <w:tc>
          <w:tcPr>
            <w:tcW w:w="1419" w:type="pct"/>
            <w:gridSpan w:val="3"/>
          </w:tcPr>
          <w:p w14:paraId="41E9DF4E" w14:textId="77777777" w:rsidR="00940144" w:rsidRPr="00940144" w:rsidRDefault="00940144" w:rsidP="00940144">
            <w:pPr>
              <w:pStyle w:val="Tabletext"/>
              <w:jc w:val="center"/>
            </w:pPr>
            <w:r w:rsidRPr="00940144">
              <w:t>MSW</w:t>
            </w:r>
          </w:p>
        </w:tc>
        <w:tc>
          <w:tcPr>
            <w:tcW w:w="1420" w:type="pct"/>
            <w:gridSpan w:val="3"/>
          </w:tcPr>
          <w:p w14:paraId="44288D7A" w14:textId="77777777" w:rsidR="00940144" w:rsidRPr="00940144" w:rsidRDefault="00940144" w:rsidP="00940144">
            <w:pPr>
              <w:pStyle w:val="Tabletext"/>
              <w:jc w:val="center"/>
            </w:pPr>
            <w:r w:rsidRPr="00940144">
              <w:t>C&amp;I</w:t>
            </w:r>
          </w:p>
        </w:tc>
        <w:tc>
          <w:tcPr>
            <w:tcW w:w="1420" w:type="pct"/>
            <w:gridSpan w:val="3"/>
          </w:tcPr>
          <w:p w14:paraId="62C84880" w14:textId="77777777" w:rsidR="00940144" w:rsidRPr="00940144" w:rsidRDefault="00940144" w:rsidP="00940144">
            <w:pPr>
              <w:pStyle w:val="Tabletext"/>
              <w:jc w:val="center"/>
            </w:pPr>
            <w:r w:rsidRPr="00940144">
              <w:t>C&amp;D</w:t>
            </w:r>
          </w:p>
        </w:tc>
      </w:tr>
      <w:tr w:rsidR="00940144" w:rsidRPr="00940144" w14:paraId="7320553C" w14:textId="77777777" w:rsidTr="00940144">
        <w:trPr>
          <w:trHeight w:val="567"/>
        </w:trPr>
        <w:tc>
          <w:tcPr>
            <w:tcW w:w="740" w:type="pct"/>
            <w:shd w:val="clear" w:color="auto" w:fill="F2F2F2" w:themeFill="background1" w:themeFillShade="F2"/>
            <w:vAlign w:val="center"/>
          </w:tcPr>
          <w:p w14:paraId="5E8B664A" w14:textId="77777777" w:rsidR="00940144" w:rsidRPr="00940144" w:rsidRDefault="00940144" w:rsidP="00940144">
            <w:pPr>
              <w:pStyle w:val="Tabletext"/>
              <w:spacing w:line="240" w:lineRule="auto"/>
            </w:pPr>
          </w:p>
        </w:tc>
        <w:tc>
          <w:tcPr>
            <w:tcW w:w="473" w:type="pct"/>
            <w:shd w:val="clear" w:color="auto" w:fill="F2F2F2" w:themeFill="background1" w:themeFillShade="F2"/>
            <w:vAlign w:val="center"/>
          </w:tcPr>
          <w:p w14:paraId="24E008EA" w14:textId="52965A58" w:rsidR="00940144" w:rsidRPr="00940144" w:rsidRDefault="00940144" w:rsidP="00940144">
            <w:pPr>
              <w:pStyle w:val="Tabletext"/>
              <w:spacing w:line="240" w:lineRule="auto"/>
              <w:rPr>
                <w:b/>
                <w:bCs/>
                <w:spacing w:val="-2"/>
                <w:sz w:val="18"/>
                <w:szCs w:val="18"/>
              </w:rPr>
            </w:pPr>
            <w:r w:rsidRPr="00940144">
              <w:rPr>
                <w:b/>
                <w:bCs/>
                <w:spacing w:val="-2"/>
                <w:sz w:val="18"/>
                <w:szCs w:val="18"/>
              </w:rPr>
              <w:t>2020-21</w:t>
            </w:r>
          </w:p>
        </w:tc>
        <w:tc>
          <w:tcPr>
            <w:tcW w:w="473" w:type="pct"/>
            <w:shd w:val="clear" w:color="auto" w:fill="F2F2F2" w:themeFill="background1" w:themeFillShade="F2"/>
            <w:vAlign w:val="center"/>
          </w:tcPr>
          <w:p w14:paraId="41C2BF4A" w14:textId="4E47F373" w:rsidR="00940144" w:rsidRPr="00940144" w:rsidRDefault="00940144" w:rsidP="00940144">
            <w:pPr>
              <w:pStyle w:val="Tabletext"/>
              <w:spacing w:line="240" w:lineRule="auto"/>
              <w:rPr>
                <w:b/>
                <w:bCs/>
                <w:spacing w:val="-2"/>
                <w:sz w:val="18"/>
                <w:szCs w:val="18"/>
              </w:rPr>
            </w:pPr>
            <w:r w:rsidRPr="00940144">
              <w:rPr>
                <w:b/>
                <w:bCs/>
                <w:spacing w:val="-2"/>
                <w:sz w:val="18"/>
                <w:szCs w:val="18"/>
              </w:rPr>
              <w:t>2021-22</w:t>
            </w:r>
          </w:p>
        </w:tc>
        <w:tc>
          <w:tcPr>
            <w:tcW w:w="474" w:type="pct"/>
            <w:shd w:val="clear" w:color="auto" w:fill="F2F2F2" w:themeFill="background1" w:themeFillShade="F2"/>
            <w:vAlign w:val="center"/>
          </w:tcPr>
          <w:p w14:paraId="67316241" w14:textId="4FA19939" w:rsidR="00940144" w:rsidRPr="00940144" w:rsidRDefault="00940144" w:rsidP="00940144">
            <w:pPr>
              <w:pStyle w:val="Tabletext"/>
              <w:spacing w:line="240" w:lineRule="auto"/>
              <w:rPr>
                <w:b/>
                <w:bCs/>
                <w:sz w:val="18"/>
                <w:szCs w:val="18"/>
              </w:rPr>
            </w:pPr>
            <w:r w:rsidRPr="00940144">
              <w:rPr>
                <w:b/>
                <w:bCs/>
                <w:sz w:val="18"/>
                <w:szCs w:val="18"/>
              </w:rPr>
              <w:t>2022</w:t>
            </w:r>
            <w:r>
              <w:rPr>
                <w:b/>
                <w:bCs/>
                <w:sz w:val="18"/>
                <w:szCs w:val="18"/>
              </w:rPr>
              <w:t>-</w:t>
            </w:r>
            <w:r w:rsidRPr="00940144">
              <w:rPr>
                <w:b/>
                <w:bCs/>
                <w:sz w:val="18"/>
                <w:szCs w:val="18"/>
              </w:rPr>
              <w:t>23</w:t>
            </w:r>
          </w:p>
        </w:tc>
        <w:tc>
          <w:tcPr>
            <w:tcW w:w="473" w:type="pct"/>
            <w:shd w:val="clear" w:color="auto" w:fill="F2F2F2" w:themeFill="background1" w:themeFillShade="F2"/>
            <w:vAlign w:val="center"/>
          </w:tcPr>
          <w:p w14:paraId="6C9358CA" w14:textId="1A86B6AC" w:rsidR="00940144" w:rsidRPr="00940144" w:rsidRDefault="00940144" w:rsidP="00940144">
            <w:pPr>
              <w:pStyle w:val="Tabletext"/>
              <w:spacing w:line="240" w:lineRule="auto"/>
              <w:rPr>
                <w:b/>
                <w:bCs/>
                <w:sz w:val="18"/>
                <w:szCs w:val="18"/>
              </w:rPr>
            </w:pPr>
            <w:r w:rsidRPr="00940144">
              <w:rPr>
                <w:b/>
                <w:bCs/>
                <w:sz w:val="18"/>
                <w:szCs w:val="18"/>
              </w:rPr>
              <w:t>2020</w:t>
            </w:r>
            <w:r>
              <w:rPr>
                <w:b/>
                <w:bCs/>
                <w:sz w:val="18"/>
                <w:szCs w:val="18"/>
              </w:rPr>
              <w:t>-</w:t>
            </w:r>
            <w:r w:rsidRPr="00940144">
              <w:rPr>
                <w:b/>
                <w:bCs/>
                <w:sz w:val="18"/>
                <w:szCs w:val="18"/>
              </w:rPr>
              <w:t>21</w:t>
            </w:r>
          </w:p>
        </w:tc>
        <w:tc>
          <w:tcPr>
            <w:tcW w:w="474" w:type="pct"/>
            <w:shd w:val="clear" w:color="auto" w:fill="F2F2F2" w:themeFill="background1" w:themeFillShade="F2"/>
            <w:vAlign w:val="center"/>
          </w:tcPr>
          <w:p w14:paraId="6BC21CEA" w14:textId="4010CC5E" w:rsidR="00940144" w:rsidRPr="00940144" w:rsidRDefault="00940144" w:rsidP="00940144">
            <w:pPr>
              <w:pStyle w:val="Tabletext"/>
              <w:spacing w:line="240" w:lineRule="auto"/>
              <w:rPr>
                <w:b/>
                <w:bCs/>
                <w:sz w:val="18"/>
                <w:szCs w:val="18"/>
              </w:rPr>
            </w:pPr>
            <w:r w:rsidRPr="00940144">
              <w:rPr>
                <w:b/>
                <w:bCs/>
                <w:sz w:val="18"/>
                <w:szCs w:val="18"/>
              </w:rPr>
              <w:t>2021</w:t>
            </w:r>
            <w:r>
              <w:rPr>
                <w:b/>
                <w:bCs/>
                <w:sz w:val="18"/>
                <w:szCs w:val="18"/>
              </w:rPr>
              <w:t>-</w:t>
            </w:r>
            <w:r w:rsidRPr="00940144">
              <w:rPr>
                <w:b/>
                <w:bCs/>
                <w:sz w:val="18"/>
                <w:szCs w:val="18"/>
              </w:rPr>
              <w:t>22</w:t>
            </w:r>
          </w:p>
        </w:tc>
        <w:tc>
          <w:tcPr>
            <w:tcW w:w="473" w:type="pct"/>
            <w:shd w:val="clear" w:color="auto" w:fill="F2F2F2" w:themeFill="background1" w:themeFillShade="F2"/>
            <w:vAlign w:val="center"/>
          </w:tcPr>
          <w:p w14:paraId="10DC2DA1" w14:textId="5ACEBFC1" w:rsidR="00940144" w:rsidRPr="00940144" w:rsidRDefault="00940144" w:rsidP="00940144">
            <w:pPr>
              <w:pStyle w:val="Tabletext"/>
              <w:spacing w:line="240" w:lineRule="auto"/>
              <w:rPr>
                <w:b/>
                <w:bCs/>
                <w:sz w:val="18"/>
                <w:szCs w:val="18"/>
              </w:rPr>
            </w:pPr>
            <w:r w:rsidRPr="00940144">
              <w:rPr>
                <w:b/>
                <w:bCs/>
                <w:sz w:val="18"/>
                <w:szCs w:val="18"/>
              </w:rPr>
              <w:t>2022</w:t>
            </w:r>
            <w:r>
              <w:rPr>
                <w:b/>
                <w:bCs/>
                <w:sz w:val="18"/>
                <w:szCs w:val="18"/>
              </w:rPr>
              <w:t>-</w:t>
            </w:r>
            <w:r w:rsidRPr="00940144">
              <w:rPr>
                <w:b/>
                <w:bCs/>
                <w:sz w:val="18"/>
                <w:szCs w:val="18"/>
              </w:rPr>
              <w:t>23</w:t>
            </w:r>
          </w:p>
        </w:tc>
        <w:tc>
          <w:tcPr>
            <w:tcW w:w="474" w:type="pct"/>
            <w:shd w:val="clear" w:color="auto" w:fill="F2F2F2" w:themeFill="background1" w:themeFillShade="F2"/>
            <w:vAlign w:val="center"/>
          </w:tcPr>
          <w:p w14:paraId="69CF2D43" w14:textId="1E96976F" w:rsidR="00940144" w:rsidRPr="00940144" w:rsidRDefault="00940144" w:rsidP="00940144">
            <w:pPr>
              <w:pStyle w:val="Tabletext"/>
              <w:spacing w:line="240" w:lineRule="auto"/>
              <w:rPr>
                <w:b/>
                <w:bCs/>
                <w:sz w:val="18"/>
                <w:szCs w:val="18"/>
              </w:rPr>
            </w:pPr>
            <w:r w:rsidRPr="00940144">
              <w:rPr>
                <w:b/>
                <w:bCs/>
                <w:sz w:val="18"/>
                <w:szCs w:val="18"/>
              </w:rPr>
              <w:t>2020</w:t>
            </w:r>
            <w:r>
              <w:rPr>
                <w:b/>
                <w:bCs/>
                <w:sz w:val="18"/>
                <w:szCs w:val="18"/>
              </w:rPr>
              <w:t>-</w:t>
            </w:r>
            <w:r w:rsidRPr="00940144">
              <w:rPr>
                <w:b/>
                <w:bCs/>
                <w:sz w:val="18"/>
                <w:szCs w:val="18"/>
              </w:rPr>
              <w:t>21</w:t>
            </w:r>
          </w:p>
        </w:tc>
        <w:tc>
          <w:tcPr>
            <w:tcW w:w="473" w:type="pct"/>
            <w:shd w:val="clear" w:color="auto" w:fill="F2F2F2" w:themeFill="background1" w:themeFillShade="F2"/>
            <w:vAlign w:val="center"/>
          </w:tcPr>
          <w:p w14:paraId="4C0850E2" w14:textId="2BE965F9" w:rsidR="00940144" w:rsidRPr="00940144" w:rsidRDefault="00940144" w:rsidP="00940144">
            <w:pPr>
              <w:pStyle w:val="Tabletext"/>
              <w:spacing w:line="240" w:lineRule="auto"/>
              <w:rPr>
                <w:b/>
                <w:bCs/>
                <w:sz w:val="18"/>
                <w:szCs w:val="18"/>
              </w:rPr>
            </w:pPr>
            <w:r w:rsidRPr="00940144">
              <w:rPr>
                <w:b/>
                <w:bCs/>
                <w:sz w:val="18"/>
                <w:szCs w:val="18"/>
              </w:rPr>
              <w:t>2021</w:t>
            </w:r>
            <w:r>
              <w:rPr>
                <w:b/>
                <w:bCs/>
                <w:sz w:val="18"/>
                <w:szCs w:val="18"/>
              </w:rPr>
              <w:t>-</w:t>
            </w:r>
            <w:r w:rsidRPr="00940144">
              <w:rPr>
                <w:b/>
                <w:bCs/>
                <w:sz w:val="18"/>
                <w:szCs w:val="18"/>
              </w:rPr>
              <w:t>22</w:t>
            </w:r>
          </w:p>
        </w:tc>
        <w:tc>
          <w:tcPr>
            <w:tcW w:w="473" w:type="pct"/>
            <w:shd w:val="clear" w:color="auto" w:fill="F2F2F2" w:themeFill="background1" w:themeFillShade="F2"/>
            <w:vAlign w:val="center"/>
          </w:tcPr>
          <w:p w14:paraId="7613DD5E" w14:textId="0EF2373D" w:rsidR="00940144" w:rsidRPr="00940144" w:rsidRDefault="00940144" w:rsidP="00940144">
            <w:pPr>
              <w:pStyle w:val="Tabletext"/>
              <w:spacing w:line="240" w:lineRule="auto"/>
              <w:rPr>
                <w:b/>
                <w:bCs/>
                <w:sz w:val="18"/>
                <w:szCs w:val="18"/>
              </w:rPr>
            </w:pPr>
            <w:r w:rsidRPr="00940144">
              <w:rPr>
                <w:b/>
                <w:bCs/>
                <w:sz w:val="18"/>
                <w:szCs w:val="18"/>
              </w:rPr>
              <w:t>2022</w:t>
            </w:r>
            <w:r>
              <w:rPr>
                <w:b/>
                <w:bCs/>
                <w:sz w:val="18"/>
                <w:szCs w:val="18"/>
              </w:rPr>
              <w:t>-</w:t>
            </w:r>
            <w:r w:rsidRPr="00940144">
              <w:rPr>
                <w:b/>
                <w:bCs/>
                <w:sz w:val="18"/>
                <w:szCs w:val="18"/>
              </w:rPr>
              <w:t>23</w:t>
            </w:r>
          </w:p>
        </w:tc>
      </w:tr>
      <w:tr w:rsidR="00940144" w:rsidRPr="00940144" w14:paraId="54AB605F" w14:textId="77777777" w:rsidTr="00940144">
        <w:trPr>
          <w:trHeight w:val="60"/>
        </w:trPr>
        <w:tc>
          <w:tcPr>
            <w:tcW w:w="740" w:type="pct"/>
          </w:tcPr>
          <w:p w14:paraId="3A72C2D4" w14:textId="77777777" w:rsidR="00940144" w:rsidRPr="00940144" w:rsidRDefault="00940144" w:rsidP="00940144">
            <w:pPr>
              <w:pStyle w:val="Tabletext"/>
              <w:spacing w:line="276" w:lineRule="auto"/>
            </w:pPr>
            <w:r w:rsidRPr="00940144">
              <w:t>Aggregate, masonry and soils</w:t>
            </w:r>
          </w:p>
        </w:tc>
        <w:tc>
          <w:tcPr>
            <w:tcW w:w="473" w:type="pct"/>
            <w:vAlign w:val="center"/>
          </w:tcPr>
          <w:p w14:paraId="5FA9055F" w14:textId="77777777" w:rsidR="00940144" w:rsidRPr="00940144" w:rsidRDefault="00940144" w:rsidP="00940144">
            <w:pPr>
              <w:pStyle w:val="Tabletext"/>
            </w:pPr>
            <w:r w:rsidRPr="00940144">
              <w:t>13%</w:t>
            </w:r>
          </w:p>
        </w:tc>
        <w:tc>
          <w:tcPr>
            <w:tcW w:w="473" w:type="pct"/>
            <w:vAlign w:val="center"/>
          </w:tcPr>
          <w:p w14:paraId="723FFCDA" w14:textId="77777777" w:rsidR="00940144" w:rsidRPr="00940144" w:rsidRDefault="00940144" w:rsidP="00940144">
            <w:pPr>
              <w:pStyle w:val="Tabletext"/>
            </w:pPr>
            <w:r w:rsidRPr="00940144">
              <w:t>38%</w:t>
            </w:r>
          </w:p>
        </w:tc>
        <w:tc>
          <w:tcPr>
            <w:tcW w:w="474" w:type="pct"/>
            <w:vAlign w:val="center"/>
          </w:tcPr>
          <w:p w14:paraId="1BD43441" w14:textId="77777777" w:rsidR="00940144" w:rsidRPr="00940144" w:rsidRDefault="00940144" w:rsidP="00940144">
            <w:pPr>
              <w:pStyle w:val="Tabletext"/>
            </w:pPr>
            <w:r w:rsidRPr="00940144">
              <w:t>21%</w:t>
            </w:r>
          </w:p>
        </w:tc>
        <w:tc>
          <w:tcPr>
            <w:tcW w:w="473" w:type="pct"/>
            <w:vAlign w:val="center"/>
          </w:tcPr>
          <w:p w14:paraId="36E55B3C" w14:textId="77777777" w:rsidR="00940144" w:rsidRPr="00940144" w:rsidRDefault="00940144" w:rsidP="00940144">
            <w:pPr>
              <w:pStyle w:val="Tabletext"/>
            </w:pPr>
            <w:r w:rsidRPr="00940144">
              <w:t>11%</w:t>
            </w:r>
          </w:p>
        </w:tc>
        <w:tc>
          <w:tcPr>
            <w:tcW w:w="474" w:type="pct"/>
            <w:vAlign w:val="center"/>
          </w:tcPr>
          <w:p w14:paraId="17E9DA6D" w14:textId="77777777" w:rsidR="00940144" w:rsidRPr="00940144" w:rsidRDefault="00940144" w:rsidP="00940144">
            <w:pPr>
              <w:pStyle w:val="Tabletext"/>
            </w:pPr>
            <w:r w:rsidRPr="00940144">
              <w:t>36%</w:t>
            </w:r>
          </w:p>
        </w:tc>
        <w:tc>
          <w:tcPr>
            <w:tcW w:w="473" w:type="pct"/>
            <w:vAlign w:val="center"/>
          </w:tcPr>
          <w:p w14:paraId="016D41F9" w14:textId="77777777" w:rsidR="00940144" w:rsidRPr="00940144" w:rsidRDefault="00940144" w:rsidP="00940144">
            <w:pPr>
              <w:pStyle w:val="Tabletext"/>
            </w:pPr>
            <w:r w:rsidRPr="00940144">
              <w:t>41%</w:t>
            </w:r>
          </w:p>
        </w:tc>
        <w:tc>
          <w:tcPr>
            <w:tcW w:w="474" w:type="pct"/>
            <w:vAlign w:val="center"/>
          </w:tcPr>
          <w:p w14:paraId="57888DAD" w14:textId="77777777" w:rsidR="00940144" w:rsidRPr="00940144" w:rsidRDefault="00940144" w:rsidP="00940144">
            <w:pPr>
              <w:pStyle w:val="Tabletext"/>
            </w:pPr>
            <w:r w:rsidRPr="00940144">
              <w:t>89%</w:t>
            </w:r>
          </w:p>
        </w:tc>
        <w:tc>
          <w:tcPr>
            <w:tcW w:w="473" w:type="pct"/>
            <w:vAlign w:val="center"/>
          </w:tcPr>
          <w:p w14:paraId="2CB003BC" w14:textId="77777777" w:rsidR="00940144" w:rsidRPr="00940144" w:rsidRDefault="00940144" w:rsidP="00940144">
            <w:pPr>
              <w:pStyle w:val="Tabletext"/>
            </w:pPr>
            <w:r w:rsidRPr="00940144">
              <w:t>87%</w:t>
            </w:r>
          </w:p>
        </w:tc>
        <w:tc>
          <w:tcPr>
            <w:tcW w:w="473" w:type="pct"/>
            <w:vAlign w:val="center"/>
          </w:tcPr>
          <w:p w14:paraId="778C1916" w14:textId="77777777" w:rsidR="00940144" w:rsidRPr="00940144" w:rsidRDefault="00940144" w:rsidP="00940144">
            <w:pPr>
              <w:pStyle w:val="Tabletext"/>
            </w:pPr>
            <w:r w:rsidRPr="00940144">
              <w:t>87%</w:t>
            </w:r>
          </w:p>
        </w:tc>
      </w:tr>
      <w:tr w:rsidR="00940144" w:rsidRPr="00940144" w14:paraId="41A23716" w14:textId="77777777" w:rsidTr="00940144">
        <w:trPr>
          <w:trHeight w:val="567"/>
        </w:trPr>
        <w:tc>
          <w:tcPr>
            <w:tcW w:w="740" w:type="pct"/>
            <w:vAlign w:val="center"/>
          </w:tcPr>
          <w:p w14:paraId="4D9CEE42" w14:textId="77777777" w:rsidR="00940144" w:rsidRPr="00940144" w:rsidRDefault="00940144" w:rsidP="00940144">
            <w:pPr>
              <w:pStyle w:val="Tabletext"/>
              <w:spacing w:line="276" w:lineRule="auto"/>
            </w:pPr>
            <w:r w:rsidRPr="00940144">
              <w:t>Glass</w:t>
            </w:r>
          </w:p>
        </w:tc>
        <w:tc>
          <w:tcPr>
            <w:tcW w:w="473" w:type="pct"/>
            <w:vAlign w:val="center"/>
          </w:tcPr>
          <w:p w14:paraId="186D3A56" w14:textId="77777777" w:rsidR="00940144" w:rsidRPr="00940144" w:rsidRDefault="00940144" w:rsidP="00940144">
            <w:pPr>
              <w:pStyle w:val="Tabletext"/>
              <w:spacing w:line="240" w:lineRule="auto"/>
            </w:pPr>
            <w:r w:rsidRPr="00940144">
              <w:t>69%</w:t>
            </w:r>
          </w:p>
        </w:tc>
        <w:tc>
          <w:tcPr>
            <w:tcW w:w="473" w:type="pct"/>
            <w:vAlign w:val="center"/>
          </w:tcPr>
          <w:p w14:paraId="3163BF59" w14:textId="77777777" w:rsidR="00940144" w:rsidRPr="00940144" w:rsidRDefault="00940144" w:rsidP="00940144">
            <w:pPr>
              <w:pStyle w:val="Tabletext"/>
              <w:spacing w:line="240" w:lineRule="auto"/>
            </w:pPr>
            <w:r w:rsidRPr="00940144">
              <w:t>66%</w:t>
            </w:r>
          </w:p>
        </w:tc>
        <w:tc>
          <w:tcPr>
            <w:tcW w:w="474" w:type="pct"/>
            <w:vAlign w:val="center"/>
          </w:tcPr>
          <w:p w14:paraId="5AB08575" w14:textId="77777777" w:rsidR="00940144" w:rsidRPr="00940144" w:rsidRDefault="00940144" w:rsidP="00940144">
            <w:pPr>
              <w:pStyle w:val="Tabletext"/>
              <w:spacing w:line="240" w:lineRule="auto"/>
            </w:pPr>
            <w:r w:rsidRPr="00940144">
              <w:t>66%</w:t>
            </w:r>
          </w:p>
        </w:tc>
        <w:tc>
          <w:tcPr>
            <w:tcW w:w="473" w:type="pct"/>
            <w:vAlign w:val="center"/>
          </w:tcPr>
          <w:p w14:paraId="40FCC853" w14:textId="77777777" w:rsidR="00940144" w:rsidRPr="00940144" w:rsidRDefault="00940144" w:rsidP="00940144">
            <w:pPr>
              <w:pStyle w:val="Tabletext"/>
              <w:spacing w:line="240" w:lineRule="auto"/>
            </w:pPr>
            <w:r w:rsidRPr="00940144">
              <w:t>75%</w:t>
            </w:r>
          </w:p>
        </w:tc>
        <w:tc>
          <w:tcPr>
            <w:tcW w:w="474" w:type="pct"/>
            <w:vAlign w:val="center"/>
          </w:tcPr>
          <w:p w14:paraId="3C9DE46E" w14:textId="77777777" w:rsidR="00940144" w:rsidRPr="00940144" w:rsidRDefault="00940144" w:rsidP="00940144">
            <w:pPr>
              <w:pStyle w:val="Tabletext"/>
              <w:spacing w:line="240" w:lineRule="auto"/>
            </w:pPr>
            <w:r w:rsidRPr="00940144">
              <w:t>58%</w:t>
            </w:r>
          </w:p>
        </w:tc>
        <w:tc>
          <w:tcPr>
            <w:tcW w:w="473" w:type="pct"/>
            <w:vAlign w:val="center"/>
          </w:tcPr>
          <w:p w14:paraId="1051265B" w14:textId="77777777" w:rsidR="00940144" w:rsidRPr="00940144" w:rsidRDefault="00940144" w:rsidP="00940144">
            <w:pPr>
              <w:pStyle w:val="Tabletext"/>
              <w:spacing w:line="240" w:lineRule="auto"/>
            </w:pPr>
            <w:r w:rsidRPr="00940144">
              <w:t>59%</w:t>
            </w:r>
          </w:p>
        </w:tc>
        <w:tc>
          <w:tcPr>
            <w:tcW w:w="474" w:type="pct"/>
            <w:vAlign w:val="center"/>
          </w:tcPr>
          <w:p w14:paraId="14393519" w14:textId="77777777" w:rsidR="00940144" w:rsidRPr="00940144" w:rsidRDefault="00940144" w:rsidP="00940144">
            <w:pPr>
              <w:pStyle w:val="Tabletext"/>
              <w:spacing w:line="240" w:lineRule="auto"/>
            </w:pPr>
            <w:r w:rsidRPr="00940144">
              <w:t>–</w:t>
            </w:r>
          </w:p>
        </w:tc>
        <w:tc>
          <w:tcPr>
            <w:tcW w:w="473" w:type="pct"/>
            <w:vAlign w:val="center"/>
          </w:tcPr>
          <w:p w14:paraId="71B6B0DC" w14:textId="77777777" w:rsidR="00940144" w:rsidRPr="00940144" w:rsidRDefault="00940144" w:rsidP="00940144">
            <w:pPr>
              <w:pStyle w:val="Tabletext"/>
              <w:spacing w:line="240" w:lineRule="auto"/>
            </w:pPr>
            <w:r w:rsidRPr="00940144">
              <w:t>67%</w:t>
            </w:r>
          </w:p>
        </w:tc>
        <w:tc>
          <w:tcPr>
            <w:tcW w:w="473" w:type="pct"/>
            <w:vAlign w:val="center"/>
          </w:tcPr>
          <w:p w14:paraId="08ABCB48" w14:textId="77777777" w:rsidR="00940144" w:rsidRPr="00940144" w:rsidRDefault="00940144" w:rsidP="00940144">
            <w:pPr>
              <w:pStyle w:val="Tabletext"/>
              <w:spacing w:line="240" w:lineRule="auto"/>
            </w:pPr>
            <w:r w:rsidRPr="00940144">
              <w:t>67%</w:t>
            </w:r>
          </w:p>
        </w:tc>
      </w:tr>
      <w:tr w:rsidR="00940144" w:rsidRPr="00940144" w14:paraId="3A503B71" w14:textId="77777777" w:rsidTr="00940144">
        <w:trPr>
          <w:trHeight w:val="567"/>
        </w:trPr>
        <w:tc>
          <w:tcPr>
            <w:tcW w:w="740" w:type="pct"/>
            <w:vAlign w:val="center"/>
          </w:tcPr>
          <w:p w14:paraId="07282E19" w14:textId="77777777" w:rsidR="00940144" w:rsidRPr="00940144" w:rsidRDefault="00940144" w:rsidP="00940144">
            <w:pPr>
              <w:pStyle w:val="Tabletext"/>
              <w:spacing w:line="276" w:lineRule="auto"/>
            </w:pPr>
            <w:r w:rsidRPr="00940144">
              <w:t>Metals</w:t>
            </w:r>
          </w:p>
        </w:tc>
        <w:tc>
          <w:tcPr>
            <w:tcW w:w="473" w:type="pct"/>
            <w:vAlign w:val="center"/>
          </w:tcPr>
          <w:p w14:paraId="2B7D2629" w14:textId="77777777" w:rsidR="00940144" w:rsidRPr="00940144" w:rsidRDefault="00940144" w:rsidP="00940144">
            <w:pPr>
              <w:pStyle w:val="Tabletext"/>
              <w:spacing w:line="240" w:lineRule="auto"/>
            </w:pPr>
            <w:r w:rsidRPr="00940144">
              <w:t>79%</w:t>
            </w:r>
          </w:p>
        </w:tc>
        <w:tc>
          <w:tcPr>
            <w:tcW w:w="473" w:type="pct"/>
            <w:vAlign w:val="center"/>
          </w:tcPr>
          <w:p w14:paraId="7B2DCBC2" w14:textId="77777777" w:rsidR="00940144" w:rsidRPr="00940144" w:rsidRDefault="00940144" w:rsidP="00940144">
            <w:pPr>
              <w:pStyle w:val="Tabletext"/>
              <w:spacing w:line="240" w:lineRule="auto"/>
            </w:pPr>
            <w:r w:rsidRPr="00940144">
              <w:t>87%</w:t>
            </w:r>
          </w:p>
        </w:tc>
        <w:tc>
          <w:tcPr>
            <w:tcW w:w="474" w:type="pct"/>
            <w:vAlign w:val="center"/>
          </w:tcPr>
          <w:p w14:paraId="26EEBBA7" w14:textId="77777777" w:rsidR="00940144" w:rsidRPr="00940144" w:rsidRDefault="00940144" w:rsidP="00940144">
            <w:pPr>
              <w:pStyle w:val="Tabletext"/>
              <w:spacing w:line="240" w:lineRule="auto"/>
            </w:pPr>
            <w:r w:rsidRPr="00940144">
              <w:t>85%</w:t>
            </w:r>
          </w:p>
        </w:tc>
        <w:tc>
          <w:tcPr>
            <w:tcW w:w="473" w:type="pct"/>
            <w:vAlign w:val="center"/>
          </w:tcPr>
          <w:p w14:paraId="2FA1B7FB" w14:textId="77777777" w:rsidR="00940144" w:rsidRPr="00940144" w:rsidRDefault="00940144" w:rsidP="00940144">
            <w:pPr>
              <w:pStyle w:val="Tabletext"/>
              <w:spacing w:line="240" w:lineRule="auto"/>
            </w:pPr>
            <w:r w:rsidRPr="00940144">
              <w:t>92%</w:t>
            </w:r>
          </w:p>
        </w:tc>
        <w:tc>
          <w:tcPr>
            <w:tcW w:w="474" w:type="pct"/>
            <w:vAlign w:val="center"/>
          </w:tcPr>
          <w:p w14:paraId="6A1BE881" w14:textId="77777777" w:rsidR="00940144" w:rsidRPr="00940144" w:rsidRDefault="00940144" w:rsidP="00940144">
            <w:pPr>
              <w:pStyle w:val="Tabletext"/>
              <w:spacing w:line="240" w:lineRule="auto"/>
            </w:pPr>
            <w:r w:rsidRPr="00940144">
              <w:t>91%</w:t>
            </w:r>
          </w:p>
        </w:tc>
        <w:tc>
          <w:tcPr>
            <w:tcW w:w="473" w:type="pct"/>
            <w:vAlign w:val="center"/>
          </w:tcPr>
          <w:p w14:paraId="4BB39247" w14:textId="77777777" w:rsidR="00940144" w:rsidRPr="00940144" w:rsidRDefault="00940144" w:rsidP="00940144">
            <w:pPr>
              <w:pStyle w:val="Tabletext"/>
              <w:spacing w:line="240" w:lineRule="auto"/>
            </w:pPr>
            <w:r w:rsidRPr="00940144">
              <w:t>91%</w:t>
            </w:r>
          </w:p>
        </w:tc>
        <w:tc>
          <w:tcPr>
            <w:tcW w:w="474" w:type="pct"/>
            <w:vAlign w:val="center"/>
          </w:tcPr>
          <w:p w14:paraId="42FF7978" w14:textId="77777777" w:rsidR="00940144" w:rsidRPr="00940144" w:rsidRDefault="00940144" w:rsidP="00940144">
            <w:pPr>
              <w:pStyle w:val="Tabletext"/>
              <w:spacing w:line="240" w:lineRule="auto"/>
            </w:pPr>
            <w:r w:rsidRPr="00940144">
              <w:t>72%</w:t>
            </w:r>
          </w:p>
        </w:tc>
        <w:tc>
          <w:tcPr>
            <w:tcW w:w="473" w:type="pct"/>
            <w:vAlign w:val="center"/>
          </w:tcPr>
          <w:p w14:paraId="5DE3DBF7" w14:textId="77777777" w:rsidR="00940144" w:rsidRPr="00940144" w:rsidRDefault="00940144" w:rsidP="00940144">
            <w:pPr>
              <w:pStyle w:val="Tabletext"/>
              <w:spacing w:line="240" w:lineRule="auto"/>
            </w:pPr>
            <w:r w:rsidRPr="00940144">
              <w:t>77%</w:t>
            </w:r>
          </w:p>
        </w:tc>
        <w:tc>
          <w:tcPr>
            <w:tcW w:w="473" w:type="pct"/>
            <w:vAlign w:val="center"/>
          </w:tcPr>
          <w:p w14:paraId="097A77BD" w14:textId="77777777" w:rsidR="00940144" w:rsidRPr="00940144" w:rsidRDefault="00940144" w:rsidP="00940144">
            <w:pPr>
              <w:pStyle w:val="Tabletext"/>
              <w:spacing w:line="240" w:lineRule="auto"/>
            </w:pPr>
            <w:r w:rsidRPr="00940144">
              <w:t>76%</w:t>
            </w:r>
          </w:p>
        </w:tc>
      </w:tr>
      <w:tr w:rsidR="00940144" w:rsidRPr="00940144" w14:paraId="0F0A398A" w14:textId="77777777" w:rsidTr="00940144">
        <w:trPr>
          <w:trHeight w:val="567"/>
        </w:trPr>
        <w:tc>
          <w:tcPr>
            <w:tcW w:w="740" w:type="pct"/>
            <w:vAlign w:val="center"/>
          </w:tcPr>
          <w:p w14:paraId="33053737" w14:textId="77777777" w:rsidR="00940144" w:rsidRPr="00940144" w:rsidRDefault="00940144" w:rsidP="00940144">
            <w:pPr>
              <w:pStyle w:val="Tabletext"/>
              <w:spacing w:line="276" w:lineRule="auto"/>
            </w:pPr>
            <w:r w:rsidRPr="00940144">
              <w:t>Organics</w:t>
            </w:r>
          </w:p>
        </w:tc>
        <w:tc>
          <w:tcPr>
            <w:tcW w:w="473" w:type="pct"/>
            <w:vAlign w:val="center"/>
          </w:tcPr>
          <w:p w14:paraId="6A2418A9" w14:textId="77777777" w:rsidR="00940144" w:rsidRPr="00940144" w:rsidRDefault="00940144" w:rsidP="00940144">
            <w:pPr>
              <w:pStyle w:val="Tabletext"/>
              <w:spacing w:line="240" w:lineRule="auto"/>
            </w:pPr>
            <w:r w:rsidRPr="00940144">
              <w:t>52%</w:t>
            </w:r>
          </w:p>
        </w:tc>
        <w:tc>
          <w:tcPr>
            <w:tcW w:w="473" w:type="pct"/>
            <w:vAlign w:val="center"/>
          </w:tcPr>
          <w:p w14:paraId="05D309E1" w14:textId="77777777" w:rsidR="00940144" w:rsidRPr="00940144" w:rsidRDefault="00940144" w:rsidP="00940144">
            <w:pPr>
              <w:pStyle w:val="Tabletext"/>
              <w:spacing w:line="240" w:lineRule="auto"/>
            </w:pPr>
            <w:r w:rsidRPr="00940144">
              <w:t>60%</w:t>
            </w:r>
          </w:p>
        </w:tc>
        <w:tc>
          <w:tcPr>
            <w:tcW w:w="474" w:type="pct"/>
            <w:vAlign w:val="center"/>
          </w:tcPr>
          <w:p w14:paraId="0C2EA13B" w14:textId="77777777" w:rsidR="00940144" w:rsidRPr="00940144" w:rsidRDefault="00940144" w:rsidP="00940144">
            <w:pPr>
              <w:pStyle w:val="Tabletext"/>
              <w:spacing w:line="240" w:lineRule="auto"/>
            </w:pPr>
            <w:r w:rsidRPr="00940144">
              <w:t>60%</w:t>
            </w:r>
          </w:p>
        </w:tc>
        <w:tc>
          <w:tcPr>
            <w:tcW w:w="473" w:type="pct"/>
            <w:vAlign w:val="center"/>
          </w:tcPr>
          <w:p w14:paraId="73EC1984" w14:textId="77777777" w:rsidR="00940144" w:rsidRPr="00940144" w:rsidRDefault="00940144" w:rsidP="00940144">
            <w:pPr>
              <w:pStyle w:val="Tabletext"/>
              <w:spacing w:line="240" w:lineRule="auto"/>
            </w:pPr>
            <w:r w:rsidRPr="00940144">
              <w:t>53%</w:t>
            </w:r>
          </w:p>
        </w:tc>
        <w:tc>
          <w:tcPr>
            <w:tcW w:w="474" w:type="pct"/>
            <w:vAlign w:val="center"/>
          </w:tcPr>
          <w:p w14:paraId="439BC8ED" w14:textId="77777777" w:rsidR="00940144" w:rsidRPr="00940144" w:rsidRDefault="00940144" w:rsidP="00940144">
            <w:pPr>
              <w:pStyle w:val="Tabletext"/>
              <w:spacing w:line="240" w:lineRule="auto"/>
            </w:pPr>
            <w:r w:rsidRPr="00940144">
              <w:t>35%</w:t>
            </w:r>
          </w:p>
        </w:tc>
        <w:tc>
          <w:tcPr>
            <w:tcW w:w="473" w:type="pct"/>
            <w:vAlign w:val="center"/>
          </w:tcPr>
          <w:p w14:paraId="4A77FC32" w14:textId="77777777" w:rsidR="00940144" w:rsidRPr="00940144" w:rsidRDefault="00940144" w:rsidP="00940144">
            <w:pPr>
              <w:pStyle w:val="Tabletext"/>
              <w:spacing w:line="240" w:lineRule="auto"/>
            </w:pPr>
            <w:r w:rsidRPr="00940144">
              <w:t>36%</w:t>
            </w:r>
          </w:p>
        </w:tc>
        <w:tc>
          <w:tcPr>
            <w:tcW w:w="474" w:type="pct"/>
            <w:vAlign w:val="center"/>
          </w:tcPr>
          <w:p w14:paraId="7812EAAB" w14:textId="77777777" w:rsidR="00940144" w:rsidRPr="00940144" w:rsidRDefault="00940144" w:rsidP="00940144">
            <w:pPr>
              <w:pStyle w:val="Tabletext"/>
              <w:spacing w:line="240" w:lineRule="auto"/>
            </w:pPr>
            <w:r w:rsidRPr="00940144">
              <w:t>–</w:t>
            </w:r>
          </w:p>
        </w:tc>
        <w:tc>
          <w:tcPr>
            <w:tcW w:w="473" w:type="pct"/>
            <w:vAlign w:val="center"/>
          </w:tcPr>
          <w:p w14:paraId="08C1A087" w14:textId="77777777" w:rsidR="00940144" w:rsidRPr="00940144" w:rsidRDefault="00940144" w:rsidP="00940144">
            <w:pPr>
              <w:pStyle w:val="Tabletext"/>
              <w:spacing w:line="240" w:lineRule="auto"/>
            </w:pPr>
            <w:r w:rsidRPr="00940144">
              <w:t>12%</w:t>
            </w:r>
          </w:p>
        </w:tc>
        <w:tc>
          <w:tcPr>
            <w:tcW w:w="473" w:type="pct"/>
            <w:vAlign w:val="center"/>
          </w:tcPr>
          <w:p w14:paraId="07381F02" w14:textId="77777777" w:rsidR="00940144" w:rsidRPr="00940144" w:rsidRDefault="00940144" w:rsidP="00940144">
            <w:pPr>
              <w:pStyle w:val="Tabletext"/>
              <w:spacing w:line="240" w:lineRule="auto"/>
            </w:pPr>
            <w:r w:rsidRPr="00940144">
              <w:t>12%</w:t>
            </w:r>
          </w:p>
        </w:tc>
      </w:tr>
      <w:tr w:rsidR="00940144" w:rsidRPr="00940144" w14:paraId="7144CBCF" w14:textId="77777777" w:rsidTr="00940144">
        <w:trPr>
          <w:trHeight w:val="60"/>
        </w:trPr>
        <w:tc>
          <w:tcPr>
            <w:tcW w:w="740" w:type="pct"/>
          </w:tcPr>
          <w:p w14:paraId="164E2440" w14:textId="77777777" w:rsidR="00940144" w:rsidRPr="00940144" w:rsidRDefault="00940144" w:rsidP="00940144">
            <w:pPr>
              <w:pStyle w:val="Tabletext"/>
              <w:spacing w:line="276" w:lineRule="auto"/>
            </w:pPr>
            <w:r w:rsidRPr="00940144">
              <w:t>Paper and cardboard</w:t>
            </w:r>
          </w:p>
        </w:tc>
        <w:tc>
          <w:tcPr>
            <w:tcW w:w="473" w:type="pct"/>
            <w:vAlign w:val="center"/>
          </w:tcPr>
          <w:p w14:paraId="4ED158CE" w14:textId="77777777" w:rsidR="00940144" w:rsidRPr="00940144" w:rsidRDefault="00940144" w:rsidP="00940144">
            <w:pPr>
              <w:pStyle w:val="Tabletext"/>
              <w:spacing w:line="240" w:lineRule="auto"/>
            </w:pPr>
            <w:r w:rsidRPr="00940144">
              <w:t>45%</w:t>
            </w:r>
          </w:p>
        </w:tc>
        <w:tc>
          <w:tcPr>
            <w:tcW w:w="473" w:type="pct"/>
            <w:vAlign w:val="center"/>
          </w:tcPr>
          <w:p w14:paraId="5048C175" w14:textId="77777777" w:rsidR="00940144" w:rsidRPr="00940144" w:rsidRDefault="00940144" w:rsidP="00940144">
            <w:pPr>
              <w:pStyle w:val="Tabletext"/>
              <w:spacing w:line="240" w:lineRule="auto"/>
            </w:pPr>
            <w:r w:rsidRPr="00940144">
              <w:t>53%</w:t>
            </w:r>
          </w:p>
        </w:tc>
        <w:tc>
          <w:tcPr>
            <w:tcW w:w="474" w:type="pct"/>
            <w:vAlign w:val="center"/>
          </w:tcPr>
          <w:p w14:paraId="1232918E" w14:textId="77777777" w:rsidR="00940144" w:rsidRPr="00940144" w:rsidRDefault="00940144" w:rsidP="00940144">
            <w:pPr>
              <w:pStyle w:val="Tabletext"/>
              <w:spacing w:line="240" w:lineRule="auto"/>
            </w:pPr>
            <w:r w:rsidRPr="00940144">
              <w:t>52%</w:t>
            </w:r>
          </w:p>
        </w:tc>
        <w:tc>
          <w:tcPr>
            <w:tcW w:w="473" w:type="pct"/>
            <w:vAlign w:val="center"/>
          </w:tcPr>
          <w:p w14:paraId="3906A537" w14:textId="77777777" w:rsidR="00940144" w:rsidRPr="00940144" w:rsidRDefault="00940144" w:rsidP="00940144">
            <w:pPr>
              <w:pStyle w:val="Tabletext"/>
              <w:spacing w:line="240" w:lineRule="auto"/>
            </w:pPr>
            <w:r w:rsidRPr="00940144">
              <w:t>63%</w:t>
            </w:r>
          </w:p>
        </w:tc>
        <w:tc>
          <w:tcPr>
            <w:tcW w:w="474" w:type="pct"/>
            <w:vAlign w:val="center"/>
          </w:tcPr>
          <w:p w14:paraId="4EFD0466" w14:textId="77777777" w:rsidR="00940144" w:rsidRPr="00940144" w:rsidRDefault="00940144" w:rsidP="00940144">
            <w:pPr>
              <w:pStyle w:val="Tabletext"/>
              <w:spacing w:line="240" w:lineRule="auto"/>
            </w:pPr>
            <w:r w:rsidRPr="00940144">
              <w:t>64%</w:t>
            </w:r>
          </w:p>
        </w:tc>
        <w:tc>
          <w:tcPr>
            <w:tcW w:w="473" w:type="pct"/>
            <w:vAlign w:val="center"/>
          </w:tcPr>
          <w:p w14:paraId="5B9E9997" w14:textId="77777777" w:rsidR="00940144" w:rsidRPr="00940144" w:rsidRDefault="00940144" w:rsidP="00940144">
            <w:pPr>
              <w:pStyle w:val="Tabletext"/>
              <w:spacing w:line="240" w:lineRule="auto"/>
            </w:pPr>
            <w:r w:rsidRPr="00940144">
              <w:t>64%</w:t>
            </w:r>
          </w:p>
        </w:tc>
        <w:tc>
          <w:tcPr>
            <w:tcW w:w="474" w:type="pct"/>
            <w:vAlign w:val="center"/>
          </w:tcPr>
          <w:p w14:paraId="6E771C34" w14:textId="77777777" w:rsidR="00940144" w:rsidRPr="00940144" w:rsidRDefault="00940144" w:rsidP="00940144">
            <w:pPr>
              <w:pStyle w:val="Tabletext"/>
              <w:spacing w:line="240" w:lineRule="auto"/>
            </w:pPr>
            <w:r w:rsidRPr="00940144">
              <w:t>56%</w:t>
            </w:r>
          </w:p>
        </w:tc>
        <w:tc>
          <w:tcPr>
            <w:tcW w:w="473" w:type="pct"/>
            <w:vAlign w:val="center"/>
          </w:tcPr>
          <w:p w14:paraId="6A81FBBC" w14:textId="77777777" w:rsidR="00940144" w:rsidRPr="00940144" w:rsidRDefault="00940144" w:rsidP="00940144">
            <w:pPr>
              <w:pStyle w:val="Tabletext"/>
              <w:spacing w:line="240" w:lineRule="auto"/>
            </w:pPr>
            <w:r w:rsidRPr="00940144">
              <w:t>–</w:t>
            </w:r>
          </w:p>
        </w:tc>
        <w:tc>
          <w:tcPr>
            <w:tcW w:w="473" w:type="pct"/>
            <w:vAlign w:val="center"/>
          </w:tcPr>
          <w:p w14:paraId="17A35D73" w14:textId="77777777" w:rsidR="00940144" w:rsidRPr="00940144" w:rsidRDefault="00940144" w:rsidP="00940144">
            <w:pPr>
              <w:pStyle w:val="Tabletext"/>
              <w:spacing w:line="240" w:lineRule="auto"/>
            </w:pPr>
            <w:r w:rsidRPr="00940144">
              <w:t>–</w:t>
            </w:r>
          </w:p>
        </w:tc>
      </w:tr>
      <w:tr w:rsidR="00940144" w:rsidRPr="00940144" w14:paraId="6C844E1A" w14:textId="77777777" w:rsidTr="00940144">
        <w:trPr>
          <w:trHeight w:val="567"/>
        </w:trPr>
        <w:tc>
          <w:tcPr>
            <w:tcW w:w="740" w:type="pct"/>
            <w:vAlign w:val="center"/>
          </w:tcPr>
          <w:p w14:paraId="774BA587" w14:textId="77777777" w:rsidR="00940144" w:rsidRPr="00940144" w:rsidRDefault="00940144" w:rsidP="00940144">
            <w:pPr>
              <w:pStyle w:val="Tabletext"/>
              <w:spacing w:line="276" w:lineRule="auto"/>
            </w:pPr>
            <w:r w:rsidRPr="00940144">
              <w:t>Plastic</w:t>
            </w:r>
          </w:p>
        </w:tc>
        <w:tc>
          <w:tcPr>
            <w:tcW w:w="473" w:type="pct"/>
            <w:vAlign w:val="center"/>
          </w:tcPr>
          <w:p w14:paraId="2C1A2A73" w14:textId="77777777" w:rsidR="00940144" w:rsidRPr="00940144" w:rsidRDefault="00940144" w:rsidP="00940144">
            <w:pPr>
              <w:pStyle w:val="Tabletext"/>
              <w:spacing w:line="240" w:lineRule="auto"/>
            </w:pPr>
            <w:r w:rsidRPr="00940144">
              <w:t>21%</w:t>
            </w:r>
          </w:p>
        </w:tc>
        <w:tc>
          <w:tcPr>
            <w:tcW w:w="473" w:type="pct"/>
            <w:vAlign w:val="center"/>
          </w:tcPr>
          <w:p w14:paraId="02DB41BE" w14:textId="77777777" w:rsidR="00940144" w:rsidRPr="00940144" w:rsidRDefault="00940144" w:rsidP="00940144">
            <w:pPr>
              <w:pStyle w:val="Tabletext"/>
              <w:spacing w:line="240" w:lineRule="auto"/>
            </w:pPr>
            <w:r w:rsidRPr="00940144">
              <w:t>24%</w:t>
            </w:r>
          </w:p>
        </w:tc>
        <w:tc>
          <w:tcPr>
            <w:tcW w:w="474" w:type="pct"/>
            <w:vAlign w:val="center"/>
          </w:tcPr>
          <w:p w14:paraId="3075BFD6" w14:textId="77777777" w:rsidR="00940144" w:rsidRPr="00940144" w:rsidRDefault="00940144" w:rsidP="00940144">
            <w:pPr>
              <w:pStyle w:val="Tabletext"/>
              <w:spacing w:line="240" w:lineRule="auto"/>
            </w:pPr>
            <w:r w:rsidRPr="00940144">
              <w:t>31%</w:t>
            </w:r>
          </w:p>
        </w:tc>
        <w:tc>
          <w:tcPr>
            <w:tcW w:w="473" w:type="pct"/>
            <w:vAlign w:val="center"/>
          </w:tcPr>
          <w:p w14:paraId="304D35DC" w14:textId="77777777" w:rsidR="00940144" w:rsidRPr="00940144" w:rsidRDefault="00940144" w:rsidP="00940144">
            <w:pPr>
              <w:pStyle w:val="Tabletext"/>
              <w:spacing w:line="240" w:lineRule="auto"/>
            </w:pPr>
            <w:r w:rsidRPr="00940144">
              <w:t>15%</w:t>
            </w:r>
          </w:p>
        </w:tc>
        <w:tc>
          <w:tcPr>
            <w:tcW w:w="474" w:type="pct"/>
            <w:vAlign w:val="center"/>
          </w:tcPr>
          <w:p w14:paraId="1D17FD7C" w14:textId="77777777" w:rsidR="00940144" w:rsidRPr="00940144" w:rsidRDefault="00940144" w:rsidP="00940144">
            <w:pPr>
              <w:pStyle w:val="Tabletext"/>
              <w:spacing w:line="240" w:lineRule="auto"/>
            </w:pPr>
            <w:r w:rsidRPr="00940144">
              <w:t>23%</w:t>
            </w:r>
          </w:p>
        </w:tc>
        <w:tc>
          <w:tcPr>
            <w:tcW w:w="473" w:type="pct"/>
            <w:vAlign w:val="center"/>
          </w:tcPr>
          <w:p w14:paraId="3C64393E" w14:textId="77777777" w:rsidR="00940144" w:rsidRPr="00940144" w:rsidRDefault="00940144" w:rsidP="00940144">
            <w:pPr>
              <w:pStyle w:val="Tabletext"/>
              <w:spacing w:line="240" w:lineRule="auto"/>
            </w:pPr>
            <w:r w:rsidRPr="00940144">
              <w:t>12%</w:t>
            </w:r>
          </w:p>
        </w:tc>
        <w:tc>
          <w:tcPr>
            <w:tcW w:w="474" w:type="pct"/>
            <w:vAlign w:val="center"/>
          </w:tcPr>
          <w:p w14:paraId="6BF4C607" w14:textId="77777777" w:rsidR="00940144" w:rsidRPr="00940144" w:rsidRDefault="00940144" w:rsidP="00940144">
            <w:pPr>
              <w:pStyle w:val="Tabletext"/>
              <w:spacing w:line="240" w:lineRule="auto"/>
            </w:pPr>
            <w:r w:rsidRPr="00940144">
              <w:t>14%</w:t>
            </w:r>
          </w:p>
        </w:tc>
        <w:tc>
          <w:tcPr>
            <w:tcW w:w="473" w:type="pct"/>
            <w:vAlign w:val="center"/>
          </w:tcPr>
          <w:p w14:paraId="285DF7D3" w14:textId="77777777" w:rsidR="00940144" w:rsidRPr="00940144" w:rsidRDefault="00940144" w:rsidP="00940144">
            <w:pPr>
              <w:pStyle w:val="Tabletext"/>
              <w:spacing w:line="240" w:lineRule="auto"/>
            </w:pPr>
            <w:r w:rsidRPr="00940144">
              <w:t>13%</w:t>
            </w:r>
          </w:p>
        </w:tc>
        <w:tc>
          <w:tcPr>
            <w:tcW w:w="473" w:type="pct"/>
            <w:vAlign w:val="center"/>
          </w:tcPr>
          <w:p w14:paraId="37F9281A" w14:textId="77777777" w:rsidR="00940144" w:rsidRPr="00940144" w:rsidRDefault="00940144" w:rsidP="00940144">
            <w:pPr>
              <w:pStyle w:val="Tabletext"/>
              <w:spacing w:line="240" w:lineRule="auto"/>
            </w:pPr>
            <w:r w:rsidRPr="00940144">
              <w:t>16%</w:t>
            </w:r>
          </w:p>
        </w:tc>
      </w:tr>
      <w:tr w:rsidR="00940144" w:rsidRPr="00940144" w14:paraId="22B1EB35" w14:textId="77777777" w:rsidTr="00940144">
        <w:trPr>
          <w:trHeight w:val="60"/>
        </w:trPr>
        <w:tc>
          <w:tcPr>
            <w:tcW w:w="740" w:type="pct"/>
          </w:tcPr>
          <w:p w14:paraId="2AB5216D" w14:textId="77777777" w:rsidR="00940144" w:rsidRPr="00940144" w:rsidRDefault="00940144" w:rsidP="00940144">
            <w:pPr>
              <w:pStyle w:val="Tabletext"/>
              <w:spacing w:line="276" w:lineRule="auto"/>
            </w:pPr>
            <w:r w:rsidRPr="00940144">
              <w:t>Tyres and rubber</w:t>
            </w:r>
          </w:p>
        </w:tc>
        <w:tc>
          <w:tcPr>
            <w:tcW w:w="473" w:type="pct"/>
            <w:vAlign w:val="center"/>
          </w:tcPr>
          <w:p w14:paraId="01D00E52" w14:textId="77777777" w:rsidR="00940144" w:rsidRPr="00940144" w:rsidRDefault="00940144" w:rsidP="00940144">
            <w:pPr>
              <w:pStyle w:val="Tabletext"/>
              <w:spacing w:line="240" w:lineRule="auto"/>
            </w:pPr>
            <w:r w:rsidRPr="00940144">
              <w:t>57%</w:t>
            </w:r>
          </w:p>
        </w:tc>
        <w:tc>
          <w:tcPr>
            <w:tcW w:w="473" w:type="pct"/>
            <w:vAlign w:val="center"/>
          </w:tcPr>
          <w:p w14:paraId="25C20A5A" w14:textId="77777777" w:rsidR="00940144" w:rsidRPr="00940144" w:rsidRDefault="00940144" w:rsidP="00940144">
            <w:pPr>
              <w:pStyle w:val="Tabletext"/>
              <w:spacing w:line="240" w:lineRule="auto"/>
            </w:pPr>
            <w:r w:rsidRPr="00940144">
              <w:t>61%</w:t>
            </w:r>
          </w:p>
        </w:tc>
        <w:tc>
          <w:tcPr>
            <w:tcW w:w="474" w:type="pct"/>
            <w:vAlign w:val="center"/>
          </w:tcPr>
          <w:p w14:paraId="2013D8C5" w14:textId="77777777" w:rsidR="00940144" w:rsidRPr="00940144" w:rsidRDefault="00940144" w:rsidP="00940144">
            <w:pPr>
              <w:pStyle w:val="Tabletext"/>
              <w:spacing w:line="240" w:lineRule="auto"/>
            </w:pPr>
            <w:r w:rsidRPr="00940144">
              <w:t>53%</w:t>
            </w:r>
          </w:p>
        </w:tc>
        <w:tc>
          <w:tcPr>
            <w:tcW w:w="473" w:type="pct"/>
            <w:vAlign w:val="center"/>
          </w:tcPr>
          <w:p w14:paraId="346FBF48" w14:textId="77777777" w:rsidR="00940144" w:rsidRPr="00940144" w:rsidRDefault="00940144" w:rsidP="00940144">
            <w:pPr>
              <w:pStyle w:val="Tabletext"/>
              <w:spacing w:line="240" w:lineRule="auto"/>
            </w:pPr>
            <w:r w:rsidRPr="00940144">
              <w:t>88%</w:t>
            </w:r>
          </w:p>
        </w:tc>
        <w:tc>
          <w:tcPr>
            <w:tcW w:w="474" w:type="pct"/>
            <w:vAlign w:val="center"/>
          </w:tcPr>
          <w:p w14:paraId="3E09EC19" w14:textId="77777777" w:rsidR="00940144" w:rsidRPr="00940144" w:rsidRDefault="00940144" w:rsidP="00940144">
            <w:pPr>
              <w:pStyle w:val="Tabletext"/>
              <w:spacing w:line="240" w:lineRule="auto"/>
            </w:pPr>
            <w:r w:rsidRPr="00940144">
              <w:t>79%</w:t>
            </w:r>
          </w:p>
        </w:tc>
        <w:tc>
          <w:tcPr>
            <w:tcW w:w="473" w:type="pct"/>
            <w:vAlign w:val="center"/>
          </w:tcPr>
          <w:p w14:paraId="1DB344BD" w14:textId="77777777" w:rsidR="00940144" w:rsidRPr="00940144" w:rsidRDefault="00940144" w:rsidP="00940144">
            <w:pPr>
              <w:pStyle w:val="Tabletext"/>
              <w:spacing w:line="240" w:lineRule="auto"/>
            </w:pPr>
            <w:r w:rsidRPr="00940144">
              <w:t>77%</w:t>
            </w:r>
          </w:p>
        </w:tc>
        <w:tc>
          <w:tcPr>
            <w:tcW w:w="474" w:type="pct"/>
            <w:vAlign w:val="center"/>
          </w:tcPr>
          <w:p w14:paraId="0160CF58" w14:textId="77777777" w:rsidR="00940144" w:rsidRPr="00940144" w:rsidRDefault="00940144" w:rsidP="00940144">
            <w:pPr>
              <w:pStyle w:val="Tabletext"/>
              <w:spacing w:line="240" w:lineRule="auto"/>
            </w:pPr>
            <w:r w:rsidRPr="00940144">
              <w:t>–</w:t>
            </w:r>
          </w:p>
        </w:tc>
        <w:tc>
          <w:tcPr>
            <w:tcW w:w="473" w:type="pct"/>
            <w:vAlign w:val="center"/>
          </w:tcPr>
          <w:p w14:paraId="79FF1DC9" w14:textId="77777777" w:rsidR="00940144" w:rsidRPr="00940144" w:rsidRDefault="00940144" w:rsidP="00940144">
            <w:pPr>
              <w:pStyle w:val="Tabletext"/>
              <w:spacing w:line="240" w:lineRule="auto"/>
            </w:pPr>
            <w:r w:rsidRPr="00940144">
              <w:t>–</w:t>
            </w:r>
          </w:p>
        </w:tc>
        <w:tc>
          <w:tcPr>
            <w:tcW w:w="473" w:type="pct"/>
            <w:vAlign w:val="center"/>
          </w:tcPr>
          <w:p w14:paraId="4B26986A" w14:textId="77777777" w:rsidR="00940144" w:rsidRPr="00940144" w:rsidRDefault="00940144" w:rsidP="00940144">
            <w:pPr>
              <w:pStyle w:val="Tabletext"/>
              <w:spacing w:line="240" w:lineRule="auto"/>
            </w:pPr>
            <w:r w:rsidRPr="00940144">
              <w:t>–</w:t>
            </w:r>
          </w:p>
        </w:tc>
      </w:tr>
      <w:tr w:rsidR="00940144" w:rsidRPr="00940144" w14:paraId="335AEE82" w14:textId="77777777" w:rsidTr="00940144">
        <w:trPr>
          <w:trHeight w:val="567"/>
        </w:trPr>
        <w:tc>
          <w:tcPr>
            <w:tcW w:w="740" w:type="pct"/>
            <w:vAlign w:val="center"/>
          </w:tcPr>
          <w:p w14:paraId="1E991BC9" w14:textId="77777777" w:rsidR="00940144" w:rsidRPr="00940144" w:rsidRDefault="00940144" w:rsidP="00940144">
            <w:pPr>
              <w:pStyle w:val="Tabletext"/>
              <w:spacing w:line="276" w:lineRule="auto"/>
            </w:pPr>
            <w:r w:rsidRPr="00940144">
              <w:t>Textiles</w:t>
            </w:r>
          </w:p>
        </w:tc>
        <w:tc>
          <w:tcPr>
            <w:tcW w:w="473" w:type="pct"/>
            <w:vAlign w:val="center"/>
          </w:tcPr>
          <w:p w14:paraId="72CBA517" w14:textId="77777777" w:rsidR="00940144" w:rsidRPr="00940144" w:rsidRDefault="00940144" w:rsidP="00940144">
            <w:pPr>
              <w:pStyle w:val="Tabletext"/>
              <w:spacing w:line="240" w:lineRule="auto"/>
            </w:pPr>
            <w:r w:rsidRPr="00940144">
              <w:t>37%</w:t>
            </w:r>
          </w:p>
        </w:tc>
        <w:tc>
          <w:tcPr>
            <w:tcW w:w="473" w:type="pct"/>
            <w:vAlign w:val="center"/>
          </w:tcPr>
          <w:p w14:paraId="0989509B" w14:textId="77777777" w:rsidR="00940144" w:rsidRPr="00940144" w:rsidRDefault="00940144" w:rsidP="00940144">
            <w:pPr>
              <w:pStyle w:val="Tabletext"/>
              <w:spacing w:line="240" w:lineRule="auto"/>
            </w:pPr>
            <w:r w:rsidRPr="00940144">
              <w:t>42%</w:t>
            </w:r>
          </w:p>
        </w:tc>
        <w:tc>
          <w:tcPr>
            <w:tcW w:w="474" w:type="pct"/>
            <w:vAlign w:val="center"/>
          </w:tcPr>
          <w:p w14:paraId="73E5F756" w14:textId="77777777" w:rsidR="00940144" w:rsidRPr="00940144" w:rsidRDefault="00940144" w:rsidP="00940144">
            <w:pPr>
              <w:pStyle w:val="Tabletext"/>
              <w:spacing w:line="240" w:lineRule="auto"/>
            </w:pPr>
            <w:r w:rsidRPr="00940144">
              <w:t>44%</w:t>
            </w:r>
          </w:p>
        </w:tc>
        <w:tc>
          <w:tcPr>
            <w:tcW w:w="473" w:type="pct"/>
            <w:vAlign w:val="center"/>
          </w:tcPr>
          <w:p w14:paraId="584EA4D0" w14:textId="77777777" w:rsidR="00940144" w:rsidRPr="00940144" w:rsidRDefault="00940144" w:rsidP="00940144">
            <w:pPr>
              <w:pStyle w:val="Tabletext"/>
              <w:spacing w:line="240" w:lineRule="auto"/>
            </w:pPr>
            <w:r w:rsidRPr="00940144">
              <w:t>11%</w:t>
            </w:r>
          </w:p>
        </w:tc>
        <w:tc>
          <w:tcPr>
            <w:tcW w:w="474" w:type="pct"/>
            <w:vAlign w:val="center"/>
          </w:tcPr>
          <w:p w14:paraId="5C15A218" w14:textId="77777777" w:rsidR="00940144" w:rsidRPr="00940144" w:rsidRDefault="00940144" w:rsidP="00940144">
            <w:pPr>
              <w:pStyle w:val="Tabletext"/>
              <w:spacing w:line="240" w:lineRule="auto"/>
            </w:pPr>
            <w:r w:rsidRPr="00940144">
              <w:t>–</w:t>
            </w:r>
          </w:p>
        </w:tc>
        <w:tc>
          <w:tcPr>
            <w:tcW w:w="473" w:type="pct"/>
            <w:vAlign w:val="center"/>
          </w:tcPr>
          <w:p w14:paraId="44F84717" w14:textId="77777777" w:rsidR="00940144" w:rsidRPr="00940144" w:rsidRDefault="00940144" w:rsidP="00940144">
            <w:pPr>
              <w:pStyle w:val="Tabletext"/>
              <w:spacing w:line="240" w:lineRule="auto"/>
            </w:pPr>
            <w:r w:rsidRPr="00940144">
              <w:t>1%</w:t>
            </w:r>
          </w:p>
        </w:tc>
        <w:tc>
          <w:tcPr>
            <w:tcW w:w="474" w:type="pct"/>
            <w:vAlign w:val="center"/>
          </w:tcPr>
          <w:p w14:paraId="03CC0511" w14:textId="77777777" w:rsidR="00940144" w:rsidRPr="00940144" w:rsidRDefault="00940144" w:rsidP="00940144">
            <w:pPr>
              <w:pStyle w:val="Tabletext"/>
              <w:spacing w:line="240" w:lineRule="auto"/>
            </w:pPr>
            <w:r w:rsidRPr="00940144">
              <w:t>–</w:t>
            </w:r>
          </w:p>
        </w:tc>
        <w:tc>
          <w:tcPr>
            <w:tcW w:w="473" w:type="pct"/>
            <w:vAlign w:val="center"/>
          </w:tcPr>
          <w:p w14:paraId="44EB0A22" w14:textId="77777777" w:rsidR="00940144" w:rsidRPr="00940144" w:rsidRDefault="00940144" w:rsidP="00940144">
            <w:pPr>
              <w:pStyle w:val="Tabletext"/>
              <w:spacing w:line="240" w:lineRule="auto"/>
            </w:pPr>
            <w:r w:rsidRPr="00940144">
              <w:t>–</w:t>
            </w:r>
          </w:p>
        </w:tc>
        <w:tc>
          <w:tcPr>
            <w:tcW w:w="473" w:type="pct"/>
            <w:vAlign w:val="center"/>
          </w:tcPr>
          <w:p w14:paraId="07F09398" w14:textId="77777777" w:rsidR="00940144" w:rsidRPr="00940144" w:rsidRDefault="00940144" w:rsidP="00940144">
            <w:pPr>
              <w:pStyle w:val="Tabletext"/>
              <w:spacing w:line="240" w:lineRule="auto"/>
            </w:pPr>
            <w:r w:rsidRPr="00940144">
              <w:t>–</w:t>
            </w:r>
          </w:p>
        </w:tc>
      </w:tr>
      <w:tr w:rsidR="00940144" w:rsidRPr="00940144" w14:paraId="5E069954" w14:textId="77777777" w:rsidTr="00940144">
        <w:trPr>
          <w:trHeight w:val="567"/>
        </w:trPr>
        <w:tc>
          <w:tcPr>
            <w:tcW w:w="740" w:type="pct"/>
            <w:shd w:val="clear" w:color="auto" w:fill="F2F2F2" w:themeFill="background1" w:themeFillShade="F2"/>
            <w:vAlign w:val="center"/>
          </w:tcPr>
          <w:p w14:paraId="427CC539" w14:textId="77777777" w:rsidR="00940144" w:rsidRPr="00940144" w:rsidRDefault="00940144" w:rsidP="00940144">
            <w:pPr>
              <w:pStyle w:val="Tabletext"/>
              <w:spacing w:line="276" w:lineRule="auto"/>
              <w:rPr>
                <w:b/>
                <w:bCs/>
              </w:rPr>
            </w:pPr>
            <w:r w:rsidRPr="00940144">
              <w:rPr>
                <w:b/>
                <w:bCs/>
              </w:rPr>
              <w:t>Total</w:t>
            </w:r>
          </w:p>
        </w:tc>
        <w:tc>
          <w:tcPr>
            <w:tcW w:w="473" w:type="pct"/>
            <w:shd w:val="clear" w:color="auto" w:fill="F2F2F2" w:themeFill="background1" w:themeFillShade="F2"/>
            <w:vAlign w:val="center"/>
          </w:tcPr>
          <w:p w14:paraId="47A6E6EF" w14:textId="77777777" w:rsidR="00940144" w:rsidRPr="00940144" w:rsidRDefault="00940144" w:rsidP="00940144">
            <w:pPr>
              <w:pStyle w:val="Tabletext"/>
              <w:spacing w:line="240" w:lineRule="auto"/>
              <w:rPr>
                <w:b/>
                <w:bCs/>
              </w:rPr>
            </w:pPr>
            <w:r w:rsidRPr="00940144">
              <w:rPr>
                <w:b/>
                <w:bCs/>
              </w:rPr>
              <w:t>49%</w:t>
            </w:r>
          </w:p>
        </w:tc>
        <w:tc>
          <w:tcPr>
            <w:tcW w:w="473" w:type="pct"/>
            <w:shd w:val="clear" w:color="auto" w:fill="F2F2F2" w:themeFill="background1" w:themeFillShade="F2"/>
            <w:vAlign w:val="center"/>
          </w:tcPr>
          <w:p w14:paraId="68F646BF" w14:textId="77777777" w:rsidR="00940144" w:rsidRPr="00940144" w:rsidRDefault="00940144" w:rsidP="00940144">
            <w:pPr>
              <w:pStyle w:val="Tabletext"/>
              <w:spacing w:line="240" w:lineRule="auto"/>
              <w:rPr>
                <w:b/>
                <w:bCs/>
              </w:rPr>
            </w:pPr>
            <w:r w:rsidRPr="00940144">
              <w:rPr>
                <w:b/>
                <w:bCs/>
              </w:rPr>
              <w:t>57%</w:t>
            </w:r>
          </w:p>
        </w:tc>
        <w:tc>
          <w:tcPr>
            <w:tcW w:w="474" w:type="pct"/>
            <w:shd w:val="clear" w:color="auto" w:fill="F2F2F2" w:themeFill="background1" w:themeFillShade="F2"/>
            <w:vAlign w:val="center"/>
          </w:tcPr>
          <w:p w14:paraId="4B050B1E" w14:textId="77777777" w:rsidR="00940144" w:rsidRPr="00940144" w:rsidRDefault="00940144" w:rsidP="00940144">
            <w:pPr>
              <w:pStyle w:val="Tabletext"/>
              <w:spacing w:line="240" w:lineRule="auto"/>
              <w:rPr>
                <w:b/>
                <w:bCs/>
              </w:rPr>
            </w:pPr>
            <w:r w:rsidRPr="00940144">
              <w:rPr>
                <w:b/>
                <w:bCs/>
              </w:rPr>
              <w:t>56%</w:t>
            </w:r>
          </w:p>
        </w:tc>
        <w:tc>
          <w:tcPr>
            <w:tcW w:w="473" w:type="pct"/>
            <w:shd w:val="clear" w:color="auto" w:fill="F2F2F2" w:themeFill="background1" w:themeFillShade="F2"/>
            <w:vAlign w:val="center"/>
          </w:tcPr>
          <w:p w14:paraId="1B884FCC" w14:textId="77777777" w:rsidR="00940144" w:rsidRPr="00940144" w:rsidRDefault="00940144" w:rsidP="00940144">
            <w:pPr>
              <w:pStyle w:val="Tabletext"/>
              <w:spacing w:line="240" w:lineRule="auto"/>
              <w:rPr>
                <w:b/>
                <w:bCs/>
              </w:rPr>
            </w:pPr>
            <w:r w:rsidRPr="00940144">
              <w:rPr>
                <w:b/>
                <w:bCs/>
              </w:rPr>
              <w:t>60%</w:t>
            </w:r>
          </w:p>
        </w:tc>
        <w:tc>
          <w:tcPr>
            <w:tcW w:w="474" w:type="pct"/>
            <w:shd w:val="clear" w:color="auto" w:fill="F2F2F2" w:themeFill="background1" w:themeFillShade="F2"/>
            <w:vAlign w:val="center"/>
          </w:tcPr>
          <w:p w14:paraId="576A0D0A" w14:textId="77777777" w:rsidR="00940144" w:rsidRPr="00940144" w:rsidRDefault="00940144" w:rsidP="00940144">
            <w:pPr>
              <w:pStyle w:val="Tabletext"/>
              <w:spacing w:line="240" w:lineRule="auto"/>
              <w:rPr>
                <w:b/>
                <w:bCs/>
              </w:rPr>
            </w:pPr>
            <w:r w:rsidRPr="00940144">
              <w:rPr>
                <w:b/>
                <w:bCs/>
              </w:rPr>
              <w:t>54%</w:t>
            </w:r>
          </w:p>
        </w:tc>
        <w:tc>
          <w:tcPr>
            <w:tcW w:w="473" w:type="pct"/>
            <w:shd w:val="clear" w:color="auto" w:fill="F2F2F2" w:themeFill="background1" w:themeFillShade="F2"/>
            <w:vAlign w:val="center"/>
          </w:tcPr>
          <w:p w14:paraId="1A8320DC" w14:textId="77777777" w:rsidR="00940144" w:rsidRPr="00940144" w:rsidRDefault="00940144" w:rsidP="00940144">
            <w:pPr>
              <w:pStyle w:val="Tabletext"/>
              <w:spacing w:line="240" w:lineRule="auto"/>
              <w:rPr>
                <w:b/>
                <w:bCs/>
              </w:rPr>
            </w:pPr>
            <w:r w:rsidRPr="00940144">
              <w:rPr>
                <w:b/>
                <w:bCs/>
              </w:rPr>
              <w:t>54%</w:t>
            </w:r>
          </w:p>
        </w:tc>
        <w:tc>
          <w:tcPr>
            <w:tcW w:w="474" w:type="pct"/>
            <w:shd w:val="clear" w:color="auto" w:fill="F2F2F2" w:themeFill="background1" w:themeFillShade="F2"/>
            <w:vAlign w:val="center"/>
          </w:tcPr>
          <w:p w14:paraId="339064CD" w14:textId="77777777" w:rsidR="00940144" w:rsidRPr="00940144" w:rsidRDefault="00940144" w:rsidP="00940144">
            <w:pPr>
              <w:pStyle w:val="Tabletext"/>
              <w:spacing w:line="240" w:lineRule="auto"/>
              <w:rPr>
                <w:b/>
                <w:bCs/>
              </w:rPr>
            </w:pPr>
            <w:r w:rsidRPr="00940144">
              <w:rPr>
                <w:b/>
                <w:bCs/>
              </w:rPr>
              <w:t>86%</w:t>
            </w:r>
          </w:p>
        </w:tc>
        <w:tc>
          <w:tcPr>
            <w:tcW w:w="473" w:type="pct"/>
            <w:shd w:val="clear" w:color="auto" w:fill="F2F2F2" w:themeFill="background1" w:themeFillShade="F2"/>
            <w:vAlign w:val="center"/>
          </w:tcPr>
          <w:p w14:paraId="4577CDE3" w14:textId="77777777" w:rsidR="00940144" w:rsidRPr="00940144" w:rsidRDefault="00940144" w:rsidP="00940144">
            <w:pPr>
              <w:pStyle w:val="Tabletext"/>
              <w:spacing w:line="240" w:lineRule="auto"/>
              <w:rPr>
                <w:b/>
                <w:bCs/>
              </w:rPr>
            </w:pPr>
            <w:r w:rsidRPr="00940144">
              <w:rPr>
                <w:b/>
                <w:bCs/>
              </w:rPr>
              <w:t>84%</w:t>
            </w:r>
          </w:p>
        </w:tc>
        <w:tc>
          <w:tcPr>
            <w:tcW w:w="473" w:type="pct"/>
            <w:shd w:val="clear" w:color="auto" w:fill="F2F2F2" w:themeFill="background1" w:themeFillShade="F2"/>
            <w:vAlign w:val="center"/>
          </w:tcPr>
          <w:p w14:paraId="202246E6" w14:textId="77777777" w:rsidR="00940144" w:rsidRPr="00940144" w:rsidRDefault="00940144" w:rsidP="00940144">
            <w:pPr>
              <w:pStyle w:val="Tabletext"/>
              <w:spacing w:line="240" w:lineRule="auto"/>
              <w:rPr>
                <w:b/>
                <w:bCs/>
              </w:rPr>
            </w:pPr>
            <w:r w:rsidRPr="00940144">
              <w:rPr>
                <w:b/>
                <w:bCs/>
              </w:rPr>
              <w:t>84%</w:t>
            </w:r>
          </w:p>
        </w:tc>
      </w:tr>
    </w:tbl>
    <w:p w14:paraId="4D1C0D73" w14:textId="77777777" w:rsidR="00940144" w:rsidRPr="00940144" w:rsidRDefault="00940144" w:rsidP="00940144">
      <w:pPr>
        <w:pStyle w:val="BodyText"/>
        <w:spacing w:before="400"/>
      </w:pPr>
      <w:r w:rsidRPr="00940144">
        <w:rPr>
          <w:b/>
          <w:bCs/>
        </w:rPr>
        <w:t>Note:</w:t>
      </w:r>
      <w:r w:rsidRPr="00940144">
        <w:t xml:space="preserve"> values indicate that no material was reported as recovered for that material in that year. This is likely due to variations in reporting or the material not being present in those recovery streams for the source sector.</w:t>
      </w:r>
    </w:p>
    <w:p w14:paraId="483CDE5A" w14:textId="77777777" w:rsidR="00940144" w:rsidRPr="00940144" w:rsidRDefault="00940144" w:rsidP="00940144">
      <w:pPr>
        <w:pStyle w:val="Heading3"/>
      </w:pPr>
      <w:r w:rsidRPr="00940144">
        <w:t>Residual management</w:t>
      </w:r>
    </w:p>
    <w:p w14:paraId="622AF9E9" w14:textId="77777777" w:rsidR="00940144" w:rsidRPr="00940144" w:rsidRDefault="00940144" w:rsidP="00940144">
      <w:pPr>
        <w:pStyle w:val="BodyText"/>
      </w:pPr>
      <w:r w:rsidRPr="00940144">
        <w:t xml:space="preserve">The C&amp;I sector was the largest contributor to total waste material disposed across the 3 sectors in 2022–23, accounting for just over 40%. MSW was the next highest contributor </w:t>
      </w:r>
      <w:r w:rsidRPr="00940144">
        <w:lastRenderedPageBreak/>
        <w:t>accounting for just over 35% of total disposed material. The C&amp;D sector was the lowest contributor accounting for almost 25% of all waste.</w:t>
      </w:r>
    </w:p>
    <w:p w14:paraId="32B639BA" w14:textId="25C249F8" w:rsidR="00940144" w:rsidRDefault="00940144" w:rsidP="00940144">
      <w:pPr>
        <w:pStyle w:val="BodyText"/>
        <w:rPr>
          <w:lang w:val="en-AU"/>
        </w:rPr>
      </w:pPr>
      <w:r w:rsidRPr="00940144">
        <w:rPr>
          <w:lang w:val="en-AU"/>
        </w:rPr>
        <w:t>In 2022–23, the waste levy and other economic incentives played a crucial role in reducing waste sent to landfill and promoting higher recovery rates. By imposing a fee on landfilling, the waste levy provided a financial disincentive for businesses and individuals to dispose of waste in landfills, encouraging them to explore alternative waste management options such as recycling, reuse or composting. In 2022–23, the amount payable for each tonne of municipal or industrial waste was $110.79 ($/tonne) in the Melbourne metropolitan area. In rural areas it is $62.95($/tonne) for municipal waste and $116.76 for ($/tonne) industrial waste (EPA n.d.).</w:t>
      </w:r>
    </w:p>
    <w:p w14:paraId="7C25C212" w14:textId="7B748D41" w:rsidR="003756A3" w:rsidRDefault="003756A3" w:rsidP="003756A3">
      <w:pPr>
        <w:pStyle w:val="Heading3"/>
      </w:pPr>
      <w:r>
        <w:t xml:space="preserve">Case Study: </w:t>
      </w:r>
      <w:r w:rsidRPr="003756A3">
        <w:t>Waste levy</w:t>
      </w:r>
    </w:p>
    <w:p w14:paraId="2EBE2DD7" w14:textId="77777777" w:rsidR="003756A3" w:rsidRPr="003756A3" w:rsidRDefault="003756A3" w:rsidP="00B13828">
      <w:pPr>
        <w:pStyle w:val="BodyText"/>
      </w:pPr>
      <w:r w:rsidRPr="003756A3">
        <w:t>The Victorian Waste Levy incentivises waste reduction and resource recovery in Victoria’s waste management through the following means:</w:t>
      </w:r>
    </w:p>
    <w:p w14:paraId="4D563351" w14:textId="77777777" w:rsidR="00A34BC4" w:rsidRDefault="003756A3" w:rsidP="00B13828">
      <w:pPr>
        <w:pStyle w:val="BodyText"/>
      </w:pPr>
      <w:r w:rsidRPr="00B13828">
        <w:rPr>
          <w:b/>
          <w:bCs/>
        </w:rPr>
        <w:t>Economic incentives</w:t>
      </w:r>
      <w:r w:rsidRPr="003756A3">
        <w:t xml:space="preserve"> – The waste levy amount has increased over time, from around $2 a tonne in 1992, under $20 a tonne in 2009–10, to $63.28 a tonne in 2017–18 and $129.27 in 2023–24. A further increase in the waste levy to $167.9 from 1 July 2025, announced in the 2024–25 Victorian Budget (EPA n.d.), will bring the levy more in line with neighbouring jurisdictions and increase waste disposal costs, encouraging businesses and consumers to reduce waste and seek recycling or recovery options.</w:t>
      </w:r>
    </w:p>
    <w:p w14:paraId="00747D8A" w14:textId="6C713048" w:rsidR="003756A3" w:rsidRDefault="003756A3" w:rsidP="00B13828">
      <w:pPr>
        <w:pStyle w:val="BodyText"/>
      </w:pPr>
      <w:r w:rsidRPr="00B13828">
        <w:rPr>
          <w:b/>
          <w:bCs/>
        </w:rPr>
        <w:t>Investment in infrastructure</w:t>
      </w:r>
      <w:r w:rsidRPr="003756A3">
        <w:t xml:space="preserve"> – Revenues from the waste levy are used to promote recycling facilities and technology, enhancing recovery capabilities and efficiency. In 2022–23 $53.1M of public and private investment was leveraged to support investment in the waste management and recovery sector.</w:t>
      </w:r>
    </w:p>
    <w:p w14:paraId="13D9E1B0" w14:textId="77777777" w:rsidR="00A34BC4" w:rsidRDefault="00B13828" w:rsidP="00B13828">
      <w:pPr>
        <w:pStyle w:val="BodyText"/>
      </w:pPr>
      <w:r w:rsidRPr="00B13828">
        <w:rPr>
          <w:b/>
          <w:bCs/>
        </w:rPr>
        <w:lastRenderedPageBreak/>
        <w:t>Cost of alternatives</w:t>
      </w:r>
      <w:r w:rsidRPr="00B13828">
        <w:t xml:space="preserve"> – When the cost of waste disposal rises, the relative cost of recycling and recovery processes becomes more commercially attractive, leading to higher recovery rates. This is underpinned with Environment Protection Authority Victoria (EPA) compliance activities to ensure waste is not diverted and dumped illegally, with $44 million allocated in 2024–25.</w:t>
      </w:r>
    </w:p>
    <w:p w14:paraId="3F4B268E" w14:textId="57BCEC47" w:rsidR="00B13828" w:rsidRDefault="00B13828" w:rsidP="00913F9E">
      <w:pPr>
        <w:pStyle w:val="BodyText"/>
      </w:pPr>
      <w:r w:rsidRPr="00B13828">
        <w:rPr>
          <w:b/>
          <w:bCs/>
        </w:rPr>
        <w:t>Awareness and education</w:t>
      </w:r>
      <w:r w:rsidRPr="00B13828">
        <w:t xml:space="preserve"> – Increased waste levies provide a price signal that shifts consumer and business behaviour toward more sustainable and relatively lower cost products with better recyclability. Victoria’s waste levy contributes to the Sustainability Fund which funds activities which promote greater community awareness of recycling. For example, in 2022–23 the $26.6 million Victorian Government Household Education and Behaviour Change Program aligned statewide and local government level communications to educate Victorians to better manage and reduce their household waste.</w:t>
      </w:r>
    </w:p>
    <w:sectPr w:rsidR="00B13828" w:rsidSect="00913F9E">
      <w:pgSz w:w="11906" w:h="16838"/>
      <w:pgMar w:top="1134" w:right="1134" w:bottom="1134" w:left="1134"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03A8" w14:textId="77777777" w:rsidR="007738DE" w:rsidRDefault="007738DE" w:rsidP="00F2730B">
      <w:pPr>
        <w:spacing w:after="0" w:line="240" w:lineRule="auto"/>
      </w:pPr>
      <w:r>
        <w:separator/>
      </w:r>
    </w:p>
  </w:endnote>
  <w:endnote w:type="continuationSeparator" w:id="0">
    <w:p w14:paraId="33D7E088" w14:textId="77777777" w:rsidR="007738DE" w:rsidRDefault="007738D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charset w:val="00"/>
    <w:family w:val="roman"/>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6313514"/>
      <w:docPartObj>
        <w:docPartGallery w:val="Page Numbers (Bottom of Page)"/>
        <w:docPartUnique/>
      </w:docPartObj>
    </w:sdtPr>
    <w:sdtContent>
      <w:p w14:paraId="1EABA5E6" w14:textId="032287BB" w:rsidR="00A56728" w:rsidRDefault="00A56728" w:rsidP="005227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FF3891" w14:textId="58FD2E0C" w:rsidR="00A56728" w:rsidRPr="00A56728" w:rsidRDefault="00A56728" w:rsidP="00A56728">
    <w:pPr>
      <w:pStyle w:val="Footer"/>
      <w:ind w:right="360"/>
    </w:pPr>
    <w:r w:rsidRPr="00A56728">
      <w:rPr>
        <w:lang w:val="en-GB"/>
      </w:rPr>
      <w:t>Circular Economy</w:t>
    </w:r>
    <w:r w:rsidRPr="00A56728">
      <w:t xml:space="preserve"> </w:t>
    </w:r>
    <w:r w:rsidRPr="00A56728">
      <w:rPr>
        <w:lang w:val="en-GB"/>
      </w:rPr>
      <w:t>Market Report</w:t>
    </w:r>
    <w:r w:rsidRPr="00A56728">
      <w:t xml:space="preserve"> </w:t>
    </w:r>
    <w:r w:rsidRPr="00A56728">
      <w:rPr>
        <w:lang w:val="en-GB"/>
      </w:rPr>
      <w:t>2025</w:t>
    </w:r>
  </w:p>
  <w:p w14:paraId="053E8F22"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0571263"/>
      <w:docPartObj>
        <w:docPartGallery w:val="Page Numbers (Bottom of Page)"/>
        <w:docPartUnique/>
      </w:docPartObj>
    </w:sdtPr>
    <w:sdtContent>
      <w:p w14:paraId="0829F240" w14:textId="77777777" w:rsidR="007F772C" w:rsidRDefault="007F772C" w:rsidP="005227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E82B7D" w14:textId="558BC2BD" w:rsidR="007F772C" w:rsidRDefault="007F772C" w:rsidP="00B165A7">
    <w:pPr>
      <w:pStyle w:val="Footer"/>
      <w:ind w:right="360"/>
    </w:pPr>
    <w:r w:rsidRPr="00A56728">
      <w:rPr>
        <w:lang w:val="en-GB"/>
      </w:rPr>
      <w:t>Circular Economy</w:t>
    </w:r>
    <w:r w:rsidRPr="00A56728">
      <w:t xml:space="preserve"> </w:t>
    </w:r>
    <w:r w:rsidRPr="00A56728">
      <w:rPr>
        <w:lang w:val="en-GB"/>
      </w:rPr>
      <w:t>Market Report</w:t>
    </w:r>
    <w:r w:rsidRPr="00A56728">
      <w:t xml:space="preserve"> </w:t>
    </w:r>
    <w:r w:rsidRPr="00A56728">
      <w:rPr>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4731" w14:textId="77777777" w:rsidR="007738DE" w:rsidRDefault="007738DE" w:rsidP="00F2730B">
      <w:pPr>
        <w:spacing w:after="0" w:line="240" w:lineRule="auto"/>
      </w:pPr>
      <w:r>
        <w:separator/>
      </w:r>
    </w:p>
  </w:footnote>
  <w:footnote w:type="continuationSeparator" w:id="0">
    <w:p w14:paraId="6DDFCD09" w14:textId="77777777" w:rsidR="007738DE" w:rsidRDefault="007738DE"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C44C0C"/>
    <w:multiLevelType w:val="hybridMultilevel"/>
    <w:tmpl w:val="6BA07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82461892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1C"/>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4B06"/>
    <w:rsid w:val="00054E22"/>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E82"/>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165C9"/>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36F5"/>
    <w:rsid w:val="0019451B"/>
    <w:rsid w:val="001950EE"/>
    <w:rsid w:val="00196EB3"/>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727"/>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3E09"/>
    <w:rsid w:val="0026417C"/>
    <w:rsid w:val="00265D38"/>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2ED3"/>
    <w:rsid w:val="002C3499"/>
    <w:rsid w:val="002C41F0"/>
    <w:rsid w:val="002C75FC"/>
    <w:rsid w:val="002C7725"/>
    <w:rsid w:val="002D0B3A"/>
    <w:rsid w:val="002D2205"/>
    <w:rsid w:val="002D26FB"/>
    <w:rsid w:val="002D5D38"/>
    <w:rsid w:val="002D70AB"/>
    <w:rsid w:val="002D75AD"/>
    <w:rsid w:val="002E1F5B"/>
    <w:rsid w:val="002E1FA8"/>
    <w:rsid w:val="002E32F3"/>
    <w:rsid w:val="002E34E8"/>
    <w:rsid w:val="002E4FE6"/>
    <w:rsid w:val="002E5F4D"/>
    <w:rsid w:val="002E748D"/>
    <w:rsid w:val="002F0246"/>
    <w:rsid w:val="002F08A3"/>
    <w:rsid w:val="002F0A22"/>
    <w:rsid w:val="002F0DB3"/>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25840"/>
    <w:rsid w:val="00332FE6"/>
    <w:rsid w:val="0033421C"/>
    <w:rsid w:val="003360B7"/>
    <w:rsid w:val="003367D8"/>
    <w:rsid w:val="00336EEE"/>
    <w:rsid w:val="00337320"/>
    <w:rsid w:val="0034155C"/>
    <w:rsid w:val="00341DEB"/>
    <w:rsid w:val="0034488A"/>
    <w:rsid w:val="0034757B"/>
    <w:rsid w:val="0035021D"/>
    <w:rsid w:val="00350920"/>
    <w:rsid w:val="00352F44"/>
    <w:rsid w:val="003560A1"/>
    <w:rsid w:val="003616B0"/>
    <w:rsid w:val="00365074"/>
    <w:rsid w:val="00365844"/>
    <w:rsid w:val="0036602E"/>
    <w:rsid w:val="00367F37"/>
    <w:rsid w:val="003756A3"/>
    <w:rsid w:val="003768BB"/>
    <w:rsid w:val="003815C1"/>
    <w:rsid w:val="0038278D"/>
    <w:rsid w:val="0038291F"/>
    <w:rsid w:val="00384270"/>
    <w:rsid w:val="003842AB"/>
    <w:rsid w:val="003857A1"/>
    <w:rsid w:val="00387EBD"/>
    <w:rsid w:val="003931F4"/>
    <w:rsid w:val="003935DB"/>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6ED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5E5A"/>
    <w:rsid w:val="004163B5"/>
    <w:rsid w:val="00423210"/>
    <w:rsid w:val="004233C0"/>
    <w:rsid w:val="00433E87"/>
    <w:rsid w:val="00434824"/>
    <w:rsid w:val="00434D8A"/>
    <w:rsid w:val="00435C58"/>
    <w:rsid w:val="00435E7D"/>
    <w:rsid w:val="00450334"/>
    <w:rsid w:val="004511D5"/>
    <w:rsid w:val="00451ABC"/>
    <w:rsid w:val="0045217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77B52"/>
    <w:rsid w:val="00480600"/>
    <w:rsid w:val="00482AF4"/>
    <w:rsid w:val="0048341C"/>
    <w:rsid w:val="00484253"/>
    <w:rsid w:val="0048477F"/>
    <w:rsid w:val="004875F9"/>
    <w:rsid w:val="00490B9B"/>
    <w:rsid w:val="00490E07"/>
    <w:rsid w:val="0049105A"/>
    <w:rsid w:val="00492757"/>
    <w:rsid w:val="004976B7"/>
    <w:rsid w:val="00497AAD"/>
    <w:rsid w:val="004A0E5A"/>
    <w:rsid w:val="004A3733"/>
    <w:rsid w:val="004A4826"/>
    <w:rsid w:val="004A68CA"/>
    <w:rsid w:val="004A6FF4"/>
    <w:rsid w:val="004B12B2"/>
    <w:rsid w:val="004B20C4"/>
    <w:rsid w:val="004B30FB"/>
    <w:rsid w:val="004B44F8"/>
    <w:rsid w:val="004B752D"/>
    <w:rsid w:val="004B791C"/>
    <w:rsid w:val="004C32A5"/>
    <w:rsid w:val="004C5429"/>
    <w:rsid w:val="004D2D64"/>
    <w:rsid w:val="004D2E96"/>
    <w:rsid w:val="004D4014"/>
    <w:rsid w:val="004D5F6A"/>
    <w:rsid w:val="004D603C"/>
    <w:rsid w:val="004D7C02"/>
    <w:rsid w:val="004E2D9F"/>
    <w:rsid w:val="004E4CB9"/>
    <w:rsid w:val="004E6D88"/>
    <w:rsid w:val="004F3F5B"/>
    <w:rsid w:val="004F7042"/>
    <w:rsid w:val="004F724A"/>
    <w:rsid w:val="004F77CA"/>
    <w:rsid w:val="00506B0D"/>
    <w:rsid w:val="00510677"/>
    <w:rsid w:val="0051158E"/>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17EF"/>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2E3E"/>
    <w:rsid w:val="00573734"/>
    <w:rsid w:val="005740D5"/>
    <w:rsid w:val="0057561A"/>
    <w:rsid w:val="00576223"/>
    <w:rsid w:val="0057793E"/>
    <w:rsid w:val="00577C9B"/>
    <w:rsid w:val="00582B67"/>
    <w:rsid w:val="00585FD4"/>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1D7"/>
    <w:rsid w:val="005F28AC"/>
    <w:rsid w:val="005F533D"/>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4FDD"/>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85B"/>
    <w:rsid w:val="006A4DC0"/>
    <w:rsid w:val="006A5763"/>
    <w:rsid w:val="006A6D36"/>
    <w:rsid w:val="006B1AFC"/>
    <w:rsid w:val="006B35A1"/>
    <w:rsid w:val="006B4853"/>
    <w:rsid w:val="006B4C87"/>
    <w:rsid w:val="006B6218"/>
    <w:rsid w:val="006C32E8"/>
    <w:rsid w:val="006C66A6"/>
    <w:rsid w:val="006D30B7"/>
    <w:rsid w:val="006D4F10"/>
    <w:rsid w:val="006D5080"/>
    <w:rsid w:val="006D5381"/>
    <w:rsid w:val="006D5699"/>
    <w:rsid w:val="006E133C"/>
    <w:rsid w:val="006E5AC4"/>
    <w:rsid w:val="006E5B70"/>
    <w:rsid w:val="006E7774"/>
    <w:rsid w:val="006E786E"/>
    <w:rsid w:val="006F1B27"/>
    <w:rsid w:val="006F33C5"/>
    <w:rsid w:val="006F6B4C"/>
    <w:rsid w:val="00700646"/>
    <w:rsid w:val="00700BF1"/>
    <w:rsid w:val="007012DF"/>
    <w:rsid w:val="00706908"/>
    <w:rsid w:val="0071440E"/>
    <w:rsid w:val="0071469C"/>
    <w:rsid w:val="00715677"/>
    <w:rsid w:val="00726F73"/>
    <w:rsid w:val="0073035C"/>
    <w:rsid w:val="007314CF"/>
    <w:rsid w:val="0073158C"/>
    <w:rsid w:val="007317D7"/>
    <w:rsid w:val="0073229A"/>
    <w:rsid w:val="007334FF"/>
    <w:rsid w:val="00733E6C"/>
    <w:rsid w:val="00734D86"/>
    <w:rsid w:val="0073650F"/>
    <w:rsid w:val="007366CD"/>
    <w:rsid w:val="007374A8"/>
    <w:rsid w:val="00740461"/>
    <w:rsid w:val="0074162B"/>
    <w:rsid w:val="00741E55"/>
    <w:rsid w:val="00744AA7"/>
    <w:rsid w:val="00746868"/>
    <w:rsid w:val="007505C3"/>
    <w:rsid w:val="00750D1B"/>
    <w:rsid w:val="007520C4"/>
    <w:rsid w:val="00752E0C"/>
    <w:rsid w:val="00753D3B"/>
    <w:rsid w:val="00753ECA"/>
    <w:rsid w:val="007547F5"/>
    <w:rsid w:val="00760099"/>
    <w:rsid w:val="00764EAB"/>
    <w:rsid w:val="00766822"/>
    <w:rsid w:val="00767C6C"/>
    <w:rsid w:val="00772A54"/>
    <w:rsid w:val="007738DE"/>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5CD"/>
    <w:rsid w:val="007C4DAC"/>
    <w:rsid w:val="007C7776"/>
    <w:rsid w:val="007D0878"/>
    <w:rsid w:val="007D3A61"/>
    <w:rsid w:val="007D5225"/>
    <w:rsid w:val="007D58CB"/>
    <w:rsid w:val="007D6D7F"/>
    <w:rsid w:val="007E04F5"/>
    <w:rsid w:val="007E1A10"/>
    <w:rsid w:val="007E1BDA"/>
    <w:rsid w:val="007E217C"/>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72C"/>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3C0A"/>
    <w:rsid w:val="00834303"/>
    <w:rsid w:val="008364D5"/>
    <w:rsid w:val="0083693A"/>
    <w:rsid w:val="00840E7A"/>
    <w:rsid w:val="0084161A"/>
    <w:rsid w:val="0084376B"/>
    <w:rsid w:val="00843A7C"/>
    <w:rsid w:val="008452F6"/>
    <w:rsid w:val="00846AB0"/>
    <w:rsid w:val="008475CB"/>
    <w:rsid w:val="00852A79"/>
    <w:rsid w:val="008562E7"/>
    <w:rsid w:val="008563EE"/>
    <w:rsid w:val="00857C5C"/>
    <w:rsid w:val="008620C1"/>
    <w:rsid w:val="00862D18"/>
    <w:rsid w:val="00863E6B"/>
    <w:rsid w:val="00874D3A"/>
    <w:rsid w:val="008751CA"/>
    <w:rsid w:val="00875B2C"/>
    <w:rsid w:val="008766CE"/>
    <w:rsid w:val="00876D01"/>
    <w:rsid w:val="00876FBF"/>
    <w:rsid w:val="00880B31"/>
    <w:rsid w:val="0088165C"/>
    <w:rsid w:val="00881924"/>
    <w:rsid w:val="00883471"/>
    <w:rsid w:val="00883DBD"/>
    <w:rsid w:val="008847C1"/>
    <w:rsid w:val="00884818"/>
    <w:rsid w:val="00885D83"/>
    <w:rsid w:val="00886D42"/>
    <w:rsid w:val="00892060"/>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E6B21"/>
    <w:rsid w:val="008F06F5"/>
    <w:rsid w:val="008F350A"/>
    <w:rsid w:val="008F6045"/>
    <w:rsid w:val="00900AB0"/>
    <w:rsid w:val="00900F9F"/>
    <w:rsid w:val="009033BD"/>
    <w:rsid w:val="00904039"/>
    <w:rsid w:val="0090795E"/>
    <w:rsid w:val="00910401"/>
    <w:rsid w:val="00911A34"/>
    <w:rsid w:val="00912683"/>
    <w:rsid w:val="00912B69"/>
    <w:rsid w:val="00912DD1"/>
    <w:rsid w:val="00913F9E"/>
    <w:rsid w:val="00915765"/>
    <w:rsid w:val="00920E49"/>
    <w:rsid w:val="0092332B"/>
    <w:rsid w:val="00925BD2"/>
    <w:rsid w:val="00926553"/>
    <w:rsid w:val="00932E1F"/>
    <w:rsid w:val="009337EB"/>
    <w:rsid w:val="00933FE2"/>
    <w:rsid w:val="0093403C"/>
    <w:rsid w:val="00935387"/>
    <w:rsid w:val="00940144"/>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2CE"/>
    <w:rsid w:val="009D13DE"/>
    <w:rsid w:val="009D198D"/>
    <w:rsid w:val="009D1A61"/>
    <w:rsid w:val="009D1E59"/>
    <w:rsid w:val="009D3FEB"/>
    <w:rsid w:val="009D7B95"/>
    <w:rsid w:val="009E0BD1"/>
    <w:rsid w:val="009E2BDB"/>
    <w:rsid w:val="009E417E"/>
    <w:rsid w:val="009E52EF"/>
    <w:rsid w:val="009E5947"/>
    <w:rsid w:val="009E761C"/>
    <w:rsid w:val="009F0E54"/>
    <w:rsid w:val="009F26C0"/>
    <w:rsid w:val="009F308A"/>
    <w:rsid w:val="009F57D1"/>
    <w:rsid w:val="009F5E71"/>
    <w:rsid w:val="009F6E97"/>
    <w:rsid w:val="00A00EF1"/>
    <w:rsid w:val="00A012C7"/>
    <w:rsid w:val="00A03959"/>
    <w:rsid w:val="00A03AD7"/>
    <w:rsid w:val="00A07F91"/>
    <w:rsid w:val="00A107D7"/>
    <w:rsid w:val="00A10D57"/>
    <w:rsid w:val="00A13E2A"/>
    <w:rsid w:val="00A14049"/>
    <w:rsid w:val="00A16B81"/>
    <w:rsid w:val="00A16E58"/>
    <w:rsid w:val="00A2352C"/>
    <w:rsid w:val="00A2445D"/>
    <w:rsid w:val="00A2793A"/>
    <w:rsid w:val="00A30B87"/>
    <w:rsid w:val="00A32194"/>
    <w:rsid w:val="00A32BCC"/>
    <w:rsid w:val="00A34BC4"/>
    <w:rsid w:val="00A36EBA"/>
    <w:rsid w:val="00A3703E"/>
    <w:rsid w:val="00A3713E"/>
    <w:rsid w:val="00A3786E"/>
    <w:rsid w:val="00A42F8A"/>
    <w:rsid w:val="00A4312D"/>
    <w:rsid w:val="00A509D3"/>
    <w:rsid w:val="00A51734"/>
    <w:rsid w:val="00A51AD4"/>
    <w:rsid w:val="00A56728"/>
    <w:rsid w:val="00A56B9D"/>
    <w:rsid w:val="00A57789"/>
    <w:rsid w:val="00A639B8"/>
    <w:rsid w:val="00A6414B"/>
    <w:rsid w:val="00A6633B"/>
    <w:rsid w:val="00A6651F"/>
    <w:rsid w:val="00A66710"/>
    <w:rsid w:val="00A67B1E"/>
    <w:rsid w:val="00A70662"/>
    <w:rsid w:val="00A72005"/>
    <w:rsid w:val="00A73005"/>
    <w:rsid w:val="00A75B0D"/>
    <w:rsid w:val="00A76292"/>
    <w:rsid w:val="00A76DC6"/>
    <w:rsid w:val="00A803C5"/>
    <w:rsid w:val="00A80DB1"/>
    <w:rsid w:val="00A80EB7"/>
    <w:rsid w:val="00A82593"/>
    <w:rsid w:val="00A842C0"/>
    <w:rsid w:val="00A93199"/>
    <w:rsid w:val="00A93914"/>
    <w:rsid w:val="00A96FA1"/>
    <w:rsid w:val="00AA45F8"/>
    <w:rsid w:val="00AB025E"/>
    <w:rsid w:val="00AB048F"/>
    <w:rsid w:val="00AB3701"/>
    <w:rsid w:val="00AB4ACE"/>
    <w:rsid w:val="00AB6104"/>
    <w:rsid w:val="00AB79D2"/>
    <w:rsid w:val="00AB7BD4"/>
    <w:rsid w:val="00AC112E"/>
    <w:rsid w:val="00AC1CA0"/>
    <w:rsid w:val="00AC5543"/>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3E3F"/>
    <w:rsid w:val="00B06E29"/>
    <w:rsid w:val="00B12805"/>
    <w:rsid w:val="00B13121"/>
    <w:rsid w:val="00B13805"/>
    <w:rsid w:val="00B13828"/>
    <w:rsid w:val="00B138F6"/>
    <w:rsid w:val="00B142F1"/>
    <w:rsid w:val="00B14B20"/>
    <w:rsid w:val="00B14FBE"/>
    <w:rsid w:val="00B15205"/>
    <w:rsid w:val="00B165A7"/>
    <w:rsid w:val="00B1742F"/>
    <w:rsid w:val="00B23663"/>
    <w:rsid w:val="00B25450"/>
    <w:rsid w:val="00B314A2"/>
    <w:rsid w:val="00B32B6F"/>
    <w:rsid w:val="00B33E41"/>
    <w:rsid w:val="00B35AD1"/>
    <w:rsid w:val="00B40E55"/>
    <w:rsid w:val="00B42508"/>
    <w:rsid w:val="00B428F3"/>
    <w:rsid w:val="00B437D8"/>
    <w:rsid w:val="00B470DA"/>
    <w:rsid w:val="00B51AC8"/>
    <w:rsid w:val="00B520CF"/>
    <w:rsid w:val="00B52269"/>
    <w:rsid w:val="00B54217"/>
    <w:rsid w:val="00B573B1"/>
    <w:rsid w:val="00B57BDB"/>
    <w:rsid w:val="00B614A3"/>
    <w:rsid w:val="00B64711"/>
    <w:rsid w:val="00B65755"/>
    <w:rsid w:val="00B658CD"/>
    <w:rsid w:val="00B66945"/>
    <w:rsid w:val="00B712B3"/>
    <w:rsid w:val="00B71F5A"/>
    <w:rsid w:val="00B74969"/>
    <w:rsid w:val="00B74A19"/>
    <w:rsid w:val="00B75868"/>
    <w:rsid w:val="00B77E61"/>
    <w:rsid w:val="00B80711"/>
    <w:rsid w:val="00B80DD2"/>
    <w:rsid w:val="00B8315F"/>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18A"/>
    <w:rsid w:val="00BC579A"/>
    <w:rsid w:val="00BC661C"/>
    <w:rsid w:val="00BD0024"/>
    <w:rsid w:val="00BD0533"/>
    <w:rsid w:val="00BD22FE"/>
    <w:rsid w:val="00BD34D3"/>
    <w:rsid w:val="00BD504B"/>
    <w:rsid w:val="00BD5158"/>
    <w:rsid w:val="00BD69CF"/>
    <w:rsid w:val="00BE09DE"/>
    <w:rsid w:val="00BE0B32"/>
    <w:rsid w:val="00BE0BA2"/>
    <w:rsid w:val="00BE1755"/>
    <w:rsid w:val="00BE1D2C"/>
    <w:rsid w:val="00BE3BB8"/>
    <w:rsid w:val="00BE435D"/>
    <w:rsid w:val="00BE71E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57B"/>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49DA"/>
    <w:rsid w:val="00C84AD9"/>
    <w:rsid w:val="00C8500E"/>
    <w:rsid w:val="00C87456"/>
    <w:rsid w:val="00C92318"/>
    <w:rsid w:val="00C92D1B"/>
    <w:rsid w:val="00C9496D"/>
    <w:rsid w:val="00C96D7F"/>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0309"/>
    <w:rsid w:val="00CF1E94"/>
    <w:rsid w:val="00CF2858"/>
    <w:rsid w:val="00CF423E"/>
    <w:rsid w:val="00D00A75"/>
    <w:rsid w:val="00D00FF2"/>
    <w:rsid w:val="00D03821"/>
    <w:rsid w:val="00D073EE"/>
    <w:rsid w:val="00D10094"/>
    <w:rsid w:val="00D10395"/>
    <w:rsid w:val="00D121C3"/>
    <w:rsid w:val="00D12634"/>
    <w:rsid w:val="00D1334E"/>
    <w:rsid w:val="00D1646E"/>
    <w:rsid w:val="00D1720D"/>
    <w:rsid w:val="00D17B1A"/>
    <w:rsid w:val="00D209D5"/>
    <w:rsid w:val="00D20D87"/>
    <w:rsid w:val="00D21602"/>
    <w:rsid w:val="00D2282F"/>
    <w:rsid w:val="00D24556"/>
    <w:rsid w:val="00D250A5"/>
    <w:rsid w:val="00D26A00"/>
    <w:rsid w:val="00D26ED9"/>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D1F"/>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5D2B"/>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1741"/>
    <w:rsid w:val="00E33504"/>
    <w:rsid w:val="00E33DED"/>
    <w:rsid w:val="00E34982"/>
    <w:rsid w:val="00E3623C"/>
    <w:rsid w:val="00E37BF1"/>
    <w:rsid w:val="00E43E76"/>
    <w:rsid w:val="00E44349"/>
    <w:rsid w:val="00E44837"/>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4AEA"/>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C610A"/>
    <w:rsid w:val="00ED1AB9"/>
    <w:rsid w:val="00ED1DE9"/>
    <w:rsid w:val="00ED1FD5"/>
    <w:rsid w:val="00ED4AE2"/>
    <w:rsid w:val="00ED4D4B"/>
    <w:rsid w:val="00ED5E53"/>
    <w:rsid w:val="00ED6853"/>
    <w:rsid w:val="00ED735E"/>
    <w:rsid w:val="00EE5012"/>
    <w:rsid w:val="00EE52CC"/>
    <w:rsid w:val="00EE6E3F"/>
    <w:rsid w:val="00EF11FD"/>
    <w:rsid w:val="00EF5372"/>
    <w:rsid w:val="00EF5936"/>
    <w:rsid w:val="00EF5E0B"/>
    <w:rsid w:val="00EF6285"/>
    <w:rsid w:val="00F017F7"/>
    <w:rsid w:val="00F03033"/>
    <w:rsid w:val="00F03720"/>
    <w:rsid w:val="00F04DA1"/>
    <w:rsid w:val="00F05C50"/>
    <w:rsid w:val="00F11246"/>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090B"/>
    <w:rsid w:val="00F32C3C"/>
    <w:rsid w:val="00F32F35"/>
    <w:rsid w:val="00F33A7A"/>
    <w:rsid w:val="00F33DF2"/>
    <w:rsid w:val="00F3506F"/>
    <w:rsid w:val="00F35C0A"/>
    <w:rsid w:val="00F419FE"/>
    <w:rsid w:val="00F41B13"/>
    <w:rsid w:val="00F46B85"/>
    <w:rsid w:val="00F47930"/>
    <w:rsid w:val="00F47B72"/>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12CA"/>
    <w:rsid w:val="00F93983"/>
    <w:rsid w:val="00F93CBE"/>
    <w:rsid w:val="00F958EF"/>
    <w:rsid w:val="00F96DD0"/>
    <w:rsid w:val="00F97E91"/>
    <w:rsid w:val="00F97ED2"/>
    <w:rsid w:val="00FA1214"/>
    <w:rsid w:val="00FA1F9A"/>
    <w:rsid w:val="00FA4755"/>
    <w:rsid w:val="00FA5FA6"/>
    <w:rsid w:val="00FA5FBC"/>
    <w:rsid w:val="00FA6B25"/>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4FAE"/>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CA2A5"/>
  <w14:defaultImageDpi w14:val="0"/>
  <w15:docId w15:val="{0B44B9FC-534B-CB44-B83D-1E183E38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38"/>
    <w:pPr>
      <w:suppressAutoHyphens/>
      <w:spacing w:after="200"/>
    </w:pPr>
    <w:rPr>
      <w:sz w:val="24"/>
    </w:rPr>
  </w:style>
  <w:style w:type="paragraph" w:styleId="Heading1">
    <w:name w:val="heading 1"/>
    <w:basedOn w:val="Normal"/>
    <w:next w:val="Normal"/>
    <w:link w:val="Heading1Char"/>
    <w:uiPriority w:val="9"/>
    <w:qFormat/>
    <w:rsid w:val="00D1646E"/>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6A6D3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7314CF"/>
    <w:pPr>
      <w:keepNext/>
      <w:keepLines/>
      <w:spacing w:after="240" w:line="48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4A3733"/>
    <w:pPr>
      <w:keepNext/>
      <w:spacing w:after="0" w:line="480" w:lineRule="auto"/>
    </w:pPr>
  </w:style>
  <w:style w:type="character" w:customStyle="1" w:styleId="Heading1Char">
    <w:name w:val="Heading 1 Char"/>
    <w:basedOn w:val="DefaultParagraphFont"/>
    <w:link w:val="Heading1"/>
    <w:uiPriority w:val="9"/>
    <w:rsid w:val="00D1646E"/>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6A6D3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7314CF"/>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6A6D3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F0DB3"/>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D21602"/>
    <w:rPr>
      <w:color w:val="605E5C"/>
      <w:shd w:val="clear" w:color="auto" w:fill="E1DFDD"/>
    </w:rPr>
  </w:style>
  <w:style w:type="paragraph" w:customStyle="1" w:styleId="FootnoteBody">
    <w:name w:val="Footnote (Body)"/>
    <w:basedOn w:val="NoParagraphStyle"/>
    <w:uiPriority w:val="99"/>
    <w:rsid w:val="00D1646E"/>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styleId="PlainText">
    <w:name w:val="Plain Text"/>
    <w:basedOn w:val="Normal"/>
    <w:link w:val="PlainTextChar"/>
    <w:uiPriority w:val="99"/>
    <w:unhideWhenUsed/>
    <w:rsid w:val="0033421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3421C"/>
    <w:rPr>
      <w:rFonts w:ascii="Consolas" w:hAnsi="Consolas" w:cs="Consolas"/>
      <w:sz w:val="21"/>
      <w:szCs w:val="21"/>
    </w:rPr>
  </w:style>
  <w:style w:type="paragraph" w:customStyle="1" w:styleId="FigureNoteFigureCaption">
    <w:name w:val="Figure Note (Figure/Caption)"/>
    <w:basedOn w:val="NoParagraphStyle"/>
    <w:uiPriority w:val="99"/>
    <w:rsid w:val="00F47B72"/>
    <w:pPr>
      <w:widowControl/>
      <w:tabs>
        <w:tab w:val="left" w:pos="255"/>
        <w:tab w:val="left" w:pos="510"/>
      </w:tabs>
      <w:suppressAutoHyphens/>
      <w:spacing w:after="340" w:line="200" w:lineRule="atLeast"/>
    </w:pPr>
    <w:rPr>
      <w:rFonts w:ascii="VIC Light" w:hAnsi="VIC Light" w:cs="VIC Light"/>
      <w:sz w:val="16"/>
      <w:szCs w:val="16"/>
      <w:lang w:val="en-GB"/>
    </w:rPr>
  </w:style>
  <w:style w:type="character" w:styleId="PlaceholderText">
    <w:name w:val="Placeholder Text"/>
    <w:basedOn w:val="DefaultParagraphFont"/>
    <w:uiPriority w:val="99"/>
    <w:semiHidden/>
    <w:rsid w:val="00CF03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490636509">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60E6DC4181094AA08B7A431EA01463" ma:contentTypeVersion="14" ma:contentTypeDescription="Create a new document." ma:contentTypeScope="" ma:versionID="261f8c920185a016390509bc3447256b">
  <xsd:schema xmlns:xsd="http://www.w3.org/2001/XMLSchema" xmlns:xs="http://www.w3.org/2001/XMLSchema" xmlns:p="http://schemas.microsoft.com/office/2006/metadata/properties" xmlns:ns2="a5f32de4-e402-4188-b034-e71ca7d22e54" xmlns:ns3="05743b33-63a5-4529-83da-20d8686ef3a1" xmlns:ns4="fd0acf45-f631-4cd2-86fc-eb412df53da8" xmlns:ns5="9fd47c19-1c4a-4d7d-b342-c10cef269344" targetNamespace="http://schemas.microsoft.com/office/2006/metadata/properties" ma:root="true" ma:fieldsID="aabddbb05312fc0db5e2f65a3d8378f2" ns2:_="" ns3:_="" ns4:_="" ns5:_="">
    <xsd:import namespace="a5f32de4-e402-4188-b034-e71ca7d22e54"/>
    <xsd:import namespace="05743b33-63a5-4529-83da-20d8686ef3a1"/>
    <xsd:import namespace="fd0acf45-f631-4cd2-86fc-eb412df53da8"/>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743b33-63a5-4529-83da-20d8686ef3a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Strategic plan"/>
          <xsd:enumeration value="Regulatory strategy"/>
          <xsd:enumeration value="Charter of engagement"/>
          <xsd:enumeration value="Community engagement strategy"/>
          <xsd:enumeration value="Planning"/>
          <xsd:enumeration value="Presentation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c1de94-df48-457a-a11c-855facdc7410}" ma:internalName="TaxCatchAll" ma:showField="CatchAllData" ma:web="fd0acf45-f631-4cd2-86fc-eb412df53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05743b33-63a5-4529-83da-20d8686ef3a1">
      <Terms xmlns="http://schemas.microsoft.com/office/infopath/2007/PartnerControls"/>
    </lcf76f155ced4ddcb4097134ff3c332f>
    <Category xmlns="05743b33-63a5-4529-83da-20d8686ef3a1" xsi:nil="true"/>
    <_dlc_DocId xmlns="a5f32de4-e402-4188-b034-e71ca7d22e54">DOCID951-272076720-157</_dlc_DocId>
    <_dlc_DocIdUrl xmlns="a5f32de4-e402-4188-b034-e71ca7d22e54">
      <Url>https://delwpvicgovau.sharepoint.com/sites/ecm_951/_layouts/15/DocIdRedir.aspx?ID=DOCID951-272076720-157</Url>
      <Description>DOCID951-272076720-157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F2CA4-999C-43CC-9F68-2D4B18B09957}">
  <ds:schemaRefs>
    <ds:schemaRef ds:uri="Microsoft.SharePoint.Taxonomy.ContentTypeSync"/>
  </ds:schemaRefs>
</ds:datastoreItem>
</file>

<file path=customXml/itemProps2.xml><?xml version="1.0" encoding="utf-8"?>
<ds:datastoreItem xmlns:ds="http://schemas.openxmlformats.org/officeDocument/2006/customXml" ds:itemID="{1A218FEC-C36D-4722-8EFB-51F014650BAA}">
  <ds:schemaRefs>
    <ds:schemaRef ds:uri="http://schemas.microsoft.com/sharepoint/events"/>
  </ds:schemaRefs>
</ds:datastoreItem>
</file>

<file path=customXml/itemProps3.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4.xml><?xml version="1.0" encoding="utf-8"?>
<ds:datastoreItem xmlns:ds="http://schemas.openxmlformats.org/officeDocument/2006/customXml" ds:itemID="{407C758C-F7DD-483C-BA78-89F47090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5743b33-63a5-4529-83da-20d8686ef3a1"/>
    <ds:schemaRef ds:uri="fd0acf45-f631-4cd2-86fc-eb412df53da8"/>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53CF76-841E-492A-B69A-2559B711BA6D}">
  <ds:schemaRefs>
    <ds:schemaRef ds:uri="http://schemas.microsoft.com/office/2006/metadata/properties"/>
    <ds:schemaRef ds:uri="http://schemas.microsoft.com/office/infopath/2007/PartnerControls"/>
    <ds:schemaRef ds:uri="9fd47c19-1c4a-4d7d-b342-c10cef269344"/>
    <ds:schemaRef ds:uri="05743b33-63a5-4529-83da-20d8686ef3a1"/>
    <ds:schemaRef ds:uri="a5f32de4-e402-4188-b034-e71ca7d22e54"/>
  </ds:schemaRefs>
</ds:datastoreItem>
</file>

<file path=customXml/itemProps6.xml><?xml version="1.0" encoding="utf-8"?>
<ds:datastoreItem xmlns:ds="http://schemas.openxmlformats.org/officeDocument/2006/customXml" ds:itemID="{76CC44B9-137A-4762-B0AA-A5511A056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Circular Economy Market Report 2025</vt:lpstr>
    </vt:vector>
  </TitlesOfParts>
  <Manager/>
  <Company>The State of Victoria Department of Energy, Environment and Climate Action</Company>
  <LinksUpToDate>false</LinksUpToDate>
  <CharactersWithSpaces>23520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Market Report 2025</dc:title>
  <dc:subject>Circular Economy Market Report 2025</dc:subject>
  <dc:creator>The State of Victoria Department of Energy, Environment and Climate Action</dc:creator>
  <cp:keywords>Circular, Economy, Market, Report, 2025</cp:keywords>
  <dc:description>© The State of Victoria Department of Energy, Environment and Climate Action, January 2025.</dc:description>
  <cp:lastModifiedBy>Vanessa A Facey (DEECA)</cp:lastModifiedBy>
  <cp:revision>4</cp:revision>
  <dcterms:created xsi:type="dcterms:W3CDTF">2025-03-19T07:12:00Z</dcterms:created>
  <dcterms:modified xsi:type="dcterms:W3CDTF">2025-03-19T07:19:00Z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0x010100D360E6DC4181094AA08B7A431EA01463</vt:lpwstr>
  </property>
  <property fmtid="{D5CDD505-2E9C-101B-9397-08002B2CF9AE}" pid="10" name="MediaServiceImageTags">
    <vt:lpwstr/>
  </property>
  <property fmtid="{D5CDD505-2E9C-101B-9397-08002B2CF9AE}" pid="11" name="_dlc_DocIdItemGuid">
    <vt:lpwstr>36f9eb3d-0236-4749-8d17-b0775f117a7b</vt:lpwstr>
  </property>
</Properties>
</file>