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4DA7CE84" w:rsidR="009E2E69" w:rsidRPr="00550C9F" w:rsidRDefault="007105ED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rtl/>
              </w:rPr>
              <w:t>Vietnamese</w:t>
            </w:r>
          </w:p>
        </w:tc>
      </w:tr>
      <w:tr w:rsidR="008B386E" w:rsidRPr="00FC2E6B" w14:paraId="420D041E" w14:textId="77777777" w:rsidTr="00592354">
        <w:trPr>
          <w:trHeight w:val="1166"/>
        </w:trPr>
        <w:tc>
          <w:tcPr>
            <w:tcW w:w="5529" w:type="dxa"/>
            <w:hideMark/>
          </w:tcPr>
          <w:p w14:paraId="1DD7CF7A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</w:tcPr>
          <w:p w14:paraId="7B3F2F78" w14:textId="6DC6BADC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thuê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môi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giới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hóa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ký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với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tài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xế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tổng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cộng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từ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lên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trong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bất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kỳ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khoảng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tháng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nào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cung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cấp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2590DF87" w14:textId="77777777" w:rsidTr="00592354">
        <w:trPr>
          <w:trHeight w:val="718"/>
        </w:trPr>
        <w:tc>
          <w:tcPr>
            <w:tcW w:w="5529" w:type="dxa"/>
            <w:hideMark/>
          </w:tcPr>
          <w:p w14:paraId="0863DC54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</w:tcPr>
          <w:p w14:paraId="7A08256E" w14:textId="7BFB7734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tập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sách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tin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áp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dụng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của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</w:p>
        </w:tc>
      </w:tr>
      <w:tr w:rsidR="008B386E" w:rsidRPr="00FC2E6B" w14:paraId="52EE1268" w14:textId="77777777" w:rsidTr="00592354">
        <w:trPr>
          <w:trHeight w:val="551"/>
        </w:trPr>
        <w:tc>
          <w:tcPr>
            <w:tcW w:w="5529" w:type="dxa"/>
            <w:hideMark/>
          </w:tcPr>
          <w:p w14:paraId="41DC0D8B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</w:tcPr>
          <w:p w14:paraId="32005C9F" w14:textId="7918F010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giá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cả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bảng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chi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phí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liên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quan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đến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thiết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bị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của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</w:p>
        </w:tc>
      </w:tr>
      <w:tr w:rsidR="008B386E" w:rsidRPr="00FC2E6B" w14:paraId="0E23F825" w14:textId="77777777" w:rsidTr="00592354">
        <w:trPr>
          <w:trHeight w:val="904"/>
        </w:trPr>
        <w:tc>
          <w:tcPr>
            <w:tcW w:w="5529" w:type="dxa"/>
            <w:hideMark/>
          </w:tcPr>
          <w:p w14:paraId="12450709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</w:tcPr>
          <w:p w14:paraId="7D2BA348" w14:textId="4CBE7E7D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Các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tài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xế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liệu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trong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xây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dựng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được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tin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tham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việc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trong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bất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kỳ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khoảng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nào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171A9976" w14:textId="77777777" w:rsidTr="00592354">
        <w:trPr>
          <w:trHeight w:val="644"/>
        </w:trPr>
        <w:tc>
          <w:tcPr>
            <w:tcW w:w="5529" w:type="dxa"/>
            <w:hideMark/>
          </w:tcPr>
          <w:p w14:paraId="14F36801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</w:tcPr>
          <w:p w14:paraId="58E9A98E" w14:textId="430751CF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Thông tin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được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cung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cấp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trước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ít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nhất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việc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3045974F" w14:textId="77777777" w:rsidTr="00592354">
        <w:trPr>
          <w:trHeight w:val="501"/>
        </w:trPr>
        <w:tc>
          <w:tcPr>
            <w:tcW w:w="5529" w:type="dxa"/>
            <w:hideMark/>
          </w:tcPr>
          <w:p w14:paraId="727DF46B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</w:tcPr>
          <w:p w14:paraId="6516A1AF" w14:textId="0ADA4838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Tài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xế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ai?</w:t>
            </w:r>
          </w:p>
        </w:tc>
      </w:tr>
      <w:tr w:rsidR="008B386E" w:rsidRPr="00FC2E6B" w14:paraId="4F26B066" w14:textId="77777777" w:rsidTr="00592354">
        <w:trPr>
          <w:trHeight w:val="836"/>
        </w:trPr>
        <w:tc>
          <w:tcPr>
            <w:tcW w:w="5529" w:type="dxa"/>
            <w:hideMark/>
          </w:tcPr>
          <w:p w14:paraId="78CA7847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</w:tcPr>
          <w:p w14:paraId="0A75400C" w14:textId="731153E6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Một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tài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xế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kinh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doanh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hóa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sử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dụng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tối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do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cung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cấp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25C7A103" w14:textId="77777777" w:rsidTr="00592354">
        <w:trPr>
          <w:trHeight w:val="706"/>
        </w:trPr>
        <w:tc>
          <w:tcPr>
            <w:tcW w:w="5529" w:type="dxa"/>
            <w:hideMark/>
          </w:tcPr>
          <w:p w14:paraId="1A4A210F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</w:tcPr>
          <w:p w14:paraId="28E2F46C" w14:textId="7ACC8A4C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một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trong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đó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09F50454" w14:textId="77777777" w:rsidTr="00592354">
        <w:trPr>
          <w:trHeight w:val="435"/>
        </w:trPr>
        <w:tc>
          <w:tcPr>
            <w:tcW w:w="5529" w:type="dxa"/>
            <w:hideMark/>
          </w:tcPr>
          <w:p w14:paraId="7678B865" w14:textId="77777777" w:rsidR="008B386E" w:rsidRPr="00281F01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</w:tcPr>
          <w:p w14:paraId="1046DF66" w14:textId="13E28D9B" w:rsidR="008B386E" w:rsidRPr="00281F01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Ai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?</w:t>
            </w:r>
          </w:p>
        </w:tc>
      </w:tr>
      <w:tr w:rsidR="008B386E" w:rsidRPr="00FC2E6B" w14:paraId="3FC4863C" w14:textId="77777777" w:rsidTr="00592354">
        <w:trPr>
          <w:trHeight w:val="696"/>
        </w:trPr>
        <w:tc>
          <w:tcPr>
            <w:tcW w:w="5529" w:type="dxa"/>
            <w:hideMark/>
          </w:tcPr>
          <w:p w14:paraId="17B3CDCE" w14:textId="77777777" w:rsidR="008B386E" w:rsidRPr="00281F01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</w:tcPr>
          <w:p w14:paraId="67EB0FA8" w14:textId="755F40DB" w:rsidR="008B386E" w:rsidRPr="00281F01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điều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một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doanh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để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1B368691" w14:textId="77777777" w:rsidTr="00592354">
        <w:trPr>
          <w:trHeight w:val="718"/>
        </w:trPr>
        <w:tc>
          <w:tcPr>
            <w:tcW w:w="5529" w:type="dxa"/>
            <w:hideMark/>
          </w:tcPr>
          <w:p w14:paraId="715E7C58" w14:textId="77777777" w:rsidR="008B386E" w:rsidRPr="00281F01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</w:tcPr>
          <w:p w14:paraId="50D51FEC" w14:textId="624811AF" w:rsidR="008B386E" w:rsidRPr="00281F01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khai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sản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bằng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thiết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bị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cơ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giới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do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cung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cấp</w:t>
            </w:r>
            <w:proofErr w:type="spellEnd"/>
          </w:p>
        </w:tc>
      </w:tr>
      <w:tr w:rsidR="008B386E" w:rsidRPr="00FC2E6B" w14:paraId="68DB98E9" w14:textId="77777777" w:rsidTr="00592354">
        <w:trPr>
          <w:trHeight w:val="405"/>
        </w:trPr>
        <w:tc>
          <w:tcPr>
            <w:tcW w:w="5529" w:type="dxa"/>
            <w:hideMark/>
          </w:tcPr>
          <w:p w14:paraId="15D51663" w14:textId="77777777" w:rsidR="008B386E" w:rsidRPr="00281F01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</w:tcPr>
          <w:p w14:paraId="2AC87FCD" w14:textId="01DB57CC" w:rsidR="008B386E" w:rsidRPr="00281F01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chuyển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sản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57138950" w14:textId="77777777" w:rsidTr="00592354">
        <w:trPr>
          <w:trHeight w:val="672"/>
        </w:trPr>
        <w:tc>
          <w:tcPr>
            <w:tcW w:w="5529" w:type="dxa"/>
            <w:hideMark/>
          </w:tcPr>
          <w:p w14:paraId="4B8620C0" w14:textId="77777777" w:rsidR="008B386E" w:rsidRPr="00281F01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The contractor supplies the vehicles and operates at least one of them.</w:t>
            </w:r>
          </w:p>
        </w:tc>
        <w:tc>
          <w:tcPr>
            <w:tcW w:w="5514" w:type="dxa"/>
          </w:tcPr>
          <w:p w14:paraId="73A3341F" w14:textId="56C3CBD4" w:rsidR="008B386E" w:rsidRPr="00281F01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cung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cấp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vận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ít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nhất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một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trong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số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đó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15B6AC6A" w14:textId="77777777" w:rsidTr="00592354">
        <w:trPr>
          <w:trHeight w:val="449"/>
        </w:trPr>
        <w:tc>
          <w:tcPr>
            <w:tcW w:w="5529" w:type="dxa"/>
            <w:hideMark/>
          </w:tcPr>
          <w:p w14:paraId="2387AC3D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Contracts must be in writing</w:t>
            </w:r>
          </w:p>
        </w:tc>
        <w:tc>
          <w:tcPr>
            <w:tcW w:w="5514" w:type="dxa"/>
          </w:tcPr>
          <w:p w14:paraId="26E76266" w14:textId="306F6FFE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bằng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văn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bản</w:t>
            </w:r>
            <w:proofErr w:type="spellEnd"/>
          </w:p>
        </w:tc>
      </w:tr>
      <w:tr w:rsidR="008B386E" w:rsidRPr="00FC2E6B" w14:paraId="1D7BE777" w14:textId="77777777" w:rsidTr="00592354">
        <w:trPr>
          <w:trHeight w:val="860"/>
        </w:trPr>
        <w:tc>
          <w:tcPr>
            <w:tcW w:w="5529" w:type="dxa"/>
            <w:hideMark/>
          </w:tcPr>
          <w:p w14:paraId="1C010B51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</w:tcPr>
          <w:p w14:paraId="6F1BEDBA" w14:textId="3E2823F0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thuê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sử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dụng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bằng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văn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bản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nếu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tham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kéo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dài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từ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lên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có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kết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thúc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cố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định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1D4968A1" w14:textId="77777777" w:rsidTr="00592354">
        <w:trPr>
          <w:trHeight w:val="408"/>
        </w:trPr>
        <w:tc>
          <w:tcPr>
            <w:tcW w:w="5529" w:type="dxa"/>
            <w:hideMark/>
          </w:tcPr>
          <w:p w14:paraId="356B937A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</w:tcPr>
          <w:p w14:paraId="7B058197" w14:textId="24F77EAA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bao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gồm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2C7A39CB" w14:textId="77777777" w:rsidTr="00592354">
        <w:trPr>
          <w:trHeight w:val="569"/>
        </w:trPr>
        <w:tc>
          <w:tcPr>
            <w:tcW w:w="5529" w:type="dxa"/>
            <w:hideMark/>
          </w:tcPr>
          <w:p w14:paraId="243FBC2F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</w:tcPr>
          <w:p w14:paraId="3C232CCB" w14:textId="45C2F661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số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giờ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việc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mức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nhập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tối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thiểu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đảm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bảo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8B386E" w:rsidRPr="00FC2E6B" w14:paraId="776F1E70" w14:textId="77777777" w:rsidTr="00592354">
        <w:trPr>
          <w:trHeight w:val="496"/>
        </w:trPr>
        <w:tc>
          <w:tcPr>
            <w:tcW w:w="5529" w:type="dxa"/>
            <w:hideMark/>
          </w:tcPr>
          <w:p w14:paraId="6807F69D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</w:tcPr>
          <w:p w14:paraId="148CC505" w14:textId="6372D109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giá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cả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trả</w:t>
            </w:r>
            <w:proofErr w:type="spellEnd"/>
          </w:p>
        </w:tc>
      </w:tr>
      <w:tr w:rsidR="008B386E" w:rsidRPr="00FC2E6B" w14:paraId="73901FC6" w14:textId="77777777" w:rsidTr="00592354">
        <w:trPr>
          <w:trHeight w:val="702"/>
        </w:trPr>
        <w:tc>
          <w:tcPr>
            <w:tcW w:w="5529" w:type="dxa"/>
            <w:hideMark/>
          </w:tcPr>
          <w:p w14:paraId="7CEFB5C8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</w:tcPr>
          <w:p w14:paraId="131DA6AE" w14:textId="46CA3264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gian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báo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tối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thiểu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để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kết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thúc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thanh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toán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tiền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thay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báo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5D5B40DD" w14:textId="77777777" w:rsidTr="00592354">
        <w:trPr>
          <w:trHeight w:val="513"/>
        </w:trPr>
        <w:tc>
          <w:tcPr>
            <w:tcW w:w="5529" w:type="dxa"/>
            <w:hideMark/>
          </w:tcPr>
          <w:p w14:paraId="7B1FE277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</w:tcPr>
          <w:p w14:paraId="113FF308" w14:textId="55FC044A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Bảo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vệ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</w:p>
        </w:tc>
      </w:tr>
      <w:tr w:rsidR="008B386E" w:rsidRPr="00FC2E6B" w14:paraId="3DB1233C" w14:textId="77777777" w:rsidTr="00592354">
        <w:trPr>
          <w:trHeight w:val="816"/>
        </w:trPr>
        <w:tc>
          <w:tcPr>
            <w:tcW w:w="5529" w:type="dxa"/>
            <w:hideMark/>
          </w:tcPr>
          <w:p w14:paraId="10D438A7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</w:tcPr>
          <w:p w14:paraId="388E1464" w14:textId="403D5C2E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Người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thuê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được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gây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bất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lợi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tài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xế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cũng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sở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hữu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xe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nhà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thầu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lâm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vì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0B973EFA" w14:textId="77777777" w:rsidTr="00592354">
        <w:trPr>
          <w:trHeight w:val="557"/>
        </w:trPr>
        <w:tc>
          <w:tcPr>
            <w:tcW w:w="5529" w:type="dxa"/>
            <w:hideMark/>
          </w:tcPr>
          <w:p w14:paraId="4FA185A5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</w:tcPr>
          <w:p w14:paraId="0290E469" w14:textId="0D062DA0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nêu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lên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vấn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đề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về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sức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khỏe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an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toàn</w:t>
            </w:r>
            <w:proofErr w:type="spellEnd"/>
          </w:p>
        </w:tc>
      </w:tr>
      <w:tr w:rsidR="008B386E" w:rsidRPr="00FC2E6B" w14:paraId="23F9756C" w14:textId="77777777" w:rsidTr="00592354">
        <w:trPr>
          <w:trHeight w:val="410"/>
        </w:trPr>
        <w:tc>
          <w:tcPr>
            <w:tcW w:w="5529" w:type="dxa"/>
            <w:hideMark/>
          </w:tcPr>
          <w:p w14:paraId="4457C474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</w:tcPr>
          <w:p w14:paraId="7618797C" w14:textId="41110F98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thực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hiện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quyền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của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họ</w:t>
            </w:r>
            <w:proofErr w:type="spellEnd"/>
          </w:p>
        </w:tc>
      </w:tr>
      <w:tr w:rsidR="008B386E" w:rsidRPr="00FC2E6B" w14:paraId="4A36405F" w14:textId="77777777" w:rsidTr="00592354">
        <w:trPr>
          <w:trHeight w:val="706"/>
        </w:trPr>
        <w:tc>
          <w:tcPr>
            <w:tcW w:w="5529" w:type="dxa"/>
            <w:hideMark/>
          </w:tcPr>
          <w:p w14:paraId="341A6EF3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</w:tcPr>
          <w:p w14:paraId="751F3B63" w14:textId="46900419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tìm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đàm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phán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hợp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đồng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50E98A5A" w14:textId="77777777" w:rsidTr="00592354">
        <w:trPr>
          <w:trHeight w:val="701"/>
        </w:trPr>
        <w:tc>
          <w:tcPr>
            <w:tcW w:w="5529" w:type="dxa"/>
            <w:hideMark/>
          </w:tcPr>
          <w:p w14:paraId="1E505CA6" w14:textId="09D63E00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</w:tcPr>
          <w:p w14:paraId="0BFF0182" w14:textId="6B938B5D" w:rsidR="008B386E" w:rsidRPr="00FC2E6B" w:rsidRDefault="000C4F43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0C4F43">
              <w:rPr>
                <w:rFonts w:ascii="Arial" w:hAnsi="Arial" w:cs="Arial"/>
                <w:color w:val="000000"/>
                <w:sz w:val="20"/>
              </w:rPr>
              <w:t xml:space="preserve">Thanh </w:t>
            </w:r>
            <w:proofErr w:type="spellStart"/>
            <w:r w:rsidRPr="000C4F43">
              <w:rPr>
                <w:rFonts w:ascii="Arial" w:hAnsi="Arial" w:cs="Arial"/>
                <w:color w:val="000000"/>
                <w:sz w:val="20"/>
              </w:rPr>
              <w:t>tra</w:t>
            </w:r>
            <w:proofErr w:type="spellEnd"/>
            <w:r w:rsidRPr="000C4F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C4F43">
              <w:rPr>
                <w:rFonts w:ascii="Arial" w:hAnsi="Arial" w:cs="Arial"/>
                <w:color w:val="000000"/>
                <w:sz w:val="20"/>
              </w:rPr>
              <w:t>lực</w:t>
            </w:r>
            <w:proofErr w:type="spellEnd"/>
            <w:r w:rsidRPr="000C4F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C4F43">
              <w:rPr>
                <w:rFonts w:ascii="Arial" w:hAnsi="Arial" w:cs="Arial"/>
                <w:color w:val="000000"/>
                <w:sz w:val="20"/>
              </w:rPr>
              <w:t>l</w:t>
            </w:r>
            <w:r w:rsidRPr="000C4F43">
              <w:rPr>
                <w:rFonts w:ascii="Arial" w:hAnsi="Arial" w:cs="Arial" w:hint="eastAsia"/>
                <w:color w:val="000000"/>
                <w:sz w:val="20"/>
              </w:rPr>
              <w:t>ư</w:t>
            </w:r>
            <w:r w:rsidRPr="000C4F43">
              <w:rPr>
                <w:rFonts w:ascii="Arial" w:hAnsi="Arial" w:cs="Arial"/>
                <w:color w:val="000000"/>
                <w:sz w:val="20"/>
              </w:rPr>
              <w:t>ợng</w:t>
            </w:r>
            <w:proofErr w:type="spellEnd"/>
            <w:r w:rsidRPr="000C4F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C4F43">
              <w:rPr>
                <w:rFonts w:ascii="Arial" w:hAnsi="Arial" w:cs="Arial"/>
                <w:color w:val="000000"/>
                <w:sz w:val="20"/>
              </w:rPr>
              <w:t>lao</w:t>
            </w:r>
            <w:proofErr w:type="spellEnd"/>
            <w:r w:rsidRPr="000C4F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0C4F43">
              <w:rPr>
                <w:rFonts w:ascii="Arial" w:hAnsi="Arial" w:cs="Arial"/>
                <w:color w:val="000000"/>
                <w:sz w:val="20"/>
              </w:rPr>
              <w:t>động</w:t>
            </w:r>
            <w:proofErr w:type="spellEnd"/>
            <w:r w:rsidRPr="000C4F43">
              <w:rPr>
                <w:rFonts w:ascii="Arial" w:hAnsi="Arial" w:cs="Arial"/>
                <w:color w:val="000000"/>
                <w:sz w:val="20"/>
              </w:rPr>
              <w:t xml:space="preserve"> Victoria</w:t>
            </w:r>
          </w:p>
        </w:tc>
      </w:tr>
      <w:tr w:rsidR="008B386E" w:rsidRPr="00FC2E6B" w14:paraId="39DFF277" w14:textId="77777777" w:rsidTr="00592354">
        <w:trPr>
          <w:trHeight w:val="713"/>
        </w:trPr>
        <w:tc>
          <w:tcPr>
            <w:tcW w:w="5529" w:type="dxa"/>
            <w:hideMark/>
          </w:tcPr>
          <w:p w14:paraId="2A6D8C64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</w:tcPr>
          <w:p w14:paraId="47AFAF2B" w14:textId="1D5E44F1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Chúng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tôi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giám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sát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việc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tuân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thủ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quy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định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này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và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thực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hiện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động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thực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bao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gồm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31326A0B" w14:textId="77777777" w:rsidTr="00592354">
        <w:trPr>
          <w:trHeight w:val="409"/>
        </w:trPr>
        <w:tc>
          <w:tcPr>
            <w:tcW w:w="5529" w:type="dxa"/>
            <w:hideMark/>
          </w:tcPr>
          <w:p w14:paraId="5F65A402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</w:tcPr>
          <w:p w14:paraId="5951C654" w14:textId="44879CB4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đưa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ra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cảnh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báo</w:t>
            </w:r>
            <w:proofErr w:type="spellEnd"/>
          </w:p>
        </w:tc>
      </w:tr>
      <w:tr w:rsidR="008B386E" w:rsidRPr="00FC2E6B" w14:paraId="31620B16" w14:textId="77777777" w:rsidTr="00592354">
        <w:trPr>
          <w:trHeight w:val="416"/>
        </w:trPr>
        <w:tc>
          <w:tcPr>
            <w:tcW w:w="5529" w:type="dxa"/>
            <w:hideMark/>
          </w:tcPr>
          <w:p w14:paraId="761B068D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</w:tcPr>
          <w:p w14:paraId="05D75845" w14:textId="2193865A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ban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hành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thông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báo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phạt</w:t>
            </w:r>
            <w:proofErr w:type="spellEnd"/>
          </w:p>
        </w:tc>
      </w:tr>
      <w:tr w:rsidR="008B386E" w:rsidRPr="00FC2E6B" w14:paraId="73A0976D" w14:textId="77777777" w:rsidTr="00592354">
        <w:trPr>
          <w:trHeight w:val="515"/>
        </w:trPr>
        <w:tc>
          <w:tcPr>
            <w:tcW w:w="5529" w:type="dxa"/>
            <w:hideMark/>
          </w:tcPr>
          <w:p w14:paraId="1950116D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</w:tcPr>
          <w:p w14:paraId="2FB9528C" w14:textId="3395DFD2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khởi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kiện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</w:tr>
      <w:tr w:rsidR="008B386E" w:rsidRPr="00FC2E6B" w14:paraId="05EDA961" w14:textId="77777777" w:rsidTr="00592354">
        <w:trPr>
          <w:trHeight w:val="658"/>
        </w:trPr>
        <w:tc>
          <w:tcPr>
            <w:tcW w:w="5529" w:type="dxa"/>
            <w:hideMark/>
          </w:tcPr>
          <w:p w14:paraId="72DE373E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</w:tcPr>
          <w:p w14:paraId="51FA2F19" w14:textId="17B84CD0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Đặt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câu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hỏi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hoặc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trình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báo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một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doanh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nghiệp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vi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phạm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quy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định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8B386E" w:rsidRPr="00FC2E6B" w14:paraId="75835050" w14:textId="77777777" w:rsidTr="00592354">
        <w:trPr>
          <w:trHeight w:val="522"/>
        </w:trPr>
        <w:tc>
          <w:tcPr>
            <w:tcW w:w="5529" w:type="dxa"/>
            <w:hideMark/>
          </w:tcPr>
          <w:p w14:paraId="098792CF" w14:textId="77777777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</w:tcPr>
          <w:p w14:paraId="3117B4E4" w14:textId="14679305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bằng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cách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gọi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chúng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tôi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theo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số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1800 287 287.</w:t>
            </w:r>
          </w:p>
        </w:tc>
      </w:tr>
      <w:tr w:rsidR="008B386E" w:rsidRPr="00FC2E6B" w14:paraId="6495ECE9" w14:textId="77777777" w:rsidTr="00592354">
        <w:trPr>
          <w:trHeight w:val="574"/>
        </w:trPr>
        <w:tc>
          <w:tcPr>
            <w:tcW w:w="5529" w:type="dxa"/>
            <w:hideMark/>
          </w:tcPr>
          <w:p w14:paraId="49AD03D3" w14:textId="443D424E" w:rsidR="008B386E" w:rsidRPr="00550C9F" w:rsidRDefault="008B386E" w:rsidP="008B386E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</w:tcPr>
          <w:p w14:paraId="0D788BC0" w14:textId="47B73A77" w:rsidR="008B386E" w:rsidRPr="00FC2E6B" w:rsidRDefault="008B386E" w:rsidP="008B386E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tại</w:t>
            </w:r>
            <w:proofErr w:type="spellEnd"/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www.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wiv</w:t>
            </w:r>
            <w:r w:rsidRPr="00835F8A">
              <w:rPr>
                <w:rFonts w:ascii="Arial" w:hAnsi="Arial" w:cs="Arial"/>
                <w:color w:val="000000"/>
                <w:sz w:val="20"/>
                <w:lang w:eastAsia="en-AU"/>
              </w:rPr>
              <w:t>.vic.gov.au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9584" w14:textId="77777777" w:rsidR="008972E9" w:rsidRDefault="008972E9" w:rsidP="00D96C1E">
      <w:r>
        <w:separator/>
      </w:r>
    </w:p>
    <w:p w14:paraId="64E0E09D" w14:textId="77777777" w:rsidR="008972E9" w:rsidRDefault="008972E9" w:rsidP="00D96C1E"/>
    <w:p w14:paraId="2215C406" w14:textId="77777777" w:rsidR="008972E9" w:rsidRDefault="008972E9"/>
  </w:endnote>
  <w:endnote w:type="continuationSeparator" w:id="0">
    <w:p w14:paraId="06FBBC29" w14:textId="77777777" w:rsidR="008972E9" w:rsidRDefault="008972E9" w:rsidP="00D96C1E">
      <w:r>
        <w:continuationSeparator/>
      </w:r>
    </w:p>
    <w:p w14:paraId="026E287F" w14:textId="77777777" w:rsidR="008972E9" w:rsidRDefault="008972E9" w:rsidP="00D96C1E"/>
    <w:p w14:paraId="57143B12" w14:textId="77777777" w:rsidR="008972E9" w:rsidRDefault="008972E9"/>
  </w:endnote>
  <w:endnote w:type="continuationNotice" w:id="1">
    <w:p w14:paraId="12707B9D" w14:textId="77777777" w:rsidR="008972E9" w:rsidRDefault="008972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8B06" w14:textId="77777777" w:rsidR="008972E9" w:rsidRDefault="008972E9" w:rsidP="00D96C1E">
      <w:r>
        <w:separator/>
      </w:r>
    </w:p>
    <w:p w14:paraId="4DF2174E" w14:textId="77777777" w:rsidR="008972E9" w:rsidRDefault="008972E9" w:rsidP="00D96C1E"/>
    <w:p w14:paraId="5B74F908" w14:textId="77777777" w:rsidR="008972E9" w:rsidRDefault="008972E9"/>
  </w:footnote>
  <w:footnote w:type="continuationSeparator" w:id="0">
    <w:p w14:paraId="7645533B" w14:textId="77777777" w:rsidR="008972E9" w:rsidRDefault="008972E9" w:rsidP="00D96C1E">
      <w:r>
        <w:continuationSeparator/>
      </w:r>
    </w:p>
    <w:p w14:paraId="5C96E336" w14:textId="77777777" w:rsidR="008972E9" w:rsidRDefault="008972E9" w:rsidP="00D96C1E"/>
    <w:p w14:paraId="2397744C" w14:textId="77777777" w:rsidR="008972E9" w:rsidRDefault="008972E9"/>
  </w:footnote>
  <w:footnote w:type="continuationNotice" w:id="1">
    <w:p w14:paraId="57944C76" w14:textId="77777777" w:rsidR="008972E9" w:rsidRDefault="008972E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</w:rPr>
    </w:sdtEnd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0BA273AB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7105ED">
          <w:rPr>
            <w:rStyle w:val="TitleChar"/>
            <w:noProof w:val="0"/>
            <w:sz w:val="44"/>
            <w:szCs w:val="44"/>
            <w:lang w:val="en-AU" w:eastAsia="en-US"/>
          </w:rPr>
          <w:t>Vietnamese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C4F43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85115"/>
    <w:rsid w:val="00591895"/>
    <w:rsid w:val="00592354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5ED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972E9"/>
    <w:rsid w:val="008B386E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0331D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2</Pages>
  <Words>571</Words>
  <Characters>3001</Characters>
  <Application>Microsoft Office Word</Application>
  <DocSecurity>0</DocSecurity>
  <Lines>187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2025-10-14T03:29:00Z</dcterms:created>
  <dcterms:modified xsi:type="dcterms:W3CDTF">2025-10-14T03:30:00Z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