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B0F3" w14:textId="77777777" w:rsidR="006C581D" w:rsidRPr="0039095C" w:rsidRDefault="006C581D" w:rsidP="00D12F97">
      <w:pPr>
        <w:pStyle w:val="Heading1numbered"/>
        <w:numPr>
          <w:ilvl w:val="0"/>
          <w:numId w:val="0"/>
        </w:numPr>
        <w:ind w:left="792" w:hanging="792"/>
        <w:rPr>
          <w:rFonts w:eastAsia="Times"/>
        </w:rPr>
      </w:pPr>
      <w:bookmarkStart w:id="0" w:name="_Toc212024367"/>
      <w:r w:rsidRPr="0039095C">
        <w:rPr>
          <w:rFonts w:eastAsia="Times"/>
        </w:rPr>
        <w:t xml:space="preserve">Attachment </w:t>
      </w:r>
      <w:r>
        <w:rPr>
          <w:rFonts w:eastAsia="Times"/>
        </w:rPr>
        <w:t>A</w:t>
      </w:r>
      <w:bookmarkEnd w:id="0"/>
    </w:p>
    <w:p w14:paraId="12F35191" w14:textId="77777777" w:rsidR="006C581D" w:rsidRPr="0039095C" w:rsidRDefault="006C581D" w:rsidP="006C581D">
      <w:pPr>
        <w:keepNext/>
        <w:keepLines/>
        <w:spacing w:before="320" w:after="80" w:line="240" w:lineRule="auto"/>
        <w:outlineLvl w:val="2"/>
        <w:rPr>
          <w:rFonts w:ascii="Arial" w:eastAsia="MS Gothic" w:hAnsi="Arial" w:cs="Times New Roman"/>
          <w:b/>
          <w:bCs/>
          <w:color w:val="53565A"/>
          <w:sz w:val="32"/>
          <w:szCs w:val="32"/>
        </w:rPr>
      </w:pPr>
      <w:r w:rsidRPr="0039095C">
        <w:rPr>
          <w:rFonts w:ascii="Arial" w:eastAsia="MS Gothic" w:hAnsi="Arial" w:cs="Times New Roman"/>
          <w:b/>
          <w:bCs/>
          <w:color w:val="53565A"/>
          <w:sz w:val="32"/>
          <w:szCs w:val="32"/>
        </w:rPr>
        <w:t>Alternat</w:t>
      </w:r>
      <w:r>
        <w:rPr>
          <w:rFonts w:ascii="Arial" w:eastAsia="MS Gothic" w:hAnsi="Arial" w:cs="Times New Roman"/>
          <w:b/>
          <w:bCs/>
          <w:color w:val="53565A"/>
          <w:sz w:val="32"/>
          <w:szCs w:val="32"/>
        </w:rPr>
        <w:t>iv</w:t>
      </w:r>
      <w:r w:rsidRPr="0039095C">
        <w:rPr>
          <w:rFonts w:ascii="Arial" w:eastAsia="MS Gothic" w:hAnsi="Arial" w:cs="Times New Roman"/>
          <w:b/>
          <w:bCs/>
          <w:color w:val="53565A"/>
          <w:sz w:val="32"/>
          <w:szCs w:val="32"/>
        </w:rPr>
        <w:t xml:space="preserve">e </w:t>
      </w:r>
      <w:r>
        <w:rPr>
          <w:rFonts w:ascii="Arial" w:eastAsia="MS Gothic" w:hAnsi="Arial" w:cs="Times New Roman"/>
          <w:b/>
          <w:bCs/>
          <w:color w:val="53565A"/>
          <w:sz w:val="32"/>
          <w:szCs w:val="32"/>
        </w:rPr>
        <w:t>ways of working or arranging ordinary hours</w:t>
      </w:r>
      <w:r w:rsidRPr="0039095C">
        <w:rPr>
          <w:rFonts w:ascii="Arial" w:eastAsia="MS Gothic" w:hAnsi="Arial" w:cs="Times New Roman"/>
          <w:b/>
          <w:bCs/>
          <w:color w:val="53565A"/>
          <w:sz w:val="32"/>
          <w:szCs w:val="32"/>
        </w:rPr>
        <w:t xml:space="preserve"> trial – Guidance material</w:t>
      </w:r>
    </w:p>
    <w:p w14:paraId="1B8CE1BF" w14:textId="462A58CB" w:rsidR="006C581D" w:rsidRPr="0039095C" w:rsidRDefault="006C581D" w:rsidP="006C581D">
      <w:pPr>
        <w:spacing w:line="300" w:lineRule="atLeast"/>
        <w:rPr>
          <w:rFonts w:ascii="Arial" w:eastAsia="Times" w:hAnsi="Arial" w:cs="Arial"/>
          <w:color w:val="000000"/>
        </w:rPr>
      </w:pPr>
      <w:r w:rsidRPr="0039095C">
        <w:rPr>
          <w:rFonts w:ascii="Arial" w:eastAsia="Times" w:hAnsi="Arial" w:cs="Arial"/>
          <w:color w:val="000000"/>
        </w:rPr>
        <w:t xml:space="preserve">Public </w:t>
      </w:r>
      <w:r w:rsidR="005D0CBC">
        <w:rPr>
          <w:rFonts w:ascii="Arial" w:eastAsia="Times" w:hAnsi="Arial" w:cs="Arial"/>
          <w:color w:val="000000"/>
        </w:rPr>
        <w:t>s</w:t>
      </w:r>
      <w:r w:rsidRPr="0039095C">
        <w:rPr>
          <w:rFonts w:ascii="Arial" w:eastAsia="Times" w:hAnsi="Arial" w:cs="Arial"/>
          <w:color w:val="000000"/>
        </w:rPr>
        <w:t xml:space="preserve">ector </w:t>
      </w:r>
      <w:r w:rsidR="005D0CBC">
        <w:rPr>
          <w:rFonts w:ascii="Arial" w:eastAsia="Times" w:hAnsi="Arial" w:cs="Arial"/>
          <w:color w:val="000000"/>
        </w:rPr>
        <w:t>e</w:t>
      </w:r>
      <w:r w:rsidRPr="0039095C">
        <w:rPr>
          <w:rFonts w:ascii="Arial" w:eastAsia="Times" w:hAnsi="Arial" w:cs="Arial"/>
          <w:color w:val="000000"/>
        </w:rPr>
        <w:t xml:space="preserve">mployers may agree to </w:t>
      </w:r>
      <w:proofErr w:type="gramStart"/>
      <w:r w:rsidRPr="0039095C">
        <w:rPr>
          <w:rFonts w:ascii="Arial" w:eastAsia="Times" w:hAnsi="Arial" w:cs="Arial"/>
          <w:color w:val="000000"/>
        </w:rPr>
        <w:t>enter into</w:t>
      </w:r>
      <w:proofErr w:type="gramEnd"/>
      <w:r w:rsidRPr="0039095C">
        <w:rPr>
          <w:rFonts w:ascii="Arial" w:eastAsia="Times" w:hAnsi="Arial" w:cs="Arial"/>
          <w:color w:val="000000"/>
        </w:rPr>
        <w:t xml:space="preserve"> </w:t>
      </w:r>
      <w:r>
        <w:rPr>
          <w:rFonts w:ascii="Arial" w:eastAsia="Times" w:hAnsi="Arial" w:cs="Arial"/>
          <w:color w:val="000000"/>
        </w:rPr>
        <w:t>a trial of alternative</w:t>
      </w:r>
      <w:r w:rsidRPr="0039095C">
        <w:rPr>
          <w:rFonts w:ascii="Arial" w:eastAsia="Times" w:hAnsi="Arial" w:cs="Arial"/>
          <w:color w:val="000000"/>
        </w:rPr>
        <w:t xml:space="preserve"> </w:t>
      </w:r>
      <w:r w:rsidRPr="000F0D57">
        <w:rPr>
          <w:rFonts w:ascii="Arial" w:eastAsia="Times" w:hAnsi="Arial" w:cs="Arial"/>
          <w:color w:val="000000"/>
        </w:rPr>
        <w:t xml:space="preserve">ways of working or arranging ordinary hours of work </w:t>
      </w:r>
      <w:r w:rsidRPr="0039095C">
        <w:rPr>
          <w:rFonts w:ascii="Arial" w:eastAsia="Times" w:hAnsi="Arial" w:cs="Arial"/>
          <w:color w:val="000000"/>
        </w:rPr>
        <w:t xml:space="preserve">as part of a Best Practice Employment Commitment (BPEC). When considering whether to include </w:t>
      </w:r>
      <w:r w:rsidRPr="000F0D57">
        <w:rPr>
          <w:rFonts w:ascii="Arial" w:eastAsia="Times" w:hAnsi="Arial" w:cs="Arial"/>
          <w:color w:val="000000"/>
        </w:rPr>
        <w:t xml:space="preserve">a trial of alternative ways of working or arranging ordinary hours of work </w:t>
      </w:r>
      <w:r w:rsidRPr="0039095C">
        <w:rPr>
          <w:rFonts w:ascii="Arial" w:eastAsia="Times" w:hAnsi="Arial" w:cs="Arial"/>
          <w:color w:val="000000"/>
        </w:rPr>
        <w:t xml:space="preserve">in a BPEC, the </w:t>
      </w:r>
      <w:r w:rsidR="005D0CBC">
        <w:rPr>
          <w:rFonts w:ascii="Arial" w:eastAsia="Times" w:hAnsi="Arial" w:cs="Arial"/>
          <w:color w:val="000000"/>
        </w:rPr>
        <w:t>p</w:t>
      </w:r>
      <w:r w:rsidRPr="0039095C">
        <w:rPr>
          <w:rFonts w:ascii="Arial" w:eastAsia="Times" w:hAnsi="Arial" w:cs="Arial"/>
          <w:color w:val="000000"/>
        </w:rPr>
        <w:t xml:space="preserve">ublic </w:t>
      </w:r>
      <w:r w:rsidR="005D0CBC">
        <w:rPr>
          <w:rFonts w:ascii="Arial" w:eastAsia="Times" w:hAnsi="Arial" w:cs="Arial"/>
          <w:color w:val="000000"/>
        </w:rPr>
        <w:t>s</w:t>
      </w:r>
      <w:r w:rsidRPr="0039095C">
        <w:rPr>
          <w:rFonts w:ascii="Arial" w:eastAsia="Times" w:hAnsi="Arial" w:cs="Arial"/>
          <w:color w:val="000000"/>
        </w:rPr>
        <w:t xml:space="preserve">ector </w:t>
      </w:r>
      <w:r w:rsidR="005D0CBC">
        <w:rPr>
          <w:rFonts w:ascii="Arial" w:eastAsia="Times" w:hAnsi="Arial" w:cs="Arial"/>
          <w:color w:val="000000"/>
        </w:rPr>
        <w:t>e</w:t>
      </w:r>
      <w:r w:rsidRPr="0039095C">
        <w:rPr>
          <w:rFonts w:ascii="Arial" w:eastAsia="Times" w:hAnsi="Arial" w:cs="Arial"/>
          <w:color w:val="000000"/>
        </w:rPr>
        <w:t xml:space="preserve">mployer and employees should consider this guidance material and the requirements of the Enterprise Bargaining Framework and Wages Policy. </w:t>
      </w:r>
    </w:p>
    <w:p w14:paraId="06BD2D77" w14:textId="66493AD6" w:rsidR="006C581D" w:rsidRPr="0039095C" w:rsidRDefault="006C581D" w:rsidP="006C581D">
      <w:pPr>
        <w:spacing w:line="300" w:lineRule="atLeast"/>
        <w:rPr>
          <w:rFonts w:ascii="Arial" w:eastAsia="Times" w:hAnsi="Arial" w:cs="Arial"/>
          <w:color w:val="000000"/>
        </w:rPr>
      </w:pPr>
      <w:r w:rsidRPr="0039095C">
        <w:rPr>
          <w:rFonts w:ascii="Arial" w:eastAsia="Times" w:hAnsi="Arial" w:cs="Arial"/>
          <w:color w:val="000000"/>
        </w:rPr>
        <w:t xml:space="preserve">While not mandatory, </w:t>
      </w:r>
      <w:proofErr w:type="gramStart"/>
      <w:r w:rsidR="005D0CBC">
        <w:rPr>
          <w:rFonts w:ascii="Arial" w:eastAsia="Times" w:hAnsi="Arial" w:cs="Arial"/>
          <w:color w:val="000000"/>
        </w:rPr>
        <w:t>p</w:t>
      </w:r>
      <w:r w:rsidRPr="0039095C">
        <w:rPr>
          <w:rFonts w:ascii="Arial" w:eastAsia="Times" w:hAnsi="Arial" w:cs="Arial"/>
          <w:color w:val="000000"/>
        </w:rPr>
        <w:t xml:space="preserve">ublic </w:t>
      </w:r>
      <w:r w:rsidR="005D0CBC">
        <w:rPr>
          <w:rFonts w:ascii="Arial" w:eastAsia="Times" w:hAnsi="Arial" w:cs="Arial"/>
          <w:color w:val="000000"/>
        </w:rPr>
        <w:t>s</w:t>
      </w:r>
      <w:r w:rsidRPr="0039095C">
        <w:rPr>
          <w:rFonts w:ascii="Arial" w:eastAsia="Times" w:hAnsi="Arial" w:cs="Arial"/>
          <w:color w:val="000000"/>
        </w:rPr>
        <w:t>ector</w:t>
      </w:r>
      <w:proofErr w:type="gramEnd"/>
      <w:r w:rsidRPr="0039095C">
        <w:rPr>
          <w:rFonts w:ascii="Arial" w:eastAsia="Times" w:hAnsi="Arial" w:cs="Arial"/>
          <w:color w:val="000000"/>
        </w:rPr>
        <w:t xml:space="preserve"> </w:t>
      </w:r>
      <w:r w:rsidR="005D0CBC">
        <w:rPr>
          <w:rFonts w:ascii="Arial" w:eastAsia="Times" w:hAnsi="Arial" w:cs="Arial"/>
          <w:color w:val="000000"/>
        </w:rPr>
        <w:t>e</w:t>
      </w:r>
      <w:r w:rsidRPr="0039095C">
        <w:rPr>
          <w:rFonts w:ascii="Arial" w:eastAsia="Times" w:hAnsi="Arial" w:cs="Arial"/>
          <w:color w:val="000000"/>
        </w:rPr>
        <w:t xml:space="preserve">mployers are encouraged to use the model BPEC term outlined below in this attachment. In the absence of using the model BPEC term, </w:t>
      </w:r>
      <w:r w:rsidR="005D0CBC">
        <w:rPr>
          <w:rFonts w:ascii="Arial" w:eastAsia="Times" w:hAnsi="Arial" w:cs="Arial"/>
          <w:color w:val="000000"/>
        </w:rPr>
        <w:t>p</w:t>
      </w:r>
      <w:r w:rsidRPr="0039095C">
        <w:rPr>
          <w:rFonts w:ascii="Arial" w:eastAsia="Times" w:hAnsi="Arial" w:cs="Arial"/>
          <w:color w:val="000000"/>
        </w:rPr>
        <w:t xml:space="preserve">ublic </w:t>
      </w:r>
      <w:r w:rsidR="005D0CBC">
        <w:rPr>
          <w:rFonts w:ascii="Arial" w:eastAsia="Times" w:hAnsi="Arial" w:cs="Arial"/>
          <w:color w:val="000000"/>
        </w:rPr>
        <w:t>s</w:t>
      </w:r>
      <w:r w:rsidRPr="0039095C">
        <w:rPr>
          <w:rFonts w:ascii="Arial" w:eastAsia="Times" w:hAnsi="Arial" w:cs="Arial"/>
          <w:color w:val="000000"/>
        </w:rPr>
        <w:t xml:space="preserve">ector </w:t>
      </w:r>
      <w:r w:rsidR="005D0CBC">
        <w:rPr>
          <w:rFonts w:ascii="Arial" w:eastAsia="Times" w:hAnsi="Arial" w:cs="Arial"/>
          <w:color w:val="000000"/>
        </w:rPr>
        <w:t>e</w:t>
      </w:r>
      <w:r w:rsidRPr="0039095C">
        <w:rPr>
          <w:rFonts w:ascii="Arial" w:eastAsia="Times" w:hAnsi="Arial" w:cs="Arial"/>
          <w:color w:val="000000"/>
        </w:rPr>
        <w:t xml:space="preserve">mployers that </w:t>
      </w:r>
      <w:r>
        <w:rPr>
          <w:rFonts w:ascii="Arial" w:eastAsia="Times" w:hAnsi="Arial" w:cs="Arial"/>
          <w:color w:val="000000"/>
        </w:rPr>
        <w:t>seek</w:t>
      </w:r>
      <w:r w:rsidRPr="0039095C">
        <w:rPr>
          <w:rFonts w:ascii="Arial" w:eastAsia="Times" w:hAnsi="Arial" w:cs="Arial"/>
          <w:color w:val="000000"/>
        </w:rPr>
        <w:t xml:space="preserve"> to </w:t>
      </w:r>
      <w:proofErr w:type="gramStart"/>
      <w:r w:rsidRPr="0039095C">
        <w:rPr>
          <w:rFonts w:ascii="Arial" w:eastAsia="Times" w:hAnsi="Arial" w:cs="Arial"/>
          <w:color w:val="000000"/>
        </w:rPr>
        <w:t>enter into</w:t>
      </w:r>
      <w:proofErr w:type="gramEnd"/>
      <w:r w:rsidRPr="0039095C">
        <w:rPr>
          <w:rFonts w:ascii="Arial" w:eastAsia="Times" w:hAnsi="Arial" w:cs="Arial"/>
          <w:color w:val="000000"/>
        </w:rPr>
        <w:t xml:space="preserve"> </w:t>
      </w:r>
      <w:r w:rsidRPr="000F0D57">
        <w:rPr>
          <w:rFonts w:ascii="Arial" w:eastAsia="Times" w:hAnsi="Arial" w:cs="Arial"/>
          <w:color w:val="000000"/>
        </w:rPr>
        <w:t xml:space="preserve">a trial of alternative ways of working or arranging ordinary hours of work </w:t>
      </w:r>
      <w:r w:rsidRPr="0039095C">
        <w:rPr>
          <w:rFonts w:ascii="Arial" w:eastAsia="Times" w:hAnsi="Arial" w:cs="Arial"/>
          <w:color w:val="000000"/>
        </w:rPr>
        <w:t xml:space="preserve">are responsible for ensuring that their BPEC term reflects the expectations and considerations outlined in this policy. </w:t>
      </w:r>
    </w:p>
    <w:p w14:paraId="2285CFE0" w14:textId="209B93D0" w:rsidR="006C581D" w:rsidRPr="0039095C" w:rsidRDefault="006C581D" w:rsidP="006C581D">
      <w:pPr>
        <w:spacing w:line="300" w:lineRule="atLeast"/>
        <w:rPr>
          <w:rFonts w:ascii="Arial" w:eastAsia="Times" w:hAnsi="Arial" w:cs="Arial"/>
          <w:color w:val="000000"/>
        </w:rPr>
      </w:pPr>
      <w:r>
        <w:rPr>
          <w:rFonts w:ascii="Arial" w:eastAsia="Times" w:hAnsi="Arial" w:cs="Arial"/>
          <w:color w:val="000000"/>
        </w:rPr>
        <w:t>While</w:t>
      </w:r>
      <w:r w:rsidRPr="0039095C">
        <w:rPr>
          <w:rFonts w:ascii="Arial" w:eastAsia="Times" w:hAnsi="Arial" w:cs="Arial"/>
          <w:color w:val="000000"/>
        </w:rPr>
        <w:t xml:space="preserve"> there have been several </w:t>
      </w:r>
      <w:r w:rsidRPr="000F0D57">
        <w:rPr>
          <w:rFonts w:ascii="Arial" w:eastAsia="Times" w:hAnsi="Arial" w:cs="Arial"/>
          <w:color w:val="000000"/>
        </w:rPr>
        <w:t>trial</w:t>
      </w:r>
      <w:r>
        <w:rPr>
          <w:rFonts w:ascii="Arial" w:eastAsia="Times" w:hAnsi="Arial" w:cs="Arial"/>
          <w:color w:val="000000"/>
        </w:rPr>
        <w:t>s</w:t>
      </w:r>
      <w:r w:rsidRPr="000F0D57">
        <w:rPr>
          <w:rFonts w:ascii="Arial" w:eastAsia="Times" w:hAnsi="Arial" w:cs="Arial"/>
          <w:color w:val="000000"/>
        </w:rPr>
        <w:t xml:space="preserve"> of alternative ways of working or arranging ordinary hours of work </w:t>
      </w:r>
      <w:r w:rsidRPr="0039095C">
        <w:rPr>
          <w:rFonts w:ascii="Arial" w:eastAsia="Times" w:hAnsi="Arial" w:cs="Arial"/>
          <w:color w:val="000000"/>
        </w:rPr>
        <w:t xml:space="preserve">run in the private sector across the world, </w:t>
      </w:r>
      <w:r>
        <w:rPr>
          <w:rFonts w:ascii="Arial" w:eastAsia="Times" w:hAnsi="Arial" w:cs="Arial"/>
          <w:color w:val="000000"/>
        </w:rPr>
        <w:t xml:space="preserve">the outcomes of these trials are not directly relevant to </w:t>
      </w:r>
      <w:r w:rsidR="005D0CBC">
        <w:rPr>
          <w:rFonts w:ascii="Arial" w:eastAsia="Times" w:hAnsi="Arial" w:cs="Arial"/>
          <w:color w:val="000000"/>
        </w:rPr>
        <w:t>p</w:t>
      </w:r>
      <w:r w:rsidRPr="0039095C">
        <w:rPr>
          <w:rFonts w:ascii="Arial" w:eastAsia="Times" w:hAnsi="Arial" w:cs="Arial"/>
          <w:color w:val="000000"/>
        </w:rPr>
        <w:t>ublic</w:t>
      </w:r>
      <w:r w:rsidR="00140B04">
        <w:rPr>
          <w:rFonts w:ascii="Arial" w:eastAsia="Times" w:hAnsi="Arial" w:cs="Arial"/>
          <w:color w:val="000000"/>
        </w:rPr>
        <w:t xml:space="preserve"> </w:t>
      </w:r>
      <w:r w:rsidR="005D0CBC">
        <w:rPr>
          <w:rFonts w:ascii="Arial" w:eastAsia="Times" w:hAnsi="Arial" w:cs="Arial"/>
          <w:color w:val="000000"/>
        </w:rPr>
        <w:t>s</w:t>
      </w:r>
      <w:r w:rsidRPr="0039095C">
        <w:rPr>
          <w:rFonts w:ascii="Arial" w:eastAsia="Times" w:hAnsi="Arial" w:cs="Arial"/>
          <w:color w:val="000000"/>
        </w:rPr>
        <w:t xml:space="preserve">ector </w:t>
      </w:r>
      <w:r w:rsidR="005D0CBC">
        <w:rPr>
          <w:rFonts w:ascii="Arial" w:eastAsia="Times" w:hAnsi="Arial" w:cs="Arial"/>
          <w:color w:val="000000"/>
        </w:rPr>
        <w:t>e</w:t>
      </w:r>
      <w:r w:rsidRPr="0039095C">
        <w:rPr>
          <w:rFonts w:ascii="Arial" w:eastAsia="Times" w:hAnsi="Arial" w:cs="Arial"/>
          <w:color w:val="000000"/>
        </w:rPr>
        <w:t>mployers</w:t>
      </w:r>
      <w:r>
        <w:rPr>
          <w:rFonts w:ascii="Arial" w:eastAsia="Times" w:hAnsi="Arial" w:cs="Arial"/>
          <w:color w:val="000000"/>
        </w:rPr>
        <w:t xml:space="preserve">. Where </w:t>
      </w:r>
      <w:r w:rsidR="005D0CBC">
        <w:rPr>
          <w:rFonts w:ascii="Arial" w:eastAsia="Times" w:hAnsi="Arial" w:cs="Arial"/>
          <w:color w:val="000000"/>
        </w:rPr>
        <w:t>p</w:t>
      </w:r>
      <w:r>
        <w:rPr>
          <w:rFonts w:ascii="Arial" w:eastAsia="Times" w:hAnsi="Arial" w:cs="Arial"/>
          <w:color w:val="000000"/>
        </w:rPr>
        <w:t xml:space="preserve">ublic </w:t>
      </w:r>
      <w:r w:rsidR="005D0CBC">
        <w:rPr>
          <w:rFonts w:ascii="Arial" w:eastAsia="Times" w:hAnsi="Arial" w:cs="Arial"/>
          <w:color w:val="000000"/>
        </w:rPr>
        <w:t>s</w:t>
      </w:r>
      <w:r>
        <w:rPr>
          <w:rFonts w:ascii="Arial" w:eastAsia="Times" w:hAnsi="Arial" w:cs="Arial"/>
          <w:color w:val="000000"/>
        </w:rPr>
        <w:t xml:space="preserve">ector </w:t>
      </w:r>
      <w:r w:rsidR="005D0CBC">
        <w:rPr>
          <w:rFonts w:ascii="Arial" w:eastAsia="Times" w:hAnsi="Arial" w:cs="Arial"/>
          <w:color w:val="000000"/>
        </w:rPr>
        <w:t>e</w:t>
      </w:r>
      <w:r>
        <w:rPr>
          <w:rFonts w:ascii="Arial" w:eastAsia="Times" w:hAnsi="Arial" w:cs="Arial"/>
          <w:color w:val="000000"/>
        </w:rPr>
        <w:t>mployers are considering trialling</w:t>
      </w:r>
      <w:r w:rsidRPr="000F0D57">
        <w:rPr>
          <w:rFonts w:ascii="Arial" w:eastAsia="Times" w:hAnsi="Arial" w:cs="Arial"/>
          <w:color w:val="000000"/>
        </w:rPr>
        <w:t xml:space="preserve"> alternative ways of working or arranging ordinary hours of work</w:t>
      </w:r>
      <w:r>
        <w:rPr>
          <w:rFonts w:ascii="Arial" w:eastAsia="Times" w:hAnsi="Arial" w:cs="Arial"/>
          <w:color w:val="000000"/>
        </w:rPr>
        <w:t>, they most note that t</w:t>
      </w:r>
      <w:r w:rsidRPr="0039095C">
        <w:rPr>
          <w:rFonts w:ascii="Arial" w:eastAsia="Times" w:hAnsi="Arial" w:cs="Arial"/>
          <w:color w:val="000000"/>
        </w:rPr>
        <w:t xml:space="preserve">here are a range of models that may be appropriate to test in a public sector workplace and consideration should be given to whether </w:t>
      </w:r>
      <w:r>
        <w:rPr>
          <w:rFonts w:ascii="Arial" w:eastAsia="Times" w:hAnsi="Arial" w:cs="Arial"/>
          <w:color w:val="000000"/>
        </w:rPr>
        <w:t>a</w:t>
      </w:r>
      <w:r w:rsidRPr="0039095C">
        <w:rPr>
          <w:rFonts w:ascii="Arial" w:eastAsia="Times" w:hAnsi="Arial" w:cs="Arial"/>
          <w:color w:val="000000"/>
        </w:rPr>
        <w:t xml:space="preserve"> model is fit for purpose or whether a bespoke arrangement is needed – </w:t>
      </w:r>
      <w:r>
        <w:rPr>
          <w:rFonts w:ascii="Arial" w:eastAsia="Times" w:hAnsi="Arial" w:cs="Arial"/>
          <w:color w:val="000000"/>
        </w:rPr>
        <w:t xml:space="preserve">in </w:t>
      </w:r>
      <w:r w:rsidRPr="0039095C">
        <w:rPr>
          <w:rFonts w:ascii="Arial" w:eastAsia="Times" w:hAnsi="Arial" w:cs="Arial"/>
          <w:color w:val="000000"/>
        </w:rPr>
        <w:t>particular</w:t>
      </w:r>
      <w:r>
        <w:rPr>
          <w:rFonts w:ascii="Arial" w:eastAsia="Times" w:hAnsi="Arial" w:cs="Arial"/>
          <w:color w:val="000000"/>
        </w:rPr>
        <w:t xml:space="preserve"> having regard to the </w:t>
      </w:r>
      <w:r w:rsidRPr="0039095C">
        <w:rPr>
          <w:rFonts w:ascii="Arial" w:eastAsia="Times" w:hAnsi="Arial" w:cs="Arial"/>
          <w:color w:val="000000"/>
        </w:rPr>
        <w:t>operational needs of the employer</w:t>
      </w:r>
      <w:r>
        <w:rPr>
          <w:rFonts w:ascii="Arial" w:eastAsia="Times" w:hAnsi="Arial" w:cs="Arial"/>
          <w:color w:val="000000"/>
        </w:rPr>
        <w:t xml:space="preserve"> and wellbeing of employees </w:t>
      </w:r>
      <w:r w:rsidRPr="0039095C">
        <w:rPr>
          <w:rFonts w:ascii="Arial" w:eastAsia="Times" w:hAnsi="Arial" w:cs="Arial"/>
          <w:color w:val="000000"/>
        </w:rPr>
        <w:t>.</w:t>
      </w:r>
    </w:p>
    <w:p w14:paraId="02848D36" w14:textId="77777777" w:rsidR="006C581D" w:rsidRPr="0039095C" w:rsidRDefault="006C581D" w:rsidP="006C581D">
      <w:pPr>
        <w:keepNext/>
        <w:keepLines/>
        <w:spacing w:before="240" w:line="240" w:lineRule="auto"/>
        <w:outlineLvl w:val="3"/>
        <w:rPr>
          <w:rFonts w:ascii="Arial" w:eastAsia="MS Mincho" w:hAnsi="Arial" w:cs="Times New Roman"/>
          <w:b/>
          <w:bCs/>
          <w:color w:val="0072CE"/>
          <w:sz w:val="28"/>
          <w:szCs w:val="28"/>
        </w:rPr>
      </w:pPr>
      <w:r w:rsidRPr="0039095C">
        <w:rPr>
          <w:rFonts w:ascii="Arial" w:eastAsia="MS Mincho" w:hAnsi="Arial" w:cs="Times New Roman"/>
          <w:b/>
          <w:bCs/>
          <w:color w:val="0072CE"/>
          <w:sz w:val="28"/>
          <w:szCs w:val="28"/>
        </w:rPr>
        <w:t xml:space="preserve">Examples of </w:t>
      </w:r>
      <w:r w:rsidRPr="00A65418">
        <w:rPr>
          <w:rFonts w:ascii="Arial" w:eastAsia="MS Mincho" w:hAnsi="Arial" w:cs="Times New Roman"/>
          <w:b/>
          <w:bCs/>
          <w:color w:val="0072CE"/>
          <w:sz w:val="28"/>
          <w:szCs w:val="28"/>
        </w:rPr>
        <w:t>alternative ways of working or arranging ordinary hours of work</w:t>
      </w:r>
    </w:p>
    <w:p w14:paraId="3229F303" w14:textId="77777777" w:rsidR="006C581D" w:rsidRPr="0039095C" w:rsidRDefault="006C581D" w:rsidP="006C581D">
      <w:pPr>
        <w:spacing w:line="300" w:lineRule="atLeast"/>
        <w:rPr>
          <w:rFonts w:ascii="Arial" w:eastAsia="Times" w:hAnsi="Arial" w:cs="Arial"/>
          <w:color w:val="000000"/>
        </w:rPr>
      </w:pPr>
      <w:r w:rsidRPr="0039095C">
        <w:rPr>
          <w:rFonts w:ascii="Arial" w:eastAsia="Times" w:hAnsi="Arial" w:cs="Arial"/>
          <w:color w:val="000000"/>
        </w:rPr>
        <w:t>A</w:t>
      </w:r>
      <w:r w:rsidRPr="000F0D57">
        <w:rPr>
          <w:rFonts w:ascii="Arial" w:eastAsia="Times" w:hAnsi="Arial" w:cs="Arial"/>
          <w:color w:val="000000"/>
        </w:rPr>
        <w:t xml:space="preserve">lternative ways of working or arranging ordinary hours of work </w:t>
      </w:r>
      <w:r w:rsidRPr="0039095C">
        <w:rPr>
          <w:rFonts w:ascii="Arial" w:eastAsia="Times" w:hAnsi="Arial" w:cs="Arial"/>
          <w:color w:val="000000"/>
        </w:rPr>
        <w:t xml:space="preserve">may include a reduction in the number of hours worked without a corresponding reduction in the amount of productivity or remuneration. For example, a nine-day fortnight where an employee works 90 per cent of their full-time hours but they are required to maintain 100 per cent of their productivity and would receive 100 per cent of their existing remuneration. Alternatively, </w:t>
      </w:r>
      <w:r>
        <w:rPr>
          <w:rFonts w:ascii="Arial" w:eastAsia="Times" w:hAnsi="Arial" w:cs="Arial"/>
          <w:color w:val="000000"/>
        </w:rPr>
        <w:t xml:space="preserve">the same number of hours may be arranged in a different or more flexible manner, for example, </w:t>
      </w:r>
      <w:r w:rsidRPr="0039095C">
        <w:rPr>
          <w:rFonts w:ascii="Arial" w:eastAsia="Times" w:hAnsi="Arial" w:cs="Arial"/>
          <w:color w:val="000000"/>
        </w:rPr>
        <w:t xml:space="preserve">a 19-day month (in a month with 20 </w:t>
      </w:r>
      <w:proofErr w:type="gramStart"/>
      <w:r w:rsidRPr="0039095C">
        <w:rPr>
          <w:rFonts w:ascii="Arial" w:eastAsia="Times" w:hAnsi="Arial" w:cs="Arial"/>
          <w:color w:val="000000"/>
        </w:rPr>
        <w:t>work days</w:t>
      </w:r>
      <w:proofErr w:type="gramEnd"/>
      <w:r w:rsidRPr="0039095C">
        <w:rPr>
          <w:rFonts w:ascii="Arial" w:eastAsia="Times" w:hAnsi="Arial" w:cs="Arial"/>
          <w:color w:val="000000"/>
        </w:rPr>
        <w:t>) with corresponding maintenance of productivity and remuneration</w:t>
      </w:r>
      <w:r>
        <w:rPr>
          <w:rFonts w:ascii="Arial" w:eastAsia="Times" w:hAnsi="Arial" w:cs="Arial"/>
          <w:color w:val="000000"/>
        </w:rPr>
        <w:t xml:space="preserve"> but allowing an employee more non-</w:t>
      </w:r>
      <w:proofErr w:type="gramStart"/>
      <w:r>
        <w:rPr>
          <w:rFonts w:ascii="Arial" w:eastAsia="Times" w:hAnsi="Arial" w:cs="Arial"/>
          <w:color w:val="000000"/>
        </w:rPr>
        <w:t>work days</w:t>
      </w:r>
      <w:proofErr w:type="gramEnd"/>
      <w:r>
        <w:rPr>
          <w:rFonts w:ascii="Arial" w:eastAsia="Times" w:hAnsi="Arial" w:cs="Arial"/>
          <w:color w:val="000000"/>
        </w:rPr>
        <w:t xml:space="preserve"> over the period</w:t>
      </w:r>
      <w:r w:rsidRPr="0039095C">
        <w:rPr>
          <w:rFonts w:ascii="Arial" w:eastAsia="Times" w:hAnsi="Arial" w:cs="Arial"/>
          <w:color w:val="000000"/>
        </w:rPr>
        <w:t xml:space="preserve">. </w:t>
      </w:r>
    </w:p>
    <w:p w14:paraId="0E5C7BE2" w14:textId="77777777" w:rsidR="006C581D" w:rsidRPr="0039095C" w:rsidRDefault="006C581D" w:rsidP="006C581D">
      <w:pPr>
        <w:keepNext/>
        <w:keepLines/>
        <w:spacing w:before="240" w:line="240" w:lineRule="auto"/>
        <w:outlineLvl w:val="3"/>
        <w:rPr>
          <w:rFonts w:ascii="Arial" w:eastAsia="MS Mincho" w:hAnsi="Arial" w:cs="Times New Roman"/>
          <w:b/>
          <w:bCs/>
          <w:color w:val="0072CE"/>
          <w:sz w:val="28"/>
          <w:szCs w:val="28"/>
        </w:rPr>
      </w:pPr>
      <w:r w:rsidRPr="0039095C">
        <w:rPr>
          <w:rFonts w:ascii="Arial" w:eastAsia="MS Mincho" w:hAnsi="Arial" w:cs="Times New Roman"/>
          <w:b/>
          <w:bCs/>
          <w:color w:val="0072CE"/>
          <w:sz w:val="28"/>
          <w:szCs w:val="28"/>
        </w:rPr>
        <w:t xml:space="preserve">Objectives of </w:t>
      </w:r>
      <w:r w:rsidRPr="00A65418">
        <w:rPr>
          <w:rFonts w:ascii="Arial" w:eastAsia="MS Mincho" w:hAnsi="Arial" w:cs="Times New Roman"/>
          <w:b/>
          <w:bCs/>
          <w:color w:val="0072CE"/>
          <w:sz w:val="28"/>
          <w:szCs w:val="28"/>
        </w:rPr>
        <w:t>a trial of alternative ways of working or arranging ordinary hours of work</w:t>
      </w:r>
    </w:p>
    <w:p w14:paraId="0D0943A7" w14:textId="77777777" w:rsidR="006C581D" w:rsidRPr="0039095C" w:rsidRDefault="006C581D" w:rsidP="006C581D">
      <w:pPr>
        <w:spacing w:line="300" w:lineRule="atLeast"/>
        <w:rPr>
          <w:rFonts w:ascii="Arial" w:eastAsia="Times" w:hAnsi="Arial" w:cs="Arial"/>
          <w:color w:val="000000"/>
        </w:rPr>
      </w:pPr>
      <w:r>
        <w:rPr>
          <w:rFonts w:ascii="Arial" w:eastAsia="Times" w:hAnsi="Arial" w:cs="Arial"/>
          <w:color w:val="000000"/>
        </w:rPr>
        <w:t>A</w:t>
      </w:r>
      <w:r w:rsidRPr="00A65418">
        <w:rPr>
          <w:rFonts w:ascii="Arial" w:eastAsia="Times" w:hAnsi="Arial" w:cs="Arial"/>
          <w:color w:val="000000"/>
        </w:rPr>
        <w:t xml:space="preserve"> trial of alternative ways of working or arranging ordinary hours of work</w:t>
      </w:r>
      <w:r w:rsidRPr="0039095C">
        <w:rPr>
          <w:rFonts w:ascii="Arial" w:eastAsia="Times" w:hAnsi="Arial" w:cs="Arial"/>
          <w:color w:val="000000"/>
        </w:rPr>
        <w:t xml:space="preserve">, if agreed, should seek to test anticipated benefits, including improving </w:t>
      </w:r>
      <w:r>
        <w:rPr>
          <w:rFonts w:ascii="Arial" w:eastAsia="Times" w:hAnsi="Arial" w:cs="Arial"/>
          <w:color w:val="000000"/>
        </w:rPr>
        <w:t xml:space="preserve">work/life balance, increasing </w:t>
      </w:r>
      <w:r w:rsidRPr="0039095C">
        <w:rPr>
          <w:rFonts w:ascii="Arial" w:eastAsia="Times" w:hAnsi="Arial" w:cs="Arial"/>
          <w:color w:val="000000"/>
        </w:rPr>
        <w:t>workforce diversity</w:t>
      </w:r>
      <w:r>
        <w:rPr>
          <w:rFonts w:ascii="Arial" w:eastAsia="Times" w:hAnsi="Arial" w:cs="Arial"/>
          <w:color w:val="000000"/>
        </w:rPr>
        <w:t>, promoting inclusivity,</w:t>
      </w:r>
      <w:r w:rsidRPr="0039095C">
        <w:rPr>
          <w:rFonts w:ascii="Arial" w:eastAsia="Times" w:hAnsi="Arial" w:cs="Arial"/>
          <w:color w:val="000000"/>
        </w:rPr>
        <w:t xml:space="preserve"> and enabling greater workforce participation as well as broader economic benefits, such as increased spending on </w:t>
      </w:r>
      <w:r>
        <w:rPr>
          <w:rFonts w:ascii="Arial" w:eastAsia="Times" w:hAnsi="Arial" w:cs="Arial"/>
          <w:color w:val="000000"/>
        </w:rPr>
        <w:t xml:space="preserve">goods and </w:t>
      </w:r>
      <w:r w:rsidRPr="0039095C">
        <w:rPr>
          <w:rFonts w:ascii="Arial" w:eastAsia="Times" w:hAnsi="Arial" w:cs="Arial"/>
          <w:color w:val="000000"/>
        </w:rPr>
        <w:t xml:space="preserve">services </w:t>
      </w:r>
      <w:r>
        <w:rPr>
          <w:rFonts w:ascii="Arial" w:eastAsia="Times" w:hAnsi="Arial" w:cs="Arial"/>
          <w:color w:val="000000"/>
        </w:rPr>
        <w:t xml:space="preserve">in metropolitan and regional areas </w:t>
      </w:r>
      <w:r w:rsidRPr="0039095C">
        <w:rPr>
          <w:rFonts w:ascii="Arial" w:eastAsia="Times" w:hAnsi="Arial" w:cs="Arial"/>
          <w:color w:val="000000"/>
        </w:rPr>
        <w:t>during non-work time.</w:t>
      </w:r>
      <w:r>
        <w:rPr>
          <w:rFonts w:ascii="Arial" w:eastAsia="Times" w:hAnsi="Arial" w:cs="Arial"/>
          <w:color w:val="000000"/>
        </w:rPr>
        <w:t xml:space="preserve"> While also ensuring there is no loss of productivity or additional costs to Government.</w:t>
      </w:r>
      <w:r w:rsidRPr="0039095C">
        <w:rPr>
          <w:rFonts w:ascii="Arial" w:eastAsia="Times" w:hAnsi="Arial" w:cs="Arial"/>
          <w:color w:val="000000"/>
        </w:rPr>
        <w:t xml:space="preserve"> </w:t>
      </w:r>
    </w:p>
    <w:p w14:paraId="37751A23" w14:textId="77777777" w:rsidR="006C581D" w:rsidRPr="0039095C" w:rsidRDefault="006C581D" w:rsidP="006C581D">
      <w:pPr>
        <w:spacing w:line="300" w:lineRule="atLeast"/>
        <w:rPr>
          <w:rFonts w:ascii="Arial" w:eastAsia="Times" w:hAnsi="Arial" w:cs="Arial"/>
          <w:color w:val="000000"/>
        </w:rPr>
      </w:pPr>
      <w:r w:rsidRPr="0039095C">
        <w:rPr>
          <w:rFonts w:ascii="Arial" w:eastAsia="Times" w:hAnsi="Arial" w:cs="Arial"/>
          <w:color w:val="000000"/>
        </w:rPr>
        <w:lastRenderedPageBreak/>
        <w:t xml:space="preserve">The development of </w:t>
      </w:r>
      <w:r w:rsidRPr="00A65418">
        <w:rPr>
          <w:rFonts w:ascii="Arial" w:eastAsia="Times" w:hAnsi="Arial" w:cs="Arial"/>
          <w:color w:val="000000"/>
        </w:rPr>
        <w:t xml:space="preserve">a trial of alternative ways of working or arranging ordinary hours of work </w:t>
      </w:r>
      <w:r w:rsidRPr="0039095C">
        <w:rPr>
          <w:rFonts w:ascii="Arial" w:eastAsia="Times" w:hAnsi="Arial" w:cs="Arial"/>
          <w:color w:val="000000"/>
        </w:rPr>
        <w:t>should be guided by the following primary objectives:</w:t>
      </w:r>
    </w:p>
    <w:p w14:paraId="22787A99" w14:textId="77777777" w:rsidR="006C581D" w:rsidRPr="0039095C" w:rsidRDefault="006C581D" w:rsidP="006C581D">
      <w:pPr>
        <w:numPr>
          <w:ilvl w:val="0"/>
          <w:numId w:val="15"/>
        </w:numPr>
        <w:spacing w:before="0" w:after="0" w:line="300" w:lineRule="atLeast"/>
        <w:rPr>
          <w:rFonts w:ascii="Arial" w:eastAsia="Times" w:hAnsi="Arial" w:cs="Arial"/>
          <w:color w:val="000000"/>
        </w:rPr>
      </w:pPr>
      <w:r w:rsidRPr="0039095C">
        <w:rPr>
          <w:rFonts w:ascii="Arial" w:eastAsia="Times" w:hAnsi="Arial" w:cs="Arial"/>
          <w:color w:val="000000"/>
        </w:rPr>
        <w:t>a strong focus on measuring productivity, service delivery impacts</w:t>
      </w:r>
      <w:r>
        <w:rPr>
          <w:rFonts w:ascii="Arial" w:eastAsia="Times" w:hAnsi="Arial" w:cs="Arial"/>
          <w:color w:val="000000"/>
        </w:rPr>
        <w:t>, cost implications</w:t>
      </w:r>
      <w:r w:rsidRPr="0039095C">
        <w:rPr>
          <w:rFonts w:ascii="Arial" w:eastAsia="Times" w:hAnsi="Arial" w:cs="Arial"/>
          <w:color w:val="000000"/>
        </w:rPr>
        <w:t xml:space="preserve"> and associated organisational impacts to see if these can be maintained commensurably with the reduced </w:t>
      </w:r>
      <w:r>
        <w:rPr>
          <w:rFonts w:ascii="Arial" w:eastAsia="Times" w:hAnsi="Arial" w:cs="Arial"/>
          <w:color w:val="000000"/>
        </w:rPr>
        <w:t xml:space="preserve">or rearranged </w:t>
      </w:r>
      <w:r w:rsidRPr="0039095C">
        <w:rPr>
          <w:rFonts w:ascii="Arial" w:eastAsia="Times" w:hAnsi="Arial" w:cs="Arial"/>
          <w:color w:val="000000"/>
        </w:rPr>
        <w:t>working hours</w:t>
      </w:r>
    </w:p>
    <w:p w14:paraId="0303F6CF" w14:textId="77777777" w:rsidR="006C581D" w:rsidRPr="0039095C" w:rsidRDefault="006C581D" w:rsidP="006C581D">
      <w:pPr>
        <w:numPr>
          <w:ilvl w:val="0"/>
          <w:numId w:val="15"/>
        </w:numPr>
        <w:spacing w:before="0" w:after="0" w:line="300" w:lineRule="atLeast"/>
        <w:rPr>
          <w:rFonts w:ascii="Arial" w:eastAsia="Times" w:hAnsi="Arial" w:cs="Arial"/>
          <w:color w:val="000000"/>
        </w:rPr>
      </w:pPr>
      <w:r w:rsidRPr="0039095C">
        <w:rPr>
          <w:rFonts w:ascii="Arial" w:eastAsia="Times" w:hAnsi="Arial" w:cs="Arial"/>
          <w:color w:val="000000"/>
        </w:rPr>
        <w:t xml:space="preserve">measuring wellbeing and job satisfaction not only qualitatively (e.g. self-reported and employee opinion-based data) but also quantitatively (e.g. reduced absenteeism, reduced </w:t>
      </w:r>
      <w:r>
        <w:rPr>
          <w:rFonts w:ascii="Arial" w:eastAsia="Times" w:hAnsi="Arial" w:cs="Arial"/>
          <w:color w:val="000000"/>
        </w:rPr>
        <w:t>unplanned absences</w:t>
      </w:r>
      <w:r w:rsidRPr="0039095C">
        <w:rPr>
          <w:rFonts w:ascii="Arial" w:eastAsia="Times" w:hAnsi="Arial" w:cs="Arial"/>
          <w:color w:val="000000"/>
        </w:rPr>
        <w:t>, improved attraction and retention, measurable productivity outcomes that demonstrate maintained or enhanced productivity)</w:t>
      </w:r>
      <w:r>
        <w:rPr>
          <w:rFonts w:ascii="Arial" w:eastAsia="Times" w:hAnsi="Arial" w:cs="Arial"/>
          <w:color w:val="000000"/>
        </w:rPr>
        <w:t xml:space="preserve"> and collecting relevant data to demonstrate these measures</w:t>
      </w:r>
    </w:p>
    <w:p w14:paraId="4A2011A8" w14:textId="77777777" w:rsidR="006C581D" w:rsidRPr="0039095C" w:rsidRDefault="006C581D" w:rsidP="006C581D">
      <w:pPr>
        <w:numPr>
          <w:ilvl w:val="0"/>
          <w:numId w:val="15"/>
        </w:numPr>
        <w:spacing w:before="0" w:after="0" w:line="300" w:lineRule="atLeast"/>
        <w:rPr>
          <w:rFonts w:ascii="Arial" w:eastAsia="Times" w:hAnsi="Arial" w:cs="Arial"/>
          <w:color w:val="000000"/>
        </w:rPr>
      </w:pPr>
      <w:r w:rsidRPr="0039095C">
        <w:rPr>
          <w:rFonts w:ascii="Arial" w:eastAsia="Times" w:hAnsi="Arial" w:cs="Arial"/>
          <w:color w:val="000000"/>
        </w:rPr>
        <w:t xml:space="preserve">an organisation should not be disadvantaged </w:t>
      </w:r>
      <w:proofErr w:type="gramStart"/>
      <w:r w:rsidRPr="0039095C">
        <w:rPr>
          <w:rFonts w:ascii="Arial" w:eastAsia="Times" w:hAnsi="Arial" w:cs="Arial"/>
          <w:color w:val="000000"/>
        </w:rPr>
        <w:t>as a result of</w:t>
      </w:r>
      <w:proofErr w:type="gramEnd"/>
      <w:r w:rsidRPr="0039095C">
        <w:rPr>
          <w:rFonts w:ascii="Arial" w:eastAsia="Times" w:hAnsi="Arial" w:cs="Arial"/>
          <w:color w:val="000000"/>
        </w:rPr>
        <w:t xml:space="preserve"> hosting a trial with any costs incurred to be fully offset through measurable cash savings (e.g. reduction in accrual of employment entitlements for trial participants)</w:t>
      </w:r>
    </w:p>
    <w:p w14:paraId="4B522530" w14:textId="77777777" w:rsidR="006C581D" w:rsidRPr="0039095C" w:rsidRDefault="006C581D" w:rsidP="006C581D">
      <w:pPr>
        <w:numPr>
          <w:ilvl w:val="0"/>
          <w:numId w:val="15"/>
        </w:numPr>
        <w:spacing w:before="0" w:after="0" w:line="300" w:lineRule="atLeast"/>
        <w:rPr>
          <w:rFonts w:ascii="Arial" w:eastAsia="Times" w:hAnsi="Arial" w:cs="Arial"/>
          <w:color w:val="000000"/>
        </w:rPr>
      </w:pPr>
      <w:r w:rsidRPr="0039095C">
        <w:rPr>
          <w:rFonts w:ascii="Arial" w:eastAsia="Times" w:hAnsi="Arial" w:cs="Arial"/>
          <w:color w:val="000000"/>
        </w:rPr>
        <w:t>enabling meaningful time off to encourage discretionary spending (e.g. accessing services and hospitality)</w:t>
      </w:r>
    </w:p>
    <w:p w14:paraId="29697409" w14:textId="77777777" w:rsidR="006C581D" w:rsidRPr="0039095C" w:rsidRDefault="006C581D" w:rsidP="006C581D">
      <w:pPr>
        <w:keepNext/>
        <w:keepLines/>
        <w:spacing w:before="240" w:line="240" w:lineRule="auto"/>
        <w:outlineLvl w:val="3"/>
        <w:rPr>
          <w:rFonts w:ascii="Arial" w:eastAsia="MS Mincho" w:hAnsi="Arial" w:cs="Times New Roman"/>
          <w:b/>
          <w:bCs/>
          <w:color w:val="0072CE"/>
          <w:sz w:val="28"/>
          <w:szCs w:val="28"/>
        </w:rPr>
      </w:pPr>
      <w:r w:rsidRPr="0039095C">
        <w:rPr>
          <w:rFonts w:ascii="Arial" w:eastAsia="MS Mincho" w:hAnsi="Arial" w:cs="Times New Roman"/>
          <w:b/>
          <w:bCs/>
          <w:color w:val="0072CE"/>
          <w:sz w:val="28"/>
          <w:szCs w:val="28"/>
        </w:rPr>
        <w:t xml:space="preserve">Identifying and managing the risks of </w:t>
      </w:r>
      <w:r w:rsidRPr="00A65418">
        <w:rPr>
          <w:rFonts w:ascii="Arial" w:eastAsia="MS Mincho" w:hAnsi="Arial" w:cs="Times New Roman"/>
          <w:b/>
          <w:bCs/>
          <w:color w:val="0072CE"/>
          <w:sz w:val="28"/>
          <w:szCs w:val="28"/>
        </w:rPr>
        <w:t>a trial of alternative ways of working or arranging ordinary hours of work</w:t>
      </w:r>
    </w:p>
    <w:p w14:paraId="4D954FB1" w14:textId="77777777" w:rsidR="006C581D" w:rsidRPr="0039095C" w:rsidRDefault="006C581D" w:rsidP="006C581D">
      <w:pPr>
        <w:spacing w:line="300" w:lineRule="atLeast"/>
        <w:rPr>
          <w:rFonts w:ascii="Arial" w:eastAsia="Times" w:hAnsi="Arial" w:cs="Arial"/>
          <w:color w:val="000000"/>
        </w:rPr>
      </w:pPr>
      <w:r w:rsidRPr="0039095C">
        <w:rPr>
          <w:rFonts w:ascii="Arial" w:eastAsia="Times" w:hAnsi="Arial" w:cs="Arial"/>
          <w:color w:val="000000"/>
        </w:rPr>
        <w:t xml:space="preserve">Employers will be responsible for managing any risks associated with </w:t>
      </w:r>
      <w:r w:rsidRPr="00A65418">
        <w:rPr>
          <w:rFonts w:ascii="Arial" w:eastAsia="Times" w:hAnsi="Arial" w:cs="Arial"/>
          <w:color w:val="000000"/>
        </w:rPr>
        <w:t>trial</w:t>
      </w:r>
      <w:r>
        <w:rPr>
          <w:rFonts w:ascii="Arial" w:eastAsia="Times" w:hAnsi="Arial" w:cs="Arial"/>
          <w:color w:val="000000"/>
        </w:rPr>
        <w:t>ling</w:t>
      </w:r>
      <w:r w:rsidRPr="00A65418">
        <w:rPr>
          <w:rFonts w:ascii="Arial" w:eastAsia="Times" w:hAnsi="Arial" w:cs="Arial"/>
          <w:color w:val="000000"/>
        </w:rPr>
        <w:t xml:space="preserve"> alternative ways of working or arranging ordinary hours of work</w:t>
      </w:r>
      <w:r w:rsidRPr="0039095C">
        <w:rPr>
          <w:rFonts w:ascii="Arial" w:eastAsia="Times" w:hAnsi="Arial" w:cs="Arial"/>
          <w:color w:val="000000"/>
        </w:rPr>
        <w:t>. To manage these risks, it will be important that:</w:t>
      </w:r>
    </w:p>
    <w:p w14:paraId="741F0BA5" w14:textId="77777777" w:rsidR="006C581D" w:rsidRDefault="006C581D" w:rsidP="006C581D">
      <w:pPr>
        <w:numPr>
          <w:ilvl w:val="0"/>
          <w:numId w:val="16"/>
        </w:numPr>
        <w:spacing w:before="0" w:after="0" w:line="300" w:lineRule="atLeast"/>
        <w:rPr>
          <w:rFonts w:ascii="Arial" w:eastAsia="Times" w:hAnsi="Arial" w:cs="Arial"/>
          <w:color w:val="000000"/>
        </w:rPr>
      </w:pPr>
      <w:bookmarkStart w:id="1" w:name="_Hlk152687473"/>
      <w:r>
        <w:rPr>
          <w:rFonts w:ascii="Arial" w:eastAsia="Times" w:hAnsi="Arial" w:cs="Arial"/>
          <w:color w:val="000000"/>
        </w:rPr>
        <w:t>the employer consults with the relevant union</w:t>
      </w:r>
    </w:p>
    <w:p w14:paraId="660EAAAE" w14:textId="77777777" w:rsidR="006C581D" w:rsidRPr="0039095C" w:rsidRDefault="006C581D" w:rsidP="006C581D">
      <w:pPr>
        <w:numPr>
          <w:ilvl w:val="0"/>
          <w:numId w:val="16"/>
        </w:numPr>
        <w:spacing w:before="0" w:after="0" w:line="300" w:lineRule="atLeast"/>
        <w:rPr>
          <w:rFonts w:ascii="Arial" w:eastAsia="Times" w:hAnsi="Arial" w:cs="Arial"/>
          <w:color w:val="000000"/>
        </w:rPr>
      </w:pPr>
      <w:r w:rsidRPr="0039095C">
        <w:rPr>
          <w:rFonts w:ascii="Arial" w:eastAsia="Times" w:hAnsi="Arial" w:cs="Arial"/>
          <w:color w:val="000000"/>
        </w:rPr>
        <w:t>the employer retains the option to cancel any trial and the ability to decide against a broader roll out at the conclusion of the trial following evaluation and review (either during the trial or after it concludes)</w:t>
      </w:r>
    </w:p>
    <w:bookmarkEnd w:id="1"/>
    <w:p w14:paraId="5BB6CB39" w14:textId="29C85E22" w:rsidR="006C581D" w:rsidRPr="0039095C" w:rsidRDefault="006C581D" w:rsidP="006C581D">
      <w:pPr>
        <w:numPr>
          <w:ilvl w:val="0"/>
          <w:numId w:val="16"/>
        </w:numPr>
        <w:spacing w:before="0" w:after="0" w:line="300" w:lineRule="atLeast"/>
        <w:rPr>
          <w:rFonts w:ascii="Arial" w:eastAsia="Times" w:hAnsi="Arial" w:cs="Arial"/>
          <w:color w:val="000000"/>
        </w:rPr>
      </w:pPr>
      <w:r w:rsidRPr="0039095C">
        <w:rPr>
          <w:rFonts w:ascii="Arial" w:eastAsia="Times" w:hAnsi="Arial" w:cs="Arial"/>
          <w:color w:val="000000"/>
        </w:rPr>
        <w:t xml:space="preserve">options for costs to be offset (for example, reducing the rate at which personal leave and annual leave accrue on a pro-rata basis, cost savings associated with improved wellbeing outcomes, reduced accommodation footprint and </w:t>
      </w:r>
      <w:r>
        <w:rPr>
          <w:rFonts w:ascii="Arial" w:eastAsia="Times" w:hAnsi="Arial" w:cs="Arial"/>
          <w:color w:val="000000"/>
        </w:rPr>
        <w:t xml:space="preserve">reduced </w:t>
      </w:r>
      <w:r w:rsidRPr="0039095C">
        <w:rPr>
          <w:rFonts w:ascii="Arial" w:eastAsia="Times" w:hAnsi="Arial" w:cs="Arial"/>
          <w:color w:val="000000"/>
        </w:rPr>
        <w:t>staff turnover</w:t>
      </w:r>
      <w:r>
        <w:rPr>
          <w:rFonts w:ascii="Arial" w:eastAsia="Times" w:hAnsi="Arial" w:cs="Arial"/>
          <w:color w:val="000000"/>
        </w:rPr>
        <w:t xml:space="preserve"> and hiring costs)</w:t>
      </w:r>
      <w:r w:rsidRPr="0039095C">
        <w:rPr>
          <w:rFonts w:ascii="Arial" w:eastAsia="Times" w:hAnsi="Arial" w:cs="Arial"/>
          <w:color w:val="000000"/>
        </w:rPr>
        <w:t xml:space="preserve"> are properly explored and measured according to an established benchmark (noting that no </w:t>
      </w:r>
      <w:r>
        <w:rPr>
          <w:rFonts w:ascii="Arial" w:eastAsia="Times" w:hAnsi="Arial" w:cs="Arial"/>
          <w:color w:val="000000"/>
        </w:rPr>
        <w:t>central</w:t>
      </w:r>
      <w:r w:rsidRPr="0039095C">
        <w:rPr>
          <w:rFonts w:ascii="Arial" w:eastAsia="Times" w:hAnsi="Arial" w:cs="Arial"/>
          <w:color w:val="000000"/>
        </w:rPr>
        <w:t xml:space="preserve"> funding is available for </w:t>
      </w:r>
      <w:r w:rsidR="00515E22">
        <w:rPr>
          <w:rFonts w:ascii="Arial" w:eastAsia="Times" w:hAnsi="Arial" w:cs="Arial"/>
          <w:color w:val="000000"/>
        </w:rPr>
        <w:t>p</w:t>
      </w:r>
      <w:r w:rsidRPr="0039095C">
        <w:rPr>
          <w:rFonts w:ascii="Arial" w:eastAsia="Times" w:hAnsi="Arial" w:cs="Arial"/>
          <w:color w:val="000000"/>
        </w:rPr>
        <w:t xml:space="preserve">ublic </w:t>
      </w:r>
      <w:r w:rsidR="00515E22">
        <w:rPr>
          <w:rFonts w:ascii="Arial" w:eastAsia="Times" w:hAnsi="Arial" w:cs="Arial"/>
          <w:color w:val="000000"/>
        </w:rPr>
        <w:t>s</w:t>
      </w:r>
      <w:r w:rsidRPr="0039095C">
        <w:rPr>
          <w:rFonts w:ascii="Arial" w:eastAsia="Times" w:hAnsi="Arial" w:cs="Arial"/>
          <w:color w:val="000000"/>
        </w:rPr>
        <w:t xml:space="preserve">ector </w:t>
      </w:r>
      <w:r w:rsidR="00515E22">
        <w:rPr>
          <w:rFonts w:ascii="Arial" w:eastAsia="Times" w:hAnsi="Arial" w:cs="Arial"/>
          <w:color w:val="000000"/>
        </w:rPr>
        <w:t>e</w:t>
      </w:r>
      <w:r w:rsidRPr="0039095C">
        <w:rPr>
          <w:rFonts w:ascii="Arial" w:eastAsia="Times" w:hAnsi="Arial" w:cs="Arial"/>
          <w:color w:val="000000"/>
        </w:rPr>
        <w:t xml:space="preserve">mployers </w:t>
      </w:r>
      <w:r>
        <w:rPr>
          <w:rFonts w:ascii="Arial" w:eastAsia="Times" w:hAnsi="Arial" w:cs="Arial"/>
          <w:color w:val="000000"/>
        </w:rPr>
        <w:t>to conduct trials</w:t>
      </w:r>
      <w:r w:rsidRPr="0039095C">
        <w:rPr>
          <w:rFonts w:ascii="Arial" w:eastAsia="Times" w:hAnsi="Arial" w:cs="Arial"/>
          <w:color w:val="000000"/>
        </w:rPr>
        <w:t>)</w:t>
      </w:r>
    </w:p>
    <w:p w14:paraId="0E9F26C5" w14:textId="77777777" w:rsidR="006C581D" w:rsidRPr="0039095C" w:rsidRDefault="006C581D" w:rsidP="006C581D">
      <w:pPr>
        <w:numPr>
          <w:ilvl w:val="0"/>
          <w:numId w:val="16"/>
        </w:numPr>
        <w:spacing w:before="0" w:after="0" w:line="300" w:lineRule="atLeast"/>
        <w:rPr>
          <w:rFonts w:ascii="Arial" w:eastAsia="Times" w:hAnsi="Arial" w:cs="Arial"/>
          <w:color w:val="000000"/>
        </w:rPr>
      </w:pPr>
      <w:bookmarkStart w:id="2" w:name="_Hlk152687381"/>
      <w:r w:rsidRPr="0039095C">
        <w:rPr>
          <w:rFonts w:ascii="Arial" w:eastAsia="Times" w:hAnsi="Arial" w:cs="Arial"/>
          <w:color w:val="000000"/>
        </w:rPr>
        <w:t>employees have meaningful control over their participation, including the ability to opt out</w:t>
      </w:r>
      <w:r>
        <w:rPr>
          <w:rFonts w:ascii="Arial" w:eastAsia="Times" w:hAnsi="Arial" w:cs="Arial"/>
          <w:color w:val="000000"/>
        </w:rPr>
        <w:t xml:space="preserve"> due to preference or</w:t>
      </w:r>
      <w:r w:rsidRPr="0039095C">
        <w:rPr>
          <w:rFonts w:ascii="Arial" w:eastAsia="Times" w:hAnsi="Arial" w:cs="Arial"/>
          <w:color w:val="000000"/>
        </w:rPr>
        <w:t xml:space="preserve"> in the event of unintended negative consequences</w:t>
      </w:r>
      <w:bookmarkEnd w:id="2"/>
      <w:r w:rsidRPr="0039095C">
        <w:rPr>
          <w:rFonts w:ascii="Arial" w:eastAsia="Times" w:hAnsi="Arial" w:cs="Arial"/>
          <w:color w:val="000000"/>
        </w:rPr>
        <w:t xml:space="preserve"> (such as unmanageable work/life balance pressures)</w:t>
      </w:r>
    </w:p>
    <w:p w14:paraId="0A9F1DF9" w14:textId="06EC1C94" w:rsidR="006C581D" w:rsidRPr="0039095C" w:rsidRDefault="006C581D" w:rsidP="006C581D">
      <w:pPr>
        <w:numPr>
          <w:ilvl w:val="0"/>
          <w:numId w:val="16"/>
        </w:numPr>
        <w:spacing w:before="0" w:after="0" w:line="300" w:lineRule="atLeast"/>
        <w:rPr>
          <w:rFonts w:ascii="Arial" w:eastAsia="Times" w:hAnsi="Arial" w:cs="Arial"/>
          <w:color w:val="000000"/>
        </w:rPr>
      </w:pPr>
      <w:r w:rsidRPr="0039095C">
        <w:rPr>
          <w:rFonts w:ascii="Arial" w:eastAsia="Times" w:hAnsi="Arial" w:cs="Arial"/>
          <w:color w:val="000000"/>
        </w:rPr>
        <w:t>a range of models are considered for testing</w:t>
      </w:r>
      <w:r>
        <w:rPr>
          <w:rFonts w:ascii="Arial" w:eastAsia="Times" w:hAnsi="Arial" w:cs="Arial"/>
          <w:color w:val="000000"/>
        </w:rPr>
        <w:t>, noting</w:t>
      </w:r>
      <w:r w:rsidRPr="0039095C">
        <w:rPr>
          <w:rFonts w:ascii="Arial" w:eastAsia="Times" w:hAnsi="Arial" w:cs="Arial"/>
          <w:color w:val="000000"/>
        </w:rPr>
        <w:t xml:space="preserve"> different workforce cohorts</w:t>
      </w:r>
      <w:r>
        <w:rPr>
          <w:rFonts w:ascii="Arial" w:eastAsia="Times" w:hAnsi="Arial" w:cs="Arial"/>
          <w:color w:val="000000"/>
        </w:rPr>
        <w:t xml:space="preserve"> and operating environments</w:t>
      </w:r>
      <w:r w:rsidRPr="0039095C">
        <w:rPr>
          <w:rFonts w:ascii="Arial" w:eastAsia="Times" w:hAnsi="Arial" w:cs="Arial"/>
          <w:color w:val="000000"/>
        </w:rPr>
        <w:t xml:space="preserve"> within the </w:t>
      </w:r>
      <w:r w:rsidR="00515E22">
        <w:rPr>
          <w:rFonts w:ascii="Arial" w:eastAsia="Times" w:hAnsi="Arial" w:cs="Arial"/>
          <w:color w:val="000000"/>
        </w:rPr>
        <w:t>p</w:t>
      </w:r>
      <w:r w:rsidRPr="0039095C">
        <w:rPr>
          <w:rFonts w:ascii="Arial" w:eastAsia="Times" w:hAnsi="Arial" w:cs="Arial"/>
          <w:color w:val="000000"/>
        </w:rPr>
        <w:t xml:space="preserve">ublic </w:t>
      </w:r>
      <w:r w:rsidR="00515E22">
        <w:rPr>
          <w:rFonts w:ascii="Arial" w:eastAsia="Times" w:hAnsi="Arial" w:cs="Arial"/>
          <w:color w:val="000000"/>
        </w:rPr>
        <w:t>s</w:t>
      </w:r>
      <w:r w:rsidRPr="0039095C">
        <w:rPr>
          <w:rFonts w:ascii="Arial" w:eastAsia="Times" w:hAnsi="Arial" w:cs="Arial"/>
          <w:color w:val="000000"/>
        </w:rPr>
        <w:t xml:space="preserve">ector </w:t>
      </w:r>
      <w:r w:rsidR="00515E22">
        <w:rPr>
          <w:rFonts w:ascii="Arial" w:eastAsia="Times" w:hAnsi="Arial" w:cs="Arial"/>
          <w:color w:val="000000"/>
        </w:rPr>
        <w:t>e</w:t>
      </w:r>
      <w:r w:rsidRPr="0039095C">
        <w:rPr>
          <w:rFonts w:ascii="Arial" w:eastAsia="Times" w:hAnsi="Arial" w:cs="Arial"/>
          <w:color w:val="000000"/>
        </w:rPr>
        <w:t>mployer</w:t>
      </w:r>
    </w:p>
    <w:p w14:paraId="154D9B19" w14:textId="77777777" w:rsidR="006C581D" w:rsidRPr="0039095C" w:rsidRDefault="006C581D" w:rsidP="006C581D">
      <w:pPr>
        <w:numPr>
          <w:ilvl w:val="0"/>
          <w:numId w:val="16"/>
        </w:numPr>
        <w:spacing w:before="0" w:after="0" w:line="300" w:lineRule="atLeast"/>
        <w:rPr>
          <w:rFonts w:ascii="Arial" w:eastAsia="Times" w:hAnsi="Arial" w:cs="Arial"/>
          <w:color w:val="000000"/>
        </w:rPr>
      </w:pPr>
      <w:r w:rsidRPr="0039095C">
        <w:rPr>
          <w:rFonts w:ascii="Arial" w:eastAsia="Times" w:hAnsi="Arial" w:cs="Arial"/>
          <w:color w:val="000000"/>
        </w:rPr>
        <w:t xml:space="preserve">employers consider </w:t>
      </w:r>
      <w:bookmarkStart w:id="3" w:name="_Hlk152687301"/>
      <w:r w:rsidRPr="0039095C">
        <w:rPr>
          <w:rFonts w:ascii="Arial" w:eastAsia="Times" w:hAnsi="Arial" w:cs="Arial"/>
          <w:color w:val="000000"/>
        </w:rPr>
        <w:t xml:space="preserve">how </w:t>
      </w:r>
      <w:r>
        <w:rPr>
          <w:rFonts w:ascii="Arial" w:eastAsia="Times" w:hAnsi="Arial" w:cs="Arial"/>
          <w:color w:val="000000"/>
        </w:rPr>
        <w:t>a</w:t>
      </w:r>
      <w:r w:rsidRPr="0039095C">
        <w:rPr>
          <w:rFonts w:ascii="Arial" w:eastAsia="Times" w:hAnsi="Arial" w:cs="Arial"/>
          <w:color w:val="000000"/>
        </w:rPr>
        <w:t xml:space="preserve"> reduction</w:t>
      </w:r>
      <w:r>
        <w:rPr>
          <w:rFonts w:ascii="Arial" w:eastAsia="Times" w:hAnsi="Arial" w:cs="Arial"/>
          <w:color w:val="000000"/>
        </w:rPr>
        <w:t xml:space="preserve"> or rearrangement of</w:t>
      </w:r>
      <w:r w:rsidRPr="0039095C">
        <w:rPr>
          <w:rFonts w:ascii="Arial" w:eastAsia="Times" w:hAnsi="Arial" w:cs="Arial"/>
          <w:color w:val="000000"/>
        </w:rPr>
        <w:t xml:space="preserve"> weekly working hours could be appropriately operationalised in </w:t>
      </w:r>
      <w:r>
        <w:rPr>
          <w:rFonts w:ascii="Arial" w:eastAsia="Times" w:hAnsi="Arial" w:cs="Arial"/>
          <w:color w:val="000000"/>
        </w:rPr>
        <w:t>their</w:t>
      </w:r>
      <w:r w:rsidRPr="0039095C">
        <w:rPr>
          <w:rFonts w:ascii="Arial" w:eastAsia="Times" w:hAnsi="Arial" w:cs="Arial"/>
          <w:color w:val="000000"/>
        </w:rPr>
        <w:t xml:space="preserve"> workplace and specific operating environment, while continuing to meet organisational requirements and ensure that there is no reduction in service delivery to the Victorian community</w:t>
      </w:r>
      <w:bookmarkEnd w:id="3"/>
      <w:r>
        <w:rPr>
          <w:rFonts w:ascii="Arial" w:eastAsia="Times" w:hAnsi="Arial" w:cs="Arial"/>
          <w:color w:val="000000"/>
        </w:rPr>
        <w:t xml:space="preserve"> and other key stakeholders</w:t>
      </w:r>
    </w:p>
    <w:p w14:paraId="5D43C60D" w14:textId="77777777" w:rsidR="006C581D" w:rsidRPr="0039095C" w:rsidRDefault="006C581D" w:rsidP="006C581D">
      <w:pPr>
        <w:numPr>
          <w:ilvl w:val="0"/>
          <w:numId w:val="16"/>
        </w:numPr>
        <w:spacing w:before="0" w:after="0" w:line="300" w:lineRule="atLeast"/>
        <w:rPr>
          <w:rFonts w:ascii="Arial" w:eastAsia="Times" w:hAnsi="Arial" w:cs="Arial"/>
          <w:color w:val="000000"/>
        </w:rPr>
      </w:pPr>
      <w:r w:rsidRPr="0039095C">
        <w:rPr>
          <w:rFonts w:ascii="Arial" w:eastAsia="Times" w:hAnsi="Arial" w:cs="Arial"/>
          <w:color w:val="000000"/>
        </w:rPr>
        <w:t xml:space="preserve">strong governance arrangements are in place to oversee any trials, including providing for central Government oversight </w:t>
      </w:r>
    </w:p>
    <w:p w14:paraId="0C11D4DD" w14:textId="77777777" w:rsidR="006C581D" w:rsidRDefault="006C581D" w:rsidP="006C581D">
      <w:pPr>
        <w:numPr>
          <w:ilvl w:val="0"/>
          <w:numId w:val="16"/>
        </w:numPr>
        <w:spacing w:before="0" w:after="0" w:line="300" w:lineRule="atLeast"/>
        <w:rPr>
          <w:rFonts w:ascii="Arial" w:eastAsia="Times" w:hAnsi="Arial" w:cs="Arial"/>
          <w:color w:val="000000"/>
        </w:rPr>
      </w:pPr>
      <w:r w:rsidRPr="0039095C">
        <w:rPr>
          <w:rFonts w:ascii="Arial" w:eastAsia="Times" w:hAnsi="Arial" w:cs="Arial"/>
          <w:color w:val="000000"/>
        </w:rPr>
        <w:t>trial parameters are robust, operate over a reasonable duration (at least 12 months) and include proper evaluation strategies (including real-time monitoring, periodic reporting, and an evaluation report at the conclusion)</w:t>
      </w:r>
    </w:p>
    <w:p w14:paraId="231FEA98" w14:textId="77777777" w:rsidR="006C581D" w:rsidRPr="00E34332" w:rsidRDefault="006C581D" w:rsidP="006C581D">
      <w:pPr>
        <w:numPr>
          <w:ilvl w:val="0"/>
          <w:numId w:val="16"/>
        </w:numPr>
        <w:spacing w:before="0" w:after="0" w:line="300" w:lineRule="atLeast"/>
        <w:rPr>
          <w:rFonts w:ascii="Arial" w:eastAsia="Times" w:hAnsi="Arial" w:cs="Arial"/>
          <w:color w:val="000000"/>
        </w:rPr>
      </w:pPr>
      <w:r>
        <w:rPr>
          <w:rFonts w:ascii="Arial" w:eastAsia="Times" w:hAnsi="Arial" w:cs="Arial"/>
          <w:color w:val="000000"/>
        </w:rPr>
        <w:lastRenderedPageBreak/>
        <w:t xml:space="preserve">employers consider engaging relevant expert advice to help develop, run and evaluate any alternative working arrangements </w:t>
      </w:r>
    </w:p>
    <w:p w14:paraId="1A778790" w14:textId="77777777" w:rsidR="006C581D" w:rsidRPr="0039095C" w:rsidRDefault="006C581D" w:rsidP="006C581D">
      <w:pPr>
        <w:keepNext/>
        <w:keepLines/>
        <w:spacing w:before="280" w:line="240" w:lineRule="auto"/>
        <w:outlineLvl w:val="1"/>
        <w:rPr>
          <w:rFonts w:ascii="Arial" w:eastAsia="MS Gothic" w:hAnsi="Arial" w:cs="Times New Roman"/>
          <w:bCs/>
          <w:iCs/>
          <w:color w:val="0072CE"/>
          <w:sz w:val="36"/>
          <w:szCs w:val="36"/>
        </w:rPr>
      </w:pPr>
      <w:bookmarkStart w:id="4" w:name="_Toc212024302"/>
      <w:bookmarkStart w:id="5" w:name="_Toc212024368"/>
      <w:r w:rsidRPr="0039095C">
        <w:rPr>
          <w:rFonts w:ascii="Arial" w:eastAsia="MS Gothic" w:hAnsi="Arial" w:cs="Times New Roman"/>
          <w:bCs/>
          <w:iCs/>
          <w:color w:val="0072CE"/>
          <w:sz w:val="36"/>
          <w:szCs w:val="36"/>
        </w:rPr>
        <w:t>Model BPEC</w:t>
      </w:r>
      <w:bookmarkEnd w:id="4"/>
      <w:bookmarkEnd w:id="5"/>
    </w:p>
    <w:p w14:paraId="76985795" w14:textId="77777777" w:rsidR="006C581D" w:rsidRPr="0039095C" w:rsidRDefault="006C581D" w:rsidP="006C581D">
      <w:pPr>
        <w:keepNext/>
        <w:keepLines/>
        <w:spacing w:before="240" w:line="240" w:lineRule="auto"/>
        <w:outlineLvl w:val="3"/>
        <w:rPr>
          <w:rFonts w:ascii="Arial" w:eastAsia="MS Mincho" w:hAnsi="Arial" w:cs="Times New Roman"/>
          <w:b/>
          <w:bCs/>
          <w:color w:val="0072CE"/>
          <w:sz w:val="28"/>
          <w:szCs w:val="28"/>
        </w:rPr>
      </w:pPr>
      <w:r>
        <w:rPr>
          <w:rFonts w:ascii="Arial" w:eastAsia="MS Mincho" w:hAnsi="Arial" w:cs="Times New Roman"/>
          <w:b/>
          <w:bCs/>
          <w:color w:val="0072CE"/>
          <w:sz w:val="28"/>
          <w:szCs w:val="28"/>
        </w:rPr>
        <w:t>A</w:t>
      </w:r>
      <w:r w:rsidRPr="00A65418">
        <w:rPr>
          <w:rFonts w:ascii="Arial" w:eastAsia="MS Mincho" w:hAnsi="Arial" w:cs="Times New Roman"/>
          <w:b/>
          <w:bCs/>
          <w:color w:val="0072CE"/>
          <w:sz w:val="28"/>
          <w:szCs w:val="28"/>
        </w:rPr>
        <w:t xml:space="preserve">lternative ways of working or arranging ordinary hours of work </w:t>
      </w:r>
      <w:r w:rsidRPr="0039095C">
        <w:rPr>
          <w:rFonts w:ascii="Arial" w:eastAsia="MS Mincho" w:hAnsi="Arial" w:cs="Times New Roman"/>
          <w:b/>
          <w:bCs/>
          <w:color w:val="0072CE"/>
          <w:sz w:val="28"/>
          <w:szCs w:val="28"/>
        </w:rPr>
        <w:t>Trial</w:t>
      </w:r>
      <w:r>
        <w:rPr>
          <w:rStyle w:val="FootnoteReference"/>
          <w:rFonts w:ascii="Arial" w:eastAsia="MS Mincho" w:hAnsi="Arial" w:cs="Times New Roman"/>
          <w:b/>
          <w:bCs/>
          <w:color w:val="0072CE"/>
          <w:sz w:val="28"/>
          <w:szCs w:val="28"/>
        </w:rPr>
        <w:footnoteReference w:id="1"/>
      </w:r>
    </w:p>
    <w:p w14:paraId="4D64D8C7" w14:textId="77777777" w:rsidR="006C581D" w:rsidRPr="0039095C" w:rsidRDefault="006C581D" w:rsidP="006C581D">
      <w:pPr>
        <w:spacing w:before="240" w:after="240" w:line="300" w:lineRule="atLeast"/>
        <w:rPr>
          <w:rFonts w:ascii="Arial" w:eastAsia="Times" w:hAnsi="Arial" w:cs="Arial"/>
          <w:color w:val="000000"/>
        </w:rPr>
      </w:pPr>
      <w:bookmarkStart w:id="6" w:name="_Hlk152685627"/>
      <w:r w:rsidRPr="0039095C">
        <w:rPr>
          <w:rFonts w:ascii="Arial" w:eastAsia="Times" w:hAnsi="Arial" w:cs="Arial"/>
          <w:color w:val="000000"/>
        </w:rPr>
        <w:t xml:space="preserve">During the life of the enterprise agreement the parties </w:t>
      </w:r>
      <w:r w:rsidRPr="00A65418">
        <w:rPr>
          <w:rFonts w:ascii="Arial" w:eastAsia="Times" w:hAnsi="Arial" w:cs="Arial"/>
          <w:color w:val="000000"/>
        </w:rPr>
        <w:t>jointly explore whether new or alternat</w:t>
      </w:r>
      <w:r>
        <w:rPr>
          <w:rFonts w:ascii="Arial" w:eastAsia="Times" w:hAnsi="Arial" w:cs="Arial"/>
          <w:color w:val="000000"/>
        </w:rPr>
        <w:t>iv</w:t>
      </w:r>
      <w:r w:rsidRPr="00A65418">
        <w:rPr>
          <w:rFonts w:ascii="Arial" w:eastAsia="Times" w:hAnsi="Arial" w:cs="Arial"/>
          <w:color w:val="000000"/>
        </w:rPr>
        <w:t xml:space="preserve">e ways of working or arranging ordinary working hours could be implemented for some or </w:t>
      </w:r>
      <w:proofErr w:type="gramStart"/>
      <w:r w:rsidRPr="00A65418">
        <w:rPr>
          <w:rFonts w:ascii="Arial" w:eastAsia="Times" w:hAnsi="Arial" w:cs="Arial"/>
          <w:color w:val="000000"/>
        </w:rPr>
        <w:t>all of</w:t>
      </w:r>
      <w:proofErr w:type="gramEnd"/>
      <w:r w:rsidRPr="00A65418">
        <w:rPr>
          <w:rFonts w:ascii="Arial" w:eastAsia="Times" w:hAnsi="Arial" w:cs="Arial"/>
          <w:color w:val="000000"/>
        </w:rPr>
        <w:t xml:space="preserve"> the workforces covered by the Agreement </w:t>
      </w:r>
      <w:r w:rsidRPr="0039095C">
        <w:rPr>
          <w:rFonts w:ascii="Arial" w:eastAsia="Times" w:hAnsi="Arial" w:cs="Arial"/>
          <w:color w:val="000000"/>
        </w:rPr>
        <w:t>according to the following parameters:</w:t>
      </w:r>
    </w:p>
    <w:p w14:paraId="30DD28A1" w14:textId="3018E992" w:rsidR="006C581D" w:rsidRPr="0039095C" w:rsidRDefault="006C581D" w:rsidP="006C581D">
      <w:pPr>
        <w:numPr>
          <w:ilvl w:val="0"/>
          <w:numId w:val="17"/>
        </w:numPr>
        <w:spacing w:before="240" w:after="240" w:line="360" w:lineRule="auto"/>
        <w:rPr>
          <w:rFonts w:ascii="Arial" w:eastAsia="Times" w:hAnsi="Arial" w:cs="Arial"/>
          <w:color w:val="000000"/>
        </w:rPr>
      </w:pPr>
      <w:r w:rsidRPr="0039095C">
        <w:rPr>
          <w:rFonts w:ascii="Arial" w:eastAsia="Times" w:hAnsi="Arial" w:cs="Arial"/>
          <w:color w:val="000000"/>
        </w:rPr>
        <w:t xml:space="preserve">Consistent with its commitment to Flexible Work, the </w:t>
      </w:r>
      <w:r w:rsidR="00515E22">
        <w:rPr>
          <w:rFonts w:ascii="Arial" w:eastAsia="Times" w:hAnsi="Arial" w:cs="Arial"/>
          <w:color w:val="000000"/>
        </w:rPr>
        <w:t>e</w:t>
      </w:r>
      <w:r w:rsidRPr="0039095C">
        <w:rPr>
          <w:rFonts w:ascii="Arial" w:eastAsia="Times" w:hAnsi="Arial" w:cs="Arial"/>
          <w:color w:val="000000"/>
        </w:rPr>
        <w:t>mployer recognises that productivity comes in different forms, and that work-life balance is very important for mental and physical wellbeing. The</w:t>
      </w:r>
      <w:r w:rsidR="00515E22">
        <w:rPr>
          <w:rFonts w:ascii="Arial" w:eastAsia="Times" w:hAnsi="Arial" w:cs="Arial"/>
          <w:color w:val="000000"/>
        </w:rPr>
        <w:t xml:space="preserve"> e</w:t>
      </w:r>
      <w:r w:rsidRPr="0039095C">
        <w:rPr>
          <w:rFonts w:ascii="Arial" w:eastAsia="Times" w:hAnsi="Arial" w:cs="Arial"/>
          <w:color w:val="000000"/>
        </w:rPr>
        <w:t xml:space="preserve">mployer and </w:t>
      </w:r>
      <w:r w:rsidR="00515E22">
        <w:rPr>
          <w:rFonts w:ascii="Arial" w:eastAsia="Times" w:hAnsi="Arial" w:cs="Arial"/>
          <w:color w:val="000000"/>
        </w:rPr>
        <w:t>e</w:t>
      </w:r>
      <w:r w:rsidRPr="0039095C">
        <w:rPr>
          <w:rFonts w:ascii="Arial" w:eastAsia="Times" w:hAnsi="Arial" w:cs="Arial"/>
          <w:color w:val="000000"/>
        </w:rPr>
        <w:t>mployees understand that exploring new and modern ways of working can be beneficial to the employee and employer alike, without sacrificing</w:t>
      </w:r>
      <w:r>
        <w:rPr>
          <w:rFonts w:ascii="Arial" w:eastAsia="Times" w:hAnsi="Arial" w:cs="Arial"/>
          <w:color w:val="000000"/>
        </w:rPr>
        <w:t xml:space="preserve"> work</w:t>
      </w:r>
      <w:r w:rsidRPr="0039095C">
        <w:rPr>
          <w:rFonts w:ascii="Arial" w:eastAsia="Times" w:hAnsi="Arial" w:cs="Arial"/>
          <w:color w:val="000000"/>
        </w:rPr>
        <w:t xml:space="preserve"> quality and productivity.</w:t>
      </w:r>
    </w:p>
    <w:p w14:paraId="2F6C7644" w14:textId="64CD7DE7" w:rsidR="006C581D" w:rsidRPr="0074320F" w:rsidRDefault="006C581D" w:rsidP="006C581D">
      <w:pPr>
        <w:numPr>
          <w:ilvl w:val="0"/>
          <w:numId w:val="17"/>
        </w:numPr>
        <w:spacing w:before="240" w:after="240" w:line="360" w:lineRule="auto"/>
        <w:rPr>
          <w:rFonts w:ascii="Arial" w:eastAsia="Times" w:hAnsi="Arial" w:cs="Arial"/>
          <w:color w:val="000000"/>
        </w:rPr>
      </w:pPr>
      <w:r w:rsidRPr="0039095C">
        <w:rPr>
          <w:rFonts w:ascii="Arial" w:eastAsia="Times" w:hAnsi="Arial" w:cs="Arial"/>
          <w:color w:val="000000"/>
        </w:rPr>
        <w:t xml:space="preserve">During the life of this enterprise agreement, the </w:t>
      </w:r>
      <w:r w:rsidR="00515E22">
        <w:rPr>
          <w:rFonts w:ascii="Arial" w:eastAsia="Times" w:hAnsi="Arial" w:cs="Arial"/>
          <w:color w:val="000000"/>
        </w:rPr>
        <w:t>e</w:t>
      </w:r>
      <w:r w:rsidRPr="0039095C">
        <w:rPr>
          <w:rFonts w:ascii="Arial" w:eastAsia="Times" w:hAnsi="Arial" w:cs="Arial"/>
          <w:color w:val="000000"/>
        </w:rPr>
        <w:t xml:space="preserve">mployer </w:t>
      </w:r>
      <w:r w:rsidRPr="0074320F">
        <w:rPr>
          <w:rFonts w:ascii="Arial" w:eastAsia="Times" w:hAnsi="Arial" w:cs="Arial"/>
          <w:color w:val="000000"/>
        </w:rPr>
        <w:t xml:space="preserve">the parties agree to jointly explore whether new or </w:t>
      </w:r>
      <w:r>
        <w:rPr>
          <w:rFonts w:ascii="Arial" w:eastAsia="Times" w:hAnsi="Arial" w:cs="Arial"/>
          <w:color w:val="000000"/>
        </w:rPr>
        <w:t>alternative</w:t>
      </w:r>
      <w:r w:rsidRPr="0074320F">
        <w:rPr>
          <w:rFonts w:ascii="Arial" w:eastAsia="Times" w:hAnsi="Arial" w:cs="Arial"/>
          <w:color w:val="000000"/>
        </w:rPr>
        <w:t xml:space="preserve"> ways of working or arranging ordinary working hours could be implemented for some or </w:t>
      </w:r>
      <w:proofErr w:type="gramStart"/>
      <w:r w:rsidRPr="0074320F">
        <w:rPr>
          <w:rFonts w:ascii="Arial" w:eastAsia="Times" w:hAnsi="Arial" w:cs="Arial"/>
          <w:color w:val="000000"/>
        </w:rPr>
        <w:t>all of</w:t>
      </w:r>
      <w:proofErr w:type="gramEnd"/>
      <w:r w:rsidRPr="0074320F">
        <w:rPr>
          <w:rFonts w:ascii="Arial" w:eastAsia="Times" w:hAnsi="Arial" w:cs="Arial"/>
          <w:color w:val="000000"/>
        </w:rPr>
        <w:t xml:space="preserve"> the workforces covered by the Agreement. </w:t>
      </w:r>
    </w:p>
    <w:p w14:paraId="6F01D702" w14:textId="77777777" w:rsidR="006C581D" w:rsidRPr="0074320F" w:rsidRDefault="006C581D" w:rsidP="006C581D">
      <w:pPr>
        <w:numPr>
          <w:ilvl w:val="0"/>
          <w:numId w:val="17"/>
        </w:numPr>
        <w:spacing w:before="240" w:after="240" w:line="360" w:lineRule="auto"/>
        <w:rPr>
          <w:rFonts w:ascii="Arial" w:eastAsia="Times" w:hAnsi="Arial" w:cs="Arial"/>
          <w:color w:val="000000"/>
        </w:rPr>
      </w:pPr>
      <w:r w:rsidRPr="0074320F">
        <w:rPr>
          <w:rFonts w:ascii="Arial" w:eastAsia="Times" w:hAnsi="Arial" w:cs="Arial"/>
          <w:color w:val="000000"/>
        </w:rPr>
        <w:t>The joint intent of this commitment is for the parties to work together to identify alternative ways of working which:</w:t>
      </w:r>
    </w:p>
    <w:p w14:paraId="34A24C6E"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t>enhance employee health and wellbeing (emotional, mental, and physical),</w:t>
      </w:r>
    </w:p>
    <w:p w14:paraId="515AF698"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t xml:space="preserve">support the rights for employees to disconnect from work, </w:t>
      </w:r>
    </w:p>
    <w:p w14:paraId="29B30EDF"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t>improve work life balance,</w:t>
      </w:r>
    </w:p>
    <w:p w14:paraId="554E38D5"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t>reduce sickness absence, stress and burnout,</w:t>
      </w:r>
    </w:p>
    <w:p w14:paraId="34E72995"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t>improve job satisfaction, attraction and retention of staff,</w:t>
      </w:r>
    </w:p>
    <w:p w14:paraId="233309AE"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t xml:space="preserve">address gender equality concerns, support working parents and those with caring responsibilities, </w:t>
      </w:r>
    </w:p>
    <w:p w14:paraId="780715CD"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t>work towards a more sustainable work environment, and</w:t>
      </w:r>
    </w:p>
    <w:p w14:paraId="42DC3F27" w14:textId="77777777" w:rsidR="006C581D" w:rsidRPr="0074320F" w:rsidRDefault="006C581D" w:rsidP="006C581D">
      <w:pPr>
        <w:numPr>
          <w:ilvl w:val="1"/>
          <w:numId w:val="17"/>
        </w:numPr>
        <w:spacing w:before="240" w:after="240" w:line="360" w:lineRule="auto"/>
        <w:rPr>
          <w:rFonts w:ascii="Arial" w:eastAsia="Times" w:hAnsi="Arial" w:cs="Arial"/>
          <w:color w:val="000000"/>
        </w:rPr>
      </w:pPr>
      <w:r w:rsidRPr="0074320F">
        <w:rPr>
          <w:rFonts w:ascii="Arial" w:eastAsia="Times" w:hAnsi="Arial" w:cs="Arial"/>
          <w:color w:val="000000"/>
        </w:rPr>
        <w:lastRenderedPageBreak/>
        <w:t>have a positive impact on culture and employee engagement.</w:t>
      </w:r>
    </w:p>
    <w:p w14:paraId="166F8161" w14:textId="77777777" w:rsidR="006C581D" w:rsidRPr="00EA32AB" w:rsidRDefault="006C581D" w:rsidP="006C581D">
      <w:pPr>
        <w:numPr>
          <w:ilvl w:val="0"/>
          <w:numId w:val="17"/>
        </w:numPr>
        <w:tabs>
          <w:tab w:val="left" w:pos="709"/>
        </w:tabs>
        <w:spacing w:before="240" w:after="240" w:line="360" w:lineRule="auto"/>
        <w:rPr>
          <w:rFonts w:ascii="Arial" w:eastAsia="Times" w:hAnsi="Arial" w:cs="Arial"/>
          <w:color w:val="000000"/>
        </w:rPr>
      </w:pPr>
      <w:r w:rsidRPr="0074320F">
        <w:rPr>
          <w:rFonts w:ascii="Arial" w:eastAsia="Times" w:hAnsi="Arial" w:cs="Arial"/>
          <w:color w:val="000000"/>
        </w:rPr>
        <w:t xml:space="preserve">The parties agree to establish an Alternative Ways of Working Committee (Committee) to undertake a joint feasibility study to explore alternative ways of working across the </w:t>
      </w:r>
      <w:r>
        <w:rPr>
          <w:rFonts w:ascii="Arial" w:eastAsia="Times" w:hAnsi="Arial" w:cs="Arial"/>
          <w:color w:val="000000"/>
        </w:rPr>
        <w:t>workforce</w:t>
      </w:r>
      <w:r w:rsidRPr="0074320F">
        <w:rPr>
          <w:rFonts w:ascii="Arial" w:eastAsia="Times" w:hAnsi="Arial" w:cs="Arial"/>
          <w:color w:val="000000"/>
        </w:rPr>
        <w:t xml:space="preserve">. </w:t>
      </w:r>
      <w:r w:rsidRPr="00EA32AB">
        <w:rPr>
          <w:rFonts w:ascii="Arial" w:eastAsia="Times" w:hAnsi="Arial" w:cs="Arial"/>
          <w:color w:val="000000"/>
        </w:rPr>
        <w:t>The Committee will be established within three months of the commencement of the Agreement</w:t>
      </w:r>
      <w:r>
        <w:rPr>
          <w:rFonts w:ascii="Arial" w:eastAsia="Times" w:hAnsi="Arial" w:cs="Arial"/>
          <w:color w:val="000000"/>
        </w:rPr>
        <w:t xml:space="preserve"> (or within a timeframe agreed between the parties)</w:t>
      </w:r>
      <w:r w:rsidRPr="00EA32AB">
        <w:rPr>
          <w:rFonts w:ascii="Arial" w:eastAsia="Times" w:hAnsi="Arial" w:cs="Arial"/>
          <w:color w:val="000000"/>
        </w:rPr>
        <w:t xml:space="preserve">. The Committee may appoint an independent chair </w:t>
      </w:r>
      <w:r>
        <w:rPr>
          <w:rFonts w:ascii="Arial" w:eastAsia="Times" w:hAnsi="Arial" w:cs="Arial"/>
          <w:color w:val="000000"/>
        </w:rPr>
        <w:t>to oversee the trial development and implementation</w:t>
      </w:r>
      <w:r w:rsidRPr="00EA32AB">
        <w:rPr>
          <w:rFonts w:ascii="Arial" w:eastAsia="Times" w:hAnsi="Arial" w:cs="Arial"/>
          <w:color w:val="000000"/>
        </w:rPr>
        <w:t xml:space="preserve">. </w:t>
      </w:r>
    </w:p>
    <w:p w14:paraId="4EC32148" w14:textId="77777777" w:rsidR="006C581D" w:rsidRPr="0074320F" w:rsidRDefault="006C581D" w:rsidP="006C581D">
      <w:pPr>
        <w:numPr>
          <w:ilvl w:val="0"/>
          <w:numId w:val="17"/>
        </w:numPr>
        <w:spacing w:before="240" w:after="240" w:line="360" w:lineRule="auto"/>
        <w:rPr>
          <w:rFonts w:ascii="Arial" w:eastAsia="Times" w:hAnsi="Arial" w:cs="Arial"/>
          <w:color w:val="000000"/>
        </w:rPr>
      </w:pPr>
      <w:r w:rsidRPr="0074320F">
        <w:rPr>
          <w:rFonts w:ascii="Arial" w:eastAsia="Times" w:hAnsi="Arial" w:cs="Arial"/>
          <w:color w:val="000000"/>
        </w:rPr>
        <w:t xml:space="preserve">The Committee will not be </w:t>
      </w:r>
      <w:r>
        <w:rPr>
          <w:rFonts w:ascii="Arial" w:eastAsia="Times" w:hAnsi="Arial" w:cs="Arial"/>
          <w:color w:val="000000"/>
        </w:rPr>
        <w:t xml:space="preserve">a </w:t>
      </w:r>
      <w:r w:rsidRPr="0074320F">
        <w:rPr>
          <w:rFonts w:ascii="Arial" w:eastAsia="Times" w:hAnsi="Arial" w:cs="Arial"/>
          <w:color w:val="000000"/>
        </w:rPr>
        <w:t xml:space="preserve">determinative decision-making body but will be responsible for undertaking a feasibility study and providing a report to the Government on the merits of alternative ways of working and how they might be trialled in </w:t>
      </w:r>
      <w:r>
        <w:rPr>
          <w:rFonts w:ascii="Arial" w:eastAsia="Times" w:hAnsi="Arial" w:cs="Arial"/>
          <w:color w:val="000000"/>
        </w:rPr>
        <w:t>identified workforce/s</w:t>
      </w:r>
      <w:r w:rsidRPr="0074320F">
        <w:rPr>
          <w:rFonts w:ascii="Arial" w:eastAsia="Times" w:hAnsi="Arial" w:cs="Arial"/>
          <w:color w:val="000000"/>
        </w:rPr>
        <w:t xml:space="preserve">.  </w:t>
      </w:r>
    </w:p>
    <w:p w14:paraId="2EE0A617"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The purpose of the Committee is to undertake a feasibility study to develop recommendations for Government consideration that:</w:t>
      </w:r>
    </w:p>
    <w:p w14:paraId="7B509F83" w14:textId="77777777" w:rsidR="006C581D" w:rsidRPr="00590A77" w:rsidRDefault="006C581D" w:rsidP="006C581D">
      <w:pPr>
        <w:numPr>
          <w:ilvl w:val="1"/>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identify new ways of working or </w:t>
      </w:r>
      <w:r>
        <w:rPr>
          <w:rFonts w:ascii="Arial" w:eastAsia="Times" w:hAnsi="Arial" w:cs="Arial"/>
          <w:color w:val="000000"/>
        </w:rPr>
        <w:t>alternative</w:t>
      </w:r>
      <w:r w:rsidRPr="00590A77">
        <w:rPr>
          <w:rFonts w:ascii="Arial" w:eastAsia="Times" w:hAnsi="Arial" w:cs="Arial"/>
          <w:color w:val="000000"/>
        </w:rPr>
        <w:t xml:space="preserve"> models of arranging, compressing, or reducing ordinary working hours that could be trialled in the </w:t>
      </w:r>
      <w:r>
        <w:rPr>
          <w:rFonts w:ascii="Arial" w:eastAsia="Times" w:hAnsi="Arial" w:cs="Arial"/>
          <w:color w:val="000000"/>
        </w:rPr>
        <w:t>workforce</w:t>
      </w:r>
      <w:r w:rsidRPr="00590A77">
        <w:rPr>
          <w:rFonts w:ascii="Arial" w:eastAsia="Times" w:hAnsi="Arial" w:cs="Arial"/>
          <w:color w:val="000000"/>
        </w:rPr>
        <w:t xml:space="preserve">, </w:t>
      </w:r>
    </w:p>
    <w:p w14:paraId="5F0458A7" w14:textId="77777777" w:rsidR="006C581D" w:rsidRPr="006566FF" w:rsidRDefault="006C581D" w:rsidP="006C581D">
      <w:pPr>
        <w:numPr>
          <w:ilvl w:val="1"/>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outline trial parameters that might be used to trial </w:t>
      </w:r>
      <w:r>
        <w:rPr>
          <w:rFonts w:ascii="Arial" w:eastAsia="Times" w:hAnsi="Arial" w:cs="Arial"/>
          <w:color w:val="000000"/>
        </w:rPr>
        <w:t>alternative</w:t>
      </w:r>
      <w:r w:rsidRPr="00590A77">
        <w:rPr>
          <w:rFonts w:ascii="Arial" w:eastAsia="Times" w:hAnsi="Arial" w:cs="Arial"/>
          <w:color w:val="000000"/>
        </w:rPr>
        <w:t xml:space="preserve"> ways of working or arrangement of hours, including the timing, scope of eligible participants and the duration and evaluation of any Trial. In designing the recommended Trial parameters, the Committee will have regard to the fundamental principles </w:t>
      </w:r>
      <w:r w:rsidRPr="006566FF">
        <w:rPr>
          <w:rFonts w:ascii="Arial" w:eastAsia="Times" w:hAnsi="Arial" w:cs="Arial"/>
          <w:color w:val="000000"/>
        </w:rPr>
        <w:t>outlined in clause 11 below,</w:t>
      </w:r>
    </w:p>
    <w:p w14:paraId="44C9E672" w14:textId="77777777" w:rsidR="006C581D" w:rsidRPr="00590A77" w:rsidRDefault="006C581D" w:rsidP="006C581D">
      <w:pPr>
        <w:numPr>
          <w:ilvl w:val="1"/>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identify appropriate or potential workforces and worksites where a Trial may be implemented, </w:t>
      </w:r>
    </w:p>
    <w:p w14:paraId="109A6CD9" w14:textId="77777777" w:rsidR="006C581D" w:rsidRPr="00590A77" w:rsidRDefault="006C581D" w:rsidP="006C581D">
      <w:pPr>
        <w:numPr>
          <w:ilvl w:val="1"/>
          <w:numId w:val="17"/>
        </w:numPr>
        <w:spacing w:before="240" w:after="240" w:line="360" w:lineRule="auto"/>
        <w:rPr>
          <w:rFonts w:ascii="Arial" w:eastAsia="Times" w:hAnsi="Arial" w:cs="Arial"/>
          <w:color w:val="000000"/>
        </w:rPr>
      </w:pPr>
      <w:r w:rsidRPr="00590A77">
        <w:rPr>
          <w:rFonts w:ascii="Arial" w:eastAsia="Times" w:hAnsi="Arial" w:cs="Arial"/>
          <w:color w:val="000000"/>
        </w:rPr>
        <w:t>identify what if any impacts a Trial would have on the entitlements of participating employees, including considering inclusivity and equality considerations, and</w:t>
      </w:r>
    </w:p>
    <w:p w14:paraId="0F4E749C" w14:textId="77777777" w:rsidR="006C581D" w:rsidRPr="00590A77" w:rsidRDefault="006C581D" w:rsidP="006C581D">
      <w:pPr>
        <w:numPr>
          <w:ilvl w:val="1"/>
          <w:numId w:val="17"/>
        </w:numPr>
        <w:spacing w:before="240" w:after="240" w:line="360" w:lineRule="auto"/>
        <w:rPr>
          <w:rFonts w:ascii="Arial" w:eastAsia="Times" w:hAnsi="Arial" w:cs="Arial"/>
          <w:color w:val="000000"/>
        </w:rPr>
      </w:pPr>
      <w:r w:rsidRPr="00590A77">
        <w:rPr>
          <w:rFonts w:ascii="Arial" w:eastAsia="Times" w:hAnsi="Arial" w:cs="Arial"/>
          <w:color w:val="000000"/>
        </w:rPr>
        <w:t>identify objective criteria to be used for the measurement of success.</w:t>
      </w:r>
    </w:p>
    <w:p w14:paraId="4FDC4BDA"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The parties will jointly develop terms of reference to support and guide the work of the Committee.</w:t>
      </w:r>
    </w:p>
    <w:p w14:paraId="5156D977"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The Committee must deliver its feasibility study (including recommendations) to Government within 24 months of the Committee being established. </w:t>
      </w:r>
    </w:p>
    <w:p w14:paraId="0BE179F5"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The Alternative Ways of Working Committee will include representatives from the employer and the relevant public sector union. </w:t>
      </w:r>
    </w:p>
    <w:p w14:paraId="641069AB"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The Committee may establish sub-committee(s) to oversee the implementation of any approved trials. Any sub-committees established to oversee the implementation of approved trials will include representation from participating employers and relevant union delegates. The Committee and any sub-committees will have an equal number of employer and union representatives. </w:t>
      </w:r>
    </w:p>
    <w:p w14:paraId="64B2B1C4"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lastRenderedPageBreak/>
        <w:t>In designing Trial parameters for Government consideration, the Committee will have regard to the following matters so that the recommended Trial parameters:</w:t>
      </w:r>
    </w:p>
    <w:p w14:paraId="365A9494"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are designed in a manner so that they do not result in any additional costs for Government or</w:t>
      </w:r>
      <w:r>
        <w:rPr>
          <w:rFonts w:ascii="Arial" w:eastAsia="Times" w:hAnsi="Arial" w:cs="Arial"/>
          <w:color w:val="000000"/>
        </w:rPr>
        <w:t xml:space="preserve"> </w:t>
      </w:r>
      <w:r w:rsidRPr="00590A77">
        <w:rPr>
          <w:rFonts w:ascii="Arial" w:eastAsia="Times" w:hAnsi="Arial" w:cs="Arial"/>
          <w:color w:val="000000"/>
        </w:rPr>
        <w:t>require any additional resources,</w:t>
      </w:r>
    </w:p>
    <w:p w14:paraId="4C02CC94" w14:textId="77777777" w:rsidR="006C581D" w:rsidRPr="00590A77" w:rsidRDefault="006C581D" w:rsidP="006C581D">
      <w:pPr>
        <w:numPr>
          <w:ilvl w:val="1"/>
          <w:numId w:val="17"/>
        </w:numPr>
        <w:spacing w:before="240" w:after="240" w:line="360" w:lineRule="auto"/>
        <w:ind w:left="851" w:hanging="567"/>
        <w:rPr>
          <w:rFonts w:ascii="Arial" w:eastAsia="Times" w:hAnsi="Arial" w:cs="Arial"/>
          <w:color w:val="000000"/>
        </w:rPr>
      </w:pPr>
      <w:r w:rsidRPr="00590A77">
        <w:rPr>
          <w:rFonts w:ascii="Arial" w:eastAsia="Times" w:hAnsi="Arial" w:cs="Arial"/>
          <w:color w:val="000000"/>
        </w:rPr>
        <w:t xml:space="preserve">identify any potential benefits, </w:t>
      </w:r>
    </w:p>
    <w:p w14:paraId="226F294D"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include full-time and part-time, and cover a range of role types, and</w:t>
      </w:r>
    </w:p>
    <w:p w14:paraId="1D903927"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allow for eligible employees from areas participating in a trial to have meaningful control over their participation in the trial, including the ability to opt out in the event of unintended negative consequences,</w:t>
      </w:r>
    </w:p>
    <w:p w14:paraId="40ED6044"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 xml:space="preserve">Trial parameters recommended by the Committee may include any other matters as agreed by the Committee. </w:t>
      </w:r>
    </w:p>
    <w:p w14:paraId="6D92D509"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The </w:t>
      </w:r>
      <w:r>
        <w:rPr>
          <w:rFonts w:ascii="Arial" w:eastAsia="Times" w:hAnsi="Arial" w:cs="Arial"/>
          <w:color w:val="000000"/>
        </w:rPr>
        <w:t>alternative</w:t>
      </w:r>
      <w:r w:rsidRPr="00590A77">
        <w:rPr>
          <w:rFonts w:ascii="Arial" w:eastAsia="Times" w:hAnsi="Arial" w:cs="Arial"/>
          <w:color w:val="000000"/>
        </w:rPr>
        <w:t xml:space="preserve"> ways of working or arranging ordinary working hours models which might be trialled and trial parameters to be submitted for Government consideration must be agreed by the Committee. In the event the Committee cannot agree on the models and/or trial parameters to be recommended to Government for consideration, the Committee may agree to seek the assistance of a mutually agreed facilitator to assist in furthering the discussions. </w:t>
      </w:r>
    </w:p>
    <w:p w14:paraId="3503AD49"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Pr>
          <w:rFonts w:ascii="Arial" w:eastAsia="Times" w:hAnsi="Arial" w:cs="Arial"/>
          <w:color w:val="000000"/>
        </w:rPr>
        <w:t>The</w:t>
      </w:r>
      <w:r w:rsidRPr="00590A77">
        <w:rPr>
          <w:rFonts w:ascii="Arial" w:eastAsia="Times" w:hAnsi="Arial" w:cs="Arial"/>
          <w:color w:val="000000"/>
        </w:rPr>
        <w:t xml:space="preserve"> employer who wishes to participate in a trial to be recommended by the Committee must opt-in </w:t>
      </w:r>
      <w:proofErr w:type="gramStart"/>
      <w:r w:rsidRPr="00590A77">
        <w:rPr>
          <w:rFonts w:ascii="Arial" w:eastAsia="Times" w:hAnsi="Arial" w:cs="Arial"/>
          <w:color w:val="000000"/>
        </w:rPr>
        <w:t>in order to</w:t>
      </w:r>
      <w:proofErr w:type="gramEnd"/>
      <w:r w:rsidRPr="00590A77">
        <w:rPr>
          <w:rFonts w:ascii="Arial" w:eastAsia="Times" w:hAnsi="Arial" w:cs="Arial"/>
          <w:color w:val="000000"/>
        </w:rPr>
        <w:t xml:space="preserve"> participate in any trial and must:</w:t>
      </w:r>
    </w:p>
    <w:p w14:paraId="691B9C77"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proofErr w:type="gramStart"/>
      <w:r w:rsidRPr="00590A77">
        <w:rPr>
          <w:rFonts w:ascii="Arial" w:eastAsia="Times" w:hAnsi="Arial" w:cs="Arial"/>
          <w:color w:val="000000"/>
        </w:rPr>
        <w:t>give consideration to</w:t>
      </w:r>
      <w:proofErr w:type="gramEnd"/>
      <w:r w:rsidRPr="00590A77">
        <w:rPr>
          <w:rFonts w:ascii="Arial" w:eastAsia="Times" w:hAnsi="Arial" w:cs="Arial"/>
          <w:color w:val="000000"/>
        </w:rPr>
        <w:t xml:space="preserve"> how the alternative working week arrangements can be appropriately operationalised in its workplace and specific operating environment, while continuing to meet operational requirements and not lead to reduced service delivery to the Victorian community before agreeing to participate in </w:t>
      </w:r>
      <w:r>
        <w:rPr>
          <w:rFonts w:ascii="Arial" w:eastAsia="Times" w:hAnsi="Arial" w:cs="Arial"/>
          <w:color w:val="000000"/>
        </w:rPr>
        <w:t xml:space="preserve">the </w:t>
      </w:r>
      <w:r w:rsidRPr="00590A77">
        <w:rPr>
          <w:rFonts w:ascii="Arial" w:eastAsia="Times" w:hAnsi="Arial" w:cs="Arial"/>
          <w:color w:val="000000"/>
        </w:rPr>
        <w:t>Trial (including identifying cohorts suitable to participate in the trial), and</w:t>
      </w:r>
    </w:p>
    <w:p w14:paraId="634E5DFD"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 xml:space="preserve">meet any administrative costs associated with participation in the Trial. </w:t>
      </w:r>
    </w:p>
    <w:p w14:paraId="5078AE2B"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Where following the delivery of the feasibility study, the Government authorises the public sector agency to implement </w:t>
      </w:r>
      <w:r>
        <w:rPr>
          <w:rFonts w:ascii="Arial" w:eastAsia="Times" w:hAnsi="Arial" w:cs="Arial"/>
          <w:color w:val="000000"/>
        </w:rPr>
        <w:t xml:space="preserve">the </w:t>
      </w:r>
      <w:r w:rsidRPr="00590A77">
        <w:rPr>
          <w:rFonts w:ascii="Arial" w:eastAsia="Times" w:hAnsi="Arial" w:cs="Arial"/>
          <w:color w:val="000000"/>
        </w:rPr>
        <w:t xml:space="preserve">Trial, </w:t>
      </w:r>
      <w:r>
        <w:rPr>
          <w:rFonts w:ascii="Arial" w:eastAsia="Times" w:hAnsi="Arial" w:cs="Arial"/>
          <w:color w:val="000000"/>
        </w:rPr>
        <w:t>it</w:t>
      </w:r>
      <w:r w:rsidRPr="00590A77">
        <w:rPr>
          <w:rFonts w:ascii="Arial" w:eastAsia="Times" w:hAnsi="Arial" w:cs="Arial"/>
          <w:color w:val="000000"/>
        </w:rPr>
        <w:t xml:space="preserve"> will commence within 3 months of the Trial being authorised</w:t>
      </w:r>
      <w:r>
        <w:rPr>
          <w:rFonts w:ascii="Arial" w:eastAsia="Times" w:hAnsi="Arial" w:cs="Arial"/>
          <w:color w:val="000000"/>
        </w:rPr>
        <w:t xml:space="preserve"> (or within a period agreed by the parties)</w:t>
      </w:r>
      <w:r w:rsidRPr="00590A77">
        <w:rPr>
          <w:rFonts w:ascii="Arial" w:eastAsia="Times" w:hAnsi="Arial" w:cs="Arial"/>
          <w:color w:val="000000"/>
        </w:rPr>
        <w:t>.</w:t>
      </w:r>
    </w:p>
    <w:p w14:paraId="40BE79BE"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In the event Government approves the commencement of a Trial of </w:t>
      </w:r>
      <w:r>
        <w:rPr>
          <w:rFonts w:ascii="Arial" w:eastAsia="Times" w:hAnsi="Arial" w:cs="Arial"/>
          <w:color w:val="000000"/>
        </w:rPr>
        <w:t>alternative</w:t>
      </w:r>
      <w:r w:rsidRPr="00590A77">
        <w:rPr>
          <w:rFonts w:ascii="Arial" w:eastAsia="Times" w:hAnsi="Arial" w:cs="Arial"/>
          <w:color w:val="000000"/>
        </w:rPr>
        <w:t xml:space="preserve"> ways of working or arrangement of hours, the Alternative Ways of Working Committee will also be responsible for:</w:t>
      </w:r>
    </w:p>
    <w:p w14:paraId="66514ADC"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ongoing consultation regarding any issues that arise during the Trial period,</w:t>
      </w:r>
    </w:p>
    <w:p w14:paraId="57B1B5C8"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lastRenderedPageBreak/>
        <w:t>ongoing monitoring and assessment of any Trials, including periodic reporting and assessment to ensure the Trial supports both employers and participating employees, and</w:t>
      </w:r>
    </w:p>
    <w:p w14:paraId="5797AE05"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 xml:space="preserve">participating in an assessment of the outcome of any Trial to determine whether the </w:t>
      </w:r>
      <w:r>
        <w:rPr>
          <w:rFonts w:ascii="Arial" w:eastAsia="Times" w:hAnsi="Arial" w:cs="Arial"/>
          <w:color w:val="000000"/>
        </w:rPr>
        <w:t>alternative</w:t>
      </w:r>
      <w:r w:rsidRPr="00590A77">
        <w:rPr>
          <w:rFonts w:ascii="Arial" w:eastAsia="Times" w:hAnsi="Arial" w:cs="Arial"/>
          <w:color w:val="000000"/>
        </w:rPr>
        <w:t xml:space="preserve"> working arrangements trialled may be recommended as suitable for broader or long-term implementation in the applicable workforce.</w:t>
      </w:r>
    </w:p>
    <w:p w14:paraId="70FBD306"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Any Trial approved by Government to commence during the life of the Agreement will run for a duration agreed by the Committee (which can be for no less than 12 months unless otherwise agreed).</w:t>
      </w:r>
    </w:p>
    <w:p w14:paraId="07DB8BE3"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Evaluation of any approved trial must consider both robust qualitative and quantitative analysis of productivity, wellbeing, costs, absenteeism, recruitment </w:t>
      </w:r>
      <w:proofErr w:type="spellStart"/>
      <w:r w:rsidRPr="00590A77">
        <w:rPr>
          <w:rFonts w:ascii="Arial" w:eastAsia="Times" w:hAnsi="Arial" w:cs="Arial"/>
          <w:color w:val="000000"/>
        </w:rPr>
        <w:t>to</w:t>
      </w:r>
      <w:proofErr w:type="spellEnd"/>
      <w:r w:rsidRPr="00590A77">
        <w:rPr>
          <w:rFonts w:ascii="Arial" w:eastAsia="Times" w:hAnsi="Arial" w:cs="Arial"/>
          <w:color w:val="000000"/>
        </w:rPr>
        <w:t xml:space="preserve"> hard to fill roles or locations and gender and disability impacts of the </w:t>
      </w:r>
      <w:r>
        <w:rPr>
          <w:rFonts w:ascii="Arial" w:eastAsia="Times" w:hAnsi="Arial" w:cs="Arial"/>
          <w:color w:val="000000"/>
        </w:rPr>
        <w:t>alternative</w:t>
      </w:r>
      <w:r w:rsidRPr="00590A77">
        <w:rPr>
          <w:rFonts w:ascii="Arial" w:eastAsia="Times" w:hAnsi="Arial" w:cs="Arial"/>
          <w:color w:val="000000"/>
        </w:rPr>
        <w:t xml:space="preserve"> working week arrangements trialled as compared to existing working arrangements. </w:t>
      </w:r>
    </w:p>
    <w:p w14:paraId="0C923CF0"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Employees and employers not in scope of any approved Trial (or who opt out of the Trial either before or after its commencement) will continue to work in accordance with existing work arrangements.</w:t>
      </w:r>
    </w:p>
    <w:p w14:paraId="613882E0" w14:textId="77777777"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The Government must retain the right at the conclusion of any Trial (and following review and evaluation) to determine next steps, which may include:</w:t>
      </w:r>
    </w:p>
    <w:p w14:paraId="5001B459"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extending the trial, or</w:t>
      </w:r>
    </w:p>
    <w:p w14:paraId="6C70A687"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 xml:space="preserve">implementing </w:t>
      </w:r>
      <w:r>
        <w:rPr>
          <w:rFonts w:ascii="Arial" w:eastAsia="Times" w:hAnsi="Arial" w:cs="Arial"/>
          <w:color w:val="000000"/>
        </w:rPr>
        <w:t>alternative</w:t>
      </w:r>
      <w:r w:rsidRPr="00590A77">
        <w:rPr>
          <w:rFonts w:ascii="Arial" w:eastAsia="Times" w:hAnsi="Arial" w:cs="Arial"/>
          <w:color w:val="000000"/>
        </w:rPr>
        <w:t xml:space="preserve"> work arrangements on a permanent basis to some or </w:t>
      </w:r>
      <w:proofErr w:type="gramStart"/>
      <w:r w:rsidRPr="00590A77">
        <w:rPr>
          <w:rFonts w:ascii="Arial" w:eastAsia="Times" w:hAnsi="Arial" w:cs="Arial"/>
          <w:color w:val="000000"/>
        </w:rPr>
        <w:t>all of</w:t>
      </w:r>
      <w:proofErr w:type="gramEnd"/>
      <w:r w:rsidRPr="00590A77">
        <w:rPr>
          <w:rFonts w:ascii="Arial" w:eastAsia="Times" w:hAnsi="Arial" w:cs="Arial"/>
          <w:color w:val="000000"/>
        </w:rPr>
        <w:t xml:space="preserve"> its workforces, or</w:t>
      </w:r>
    </w:p>
    <w:p w14:paraId="38B16DF9" w14:textId="77777777" w:rsidR="006C581D" w:rsidRPr="00590A77" w:rsidRDefault="006C581D" w:rsidP="006C581D">
      <w:pPr>
        <w:numPr>
          <w:ilvl w:val="1"/>
          <w:numId w:val="17"/>
        </w:numPr>
        <w:spacing w:before="240" w:after="240" w:line="360" w:lineRule="auto"/>
        <w:ind w:left="851" w:hanging="491"/>
        <w:rPr>
          <w:rFonts w:ascii="Arial" w:eastAsia="Times" w:hAnsi="Arial" w:cs="Arial"/>
          <w:color w:val="000000"/>
        </w:rPr>
      </w:pPr>
      <w:r w:rsidRPr="00590A77">
        <w:rPr>
          <w:rFonts w:ascii="Arial" w:eastAsia="Times" w:hAnsi="Arial" w:cs="Arial"/>
          <w:color w:val="000000"/>
        </w:rPr>
        <w:t xml:space="preserve">deciding against a broader roll out of any or </w:t>
      </w:r>
      <w:proofErr w:type="gramStart"/>
      <w:r w:rsidRPr="00590A77">
        <w:rPr>
          <w:rFonts w:ascii="Arial" w:eastAsia="Times" w:hAnsi="Arial" w:cs="Arial"/>
          <w:color w:val="000000"/>
        </w:rPr>
        <w:t>all of</w:t>
      </w:r>
      <w:proofErr w:type="gramEnd"/>
      <w:r w:rsidRPr="00590A77">
        <w:rPr>
          <w:rFonts w:ascii="Arial" w:eastAsia="Times" w:hAnsi="Arial" w:cs="Arial"/>
          <w:color w:val="000000"/>
        </w:rPr>
        <w:t xml:space="preserve"> the trialled </w:t>
      </w:r>
      <w:r>
        <w:rPr>
          <w:rFonts w:ascii="Arial" w:eastAsia="Times" w:hAnsi="Arial" w:cs="Arial"/>
          <w:color w:val="000000"/>
        </w:rPr>
        <w:t>alternative</w:t>
      </w:r>
      <w:r w:rsidRPr="00590A77">
        <w:rPr>
          <w:rFonts w:ascii="Arial" w:eastAsia="Times" w:hAnsi="Arial" w:cs="Arial"/>
          <w:color w:val="000000"/>
        </w:rPr>
        <w:t xml:space="preserve"> work arrangements and return to existing working arrangements.</w:t>
      </w:r>
    </w:p>
    <w:p w14:paraId="09D4B6B6" w14:textId="503E73D4" w:rsidR="006C581D" w:rsidRPr="00590A77" w:rsidRDefault="006C581D" w:rsidP="006C581D">
      <w:pPr>
        <w:numPr>
          <w:ilvl w:val="0"/>
          <w:numId w:val="17"/>
        </w:numPr>
        <w:spacing w:before="240" w:after="240" w:line="360" w:lineRule="auto"/>
        <w:rPr>
          <w:rFonts w:ascii="Arial" w:eastAsia="Times" w:hAnsi="Arial" w:cs="Arial"/>
          <w:color w:val="000000"/>
        </w:rPr>
      </w:pPr>
      <w:r w:rsidRPr="00590A77">
        <w:rPr>
          <w:rFonts w:ascii="Arial" w:eastAsia="Times" w:hAnsi="Arial" w:cs="Arial"/>
          <w:color w:val="000000"/>
        </w:rPr>
        <w:t xml:space="preserve">Where a Trial of </w:t>
      </w:r>
      <w:r>
        <w:rPr>
          <w:rFonts w:ascii="Arial" w:eastAsia="Times" w:hAnsi="Arial" w:cs="Arial"/>
          <w:color w:val="000000"/>
        </w:rPr>
        <w:t>alternative</w:t>
      </w:r>
      <w:r w:rsidRPr="00590A77">
        <w:rPr>
          <w:rFonts w:ascii="Arial" w:eastAsia="Times" w:hAnsi="Arial" w:cs="Arial"/>
          <w:color w:val="000000"/>
        </w:rPr>
        <w:t xml:space="preserve"> working week models is implemented during the life of the Agreement, the Government retains the option to cancel any alternative work week trial at any time if unintended consequences arise. The Government will not seek to end any approved Trial early, without first consulting </w:t>
      </w:r>
      <w:r>
        <w:rPr>
          <w:rFonts w:ascii="Arial" w:eastAsia="Times" w:hAnsi="Arial" w:cs="Arial"/>
          <w:color w:val="000000"/>
        </w:rPr>
        <w:t xml:space="preserve">the </w:t>
      </w:r>
      <w:r w:rsidR="007E190E">
        <w:rPr>
          <w:rFonts w:ascii="Arial" w:eastAsia="Times" w:hAnsi="Arial" w:cs="Arial"/>
          <w:color w:val="000000"/>
        </w:rPr>
        <w:t>e</w:t>
      </w:r>
      <w:r>
        <w:rPr>
          <w:rFonts w:ascii="Arial" w:eastAsia="Times" w:hAnsi="Arial" w:cs="Arial"/>
          <w:color w:val="000000"/>
        </w:rPr>
        <w:t xml:space="preserve">mployer, the Unions, or </w:t>
      </w:r>
      <w:r w:rsidRPr="00590A77">
        <w:rPr>
          <w:rFonts w:ascii="Arial" w:eastAsia="Times" w:hAnsi="Arial" w:cs="Arial"/>
          <w:color w:val="000000"/>
        </w:rPr>
        <w:t>the Committee and providing the rationale and basis of why the trial is proposed to be concluded prior to the scheduled end date.</w:t>
      </w:r>
      <w:bookmarkEnd w:id="6"/>
    </w:p>
    <w:p w14:paraId="55FAA773" w14:textId="77777777" w:rsidR="005E525F" w:rsidRDefault="005E525F" w:rsidP="006C581D">
      <w:pPr>
        <w:pStyle w:val="DPCbody"/>
      </w:pPr>
    </w:p>
    <w:sectPr w:rsidR="005E525F"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7628" w14:textId="77777777" w:rsidR="003D6CF9" w:rsidRDefault="003D6CF9" w:rsidP="002D711A">
      <w:pPr>
        <w:spacing w:after="0" w:line="240" w:lineRule="auto"/>
      </w:pPr>
      <w:r>
        <w:separator/>
      </w:r>
    </w:p>
  </w:endnote>
  <w:endnote w:type="continuationSeparator" w:id="0">
    <w:p w14:paraId="0A59DB60" w14:textId="77777777" w:rsidR="003D6CF9" w:rsidRDefault="003D6CF9"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Ebrima"/>
    <w:charset w:val="00"/>
    <w:family w:val="auto"/>
    <w:pitch w:val="variable"/>
    <w:sig w:usb0="E1001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11804009"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D12F97" w:rsidRPr="00D12F97">
      <w:t xml:space="preserve"> </w:t>
    </w:r>
    <w:r w:rsidR="00D12F97" w:rsidRPr="00D12F97">
      <w:rPr>
        <w:b/>
      </w:rPr>
      <w:t>Alternative ways of working or arranging ordinary hours of work - Attachment A</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77777777" w:rsidR="00973844" w:rsidRDefault="00A6286F" w:rsidP="00CA24D2">
    <w:pPr>
      <w:pStyle w:val="Footer"/>
      <w:tabs>
        <w:tab w:val="clear" w:pos="9026"/>
      </w:tabs>
      <w:ind w:right="-604"/>
      <w:jc w:val="right"/>
    </w:pPr>
    <w:r>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01EC" w14:textId="77777777" w:rsidR="003D6CF9" w:rsidRDefault="003D6CF9" w:rsidP="002D711A">
      <w:pPr>
        <w:spacing w:after="0" w:line="240" w:lineRule="auto"/>
      </w:pPr>
      <w:r>
        <w:separator/>
      </w:r>
    </w:p>
  </w:footnote>
  <w:footnote w:type="continuationSeparator" w:id="0">
    <w:p w14:paraId="5D7A1FA9" w14:textId="77777777" w:rsidR="003D6CF9" w:rsidRDefault="003D6CF9" w:rsidP="002D711A">
      <w:pPr>
        <w:spacing w:after="0" w:line="240" w:lineRule="auto"/>
      </w:pPr>
      <w:r>
        <w:continuationSeparator/>
      </w:r>
    </w:p>
  </w:footnote>
  <w:footnote w:id="1">
    <w:p w14:paraId="40722202" w14:textId="77777777" w:rsidR="006C581D" w:rsidRDefault="006C581D" w:rsidP="006C581D">
      <w:pPr>
        <w:pStyle w:val="FootnoteText"/>
      </w:pPr>
      <w:r>
        <w:rPr>
          <w:rStyle w:val="FootnoteReference"/>
        </w:rPr>
        <w:footnoteRef/>
      </w:r>
      <w:r>
        <w:t xml:space="preserve"> Public sector employers are encouraged to adopt this model BPEC where, through enterprise bargaining, the parties agree to trial alternative ways of working. The model clause may be varied or amended to suit the needs of the workforce.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E2C83F"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26BEE4"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273"/>
    <w:multiLevelType w:val="multilevel"/>
    <w:tmpl w:val="63DED1EE"/>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AC81270"/>
    <w:multiLevelType w:val="multilevel"/>
    <w:tmpl w:val="BD304D4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48415CA"/>
    <w:multiLevelType w:val="hybridMultilevel"/>
    <w:tmpl w:val="08EEEF8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8"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0"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1"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13386E"/>
    <w:multiLevelType w:val="hybridMultilevel"/>
    <w:tmpl w:val="12F81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FD44514"/>
    <w:multiLevelType w:val="multilevel"/>
    <w:tmpl w:val="157A274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sz w:val="28"/>
        <w:szCs w:val="28"/>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321812692">
    <w:abstractNumId w:val="15"/>
  </w:num>
  <w:num w:numId="2" w16cid:durableId="1615794856">
    <w:abstractNumId w:val="10"/>
  </w:num>
  <w:num w:numId="3" w16cid:durableId="1136600786">
    <w:abstractNumId w:val="13"/>
  </w:num>
  <w:num w:numId="4" w16cid:durableId="1084381061">
    <w:abstractNumId w:val="15"/>
  </w:num>
  <w:num w:numId="5" w16cid:durableId="633758885">
    <w:abstractNumId w:val="8"/>
  </w:num>
  <w:num w:numId="6" w16cid:durableId="11809797">
    <w:abstractNumId w:val="3"/>
  </w:num>
  <w:num w:numId="7" w16cid:durableId="630399569">
    <w:abstractNumId w:val="2"/>
  </w:num>
  <w:num w:numId="8" w16cid:durableId="1762751113">
    <w:abstractNumId w:val="6"/>
  </w:num>
  <w:num w:numId="9" w16cid:durableId="1047489639">
    <w:abstractNumId w:val="9"/>
  </w:num>
  <w:num w:numId="10" w16cid:durableId="495807420">
    <w:abstractNumId w:val="12"/>
  </w:num>
  <w:num w:numId="11" w16cid:durableId="698897207">
    <w:abstractNumId w:val="11"/>
  </w:num>
  <w:num w:numId="12" w16cid:durableId="2028823373">
    <w:abstractNumId w:val="4"/>
  </w:num>
  <w:num w:numId="13" w16cid:durableId="398407019">
    <w:abstractNumId w:val="1"/>
  </w:num>
  <w:num w:numId="14" w16cid:durableId="2058316661">
    <w:abstractNumId w:val="0"/>
  </w:num>
  <w:num w:numId="15" w16cid:durableId="629744617">
    <w:abstractNumId w:val="7"/>
  </w:num>
  <w:num w:numId="16" w16cid:durableId="1246500768">
    <w:abstractNumId w:val="14"/>
  </w:num>
  <w:num w:numId="17" w16cid:durableId="23520990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811"/>
    <w:rsid w:val="00043296"/>
    <w:rsid w:val="0004356D"/>
    <w:rsid w:val="00045296"/>
    <w:rsid w:val="00072A2A"/>
    <w:rsid w:val="00075E6C"/>
    <w:rsid w:val="000857B7"/>
    <w:rsid w:val="00090171"/>
    <w:rsid w:val="00090876"/>
    <w:rsid w:val="000B29AD"/>
    <w:rsid w:val="000C6372"/>
    <w:rsid w:val="000D593F"/>
    <w:rsid w:val="000E392D"/>
    <w:rsid w:val="000F4288"/>
    <w:rsid w:val="000F5D2A"/>
    <w:rsid w:val="000F7165"/>
    <w:rsid w:val="00102379"/>
    <w:rsid w:val="001065D6"/>
    <w:rsid w:val="00121252"/>
    <w:rsid w:val="00124609"/>
    <w:rsid w:val="001254CE"/>
    <w:rsid w:val="00126AF9"/>
    <w:rsid w:val="00134CEA"/>
    <w:rsid w:val="00140B04"/>
    <w:rsid w:val="001422CC"/>
    <w:rsid w:val="001617B6"/>
    <w:rsid w:val="00165E66"/>
    <w:rsid w:val="001945DE"/>
    <w:rsid w:val="001A3DD1"/>
    <w:rsid w:val="001B44E1"/>
    <w:rsid w:val="001B50AB"/>
    <w:rsid w:val="001C7BAE"/>
    <w:rsid w:val="001D717E"/>
    <w:rsid w:val="001E31FA"/>
    <w:rsid w:val="001E64F6"/>
    <w:rsid w:val="00200BB3"/>
    <w:rsid w:val="002034B7"/>
    <w:rsid w:val="00215863"/>
    <w:rsid w:val="00222BEB"/>
    <w:rsid w:val="00225E60"/>
    <w:rsid w:val="00227C39"/>
    <w:rsid w:val="0023202C"/>
    <w:rsid w:val="00233EC3"/>
    <w:rsid w:val="00236203"/>
    <w:rsid w:val="00245043"/>
    <w:rsid w:val="00257760"/>
    <w:rsid w:val="00275E59"/>
    <w:rsid w:val="00292D36"/>
    <w:rsid w:val="00297281"/>
    <w:rsid w:val="002B023E"/>
    <w:rsid w:val="002C308F"/>
    <w:rsid w:val="002C54E0"/>
    <w:rsid w:val="002D667F"/>
    <w:rsid w:val="002D711A"/>
    <w:rsid w:val="002D7336"/>
    <w:rsid w:val="002E3396"/>
    <w:rsid w:val="003047C7"/>
    <w:rsid w:val="0031149C"/>
    <w:rsid w:val="00330A9A"/>
    <w:rsid w:val="00346897"/>
    <w:rsid w:val="0038771C"/>
    <w:rsid w:val="00392A8F"/>
    <w:rsid w:val="0039405B"/>
    <w:rsid w:val="003A1C92"/>
    <w:rsid w:val="003A541A"/>
    <w:rsid w:val="003A6923"/>
    <w:rsid w:val="003B4EFB"/>
    <w:rsid w:val="003C2C67"/>
    <w:rsid w:val="003C2EA2"/>
    <w:rsid w:val="003C5BA4"/>
    <w:rsid w:val="003D3695"/>
    <w:rsid w:val="003D6CF9"/>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43DC"/>
    <w:rsid w:val="004A7519"/>
    <w:rsid w:val="004B41CA"/>
    <w:rsid w:val="004B6F45"/>
    <w:rsid w:val="004C1B8B"/>
    <w:rsid w:val="004D3518"/>
    <w:rsid w:val="004D62D6"/>
    <w:rsid w:val="00515E22"/>
    <w:rsid w:val="00522F8A"/>
    <w:rsid w:val="0053416C"/>
    <w:rsid w:val="005409CE"/>
    <w:rsid w:val="00541C2F"/>
    <w:rsid w:val="00563527"/>
    <w:rsid w:val="0058124E"/>
    <w:rsid w:val="00584301"/>
    <w:rsid w:val="005875A3"/>
    <w:rsid w:val="00590C26"/>
    <w:rsid w:val="005A1735"/>
    <w:rsid w:val="005A3416"/>
    <w:rsid w:val="005B27FE"/>
    <w:rsid w:val="005B356C"/>
    <w:rsid w:val="005C3E6D"/>
    <w:rsid w:val="005D0CBC"/>
    <w:rsid w:val="005E525F"/>
    <w:rsid w:val="005F0229"/>
    <w:rsid w:val="005F331D"/>
    <w:rsid w:val="005F4FEF"/>
    <w:rsid w:val="005F61DF"/>
    <w:rsid w:val="006023F9"/>
    <w:rsid w:val="00610559"/>
    <w:rsid w:val="006222FC"/>
    <w:rsid w:val="006258F0"/>
    <w:rsid w:val="006332F6"/>
    <w:rsid w:val="006361E7"/>
    <w:rsid w:val="00640DEC"/>
    <w:rsid w:val="00641096"/>
    <w:rsid w:val="00651EC0"/>
    <w:rsid w:val="00652625"/>
    <w:rsid w:val="006534B2"/>
    <w:rsid w:val="0065615D"/>
    <w:rsid w:val="00657011"/>
    <w:rsid w:val="006650B5"/>
    <w:rsid w:val="006651B1"/>
    <w:rsid w:val="00665778"/>
    <w:rsid w:val="006738C4"/>
    <w:rsid w:val="00691C09"/>
    <w:rsid w:val="006A3A4D"/>
    <w:rsid w:val="006A5B34"/>
    <w:rsid w:val="006A5F5B"/>
    <w:rsid w:val="006B6113"/>
    <w:rsid w:val="006C581D"/>
    <w:rsid w:val="006C77A9"/>
    <w:rsid w:val="006F6590"/>
    <w:rsid w:val="006F6693"/>
    <w:rsid w:val="00707FE8"/>
    <w:rsid w:val="00710FFD"/>
    <w:rsid w:val="007143B7"/>
    <w:rsid w:val="00724962"/>
    <w:rsid w:val="00724A0F"/>
    <w:rsid w:val="00727A5C"/>
    <w:rsid w:val="0073072C"/>
    <w:rsid w:val="007320B4"/>
    <w:rsid w:val="00732162"/>
    <w:rsid w:val="007335A5"/>
    <w:rsid w:val="00736732"/>
    <w:rsid w:val="00750CBE"/>
    <w:rsid w:val="00753753"/>
    <w:rsid w:val="007549FF"/>
    <w:rsid w:val="00766B5A"/>
    <w:rsid w:val="007834F2"/>
    <w:rsid w:val="00791020"/>
    <w:rsid w:val="007A5F82"/>
    <w:rsid w:val="007B75A4"/>
    <w:rsid w:val="007C4F5B"/>
    <w:rsid w:val="007D5C88"/>
    <w:rsid w:val="007E190E"/>
    <w:rsid w:val="007F049A"/>
    <w:rsid w:val="007F1A4C"/>
    <w:rsid w:val="008022C3"/>
    <w:rsid w:val="008041E6"/>
    <w:rsid w:val="008065D2"/>
    <w:rsid w:val="0082194C"/>
    <w:rsid w:val="008220C4"/>
    <w:rsid w:val="008222FF"/>
    <w:rsid w:val="008241FF"/>
    <w:rsid w:val="008411E9"/>
    <w:rsid w:val="0084200F"/>
    <w:rsid w:val="00843B2C"/>
    <w:rsid w:val="008471C4"/>
    <w:rsid w:val="00893F9A"/>
    <w:rsid w:val="008A4900"/>
    <w:rsid w:val="008D0281"/>
    <w:rsid w:val="008D399C"/>
    <w:rsid w:val="008E3C4E"/>
    <w:rsid w:val="008F6D45"/>
    <w:rsid w:val="0090194A"/>
    <w:rsid w:val="009527C4"/>
    <w:rsid w:val="00973844"/>
    <w:rsid w:val="009834C0"/>
    <w:rsid w:val="00984C95"/>
    <w:rsid w:val="00986AAC"/>
    <w:rsid w:val="009A0016"/>
    <w:rsid w:val="009A1DA2"/>
    <w:rsid w:val="009A3704"/>
    <w:rsid w:val="009A4739"/>
    <w:rsid w:val="009A674F"/>
    <w:rsid w:val="009B199C"/>
    <w:rsid w:val="009B54C8"/>
    <w:rsid w:val="009B61F1"/>
    <w:rsid w:val="009B62E0"/>
    <w:rsid w:val="009C3D88"/>
    <w:rsid w:val="009D1F54"/>
    <w:rsid w:val="009D2B85"/>
    <w:rsid w:val="009E3858"/>
    <w:rsid w:val="009E70DD"/>
    <w:rsid w:val="009F1269"/>
    <w:rsid w:val="009F2ED9"/>
    <w:rsid w:val="009F3231"/>
    <w:rsid w:val="009F5C58"/>
    <w:rsid w:val="00A023A0"/>
    <w:rsid w:val="00A105BF"/>
    <w:rsid w:val="00A128EC"/>
    <w:rsid w:val="00A12A11"/>
    <w:rsid w:val="00A1562B"/>
    <w:rsid w:val="00A170F4"/>
    <w:rsid w:val="00A227DE"/>
    <w:rsid w:val="00A2559E"/>
    <w:rsid w:val="00A25FD9"/>
    <w:rsid w:val="00A46BA8"/>
    <w:rsid w:val="00A47634"/>
    <w:rsid w:val="00A56569"/>
    <w:rsid w:val="00A612FE"/>
    <w:rsid w:val="00A6286F"/>
    <w:rsid w:val="00A87AF5"/>
    <w:rsid w:val="00AA26B8"/>
    <w:rsid w:val="00AA6FB5"/>
    <w:rsid w:val="00AB3FE2"/>
    <w:rsid w:val="00AD3322"/>
    <w:rsid w:val="00AD7E4E"/>
    <w:rsid w:val="00AE0BEF"/>
    <w:rsid w:val="00AF34DE"/>
    <w:rsid w:val="00AF4D58"/>
    <w:rsid w:val="00AF6666"/>
    <w:rsid w:val="00B10154"/>
    <w:rsid w:val="00B30735"/>
    <w:rsid w:val="00B65BB2"/>
    <w:rsid w:val="00B74811"/>
    <w:rsid w:val="00B81B44"/>
    <w:rsid w:val="00B8205C"/>
    <w:rsid w:val="00B9053B"/>
    <w:rsid w:val="00BC3422"/>
    <w:rsid w:val="00BF52D9"/>
    <w:rsid w:val="00C015B9"/>
    <w:rsid w:val="00C022F9"/>
    <w:rsid w:val="00C032EA"/>
    <w:rsid w:val="00C06EB5"/>
    <w:rsid w:val="00C1145F"/>
    <w:rsid w:val="00C34A7F"/>
    <w:rsid w:val="00C637E1"/>
    <w:rsid w:val="00C70D50"/>
    <w:rsid w:val="00C8243E"/>
    <w:rsid w:val="00C82C00"/>
    <w:rsid w:val="00C907D7"/>
    <w:rsid w:val="00C92338"/>
    <w:rsid w:val="00CA24D2"/>
    <w:rsid w:val="00CA7C3A"/>
    <w:rsid w:val="00CC2DB2"/>
    <w:rsid w:val="00CD0307"/>
    <w:rsid w:val="00CD3D1B"/>
    <w:rsid w:val="00CE62B3"/>
    <w:rsid w:val="00CF7DCA"/>
    <w:rsid w:val="00D12F97"/>
    <w:rsid w:val="00D211E9"/>
    <w:rsid w:val="00D2312F"/>
    <w:rsid w:val="00D269C1"/>
    <w:rsid w:val="00D44953"/>
    <w:rsid w:val="00D542F3"/>
    <w:rsid w:val="00D543E5"/>
    <w:rsid w:val="00D5644B"/>
    <w:rsid w:val="00D56E25"/>
    <w:rsid w:val="00D71896"/>
    <w:rsid w:val="00D718D7"/>
    <w:rsid w:val="00D73212"/>
    <w:rsid w:val="00D814B7"/>
    <w:rsid w:val="00D90688"/>
    <w:rsid w:val="00D972FA"/>
    <w:rsid w:val="00DA3AAD"/>
    <w:rsid w:val="00DB312B"/>
    <w:rsid w:val="00DC0569"/>
    <w:rsid w:val="00DC5654"/>
    <w:rsid w:val="00DC658F"/>
    <w:rsid w:val="00DD426E"/>
    <w:rsid w:val="00DD7489"/>
    <w:rsid w:val="00DE5116"/>
    <w:rsid w:val="00DE60CC"/>
    <w:rsid w:val="00DF4867"/>
    <w:rsid w:val="00E26B32"/>
    <w:rsid w:val="00E31444"/>
    <w:rsid w:val="00E407B6"/>
    <w:rsid w:val="00E41EF1"/>
    <w:rsid w:val="00E42942"/>
    <w:rsid w:val="00E468A6"/>
    <w:rsid w:val="00E46A9E"/>
    <w:rsid w:val="00E56995"/>
    <w:rsid w:val="00E71BDF"/>
    <w:rsid w:val="00E83CA7"/>
    <w:rsid w:val="00EB511F"/>
    <w:rsid w:val="00EC171D"/>
    <w:rsid w:val="00ED487E"/>
    <w:rsid w:val="00EE7A0D"/>
    <w:rsid w:val="00EF0D21"/>
    <w:rsid w:val="00EF2BF4"/>
    <w:rsid w:val="00EF37CC"/>
    <w:rsid w:val="00F12351"/>
    <w:rsid w:val="00F17CE1"/>
    <w:rsid w:val="00F2115C"/>
    <w:rsid w:val="00F22ABA"/>
    <w:rsid w:val="00F24AEC"/>
    <w:rsid w:val="00F30D4F"/>
    <w:rsid w:val="00F36B12"/>
    <w:rsid w:val="00F417C3"/>
    <w:rsid w:val="00F60F9F"/>
    <w:rsid w:val="00F64F08"/>
    <w:rsid w:val="00F734F5"/>
    <w:rsid w:val="00F966B1"/>
    <w:rsid w:val="00F97D48"/>
    <w:rsid w:val="00FA0311"/>
    <w:rsid w:val="00FB1B89"/>
    <w:rsid w:val="00FC1523"/>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0" w:unhideWhenUsed="1"/>
    <w:lsdException w:name="toc 6" w:uiPriority="0" w:unhideWhenUsed="1"/>
    <w:lsdException w:name="toc 7" w:semiHidden="1" w:uiPriority="0"/>
    <w:lsdException w:name="toc 8" w:semiHidden="1" w:uiPriority="0"/>
    <w:lsdException w:name="toc 9" w:semiHidden="1" w:uiPriority="0"/>
    <w:lsdException w:name="Normal Indent" w:uiPriority="9" w:unhideWhenUsed="1" w:qFormat="1"/>
    <w:lsdException w:name="footnote text" w:semiHidden="1" w:unhideWhenUsed="1"/>
    <w:lsdException w:name="annotation text" w:semiHidden="1"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lsdException w:name="endnote reference" w:semiHidden="1" w:uiPriority="0"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uiPriority w:val="1"/>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uiPriority w:val="9"/>
    <w:qFormat/>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uiPriority w:val="1"/>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2"/>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1"/>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4"/>
      </w:numPr>
    </w:pPr>
  </w:style>
  <w:style w:type="paragraph" w:customStyle="1" w:styleId="Heading3numbered">
    <w:name w:val="Heading 3 numbered"/>
    <w:basedOn w:val="Heading3"/>
    <w:next w:val="NormalIndent"/>
    <w:uiPriority w:val="1"/>
    <w:qFormat/>
    <w:rsid w:val="009F1269"/>
    <w:pPr>
      <w:numPr>
        <w:ilvl w:val="4"/>
        <w:numId w:val="4"/>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4"/>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2"/>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rsid w:val="009F1269"/>
    <w:pPr>
      <w:tabs>
        <w:tab w:val="center" w:pos="4513"/>
        <w:tab w:val="right" w:pos="9026"/>
      </w:tabs>
      <w:spacing w:after="0" w:line="240" w:lineRule="auto"/>
    </w:pPr>
  </w:style>
  <w:style w:type="character" w:customStyle="1" w:styleId="HeaderChar">
    <w:name w:val="Header Char"/>
    <w:basedOn w:val="DefaultParagraphFont"/>
    <w:link w:val="Header"/>
    <w:rsid w:val="009F1269"/>
    <w:rPr>
      <w:color w:val="232B39" w:themeColor="text1"/>
    </w:rPr>
  </w:style>
  <w:style w:type="paragraph" w:styleId="Footer">
    <w:name w:val="footer"/>
    <w:basedOn w:val="Normal"/>
    <w:link w:val="FooterChar"/>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semiHidden/>
    <w:rsid w:val="00B65BB2"/>
    <w:pPr>
      <w:ind w:left="1080" w:hanging="634"/>
    </w:pPr>
    <w:rPr>
      <w:lang w:eastAsia="en-US"/>
    </w:rPr>
  </w:style>
  <w:style w:type="paragraph" w:styleId="TOC6">
    <w:name w:val="toc 6"/>
    <w:basedOn w:val="TOC3"/>
    <w:next w:val="Normal"/>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4"/>
      </w:numPr>
      <w:spacing w:before="100"/>
      <w:contextualSpacing/>
    </w:pPr>
  </w:style>
  <w:style w:type="paragraph" w:customStyle="1" w:styleId="Listnumindent">
    <w:name w:val="List num indent"/>
    <w:basedOn w:val="Normal"/>
    <w:uiPriority w:val="2"/>
    <w:qFormat/>
    <w:rsid w:val="009F1269"/>
    <w:pPr>
      <w:numPr>
        <w:ilvl w:val="6"/>
        <w:numId w:val="4"/>
      </w:numPr>
      <w:spacing w:before="100"/>
    </w:pPr>
  </w:style>
  <w:style w:type="paragraph" w:customStyle="1" w:styleId="Listnum">
    <w:name w:val="List num"/>
    <w:basedOn w:val="Normal"/>
    <w:uiPriority w:val="2"/>
    <w:semiHidden/>
    <w:qFormat/>
    <w:rsid w:val="009F1269"/>
    <w:pPr>
      <w:numPr>
        <w:numId w:val="4"/>
      </w:numPr>
    </w:pPr>
  </w:style>
  <w:style w:type="paragraph" w:customStyle="1" w:styleId="Listnum2">
    <w:name w:val="List num 2"/>
    <w:basedOn w:val="Normal"/>
    <w:uiPriority w:val="2"/>
    <w:semiHidden/>
    <w:qFormat/>
    <w:rsid w:val="009F1269"/>
    <w:pPr>
      <w:numPr>
        <w:ilvl w:val="1"/>
        <w:numId w:val="4"/>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5"/>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3"/>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99"/>
    <w:rsid w:val="009F1269"/>
    <w:pPr>
      <w:spacing w:before="0" w:after="0" w:line="240" w:lineRule="auto"/>
    </w:pPr>
    <w:rPr>
      <w:sz w:val="17"/>
    </w:rPr>
  </w:style>
  <w:style w:type="character" w:customStyle="1" w:styleId="FootnoteTextChar">
    <w:name w:val="Footnote Text Char"/>
    <w:basedOn w:val="DefaultParagraphFont"/>
    <w:link w:val="FootnoteText"/>
    <w:uiPriority w:val="99"/>
    <w:rsid w:val="009F1269"/>
    <w:rPr>
      <w:color w:val="232B39" w:themeColor="text1"/>
      <w:sz w:val="17"/>
    </w:rPr>
  </w:style>
  <w:style w:type="character" w:styleId="FootnoteReference">
    <w:name w:val="footnote reference"/>
    <w:basedOn w:val="DefaultParagraphFont"/>
    <w:uiPriority w:val="99"/>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4"/>
      </w:numPr>
      <w:tabs>
        <w:tab w:val="clear" w:pos="540"/>
      </w:tabs>
    </w:pPr>
  </w:style>
  <w:style w:type="paragraph" w:customStyle="1" w:styleId="Tablenum1">
    <w:name w:val="Table num 1"/>
    <w:basedOn w:val="Normal"/>
    <w:uiPriority w:val="6"/>
    <w:rsid w:val="009F1269"/>
    <w:pPr>
      <w:numPr>
        <w:ilvl w:val="2"/>
        <w:numId w:val="5"/>
      </w:numPr>
      <w:spacing w:before="60" w:after="60"/>
    </w:pPr>
    <w:rPr>
      <w:sz w:val="17"/>
    </w:rPr>
  </w:style>
  <w:style w:type="paragraph" w:customStyle="1" w:styleId="Tablenum2">
    <w:name w:val="Table num 2"/>
    <w:basedOn w:val="Normal"/>
    <w:uiPriority w:val="6"/>
    <w:rsid w:val="009F1269"/>
    <w:pPr>
      <w:numPr>
        <w:ilvl w:val="3"/>
        <w:numId w:val="5"/>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35"/>
    <w:qFormat/>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rsid w:val="009F1269"/>
    <w:rPr>
      <w:color w:val="808080" w:themeColor="background1" w:themeShade="80"/>
      <w:u w:val="none"/>
    </w:rPr>
  </w:style>
  <w:style w:type="character" w:customStyle="1" w:styleId="Heading5Char">
    <w:name w:val="Heading 5 Char"/>
    <w:basedOn w:val="DefaultParagraphFont"/>
    <w:link w:val="Heading5"/>
    <w:uiPriority w:val="9"/>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8"/>
      </w:numPr>
    </w:pPr>
  </w:style>
  <w:style w:type="paragraph" w:customStyle="1" w:styleId="DPCnumberloweralphaindent">
    <w:name w:val="DPC number lower alpha indent"/>
    <w:basedOn w:val="DPCbody"/>
    <w:uiPriority w:val="3"/>
    <w:rsid w:val="007D5C88"/>
    <w:pPr>
      <w:numPr>
        <w:ilvl w:val="1"/>
        <w:numId w:val="6"/>
      </w:numPr>
    </w:pPr>
    <w:rPr>
      <w:rFonts w:ascii="Arial" w:hAnsi="Arial"/>
    </w:rPr>
  </w:style>
  <w:style w:type="paragraph" w:customStyle="1" w:styleId="DPCnumberloweralpha">
    <w:name w:val="DPC number lower alpha"/>
    <w:basedOn w:val="DPCbody"/>
    <w:uiPriority w:val="3"/>
    <w:rsid w:val="007D5C88"/>
    <w:pPr>
      <w:numPr>
        <w:numId w:val="6"/>
      </w:numPr>
    </w:pPr>
    <w:rPr>
      <w:rFonts w:ascii="Arial" w:hAnsi="Arial"/>
    </w:rPr>
  </w:style>
  <w:style w:type="numbering" w:customStyle="1" w:styleId="ZZNumbersloweralpha">
    <w:name w:val="ZZ Numbers lower alpha"/>
    <w:basedOn w:val="NoList"/>
    <w:rsid w:val="007D5C88"/>
    <w:pPr>
      <w:numPr>
        <w:numId w:val="6"/>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9"/>
      </w:numPr>
    </w:pPr>
  </w:style>
  <w:style w:type="character" w:styleId="UnresolvedMention">
    <w:name w:val="Unresolved Mention"/>
    <w:basedOn w:val="DefaultParagraphFont"/>
    <w:uiPriority w:val="99"/>
    <w:semiHidden/>
    <w:rsid w:val="00BF52D9"/>
    <w:rPr>
      <w:color w:val="605E5C"/>
      <w:shd w:val="clear" w:color="auto" w:fill="E1DFDD"/>
    </w:rPr>
  </w:style>
  <w:style w:type="paragraph" w:styleId="EndnoteText">
    <w:name w:val="endnote text"/>
    <w:basedOn w:val="Normal"/>
    <w:link w:val="EndnoteTextChar"/>
    <w:semiHidden/>
    <w:rsid w:val="00DD426E"/>
    <w:pPr>
      <w:spacing w:before="0" w:after="0" w:line="240" w:lineRule="auto"/>
    </w:pPr>
    <w:rPr>
      <w:rFonts w:ascii="Cambria" w:eastAsia="Times New Roman" w:hAnsi="Cambria" w:cs="Times New Roman"/>
      <w:color w:val="auto"/>
      <w:sz w:val="24"/>
      <w:szCs w:val="24"/>
      <w:lang w:eastAsia="en-US"/>
    </w:rPr>
  </w:style>
  <w:style w:type="character" w:customStyle="1" w:styleId="EndnoteTextChar">
    <w:name w:val="Endnote Text Char"/>
    <w:basedOn w:val="DefaultParagraphFont"/>
    <w:link w:val="EndnoteText"/>
    <w:semiHidden/>
    <w:rsid w:val="00DD426E"/>
    <w:rPr>
      <w:rFonts w:ascii="Cambria" w:eastAsia="Times New Roman" w:hAnsi="Cambria" w:cs="Times New Roman"/>
      <w:sz w:val="24"/>
      <w:szCs w:val="24"/>
      <w:lang w:eastAsia="en-US"/>
    </w:rPr>
  </w:style>
  <w:style w:type="character" w:styleId="EndnoteReference">
    <w:name w:val="endnote reference"/>
    <w:semiHidden/>
    <w:rsid w:val="00DD426E"/>
    <w:rPr>
      <w:vertAlign w:val="superscript"/>
    </w:rPr>
  </w:style>
  <w:style w:type="paragraph" w:customStyle="1" w:styleId="DPCbodynospace">
    <w:name w:val="DPC body no space"/>
    <w:basedOn w:val="DPCbody"/>
    <w:uiPriority w:val="1"/>
    <w:rsid w:val="00DD426E"/>
    <w:pPr>
      <w:spacing w:after="0"/>
    </w:pPr>
    <w:rPr>
      <w:rFonts w:cs="Arial"/>
      <w:sz w:val="22"/>
      <w:szCs w:val="22"/>
    </w:rPr>
  </w:style>
  <w:style w:type="paragraph" w:styleId="DocumentMap">
    <w:name w:val="Document Map"/>
    <w:basedOn w:val="Normal"/>
    <w:link w:val="DocumentMapChar"/>
    <w:uiPriority w:val="99"/>
    <w:semiHidden/>
    <w:unhideWhenUsed/>
    <w:rsid w:val="00DD426E"/>
    <w:pPr>
      <w:spacing w:before="0" w:after="0" w:line="240" w:lineRule="auto"/>
    </w:pPr>
    <w:rPr>
      <w:rFonts w:ascii="Lucida Grande" w:eastAsia="Times New Roman" w:hAnsi="Lucida Grande" w:cs="Lucida Grande"/>
      <w:color w:val="auto"/>
      <w:sz w:val="24"/>
      <w:szCs w:val="24"/>
      <w:lang w:eastAsia="en-US"/>
    </w:rPr>
  </w:style>
  <w:style w:type="character" w:customStyle="1" w:styleId="DocumentMapChar">
    <w:name w:val="Document Map Char"/>
    <w:basedOn w:val="DefaultParagraphFont"/>
    <w:link w:val="DocumentMap"/>
    <w:uiPriority w:val="99"/>
    <w:semiHidden/>
    <w:rsid w:val="00DD426E"/>
    <w:rPr>
      <w:rFonts w:ascii="Lucida Grande" w:eastAsia="Times New Roman" w:hAnsi="Lucida Grande" w:cs="Lucida Grande"/>
      <w:sz w:val="24"/>
      <w:szCs w:val="24"/>
      <w:lang w:eastAsia="en-US"/>
    </w:rPr>
  </w:style>
  <w:style w:type="paragraph" w:styleId="TOC7">
    <w:name w:val="toc 7"/>
    <w:basedOn w:val="Normal"/>
    <w:next w:val="Normal"/>
    <w:autoRedefine/>
    <w:semiHidden/>
    <w:rsid w:val="00DD426E"/>
    <w:pPr>
      <w:spacing w:before="0" w:after="0" w:line="240" w:lineRule="auto"/>
      <w:ind w:left="1200"/>
    </w:pPr>
    <w:rPr>
      <w:rFonts w:ascii="Cambria" w:eastAsia="Times New Roman" w:hAnsi="Cambria" w:cs="Times New Roman"/>
      <w:color w:val="auto"/>
      <w:lang w:eastAsia="en-US"/>
    </w:rPr>
  </w:style>
  <w:style w:type="paragraph" w:styleId="TOC8">
    <w:name w:val="toc 8"/>
    <w:basedOn w:val="Normal"/>
    <w:next w:val="Normal"/>
    <w:autoRedefine/>
    <w:semiHidden/>
    <w:rsid w:val="00DD426E"/>
    <w:pPr>
      <w:spacing w:before="0" w:after="0" w:line="240" w:lineRule="auto"/>
      <w:ind w:left="1400"/>
    </w:pPr>
    <w:rPr>
      <w:rFonts w:ascii="Cambria" w:eastAsia="Times New Roman" w:hAnsi="Cambria" w:cs="Times New Roman"/>
      <w:color w:val="auto"/>
      <w:lang w:eastAsia="en-US"/>
    </w:rPr>
  </w:style>
  <w:style w:type="paragraph" w:styleId="TOC9">
    <w:name w:val="toc 9"/>
    <w:basedOn w:val="Normal"/>
    <w:next w:val="Normal"/>
    <w:autoRedefine/>
    <w:semiHidden/>
    <w:rsid w:val="00DD426E"/>
    <w:pPr>
      <w:spacing w:before="0" w:after="0" w:line="240" w:lineRule="auto"/>
      <w:ind w:left="1600"/>
    </w:pPr>
    <w:rPr>
      <w:rFonts w:ascii="Cambria" w:eastAsia="Times New Roman" w:hAnsi="Cambria" w:cs="Times New Roman"/>
      <w:color w:val="auto"/>
      <w:lang w:eastAsia="en-US"/>
    </w:rPr>
  </w:style>
  <w:style w:type="paragraph" w:customStyle="1" w:styleId="DPCtabletext">
    <w:name w:val="DPC table text"/>
    <w:uiPriority w:val="3"/>
    <w:qFormat/>
    <w:rsid w:val="00DD426E"/>
    <w:pPr>
      <w:spacing w:before="60" w:after="40" w:line="240" w:lineRule="auto"/>
    </w:pPr>
    <w:rPr>
      <w:rFonts w:eastAsia="Times New Roman" w:cs="Times New Roman"/>
      <w:color w:val="232B39" w:themeColor="text1"/>
      <w:lang w:eastAsia="en-US"/>
    </w:rPr>
  </w:style>
  <w:style w:type="paragraph" w:customStyle="1" w:styleId="DPCtablecaption">
    <w:name w:val="DPC table caption"/>
    <w:next w:val="DPCbody"/>
    <w:uiPriority w:val="3"/>
    <w:qFormat/>
    <w:rsid w:val="00DD426E"/>
    <w:pPr>
      <w:keepNext/>
      <w:keepLines/>
      <w:spacing w:before="240" w:after="120" w:line="270" w:lineRule="exact"/>
    </w:pPr>
    <w:rPr>
      <w:rFonts w:asciiTheme="majorHAnsi" w:eastAsia="Times New Roman" w:hAnsiTheme="majorHAnsi" w:cs="Times New Roman"/>
      <w:b/>
      <w:color w:val="232B39" w:themeColor="text1"/>
      <w:sz w:val="22"/>
      <w:szCs w:val="22"/>
      <w:lang w:eastAsia="en-US"/>
    </w:rPr>
  </w:style>
  <w:style w:type="paragraph" w:customStyle="1" w:styleId="DPCmainheading">
    <w:name w:val="DPC main heading"/>
    <w:uiPriority w:val="8"/>
    <w:rsid w:val="00DD426E"/>
    <w:pPr>
      <w:spacing w:after="0" w:line="600" w:lineRule="atLeast"/>
    </w:pPr>
    <w:rPr>
      <w:rFonts w:asciiTheme="majorHAnsi" w:eastAsia="Times New Roman" w:hAnsiTheme="majorHAnsi" w:cs="Times New Roman"/>
      <w:color w:val="53565A"/>
      <w:sz w:val="50"/>
      <w:szCs w:val="50"/>
      <w:lang w:eastAsia="en-US"/>
    </w:rPr>
  </w:style>
  <w:style w:type="paragraph" w:customStyle="1" w:styleId="DPCfigurecaption">
    <w:name w:val="DPC figure caption"/>
    <w:next w:val="DPCbody"/>
    <w:uiPriority w:val="8"/>
    <w:rsid w:val="00DD426E"/>
    <w:pPr>
      <w:keepNext/>
      <w:keepLines/>
      <w:spacing w:before="240" w:after="120" w:line="240" w:lineRule="auto"/>
    </w:pPr>
    <w:rPr>
      <w:rFonts w:eastAsia="Times New Roman" w:cs="Times New Roman"/>
      <w:b/>
      <w:color w:val="232B39" w:themeColor="text1"/>
      <w:sz w:val="22"/>
      <w:szCs w:val="22"/>
      <w:lang w:eastAsia="en-US"/>
    </w:rPr>
  </w:style>
  <w:style w:type="paragraph" w:customStyle="1" w:styleId="DPCtablebullet">
    <w:name w:val="DPC table bullet"/>
    <w:basedOn w:val="DPCtabletext"/>
    <w:uiPriority w:val="3"/>
    <w:qFormat/>
    <w:rsid w:val="00DD426E"/>
    <w:pPr>
      <w:numPr>
        <w:numId w:val="13"/>
      </w:numPr>
    </w:pPr>
  </w:style>
  <w:style w:type="paragraph" w:customStyle="1" w:styleId="DPCtablecolhead">
    <w:name w:val="DPC table col head"/>
    <w:uiPriority w:val="3"/>
    <w:qFormat/>
    <w:rsid w:val="00DD426E"/>
    <w:pPr>
      <w:spacing w:before="80" w:after="60" w:line="240" w:lineRule="auto"/>
    </w:pPr>
    <w:rPr>
      <w:rFonts w:asciiTheme="majorHAnsi" w:eastAsia="Times New Roman" w:hAnsiTheme="majorHAnsi" w:cs="Times New Roman"/>
      <w:b/>
      <w:color w:val="53565A"/>
      <w:lang w:eastAsia="en-US"/>
    </w:rPr>
  </w:style>
  <w:style w:type="paragraph" w:customStyle="1" w:styleId="DPCmainsubheading">
    <w:name w:val="DPC main subheading"/>
    <w:uiPriority w:val="8"/>
    <w:rsid w:val="00DD426E"/>
    <w:pPr>
      <w:spacing w:after="0" w:line="240" w:lineRule="auto"/>
    </w:pPr>
    <w:rPr>
      <w:rFonts w:asciiTheme="majorHAnsi" w:eastAsia="Times New Roman" w:hAnsiTheme="majorHAnsi" w:cs="Times New Roman"/>
      <w:color w:val="53565A"/>
      <w:sz w:val="36"/>
      <w:szCs w:val="36"/>
      <w:lang w:eastAsia="en-US"/>
    </w:rPr>
  </w:style>
  <w:style w:type="paragraph" w:customStyle="1" w:styleId="Spacerparatopoffirstpage">
    <w:name w:val="Spacer para top of first page"/>
    <w:basedOn w:val="DPCbodynospace"/>
    <w:rsid w:val="00DD426E"/>
    <w:pPr>
      <w:spacing w:line="240" w:lineRule="auto"/>
    </w:pPr>
    <w:rPr>
      <w:noProof/>
      <w:sz w:val="12"/>
    </w:rPr>
  </w:style>
  <w:style w:type="paragraph" w:customStyle="1" w:styleId="DPCnumberdigit">
    <w:name w:val="DPC number digit"/>
    <w:basedOn w:val="DPCbody"/>
    <w:uiPriority w:val="4"/>
    <w:rsid w:val="00DD426E"/>
    <w:pPr>
      <w:numPr>
        <w:numId w:val="10"/>
      </w:numPr>
    </w:pPr>
    <w:rPr>
      <w:rFonts w:cs="Arial"/>
      <w:sz w:val="22"/>
      <w:szCs w:val="22"/>
    </w:rPr>
  </w:style>
  <w:style w:type="paragraph" w:customStyle="1" w:styleId="DPCnumberdigitindent">
    <w:name w:val="DPC number digit indent"/>
    <w:basedOn w:val="Normal"/>
    <w:uiPriority w:val="4"/>
    <w:qFormat/>
    <w:rsid w:val="00DD426E"/>
    <w:pPr>
      <w:numPr>
        <w:ilvl w:val="1"/>
        <w:numId w:val="10"/>
      </w:numPr>
      <w:spacing w:before="0" w:after="160" w:line="300" w:lineRule="atLeast"/>
    </w:pPr>
    <w:rPr>
      <w:rFonts w:eastAsia="Times" w:cs="Arial"/>
      <w:sz w:val="22"/>
      <w:szCs w:val="22"/>
      <w:lang w:eastAsia="en-US"/>
    </w:rPr>
  </w:style>
  <w:style w:type="paragraph" w:customStyle="1" w:styleId="DPCnumberlowerroman">
    <w:name w:val="DPC number lower roman"/>
    <w:basedOn w:val="DPCbody"/>
    <w:uiPriority w:val="4"/>
    <w:qFormat/>
    <w:rsid w:val="00DD426E"/>
    <w:pPr>
      <w:numPr>
        <w:numId w:val="11"/>
      </w:numPr>
    </w:pPr>
    <w:rPr>
      <w:rFonts w:cs="Arial"/>
      <w:sz w:val="22"/>
      <w:szCs w:val="22"/>
    </w:rPr>
  </w:style>
  <w:style w:type="paragraph" w:customStyle="1" w:styleId="DPCnumberlowerromanindent">
    <w:name w:val="DPC number lower roman indent"/>
    <w:basedOn w:val="DPCbody"/>
    <w:uiPriority w:val="4"/>
    <w:qFormat/>
    <w:rsid w:val="00DD426E"/>
    <w:pPr>
      <w:numPr>
        <w:ilvl w:val="1"/>
        <w:numId w:val="11"/>
      </w:numPr>
    </w:pPr>
    <w:rPr>
      <w:rFonts w:cs="Arial"/>
      <w:sz w:val="22"/>
      <w:szCs w:val="22"/>
    </w:rPr>
  </w:style>
  <w:style w:type="paragraph" w:customStyle="1" w:styleId="DPCquote">
    <w:name w:val="DPC quote"/>
    <w:basedOn w:val="DPCbody"/>
    <w:uiPriority w:val="3"/>
    <w:qFormat/>
    <w:rsid w:val="00DD426E"/>
    <w:pPr>
      <w:ind w:left="397"/>
    </w:pPr>
    <w:rPr>
      <w:rFonts w:cs="Arial"/>
      <w:sz w:val="22"/>
      <w:szCs w:val="18"/>
    </w:rPr>
  </w:style>
  <w:style w:type="paragraph" w:customStyle="1" w:styleId="DPCtablefigurefootnote">
    <w:name w:val="DPC table/figure footnote"/>
    <w:uiPriority w:val="4"/>
    <w:rsid w:val="00DD426E"/>
    <w:pPr>
      <w:spacing w:before="60" w:after="60" w:line="240" w:lineRule="auto"/>
    </w:pPr>
    <w:rPr>
      <w:rFonts w:eastAsia="Times New Roman" w:cs="Times New Roman"/>
      <w:color w:val="232B39" w:themeColor="text1"/>
      <w:sz w:val="18"/>
      <w:szCs w:val="18"/>
      <w:lang w:eastAsia="en-US"/>
    </w:rPr>
  </w:style>
  <w:style w:type="paragraph" w:customStyle="1" w:styleId="DPCbodyaftertablefigure">
    <w:name w:val="DPC body after table/figure"/>
    <w:basedOn w:val="DPCbody"/>
    <w:uiPriority w:val="1"/>
    <w:rsid w:val="00DD426E"/>
    <w:pPr>
      <w:spacing w:before="240"/>
    </w:pPr>
    <w:rPr>
      <w:rFonts w:cs="Arial"/>
      <w:sz w:val="22"/>
      <w:szCs w:val="22"/>
    </w:rPr>
  </w:style>
  <w:style w:type="paragraph" w:customStyle="1" w:styleId="DPCfooter">
    <w:name w:val="DPC footer"/>
    <w:uiPriority w:val="11"/>
    <w:rsid w:val="00DD426E"/>
    <w:pPr>
      <w:tabs>
        <w:tab w:val="right" w:pos="9923"/>
      </w:tabs>
      <w:spacing w:after="0" w:line="240" w:lineRule="auto"/>
    </w:pPr>
    <w:rPr>
      <w:rFonts w:eastAsia="Times New Roman" w:cs="Times New Roman"/>
      <w:sz w:val="22"/>
      <w:szCs w:val="22"/>
      <w:lang w:eastAsia="en-US"/>
    </w:rPr>
  </w:style>
  <w:style w:type="paragraph" w:customStyle="1" w:styleId="DPCaccessibilitypara">
    <w:name w:val="DPC accessibility para"/>
    <w:uiPriority w:val="11"/>
    <w:rsid w:val="00DD426E"/>
    <w:pPr>
      <w:spacing w:before="80" w:after="160" w:line="320" w:lineRule="atLeast"/>
    </w:pPr>
    <w:rPr>
      <w:rFonts w:eastAsia="Times" w:cs="Times New Roman"/>
      <w:color w:val="232B39" w:themeColor="text1"/>
      <w:sz w:val="26"/>
      <w:szCs w:val="26"/>
      <w:lang w:eastAsia="en-US"/>
    </w:rPr>
  </w:style>
  <w:style w:type="paragraph" w:customStyle="1" w:styleId="DPCbodyafterbullets">
    <w:name w:val="DPC body after bullets"/>
    <w:basedOn w:val="DPCbody"/>
    <w:uiPriority w:val="11"/>
    <w:rsid w:val="00DD426E"/>
    <w:pPr>
      <w:spacing w:before="160"/>
    </w:pPr>
    <w:rPr>
      <w:rFonts w:cs="Arial"/>
      <w:sz w:val="22"/>
      <w:szCs w:val="22"/>
    </w:rPr>
  </w:style>
  <w:style w:type="paragraph" w:customStyle="1" w:styleId="DPCbulletafternumbers1">
    <w:name w:val="DPC bullet after numbers 1"/>
    <w:basedOn w:val="DPCbody"/>
    <w:rsid w:val="00DD426E"/>
    <w:pPr>
      <w:numPr>
        <w:ilvl w:val="2"/>
        <w:numId w:val="10"/>
      </w:numPr>
    </w:pPr>
    <w:rPr>
      <w:rFonts w:cs="Arial"/>
      <w:sz w:val="22"/>
      <w:szCs w:val="22"/>
    </w:rPr>
  </w:style>
  <w:style w:type="paragraph" w:customStyle="1" w:styleId="DPCbulletafternumbers2">
    <w:name w:val="DPC bullet after numbers 2"/>
    <w:basedOn w:val="DPCbody"/>
    <w:rsid w:val="00DD426E"/>
    <w:pPr>
      <w:numPr>
        <w:ilvl w:val="3"/>
        <w:numId w:val="10"/>
      </w:numPr>
    </w:pPr>
    <w:rPr>
      <w:rFonts w:cs="Arial"/>
      <w:sz w:val="22"/>
      <w:szCs w:val="22"/>
    </w:rPr>
  </w:style>
  <w:style w:type="paragraph" w:customStyle="1" w:styleId="DPCquotebullet">
    <w:name w:val="DPC quote bullet"/>
    <w:basedOn w:val="DPCquote"/>
    <w:rsid w:val="00DD426E"/>
    <w:pPr>
      <w:numPr>
        <w:numId w:val="12"/>
      </w:numPr>
    </w:pPr>
  </w:style>
  <w:style w:type="numbering" w:customStyle="1" w:styleId="ZZNumbersdigit">
    <w:name w:val="ZZ Numbers digit"/>
    <w:basedOn w:val="NoList"/>
    <w:uiPriority w:val="99"/>
    <w:rsid w:val="00DD426E"/>
    <w:pPr>
      <w:numPr>
        <w:numId w:val="10"/>
      </w:numPr>
    </w:pPr>
  </w:style>
  <w:style w:type="numbering" w:customStyle="1" w:styleId="ZZNumberslowerroman">
    <w:name w:val="ZZ Numbers lower roman"/>
    <w:basedOn w:val="NoList"/>
    <w:uiPriority w:val="99"/>
    <w:rsid w:val="00DD426E"/>
    <w:pPr>
      <w:numPr>
        <w:numId w:val="11"/>
      </w:numPr>
    </w:pPr>
  </w:style>
  <w:style w:type="numbering" w:customStyle="1" w:styleId="ZZQuotebullets">
    <w:name w:val="ZZ Quote bullets"/>
    <w:basedOn w:val="NoList"/>
    <w:uiPriority w:val="99"/>
    <w:rsid w:val="00DD426E"/>
    <w:pPr>
      <w:numPr>
        <w:numId w:val="12"/>
      </w:numPr>
    </w:pPr>
  </w:style>
  <w:style w:type="numbering" w:customStyle="1" w:styleId="ZZTablebullets">
    <w:name w:val="ZZ Table bullets"/>
    <w:basedOn w:val="ZZBullets"/>
    <w:uiPriority w:val="99"/>
    <w:rsid w:val="00DD426E"/>
    <w:pPr>
      <w:numPr>
        <w:numId w:val="13"/>
      </w:numPr>
    </w:pPr>
  </w:style>
  <w:style w:type="paragraph" w:customStyle="1" w:styleId="DPCtabletext6pt">
    <w:name w:val="DPC table text + 6pt"/>
    <w:basedOn w:val="DPCtabletext"/>
    <w:uiPriority w:val="11"/>
    <w:rsid w:val="00DD426E"/>
    <w:pPr>
      <w:spacing w:after="120"/>
    </w:pPr>
  </w:style>
  <w:style w:type="character" w:styleId="CommentReference">
    <w:name w:val="annotation reference"/>
    <w:basedOn w:val="DefaultParagraphFont"/>
    <w:uiPriority w:val="99"/>
    <w:semiHidden/>
    <w:unhideWhenUsed/>
    <w:rsid w:val="00DD426E"/>
    <w:rPr>
      <w:sz w:val="16"/>
      <w:szCs w:val="16"/>
    </w:rPr>
  </w:style>
  <w:style w:type="paragraph" w:styleId="CommentText">
    <w:name w:val="annotation text"/>
    <w:basedOn w:val="Normal"/>
    <w:link w:val="CommentTextChar"/>
    <w:uiPriority w:val="99"/>
    <w:unhideWhenUsed/>
    <w:rsid w:val="00DD426E"/>
    <w:pPr>
      <w:spacing w:before="0" w:after="0" w:line="240" w:lineRule="auto"/>
    </w:pPr>
    <w:rPr>
      <w:rFonts w:ascii="Cambria" w:eastAsia="Times New Roman" w:hAnsi="Cambria" w:cs="Times New Roman"/>
      <w:color w:val="auto"/>
      <w:lang w:eastAsia="en-US"/>
    </w:rPr>
  </w:style>
  <w:style w:type="character" w:customStyle="1" w:styleId="CommentTextChar">
    <w:name w:val="Comment Text Char"/>
    <w:basedOn w:val="DefaultParagraphFont"/>
    <w:link w:val="CommentText"/>
    <w:uiPriority w:val="99"/>
    <w:rsid w:val="00DD426E"/>
    <w:rPr>
      <w:rFonts w:ascii="Cambria" w:eastAsia="Times New Roman" w:hAnsi="Cambria" w:cs="Times New Roman"/>
      <w:lang w:eastAsia="en-US"/>
    </w:rPr>
  </w:style>
  <w:style w:type="paragraph" w:styleId="CommentSubject">
    <w:name w:val="annotation subject"/>
    <w:basedOn w:val="CommentText"/>
    <w:next w:val="CommentText"/>
    <w:link w:val="CommentSubjectChar"/>
    <w:uiPriority w:val="99"/>
    <w:semiHidden/>
    <w:unhideWhenUsed/>
    <w:rsid w:val="00DD426E"/>
    <w:rPr>
      <w:b/>
      <w:bCs/>
    </w:rPr>
  </w:style>
  <w:style w:type="character" w:customStyle="1" w:styleId="CommentSubjectChar">
    <w:name w:val="Comment Subject Char"/>
    <w:basedOn w:val="CommentTextChar"/>
    <w:link w:val="CommentSubject"/>
    <w:uiPriority w:val="99"/>
    <w:semiHidden/>
    <w:rsid w:val="00DD426E"/>
    <w:rPr>
      <w:rFonts w:ascii="Cambria" w:eastAsia="Times New Roman" w:hAnsi="Cambria" w:cs="Times New Roman"/>
      <w:b/>
      <w:bCs/>
      <w:lang w:eastAsia="en-US"/>
    </w:rPr>
  </w:style>
  <w:style w:type="paragraph" w:styleId="Revision">
    <w:name w:val="Revision"/>
    <w:hidden/>
    <w:uiPriority w:val="71"/>
    <w:rsid w:val="00DD426E"/>
    <w:pPr>
      <w:spacing w:after="0" w:line="240" w:lineRule="auto"/>
    </w:pPr>
    <w:rPr>
      <w:rFonts w:ascii="Cambria" w:eastAsia="Times New Roman" w:hAnsi="Cambria" w:cs="Times New Roman"/>
      <w:lang w:eastAsia="en-US"/>
    </w:rPr>
  </w:style>
  <w:style w:type="paragraph" w:customStyle="1" w:styleId="font8">
    <w:name w:val="font_8"/>
    <w:basedOn w:val="Normal"/>
    <w:rsid w:val="00DD42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lor15">
    <w:name w:val="color_15"/>
    <w:basedOn w:val="DefaultParagraphFont"/>
    <w:rsid w:val="00DD426E"/>
  </w:style>
  <w:style w:type="character" w:customStyle="1" w:styleId="wixui-rich-texttext">
    <w:name w:val="wixui-rich-text__text"/>
    <w:basedOn w:val="DefaultParagraphFont"/>
    <w:rsid w:val="00DD426E"/>
  </w:style>
  <w:style w:type="character" w:customStyle="1" w:styleId="wixguard">
    <w:name w:val="wixguard"/>
    <w:basedOn w:val="DefaultParagraphFont"/>
    <w:rsid w:val="00DD426E"/>
  </w:style>
  <w:style w:type="paragraph" w:customStyle="1" w:styleId="Level1">
    <w:name w:val="Level 1"/>
    <w:next w:val="Normal"/>
    <w:qFormat/>
    <w:rsid w:val="00DD426E"/>
    <w:pPr>
      <w:keepNext/>
      <w:numPr>
        <w:numId w:val="14"/>
      </w:numPr>
      <w:spacing w:before="480" w:after="60" w:line="240" w:lineRule="auto"/>
      <w:outlineLvl w:val="2"/>
    </w:pPr>
    <w:rPr>
      <w:rFonts w:ascii="Times New Roman" w:eastAsia="Times New Roman" w:hAnsi="Times New Roman" w:cs="Arial"/>
      <w:b/>
      <w:bCs/>
      <w:kern w:val="32"/>
      <w:sz w:val="28"/>
      <w:szCs w:val="32"/>
    </w:rPr>
  </w:style>
  <w:style w:type="paragraph" w:customStyle="1" w:styleId="Level2">
    <w:name w:val="Level 2"/>
    <w:next w:val="Normal"/>
    <w:qFormat/>
    <w:rsid w:val="00DD426E"/>
    <w:pPr>
      <w:numPr>
        <w:ilvl w:val="1"/>
        <w:numId w:val="14"/>
      </w:numPr>
      <w:spacing w:before="200" w:after="60" w:line="240" w:lineRule="auto"/>
      <w:jc w:val="both"/>
      <w:outlineLvl w:val="3"/>
    </w:pPr>
    <w:rPr>
      <w:rFonts w:ascii="Times New Roman" w:eastAsia="Times New Roman" w:hAnsi="Times New Roman" w:cs="Arial"/>
      <w:bCs/>
      <w:iCs/>
      <w:sz w:val="24"/>
      <w:szCs w:val="28"/>
      <w:lang w:val="en-GB"/>
    </w:rPr>
  </w:style>
  <w:style w:type="paragraph" w:customStyle="1" w:styleId="Level3">
    <w:name w:val="Level 3"/>
    <w:basedOn w:val="Normal"/>
    <w:next w:val="Normal"/>
    <w:qFormat/>
    <w:rsid w:val="00DD426E"/>
    <w:pPr>
      <w:numPr>
        <w:ilvl w:val="2"/>
        <w:numId w:val="14"/>
      </w:numPr>
      <w:spacing w:before="200" w:after="0" w:line="240" w:lineRule="auto"/>
      <w:jc w:val="both"/>
      <w:outlineLvl w:val="4"/>
    </w:pPr>
    <w:rPr>
      <w:rFonts w:ascii="Times New Roman" w:eastAsia="Times New Roman" w:hAnsi="Times New Roman" w:cs="Times New Roman"/>
      <w:color w:val="auto"/>
      <w:sz w:val="24"/>
      <w:szCs w:val="24"/>
    </w:rPr>
  </w:style>
  <w:style w:type="paragraph" w:customStyle="1" w:styleId="Level4">
    <w:name w:val="Level 4"/>
    <w:basedOn w:val="Normal"/>
    <w:next w:val="Normal"/>
    <w:qFormat/>
    <w:rsid w:val="00DD426E"/>
    <w:pPr>
      <w:numPr>
        <w:ilvl w:val="3"/>
        <w:numId w:val="14"/>
      </w:numPr>
      <w:spacing w:before="200" w:after="0" w:line="240" w:lineRule="auto"/>
      <w:jc w:val="both"/>
      <w:outlineLvl w:val="5"/>
    </w:pPr>
    <w:rPr>
      <w:rFonts w:ascii="Times New Roman" w:eastAsia="Times New Roman" w:hAnsi="Times New Roman" w:cs="Times New Roman"/>
      <w:bCs/>
      <w:color w:val="auto"/>
      <w:sz w:val="24"/>
      <w:szCs w:val="28"/>
    </w:rPr>
  </w:style>
  <w:style w:type="table" w:customStyle="1" w:styleId="TableGrid1">
    <w:name w:val="Table Grid1"/>
    <w:basedOn w:val="TableNormal"/>
    <w:next w:val="TableGrid"/>
    <w:uiPriority w:val="39"/>
    <w:rsid w:val="00DD426E"/>
    <w:pPr>
      <w:spacing w:before="120" w:after="60" w:line="240" w:lineRule="auto"/>
    </w:pPr>
    <w:rPr>
      <w:rFonts w:ascii="Times New Roman" w:eastAsia="Times New Roman" w:hAnsi="Times New Roman" w:cs="Times New Roman"/>
      <w:sz w:val="24"/>
      <w:lang w:val="en-US" w:eastAsia="en-US"/>
    </w:rPr>
    <w:tblPr>
      <w:tblCellMar>
        <w:left w:w="0" w:type="dxa"/>
        <w:right w:w="1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licy.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CAEFE-D666-4E9F-871B-C0FBE661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FEA96-0741-4524-868C-9A6099367EE6}">
  <ds:schemaRefs>
    <ds:schemaRef ds:uri="http://www.w3.org/2001/XMLSchema"/>
  </ds:schemaRefs>
</ds:datastoreItem>
</file>

<file path=customXml/itemProps3.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4.xml><?xml version="1.0" encoding="utf-8"?>
<ds:datastoreItem xmlns:ds="http://schemas.openxmlformats.org/officeDocument/2006/customXml" ds:itemID="{FAD05453-A5AE-4A8B-91CB-1EA7A7E2B3B4}">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5.xml><?xml version="1.0" encoding="utf-8"?>
<ds:datastoreItem xmlns:ds="http://schemas.openxmlformats.org/officeDocument/2006/customXml" ds:itemID="{8B97E682-03FA-4DE7-9C2B-14604B788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Policy.dotm</Template>
  <TotalTime>7</TotalTime>
  <Pages>6</Pages>
  <Words>2174</Words>
  <Characters>12332</Characters>
  <Application>Microsoft Office Word</Application>
  <DocSecurity>0</DocSecurity>
  <Lines>198</Lines>
  <Paragraphs>90</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4</cp:revision>
  <cp:lastPrinted>2016-02-09T01:59:00Z</cp:lastPrinted>
  <dcterms:created xsi:type="dcterms:W3CDTF">2026-02-12T04:23:00Z</dcterms:created>
  <dcterms:modified xsi:type="dcterms:W3CDTF">2026-02-12T04:29:00Z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