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D1DF" w14:textId="2228882F" w:rsidR="007D5C88" w:rsidRPr="00F21206" w:rsidRDefault="007D5C88" w:rsidP="00AC22F4">
      <w:pPr>
        <w:pStyle w:val="Heading1numbered"/>
        <w:numPr>
          <w:ilvl w:val="0"/>
          <w:numId w:val="0"/>
        </w:numPr>
        <w:ind w:left="792" w:hanging="792"/>
      </w:pPr>
      <w:bookmarkStart w:id="0" w:name="_Toc212024523"/>
      <w:r w:rsidRPr="00F21206">
        <w:t>A</w:t>
      </w:r>
      <w:r w:rsidR="00143E1B">
        <w:t>ttachment</w:t>
      </w:r>
      <w:r w:rsidRPr="00F21206">
        <w:t xml:space="preserve"> </w:t>
      </w:r>
      <w:r>
        <w:t>B</w:t>
      </w:r>
      <w:bookmarkEnd w:id="0"/>
    </w:p>
    <w:p w14:paraId="17211C59" w14:textId="77777777" w:rsidR="007D5C88" w:rsidRDefault="007D5C88" w:rsidP="007D5C88">
      <w:pPr>
        <w:pStyle w:val="Heading3"/>
      </w:pPr>
      <w:r>
        <w:t>Union Delegate Rights – Model Provision</w:t>
      </w:r>
    </w:p>
    <w:p w14:paraId="6C494EFB" w14:textId="77777777" w:rsidR="007D5C88" w:rsidRPr="008260FF" w:rsidRDefault="007D5C88" w:rsidP="007D5C88">
      <w:pPr>
        <w:pStyle w:val="DPCbody"/>
        <w:numPr>
          <w:ilvl w:val="0"/>
          <w:numId w:val="28"/>
        </w:numPr>
        <w:rPr>
          <w:b/>
          <w:bCs/>
          <w:lang w:eastAsia="en-AU"/>
        </w:rPr>
      </w:pPr>
      <w:r w:rsidRPr="008260FF">
        <w:rPr>
          <w:b/>
          <w:bCs/>
          <w:lang w:eastAsia="en-AU"/>
        </w:rPr>
        <w:t>Workplace delegates’ rights</w:t>
      </w:r>
    </w:p>
    <w:p w14:paraId="5367EC6B" w14:textId="77777777" w:rsidR="007D5C88" w:rsidRDefault="007D5C88" w:rsidP="007D5C88">
      <w:pPr>
        <w:pStyle w:val="DPCbody"/>
        <w:numPr>
          <w:ilvl w:val="1"/>
          <w:numId w:val="28"/>
        </w:numPr>
      </w:pPr>
      <w:r>
        <w:t xml:space="preserve">This clause provides for the exercise of the rights of workplace delegates set out in section 350C of the </w:t>
      </w:r>
      <w:r w:rsidRPr="00C403D4">
        <w:rPr>
          <w:i/>
          <w:iCs/>
        </w:rPr>
        <w:t>Fair Work Act 2009</w:t>
      </w:r>
      <w:r>
        <w:t xml:space="preserve"> (</w:t>
      </w:r>
      <w:proofErr w:type="spellStart"/>
      <w:r>
        <w:t>Cth</w:t>
      </w:r>
      <w:proofErr w:type="spellEnd"/>
      <w:r>
        <w:t xml:space="preserve">). </w:t>
      </w:r>
    </w:p>
    <w:p w14:paraId="54E59AD0" w14:textId="77777777" w:rsidR="007D5C88" w:rsidRDefault="007D5C88" w:rsidP="007D5C88">
      <w:pPr>
        <w:pStyle w:val="DPCbody"/>
        <w:ind w:left="792"/>
      </w:pPr>
      <w:r w:rsidRPr="00E42897">
        <w:t>NOTE: Under section 350</w:t>
      </w:r>
      <w:proofErr w:type="gramStart"/>
      <w:r w:rsidRPr="00E42897">
        <w:t>C(</w:t>
      </w:r>
      <w:proofErr w:type="gramEnd"/>
      <w:r w:rsidRPr="00E42897">
        <w:t>4) of the Act, the employer is taken to have afforded a workplace delegate the rights mentioned in section 350</w:t>
      </w:r>
      <w:proofErr w:type="gramStart"/>
      <w:r w:rsidRPr="00E42897">
        <w:t>C(</w:t>
      </w:r>
      <w:proofErr w:type="gramEnd"/>
      <w:r w:rsidRPr="00E42897">
        <w:t xml:space="preserve">3) if the employer has complied with clause </w:t>
      </w:r>
      <w:r>
        <w:t>3</w:t>
      </w:r>
      <w:r w:rsidRPr="00E42897">
        <w:t>.</w:t>
      </w:r>
      <w:r>
        <w:t xml:space="preserve"> </w:t>
      </w:r>
    </w:p>
    <w:p w14:paraId="07710485" w14:textId="77777777" w:rsidR="007D5C88" w:rsidRDefault="007D5C88" w:rsidP="007D5C88">
      <w:pPr>
        <w:pStyle w:val="DPCbody"/>
        <w:numPr>
          <w:ilvl w:val="1"/>
          <w:numId w:val="28"/>
        </w:numPr>
      </w:pPr>
      <w:r w:rsidRPr="0092039E">
        <w:t xml:space="preserve">In </w:t>
      </w:r>
      <w:r>
        <w:t>this clause</w:t>
      </w:r>
      <w:r w:rsidRPr="0092039E">
        <w:t xml:space="preserve">: </w:t>
      </w:r>
    </w:p>
    <w:p w14:paraId="15C70576" w14:textId="77777777" w:rsidR="007D5C88" w:rsidRDefault="007D5C88" w:rsidP="007D5C88">
      <w:pPr>
        <w:pStyle w:val="DPCbody"/>
        <w:ind w:left="720"/>
      </w:pPr>
      <w:r w:rsidRPr="0092039E">
        <w:t xml:space="preserve">(a) employer means the employer of the workplace </w:t>
      </w:r>
      <w:proofErr w:type="gramStart"/>
      <w:r w:rsidRPr="0092039E">
        <w:t>delegate;</w:t>
      </w:r>
      <w:proofErr w:type="gramEnd"/>
      <w:r w:rsidRPr="0092039E">
        <w:t xml:space="preserve"> </w:t>
      </w:r>
    </w:p>
    <w:p w14:paraId="0F293A9D" w14:textId="77777777" w:rsidR="007D5C88" w:rsidRDefault="007D5C88" w:rsidP="007D5C88">
      <w:pPr>
        <w:pStyle w:val="DPCbody"/>
        <w:ind w:left="720"/>
      </w:pPr>
      <w:r w:rsidRPr="0092039E">
        <w:t xml:space="preserve">(b) delegate’s organisation means the employee organisation in accordance with the rules of which the workplace delegate was appointed or elected; and </w:t>
      </w:r>
    </w:p>
    <w:p w14:paraId="3BBA5C19" w14:textId="437FD7DF" w:rsidR="007D5C88" w:rsidRDefault="007D5C88" w:rsidP="007D5C88">
      <w:pPr>
        <w:pStyle w:val="DPCbody"/>
        <w:ind w:left="720"/>
      </w:pPr>
      <w:r w:rsidRPr="0092039E">
        <w:t xml:space="preserve">(c) eligible </w:t>
      </w:r>
      <w:r w:rsidR="00182D75">
        <w:t>workers</w:t>
      </w:r>
      <w:r w:rsidR="00182D75" w:rsidRPr="0092039E">
        <w:t xml:space="preserve"> </w:t>
      </w:r>
      <w:proofErr w:type="gramStart"/>
      <w:r w:rsidRPr="0092039E">
        <w:t>means</w:t>
      </w:r>
      <w:proofErr w:type="gramEnd"/>
      <w:r w:rsidRPr="0092039E">
        <w:t xml:space="preserve"> members and persons eligible to be members of the </w:t>
      </w:r>
      <w:r w:rsidR="00182D75">
        <w:t xml:space="preserve">workplace </w:t>
      </w:r>
      <w:r w:rsidRPr="0092039E">
        <w:t xml:space="preserve">delegate’s organisation who </w:t>
      </w:r>
      <w:r w:rsidR="00182D75">
        <w:t>work</w:t>
      </w:r>
      <w:r w:rsidRPr="0092039E">
        <w:t xml:space="preserve"> in </w:t>
      </w:r>
      <w:r w:rsidR="00182D75">
        <w:t>a particular</w:t>
      </w:r>
      <w:r w:rsidR="00182D75" w:rsidRPr="0092039E">
        <w:t xml:space="preserve"> </w:t>
      </w:r>
      <w:r w:rsidRPr="0092039E">
        <w:t xml:space="preserve">enterprise. </w:t>
      </w:r>
    </w:p>
    <w:p w14:paraId="505CEA77" w14:textId="382CD98E" w:rsidR="00182D75" w:rsidRDefault="00182D75" w:rsidP="00182D75">
      <w:pPr>
        <w:pStyle w:val="DPCbody"/>
        <w:ind w:left="720"/>
      </w:pPr>
      <w:r>
        <w:t>(d) workplace delegate means a person appointed or elected, in accordance with the rules of an employee organisation, to be a delegate or representative (however described) for members of the organisation who work in a particular enterprise</w:t>
      </w:r>
    </w:p>
    <w:p w14:paraId="776BF45C" w14:textId="77777777" w:rsidR="007D5C88" w:rsidRDefault="007D5C88" w:rsidP="007D5C88">
      <w:pPr>
        <w:pStyle w:val="DPCbody"/>
        <w:numPr>
          <w:ilvl w:val="1"/>
          <w:numId w:val="28"/>
        </w:numPr>
      </w:pPr>
      <w:r w:rsidRPr="0092039E">
        <w:t xml:space="preserve">Before exercising entitlements under </w:t>
      </w:r>
      <w:r>
        <w:t>this clause</w:t>
      </w:r>
      <w:r w:rsidRPr="0092039E">
        <w:t xml:space="preserve">, a workplace delegate must give the employer written notice of their appointment or election as a workplace delegate. If requested, the workplace delegate must provide the employer with evidence that would satisfy a reasonable person of their appointment or election. </w:t>
      </w:r>
    </w:p>
    <w:p w14:paraId="038A5FFE" w14:textId="77777777" w:rsidR="007D5C88" w:rsidRDefault="007D5C88" w:rsidP="007D5C88">
      <w:pPr>
        <w:pStyle w:val="DPCbody"/>
        <w:numPr>
          <w:ilvl w:val="1"/>
          <w:numId w:val="28"/>
        </w:numPr>
      </w:pPr>
      <w:r w:rsidRPr="0092039E">
        <w:t xml:space="preserve">An employee who ceases to be a workplace delegate must give written notice to the employer within 14 days. </w:t>
      </w:r>
    </w:p>
    <w:p w14:paraId="6E913C68" w14:textId="77777777" w:rsidR="007D5C88" w:rsidRPr="0092039E" w:rsidRDefault="007D5C88" w:rsidP="007D5C88">
      <w:pPr>
        <w:pStyle w:val="DPCbody"/>
        <w:numPr>
          <w:ilvl w:val="1"/>
          <w:numId w:val="28"/>
        </w:numPr>
        <w:rPr>
          <w:b/>
          <w:bCs/>
        </w:rPr>
      </w:pPr>
      <w:r w:rsidRPr="0092039E">
        <w:rPr>
          <w:b/>
          <w:bCs/>
        </w:rPr>
        <w:t xml:space="preserve">Right of representation </w:t>
      </w:r>
    </w:p>
    <w:p w14:paraId="54C75745" w14:textId="7699190B" w:rsidR="007D5C88" w:rsidRDefault="007D5C88" w:rsidP="007D5C88">
      <w:pPr>
        <w:pStyle w:val="DPCbody"/>
        <w:ind w:left="360"/>
      </w:pPr>
      <w:r w:rsidRPr="0092039E">
        <w:t xml:space="preserve">A workplace delegate may represent the industrial interests of eligible </w:t>
      </w:r>
      <w:r w:rsidR="00182D75">
        <w:t>workers</w:t>
      </w:r>
      <w:r w:rsidR="00182D75" w:rsidRPr="0092039E">
        <w:t xml:space="preserve"> </w:t>
      </w:r>
      <w:r w:rsidRPr="0092039E">
        <w:t xml:space="preserve">who wish to be represented by the workplace delegate in matters including: </w:t>
      </w:r>
    </w:p>
    <w:p w14:paraId="7E6BC4B5" w14:textId="77777777" w:rsidR="007D5C88" w:rsidRDefault="007D5C88" w:rsidP="007D5C88">
      <w:pPr>
        <w:pStyle w:val="DPCbody"/>
        <w:ind w:left="360"/>
      </w:pPr>
      <w:r w:rsidRPr="0092039E">
        <w:t xml:space="preserve">(a) consultation about major workplace </w:t>
      </w:r>
      <w:proofErr w:type="gramStart"/>
      <w:r w:rsidRPr="0092039E">
        <w:t>change;</w:t>
      </w:r>
      <w:proofErr w:type="gramEnd"/>
    </w:p>
    <w:p w14:paraId="0766615F" w14:textId="77777777" w:rsidR="007D5C88" w:rsidRDefault="007D5C88" w:rsidP="007D5C88">
      <w:pPr>
        <w:pStyle w:val="DPCbody"/>
        <w:ind w:left="360"/>
      </w:pPr>
      <w:r w:rsidRPr="0092039E">
        <w:t xml:space="preserve">(b) consultation about changes to rosters or hours of </w:t>
      </w:r>
      <w:proofErr w:type="gramStart"/>
      <w:r w:rsidRPr="0092039E">
        <w:t>work;</w:t>
      </w:r>
      <w:proofErr w:type="gramEnd"/>
      <w:r w:rsidRPr="0092039E">
        <w:t xml:space="preserve"> </w:t>
      </w:r>
    </w:p>
    <w:p w14:paraId="7DB238AC" w14:textId="77777777" w:rsidR="007D5C88" w:rsidRDefault="007D5C88" w:rsidP="007D5C88">
      <w:pPr>
        <w:pStyle w:val="DPCbody"/>
        <w:ind w:left="360"/>
      </w:pPr>
      <w:r w:rsidRPr="0092039E">
        <w:t xml:space="preserve">(c) resolution of </w:t>
      </w:r>
      <w:proofErr w:type="gramStart"/>
      <w:r w:rsidRPr="0092039E">
        <w:t>disputes;</w:t>
      </w:r>
      <w:proofErr w:type="gramEnd"/>
      <w:r w:rsidRPr="0092039E">
        <w:t xml:space="preserve"> </w:t>
      </w:r>
    </w:p>
    <w:p w14:paraId="39352368" w14:textId="77777777" w:rsidR="007D5C88" w:rsidRDefault="007D5C88" w:rsidP="007D5C88">
      <w:pPr>
        <w:pStyle w:val="DPCbody"/>
        <w:ind w:left="360"/>
      </w:pPr>
      <w:r w:rsidRPr="0092039E">
        <w:t xml:space="preserve">(d) disciplinary </w:t>
      </w:r>
      <w:proofErr w:type="gramStart"/>
      <w:r w:rsidRPr="0092039E">
        <w:t>processes;</w:t>
      </w:r>
      <w:proofErr w:type="gramEnd"/>
      <w:r w:rsidRPr="0092039E">
        <w:t xml:space="preserve"> </w:t>
      </w:r>
    </w:p>
    <w:p w14:paraId="469C2F9D" w14:textId="77777777" w:rsidR="007D5C88" w:rsidRDefault="007D5C88" w:rsidP="007D5C88">
      <w:pPr>
        <w:pStyle w:val="DPCbody"/>
        <w:ind w:left="360"/>
      </w:pPr>
      <w:r w:rsidRPr="0092039E">
        <w:t xml:space="preserve">(e) enterprise bargaining where the workplace delegate has been appointed as a bargaining representative under section 176 of the </w:t>
      </w:r>
      <w:r>
        <w:rPr>
          <w:i/>
          <w:iCs/>
        </w:rPr>
        <w:t xml:space="preserve">Fair Work Act 2009 </w:t>
      </w:r>
      <w:r>
        <w:t>(</w:t>
      </w:r>
      <w:proofErr w:type="spellStart"/>
      <w:r>
        <w:t>Cth</w:t>
      </w:r>
      <w:proofErr w:type="spellEnd"/>
      <w:r>
        <w:t>)</w:t>
      </w:r>
      <w:r w:rsidRPr="0092039E">
        <w:t xml:space="preserve"> or is assisting the delegate’s organisation with enterprise bargaining; and </w:t>
      </w:r>
    </w:p>
    <w:p w14:paraId="70DB63E9" w14:textId="14BD19AB" w:rsidR="007D5C88" w:rsidRDefault="007D5C88" w:rsidP="007D5C88">
      <w:pPr>
        <w:pStyle w:val="DPCbody"/>
        <w:ind w:left="360"/>
      </w:pPr>
      <w:r w:rsidRPr="0092039E">
        <w:lastRenderedPageBreak/>
        <w:t xml:space="preserve">(f) any process or procedure within an award, enterprise agreement or policy of the employer under which eligible </w:t>
      </w:r>
      <w:r w:rsidR="00182D75">
        <w:t>workers</w:t>
      </w:r>
      <w:r w:rsidR="00182D75" w:rsidRPr="0092039E">
        <w:t xml:space="preserve"> </w:t>
      </w:r>
      <w:r w:rsidRPr="0092039E">
        <w:t xml:space="preserve">are entitled to be represented and which concerns their industrial interests. </w:t>
      </w:r>
    </w:p>
    <w:p w14:paraId="2B94E598" w14:textId="77777777" w:rsidR="007D5C88" w:rsidRPr="0092039E" w:rsidRDefault="007D5C88" w:rsidP="007D5C88">
      <w:pPr>
        <w:pStyle w:val="DPCbody"/>
        <w:numPr>
          <w:ilvl w:val="1"/>
          <w:numId w:val="28"/>
        </w:numPr>
        <w:rPr>
          <w:b/>
          <w:bCs/>
        </w:rPr>
      </w:pPr>
      <w:r w:rsidRPr="0092039E">
        <w:rPr>
          <w:b/>
          <w:bCs/>
        </w:rPr>
        <w:t xml:space="preserve">Entitlement to reasonable communication </w:t>
      </w:r>
    </w:p>
    <w:p w14:paraId="0A38CD1E" w14:textId="715E7FFA" w:rsidR="007D5C88" w:rsidRDefault="007D5C88" w:rsidP="007D5C88">
      <w:pPr>
        <w:pStyle w:val="DPCbody"/>
        <w:ind w:left="360"/>
      </w:pPr>
      <w:r w:rsidRPr="0092039E">
        <w:t xml:space="preserve">(a) A workplace delegate may communicate with eligible </w:t>
      </w:r>
      <w:r w:rsidR="00182D75">
        <w:t>workers in relation to</w:t>
      </w:r>
      <w:r w:rsidRPr="0092039E">
        <w:t xml:space="preserve"> their industrial interests under </w:t>
      </w:r>
      <w:r w:rsidRPr="008260FF">
        <w:t xml:space="preserve">clause </w:t>
      </w:r>
      <w:r>
        <w:t>3</w:t>
      </w:r>
      <w:r w:rsidRPr="008260FF">
        <w:t>.5.</w:t>
      </w:r>
      <w:r w:rsidRPr="0092039E">
        <w:t xml:space="preserve"> This includes discussing membership of the delegate’s organisation and representation with eligible </w:t>
      </w:r>
      <w:r w:rsidR="00BE320E">
        <w:t>workers</w:t>
      </w:r>
      <w:r w:rsidRPr="0092039E">
        <w:t>.</w:t>
      </w:r>
    </w:p>
    <w:p w14:paraId="4021A3A8" w14:textId="5296868C" w:rsidR="007D5C88" w:rsidRDefault="007D5C88" w:rsidP="007D5C88">
      <w:pPr>
        <w:pStyle w:val="DPCbody"/>
        <w:ind w:left="360"/>
      </w:pPr>
      <w:r w:rsidRPr="0092039E">
        <w:t xml:space="preserve">(b) A workplace delegate may communicate with eligible </w:t>
      </w:r>
      <w:r w:rsidR="00BE320E">
        <w:t>workers</w:t>
      </w:r>
      <w:r w:rsidR="00BE320E" w:rsidRPr="0092039E">
        <w:t xml:space="preserve"> </w:t>
      </w:r>
      <w:r w:rsidRPr="0092039E">
        <w:t xml:space="preserve">during working hours or work breaks, or before or after work. </w:t>
      </w:r>
    </w:p>
    <w:p w14:paraId="659040DE" w14:textId="77777777" w:rsidR="007D5C88" w:rsidRPr="0092039E" w:rsidRDefault="007D5C88" w:rsidP="007D5C88">
      <w:pPr>
        <w:pStyle w:val="DPCbody"/>
        <w:numPr>
          <w:ilvl w:val="1"/>
          <w:numId w:val="28"/>
        </w:numPr>
        <w:rPr>
          <w:b/>
          <w:bCs/>
        </w:rPr>
      </w:pPr>
      <w:r w:rsidRPr="0092039E">
        <w:rPr>
          <w:b/>
          <w:bCs/>
        </w:rPr>
        <w:t xml:space="preserve">Entitlement to reasonable access to the workplace and workplace facilities </w:t>
      </w:r>
    </w:p>
    <w:p w14:paraId="6A156082" w14:textId="77777777" w:rsidR="007D5C88" w:rsidRDefault="007D5C88" w:rsidP="007D5C88">
      <w:pPr>
        <w:pStyle w:val="DPCbody"/>
        <w:ind w:left="360"/>
      </w:pPr>
      <w:r w:rsidRPr="0092039E">
        <w:t xml:space="preserve">(a) The employer must provide a workplace delegate with access to or use of the following workplace facilities: </w:t>
      </w:r>
    </w:p>
    <w:p w14:paraId="51244F97" w14:textId="42B3CB12" w:rsidR="007D5C88" w:rsidRDefault="007D5C88" w:rsidP="007D5C88">
      <w:pPr>
        <w:pStyle w:val="DPCbody"/>
        <w:ind w:left="720"/>
      </w:pPr>
      <w:r w:rsidRPr="0092039E">
        <w:t>(</w:t>
      </w:r>
      <w:proofErr w:type="spellStart"/>
      <w:r w:rsidRPr="0092039E">
        <w:t>i</w:t>
      </w:r>
      <w:proofErr w:type="spellEnd"/>
      <w:r w:rsidRPr="0092039E">
        <w:t xml:space="preserve">) a room or area to hold discussions that is fit for purpose, private and accessible by the workplace delegate and eligible </w:t>
      </w:r>
      <w:proofErr w:type="gramStart"/>
      <w:r w:rsidR="00BE320E">
        <w:t>workers</w:t>
      </w:r>
      <w:r w:rsidRPr="0092039E">
        <w:t>;</w:t>
      </w:r>
      <w:proofErr w:type="gramEnd"/>
      <w:r w:rsidRPr="0092039E">
        <w:t xml:space="preserve"> </w:t>
      </w:r>
    </w:p>
    <w:p w14:paraId="790E3110" w14:textId="77777777" w:rsidR="007D5C88" w:rsidRDefault="007D5C88" w:rsidP="007D5C88">
      <w:pPr>
        <w:pStyle w:val="DPCbody"/>
        <w:ind w:left="720"/>
      </w:pPr>
      <w:r w:rsidRPr="0092039E">
        <w:t xml:space="preserve">(ii) a physical or electronic </w:t>
      </w:r>
      <w:proofErr w:type="gramStart"/>
      <w:r w:rsidRPr="0092039E">
        <w:t>noticeboard;</w:t>
      </w:r>
      <w:proofErr w:type="gramEnd"/>
      <w:r w:rsidRPr="0092039E">
        <w:t xml:space="preserve"> </w:t>
      </w:r>
    </w:p>
    <w:p w14:paraId="307D3184" w14:textId="6F3B785A" w:rsidR="007D5C88" w:rsidRDefault="007D5C88" w:rsidP="007D5C88">
      <w:pPr>
        <w:pStyle w:val="DPCbody"/>
        <w:ind w:left="720"/>
      </w:pPr>
      <w:r w:rsidRPr="0092039E">
        <w:t xml:space="preserve">(iii) electronic means of communication ordinarily used in the workplace by the employer to communicate with eligible </w:t>
      </w:r>
      <w:r w:rsidR="00BE320E">
        <w:t>workers</w:t>
      </w:r>
      <w:r w:rsidR="00BE320E" w:rsidRPr="0092039E">
        <w:t xml:space="preserve"> </w:t>
      </w:r>
      <w:r w:rsidRPr="0092039E">
        <w:t xml:space="preserve">and by eligible </w:t>
      </w:r>
      <w:r w:rsidR="00BE320E">
        <w:t>workers</w:t>
      </w:r>
      <w:r w:rsidR="00BE320E" w:rsidRPr="0092039E">
        <w:t xml:space="preserve"> </w:t>
      </w:r>
      <w:r w:rsidRPr="0092039E">
        <w:t xml:space="preserve">to communicate with each other, including access to </w:t>
      </w:r>
      <w:proofErr w:type="gramStart"/>
      <w:r w:rsidRPr="0092039E">
        <w:t>Wi-Fi;</w:t>
      </w:r>
      <w:proofErr w:type="gramEnd"/>
      <w:r w:rsidRPr="0092039E">
        <w:t xml:space="preserve"> </w:t>
      </w:r>
    </w:p>
    <w:p w14:paraId="4DE174C9" w14:textId="77777777" w:rsidR="007D5C88" w:rsidRDefault="007D5C88" w:rsidP="007D5C88">
      <w:pPr>
        <w:pStyle w:val="DPCbody"/>
        <w:ind w:left="720"/>
      </w:pPr>
      <w:r w:rsidRPr="0092039E">
        <w:t xml:space="preserve">(iv) a lockable filing cabinet or other secure document storage area; and </w:t>
      </w:r>
    </w:p>
    <w:p w14:paraId="5D4A2912" w14:textId="77777777" w:rsidR="007D5C88" w:rsidRDefault="007D5C88" w:rsidP="007D5C88">
      <w:pPr>
        <w:pStyle w:val="DPCbody"/>
        <w:ind w:left="720"/>
      </w:pPr>
      <w:r w:rsidRPr="0092039E">
        <w:t>(v) office facilities and equipment including printers, scanners and photocopiers.</w:t>
      </w:r>
    </w:p>
    <w:p w14:paraId="01168085" w14:textId="77777777" w:rsidR="007D5C88" w:rsidRDefault="007D5C88" w:rsidP="007D5C88">
      <w:pPr>
        <w:pStyle w:val="DPCbody"/>
        <w:ind w:left="360"/>
      </w:pPr>
      <w:r w:rsidRPr="0092039E">
        <w:t xml:space="preserve">(b) The employer is not required to provide access to or use of a workplace facility </w:t>
      </w:r>
      <w:r w:rsidRPr="00F46404">
        <w:t xml:space="preserve">under clause </w:t>
      </w:r>
      <w:r>
        <w:t>2</w:t>
      </w:r>
      <w:r w:rsidRPr="00F46404">
        <w:t>.7(a) if:</w:t>
      </w:r>
      <w:r w:rsidRPr="0092039E">
        <w:t xml:space="preserve"> </w:t>
      </w:r>
    </w:p>
    <w:p w14:paraId="574D0DC9" w14:textId="77777777" w:rsidR="007D5C88" w:rsidRDefault="007D5C88" w:rsidP="007D5C88">
      <w:pPr>
        <w:pStyle w:val="DPCbody"/>
        <w:ind w:left="720"/>
      </w:pPr>
      <w:r w:rsidRPr="0092039E">
        <w:t>(</w:t>
      </w:r>
      <w:proofErr w:type="spellStart"/>
      <w:r w:rsidRPr="0092039E">
        <w:t>i</w:t>
      </w:r>
      <w:proofErr w:type="spellEnd"/>
      <w:r w:rsidRPr="0092039E">
        <w:t xml:space="preserve">) the workplace does not have the </w:t>
      </w:r>
      <w:proofErr w:type="gramStart"/>
      <w:r w:rsidRPr="0092039E">
        <w:t>facility;</w:t>
      </w:r>
      <w:proofErr w:type="gramEnd"/>
      <w:r w:rsidRPr="0092039E">
        <w:t xml:space="preserve"> </w:t>
      </w:r>
    </w:p>
    <w:p w14:paraId="4216BCF3" w14:textId="77777777" w:rsidR="007D5C88" w:rsidRDefault="007D5C88" w:rsidP="007D5C88">
      <w:pPr>
        <w:pStyle w:val="DPCbody"/>
        <w:ind w:left="720"/>
      </w:pPr>
      <w:r w:rsidRPr="0092039E">
        <w:t xml:space="preserve">(ii) due to operational requirements, it is impractical to provide access to or use of the facility at the time or in the manner it is sought; or </w:t>
      </w:r>
    </w:p>
    <w:p w14:paraId="7D5B8EEA" w14:textId="77777777" w:rsidR="007D5C88" w:rsidRDefault="007D5C88" w:rsidP="007D5C88">
      <w:pPr>
        <w:pStyle w:val="DPCbody"/>
        <w:ind w:left="720"/>
      </w:pPr>
      <w:r w:rsidRPr="0092039E">
        <w:t>(iii) the employer does not have access to the facility at the enterprise and is unable to obtain access after taking reasonable steps.</w:t>
      </w:r>
    </w:p>
    <w:p w14:paraId="3C86A2A4" w14:textId="77777777" w:rsidR="007D5C88" w:rsidRPr="0092039E" w:rsidRDefault="007D5C88" w:rsidP="007D5C88">
      <w:pPr>
        <w:pStyle w:val="DPCbody"/>
        <w:numPr>
          <w:ilvl w:val="1"/>
          <w:numId w:val="28"/>
        </w:numPr>
        <w:rPr>
          <w:b/>
          <w:bCs/>
        </w:rPr>
      </w:pPr>
      <w:r w:rsidRPr="0092039E">
        <w:rPr>
          <w:b/>
          <w:bCs/>
        </w:rPr>
        <w:t xml:space="preserve">Entitlement to reasonable access to training </w:t>
      </w:r>
    </w:p>
    <w:p w14:paraId="141A3C55" w14:textId="0CD192AE" w:rsidR="007D5C88" w:rsidRDefault="007D5C88" w:rsidP="007D5C88">
      <w:pPr>
        <w:pStyle w:val="DPCbody"/>
        <w:ind w:left="360"/>
      </w:pPr>
      <w:r>
        <w:t>The</w:t>
      </w:r>
      <w:r w:rsidRPr="0092039E">
        <w:t xml:space="preserve"> employer must provide a workplace delegate with access to up to 5 days of paid time during normal working hours for initial training and at least one day each subsequent year, to attend training related to representation of the industrial interests of eligible </w:t>
      </w:r>
      <w:r w:rsidR="00BE320E">
        <w:t>worke</w:t>
      </w:r>
      <w:r w:rsidR="00591F14">
        <w:t>r</w:t>
      </w:r>
      <w:r w:rsidR="00BE320E">
        <w:t>s</w:t>
      </w:r>
      <w:r w:rsidRPr="0092039E">
        <w:t xml:space="preserve">, subject to the following conditions: </w:t>
      </w:r>
    </w:p>
    <w:p w14:paraId="4D8938AF" w14:textId="4945ADC0" w:rsidR="007D5C88" w:rsidRDefault="007D5C88" w:rsidP="007D5C88">
      <w:pPr>
        <w:pStyle w:val="DPCbody"/>
        <w:ind w:left="360"/>
      </w:pPr>
      <w:r w:rsidRPr="0092039E">
        <w:t xml:space="preserve">(a) In each year commencing 1 July, the employer is not required to provide access to paid time for training to more than one workplace delegate per 50 eligible </w:t>
      </w:r>
      <w:r w:rsidR="00BE320E">
        <w:t>workers</w:t>
      </w:r>
      <w:r w:rsidRPr="0092039E">
        <w:t xml:space="preserve">. </w:t>
      </w:r>
    </w:p>
    <w:p w14:paraId="24506712" w14:textId="5A6E0310" w:rsidR="007D5C88" w:rsidRDefault="007D5C88" w:rsidP="007D5C88">
      <w:pPr>
        <w:pStyle w:val="DPCbody"/>
        <w:ind w:left="360"/>
      </w:pPr>
      <w:r w:rsidRPr="0092039E">
        <w:lastRenderedPageBreak/>
        <w:t xml:space="preserve">(b) The number of eligible </w:t>
      </w:r>
      <w:r w:rsidR="00BE320E">
        <w:t>workers</w:t>
      </w:r>
      <w:r w:rsidR="00BE320E" w:rsidRPr="0092039E">
        <w:t xml:space="preserve"> </w:t>
      </w:r>
      <w:r w:rsidRPr="0092039E">
        <w:t xml:space="preserve">will be determined on the day a delegate requests paid time to attend training, as the number of eligible </w:t>
      </w:r>
      <w:r w:rsidR="00BE320E">
        <w:t>workers</w:t>
      </w:r>
      <w:r w:rsidR="00BE320E" w:rsidRPr="0092039E">
        <w:t xml:space="preserve"> </w:t>
      </w:r>
      <w:r w:rsidRPr="0092039E">
        <w:t xml:space="preserve">who are: </w:t>
      </w:r>
    </w:p>
    <w:p w14:paraId="3B8EDAAE" w14:textId="77777777" w:rsidR="007D5C88" w:rsidRDefault="007D5C88" w:rsidP="007D5C88">
      <w:pPr>
        <w:pStyle w:val="DPCbody"/>
        <w:ind w:left="720"/>
      </w:pPr>
      <w:r w:rsidRPr="0092039E">
        <w:t>(</w:t>
      </w:r>
      <w:proofErr w:type="spellStart"/>
      <w:r w:rsidRPr="0092039E">
        <w:t>i</w:t>
      </w:r>
      <w:proofErr w:type="spellEnd"/>
      <w:r w:rsidRPr="0092039E">
        <w:t>) full-time or part-time employees; or</w:t>
      </w:r>
    </w:p>
    <w:p w14:paraId="72682770" w14:textId="77777777" w:rsidR="007D5C88" w:rsidRDefault="007D5C88" w:rsidP="007D5C88">
      <w:pPr>
        <w:pStyle w:val="DPCbody"/>
        <w:ind w:left="720"/>
      </w:pPr>
      <w:r w:rsidRPr="0092039E">
        <w:t xml:space="preserve">(ii) regular casual employees. </w:t>
      </w:r>
    </w:p>
    <w:p w14:paraId="20BDF8EA" w14:textId="77777777" w:rsidR="007D5C88" w:rsidRDefault="007D5C88" w:rsidP="007D5C88">
      <w:pPr>
        <w:pStyle w:val="DPCbody"/>
        <w:ind w:left="360"/>
      </w:pPr>
      <w:r w:rsidRPr="0092039E">
        <w:t xml:space="preserve">(c) Payment for a day of paid time during normal working hours is payment of the amount the workplace delegate would have been paid for the hours the workplace delegate would have been rostered or required to work on that day if the delegate had not been absent from work to attend the training. </w:t>
      </w:r>
    </w:p>
    <w:p w14:paraId="3302DAFC" w14:textId="77777777" w:rsidR="007D5C88" w:rsidRDefault="007D5C88" w:rsidP="007D5C88">
      <w:pPr>
        <w:pStyle w:val="DPCbody"/>
        <w:ind w:left="360"/>
      </w:pPr>
      <w:r w:rsidRPr="0092039E">
        <w:t>(d) The workplace delegate must give the employer not less than 5 weeks’ notice (unless the employer and delegate agree to a shorter period of notice) of the dates, subject matter, the daily start and finish times of the training, and the name of the training provider.</w:t>
      </w:r>
    </w:p>
    <w:p w14:paraId="0F97D54F" w14:textId="77777777" w:rsidR="007D5C88" w:rsidRDefault="007D5C88" w:rsidP="007D5C88">
      <w:pPr>
        <w:pStyle w:val="DPCbody"/>
        <w:ind w:left="360"/>
      </w:pPr>
      <w:r w:rsidRPr="0092039E">
        <w:t xml:space="preserve">(e) If requested by the employer, the workplace delegate must provide the employer with an outline of the training content. </w:t>
      </w:r>
    </w:p>
    <w:p w14:paraId="4EDEF06B" w14:textId="77777777" w:rsidR="007D5C88" w:rsidRDefault="007D5C88" w:rsidP="007D5C88">
      <w:pPr>
        <w:pStyle w:val="DPCbody"/>
        <w:ind w:left="360"/>
      </w:pPr>
      <w:r w:rsidRPr="0092039E">
        <w:t xml:space="preserve">(f) The employer must advise the workplace delegate not less than 2 weeks from the day on which the training is scheduled to commence, whether the workplace delegate’s access to paid time during normal working hours to attend the training has been approved. Such approval must not be unreasonably withheld. </w:t>
      </w:r>
    </w:p>
    <w:p w14:paraId="59BA25F7" w14:textId="77777777" w:rsidR="007D5C88" w:rsidRDefault="007D5C88" w:rsidP="007D5C88">
      <w:pPr>
        <w:pStyle w:val="DPCbody"/>
        <w:ind w:left="360"/>
      </w:pPr>
      <w:r w:rsidRPr="0092039E">
        <w:t>(g) The workplace delegate must, within 7 days after the day on which the training ends, provide the employer with evidence that would satisfy a reasonable person of their attendance at the training.</w:t>
      </w:r>
    </w:p>
    <w:p w14:paraId="554F608D" w14:textId="77777777" w:rsidR="007D5C88" w:rsidRPr="0092039E" w:rsidRDefault="007D5C88" w:rsidP="007D5C88">
      <w:pPr>
        <w:pStyle w:val="DPCbody"/>
        <w:numPr>
          <w:ilvl w:val="1"/>
          <w:numId w:val="28"/>
        </w:numPr>
        <w:rPr>
          <w:b/>
          <w:bCs/>
        </w:rPr>
      </w:pPr>
      <w:r w:rsidRPr="0092039E">
        <w:rPr>
          <w:b/>
          <w:bCs/>
        </w:rPr>
        <w:t>Exercise of entitlements</w:t>
      </w:r>
    </w:p>
    <w:p w14:paraId="6137E9AC" w14:textId="77777777" w:rsidR="007D5C88" w:rsidRDefault="007D5C88" w:rsidP="007D5C88">
      <w:pPr>
        <w:pStyle w:val="DPCbody"/>
        <w:ind w:left="360"/>
      </w:pPr>
      <w:r w:rsidRPr="0092039E">
        <w:t xml:space="preserve">(a) A workplace delegate’s entitlements under </w:t>
      </w:r>
      <w:r>
        <w:t>this clause</w:t>
      </w:r>
      <w:r w:rsidRPr="0092039E">
        <w:t xml:space="preserve"> are subject to the conditions that the workplace delegate must, when exercising those entitlements: </w:t>
      </w:r>
    </w:p>
    <w:p w14:paraId="27FD051E" w14:textId="6B75CE33" w:rsidR="007D5C88" w:rsidRDefault="007D5C88" w:rsidP="007D5C88">
      <w:pPr>
        <w:pStyle w:val="DPCbody"/>
        <w:ind w:left="720"/>
      </w:pPr>
      <w:r w:rsidRPr="0092039E">
        <w:t>(</w:t>
      </w:r>
      <w:proofErr w:type="spellStart"/>
      <w:r w:rsidRPr="0092039E">
        <w:t>i</w:t>
      </w:r>
      <w:proofErr w:type="spellEnd"/>
      <w:r w:rsidRPr="0092039E">
        <w:t xml:space="preserve">) comply with the reasonable policies and procedures of the employer, including reasonable codes of conduct and requirements in relation to occupational health and safety and acceptable use of ICT </w:t>
      </w:r>
      <w:proofErr w:type="gramStart"/>
      <w:r w:rsidRPr="0092039E">
        <w:t>resources;</w:t>
      </w:r>
      <w:proofErr w:type="gramEnd"/>
      <w:r w:rsidRPr="0092039E">
        <w:t xml:space="preserve"> </w:t>
      </w:r>
    </w:p>
    <w:p w14:paraId="6E95A3B6" w14:textId="18F18FE6" w:rsidR="007D5C88" w:rsidRDefault="007D5C88" w:rsidP="007D5C88">
      <w:pPr>
        <w:pStyle w:val="DPCbody"/>
        <w:ind w:left="720"/>
      </w:pPr>
      <w:r w:rsidRPr="0092039E">
        <w:t>(i</w:t>
      </w:r>
      <w:r w:rsidR="00BE320E">
        <w:t>i</w:t>
      </w:r>
      <w:r w:rsidRPr="0092039E">
        <w:t xml:space="preserve">) not hinder, obstruct or prevent eligible </w:t>
      </w:r>
      <w:r w:rsidR="00591F14">
        <w:t>workers</w:t>
      </w:r>
      <w:r w:rsidRPr="0092039E">
        <w:t xml:space="preserve"> exercising their rights to freedom of association. </w:t>
      </w:r>
    </w:p>
    <w:p w14:paraId="37C907AC" w14:textId="561BDE06" w:rsidR="00BE320E" w:rsidRDefault="007D5C88" w:rsidP="00591F14">
      <w:pPr>
        <w:pStyle w:val="Listnum"/>
        <w:numPr>
          <w:ilvl w:val="0"/>
          <w:numId w:val="0"/>
        </w:numPr>
        <w:ind w:left="360"/>
      </w:pPr>
      <w:r w:rsidRPr="0092039E">
        <w:t xml:space="preserve">(b) </w:t>
      </w:r>
      <w:r w:rsidR="00BE320E" w:rsidRPr="00BE320E">
        <w:t xml:space="preserve">A workplace delegate must, other than in the reasonable exercise of the entitlements under </w:t>
      </w:r>
      <w:r w:rsidR="00BE320E">
        <w:t xml:space="preserve">this </w:t>
      </w:r>
      <w:r w:rsidR="00BE320E" w:rsidRPr="00BE320E">
        <w:t>clause</w:t>
      </w:r>
      <w:r w:rsidR="00BE320E">
        <w:t>:</w:t>
      </w:r>
    </w:p>
    <w:p w14:paraId="520044BE" w14:textId="79A6D903" w:rsidR="00BE320E" w:rsidRPr="00591F14" w:rsidRDefault="00BE320E" w:rsidP="00591F14">
      <w:pPr>
        <w:pStyle w:val="Listnum2"/>
        <w:numPr>
          <w:ilvl w:val="0"/>
          <w:numId w:val="0"/>
        </w:numPr>
        <w:ind w:left="1134" w:hanging="360"/>
        <w:rPr>
          <w:rFonts w:eastAsia="Times" w:cstheme="minorHAnsi"/>
          <w:lang w:eastAsia="en-US"/>
        </w:rPr>
      </w:pPr>
      <w:r>
        <w:t>(</w:t>
      </w:r>
      <w:proofErr w:type="spellStart"/>
      <w:r>
        <w:t>i</w:t>
      </w:r>
      <w:proofErr w:type="spellEnd"/>
      <w:r>
        <w:t xml:space="preserve">) </w:t>
      </w:r>
      <w:r w:rsidRPr="00591F14">
        <w:rPr>
          <w:rFonts w:eastAsia="Times" w:cstheme="minorHAnsi"/>
          <w:lang w:eastAsia="en-US"/>
        </w:rPr>
        <w:t>comply with their duties and obligations as an employee; and</w:t>
      </w:r>
    </w:p>
    <w:p w14:paraId="7E5F541D" w14:textId="77777777" w:rsidR="00BE320E" w:rsidRDefault="00BE320E" w:rsidP="00BE320E">
      <w:pPr>
        <w:pStyle w:val="Listnum2"/>
        <w:numPr>
          <w:ilvl w:val="0"/>
          <w:numId w:val="0"/>
        </w:numPr>
        <w:ind w:left="720"/>
      </w:pPr>
      <w:r w:rsidRPr="00BE320E">
        <w:t>(ii) not hinder, obstruct or prevent the normal performance of work.</w:t>
      </w:r>
    </w:p>
    <w:p w14:paraId="7DB67992" w14:textId="4766F3CE" w:rsidR="007D5C88" w:rsidRDefault="00BE320E" w:rsidP="00591F14">
      <w:pPr>
        <w:pStyle w:val="Listnum2"/>
        <w:numPr>
          <w:ilvl w:val="0"/>
          <w:numId w:val="0"/>
        </w:numPr>
      </w:pPr>
      <w:r>
        <w:t xml:space="preserve">(c) </w:t>
      </w:r>
      <w:r w:rsidR="007D5C88">
        <w:t>This clause</w:t>
      </w:r>
      <w:r w:rsidR="007D5C88" w:rsidRPr="0092039E">
        <w:t xml:space="preserve"> does not require the employer to provide a workplace delegate with access to electronic means of communication in a way that provides individual contact details for eligible </w:t>
      </w:r>
      <w:r>
        <w:t>workers</w:t>
      </w:r>
      <w:r w:rsidR="007D5C88" w:rsidRPr="0092039E">
        <w:t xml:space="preserve">. </w:t>
      </w:r>
    </w:p>
    <w:p w14:paraId="5C62CB00" w14:textId="315C2A87" w:rsidR="007D5C88" w:rsidRDefault="00BE320E" w:rsidP="00591F14">
      <w:pPr>
        <w:pStyle w:val="DPCbody"/>
      </w:pPr>
      <w:r>
        <w:t>(d)</w:t>
      </w:r>
      <w:r w:rsidR="007D5C88">
        <w:t>This clause</w:t>
      </w:r>
      <w:r w:rsidR="007D5C88" w:rsidRPr="0092039E">
        <w:t xml:space="preserve"> does not require an eligible </w:t>
      </w:r>
      <w:r>
        <w:t>worker</w:t>
      </w:r>
      <w:r w:rsidRPr="0092039E">
        <w:t xml:space="preserve"> </w:t>
      </w:r>
      <w:r w:rsidR="007D5C88" w:rsidRPr="0092039E">
        <w:t xml:space="preserve">to be represented by a workplace delegate without the employee’s agreement. </w:t>
      </w:r>
    </w:p>
    <w:p w14:paraId="5512ADAB" w14:textId="77777777" w:rsidR="007D5C88" w:rsidRDefault="007D5C88" w:rsidP="007D5C88">
      <w:pPr>
        <w:pStyle w:val="DPCbody"/>
      </w:pPr>
      <w:r w:rsidRPr="0092039E">
        <w:lastRenderedPageBreak/>
        <w:t xml:space="preserve">NOTE: Under section 350A of the </w:t>
      </w:r>
      <w:r>
        <w:rPr>
          <w:i/>
          <w:iCs/>
        </w:rPr>
        <w:t xml:space="preserve">Fair Work Act 2009 </w:t>
      </w:r>
      <w:r>
        <w:t>(</w:t>
      </w:r>
      <w:proofErr w:type="spellStart"/>
      <w:r>
        <w:t>Cth</w:t>
      </w:r>
      <w:proofErr w:type="spellEnd"/>
      <w:r>
        <w:t>)</w:t>
      </w:r>
      <w:r w:rsidRPr="0092039E">
        <w:t>, the employer must not:</w:t>
      </w:r>
    </w:p>
    <w:p w14:paraId="489D5DD3" w14:textId="77777777" w:rsidR="007D5C88" w:rsidRDefault="007D5C88" w:rsidP="007D5C88">
      <w:pPr>
        <w:pStyle w:val="DPCbody"/>
        <w:ind w:left="360"/>
      </w:pPr>
      <w:r w:rsidRPr="0092039E">
        <w:t xml:space="preserve">(a) unreasonably fail or refuse to deal with a workplace delegate; or </w:t>
      </w:r>
    </w:p>
    <w:p w14:paraId="58254649" w14:textId="77777777" w:rsidR="007D5C88" w:rsidRDefault="007D5C88" w:rsidP="007D5C88">
      <w:pPr>
        <w:pStyle w:val="DPCbody"/>
        <w:ind w:left="360"/>
      </w:pPr>
      <w:r w:rsidRPr="0092039E">
        <w:t xml:space="preserve">(b) knowingly or recklessly make a false or misleading representation to a workplace delegate; or </w:t>
      </w:r>
    </w:p>
    <w:p w14:paraId="2906482C" w14:textId="77777777" w:rsidR="007D5C88" w:rsidRDefault="007D5C88" w:rsidP="007D5C88">
      <w:pPr>
        <w:pStyle w:val="DPCbody"/>
        <w:ind w:left="360"/>
      </w:pPr>
      <w:r w:rsidRPr="0092039E">
        <w:t xml:space="preserve">(c) unreasonably hinder, obstruct or prevent the exercise of the rights of a workplace delegate under the Act or </w:t>
      </w:r>
      <w:r>
        <w:t>this clause</w:t>
      </w:r>
      <w:r w:rsidRPr="0092039E">
        <w:t xml:space="preserve">. </w:t>
      </w:r>
    </w:p>
    <w:p w14:paraId="4609C54B" w14:textId="77777777" w:rsidR="007D5C88" w:rsidRPr="007D5C88" w:rsidRDefault="007D5C88" w:rsidP="007D5C88">
      <w:pPr>
        <w:rPr>
          <w:rFonts w:eastAsia="Times" w:cs="Arial"/>
          <w:sz w:val="22"/>
          <w:szCs w:val="22"/>
        </w:rPr>
      </w:pPr>
    </w:p>
    <w:sectPr w:rsidR="007D5C88" w:rsidRPr="007D5C88" w:rsidSect="00CA24D2">
      <w:headerReference w:type="even" r:id="rId12"/>
      <w:headerReference w:type="default" r:id="rId13"/>
      <w:footerReference w:type="even" r:id="rId14"/>
      <w:footerReference w:type="default" r:id="rId15"/>
      <w:headerReference w:type="first" r:id="rId16"/>
      <w:footerReference w:type="first" r:id="rId17"/>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71F0" w14:textId="77777777" w:rsidR="00230D41" w:rsidRDefault="00230D41" w:rsidP="002D711A">
      <w:pPr>
        <w:spacing w:after="0" w:line="240" w:lineRule="auto"/>
      </w:pPr>
      <w:r>
        <w:separator/>
      </w:r>
    </w:p>
  </w:endnote>
  <w:endnote w:type="continuationSeparator" w:id="0">
    <w:p w14:paraId="296DDA64" w14:textId="77777777" w:rsidR="00230D41" w:rsidRDefault="00230D41"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0AAC" w14:textId="77777777" w:rsidR="00AC22F4" w:rsidRDefault="00AC2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2F91CB2A"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542B1FCB">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AC22F4" w:rsidRPr="00AC22F4">
      <w:rPr>
        <w:b/>
      </w:rPr>
      <w:t xml:space="preserve">Role of Public Sector Unions - Attachment </w:t>
    </w:r>
    <w:r w:rsidR="00AC22F4">
      <w:rPr>
        <w:b/>
      </w:rPr>
      <w:t>B</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4BD62AE9" w:rsidR="00973844" w:rsidRDefault="004B0C5E" w:rsidP="00AC22F4">
    <w:pPr>
      <w:pStyle w:val="Footer"/>
      <w:tabs>
        <w:tab w:val="clear" w:pos="9026"/>
      </w:tabs>
      <w:ind w:right="-604"/>
      <w:jc w:val="right"/>
    </w:pPr>
    <w:r w:rsidRPr="004B0C5E">
      <w:t xml:space="preserve">Role of Public Sector Unions - Attachment </w:t>
    </w:r>
    <w:r w:rsidR="00A6286F">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AC22F4">
      <w:t>B</w: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D7E4" w14:textId="77777777" w:rsidR="00230D41" w:rsidRDefault="00230D41" w:rsidP="002D711A">
      <w:pPr>
        <w:spacing w:after="0" w:line="240" w:lineRule="auto"/>
      </w:pPr>
      <w:r>
        <w:separator/>
      </w:r>
    </w:p>
  </w:footnote>
  <w:footnote w:type="continuationSeparator" w:id="0">
    <w:p w14:paraId="52F4B4CB" w14:textId="77777777" w:rsidR="00230D41" w:rsidRDefault="00230D41"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81B9" w14:textId="77777777" w:rsidR="00AC22F4" w:rsidRDefault="00AC2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34A918"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5F22C"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8D6FA2"/>
    <w:multiLevelType w:val="multilevel"/>
    <w:tmpl w:val="62A278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BD74D7"/>
    <w:multiLevelType w:val="hybridMultilevel"/>
    <w:tmpl w:val="94AE6968"/>
    <w:lvl w:ilvl="0" w:tplc="3E4E9992">
      <w:numFmt w:val="bullet"/>
      <w:pStyle w:val="DPCbullet1"/>
      <w:lvlText w:val="•"/>
      <w:lvlJc w:val="left"/>
      <w:pPr>
        <w:ind w:left="1080" w:hanging="72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D44514"/>
    <w:multiLevelType w:val="multilevel"/>
    <w:tmpl w:val="FF2ABAE8"/>
    <w:lvl w:ilvl="0">
      <w:start w:val="1"/>
      <w:numFmt w:val="lowerLetter"/>
      <w:pStyle w:val="Listnum"/>
      <w:lvlText w:val="(%1)"/>
      <w:lvlJc w:val="left"/>
      <w:pPr>
        <w:tabs>
          <w:tab w:val="num" w:pos="785"/>
        </w:tabs>
        <w:ind w:left="785" w:hanging="360"/>
      </w:pPr>
      <w:rPr>
        <w:rFonts w:hint="default"/>
      </w:rPr>
    </w:lvl>
    <w:lvl w:ilvl="1">
      <w:start w:val="1"/>
      <w:numFmt w:val="lowerRoman"/>
      <w:pStyle w:val="Listnum2"/>
      <w:lvlText w:val="(%2)"/>
      <w:lvlJc w:val="left"/>
      <w:pPr>
        <w:tabs>
          <w:tab w:val="num" w:pos="1212"/>
        </w:tabs>
        <w:ind w:left="1068"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39117772">
    <w:abstractNumId w:val="5"/>
  </w:num>
  <w:num w:numId="2" w16cid:durableId="1321812692">
    <w:abstractNumId w:val="7"/>
  </w:num>
  <w:num w:numId="3" w16cid:durableId="1393383706">
    <w:abstractNumId w:val="5"/>
  </w:num>
  <w:num w:numId="4" w16cid:durableId="1661498547">
    <w:abstractNumId w:val="6"/>
  </w:num>
  <w:num w:numId="5" w16cid:durableId="759643233">
    <w:abstractNumId w:val="7"/>
  </w:num>
  <w:num w:numId="6" w16cid:durableId="439186860">
    <w:abstractNumId w:val="4"/>
  </w:num>
  <w:num w:numId="7" w16cid:durableId="1546285995">
    <w:abstractNumId w:val="5"/>
  </w:num>
  <w:num w:numId="8" w16cid:durableId="1080712075">
    <w:abstractNumId w:val="5"/>
  </w:num>
  <w:num w:numId="9" w16cid:durableId="465513560">
    <w:abstractNumId w:val="5"/>
  </w:num>
  <w:num w:numId="10" w16cid:durableId="1615794856">
    <w:abstractNumId w:val="5"/>
  </w:num>
  <w:num w:numId="11" w16cid:durableId="1741560242">
    <w:abstractNumId w:val="7"/>
  </w:num>
  <w:num w:numId="12" w16cid:durableId="540826798">
    <w:abstractNumId w:val="7"/>
  </w:num>
  <w:num w:numId="13" w16cid:durableId="439373719">
    <w:abstractNumId w:val="7"/>
  </w:num>
  <w:num w:numId="14" w16cid:durableId="1845198593">
    <w:abstractNumId w:val="7"/>
  </w:num>
  <w:num w:numId="15" w16cid:durableId="2040354049">
    <w:abstractNumId w:val="7"/>
  </w:num>
  <w:num w:numId="16" w16cid:durableId="1596546986">
    <w:abstractNumId w:val="7"/>
  </w:num>
  <w:num w:numId="17" w16cid:durableId="1294478598">
    <w:abstractNumId w:val="7"/>
  </w:num>
  <w:num w:numId="18" w16cid:durableId="1448699228">
    <w:abstractNumId w:val="7"/>
  </w:num>
  <w:num w:numId="19" w16cid:durableId="1136600786">
    <w:abstractNumId w:val="6"/>
  </w:num>
  <w:num w:numId="20" w16cid:durableId="1084381061">
    <w:abstractNumId w:val="7"/>
  </w:num>
  <w:num w:numId="21" w16cid:durableId="310906425">
    <w:abstractNumId w:val="4"/>
  </w:num>
  <w:num w:numId="22" w16cid:durableId="1961033942">
    <w:abstractNumId w:val="4"/>
  </w:num>
  <w:num w:numId="23" w16cid:durableId="1184125337">
    <w:abstractNumId w:val="4"/>
  </w:num>
  <w:num w:numId="24" w16cid:durableId="633758885">
    <w:abstractNumId w:val="4"/>
  </w:num>
  <w:num w:numId="25" w16cid:durableId="11809797">
    <w:abstractNumId w:val="1"/>
  </w:num>
  <w:num w:numId="26" w16cid:durableId="630399569">
    <w:abstractNumId w:val="0"/>
  </w:num>
  <w:num w:numId="27" w16cid:durableId="1762751113">
    <w:abstractNumId w:val="3"/>
  </w:num>
  <w:num w:numId="28" w16cid:durableId="6445094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43296"/>
    <w:rsid w:val="0004356D"/>
    <w:rsid w:val="00045296"/>
    <w:rsid w:val="00072A2A"/>
    <w:rsid w:val="00075E6C"/>
    <w:rsid w:val="00090171"/>
    <w:rsid w:val="000A03BA"/>
    <w:rsid w:val="000B29AD"/>
    <w:rsid w:val="000C6372"/>
    <w:rsid w:val="000C73A6"/>
    <w:rsid w:val="000D223F"/>
    <w:rsid w:val="000D593F"/>
    <w:rsid w:val="000E392D"/>
    <w:rsid w:val="000F4288"/>
    <w:rsid w:val="000F5D2A"/>
    <w:rsid w:val="000F7165"/>
    <w:rsid w:val="00102379"/>
    <w:rsid w:val="001065D6"/>
    <w:rsid w:val="00121252"/>
    <w:rsid w:val="00124609"/>
    <w:rsid w:val="001254CE"/>
    <w:rsid w:val="00126AF9"/>
    <w:rsid w:val="00134CEA"/>
    <w:rsid w:val="001422CC"/>
    <w:rsid w:val="00143E1B"/>
    <w:rsid w:val="001617B6"/>
    <w:rsid w:val="00165E66"/>
    <w:rsid w:val="00182D75"/>
    <w:rsid w:val="001A3DD1"/>
    <w:rsid w:val="001C7BAE"/>
    <w:rsid w:val="001D717E"/>
    <w:rsid w:val="001E31FA"/>
    <w:rsid w:val="001E64F6"/>
    <w:rsid w:val="00200BB3"/>
    <w:rsid w:val="00222BEB"/>
    <w:rsid w:val="00225E60"/>
    <w:rsid w:val="00227C39"/>
    <w:rsid w:val="00230D41"/>
    <w:rsid w:val="0023202C"/>
    <w:rsid w:val="00236203"/>
    <w:rsid w:val="00243CF8"/>
    <w:rsid w:val="00245043"/>
    <w:rsid w:val="00257760"/>
    <w:rsid w:val="00267F1F"/>
    <w:rsid w:val="00292D36"/>
    <w:rsid w:val="00297281"/>
    <w:rsid w:val="002A631F"/>
    <w:rsid w:val="002B023E"/>
    <w:rsid w:val="002C54E0"/>
    <w:rsid w:val="002D711A"/>
    <w:rsid w:val="002D7336"/>
    <w:rsid w:val="002E3396"/>
    <w:rsid w:val="0031149C"/>
    <w:rsid w:val="00322210"/>
    <w:rsid w:val="00330A9A"/>
    <w:rsid w:val="0038771C"/>
    <w:rsid w:val="00392A8F"/>
    <w:rsid w:val="0039405B"/>
    <w:rsid w:val="003A1C92"/>
    <w:rsid w:val="003A541A"/>
    <w:rsid w:val="003A6923"/>
    <w:rsid w:val="003B4EFB"/>
    <w:rsid w:val="003C2671"/>
    <w:rsid w:val="003C2C67"/>
    <w:rsid w:val="003C2EA2"/>
    <w:rsid w:val="003C3271"/>
    <w:rsid w:val="003C3AE0"/>
    <w:rsid w:val="003C5BA4"/>
    <w:rsid w:val="003E3E26"/>
    <w:rsid w:val="003F1295"/>
    <w:rsid w:val="003F76FC"/>
    <w:rsid w:val="004002EB"/>
    <w:rsid w:val="00405C57"/>
    <w:rsid w:val="00410C6F"/>
    <w:rsid w:val="0041689E"/>
    <w:rsid w:val="004236C8"/>
    <w:rsid w:val="00427681"/>
    <w:rsid w:val="00433DB7"/>
    <w:rsid w:val="004447EA"/>
    <w:rsid w:val="00453750"/>
    <w:rsid w:val="00456941"/>
    <w:rsid w:val="0046679A"/>
    <w:rsid w:val="004669E3"/>
    <w:rsid w:val="004702EA"/>
    <w:rsid w:val="00482D02"/>
    <w:rsid w:val="004A7519"/>
    <w:rsid w:val="004A7CF7"/>
    <w:rsid w:val="004B0C5E"/>
    <w:rsid w:val="004B2AFF"/>
    <w:rsid w:val="004B41CA"/>
    <w:rsid w:val="004B6F45"/>
    <w:rsid w:val="004C108F"/>
    <w:rsid w:val="004D3518"/>
    <w:rsid w:val="004D62D6"/>
    <w:rsid w:val="005064DD"/>
    <w:rsid w:val="00513E89"/>
    <w:rsid w:val="00522F8A"/>
    <w:rsid w:val="00526283"/>
    <w:rsid w:val="0053416C"/>
    <w:rsid w:val="00541C2F"/>
    <w:rsid w:val="00543FBC"/>
    <w:rsid w:val="00563527"/>
    <w:rsid w:val="0058124E"/>
    <w:rsid w:val="00584301"/>
    <w:rsid w:val="00586C46"/>
    <w:rsid w:val="005875A3"/>
    <w:rsid w:val="00591F14"/>
    <w:rsid w:val="005A3416"/>
    <w:rsid w:val="005B27FE"/>
    <w:rsid w:val="005C3E6D"/>
    <w:rsid w:val="005F331D"/>
    <w:rsid w:val="005F4FEF"/>
    <w:rsid w:val="005F61DF"/>
    <w:rsid w:val="006023F9"/>
    <w:rsid w:val="00610559"/>
    <w:rsid w:val="006264D2"/>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B42CD"/>
    <w:rsid w:val="006B690C"/>
    <w:rsid w:val="006C77A9"/>
    <w:rsid w:val="006F6693"/>
    <w:rsid w:val="00707FE8"/>
    <w:rsid w:val="00724962"/>
    <w:rsid w:val="00724A0F"/>
    <w:rsid w:val="0073072C"/>
    <w:rsid w:val="00731C02"/>
    <w:rsid w:val="007320B4"/>
    <w:rsid w:val="00732162"/>
    <w:rsid w:val="007335A5"/>
    <w:rsid w:val="00736732"/>
    <w:rsid w:val="00750CBE"/>
    <w:rsid w:val="007549FF"/>
    <w:rsid w:val="00766B5A"/>
    <w:rsid w:val="00767AB6"/>
    <w:rsid w:val="007834F2"/>
    <w:rsid w:val="00791020"/>
    <w:rsid w:val="007A2E20"/>
    <w:rsid w:val="007A5F82"/>
    <w:rsid w:val="007B75A4"/>
    <w:rsid w:val="007D5C88"/>
    <w:rsid w:val="007F049A"/>
    <w:rsid w:val="007F1A4C"/>
    <w:rsid w:val="008022C3"/>
    <w:rsid w:val="008041E6"/>
    <w:rsid w:val="008065D2"/>
    <w:rsid w:val="0082194C"/>
    <w:rsid w:val="008220C4"/>
    <w:rsid w:val="008222FF"/>
    <w:rsid w:val="008241FF"/>
    <w:rsid w:val="008411E9"/>
    <w:rsid w:val="0084200F"/>
    <w:rsid w:val="00843B2C"/>
    <w:rsid w:val="008471C4"/>
    <w:rsid w:val="008A4900"/>
    <w:rsid w:val="008A5F80"/>
    <w:rsid w:val="008C0ED4"/>
    <w:rsid w:val="008D0281"/>
    <w:rsid w:val="008D3436"/>
    <w:rsid w:val="008E3C4E"/>
    <w:rsid w:val="008E75E4"/>
    <w:rsid w:val="008F6D45"/>
    <w:rsid w:val="00973844"/>
    <w:rsid w:val="009834C0"/>
    <w:rsid w:val="00984C95"/>
    <w:rsid w:val="00986AAC"/>
    <w:rsid w:val="009A1DA2"/>
    <w:rsid w:val="009A3704"/>
    <w:rsid w:val="009A4739"/>
    <w:rsid w:val="009A674F"/>
    <w:rsid w:val="009B199C"/>
    <w:rsid w:val="009B54C8"/>
    <w:rsid w:val="009B61F1"/>
    <w:rsid w:val="009B62E0"/>
    <w:rsid w:val="009C3D88"/>
    <w:rsid w:val="009D2B85"/>
    <w:rsid w:val="009E15C4"/>
    <w:rsid w:val="009E3858"/>
    <w:rsid w:val="009E70DD"/>
    <w:rsid w:val="009F1269"/>
    <w:rsid w:val="009F2ED9"/>
    <w:rsid w:val="009F3231"/>
    <w:rsid w:val="009F5C58"/>
    <w:rsid w:val="00A023A0"/>
    <w:rsid w:val="00A12A11"/>
    <w:rsid w:val="00A1562B"/>
    <w:rsid w:val="00A170F4"/>
    <w:rsid w:val="00A2559E"/>
    <w:rsid w:val="00A25FD9"/>
    <w:rsid w:val="00A46BA8"/>
    <w:rsid w:val="00A47634"/>
    <w:rsid w:val="00A612FE"/>
    <w:rsid w:val="00A6286F"/>
    <w:rsid w:val="00AA26B8"/>
    <w:rsid w:val="00AA6FB5"/>
    <w:rsid w:val="00AB3FE2"/>
    <w:rsid w:val="00AC22F4"/>
    <w:rsid w:val="00AD3322"/>
    <w:rsid w:val="00AD7E4E"/>
    <w:rsid w:val="00AE0BEF"/>
    <w:rsid w:val="00AF34DE"/>
    <w:rsid w:val="00AF4D58"/>
    <w:rsid w:val="00AF6666"/>
    <w:rsid w:val="00B10154"/>
    <w:rsid w:val="00B30735"/>
    <w:rsid w:val="00B41BFA"/>
    <w:rsid w:val="00B65BB2"/>
    <w:rsid w:val="00B81B44"/>
    <w:rsid w:val="00B820DB"/>
    <w:rsid w:val="00B9053B"/>
    <w:rsid w:val="00BB4631"/>
    <w:rsid w:val="00BC3422"/>
    <w:rsid w:val="00BE320E"/>
    <w:rsid w:val="00C015B9"/>
    <w:rsid w:val="00C022F9"/>
    <w:rsid w:val="00C032EA"/>
    <w:rsid w:val="00C06EB5"/>
    <w:rsid w:val="00C1145F"/>
    <w:rsid w:val="00C2093F"/>
    <w:rsid w:val="00C37DCE"/>
    <w:rsid w:val="00C637E1"/>
    <w:rsid w:val="00C70D50"/>
    <w:rsid w:val="00C8243E"/>
    <w:rsid w:val="00C907D7"/>
    <w:rsid w:val="00C92338"/>
    <w:rsid w:val="00CA24D2"/>
    <w:rsid w:val="00CA7C3A"/>
    <w:rsid w:val="00CC2DB2"/>
    <w:rsid w:val="00CD0307"/>
    <w:rsid w:val="00CD3D1B"/>
    <w:rsid w:val="00CD66F0"/>
    <w:rsid w:val="00CE62B3"/>
    <w:rsid w:val="00CF7DCA"/>
    <w:rsid w:val="00D211E9"/>
    <w:rsid w:val="00D2312F"/>
    <w:rsid w:val="00D269C1"/>
    <w:rsid w:val="00D34129"/>
    <w:rsid w:val="00D42C10"/>
    <w:rsid w:val="00D44953"/>
    <w:rsid w:val="00D542F3"/>
    <w:rsid w:val="00D543E5"/>
    <w:rsid w:val="00D5644B"/>
    <w:rsid w:val="00D56E25"/>
    <w:rsid w:val="00D71896"/>
    <w:rsid w:val="00D718D7"/>
    <w:rsid w:val="00D73212"/>
    <w:rsid w:val="00D814B7"/>
    <w:rsid w:val="00D90688"/>
    <w:rsid w:val="00D967BA"/>
    <w:rsid w:val="00DA3AAD"/>
    <w:rsid w:val="00DB2204"/>
    <w:rsid w:val="00DB312B"/>
    <w:rsid w:val="00DC5654"/>
    <w:rsid w:val="00DC658F"/>
    <w:rsid w:val="00DD7D1D"/>
    <w:rsid w:val="00DE60CC"/>
    <w:rsid w:val="00E26B32"/>
    <w:rsid w:val="00E31444"/>
    <w:rsid w:val="00E407B6"/>
    <w:rsid w:val="00E41EF1"/>
    <w:rsid w:val="00E42942"/>
    <w:rsid w:val="00E468A6"/>
    <w:rsid w:val="00E66B23"/>
    <w:rsid w:val="00E71BDF"/>
    <w:rsid w:val="00E83CA7"/>
    <w:rsid w:val="00EB511F"/>
    <w:rsid w:val="00EC171D"/>
    <w:rsid w:val="00ED487E"/>
    <w:rsid w:val="00EE7A0D"/>
    <w:rsid w:val="00EF0D21"/>
    <w:rsid w:val="00F10F3D"/>
    <w:rsid w:val="00F12351"/>
    <w:rsid w:val="00F17CE1"/>
    <w:rsid w:val="00F2115C"/>
    <w:rsid w:val="00F22ABA"/>
    <w:rsid w:val="00F353F8"/>
    <w:rsid w:val="00F36B12"/>
    <w:rsid w:val="00F417C3"/>
    <w:rsid w:val="00F60F9F"/>
    <w:rsid w:val="00F64F08"/>
    <w:rsid w:val="00F67D3D"/>
    <w:rsid w:val="00F734F5"/>
    <w:rsid w:val="00F86481"/>
    <w:rsid w:val="00F86A01"/>
    <w:rsid w:val="00F966B1"/>
    <w:rsid w:val="00F97D48"/>
    <w:rsid w:val="00FA0311"/>
    <w:rsid w:val="00FA55D0"/>
    <w:rsid w:val="00FC42E5"/>
    <w:rsid w:val="00FD640F"/>
    <w:rsid w:val="00FD6B4C"/>
    <w:rsid w:val="00FD6BE9"/>
    <w:rsid w:val="00FE36F7"/>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semiHidden/>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semiHidden/>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semiHidden/>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10"/>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2"/>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20"/>
      </w:numPr>
    </w:pPr>
  </w:style>
  <w:style w:type="paragraph" w:customStyle="1" w:styleId="Heading3numbered">
    <w:name w:val="Heading 3 numbered"/>
    <w:basedOn w:val="Heading3"/>
    <w:next w:val="NormalIndent"/>
    <w:uiPriority w:val="1"/>
    <w:qFormat/>
    <w:rsid w:val="009F1269"/>
    <w:pPr>
      <w:numPr>
        <w:ilvl w:val="4"/>
        <w:numId w:val="20"/>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20"/>
      </w:numPr>
    </w:pPr>
  </w:style>
  <w:style w:type="character" w:customStyle="1" w:styleId="Heading4Char">
    <w:name w:val="Heading 4 Char"/>
    <w:basedOn w:val="DefaultParagraphFont"/>
    <w:link w:val="Heading4"/>
    <w:semiHidden/>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10"/>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20"/>
      </w:numPr>
      <w:spacing w:before="100"/>
      <w:contextualSpacing/>
    </w:pPr>
  </w:style>
  <w:style w:type="paragraph" w:customStyle="1" w:styleId="Listnumindent">
    <w:name w:val="List num indent"/>
    <w:basedOn w:val="Normal"/>
    <w:uiPriority w:val="2"/>
    <w:qFormat/>
    <w:rsid w:val="009F1269"/>
    <w:pPr>
      <w:numPr>
        <w:ilvl w:val="6"/>
        <w:numId w:val="20"/>
      </w:numPr>
      <w:spacing w:before="100"/>
    </w:pPr>
  </w:style>
  <w:style w:type="paragraph" w:customStyle="1" w:styleId="Listnum">
    <w:name w:val="List num"/>
    <w:basedOn w:val="Normal"/>
    <w:uiPriority w:val="2"/>
    <w:semiHidden/>
    <w:qFormat/>
    <w:rsid w:val="009F1269"/>
    <w:pPr>
      <w:numPr>
        <w:numId w:val="20"/>
      </w:numPr>
      <w:tabs>
        <w:tab w:val="clear" w:pos="785"/>
        <w:tab w:val="num" w:pos="360"/>
      </w:tabs>
      <w:ind w:left="360"/>
    </w:pPr>
  </w:style>
  <w:style w:type="paragraph" w:customStyle="1" w:styleId="Listnum2">
    <w:name w:val="List num 2"/>
    <w:basedOn w:val="Normal"/>
    <w:uiPriority w:val="2"/>
    <w:semiHidden/>
    <w:qFormat/>
    <w:rsid w:val="009F1269"/>
    <w:pPr>
      <w:numPr>
        <w:ilvl w:val="1"/>
        <w:numId w:val="20"/>
      </w:numPr>
      <w:tabs>
        <w:tab w:val="clear" w:pos="1212"/>
        <w:tab w:val="num" w:pos="864"/>
      </w:tabs>
      <w:ind w:left="720"/>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24"/>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19"/>
      </w:numPr>
      <w:tabs>
        <w:tab w:val="left" w:pos="540"/>
      </w:tabs>
    </w:pPr>
  </w:style>
  <w:style w:type="paragraph" w:styleId="ListParagraph">
    <w:name w:val="List Paragraph"/>
    <w:basedOn w:val="Normal"/>
    <w:uiPriority w:val="34"/>
    <w:semiHidden/>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20"/>
      </w:numPr>
      <w:tabs>
        <w:tab w:val="clear" w:pos="540"/>
      </w:tabs>
    </w:pPr>
  </w:style>
  <w:style w:type="paragraph" w:customStyle="1" w:styleId="Tablenum1">
    <w:name w:val="Table num 1"/>
    <w:basedOn w:val="Normal"/>
    <w:uiPriority w:val="6"/>
    <w:rsid w:val="009F1269"/>
    <w:pPr>
      <w:numPr>
        <w:ilvl w:val="2"/>
        <w:numId w:val="24"/>
      </w:numPr>
      <w:spacing w:before="60" w:after="60"/>
    </w:pPr>
    <w:rPr>
      <w:sz w:val="17"/>
    </w:rPr>
  </w:style>
  <w:style w:type="paragraph" w:customStyle="1" w:styleId="Tablenum2">
    <w:name w:val="Table num 2"/>
    <w:basedOn w:val="Normal"/>
    <w:uiPriority w:val="6"/>
    <w:rsid w:val="009F1269"/>
    <w:pPr>
      <w:numPr>
        <w:ilvl w:val="3"/>
        <w:numId w:val="24"/>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27"/>
      </w:numPr>
    </w:pPr>
  </w:style>
  <w:style w:type="paragraph" w:customStyle="1" w:styleId="DPCnumberloweralphaindent">
    <w:name w:val="DPC number lower alpha indent"/>
    <w:basedOn w:val="DPCbody"/>
    <w:uiPriority w:val="3"/>
    <w:rsid w:val="007D5C88"/>
    <w:pPr>
      <w:numPr>
        <w:ilvl w:val="1"/>
        <w:numId w:val="25"/>
      </w:numPr>
    </w:pPr>
    <w:rPr>
      <w:rFonts w:ascii="Arial" w:hAnsi="Arial"/>
    </w:rPr>
  </w:style>
  <w:style w:type="paragraph" w:customStyle="1" w:styleId="DPCnumberloweralpha">
    <w:name w:val="DPC number lower alpha"/>
    <w:basedOn w:val="DPCbody"/>
    <w:uiPriority w:val="3"/>
    <w:rsid w:val="007D5C88"/>
    <w:pPr>
      <w:numPr>
        <w:numId w:val="25"/>
      </w:numPr>
    </w:pPr>
    <w:rPr>
      <w:rFonts w:ascii="Arial" w:hAnsi="Arial"/>
    </w:rPr>
  </w:style>
  <w:style w:type="numbering" w:customStyle="1" w:styleId="ZZNumbersloweralpha">
    <w:name w:val="ZZ Numbers lower alpha"/>
    <w:basedOn w:val="NoList"/>
    <w:rsid w:val="007D5C88"/>
    <w:pPr>
      <w:numPr>
        <w:numId w:val="25"/>
      </w:numPr>
    </w:pPr>
  </w:style>
  <w:style w:type="paragraph" w:styleId="Revision">
    <w:name w:val="Revision"/>
    <w:hidden/>
    <w:uiPriority w:val="99"/>
    <w:semiHidden/>
    <w:rsid w:val="00182D75"/>
    <w:pPr>
      <w:spacing w:after="0" w:line="240" w:lineRule="auto"/>
    </w:pPr>
    <w:rPr>
      <w:color w:val="232B39" w:themeColor="text1"/>
    </w:rPr>
  </w:style>
  <w:style w:type="character" w:styleId="CommentReference">
    <w:name w:val="annotation reference"/>
    <w:basedOn w:val="DefaultParagraphFont"/>
    <w:uiPriority w:val="99"/>
    <w:semiHidden/>
    <w:unhideWhenUsed/>
    <w:rsid w:val="000D223F"/>
    <w:rPr>
      <w:sz w:val="16"/>
      <w:szCs w:val="16"/>
    </w:rPr>
  </w:style>
  <w:style w:type="paragraph" w:styleId="CommentText">
    <w:name w:val="annotation text"/>
    <w:basedOn w:val="Normal"/>
    <w:link w:val="CommentTextChar"/>
    <w:uiPriority w:val="99"/>
    <w:unhideWhenUsed/>
    <w:rsid w:val="000D223F"/>
    <w:pPr>
      <w:spacing w:line="240" w:lineRule="auto"/>
    </w:pPr>
  </w:style>
  <w:style w:type="character" w:customStyle="1" w:styleId="CommentTextChar">
    <w:name w:val="Comment Text Char"/>
    <w:basedOn w:val="DefaultParagraphFont"/>
    <w:link w:val="CommentText"/>
    <w:uiPriority w:val="99"/>
    <w:rsid w:val="000D223F"/>
    <w:rPr>
      <w:color w:val="232B39" w:themeColor="text1"/>
    </w:rPr>
  </w:style>
  <w:style w:type="paragraph" w:styleId="CommentSubject">
    <w:name w:val="annotation subject"/>
    <w:basedOn w:val="CommentText"/>
    <w:next w:val="CommentText"/>
    <w:link w:val="CommentSubjectChar"/>
    <w:uiPriority w:val="99"/>
    <w:semiHidden/>
    <w:unhideWhenUsed/>
    <w:rsid w:val="000D223F"/>
    <w:rPr>
      <w:b/>
      <w:bCs/>
    </w:rPr>
  </w:style>
  <w:style w:type="character" w:customStyle="1" w:styleId="CommentSubjectChar">
    <w:name w:val="Comment Subject Char"/>
    <w:basedOn w:val="CommentTextChar"/>
    <w:link w:val="CommentSubject"/>
    <w:uiPriority w:val="99"/>
    <w:semiHidden/>
    <w:rsid w:val="000D223F"/>
    <w:rPr>
      <w:b/>
      <w:bCs/>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EB826-72AD-490A-A6B5-8601EC513A4C}">
  <ds:schemaRefs>
    <ds:schemaRef ds:uri="http://schemas.microsoft.com/sharepoint/v3/contenttype/forms"/>
  </ds:schemaRefs>
</ds:datastoreItem>
</file>

<file path=customXml/itemProps2.xml><?xml version="1.0" encoding="utf-8"?>
<ds:datastoreItem xmlns:ds="http://schemas.openxmlformats.org/officeDocument/2006/customXml" ds:itemID="{84270D2D-0DDA-40AB-BAE7-3B586B769C92}">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3.xml><?xml version="1.0" encoding="utf-8"?>
<ds:datastoreItem xmlns:ds="http://schemas.openxmlformats.org/officeDocument/2006/customXml" ds:itemID="{3FC92D4A-1515-45F3-B34C-C81E1DADBB58}">
  <ds:schemaRefs>
    <ds:schemaRef ds:uri="http://www.w3.org/2001/XMLSchema"/>
  </ds:schemaRefs>
</ds:datastoreItem>
</file>

<file path=customXml/itemProps4.xml><?xml version="1.0" encoding="utf-8"?>
<ds:datastoreItem xmlns:ds="http://schemas.openxmlformats.org/officeDocument/2006/customXml" ds:itemID="{70B8BEC7-1B69-48BE-A3B9-AAD4E8F3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Policy.dotm</Template>
  <TotalTime>1</TotalTime>
  <Pages>4</Pages>
  <Words>1074</Words>
  <Characters>6137</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3</cp:revision>
  <cp:lastPrinted>2016-02-09T01:59:00Z</cp:lastPrinted>
  <dcterms:created xsi:type="dcterms:W3CDTF">2026-02-12T04:06:00Z</dcterms:created>
  <dcterms:modified xsi:type="dcterms:W3CDTF">2026-02-12T04:07:00Z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